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120" w:rsidRPr="00470338" w:rsidRDefault="00671120" w:rsidP="004B6FAC">
      <w:pPr>
        <w:spacing w:after="0" w:line="240" w:lineRule="auto"/>
        <w:jc w:val="center"/>
        <w:rPr>
          <w:rFonts w:ascii="Verdana" w:hAnsi="Verdana"/>
          <w:b/>
          <w:sz w:val="14"/>
          <w:szCs w:val="14"/>
          <w:lang w:val="es-CR"/>
        </w:rPr>
      </w:pPr>
      <w:bookmarkStart w:id="0" w:name="_GoBack"/>
      <w:bookmarkEnd w:id="0"/>
    </w:p>
    <w:p w:rsidR="00671120" w:rsidRPr="00470338" w:rsidRDefault="00671120" w:rsidP="004B6FAC">
      <w:pPr>
        <w:spacing w:after="0" w:line="240" w:lineRule="auto"/>
        <w:jc w:val="center"/>
        <w:rPr>
          <w:rFonts w:ascii="Verdana" w:hAnsi="Verdana"/>
          <w:b/>
          <w:sz w:val="14"/>
          <w:szCs w:val="14"/>
          <w:lang w:val="es-CR"/>
        </w:rPr>
      </w:pPr>
    </w:p>
    <w:p w:rsidR="000568D5" w:rsidRDefault="000568D5" w:rsidP="004B6FAC">
      <w:pPr>
        <w:spacing w:after="0" w:line="240" w:lineRule="auto"/>
        <w:jc w:val="center"/>
        <w:rPr>
          <w:rFonts w:ascii="Verdana" w:hAnsi="Verdana"/>
          <w:b/>
          <w:sz w:val="14"/>
          <w:szCs w:val="14"/>
          <w:lang w:val="es-CR"/>
        </w:rPr>
      </w:pPr>
    </w:p>
    <w:p w:rsidR="0033501D" w:rsidRDefault="0033501D" w:rsidP="004B6FAC">
      <w:pPr>
        <w:spacing w:after="0" w:line="240" w:lineRule="auto"/>
        <w:jc w:val="center"/>
        <w:rPr>
          <w:rFonts w:ascii="Verdana" w:hAnsi="Verdana"/>
          <w:b/>
          <w:sz w:val="14"/>
          <w:szCs w:val="14"/>
          <w:lang w:val="es-CR"/>
        </w:rPr>
      </w:pPr>
    </w:p>
    <w:p w:rsidR="0033501D" w:rsidRDefault="0033501D" w:rsidP="004B6FAC">
      <w:pPr>
        <w:spacing w:after="0" w:line="240" w:lineRule="auto"/>
        <w:jc w:val="center"/>
        <w:rPr>
          <w:rFonts w:ascii="Verdana" w:hAnsi="Verdana"/>
          <w:b/>
          <w:sz w:val="14"/>
          <w:szCs w:val="14"/>
          <w:lang w:val="es-CR"/>
        </w:rPr>
      </w:pPr>
    </w:p>
    <w:p w:rsidR="0033501D" w:rsidRDefault="0033501D" w:rsidP="004B6FAC">
      <w:pPr>
        <w:spacing w:after="0" w:line="240" w:lineRule="auto"/>
        <w:jc w:val="center"/>
        <w:rPr>
          <w:rFonts w:ascii="Verdana" w:hAnsi="Verdana"/>
          <w:b/>
          <w:sz w:val="14"/>
          <w:szCs w:val="14"/>
          <w:lang w:val="es-CR"/>
        </w:rPr>
      </w:pPr>
    </w:p>
    <w:p w:rsidR="0033501D" w:rsidRPr="00470338" w:rsidRDefault="0033501D" w:rsidP="004B6FAC">
      <w:pPr>
        <w:spacing w:after="0" w:line="240" w:lineRule="auto"/>
        <w:jc w:val="center"/>
        <w:rPr>
          <w:rFonts w:ascii="Verdana" w:hAnsi="Verdana"/>
          <w:b/>
          <w:sz w:val="14"/>
          <w:szCs w:val="14"/>
          <w:lang w:val="es-CR"/>
        </w:rPr>
      </w:pPr>
    </w:p>
    <w:p w:rsidR="00F56ACD" w:rsidRDefault="00745AE4" w:rsidP="004B6FAC">
      <w:pPr>
        <w:spacing w:after="0" w:line="240" w:lineRule="auto"/>
        <w:jc w:val="center"/>
        <w:rPr>
          <w:rFonts w:ascii="Verdana" w:hAnsi="Verdana"/>
          <w:b/>
          <w:sz w:val="20"/>
          <w:szCs w:val="20"/>
          <w:lang w:val="es-CR"/>
        </w:rPr>
      </w:pPr>
      <w:r w:rsidRPr="00745AE4">
        <w:rPr>
          <w:rFonts w:ascii="Verdana" w:hAnsi="Verdana"/>
          <w:b/>
          <w:sz w:val="20"/>
          <w:szCs w:val="20"/>
          <w:lang w:val="es-CR"/>
        </w:rPr>
        <w:t xml:space="preserve">RESOLUCIÓN DE LA </w:t>
      </w:r>
    </w:p>
    <w:p w:rsidR="00FF7EEA" w:rsidRDefault="00745AE4" w:rsidP="004B6FAC">
      <w:pPr>
        <w:spacing w:after="0" w:line="240" w:lineRule="auto"/>
        <w:jc w:val="center"/>
        <w:rPr>
          <w:rFonts w:ascii="Verdana" w:hAnsi="Verdana"/>
          <w:b/>
          <w:smallCaps/>
          <w:sz w:val="20"/>
          <w:lang w:val="es-CR"/>
        </w:rPr>
      </w:pPr>
      <w:r w:rsidRPr="00745AE4">
        <w:rPr>
          <w:rFonts w:ascii="Verdana" w:hAnsi="Verdana"/>
          <w:b/>
          <w:sz w:val="20"/>
          <w:szCs w:val="20"/>
          <w:lang w:val="es-CR"/>
        </w:rPr>
        <w:t>CORTE INTERAMERICANA DE DERECHOS HUMANOS</w:t>
      </w:r>
    </w:p>
    <w:p w:rsidR="00AD4184" w:rsidRPr="00470338" w:rsidRDefault="00AD4184" w:rsidP="004B6FAC">
      <w:pPr>
        <w:spacing w:after="0" w:line="240" w:lineRule="auto"/>
        <w:jc w:val="center"/>
        <w:rPr>
          <w:rFonts w:ascii="Verdana" w:hAnsi="Verdana"/>
          <w:b/>
          <w:sz w:val="14"/>
          <w:szCs w:val="14"/>
          <w:lang w:val="es-CR"/>
        </w:rPr>
      </w:pPr>
    </w:p>
    <w:p w:rsidR="00745AE4" w:rsidRDefault="00671120" w:rsidP="004B6FAC">
      <w:pPr>
        <w:spacing w:after="0" w:line="240" w:lineRule="auto"/>
        <w:jc w:val="center"/>
        <w:rPr>
          <w:rFonts w:ascii="Verdana" w:hAnsi="Verdana"/>
          <w:b/>
          <w:sz w:val="20"/>
          <w:szCs w:val="20"/>
          <w:lang w:val="es-CR"/>
        </w:rPr>
      </w:pPr>
      <w:r>
        <w:rPr>
          <w:rFonts w:ascii="Verdana" w:hAnsi="Verdana"/>
          <w:b/>
          <w:sz w:val="20"/>
          <w:szCs w:val="20"/>
          <w:lang w:val="es-CR"/>
        </w:rPr>
        <w:t xml:space="preserve">DE </w:t>
      </w:r>
      <w:r w:rsidR="00E001E4">
        <w:rPr>
          <w:rFonts w:ascii="Verdana" w:hAnsi="Verdana"/>
          <w:b/>
          <w:sz w:val="20"/>
          <w:szCs w:val="20"/>
          <w:lang w:val="es-CR"/>
        </w:rPr>
        <w:t>14</w:t>
      </w:r>
      <w:r w:rsidR="00745AE4">
        <w:rPr>
          <w:rFonts w:ascii="Verdana" w:hAnsi="Verdana"/>
          <w:b/>
          <w:sz w:val="20"/>
          <w:szCs w:val="20"/>
          <w:lang w:val="es-CR"/>
        </w:rPr>
        <w:t xml:space="preserve"> DE </w:t>
      </w:r>
      <w:r w:rsidR="004B6FAC">
        <w:rPr>
          <w:rFonts w:ascii="Verdana" w:hAnsi="Verdana"/>
          <w:b/>
          <w:sz w:val="20"/>
          <w:szCs w:val="20"/>
          <w:lang w:val="es-CR"/>
        </w:rPr>
        <w:t>MAYO</w:t>
      </w:r>
      <w:r w:rsidR="00745AE4" w:rsidRPr="00745AE4">
        <w:rPr>
          <w:rFonts w:ascii="Verdana" w:hAnsi="Verdana"/>
          <w:b/>
          <w:sz w:val="20"/>
          <w:szCs w:val="20"/>
          <w:lang w:val="es-CR"/>
        </w:rPr>
        <w:t xml:space="preserve"> DE </w:t>
      </w:r>
      <w:r w:rsidR="004B6FAC">
        <w:rPr>
          <w:rFonts w:ascii="Verdana" w:hAnsi="Verdana"/>
          <w:b/>
          <w:sz w:val="20"/>
          <w:szCs w:val="20"/>
          <w:lang w:val="es-CR"/>
        </w:rPr>
        <w:t>2019</w:t>
      </w:r>
    </w:p>
    <w:p w:rsidR="00AD4184" w:rsidRPr="00470338" w:rsidRDefault="00AD4184" w:rsidP="004B6FAC">
      <w:pPr>
        <w:spacing w:after="0" w:line="240" w:lineRule="auto"/>
        <w:jc w:val="center"/>
        <w:rPr>
          <w:rFonts w:ascii="Verdana" w:hAnsi="Verdana"/>
          <w:b/>
          <w:sz w:val="14"/>
          <w:szCs w:val="14"/>
          <w:lang w:val="es-CR"/>
        </w:rPr>
      </w:pPr>
    </w:p>
    <w:p w:rsidR="00745AE4" w:rsidRPr="009B4B9D" w:rsidRDefault="00745AE4" w:rsidP="004B6FAC">
      <w:pPr>
        <w:spacing w:after="0" w:line="240" w:lineRule="auto"/>
        <w:jc w:val="center"/>
        <w:rPr>
          <w:rFonts w:ascii="Verdana" w:hAnsi="Verdana"/>
          <w:b/>
          <w:i/>
          <w:sz w:val="20"/>
          <w:szCs w:val="20"/>
          <w:lang w:val="es-CR"/>
        </w:rPr>
      </w:pPr>
      <w:r w:rsidRPr="009B4B9D">
        <w:rPr>
          <w:rFonts w:ascii="Verdana" w:hAnsi="Verdana"/>
          <w:b/>
          <w:i/>
          <w:sz w:val="20"/>
          <w:szCs w:val="20"/>
          <w:lang w:val="es-CR"/>
        </w:rPr>
        <w:t xml:space="preserve">CASO </w:t>
      </w:r>
      <w:r w:rsidR="0034046E">
        <w:rPr>
          <w:rFonts w:ascii="Verdana" w:hAnsi="Verdana"/>
          <w:b/>
          <w:i/>
          <w:sz w:val="20"/>
          <w:szCs w:val="20"/>
          <w:lang w:val="es-CR"/>
        </w:rPr>
        <w:t>CANTORAL HUAMANÍ Y GARCÍA SANTA CRUZ</w:t>
      </w:r>
      <w:r w:rsidRPr="009B4B9D">
        <w:rPr>
          <w:rFonts w:ascii="Verdana" w:hAnsi="Verdana"/>
          <w:b/>
          <w:i/>
          <w:sz w:val="20"/>
          <w:szCs w:val="20"/>
          <w:lang w:val="es-CR"/>
        </w:rPr>
        <w:t xml:space="preserve"> VS.</w:t>
      </w:r>
      <w:r w:rsidR="0034046E">
        <w:rPr>
          <w:rFonts w:ascii="Verdana" w:hAnsi="Verdana"/>
          <w:b/>
          <w:i/>
          <w:sz w:val="20"/>
          <w:szCs w:val="20"/>
          <w:lang w:val="es-CR"/>
        </w:rPr>
        <w:t xml:space="preserve"> PERÚ</w:t>
      </w:r>
    </w:p>
    <w:p w:rsidR="00AD4184" w:rsidRPr="00470338" w:rsidRDefault="00AD4184" w:rsidP="004B6FAC">
      <w:pPr>
        <w:spacing w:after="0" w:line="240" w:lineRule="auto"/>
        <w:jc w:val="center"/>
        <w:rPr>
          <w:rFonts w:ascii="Verdana" w:hAnsi="Verdana"/>
          <w:b/>
          <w:sz w:val="14"/>
          <w:szCs w:val="14"/>
          <w:lang w:val="es-CR"/>
        </w:rPr>
      </w:pPr>
    </w:p>
    <w:p w:rsidR="00745AE4" w:rsidRPr="009B4B9D" w:rsidRDefault="00745AE4" w:rsidP="004B6FAC">
      <w:pPr>
        <w:spacing w:after="0" w:line="240" w:lineRule="auto"/>
        <w:jc w:val="center"/>
        <w:rPr>
          <w:rFonts w:ascii="Verdana" w:hAnsi="Verdana"/>
          <w:b/>
          <w:sz w:val="20"/>
          <w:szCs w:val="20"/>
          <w:lang w:val="es-CR"/>
        </w:rPr>
      </w:pPr>
      <w:r w:rsidRPr="009B4B9D">
        <w:rPr>
          <w:rFonts w:ascii="Verdana" w:hAnsi="Verdana"/>
          <w:b/>
          <w:sz w:val="20"/>
          <w:szCs w:val="20"/>
          <w:lang w:val="es-CR"/>
        </w:rPr>
        <w:t>SUPERVISIÓN DE CUMPLIMIENTO DE SENTENCIA</w:t>
      </w:r>
    </w:p>
    <w:p w:rsidR="00AD4184" w:rsidRPr="00470338" w:rsidRDefault="00AD4184" w:rsidP="004B6FAC">
      <w:pPr>
        <w:spacing w:after="0" w:line="240" w:lineRule="auto"/>
        <w:jc w:val="both"/>
        <w:rPr>
          <w:rFonts w:ascii="Verdana" w:hAnsi="Verdana"/>
          <w:b/>
          <w:sz w:val="14"/>
          <w:szCs w:val="14"/>
          <w:lang w:val="es-CR"/>
        </w:rPr>
      </w:pPr>
    </w:p>
    <w:p w:rsidR="00CD4DDE" w:rsidRDefault="005A1B3D" w:rsidP="004B6FAC">
      <w:pPr>
        <w:spacing w:after="0" w:line="240" w:lineRule="auto"/>
        <w:jc w:val="both"/>
        <w:rPr>
          <w:rFonts w:ascii="Verdana" w:hAnsi="Verdana"/>
          <w:b/>
          <w:sz w:val="20"/>
          <w:szCs w:val="20"/>
          <w:lang w:val="es-CR"/>
        </w:rPr>
      </w:pPr>
      <w:r w:rsidRPr="009B4B9D">
        <w:rPr>
          <w:rFonts w:ascii="Verdana" w:hAnsi="Verdana"/>
          <w:b/>
          <w:sz w:val="20"/>
          <w:szCs w:val="20"/>
          <w:lang w:val="es-CR"/>
        </w:rPr>
        <w:t>VISTO:</w:t>
      </w:r>
      <w:r w:rsidR="006D19D6">
        <w:rPr>
          <w:rFonts w:ascii="Verdana" w:hAnsi="Verdana"/>
          <w:b/>
          <w:sz w:val="20"/>
          <w:szCs w:val="20"/>
          <w:lang w:val="es-CR"/>
        </w:rPr>
        <w:t xml:space="preserve"> </w:t>
      </w:r>
    </w:p>
    <w:p w:rsidR="004B6FAC" w:rsidRPr="00470338" w:rsidRDefault="004B6FAC" w:rsidP="004B6FAC">
      <w:pPr>
        <w:spacing w:after="0" w:line="240" w:lineRule="auto"/>
        <w:jc w:val="both"/>
        <w:rPr>
          <w:rFonts w:ascii="Verdana" w:hAnsi="Verdana"/>
          <w:b/>
          <w:sz w:val="14"/>
          <w:szCs w:val="14"/>
          <w:lang w:val="es-CR"/>
        </w:rPr>
      </w:pPr>
    </w:p>
    <w:p w:rsidR="00FF7EEA" w:rsidRPr="00BF4CDD" w:rsidRDefault="005A1B3D" w:rsidP="00BF4CDD">
      <w:pPr>
        <w:pStyle w:val="Listavistosa-nfasis1"/>
        <w:numPr>
          <w:ilvl w:val="0"/>
          <w:numId w:val="1"/>
        </w:numPr>
        <w:spacing w:after="0" w:line="240" w:lineRule="auto"/>
        <w:ind w:left="0" w:firstLine="0"/>
        <w:contextualSpacing w:val="0"/>
        <w:jc w:val="both"/>
        <w:rPr>
          <w:rFonts w:ascii="Verdana" w:hAnsi="Verdana"/>
          <w:color w:val="000000"/>
          <w:sz w:val="20"/>
          <w:szCs w:val="20"/>
          <w:shd w:val="clear" w:color="auto" w:fill="FFFFFF"/>
          <w:lang w:val="es-CR"/>
        </w:rPr>
      </w:pPr>
      <w:r w:rsidRPr="009851A6">
        <w:rPr>
          <w:rFonts w:ascii="Verdana" w:hAnsi="Verdana"/>
          <w:sz w:val="20"/>
          <w:szCs w:val="20"/>
          <w:lang w:val="es-CR"/>
        </w:rPr>
        <w:t>La Sentencia d</w:t>
      </w:r>
      <w:r w:rsidR="0034046E" w:rsidRPr="009851A6">
        <w:rPr>
          <w:rFonts w:ascii="Verdana" w:hAnsi="Verdana"/>
          <w:sz w:val="20"/>
          <w:szCs w:val="20"/>
          <w:lang w:val="es-CR"/>
        </w:rPr>
        <w:t>e excepción preliminar, fondo, reparaciones y costas</w:t>
      </w:r>
      <w:r w:rsidRPr="009851A6">
        <w:rPr>
          <w:rFonts w:ascii="Verdana" w:hAnsi="Verdana"/>
          <w:color w:val="000000"/>
          <w:sz w:val="20"/>
          <w:szCs w:val="20"/>
          <w:lang w:val="es-CR"/>
        </w:rPr>
        <w:t xml:space="preserve"> </w:t>
      </w:r>
      <w:r w:rsidRPr="009851A6">
        <w:rPr>
          <w:rFonts w:ascii="Verdana" w:hAnsi="Verdana"/>
          <w:sz w:val="20"/>
          <w:szCs w:val="20"/>
          <w:lang w:val="es-CR"/>
        </w:rPr>
        <w:t xml:space="preserve">(en adelante “la Sentencia”) </w:t>
      </w:r>
      <w:r w:rsidR="00AD277C" w:rsidRPr="009851A6">
        <w:rPr>
          <w:rFonts w:ascii="Verdana" w:hAnsi="Verdana"/>
          <w:sz w:val="20"/>
          <w:szCs w:val="20"/>
          <w:lang w:val="es-CR"/>
        </w:rPr>
        <w:t xml:space="preserve">dictada </w:t>
      </w:r>
      <w:r w:rsidRPr="009851A6">
        <w:rPr>
          <w:rFonts w:ascii="Verdana" w:hAnsi="Verdana"/>
          <w:sz w:val="20"/>
          <w:szCs w:val="20"/>
          <w:lang w:val="es-CR"/>
        </w:rPr>
        <w:t>por la Corte Interamericana de Derechos Humanos (en adelante “la Corte Interamerican</w:t>
      </w:r>
      <w:r w:rsidR="00AD277C" w:rsidRPr="009851A6">
        <w:rPr>
          <w:rFonts w:ascii="Verdana" w:hAnsi="Verdana"/>
          <w:sz w:val="20"/>
          <w:szCs w:val="20"/>
          <w:lang w:val="es-CR"/>
        </w:rPr>
        <w:t xml:space="preserve">a”, “la Corte” o “el Tribunal”) el </w:t>
      </w:r>
      <w:r w:rsidR="0034046E" w:rsidRPr="009851A6">
        <w:rPr>
          <w:rFonts w:ascii="Verdana" w:hAnsi="Verdana"/>
          <w:sz w:val="20"/>
          <w:szCs w:val="20"/>
          <w:lang w:val="es-CR"/>
        </w:rPr>
        <w:t>10</w:t>
      </w:r>
      <w:r w:rsidR="00886837" w:rsidRPr="009851A6">
        <w:rPr>
          <w:rFonts w:ascii="Verdana" w:hAnsi="Verdana"/>
          <w:sz w:val="20"/>
          <w:szCs w:val="20"/>
          <w:lang w:val="es-CR"/>
        </w:rPr>
        <w:t xml:space="preserve"> </w:t>
      </w:r>
      <w:r w:rsidR="00AD277C" w:rsidRPr="009851A6">
        <w:rPr>
          <w:rFonts w:ascii="Verdana" w:hAnsi="Verdana"/>
          <w:sz w:val="20"/>
          <w:szCs w:val="20"/>
          <w:lang w:val="es-CR"/>
        </w:rPr>
        <w:t xml:space="preserve">de </w:t>
      </w:r>
      <w:r w:rsidR="0034046E" w:rsidRPr="009851A6">
        <w:rPr>
          <w:rFonts w:ascii="Verdana" w:hAnsi="Verdana"/>
          <w:sz w:val="20"/>
          <w:szCs w:val="20"/>
          <w:lang w:val="es-CR"/>
        </w:rPr>
        <w:t xml:space="preserve">julio </w:t>
      </w:r>
      <w:r w:rsidR="00AD277C" w:rsidRPr="009851A6">
        <w:rPr>
          <w:rFonts w:ascii="Verdana" w:hAnsi="Verdana"/>
          <w:sz w:val="20"/>
          <w:szCs w:val="20"/>
          <w:lang w:val="es-CR"/>
        </w:rPr>
        <w:t xml:space="preserve">de </w:t>
      </w:r>
      <w:r w:rsidR="0034046E" w:rsidRPr="009851A6">
        <w:rPr>
          <w:rFonts w:ascii="Verdana" w:hAnsi="Verdana"/>
          <w:sz w:val="20"/>
          <w:szCs w:val="20"/>
          <w:lang w:val="es-CR"/>
        </w:rPr>
        <w:t>20</w:t>
      </w:r>
      <w:r w:rsidR="0047662E" w:rsidRPr="009851A6">
        <w:rPr>
          <w:rFonts w:ascii="Verdana" w:hAnsi="Verdana"/>
          <w:sz w:val="20"/>
          <w:szCs w:val="20"/>
          <w:lang w:val="es-CR"/>
        </w:rPr>
        <w:t>0</w:t>
      </w:r>
      <w:r w:rsidR="0034046E" w:rsidRPr="009851A6">
        <w:rPr>
          <w:rFonts w:ascii="Verdana" w:hAnsi="Verdana"/>
          <w:sz w:val="20"/>
          <w:szCs w:val="20"/>
          <w:lang w:val="es-CR"/>
        </w:rPr>
        <w:t>7</w:t>
      </w:r>
      <w:r w:rsidR="00886837" w:rsidRPr="0076390D">
        <w:rPr>
          <w:rStyle w:val="Refdenotaalpie"/>
          <w:rFonts w:ascii="Verdana" w:hAnsi="Verdana"/>
          <w:sz w:val="20"/>
          <w:lang w:val="es-MX"/>
        </w:rPr>
        <w:footnoteReference w:id="1"/>
      </w:r>
      <w:r w:rsidR="001C0DED" w:rsidRPr="009851A6">
        <w:rPr>
          <w:rFonts w:ascii="Verdana" w:hAnsi="Verdana"/>
          <w:sz w:val="20"/>
          <w:szCs w:val="20"/>
          <w:lang w:val="es-CR"/>
        </w:rPr>
        <w:t xml:space="preserve">. </w:t>
      </w:r>
      <w:r w:rsidR="00EC6433" w:rsidRPr="009851A6">
        <w:rPr>
          <w:rFonts w:ascii="Verdana" w:hAnsi="Verdana"/>
          <w:sz w:val="20"/>
          <w:szCs w:val="20"/>
          <w:lang w:val="es-CR"/>
        </w:rPr>
        <w:t>L</w:t>
      </w:r>
      <w:r w:rsidR="00AE115F" w:rsidRPr="009851A6">
        <w:rPr>
          <w:rFonts w:ascii="Verdana" w:hAnsi="Verdana"/>
          <w:sz w:val="20"/>
          <w:szCs w:val="20"/>
          <w:lang w:val="es-CR"/>
        </w:rPr>
        <w:t>a Corte</w:t>
      </w:r>
      <w:r w:rsidR="006021E3">
        <w:rPr>
          <w:rFonts w:ascii="Verdana" w:hAnsi="Verdana"/>
          <w:sz w:val="20"/>
          <w:szCs w:val="20"/>
          <w:lang w:val="es-CR"/>
        </w:rPr>
        <w:t xml:space="preserve">, tomando en consideración el reconocimiento parcial de responsabilidad </w:t>
      </w:r>
      <w:r w:rsidR="0091532B">
        <w:rPr>
          <w:rFonts w:ascii="Verdana" w:hAnsi="Verdana"/>
          <w:sz w:val="20"/>
          <w:szCs w:val="20"/>
          <w:lang w:val="es-CR"/>
        </w:rPr>
        <w:t>realizado por</w:t>
      </w:r>
      <w:r w:rsidR="006021E3">
        <w:rPr>
          <w:rFonts w:ascii="Verdana" w:hAnsi="Verdana"/>
          <w:sz w:val="20"/>
          <w:szCs w:val="20"/>
          <w:lang w:val="es-CR"/>
        </w:rPr>
        <w:t xml:space="preserve"> la República del Perú</w:t>
      </w:r>
      <w:r w:rsidR="00AE115F" w:rsidRPr="009851A6">
        <w:rPr>
          <w:rFonts w:ascii="Verdana" w:hAnsi="Verdana"/>
          <w:sz w:val="20"/>
          <w:szCs w:val="20"/>
          <w:lang w:val="es-CR"/>
        </w:rPr>
        <w:t xml:space="preserve"> </w:t>
      </w:r>
      <w:r w:rsidR="006021E3" w:rsidRPr="009851A6">
        <w:rPr>
          <w:rFonts w:ascii="Verdana" w:hAnsi="Verdana"/>
          <w:sz w:val="20"/>
          <w:szCs w:val="20"/>
          <w:lang w:val="es-CR"/>
        </w:rPr>
        <w:t xml:space="preserve">(en adelante “el Estado” o </w:t>
      </w:r>
      <w:r w:rsidR="006021E3">
        <w:rPr>
          <w:rFonts w:ascii="Verdana" w:hAnsi="Verdana"/>
          <w:sz w:val="20"/>
          <w:szCs w:val="20"/>
          <w:lang w:val="es-CR"/>
        </w:rPr>
        <w:t xml:space="preserve">“el </w:t>
      </w:r>
      <w:r w:rsidR="006021E3" w:rsidRPr="009851A6">
        <w:rPr>
          <w:rFonts w:ascii="Verdana" w:hAnsi="Verdana"/>
          <w:sz w:val="20"/>
          <w:szCs w:val="20"/>
          <w:lang w:val="es-CR"/>
        </w:rPr>
        <w:t>Perú”)</w:t>
      </w:r>
      <w:r w:rsidR="00AA639A">
        <w:rPr>
          <w:rFonts w:ascii="Verdana" w:hAnsi="Verdana"/>
          <w:sz w:val="20"/>
          <w:szCs w:val="20"/>
          <w:lang w:val="es-CR"/>
        </w:rPr>
        <w:t>,</w:t>
      </w:r>
      <w:r w:rsidR="006021E3" w:rsidRPr="009851A6">
        <w:rPr>
          <w:rFonts w:ascii="Verdana" w:hAnsi="Verdana"/>
          <w:sz w:val="20"/>
          <w:szCs w:val="20"/>
          <w:lang w:val="es-CR"/>
        </w:rPr>
        <w:t xml:space="preserve"> </w:t>
      </w:r>
      <w:r w:rsidR="00AE115F" w:rsidRPr="009851A6">
        <w:rPr>
          <w:rFonts w:ascii="Verdana" w:hAnsi="Verdana"/>
          <w:sz w:val="20"/>
          <w:szCs w:val="20"/>
          <w:lang w:val="es-CR"/>
        </w:rPr>
        <w:t xml:space="preserve">declaró la responsabilidad internacional </w:t>
      </w:r>
      <w:r w:rsidR="0034046E" w:rsidRPr="009851A6">
        <w:rPr>
          <w:rFonts w:ascii="Verdana" w:hAnsi="Verdana"/>
          <w:sz w:val="20"/>
          <w:szCs w:val="20"/>
          <w:lang w:val="es-CR"/>
        </w:rPr>
        <w:t xml:space="preserve">de </w:t>
      </w:r>
      <w:r w:rsidR="006021E3">
        <w:rPr>
          <w:rFonts w:ascii="Verdana" w:hAnsi="Verdana"/>
          <w:sz w:val="20"/>
          <w:szCs w:val="20"/>
          <w:lang w:val="es-CR"/>
        </w:rPr>
        <w:t>dicho Estado</w:t>
      </w:r>
      <w:r w:rsidR="0034046E" w:rsidRPr="009851A6">
        <w:rPr>
          <w:rFonts w:ascii="Verdana" w:hAnsi="Verdana"/>
          <w:sz w:val="20"/>
          <w:szCs w:val="20"/>
          <w:lang w:val="es-CR"/>
        </w:rPr>
        <w:t xml:space="preserve"> </w:t>
      </w:r>
      <w:r w:rsidR="00372198" w:rsidRPr="009851A6">
        <w:rPr>
          <w:rFonts w:ascii="Verdana" w:hAnsi="Verdana"/>
          <w:sz w:val="20"/>
          <w:szCs w:val="20"/>
          <w:lang w:val="es-CR"/>
        </w:rPr>
        <w:t>por</w:t>
      </w:r>
      <w:r w:rsidR="009851A6" w:rsidRPr="009851A6">
        <w:rPr>
          <w:rFonts w:ascii="Verdana" w:hAnsi="Verdana"/>
          <w:sz w:val="20"/>
          <w:szCs w:val="20"/>
          <w:lang w:val="es-CR"/>
        </w:rPr>
        <w:t xml:space="preserve"> la violación </w:t>
      </w:r>
      <w:r w:rsidR="002E038E">
        <w:rPr>
          <w:rFonts w:ascii="Verdana" w:hAnsi="Verdana"/>
          <w:sz w:val="20"/>
          <w:szCs w:val="20"/>
          <w:lang w:val="es-CR"/>
        </w:rPr>
        <w:t xml:space="preserve">de </w:t>
      </w:r>
      <w:r w:rsidR="002E038E" w:rsidRPr="002E038E">
        <w:rPr>
          <w:rFonts w:ascii="Verdana" w:hAnsi="Verdana"/>
          <w:sz w:val="20"/>
          <w:szCs w:val="20"/>
          <w:lang w:val="es-CR"/>
        </w:rPr>
        <w:t>los derechos a</w:t>
      </w:r>
      <w:r w:rsidR="00BF4CDD">
        <w:rPr>
          <w:rFonts w:ascii="Verdana" w:hAnsi="Verdana"/>
          <w:sz w:val="20"/>
          <w:szCs w:val="20"/>
          <w:lang w:val="es-CR"/>
        </w:rPr>
        <w:t xml:space="preserve"> la libertad de asociación,</w:t>
      </w:r>
      <w:r w:rsidR="002E038E" w:rsidRPr="002E038E">
        <w:rPr>
          <w:rFonts w:ascii="Verdana" w:hAnsi="Verdana"/>
          <w:sz w:val="20"/>
          <w:szCs w:val="20"/>
          <w:lang w:val="es-CR"/>
        </w:rPr>
        <w:t xml:space="preserve"> libertad personal, integridad personal y vida, </w:t>
      </w:r>
      <w:r w:rsidR="00187580" w:rsidRPr="00187580">
        <w:rPr>
          <w:rFonts w:ascii="Verdana" w:hAnsi="Verdana"/>
          <w:sz w:val="20"/>
          <w:szCs w:val="20"/>
          <w:lang w:val="es-CR"/>
        </w:rPr>
        <w:t xml:space="preserve">por la detención ilegal y arbitraria y </w:t>
      </w:r>
      <w:r w:rsidR="00187580" w:rsidRPr="00BF4CDD">
        <w:rPr>
          <w:rFonts w:ascii="Verdana" w:hAnsi="Verdana"/>
          <w:sz w:val="20"/>
          <w:szCs w:val="20"/>
          <w:lang w:val="es-CR"/>
        </w:rPr>
        <w:t xml:space="preserve">muerte de Saúl Cantoral Huamaní y Consuelo García Santa Cruz </w:t>
      </w:r>
      <w:r w:rsidR="001C3BEE">
        <w:rPr>
          <w:rFonts w:ascii="Verdana" w:hAnsi="Verdana"/>
          <w:sz w:val="20"/>
          <w:szCs w:val="20"/>
          <w:lang w:val="es-CR"/>
        </w:rPr>
        <w:t>el 13 de febrero de 1989</w:t>
      </w:r>
      <w:r w:rsidR="00117900">
        <w:rPr>
          <w:rFonts w:ascii="Verdana" w:hAnsi="Verdana"/>
          <w:sz w:val="20"/>
          <w:szCs w:val="20"/>
          <w:lang w:val="es-CR"/>
        </w:rPr>
        <w:t xml:space="preserve">, </w:t>
      </w:r>
      <w:r w:rsidR="00E96993" w:rsidRPr="00BF4CDD">
        <w:rPr>
          <w:rFonts w:ascii="Verdana" w:hAnsi="Verdana"/>
          <w:sz w:val="20"/>
          <w:szCs w:val="20"/>
          <w:lang w:val="es-CR"/>
        </w:rPr>
        <w:t xml:space="preserve">motivadas </w:t>
      </w:r>
      <w:r w:rsidR="00BF4CDD">
        <w:rPr>
          <w:rFonts w:ascii="Verdana" w:hAnsi="Verdana"/>
          <w:sz w:val="20"/>
          <w:szCs w:val="20"/>
          <w:lang w:val="es-CR"/>
        </w:rPr>
        <w:t>por</w:t>
      </w:r>
      <w:r w:rsidR="00612F08">
        <w:rPr>
          <w:rFonts w:ascii="Verdana" w:hAnsi="Verdana"/>
          <w:sz w:val="20"/>
          <w:szCs w:val="20"/>
          <w:lang w:val="es-CR"/>
        </w:rPr>
        <w:t xml:space="preserve"> las actividades ejercidas en razón de sus respectivas condiciones</w:t>
      </w:r>
      <w:r w:rsidR="00E96993" w:rsidRPr="00BF4CDD">
        <w:rPr>
          <w:rFonts w:ascii="Verdana" w:hAnsi="Verdana"/>
          <w:sz w:val="20"/>
          <w:szCs w:val="20"/>
          <w:lang w:val="es-CR"/>
        </w:rPr>
        <w:t xml:space="preserve"> de </w:t>
      </w:r>
      <w:r w:rsidR="009851A6" w:rsidRPr="00BF4CDD">
        <w:rPr>
          <w:rFonts w:ascii="Verdana" w:hAnsi="Verdana"/>
          <w:sz w:val="20"/>
          <w:szCs w:val="20"/>
          <w:lang w:val="es-CR"/>
        </w:rPr>
        <w:t xml:space="preserve">líder sindical </w:t>
      </w:r>
      <w:r w:rsidR="002243E4">
        <w:rPr>
          <w:rFonts w:ascii="Verdana" w:hAnsi="Verdana"/>
          <w:sz w:val="20"/>
          <w:szCs w:val="20"/>
          <w:lang w:val="es-CR"/>
        </w:rPr>
        <w:t xml:space="preserve">minero </w:t>
      </w:r>
      <w:r w:rsidR="009851A6" w:rsidRPr="00BF4CDD">
        <w:rPr>
          <w:rFonts w:ascii="Verdana" w:hAnsi="Verdana"/>
          <w:sz w:val="20"/>
          <w:szCs w:val="20"/>
          <w:lang w:val="es-CR"/>
        </w:rPr>
        <w:t>y</w:t>
      </w:r>
      <w:r w:rsidR="00BF4CDD">
        <w:rPr>
          <w:rFonts w:ascii="Verdana" w:hAnsi="Verdana"/>
          <w:sz w:val="20"/>
          <w:szCs w:val="20"/>
          <w:lang w:val="es-CR"/>
        </w:rPr>
        <w:t xml:space="preserve"> líder</w:t>
      </w:r>
      <w:r w:rsidR="009851A6" w:rsidRPr="00BF4CDD">
        <w:rPr>
          <w:rFonts w:ascii="Verdana" w:hAnsi="Verdana"/>
          <w:sz w:val="20"/>
          <w:szCs w:val="20"/>
          <w:lang w:val="es-CR"/>
        </w:rPr>
        <w:t xml:space="preserve"> </w:t>
      </w:r>
      <w:r w:rsidR="00BF4CDD" w:rsidRPr="00BF4CDD">
        <w:rPr>
          <w:rFonts w:ascii="Verdana" w:hAnsi="Verdana"/>
          <w:sz w:val="20"/>
          <w:szCs w:val="20"/>
          <w:lang w:val="es-CR"/>
        </w:rPr>
        <w:t>social</w:t>
      </w:r>
      <w:r w:rsidR="002243E4">
        <w:rPr>
          <w:rFonts w:ascii="Verdana" w:hAnsi="Verdana"/>
          <w:sz w:val="20"/>
          <w:szCs w:val="20"/>
          <w:lang w:val="es-CR"/>
        </w:rPr>
        <w:t xml:space="preserve"> minera</w:t>
      </w:r>
      <w:r w:rsidR="00BF4CDD" w:rsidRPr="00BF4CDD">
        <w:rPr>
          <w:rFonts w:ascii="Verdana" w:hAnsi="Verdana"/>
          <w:sz w:val="20"/>
          <w:szCs w:val="20"/>
          <w:lang w:val="es-CR"/>
        </w:rPr>
        <w:t>.</w:t>
      </w:r>
      <w:r w:rsidR="009851A6" w:rsidRPr="00BF4CDD">
        <w:rPr>
          <w:rFonts w:ascii="Verdana" w:hAnsi="Verdana"/>
          <w:sz w:val="20"/>
          <w:szCs w:val="20"/>
          <w:lang w:val="es-CR"/>
        </w:rPr>
        <w:t xml:space="preserve"> </w:t>
      </w:r>
      <w:r w:rsidR="00187580" w:rsidRPr="00BF4CDD">
        <w:rPr>
          <w:rFonts w:ascii="Verdana" w:hAnsi="Verdana"/>
          <w:sz w:val="20"/>
          <w:szCs w:val="20"/>
          <w:lang w:val="es-CR"/>
        </w:rPr>
        <w:t xml:space="preserve">El Tribunal también estableció que el </w:t>
      </w:r>
      <w:r w:rsidR="00E714CB">
        <w:rPr>
          <w:rFonts w:ascii="Verdana" w:hAnsi="Verdana"/>
          <w:sz w:val="20"/>
          <w:szCs w:val="20"/>
          <w:lang w:val="es-CR"/>
        </w:rPr>
        <w:t>Perú</w:t>
      </w:r>
      <w:r w:rsidR="00187580" w:rsidRPr="00BF4CDD">
        <w:rPr>
          <w:rFonts w:ascii="Verdana" w:hAnsi="Verdana"/>
          <w:sz w:val="20"/>
          <w:szCs w:val="20"/>
          <w:lang w:val="es-CR"/>
        </w:rPr>
        <w:t xml:space="preserve"> es responsable de</w:t>
      </w:r>
      <w:r w:rsidR="009851A6" w:rsidRPr="00BF4CDD">
        <w:rPr>
          <w:rFonts w:ascii="Verdana" w:hAnsi="Verdana"/>
          <w:sz w:val="20"/>
          <w:szCs w:val="20"/>
          <w:lang w:val="es-CR"/>
        </w:rPr>
        <w:t xml:space="preserve"> la violación a l</w:t>
      </w:r>
      <w:r w:rsidR="00187580" w:rsidRPr="00BF4CDD">
        <w:rPr>
          <w:rFonts w:ascii="Verdana" w:hAnsi="Verdana"/>
          <w:sz w:val="20"/>
          <w:szCs w:val="20"/>
          <w:lang w:val="es-CR"/>
        </w:rPr>
        <w:t>os derechos a l</w:t>
      </w:r>
      <w:r w:rsidR="009851A6" w:rsidRPr="00BF4CDD">
        <w:rPr>
          <w:rFonts w:ascii="Verdana" w:hAnsi="Verdana"/>
          <w:sz w:val="20"/>
          <w:szCs w:val="20"/>
          <w:lang w:val="es-CR"/>
        </w:rPr>
        <w:t>a integridad personal</w:t>
      </w:r>
      <w:r w:rsidR="00BF4CDD">
        <w:rPr>
          <w:rFonts w:ascii="Verdana" w:hAnsi="Verdana"/>
          <w:sz w:val="20"/>
          <w:szCs w:val="20"/>
          <w:lang w:val="es-CR"/>
        </w:rPr>
        <w:t xml:space="preserve">, así como a la protección judicial y a las garantías judiciales por la </w:t>
      </w:r>
      <w:r w:rsidR="00BF4CDD" w:rsidRPr="00BF4CDD">
        <w:rPr>
          <w:rFonts w:ascii="Verdana" w:hAnsi="Verdana"/>
          <w:sz w:val="20"/>
          <w:szCs w:val="20"/>
          <w:lang w:val="es-CR"/>
        </w:rPr>
        <w:t>falta de investigación y sanción de los hechos,</w:t>
      </w:r>
      <w:r w:rsidR="00187580" w:rsidRPr="00BF4CDD">
        <w:rPr>
          <w:rFonts w:ascii="Verdana" w:hAnsi="Verdana"/>
          <w:sz w:val="20"/>
          <w:szCs w:val="20"/>
          <w:lang w:val="es-CR"/>
        </w:rPr>
        <w:t xml:space="preserve"> en perjuicio de los familiares</w:t>
      </w:r>
      <w:r w:rsidR="00110AA5">
        <w:rPr>
          <w:rStyle w:val="Refdenotaalpie"/>
          <w:rFonts w:ascii="Verdana" w:hAnsi="Verdana"/>
          <w:sz w:val="20"/>
          <w:szCs w:val="20"/>
          <w:lang w:val="es-CR"/>
        </w:rPr>
        <w:footnoteReference w:id="2"/>
      </w:r>
      <w:r w:rsidR="00187580" w:rsidRPr="00BF4CDD">
        <w:rPr>
          <w:rFonts w:ascii="Verdana" w:hAnsi="Verdana"/>
          <w:sz w:val="20"/>
          <w:szCs w:val="20"/>
          <w:lang w:val="es-CR"/>
        </w:rPr>
        <w:t xml:space="preserve"> del señor Cantoral Huamaní y la señora García Santa Cruz</w:t>
      </w:r>
      <w:r w:rsidR="009851A6" w:rsidRPr="00BF4CDD">
        <w:rPr>
          <w:rFonts w:ascii="Verdana" w:hAnsi="Verdana"/>
          <w:sz w:val="20"/>
          <w:szCs w:val="20"/>
          <w:lang w:val="es-CR"/>
        </w:rPr>
        <w:t xml:space="preserve">. </w:t>
      </w:r>
      <w:r w:rsidR="001C4984" w:rsidRPr="002A4ADA">
        <w:rPr>
          <w:rFonts w:ascii="Verdana" w:hAnsi="Verdana"/>
          <w:sz w:val="20"/>
          <w:szCs w:val="20"/>
          <w:lang w:val="es-CR"/>
        </w:rPr>
        <w:t>La Corte estableció que su Sentencia constituye por sí misma una forma de reparación y</w:t>
      </w:r>
      <w:r w:rsidR="001C4984">
        <w:rPr>
          <w:rFonts w:ascii="Verdana" w:hAnsi="Verdana"/>
          <w:sz w:val="20"/>
          <w:szCs w:val="20"/>
          <w:lang w:val="es-CR"/>
        </w:rPr>
        <w:t xml:space="preserve">, adicionalmente, </w:t>
      </w:r>
      <w:r w:rsidR="001C4984" w:rsidRPr="002A4ADA">
        <w:rPr>
          <w:rFonts w:ascii="Verdana" w:hAnsi="Verdana"/>
          <w:sz w:val="20"/>
          <w:szCs w:val="20"/>
          <w:lang w:val="es-CR"/>
        </w:rPr>
        <w:t xml:space="preserve">ordenó al Estado </w:t>
      </w:r>
      <w:r w:rsidR="001C4984">
        <w:rPr>
          <w:rFonts w:ascii="Verdana" w:hAnsi="Verdana"/>
          <w:sz w:val="20"/>
          <w:szCs w:val="20"/>
          <w:lang w:val="es-CR"/>
        </w:rPr>
        <w:t>determinadas</w:t>
      </w:r>
      <w:r w:rsidR="001C4984" w:rsidRPr="002A4ADA">
        <w:rPr>
          <w:rFonts w:ascii="Verdana" w:hAnsi="Verdana"/>
          <w:sz w:val="20"/>
          <w:szCs w:val="20"/>
          <w:lang w:val="es-CR"/>
        </w:rPr>
        <w:t xml:space="preserve"> medidas de reparación (</w:t>
      </w:r>
      <w:r w:rsidR="001C4984" w:rsidRPr="002A4ADA">
        <w:rPr>
          <w:rFonts w:ascii="Verdana" w:hAnsi="Verdana"/>
          <w:i/>
          <w:sz w:val="20"/>
          <w:szCs w:val="20"/>
          <w:lang w:val="es-CR"/>
        </w:rPr>
        <w:t xml:space="preserve">infra </w:t>
      </w:r>
      <w:r w:rsidR="001C4984">
        <w:rPr>
          <w:rFonts w:ascii="Verdana" w:hAnsi="Verdana"/>
          <w:sz w:val="20"/>
          <w:szCs w:val="20"/>
          <w:lang w:val="es-CR"/>
        </w:rPr>
        <w:t>Considerando</w:t>
      </w:r>
      <w:r w:rsidR="00FF11E7">
        <w:rPr>
          <w:rFonts w:ascii="Verdana" w:hAnsi="Verdana"/>
          <w:sz w:val="20"/>
          <w:szCs w:val="20"/>
          <w:lang w:val="es-CR"/>
        </w:rPr>
        <w:t>s</w:t>
      </w:r>
      <w:r w:rsidR="001C4984">
        <w:rPr>
          <w:rFonts w:ascii="Verdana" w:hAnsi="Verdana"/>
          <w:sz w:val="20"/>
          <w:szCs w:val="20"/>
          <w:lang w:val="es-CR"/>
        </w:rPr>
        <w:t xml:space="preserve"> 1</w:t>
      </w:r>
      <w:r w:rsidR="00FF11E7">
        <w:rPr>
          <w:rFonts w:ascii="Verdana" w:hAnsi="Verdana"/>
          <w:sz w:val="20"/>
          <w:szCs w:val="20"/>
          <w:lang w:val="es-CR"/>
        </w:rPr>
        <w:t xml:space="preserve"> y 3</w:t>
      </w:r>
      <w:r w:rsidR="001C4984">
        <w:rPr>
          <w:rFonts w:ascii="Verdana" w:hAnsi="Verdana"/>
          <w:sz w:val="20"/>
          <w:szCs w:val="20"/>
          <w:lang w:val="es-CR"/>
        </w:rPr>
        <w:t>)</w:t>
      </w:r>
      <w:r w:rsidR="001C4984" w:rsidRPr="00740A14">
        <w:rPr>
          <w:rFonts w:ascii="Verdana" w:hAnsi="Verdana"/>
          <w:sz w:val="20"/>
          <w:szCs w:val="20"/>
          <w:lang w:val="es-CR"/>
        </w:rPr>
        <w:t>.</w:t>
      </w:r>
      <w:r w:rsidR="008D1D36" w:rsidRPr="00BF4CDD">
        <w:rPr>
          <w:rFonts w:ascii="Verdana" w:hAnsi="Verdana"/>
          <w:sz w:val="20"/>
          <w:szCs w:val="20"/>
          <w:lang w:val="es-CR"/>
        </w:rPr>
        <w:t xml:space="preserve"> </w:t>
      </w:r>
    </w:p>
    <w:p w:rsidR="004B6FAC" w:rsidRPr="00470338" w:rsidRDefault="004B6FAC" w:rsidP="007769DB">
      <w:pPr>
        <w:pStyle w:val="Listavistosa-nfasis1"/>
        <w:tabs>
          <w:tab w:val="left" w:pos="1716"/>
        </w:tabs>
        <w:spacing w:after="0" w:line="240" w:lineRule="auto"/>
        <w:ind w:left="0"/>
        <w:contextualSpacing w:val="0"/>
        <w:jc w:val="both"/>
        <w:rPr>
          <w:rFonts w:ascii="Verdana" w:hAnsi="Verdana"/>
          <w:color w:val="000000"/>
          <w:sz w:val="10"/>
          <w:szCs w:val="10"/>
          <w:shd w:val="clear" w:color="auto" w:fill="FFFFFF"/>
          <w:lang w:val="es-CR"/>
        </w:rPr>
      </w:pPr>
    </w:p>
    <w:p w:rsidR="004B6FAC" w:rsidRPr="00CC07CB" w:rsidRDefault="00FF7EEA" w:rsidP="00C223CF">
      <w:pPr>
        <w:pStyle w:val="Listavistosa-nfasis1"/>
        <w:numPr>
          <w:ilvl w:val="0"/>
          <w:numId w:val="1"/>
        </w:numPr>
        <w:spacing w:after="0" w:line="240" w:lineRule="auto"/>
        <w:ind w:left="0" w:firstLine="0"/>
        <w:contextualSpacing w:val="0"/>
        <w:jc w:val="both"/>
        <w:rPr>
          <w:rFonts w:ascii="Verdana" w:hAnsi="Verdana"/>
          <w:sz w:val="10"/>
          <w:szCs w:val="10"/>
          <w:lang w:val="es-CR"/>
        </w:rPr>
      </w:pPr>
      <w:r w:rsidRPr="00CC07CB">
        <w:rPr>
          <w:rFonts w:ascii="Verdana" w:eastAsia="Times New Roman" w:hAnsi="Verdana"/>
          <w:sz w:val="20"/>
          <w:lang w:val="es-CO"/>
        </w:rPr>
        <w:t xml:space="preserve">La </w:t>
      </w:r>
      <w:r w:rsidR="007769DB" w:rsidRPr="00CC07CB">
        <w:rPr>
          <w:rFonts w:ascii="Verdana" w:hAnsi="Verdana"/>
          <w:sz w:val="20"/>
          <w:lang w:val="es-MX"/>
        </w:rPr>
        <w:t>Sentencia</w:t>
      </w:r>
      <w:r w:rsidR="00A167F9" w:rsidRPr="00CC07CB">
        <w:rPr>
          <w:rFonts w:ascii="Verdana" w:hAnsi="Verdana"/>
          <w:sz w:val="20"/>
          <w:lang w:val="es-MX"/>
        </w:rPr>
        <w:t xml:space="preserve"> </w:t>
      </w:r>
      <w:r w:rsidRPr="00CC07CB">
        <w:rPr>
          <w:rFonts w:ascii="Verdana" w:eastAsia="Times New Roman" w:hAnsi="Verdana"/>
          <w:sz w:val="20"/>
          <w:lang w:val="es-CO"/>
        </w:rPr>
        <w:t xml:space="preserve">de interpretación </w:t>
      </w:r>
      <w:r w:rsidR="00A8278E" w:rsidRPr="00CC07CB">
        <w:rPr>
          <w:rFonts w:ascii="Verdana" w:eastAsia="Times New Roman" w:hAnsi="Verdana"/>
          <w:sz w:val="20"/>
          <w:lang w:val="es-CO"/>
        </w:rPr>
        <w:t xml:space="preserve">de la Sentencia de excepción preliminar, fondo, reparaciones y costas </w:t>
      </w:r>
      <w:r w:rsidRPr="00CC07CB">
        <w:rPr>
          <w:rFonts w:ascii="Verdana" w:eastAsia="Times New Roman" w:hAnsi="Verdana"/>
          <w:sz w:val="20"/>
          <w:lang w:val="es-CO"/>
        </w:rPr>
        <w:t xml:space="preserve">emitida por la Corte el </w:t>
      </w:r>
      <w:r w:rsidR="0034046E" w:rsidRPr="00CC07CB">
        <w:rPr>
          <w:rFonts w:ascii="Verdana" w:eastAsia="Times New Roman" w:hAnsi="Verdana"/>
          <w:sz w:val="20"/>
          <w:lang w:val="es-CO"/>
        </w:rPr>
        <w:t>28</w:t>
      </w:r>
      <w:r w:rsidRPr="00CC07CB">
        <w:rPr>
          <w:rFonts w:ascii="Verdana" w:eastAsia="Times New Roman" w:hAnsi="Verdana"/>
          <w:sz w:val="20"/>
          <w:lang w:val="es-CO"/>
        </w:rPr>
        <w:t xml:space="preserve"> de </w:t>
      </w:r>
      <w:r w:rsidR="0034046E" w:rsidRPr="00CC07CB">
        <w:rPr>
          <w:rFonts w:ascii="Verdana" w:eastAsia="Times New Roman" w:hAnsi="Verdana"/>
          <w:sz w:val="20"/>
          <w:lang w:val="es-CO"/>
        </w:rPr>
        <w:t xml:space="preserve">enero </w:t>
      </w:r>
      <w:r w:rsidRPr="00CC07CB">
        <w:rPr>
          <w:rFonts w:ascii="Verdana" w:eastAsia="Times New Roman" w:hAnsi="Verdana"/>
          <w:sz w:val="20"/>
          <w:lang w:val="es-CO"/>
        </w:rPr>
        <w:t xml:space="preserve">de </w:t>
      </w:r>
      <w:r w:rsidR="0034046E" w:rsidRPr="00CC07CB">
        <w:rPr>
          <w:rFonts w:ascii="Verdana" w:eastAsia="Times New Roman" w:hAnsi="Verdana"/>
          <w:sz w:val="20"/>
          <w:lang w:val="es-CO"/>
        </w:rPr>
        <w:t>2008</w:t>
      </w:r>
      <w:r>
        <w:rPr>
          <w:rStyle w:val="Refdenotaalpie"/>
          <w:rFonts w:ascii="Verdana" w:eastAsia="Times New Roman" w:hAnsi="Verdana"/>
          <w:sz w:val="20"/>
          <w:lang w:val="es-CO"/>
        </w:rPr>
        <w:footnoteReference w:id="3"/>
      </w:r>
      <w:r w:rsidRPr="00CC07CB">
        <w:rPr>
          <w:rFonts w:ascii="Verdana" w:eastAsia="Times New Roman" w:hAnsi="Verdana"/>
          <w:sz w:val="20"/>
          <w:lang w:val="es-CO"/>
        </w:rPr>
        <w:t xml:space="preserve">. </w:t>
      </w:r>
    </w:p>
    <w:p w:rsidR="00CC07CB" w:rsidRPr="00CC07CB" w:rsidRDefault="00CC07CB" w:rsidP="00CC07CB">
      <w:pPr>
        <w:pStyle w:val="Listavistosa-nfasis1"/>
        <w:spacing w:after="0" w:line="240" w:lineRule="auto"/>
        <w:ind w:left="0"/>
        <w:contextualSpacing w:val="0"/>
        <w:jc w:val="both"/>
        <w:rPr>
          <w:rFonts w:ascii="Verdana" w:hAnsi="Verdana"/>
          <w:sz w:val="10"/>
          <w:szCs w:val="10"/>
          <w:lang w:val="es-CR"/>
        </w:rPr>
      </w:pPr>
    </w:p>
    <w:p w:rsidR="006D19D6" w:rsidRPr="0070545A" w:rsidRDefault="005A1B3D" w:rsidP="004B6FAC">
      <w:pPr>
        <w:pStyle w:val="Listavistosa-nfasis1"/>
        <w:numPr>
          <w:ilvl w:val="0"/>
          <w:numId w:val="1"/>
        </w:numPr>
        <w:spacing w:after="0" w:line="240" w:lineRule="auto"/>
        <w:ind w:left="0" w:firstLine="0"/>
        <w:contextualSpacing w:val="0"/>
        <w:jc w:val="both"/>
        <w:rPr>
          <w:rFonts w:ascii="Verdana" w:hAnsi="Verdana"/>
          <w:sz w:val="20"/>
          <w:szCs w:val="20"/>
          <w:lang w:val="es-CR"/>
        </w:rPr>
      </w:pPr>
      <w:r w:rsidRPr="0070545A">
        <w:rPr>
          <w:rFonts w:ascii="Verdana" w:hAnsi="Verdana"/>
          <w:sz w:val="20"/>
          <w:szCs w:val="20"/>
          <w:lang w:val="es-CR"/>
        </w:rPr>
        <w:t>La</w:t>
      </w:r>
      <w:r w:rsidR="0070545A" w:rsidRPr="0070545A">
        <w:rPr>
          <w:rFonts w:ascii="Verdana" w:hAnsi="Verdana"/>
          <w:sz w:val="20"/>
          <w:szCs w:val="20"/>
          <w:lang w:val="es-CR"/>
        </w:rPr>
        <w:t>s</w:t>
      </w:r>
      <w:r w:rsidR="00943C43">
        <w:rPr>
          <w:rFonts w:ascii="Verdana" w:hAnsi="Verdana"/>
          <w:sz w:val="20"/>
          <w:szCs w:val="20"/>
          <w:lang w:val="es-CR"/>
        </w:rPr>
        <w:t xml:space="preserve"> tres</w:t>
      </w:r>
      <w:r w:rsidR="007874D5" w:rsidRPr="0070545A">
        <w:rPr>
          <w:rFonts w:ascii="Verdana" w:hAnsi="Verdana"/>
          <w:sz w:val="20"/>
          <w:szCs w:val="20"/>
          <w:lang w:val="es-CR"/>
        </w:rPr>
        <w:t xml:space="preserve"> </w:t>
      </w:r>
      <w:r w:rsidR="0070545A" w:rsidRPr="0070545A">
        <w:rPr>
          <w:rFonts w:ascii="Verdana" w:hAnsi="Verdana"/>
          <w:sz w:val="20"/>
          <w:szCs w:val="20"/>
          <w:lang w:val="es-CR"/>
        </w:rPr>
        <w:t>Resoluciones</w:t>
      </w:r>
      <w:r w:rsidRPr="0070545A">
        <w:rPr>
          <w:rFonts w:ascii="Verdana" w:hAnsi="Verdana"/>
          <w:sz w:val="20"/>
          <w:szCs w:val="20"/>
          <w:lang w:val="es-CR"/>
        </w:rPr>
        <w:t xml:space="preserve"> de supervisión de cumplimiento de</w:t>
      </w:r>
      <w:r w:rsidR="00157974" w:rsidRPr="0070545A">
        <w:rPr>
          <w:rFonts w:ascii="Verdana" w:hAnsi="Verdana"/>
          <w:sz w:val="20"/>
          <w:szCs w:val="20"/>
          <w:lang w:val="es-CR"/>
        </w:rPr>
        <w:t xml:space="preserve"> s</w:t>
      </w:r>
      <w:r w:rsidRPr="0070545A">
        <w:rPr>
          <w:rFonts w:ascii="Verdana" w:hAnsi="Verdana"/>
          <w:sz w:val="20"/>
          <w:szCs w:val="20"/>
          <w:lang w:val="es-CR"/>
        </w:rPr>
        <w:t>entencia emitida</w:t>
      </w:r>
      <w:r w:rsidR="0070545A" w:rsidRPr="0070545A">
        <w:rPr>
          <w:rFonts w:ascii="Verdana" w:hAnsi="Verdana"/>
          <w:sz w:val="20"/>
          <w:szCs w:val="20"/>
          <w:lang w:val="es-CR"/>
        </w:rPr>
        <w:t>s los días 28 de abril de 2009, 21 de septiembre de 2009 y 22 de febrero de 2011</w:t>
      </w:r>
      <w:r w:rsidR="0070545A" w:rsidRPr="0070545A">
        <w:rPr>
          <w:rStyle w:val="Refdenotaalpie"/>
          <w:rFonts w:ascii="Verdana" w:hAnsi="Verdana"/>
          <w:sz w:val="20"/>
          <w:szCs w:val="20"/>
          <w:lang w:val="es-CR"/>
        </w:rPr>
        <w:footnoteReference w:id="4"/>
      </w:r>
      <w:r w:rsidR="0070545A" w:rsidRPr="0070545A">
        <w:rPr>
          <w:rFonts w:ascii="Verdana" w:hAnsi="Verdana"/>
          <w:sz w:val="20"/>
          <w:szCs w:val="20"/>
          <w:lang w:val="es-CR"/>
        </w:rPr>
        <w:t>.</w:t>
      </w:r>
      <w:r w:rsidRPr="0070545A">
        <w:rPr>
          <w:rFonts w:ascii="Verdana" w:hAnsi="Verdana"/>
          <w:sz w:val="20"/>
          <w:szCs w:val="20"/>
          <w:lang w:val="es-CR"/>
        </w:rPr>
        <w:t xml:space="preserve"> </w:t>
      </w:r>
    </w:p>
    <w:p w:rsidR="004B6FAC" w:rsidRPr="00470338" w:rsidRDefault="004B6FAC" w:rsidP="004B6FAC">
      <w:pPr>
        <w:pStyle w:val="Listavistosa-nfasis1"/>
        <w:spacing w:after="0" w:line="240" w:lineRule="auto"/>
        <w:ind w:left="0"/>
        <w:contextualSpacing w:val="0"/>
        <w:jc w:val="both"/>
        <w:rPr>
          <w:rFonts w:ascii="Verdana" w:hAnsi="Verdana"/>
          <w:sz w:val="10"/>
          <w:szCs w:val="10"/>
          <w:lang w:val="es-CR"/>
        </w:rPr>
      </w:pPr>
    </w:p>
    <w:p w:rsidR="00492EAF" w:rsidRPr="00E410FD" w:rsidRDefault="00492EAF" w:rsidP="004B6FAC">
      <w:pPr>
        <w:pStyle w:val="Listavistosa-nfasis1"/>
        <w:numPr>
          <w:ilvl w:val="0"/>
          <w:numId w:val="1"/>
        </w:numPr>
        <w:spacing w:after="0" w:line="240" w:lineRule="auto"/>
        <w:ind w:left="0" w:firstLine="0"/>
        <w:contextualSpacing w:val="0"/>
        <w:jc w:val="both"/>
        <w:rPr>
          <w:rFonts w:ascii="Verdana" w:hAnsi="Verdana"/>
          <w:color w:val="000000"/>
          <w:sz w:val="20"/>
          <w:szCs w:val="20"/>
          <w:shd w:val="clear" w:color="auto" w:fill="FFFFFF"/>
          <w:lang w:val="es-CR"/>
        </w:rPr>
      </w:pPr>
      <w:r>
        <w:rPr>
          <w:rFonts w:ascii="Verdana" w:hAnsi="Verdana"/>
          <w:sz w:val="20"/>
          <w:lang w:val="es-CR"/>
        </w:rPr>
        <w:t>Los informes presentados por el Estado ent</w:t>
      </w:r>
      <w:r w:rsidR="00475A3E">
        <w:rPr>
          <w:rFonts w:ascii="Verdana" w:hAnsi="Verdana"/>
          <w:sz w:val="20"/>
          <w:lang w:val="es-CR"/>
        </w:rPr>
        <w:t>re agosto de 2011 y agosto de 2018</w:t>
      </w:r>
      <w:r>
        <w:rPr>
          <w:rFonts w:ascii="Verdana" w:hAnsi="Verdana"/>
          <w:sz w:val="20"/>
          <w:lang w:val="es-CR"/>
        </w:rPr>
        <w:t xml:space="preserve">. </w:t>
      </w:r>
    </w:p>
    <w:p w:rsidR="004B6FAC" w:rsidRPr="00470338" w:rsidRDefault="004B6FAC" w:rsidP="004B6FAC">
      <w:pPr>
        <w:pStyle w:val="Listavistosa-nfasis1"/>
        <w:spacing w:after="0" w:line="240" w:lineRule="auto"/>
        <w:ind w:left="0"/>
        <w:contextualSpacing w:val="0"/>
        <w:jc w:val="both"/>
        <w:rPr>
          <w:rFonts w:ascii="Verdana" w:hAnsi="Verdana"/>
          <w:color w:val="000000"/>
          <w:sz w:val="10"/>
          <w:szCs w:val="10"/>
          <w:shd w:val="clear" w:color="auto" w:fill="FFFFFF"/>
          <w:lang w:val="es-CR"/>
        </w:rPr>
      </w:pPr>
    </w:p>
    <w:p w:rsidR="00E96F7A" w:rsidRPr="009B4B9D" w:rsidRDefault="00E96F7A" w:rsidP="004B6FAC">
      <w:pPr>
        <w:pStyle w:val="Listavistosa-nfasis1"/>
        <w:numPr>
          <w:ilvl w:val="0"/>
          <w:numId w:val="1"/>
        </w:numPr>
        <w:spacing w:after="0" w:line="240" w:lineRule="auto"/>
        <w:ind w:left="0" w:firstLine="0"/>
        <w:contextualSpacing w:val="0"/>
        <w:jc w:val="both"/>
        <w:rPr>
          <w:rFonts w:ascii="Verdana" w:hAnsi="Verdana"/>
          <w:color w:val="000000"/>
          <w:sz w:val="20"/>
          <w:szCs w:val="20"/>
          <w:shd w:val="clear" w:color="auto" w:fill="FFFFFF"/>
          <w:lang w:val="es-CR"/>
        </w:rPr>
      </w:pPr>
      <w:r w:rsidRPr="009B4B9D">
        <w:rPr>
          <w:rFonts w:ascii="Verdana" w:hAnsi="Verdana"/>
          <w:color w:val="000000"/>
          <w:sz w:val="20"/>
          <w:szCs w:val="20"/>
          <w:shd w:val="clear" w:color="auto" w:fill="FFFFFF"/>
          <w:lang w:val="es-CR"/>
        </w:rPr>
        <w:t xml:space="preserve">Los escritos de observaciones presentados por </w:t>
      </w:r>
      <w:r w:rsidR="00492EAF">
        <w:rPr>
          <w:rFonts w:ascii="Verdana" w:hAnsi="Verdana"/>
          <w:color w:val="000000"/>
          <w:sz w:val="20"/>
          <w:szCs w:val="20"/>
          <w:shd w:val="clear" w:color="auto" w:fill="FFFFFF"/>
          <w:lang w:val="es-CR"/>
        </w:rPr>
        <w:t>los</w:t>
      </w:r>
      <w:r w:rsidRPr="009B4B9D">
        <w:rPr>
          <w:rFonts w:ascii="Verdana" w:hAnsi="Verdana"/>
          <w:color w:val="000000"/>
          <w:sz w:val="20"/>
          <w:szCs w:val="20"/>
          <w:shd w:val="clear" w:color="auto" w:fill="FFFFFF"/>
          <w:lang w:val="es-CR"/>
        </w:rPr>
        <w:t xml:space="preserve"> representante</w:t>
      </w:r>
      <w:r w:rsidR="00492EAF">
        <w:rPr>
          <w:rFonts w:ascii="Verdana" w:hAnsi="Verdana"/>
          <w:color w:val="000000"/>
          <w:sz w:val="20"/>
          <w:szCs w:val="20"/>
          <w:shd w:val="clear" w:color="auto" w:fill="FFFFFF"/>
          <w:lang w:val="es-CR"/>
        </w:rPr>
        <w:t>s</w:t>
      </w:r>
      <w:r w:rsidRPr="009B4B9D">
        <w:rPr>
          <w:rFonts w:ascii="Verdana" w:hAnsi="Verdana"/>
          <w:color w:val="000000"/>
          <w:sz w:val="20"/>
          <w:szCs w:val="20"/>
          <w:shd w:val="clear" w:color="auto" w:fill="FFFFFF"/>
          <w:lang w:val="es-CR"/>
        </w:rPr>
        <w:t xml:space="preserve"> de la</w:t>
      </w:r>
      <w:r w:rsidR="00492EAF">
        <w:rPr>
          <w:rFonts w:ascii="Verdana" w:hAnsi="Verdana"/>
          <w:color w:val="000000"/>
          <w:sz w:val="20"/>
          <w:szCs w:val="20"/>
          <w:shd w:val="clear" w:color="auto" w:fill="FFFFFF"/>
          <w:lang w:val="es-CR"/>
        </w:rPr>
        <w:t>s</w:t>
      </w:r>
      <w:r w:rsidRPr="009B4B9D">
        <w:rPr>
          <w:rFonts w:ascii="Verdana" w:hAnsi="Verdana"/>
          <w:color w:val="000000"/>
          <w:sz w:val="20"/>
          <w:szCs w:val="20"/>
          <w:shd w:val="clear" w:color="auto" w:fill="FFFFFF"/>
          <w:lang w:val="es-CR"/>
        </w:rPr>
        <w:t xml:space="preserve"> víctima</w:t>
      </w:r>
      <w:r w:rsidR="00492EAF">
        <w:rPr>
          <w:rFonts w:ascii="Verdana" w:hAnsi="Verdana"/>
          <w:color w:val="000000"/>
          <w:sz w:val="20"/>
          <w:szCs w:val="20"/>
          <w:shd w:val="clear" w:color="auto" w:fill="FFFFFF"/>
          <w:lang w:val="es-CR"/>
        </w:rPr>
        <w:t xml:space="preserve">s </w:t>
      </w:r>
      <w:r w:rsidRPr="009B4B9D">
        <w:rPr>
          <w:rFonts w:ascii="Verdana" w:hAnsi="Verdana"/>
          <w:color w:val="000000"/>
          <w:sz w:val="20"/>
          <w:szCs w:val="20"/>
          <w:shd w:val="clear" w:color="auto" w:fill="FFFFFF"/>
          <w:lang w:val="es-CR"/>
        </w:rPr>
        <w:t xml:space="preserve">(en adelante </w:t>
      </w:r>
      <w:r w:rsidR="00492EAF">
        <w:rPr>
          <w:rFonts w:ascii="Verdana" w:hAnsi="Verdana"/>
          <w:color w:val="000000"/>
          <w:sz w:val="20"/>
          <w:szCs w:val="20"/>
          <w:shd w:val="clear" w:color="auto" w:fill="FFFFFF"/>
          <w:lang w:val="es-CR"/>
        </w:rPr>
        <w:t>“los</w:t>
      </w:r>
      <w:r w:rsidRPr="009B4B9D">
        <w:rPr>
          <w:rFonts w:ascii="Verdana" w:hAnsi="Verdana"/>
          <w:color w:val="000000"/>
          <w:sz w:val="20"/>
          <w:szCs w:val="20"/>
          <w:shd w:val="clear" w:color="auto" w:fill="FFFFFF"/>
          <w:lang w:val="es-CR"/>
        </w:rPr>
        <w:t xml:space="preserve"> representantes”)</w:t>
      </w:r>
      <w:r w:rsidRPr="009B4B9D">
        <w:rPr>
          <w:rStyle w:val="Refdenotaalpie"/>
          <w:rFonts w:ascii="Verdana" w:hAnsi="Verdana"/>
          <w:color w:val="000000"/>
          <w:sz w:val="20"/>
          <w:szCs w:val="20"/>
          <w:shd w:val="clear" w:color="auto" w:fill="FFFFFF"/>
          <w:lang w:val="es-CR"/>
        </w:rPr>
        <w:footnoteReference w:id="5"/>
      </w:r>
      <w:r w:rsidRPr="009B4B9D">
        <w:rPr>
          <w:rFonts w:ascii="Verdana" w:hAnsi="Verdana"/>
          <w:color w:val="000000"/>
          <w:sz w:val="20"/>
          <w:szCs w:val="20"/>
          <w:shd w:val="clear" w:color="auto" w:fill="FFFFFF"/>
          <w:lang w:val="es-CR"/>
        </w:rPr>
        <w:t xml:space="preserve"> entre </w:t>
      </w:r>
      <w:r w:rsidR="00492EAF">
        <w:rPr>
          <w:rFonts w:ascii="Verdana" w:hAnsi="Verdana"/>
          <w:sz w:val="20"/>
          <w:lang w:val="es-CR"/>
        </w:rPr>
        <w:t>noviembre</w:t>
      </w:r>
      <w:r w:rsidR="00072210">
        <w:rPr>
          <w:rFonts w:ascii="Verdana" w:hAnsi="Verdana"/>
          <w:sz w:val="20"/>
          <w:lang w:val="es-CR"/>
        </w:rPr>
        <w:t xml:space="preserve"> de </w:t>
      </w:r>
      <w:r w:rsidR="00492EAF">
        <w:rPr>
          <w:rFonts w:ascii="Verdana" w:hAnsi="Verdana"/>
          <w:sz w:val="20"/>
          <w:lang w:val="es-CR"/>
        </w:rPr>
        <w:t>2011</w:t>
      </w:r>
      <w:r w:rsidR="00072210">
        <w:rPr>
          <w:rFonts w:ascii="Verdana" w:hAnsi="Verdana"/>
          <w:sz w:val="20"/>
          <w:lang w:val="es-CR"/>
        </w:rPr>
        <w:t xml:space="preserve"> y </w:t>
      </w:r>
      <w:r w:rsidR="00492EAF">
        <w:rPr>
          <w:rFonts w:ascii="Verdana" w:hAnsi="Verdana"/>
          <w:sz w:val="20"/>
          <w:lang w:val="es-CR"/>
        </w:rPr>
        <w:t>enero</w:t>
      </w:r>
      <w:r w:rsidR="00072210">
        <w:rPr>
          <w:rFonts w:ascii="Verdana" w:hAnsi="Verdana"/>
          <w:sz w:val="20"/>
          <w:lang w:val="es-CR"/>
        </w:rPr>
        <w:t xml:space="preserve"> de </w:t>
      </w:r>
      <w:r w:rsidR="00492EAF">
        <w:rPr>
          <w:rFonts w:ascii="Verdana" w:hAnsi="Verdana"/>
          <w:sz w:val="20"/>
          <w:lang w:val="es-CR"/>
        </w:rPr>
        <w:t>2017</w:t>
      </w:r>
      <w:r w:rsidRPr="009B4B9D">
        <w:rPr>
          <w:rFonts w:ascii="Verdana" w:hAnsi="Verdana"/>
          <w:color w:val="000000"/>
          <w:sz w:val="20"/>
          <w:szCs w:val="20"/>
          <w:shd w:val="clear" w:color="auto" w:fill="FFFFFF"/>
          <w:lang w:val="es-CR"/>
        </w:rPr>
        <w:t>.</w:t>
      </w:r>
    </w:p>
    <w:p w:rsidR="004B6FAC" w:rsidRPr="00470338" w:rsidRDefault="004B6FAC" w:rsidP="004B6FAC">
      <w:pPr>
        <w:pStyle w:val="Listavistosa-nfasis1"/>
        <w:spacing w:after="0" w:line="240" w:lineRule="auto"/>
        <w:ind w:left="0"/>
        <w:contextualSpacing w:val="0"/>
        <w:jc w:val="both"/>
        <w:rPr>
          <w:rFonts w:ascii="Verdana" w:hAnsi="Verdana"/>
          <w:color w:val="000000"/>
          <w:sz w:val="10"/>
          <w:szCs w:val="10"/>
          <w:shd w:val="clear" w:color="auto" w:fill="FFFFFF"/>
          <w:lang w:val="es-CR"/>
        </w:rPr>
      </w:pPr>
    </w:p>
    <w:p w:rsidR="00F90AD1" w:rsidRDefault="00E96F7A" w:rsidP="004B6FAC">
      <w:pPr>
        <w:pStyle w:val="Listavistosa-nfasis1"/>
        <w:numPr>
          <w:ilvl w:val="0"/>
          <w:numId w:val="1"/>
        </w:numPr>
        <w:spacing w:after="0" w:line="240" w:lineRule="auto"/>
        <w:ind w:left="0" w:firstLine="0"/>
        <w:contextualSpacing w:val="0"/>
        <w:jc w:val="both"/>
        <w:rPr>
          <w:rFonts w:ascii="Verdana" w:hAnsi="Verdana"/>
          <w:color w:val="000000"/>
          <w:sz w:val="20"/>
          <w:szCs w:val="20"/>
          <w:shd w:val="clear" w:color="auto" w:fill="FFFFFF"/>
          <w:lang w:val="es-CR"/>
        </w:rPr>
      </w:pPr>
      <w:r w:rsidRPr="009B4B9D">
        <w:rPr>
          <w:rFonts w:ascii="Verdana" w:hAnsi="Verdana"/>
          <w:color w:val="000000"/>
          <w:sz w:val="20"/>
          <w:szCs w:val="20"/>
          <w:shd w:val="clear" w:color="auto" w:fill="FFFFFF"/>
          <w:lang w:val="es-CR"/>
        </w:rPr>
        <w:lastRenderedPageBreak/>
        <w:t xml:space="preserve">Los </w:t>
      </w:r>
      <w:r w:rsidR="00F90AD1" w:rsidRPr="009B4B9D">
        <w:rPr>
          <w:rFonts w:ascii="Verdana" w:hAnsi="Verdana"/>
          <w:color w:val="000000"/>
          <w:sz w:val="20"/>
          <w:szCs w:val="20"/>
          <w:shd w:val="clear" w:color="auto" w:fill="FFFFFF"/>
          <w:lang w:val="es-CR"/>
        </w:rPr>
        <w:t>escrito</w:t>
      </w:r>
      <w:r w:rsidRPr="009B4B9D">
        <w:rPr>
          <w:rFonts w:ascii="Verdana" w:hAnsi="Verdana"/>
          <w:color w:val="000000"/>
          <w:sz w:val="20"/>
          <w:szCs w:val="20"/>
          <w:shd w:val="clear" w:color="auto" w:fill="FFFFFF"/>
          <w:lang w:val="es-CR"/>
        </w:rPr>
        <w:t>s</w:t>
      </w:r>
      <w:r w:rsidR="00F90AD1" w:rsidRPr="009B4B9D">
        <w:rPr>
          <w:rFonts w:ascii="Verdana" w:hAnsi="Verdana"/>
          <w:color w:val="000000"/>
          <w:sz w:val="20"/>
          <w:szCs w:val="20"/>
          <w:shd w:val="clear" w:color="auto" w:fill="FFFFFF"/>
          <w:lang w:val="es-CR"/>
        </w:rPr>
        <w:t xml:space="preserve"> de observaciones presentado</w:t>
      </w:r>
      <w:r w:rsidRPr="009B4B9D">
        <w:rPr>
          <w:rFonts w:ascii="Verdana" w:hAnsi="Verdana"/>
          <w:color w:val="000000"/>
          <w:sz w:val="20"/>
          <w:szCs w:val="20"/>
          <w:shd w:val="clear" w:color="auto" w:fill="FFFFFF"/>
          <w:lang w:val="es-CR"/>
        </w:rPr>
        <w:t>s</w:t>
      </w:r>
      <w:r w:rsidR="00F90AD1" w:rsidRPr="009B4B9D">
        <w:rPr>
          <w:rFonts w:ascii="Verdana" w:hAnsi="Verdana"/>
          <w:color w:val="000000"/>
          <w:sz w:val="20"/>
          <w:szCs w:val="20"/>
          <w:shd w:val="clear" w:color="auto" w:fill="FFFFFF"/>
          <w:lang w:val="es-CR"/>
        </w:rPr>
        <w:t xml:space="preserve"> por la Comisión Interamericana de Derechos Humanos (en adelante “la Comisión</w:t>
      </w:r>
      <w:r w:rsidR="00157974" w:rsidRPr="009B4B9D">
        <w:rPr>
          <w:rFonts w:ascii="Verdana" w:hAnsi="Verdana"/>
          <w:color w:val="000000"/>
          <w:sz w:val="20"/>
          <w:szCs w:val="20"/>
          <w:shd w:val="clear" w:color="auto" w:fill="FFFFFF"/>
          <w:lang w:val="es-CR"/>
        </w:rPr>
        <w:t xml:space="preserve"> Interamericana</w:t>
      </w:r>
      <w:r w:rsidR="00F90AD1" w:rsidRPr="009B4B9D">
        <w:rPr>
          <w:rFonts w:ascii="Verdana" w:hAnsi="Verdana"/>
          <w:color w:val="000000"/>
          <w:sz w:val="20"/>
          <w:szCs w:val="20"/>
          <w:shd w:val="clear" w:color="auto" w:fill="FFFFFF"/>
          <w:lang w:val="es-CR"/>
        </w:rPr>
        <w:t>”</w:t>
      </w:r>
      <w:r w:rsidR="00157974" w:rsidRPr="009B4B9D">
        <w:rPr>
          <w:rFonts w:ascii="Verdana" w:hAnsi="Verdana"/>
          <w:color w:val="000000"/>
          <w:sz w:val="20"/>
          <w:szCs w:val="20"/>
          <w:shd w:val="clear" w:color="auto" w:fill="FFFFFF"/>
          <w:lang w:val="es-CR"/>
        </w:rPr>
        <w:t xml:space="preserve"> o “la Comisión”</w:t>
      </w:r>
      <w:r w:rsidR="0072546D" w:rsidRPr="009B4B9D">
        <w:rPr>
          <w:rFonts w:ascii="Verdana" w:hAnsi="Verdana"/>
          <w:color w:val="000000"/>
          <w:sz w:val="20"/>
          <w:szCs w:val="20"/>
          <w:shd w:val="clear" w:color="auto" w:fill="FFFFFF"/>
          <w:lang w:val="es-CR"/>
        </w:rPr>
        <w:t xml:space="preserve">) </w:t>
      </w:r>
      <w:r w:rsidR="00072210" w:rsidRPr="009B4B9D">
        <w:rPr>
          <w:rFonts w:ascii="Verdana" w:hAnsi="Verdana"/>
          <w:color w:val="000000"/>
          <w:sz w:val="20"/>
          <w:szCs w:val="20"/>
          <w:shd w:val="clear" w:color="auto" w:fill="FFFFFF"/>
          <w:lang w:val="es-CR"/>
        </w:rPr>
        <w:t xml:space="preserve">entre </w:t>
      </w:r>
      <w:r w:rsidR="00492EAF">
        <w:rPr>
          <w:rFonts w:ascii="Verdana" w:hAnsi="Verdana"/>
          <w:color w:val="000000"/>
          <w:sz w:val="20"/>
          <w:szCs w:val="20"/>
          <w:shd w:val="clear" w:color="auto" w:fill="FFFFFF"/>
          <w:lang w:val="es-CR"/>
        </w:rPr>
        <w:t>octubre</w:t>
      </w:r>
      <w:r w:rsidR="00072210">
        <w:rPr>
          <w:rFonts w:ascii="Verdana" w:hAnsi="Verdana"/>
          <w:sz w:val="20"/>
          <w:lang w:val="es-CR"/>
        </w:rPr>
        <w:t xml:space="preserve"> de </w:t>
      </w:r>
      <w:r w:rsidR="00492EAF">
        <w:rPr>
          <w:rFonts w:ascii="Verdana" w:hAnsi="Verdana"/>
          <w:sz w:val="20"/>
          <w:lang w:val="es-CR"/>
        </w:rPr>
        <w:t>2011</w:t>
      </w:r>
      <w:r w:rsidR="00072210">
        <w:rPr>
          <w:rFonts w:ascii="Verdana" w:hAnsi="Verdana"/>
          <w:sz w:val="20"/>
          <w:lang w:val="es-CR"/>
        </w:rPr>
        <w:t xml:space="preserve"> y </w:t>
      </w:r>
      <w:r w:rsidR="00127E72">
        <w:rPr>
          <w:rFonts w:ascii="Verdana" w:hAnsi="Verdana"/>
          <w:sz w:val="20"/>
          <w:lang w:val="es-CR"/>
        </w:rPr>
        <w:t>diciembre de 2018</w:t>
      </w:r>
      <w:r w:rsidR="00072210" w:rsidRPr="009B4B9D">
        <w:rPr>
          <w:rFonts w:ascii="Verdana" w:hAnsi="Verdana"/>
          <w:color w:val="000000"/>
          <w:sz w:val="20"/>
          <w:szCs w:val="20"/>
          <w:shd w:val="clear" w:color="auto" w:fill="FFFFFF"/>
          <w:lang w:val="es-CR"/>
        </w:rPr>
        <w:t>.</w:t>
      </w:r>
    </w:p>
    <w:p w:rsidR="0070545A" w:rsidRDefault="0070545A" w:rsidP="004B6FAC">
      <w:pPr>
        <w:spacing w:after="0" w:line="240" w:lineRule="auto"/>
        <w:jc w:val="both"/>
        <w:rPr>
          <w:rFonts w:ascii="Verdana" w:hAnsi="Verdana"/>
          <w:b/>
          <w:sz w:val="14"/>
          <w:szCs w:val="14"/>
          <w:lang w:val="es-CR"/>
        </w:rPr>
      </w:pPr>
    </w:p>
    <w:p w:rsidR="000F6413" w:rsidRPr="00470338" w:rsidRDefault="000F6413" w:rsidP="004B6FAC">
      <w:pPr>
        <w:spacing w:after="0" w:line="240" w:lineRule="auto"/>
        <w:jc w:val="both"/>
        <w:rPr>
          <w:rFonts w:ascii="Verdana" w:hAnsi="Verdana"/>
          <w:b/>
          <w:sz w:val="14"/>
          <w:szCs w:val="14"/>
          <w:lang w:val="es-CR"/>
        </w:rPr>
      </w:pPr>
    </w:p>
    <w:p w:rsidR="00253240" w:rsidRPr="009B4B9D" w:rsidRDefault="005921C0" w:rsidP="004B6FAC">
      <w:pPr>
        <w:spacing w:after="0" w:line="240" w:lineRule="auto"/>
        <w:jc w:val="both"/>
        <w:rPr>
          <w:rFonts w:ascii="Verdana" w:hAnsi="Verdana"/>
          <w:b/>
          <w:sz w:val="20"/>
          <w:lang w:val="es-MX"/>
        </w:rPr>
      </w:pPr>
      <w:r w:rsidRPr="009B4B9D">
        <w:rPr>
          <w:rFonts w:ascii="Verdana" w:hAnsi="Verdana"/>
          <w:b/>
          <w:sz w:val="20"/>
          <w:szCs w:val="20"/>
          <w:lang w:val="es-CR"/>
        </w:rPr>
        <w:t>C</w:t>
      </w:r>
      <w:r w:rsidR="008F5FD0" w:rsidRPr="009B4B9D">
        <w:rPr>
          <w:rFonts w:ascii="Verdana" w:hAnsi="Verdana"/>
          <w:b/>
          <w:sz w:val="20"/>
          <w:lang w:val="es-MX"/>
        </w:rPr>
        <w:t xml:space="preserve">ONSIDERANDO QUE: </w:t>
      </w:r>
    </w:p>
    <w:p w:rsidR="004B6FAC" w:rsidRDefault="004B6FAC" w:rsidP="004B6FAC">
      <w:pPr>
        <w:pStyle w:val="Listavistosa-nfasis1"/>
        <w:spacing w:after="0" w:line="240" w:lineRule="auto"/>
        <w:ind w:left="0"/>
        <w:contextualSpacing w:val="0"/>
        <w:jc w:val="both"/>
        <w:rPr>
          <w:rFonts w:ascii="Verdana" w:hAnsi="Verdana"/>
          <w:b/>
          <w:sz w:val="14"/>
          <w:szCs w:val="14"/>
          <w:lang w:val="es-MX"/>
        </w:rPr>
      </w:pPr>
    </w:p>
    <w:p w:rsidR="000F6413" w:rsidRPr="00470338" w:rsidRDefault="000F6413" w:rsidP="004B6FAC">
      <w:pPr>
        <w:pStyle w:val="Listavistosa-nfasis1"/>
        <w:spacing w:after="0" w:line="240" w:lineRule="auto"/>
        <w:ind w:left="0"/>
        <w:contextualSpacing w:val="0"/>
        <w:jc w:val="both"/>
        <w:rPr>
          <w:rFonts w:ascii="Verdana" w:hAnsi="Verdana"/>
          <w:b/>
          <w:sz w:val="14"/>
          <w:szCs w:val="14"/>
          <w:lang w:val="es-MX"/>
        </w:rPr>
      </w:pPr>
    </w:p>
    <w:p w:rsidR="00F6245B" w:rsidRDefault="008F5FD0" w:rsidP="00F6245B">
      <w:pPr>
        <w:pStyle w:val="Listavistosa-nfasis1"/>
        <w:numPr>
          <w:ilvl w:val="0"/>
          <w:numId w:val="6"/>
        </w:numPr>
        <w:spacing w:after="0" w:line="240" w:lineRule="auto"/>
        <w:ind w:left="0" w:firstLine="0"/>
        <w:contextualSpacing w:val="0"/>
        <w:jc w:val="both"/>
        <w:rPr>
          <w:rFonts w:ascii="Verdana" w:hAnsi="Verdana"/>
          <w:b/>
          <w:sz w:val="20"/>
          <w:lang w:val="es-MX"/>
        </w:rPr>
      </w:pPr>
      <w:r w:rsidRPr="00187008">
        <w:rPr>
          <w:rFonts w:ascii="Verdana" w:hAnsi="Verdana"/>
          <w:sz w:val="20"/>
          <w:lang w:val="es-CR"/>
        </w:rPr>
        <w:t xml:space="preserve">En el ejercicio de </w:t>
      </w:r>
      <w:r w:rsidRPr="00187008">
        <w:rPr>
          <w:rFonts w:ascii="Verdana" w:hAnsi="Verdana"/>
          <w:sz w:val="20"/>
          <w:lang w:val="es-ES"/>
        </w:rPr>
        <w:t xml:space="preserve">su función jurisdiccional de </w:t>
      </w:r>
      <w:r w:rsidRPr="00187008">
        <w:rPr>
          <w:rFonts w:ascii="Verdana" w:hAnsi="Verdana"/>
          <w:sz w:val="20"/>
          <w:lang w:val="es-CR"/>
        </w:rPr>
        <w:t>supervisar el cumplimiento de sus decisiones</w:t>
      </w:r>
      <w:r w:rsidRPr="009B4B9D">
        <w:rPr>
          <w:rStyle w:val="Refdenotaalpie"/>
          <w:rFonts w:ascii="Verdana" w:hAnsi="Verdana"/>
          <w:sz w:val="20"/>
        </w:rPr>
        <w:footnoteReference w:id="6"/>
      </w:r>
      <w:r w:rsidRPr="00187008">
        <w:rPr>
          <w:rFonts w:ascii="Verdana" w:hAnsi="Verdana"/>
          <w:sz w:val="20"/>
          <w:lang w:val="es-CR"/>
        </w:rPr>
        <w:t xml:space="preserve">, la Corte ha venido </w:t>
      </w:r>
      <w:r w:rsidR="00253240" w:rsidRPr="00187008">
        <w:rPr>
          <w:rFonts w:ascii="Verdana" w:hAnsi="Verdana"/>
          <w:sz w:val="20"/>
          <w:lang w:val="es-CR"/>
        </w:rPr>
        <w:t>supervisando</w:t>
      </w:r>
      <w:r w:rsidRPr="00187008">
        <w:rPr>
          <w:rFonts w:ascii="Verdana" w:hAnsi="Verdana"/>
          <w:sz w:val="20"/>
          <w:lang w:val="es-CR"/>
        </w:rPr>
        <w:t xml:space="preserve"> la ejecución de la Sentencia emitida </w:t>
      </w:r>
      <w:r w:rsidR="00187008" w:rsidRPr="00187008">
        <w:rPr>
          <w:rFonts w:ascii="Verdana" w:hAnsi="Verdana"/>
          <w:sz w:val="20"/>
          <w:lang w:val="es-MX"/>
        </w:rPr>
        <w:t>hace</w:t>
      </w:r>
      <w:r w:rsidR="00885581">
        <w:rPr>
          <w:rFonts w:ascii="Verdana" w:hAnsi="Verdana"/>
          <w:sz w:val="20"/>
          <w:lang w:val="es-MX"/>
        </w:rPr>
        <w:t xml:space="preserve"> más de</w:t>
      </w:r>
      <w:r w:rsidR="00187008" w:rsidRPr="00187008">
        <w:rPr>
          <w:rFonts w:ascii="Verdana" w:hAnsi="Verdana"/>
          <w:sz w:val="20"/>
          <w:lang w:val="es-MX"/>
        </w:rPr>
        <w:t xml:space="preserve"> </w:t>
      </w:r>
      <w:r w:rsidR="008C2CC6">
        <w:rPr>
          <w:rFonts w:ascii="Verdana" w:hAnsi="Verdana"/>
          <w:sz w:val="20"/>
          <w:lang w:val="es-MX"/>
        </w:rPr>
        <w:t>11</w:t>
      </w:r>
      <w:r w:rsidR="00187008" w:rsidRPr="00187008">
        <w:rPr>
          <w:rFonts w:ascii="Verdana" w:hAnsi="Verdana"/>
          <w:sz w:val="20"/>
          <w:lang w:val="es-MX"/>
        </w:rPr>
        <w:t xml:space="preserve"> años</w:t>
      </w:r>
      <w:r w:rsidR="00975B02" w:rsidRPr="00187008">
        <w:rPr>
          <w:rFonts w:ascii="Verdana" w:hAnsi="Verdana"/>
          <w:sz w:val="20"/>
          <w:lang w:val="es-MX"/>
        </w:rPr>
        <w:t xml:space="preserve"> </w:t>
      </w:r>
      <w:r w:rsidRPr="00187008">
        <w:rPr>
          <w:rFonts w:ascii="Verdana" w:hAnsi="Verdana"/>
          <w:sz w:val="20"/>
          <w:lang w:val="es-MX"/>
        </w:rPr>
        <w:t>(</w:t>
      </w:r>
      <w:r w:rsidRPr="00187008">
        <w:rPr>
          <w:rFonts w:ascii="Verdana" w:hAnsi="Verdana"/>
          <w:i/>
          <w:sz w:val="20"/>
          <w:lang w:val="es-MX"/>
        </w:rPr>
        <w:t>supra</w:t>
      </w:r>
      <w:r w:rsidRPr="00187008">
        <w:rPr>
          <w:rFonts w:ascii="Verdana" w:hAnsi="Verdana"/>
          <w:sz w:val="20"/>
          <w:lang w:val="es-MX"/>
        </w:rPr>
        <w:t xml:space="preserve"> Visto </w:t>
      </w:r>
      <w:r w:rsidR="008E283B" w:rsidRPr="00187008">
        <w:rPr>
          <w:rFonts w:ascii="Verdana" w:hAnsi="Verdana"/>
          <w:sz w:val="20"/>
          <w:lang w:val="es-MX"/>
        </w:rPr>
        <w:t xml:space="preserve">1). </w:t>
      </w:r>
      <w:r w:rsidR="008C2CC6" w:rsidRPr="008C2CC6">
        <w:rPr>
          <w:rFonts w:ascii="Verdana" w:hAnsi="Verdana"/>
          <w:sz w:val="20"/>
          <w:lang w:val="es-MX"/>
        </w:rPr>
        <w:t xml:space="preserve">El Tribunal ha emitido </w:t>
      </w:r>
      <w:r w:rsidR="008C2CC6">
        <w:rPr>
          <w:rFonts w:ascii="Verdana" w:hAnsi="Verdana"/>
          <w:sz w:val="20"/>
          <w:lang w:val="es-MX"/>
        </w:rPr>
        <w:t>tres</w:t>
      </w:r>
      <w:r w:rsidR="008C2CC6" w:rsidRPr="008C2CC6">
        <w:rPr>
          <w:rFonts w:ascii="Verdana" w:hAnsi="Verdana"/>
          <w:sz w:val="20"/>
          <w:lang w:val="es-MX"/>
        </w:rPr>
        <w:t xml:space="preserve"> resoluciones de supervisión de cumplimiento entre los años </w:t>
      </w:r>
      <w:r w:rsidR="008C2CC6">
        <w:rPr>
          <w:rFonts w:ascii="Verdana" w:hAnsi="Verdana"/>
          <w:sz w:val="20"/>
          <w:lang w:val="es-MX"/>
        </w:rPr>
        <w:t>2009 a 2011</w:t>
      </w:r>
      <w:r w:rsidR="008C2CC6" w:rsidRPr="008C2CC6">
        <w:rPr>
          <w:rFonts w:ascii="Verdana" w:hAnsi="Verdana"/>
          <w:sz w:val="20"/>
          <w:lang w:val="es-MX"/>
        </w:rPr>
        <w:t xml:space="preserve"> (</w:t>
      </w:r>
      <w:r w:rsidR="008C2CC6" w:rsidRPr="008C2CC6">
        <w:rPr>
          <w:rFonts w:ascii="Verdana" w:hAnsi="Verdana"/>
          <w:i/>
          <w:sz w:val="20"/>
          <w:lang w:val="es-MX"/>
        </w:rPr>
        <w:t>supra</w:t>
      </w:r>
      <w:r w:rsidR="008C2CC6" w:rsidRPr="008C2CC6">
        <w:rPr>
          <w:rFonts w:ascii="Verdana" w:hAnsi="Verdana"/>
          <w:sz w:val="20"/>
          <w:lang w:val="es-MX"/>
        </w:rPr>
        <w:t xml:space="preserve"> Visto </w:t>
      </w:r>
      <w:r w:rsidR="008C2CC6">
        <w:rPr>
          <w:rFonts w:ascii="Verdana" w:hAnsi="Verdana"/>
          <w:sz w:val="20"/>
          <w:lang w:val="es-MX"/>
        </w:rPr>
        <w:t>3</w:t>
      </w:r>
      <w:r w:rsidR="008C2CC6" w:rsidRPr="008C2CC6">
        <w:rPr>
          <w:rFonts w:ascii="Verdana" w:hAnsi="Verdana"/>
          <w:sz w:val="20"/>
          <w:lang w:val="es-MX"/>
        </w:rPr>
        <w:t xml:space="preserve">), en las cuales declaró que el Estado ha dado cumplimiento </w:t>
      </w:r>
      <w:r w:rsidR="008C2CC6">
        <w:rPr>
          <w:rFonts w:ascii="Verdana" w:hAnsi="Verdana"/>
          <w:sz w:val="20"/>
          <w:lang w:val="es-MX"/>
        </w:rPr>
        <w:t>parcial al pago de las indemnizaciones por concepto de daños materiales e inmateriales</w:t>
      </w:r>
      <w:r w:rsidR="00885581">
        <w:rPr>
          <w:rFonts w:ascii="Verdana" w:hAnsi="Verdana"/>
          <w:sz w:val="20"/>
          <w:lang w:val="es-MX"/>
        </w:rPr>
        <w:t xml:space="preserve"> y reintegro de costas y gastos</w:t>
      </w:r>
      <w:r w:rsidR="008C2CC6">
        <w:rPr>
          <w:rStyle w:val="Refdenotaalpie"/>
          <w:rFonts w:ascii="Verdana" w:hAnsi="Verdana"/>
          <w:sz w:val="20"/>
          <w:lang w:val="es-MX"/>
        </w:rPr>
        <w:footnoteReference w:id="7"/>
      </w:r>
      <w:r w:rsidR="008C2CC6" w:rsidRPr="008C2CC6">
        <w:rPr>
          <w:rFonts w:ascii="Verdana" w:hAnsi="Verdana"/>
          <w:sz w:val="20"/>
          <w:lang w:val="es-MX"/>
        </w:rPr>
        <w:t xml:space="preserve">, </w:t>
      </w:r>
      <w:r w:rsidR="00885581">
        <w:rPr>
          <w:rFonts w:ascii="Verdana" w:hAnsi="Verdana"/>
          <w:sz w:val="20"/>
          <w:lang w:val="es-MX"/>
        </w:rPr>
        <w:t>encontrándose</w:t>
      </w:r>
      <w:r w:rsidR="008C2CC6" w:rsidRPr="008C2CC6">
        <w:rPr>
          <w:rFonts w:ascii="Verdana" w:hAnsi="Verdana"/>
          <w:sz w:val="20"/>
          <w:lang w:val="es-MX"/>
        </w:rPr>
        <w:t xml:space="preserve"> pendientes de cumplimiento </w:t>
      </w:r>
      <w:r w:rsidR="008C2CC6">
        <w:rPr>
          <w:rFonts w:ascii="Verdana" w:hAnsi="Verdana"/>
          <w:sz w:val="20"/>
          <w:szCs w:val="20"/>
          <w:lang w:val="es-CR"/>
        </w:rPr>
        <w:t>siete</w:t>
      </w:r>
      <w:r w:rsidR="008C2CC6" w:rsidRPr="008C2CC6">
        <w:rPr>
          <w:rFonts w:ascii="Verdana" w:hAnsi="Verdana"/>
          <w:sz w:val="20"/>
          <w:szCs w:val="20"/>
          <w:lang w:val="es-CR"/>
        </w:rPr>
        <w:t xml:space="preserve"> medidas</w:t>
      </w:r>
      <w:r w:rsidR="0071707B">
        <w:rPr>
          <w:rFonts w:ascii="Verdana" w:hAnsi="Verdana"/>
          <w:sz w:val="20"/>
          <w:szCs w:val="20"/>
          <w:lang w:val="es-CR"/>
        </w:rPr>
        <w:t xml:space="preserve"> (</w:t>
      </w:r>
      <w:r w:rsidR="0071707B">
        <w:rPr>
          <w:rFonts w:ascii="Verdana" w:hAnsi="Verdana"/>
          <w:i/>
          <w:sz w:val="20"/>
          <w:szCs w:val="20"/>
          <w:lang w:val="es-CR"/>
        </w:rPr>
        <w:t xml:space="preserve">infra </w:t>
      </w:r>
      <w:r w:rsidR="0071707B">
        <w:rPr>
          <w:rFonts w:ascii="Verdana" w:hAnsi="Verdana"/>
          <w:sz w:val="20"/>
          <w:szCs w:val="20"/>
          <w:lang w:val="es-CR"/>
        </w:rPr>
        <w:t>Considerando 3)</w:t>
      </w:r>
      <w:r w:rsidR="008C2CC6" w:rsidRPr="008C2CC6">
        <w:rPr>
          <w:rFonts w:ascii="Verdana" w:hAnsi="Verdana"/>
          <w:sz w:val="20"/>
          <w:szCs w:val="20"/>
          <w:lang w:val="es-CR"/>
        </w:rPr>
        <w:t xml:space="preserve">. </w:t>
      </w:r>
    </w:p>
    <w:p w:rsidR="00F6245B" w:rsidRPr="00470338" w:rsidRDefault="00F6245B" w:rsidP="00F6245B">
      <w:pPr>
        <w:pStyle w:val="Listavistosa-nfasis1"/>
        <w:spacing w:after="0" w:line="240" w:lineRule="auto"/>
        <w:ind w:left="0"/>
        <w:contextualSpacing w:val="0"/>
        <w:jc w:val="both"/>
        <w:rPr>
          <w:rFonts w:ascii="Verdana" w:hAnsi="Verdana"/>
          <w:b/>
          <w:sz w:val="10"/>
          <w:szCs w:val="10"/>
          <w:lang w:val="es-MX"/>
        </w:rPr>
      </w:pPr>
    </w:p>
    <w:p w:rsidR="00F6245B" w:rsidRPr="00F6245B" w:rsidRDefault="00F6245B" w:rsidP="00F6245B">
      <w:pPr>
        <w:pStyle w:val="Listavistosa-nfasis1"/>
        <w:numPr>
          <w:ilvl w:val="0"/>
          <w:numId w:val="6"/>
        </w:numPr>
        <w:spacing w:after="0" w:line="240" w:lineRule="auto"/>
        <w:ind w:left="0" w:firstLine="0"/>
        <w:contextualSpacing w:val="0"/>
        <w:jc w:val="both"/>
        <w:rPr>
          <w:rFonts w:ascii="Verdana" w:hAnsi="Verdana"/>
          <w:b/>
          <w:sz w:val="20"/>
          <w:lang w:val="es-MX"/>
        </w:rPr>
      </w:pPr>
      <w:r w:rsidRPr="00F6245B">
        <w:rPr>
          <w:rFonts w:ascii="Verdana" w:hAnsi="Verdana"/>
          <w:sz w:val="20"/>
          <w:szCs w:val="20"/>
          <w:lang w:val="es-CR"/>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sidRPr="009B4B9D">
        <w:rPr>
          <w:rStyle w:val="Refdenotaalpie"/>
          <w:rFonts w:ascii="Verdana" w:hAnsi="Verdana"/>
          <w:sz w:val="20"/>
          <w:szCs w:val="20"/>
        </w:rPr>
        <w:footnoteReference w:id="8"/>
      </w:r>
      <w:r w:rsidRPr="00F6245B">
        <w:rPr>
          <w:rFonts w:ascii="Verdana" w:hAnsi="Verdana"/>
          <w:sz w:val="20"/>
          <w:szCs w:val="20"/>
          <w:lang w:val="es-CR"/>
        </w:rPr>
        <w:t>.</w:t>
      </w:r>
      <w:r w:rsidRPr="00F6245B">
        <w:rPr>
          <w:rFonts w:ascii="Times New Roman" w:hAnsi="Times New Roman"/>
          <w:sz w:val="24"/>
          <w:szCs w:val="24"/>
          <w:lang w:val="es-CR"/>
        </w:rPr>
        <w:t xml:space="preserve"> </w:t>
      </w:r>
      <w:r w:rsidRPr="00F6245B">
        <w:rPr>
          <w:rFonts w:ascii="Verdana" w:hAnsi="Verdana"/>
          <w:sz w:val="20"/>
          <w:szCs w:val="20"/>
          <w:lang w:val="es-CR"/>
        </w:rPr>
        <w:t>Los Estados Parte en la Convención deben garantizar el cumplimiento de las disposiciones convencionales y sus efectos propios (</w:t>
      </w:r>
      <w:r w:rsidRPr="00F6245B">
        <w:rPr>
          <w:rFonts w:ascii="Verdana" w:hAnsi="Verdana"/>
          <w:i/>
          <w:sz w:val="20"/>
          <w:szCs w:val="20"/>
          <w:lang w:val="es-CR"/>
        </w:rPr>
        <w:t>effet utile</w:t>
      </w:r>
      <w:r w:rsidRPr="00F6245B">
        <w:rPr>
          <w:rFonts w:ascii="Verdana" w:hAnsi="Verdana"/>
          <w:sz w:val="20"/>
          <w:szCs w:val="20"/>
          <w:lang w:val="es-CR"/>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9B4B9D">
        <w:rPr>
          <w:rStyle w:val="Refdenotaalpie"/>
          <w:rFonts w:ascii="Verdana" w:hAnsi="Verdana"/>
          <w:sz w:val="20"/>
          <w:szCs w:val="20"/>
          <w:lang w:val="es-CR"/>
        </w:rPr>
        <w:footnoteReference w:id="9"/>
      </w:r>
      <w:r w:rsidRPr="00F6245B">
        <w:rPr>
          <w:rFonts w:ascii="Verdana" w:hAnsi="Verdana"/>
          <w:sz w:val="20"/>
          <w:szCs w:val="20"/>
          <w:lang w:val="es-CR"/>
        </w:rPr>
        <w:t>.</w:t>
      </w:r>
    </w:p>
    <w:p w:rsidR="004B6FAC" w:rsidRPr="00470338" w:rsidRDefault="004B6FAC" w:rsidP="004B6FAC">
      <w:pPr>
        <w:pStyle w:val="Listavistosa-nfasis1"/>
        <w:spacing w:after="0" w:line="240" w:lineRule="auto"/>
        <w:ind w:left="0"/>
        <w:contextualSpacing w:val="0"/>
        <w:jc w:val="both"/>
        <w:rPr>
          <w:rFonts w:ascii="Verdana" w:hAnsi="Verdana"/>
          <w:b/>
          <w:sz w:val="10"/>
          <w:szCs w:val="10"/>
          <w:lang w:val="es-MX"/>
        </w:rPr>
      </w:pPr>
    </w:p>
    <w:p w:rsidR="00F35D06" w:rsidRPr="004B6FAC" w:rsidRDefault="00047288" w:rsidP="004B6FAC">
      <w:pPr>
        <w:pStyle w:val="Listavistosa-nfasis1"/>
        <w:numPr>
          <w:ilvl w:val="0"/>
          <w:numId w:val="4"/>
        </w:numPr>
        <w:spacing w:after="0" w:line="240" w:lineRule="auto"/>
        <w:ind w:left="0" w:firstLine="0"/>
        <w:contextualSpacing w:val="0"/>
        <w:jc w:val="both"/>
        <w:rPr>
          <w:rFonts w:ascii="Verdana" w:hAnsi="Verdana"/>
          <w:sz w:val="20"/>
          <w:szCs w:val="20"/>
          <w:lang w:val="es-CR"/>
        </w:rPr>
      </w:pPr>
      <w:r w:rsidRPr="004B6FAC">
        <w:rPr>
          <w:rFonts w:ascii="Verdana" w:hAnsi="Verdana"/>
          <w:sz w:val="20"/>
          <w:lang w:val="es-CR"/>
        </w:rPr>
        <w:t>L</w:t>
      </w:r>
      <w:r w:rsidR="00077139" w:rsidRPr="004B6FAC">
        <w:rPr>
          <w:rFonts w:ascii="Verdana" w:hAnsi="Verdana"/>
          <w:sz w:val="20"/>
          <w:lang w:val="es-MX"/>
        </w:rPr>
        <w:t xml:space="preserve">a Corte valorará la información presentada por las partes respecto de las </w:t>
      </w:r>
      <w:r w:rsidR="009272B6">
        <w:rPr>
          <w:rFonts w:ascii="Verdana" w:hAnsi="Verdana"/>
          <w:sz w:val="20"/>
          <w:lang w:val="es-MX"/>
        </w:rPr>
        <w:t>siete</w:t>
      </w:r>
      <w:r w:rsidR="001052AB" w:rsidRPr="004B6FAC">
        <w:rPr>
          <w:rFonts w:ascii="Verdana" w:hAnsi="Verdana"/>
          <w:sz w:val="20"/>
          <w:lang w:val="es-MX"/>
        </w:rPr>
        <w:t xml:space="preserve"> </w:t>
      </w:r>
      <w:r w:rsidR="00077139" w:rsidRPr="004B6FAC">
        <w:rPr>
          <w:rFonts w:ascii="Verdana" w:hAnsi="Verdana"/>
          <w:sz w:val="20"/>
          <w:lang w:val="es-MX"/>
        </w:rPr>
        <w:t>medidas de reparación que se encuentran pendientes de cumplimiento</w:t>
      </w:r>
      <w:r w:rsidR="00FA1BD6" w:rsidRPr="004B6FAC">
        <w:rPr>
          <w:rFonts w:ascii="Verdana" w:hAnsi="Verdana"/>
          <w:sz w:val="20"/>
          <w:lang w:val="es-MX"/>
        </w:rPr>
        <w:t xml:space="preserve"> (</w:t>
      </w:r>
      <w:r w:rsidR="00FA1BD6" w:rsidRPr="004B6FAC">
        <w:rPr>
          <w:rFonts w:ascii="Verdana" w:hAnsi="Verdana"/>
          <w:i/>
          <w:sz w:val="20"/>
          <w:lang w:val="es-MX"/>
        </w:rPr>
        <w:t>supra</w:t>
      </w:r>
      <w:r w:rsidR="00FA1BD6" w:rsidRPr="004B6FAC">
        <w:rPr>
          <w:rFonts w:ascii="Verdana" w:hAnsi="Verdana"/>
          <w:sz w:val="20"/>
          <w:lang w:val="es-MX"/>
        </w:rPr>
        <w:t xml:space="preserve"> Considerando 1)</w:t>
      </w:r>
      <w:r w:rsidR="00077139" w:rsidRPr="004B6FAC">
        <w:rPr>
          <w:rFonts w:ascii="Verdana" w:hAnsi="Verdana"/>
          <w:sz w:val="20"/>
          <w:lang w:val="es-MX"/>
        </w:rPr>
        <w:t>,</w:t>
      </w:r>
      <w:r w:rsidR="00456633" w:rsidRPr="004B6FAC">
        <w:rPr>
          <w:rFonts w:ascii="Verdana" w:hAnsi="Verdana"/>
          <w:sz w:val="20"/>
          <w:lang w:val="es-MX"/>
        </w:rPr>
        <w:t xml:space="preserve"> </w:t>
      </w:r>
      <w:r w:rsidR="00FC5CBC" w:rsidRPr="004B6FAC">
        <w:rPr>
          <w:rFonts w:ascii="Verdana" w:hAnsi="Verdana"/>
          <w:sz w:val="20"/>
          <w:lang w:val="es-MX"/>
        </w:rPr>
        <w:t xml:space="preserve">y determinará el grado de cumplimiento </w:t>
      </w:r>
      <w:r w:rsidR="003370CB">
        <w:rPr>
          <w:rFonts w:ascii="Verdana" w:hAnsi="Verdana"/>
          <w:sz w:val="20"/>
          <w:lang w:val="es-MX"/>
        </w:rPr>
        <w:t xml:space="preserve">de las mismas </w:t>
      </w:r>
      <w:r w:rsidR="00FC5CBC" w:rsidRPr="004B6FAC">
        <w:rPr>
          <w:rFonts w:ascii="Verdana" w:hAnsi="Verdana"/>
          <w:sz w:val="20"/>
          <w:lang w:val="es-MX"/>
        </w:rPr>
        <w:t xml:space="preserve">por parte del Estado. El Tribunal estructurará sus consideraciones en el siguiente orden: </w:t>
      </w:r>
    </w:p>
    <w:p w:rsidR="001052AB" w:rsidRPr="00C9214B" w:rsidRDefault="001052AB" w:rsidP="004B6FAC">
      <w:pPr>
        <w:pStyle w:val="Listavistosa-nfasis1"/>
        <w:spacing w:after="0" w:line="240" w:lineRule="auto"/>
        <w:contextualSpacing w:val="0"/>
        <w:jc w:val="both"/>
        <w:rPr>
          <w:rFonts w:ascii="Verdana" w:hAnsi="Verdana"/>
          <w:sz w:val="14"/>
          <w:szCs w:val="14"/>
          <w:lang w:val="es-CR"/>
        </w:rPr>
      </w:pPr>
    </w:p>
    <w:p w:rsidR="00A616FC" w:rsidRPr="002B79C6" w:rsidRDefault="001052AB" w:rsidP="00A616FC">
      <w:pPr>
        <w:pStyle w:val="TDC1"/>
        <w:spacing w:after="0" w:line="240" w:lineRule="auto"/>
        <w:rPr>
          <w:rFonts w:eastAsia="Times New Roman"/>
          <w:noProof/>
          <w:sz w:val="18"/>
          <w:szCs w:val="16"/>
          <w:lang w:val="es-CR" w:eastAsia="es-CR"/>
        </w:rPr>
      </w:pPr>
      <w:r w:rsidRPr="00A616FC">
        <w:rPr>
          <w:rFonts w:ascii="Verdana" w:hAnsi="Verdana"/>
          <w:sz w:val="18"/>
          <w:szCs w:val="16"/>
        </w:rPr>
        <w:fldChar w:fldCharType="begin"/>
      </w:r>
      <w:r w:rsidRPr="00A616FC">
        <w:rPr>
          <w:rFonts w:ascii="Verdana" w:hAnsi="Verdana"/>
          <w:sz w:val="18"/>
          <w:szCs w:val="16"/>
        </w:rPr>
        <w:instrText xml:space="preserve"> TOC \o "1-3" \h \z \u </w:instrText>
      </w:r>
      <w:r w:rsidRPr="00A616FC">
        <w:rPr>
          <w:rFonts w:ascii="Verdana" w:hAnsi="Verdana"/>
          <w:sz w:val="18"/>
          <w:szCs w:val="16"/>
        </w:rPr>
        <w:fldChar w:fldCharType="separate"/>
      </w:r>
      <w:hyperlink w:anchor="_Toc5465081" w:history="1">
        <w:r w:rsidR="00A616FC" w:rsidRPr="00A616FC">
          <w:rPr>
            <w:rStyle w:val="Hipervnculo"/>
            <w:rFonts w:ascii="Verdana" w:hAnsi="Verdana"/>
            <w:i/>
            <w:noProof/>
            <w:sz w:val="18"/>
            <w:szCs w:val="16"/>
            <w:lang w:val="es-MX"/>
          </w:rPr>
          <w:t>A.</w:t>
        </w:r>
        <w:r w:rsidR="00A616FC" w:rsidRPr="002B79C6">
          <w:rPr>
            <w:rFonts w:eastAsia="Times New Roman"/>
            <w:noProof/>
            <w:sz w:val="18"/>
            <w:szCs w:val="16"/>
            <w:lang w:val="es-CR" w:eastAsia="es-CR"/>
          </w:rPr>
          <w:tab/>
        </w:r>
        <w:r w:rsidR="00A616FC" w:rsidRPr="00A616FC">
          <w:rPr>
            <w:rStyle w:val="Hipervnculo"/>
            <w:rFonts w:ascii="Verdana" w:hAnsi="Verdana"/>
            <w:i/>
            <w:noProof/>
            <w:sz w:val="18"/>
            <w:szCs w:val="16"/>
            <w:lang w:val="es-MX"/>
          </w:rPr>
          <w:t>Obligación de investigar, juzgar, y de ser del caso, sancionar</w:t>
        </w:r>
        <w:r w:rsidR="00A616FC" w:rsidRPr="00A616FC">
          <w:rPr>
            <w:noProof/>
            <w:webHidden/>
            <w:sz w:val="18"/>
            <w:szCs w:val="16"/>
          </w:rPr>
          <w:tab/>
        </w:r>
        <w:r w:rsidR="00A616FC" w:rsidRPr="00A616FC">
          <w:rPr>
            <w:noProof/>
            <w:webHidden/>
            <w:sz w:val="18"/>
            <w:szCs w:val="16"/>
          </w:rPr>
          <w:fldChar w:fldCharType="begin"/>
        </w:r>
        <w:r w:rsidR="00A616FC" w:rsidRPr="00A616FC">
          <w:rPr>
            <w:noProof/>
            <w:webHidden/>
            <w:sz w:val="18"/>
            <w:szCs w:val="16"/>
          </w:rPr>
          <w:instrText xml:space="preserve"> PAGEREF _Toc5465081 \h </w:instrText>
        </w:r>
        <w:r w:rsidR="00A616FC" w:rsidRPr="00A616FC">
          <w:rPr>
            <w:noProof/>
            <w:webHidden/>
            <w:sz w:val="18"/>
            <w:szCs w:val="16"/>
          </w:rPr>
        </w:r>
        <w:r w:rsidR="00A616FC" w:rsidRPr="00A616FC">
          <w:rPr>
            <w:noProof/>
            <w:webHidden/>
            <w:sz w:val="18"/>
            <w:szCs w:val="16"/>
          </w:rPr>
          <w:fldChar w:fldCharType="separate"/>
        </w:r>
        <w:r w:rsidR="00FB6513">
          <w:rPr>
            <w:noProof/>
            <w:webHidden/>
            <w:sz w:val="18"/>
            <w:szCs w:val="16"/>
          </w:rPr>
          <w:t>3</w:t>
        </w:r>
        <w:r w:rsidR="00A616FC" w:rsidRPr="00A616FC">
          <w:rPr>
            <w:noProof/>
            <w:webHidden/>
            <w:sz w:val="18"/>
            <w:szCs w:val="16"/>
          </w:rPr>
          <w:fldChar w:fldCharType="end"/>
        </w:r>
      </w:hyperlink>
    </w:p>
    <w:p w:rsidR="00A616FC" w:rsidRPr="002B79C6" w:rsidRDefault="00A616FC" w:rsidP="00A616FC">
      <w:pPr>
        <w:pStyle w:val="TDC1"/>
        <w:spacing w:after="0" w:line="240" w:lineRule="auto"/>
        <w:rPr>
          <w:rFonts w:eastAsia="Times New Roman"/>
          <w:noProof/>
          <w:sz w:val="18"/>
          <w:szCs w:val="16"/>
          <w:lang w:val="es-CR" w:eastAsia="es-CR"/>
        </w:rPr>
      </w:pPr>
      <w:hyperlink w:anchor="_Toc5465082" w:history="1">
        <w:r w:rsidRPr="00A616FC">
          <w:rPr>
            <w:rStyle w:val="Hipervnculo"/>
            <w:rFonts w:ascii="Verdana" w:hAnsi="Verdana"/>
            <w:i/>
            <w:noProof/>
            <w:sz w:val="18"/>
            <w:szCs w:val="16"/>
            <w:lang w:val="es-MX"/>
          </w:rPr>
          <w:t>B.</w:t>
        </w:r>
        <w:r w:rsidRPr="002B79C6">
          <w:rPr>
            <w:rFonts w:eastAsia="Times New Roman"/>
            <w:noProof/>
            <w:sz w:val="18"/>
            <w:szCs w:val="16"/>
            <w:lang w:val="es-CR" w:eastAsia="es-CR"/>
          </w:rPr>
          <w:tab/>
        </w:r>
        <w:r w:rsidRPr="00A616FC">
          <w:rPr>
            <w:rStyle w:val="Hipervnculo"/>
            <w:rFonts w:ascii="Verdana" w:hAnsi="Verdana"/>
            <w:i/>
            <w:noProof/>
            <w:sz w:val="18"/>
            <w:szCs w:val="16"/>
            <w:lang w:val="es-MX"/>
          </w:rPr>
          <w:t>Publicación y difusión de la Sentencia</w:t>
        </w:r>
        <w:r w:rsidRPr="00A616FC">
          <w:rPr>
            <w:noProof/>
            <w:webHidden/>
            <w:sz w:val="18"/>
            <w:szCs w:val="16"/>
          </w:rPr>
          <w:tab/>
        </w:r>
        <w:r w:rsidRPr="00A616FC">
          <w:rPr>
            <w:noProof/>
            <w:webHidden/>
            <w:sz w:val="18"/>
            <w:szCs w:val="16"/>
          </w:rPr>
          <w:fldChar w:fldCharType="begin"/>
        </w:r>
        <w:r w:rsidRPr="00A616FC">
          <w:rPr>
            <w:noProof/>
            <w:webHidden/>
            <w:sz w:val="18"/>
            <w:szCs w:val="16"/>
          </w:rPr>
          <w:instrText xml:space="preserve"> PAGEREF _Toc5465082 \h </w:instrText>
        </w:r>
        <w:r w:rsidRPr="00A616FC">
          <w:rPr>
            <w:noProof/>
            <w:webHidden/>
            <w:sz w:val="18"/>
            <w:szCs w:val="16"/>
          </w:rPr>
        </w:r>
        <w:r w:rsidRPr="00A616FC">
          <w:rPr>
            <w:noProof/>
            <w:webHidden/>
            <w:sz w:val="18"/>
            <w:szCs w:val="16"/>
          </w:rPr>
          <w:fldChar w:fldCharType="separate"/>
        </w:r>
        <w:r w:rsidR="00FB6513">
          <w:rPr>
            <w:noProof/>
            <w:webHidden/>
            <w:sz w:val="18"/>
            <w:szCs w:val="16"/>
          </w:rPr>
          <w:t>7</w:t>
        </w:r>
        <w:r w:rsidRPr="00A616FC">
          <w:rPr>
            <w:noProof/>
            <w:webHidden/>
            <w:sz w:val="18"/>
            <w:szCs w:val="16"/>
          </w:rPr>
          <w:fldChar w:fldCharType="end"/>
        </w:r>
      </w:hyperlink>
    </w:p>
    <w:p w:rsidR="00A616FC" w:rsidRPr="002B79C6" w:rsidRDefault="00A616FC" w:rsidP="00A616FC">
      <w:pPr>
        <w:pStyle w:val="TDC1"/>
        <w:spacing w:after="0" w:line="240" w:lineRule="auto"/>
        <w:rPr>
          <w:rFonts w:eastAsia="Times New Roman"/>
          <w:noProof/>
          <w:sz w:val="18"/>
          <w:szCs w:val="16"/>
          <w:lang w:val="es-CR" w:eastAsia="es-CR"/>
        </w:rPr>
      </w:pPr>
      <w:hyperlink w:anchor="_Toc5465083" w:history="1">
        <w:r w:rsidRPr="00A616FC">
          <w:rPr>
            <w:rStyle w:val="Hipervnculo"/>
            <w:rFonts w:ascii="Verdana" w:hAnsi="Verdana"/>
            <w:i/>
            <w:noProof/>
            <w:sz w:val="18"/>
            <w:szCs w:val="16"/>
            <w:lang w:val="es-MX"/>
          </w:rPr>
          <w:t>C.</w:t>
        </w:r>
        <w:r w:rsidRPr="002B79C6">
          <w:rPr>
            <w:rFonts w:eastAsia="Times New Roman"/>
            <w:noProof/>
            <w:sz w:val="18"/>
            <w:szCs w:val="16"/>
            <w:lang w:val="es-CR" w:eastAsia="es-CR"/>
          </w:rPr>
          <w:tab/>
        </w:r>
        <w:r w:rsidRPr="00A616FC">
          <w:rPr>
            <w:rStyle w:val="Hipervnculo"/>
            <w:rFonts w:ascii="Verdana" w:hAnsi="Verdana"/>
            <w:i/>
            <w:noProof/>
            <w:sz w:val="18"/>
            <w:szCs w:val="16"/>
            <w:lang w:val="es-MX"/>
          </w:rPr>
          <w:t>Acto público de reconocimiento de responsabilidad internacional</w:t>
        </w:r>
        <w:r w:rsidRPr="00A616FC">
          <w:rPr>
            <w:noProof/>
            <w:webHidden/>
            <w:sz w:val="18"/>
            <w:szCs w:val="16"/>
          </w:rPr>
          <w:tab/>
        </w:r>
        <w:r w:rsidRPr="00A616FC">
          <w:rPr>
            <w:noProof/>
            <w:webHidden/>
            <w:sz w:val="18"/>
            <w:szCs w:val="16"/>
          </w:rPr>
          <w:fldChar w:fldCharType="begin"/>
        </w:r>
        <w:r w:rsidRPr="00A616FC">
          <w:rPr>
            <w:noProof/>
            <w:webHidden/>
            <w:sz w:val="18"/>
            <w:szCs w:val="16"/>
          </w:rPr>
          <w:instrText xml:space="preserve"> PAGEREF _Toc5465083 \h </w:instrText>
        </w:r>
        <w:r w:rsidRPr="00A616FC">
          <w:rPr>
            <w:noProof/>
            <w:webHidden/>
            <w:sz w:val="18"/>
            <w:szCs w:val="16"/>
          </w:rPr>
        </w:r>
        <w:r w:rsidRPr="00A616FC">
          <w:rPr>
            <w:noProof/>
            <w:webHidden/>
            <w:sz w:val="18"/>
            <w:szCs w:val="16"/>
          </w:rPr>
          <w:fldChar w:fldCharType="separate"/>
        </w:r>
        <w:r w:rsidR="00FB6513">
          <w:rPr>
            <w:noProof/>
            <w:webHidden/>
            <w:sz w:val="18"/>
            <w:szCs w:val="16"/>
          </w:rPr>
          <w:t>8</w:t>
        </w:r>
        <w:r w:rsidRPr="00A616FC">
          <w:rPr>
            <w:noProof/>
            <w:webHidden/>
            <w:sz w:val="18"/>
            <w:szCs w:val="16"/>
          </w:rPr>
          <w:fldChar w:fldCharType="end"/>
        </w:r>
      </w:hyperlink>
    </w:p>
    <w:p w:rsidR="00A616FC" w:rsidRPr="002B79C6" w:rsidRDefault="00A616FC" w:rsidP="00A616FC">
      <w:pPr>
        <w:pStyle w:val="TDC1"/>
        <w:spacing w:after="0" w:line="240" w:lineRule="auto"/>
        <w:rPr>
          <w:rFonts w:eastAsia="Times New Roman"/>
          <w:noProof/>
          <w:sz w:val="18"/>
          <w:szCs w:val="16"/>
          <w:lang w:val="es-CR" w:eastAsia="es-CR"/>
        </w:rPr>
      </w:pPr>
      <w:hyperlink w:anchor="_Toc5465084" w:history="1">
        <w:r w:rsidRPr="00A616FC">
          <w:rPr>
            <w:rStyle w:val="Hipervnculo"/>
            <w:rFonts w:ascii="Verdana" w:hAnsi="Verdana"/>
            <w:i/>
            <w:noProof/>
            <w:sz w:val="18"/>
            <w:szCs w:val="16"/>
            <w:lang w:val="es-MX"/>
          </w:rPr>
          <w:t>D.</w:t>
        </w:r>
        <w:r w:rsidRPr="002B79C6">
          <w:rPr>
            <w:rFonts w:eastAsia="Times New Roman"/>
            <w:noProof/>
            <w:sz w:val="18"/>
            <w:szCs w:val="16"/>
            <w:lang w:val="es-CR" w:eastAsia="es-CR"/>
          </w:rPr>
          <w:tab/>
        </w:r>
        <w:r w:rsidRPr="00A616FC">
          <w:rPr>
            <w:rStyle w:val="Hipervnculo"/>
            <w:rFonts w:ascii="Verdana" w:hAnsi="Verdana"/>
            <w:i/>
            <w:noProof/>
            <w:sz w:val="18"/>
            <w:szCs w:val="16"/>
            <w:lang w:val="es-MX"/>
          </w:rPr>
          <w:t>Otorgar becas de estudio</w:t>
        </w:r>
        <w:r w:rsidRPr="00A616FC">
          <w:rPr>
            <w:noProof/>
            <w:webHidden/>
            <w:sz w:val="18"/>
            <w:szCs w:val="16"/>
          </w:rPr>
          <w:tab/>
        </w:r>
        <w:r w:rsidRPr="00A616FC">
          <w:rPr>
            <w:noProof/>
            <w:webHidden/>
            <w:sz w:val="18"/>
            <w:szCs w:val="16"/>
          </w:rPr>
          <w:fldChar w:fldCharType="begin"/>
        </w:r>
        <w:r w:rsidRPr="00A616FC">
          <w:rPr>
            <w:noProof/>
            <w:webHidden/>
            <w:sz w:val="18"/>
            <w:szCs w:val="16"/>
          </w:rPr>
          <w:instrText xml:space="preserve"> PAGEREF _Toc5465084 \h </w:instrText>
        </w:r>
        <w:r w:rsidRPr="00A616FC">
          <w:rPr>
            <w:noProof/>
            <w:webHidden/>
            <w:sz w:val="18"/>
            <w:szCs w:val="16"/>
          </w:rPr>
        </w:r>
        <w:r w:rsidRPr="00A616FC">
          <w:rPr>
            <w:noProof/>
            <w:webHidden/>
            <w:sz w:val="18"/>
            <w:szCs w:val="16"/>
          </w:rPr>
          <w:fldChar w:fldCharType="separate"/>
        </w:r>
        <w:r w:rsidR="00FB6513">
          <w:rPr>
            <w:noProof/>
            <w:webHidden/>
            <w:sz w:val="18"/>
            <w:szCs w:val="16"/>
          </w:rPr>
          <w:t>9</w:t>
        </w:r>
        <w:r w:rsidRPr="00A616FC">
          <w:rPr>
            <w:noProof/>
            <w:webHidden/>
            <w:sz w:val="18"/>
            <w:szCs w:val="16"/>
          </w:rPr>
          <w:fldChar w:fldCharType="end"/>
        </w:r>
      </w:hyperlink>
    </w:p>
    <w:p w:rsidR="00A616FC" w:rsidRPr="002B79C6" w:rsidRDefault="00A616FC" w:rsidP="00A616FC">
      <w:pPr>
        <w:pStyle w:val="TDC1"/>
        <w:spacing w:after="0" w:line="240" w:lineRule="auto"/>
        <w:rPr>
          <w:rFonts w:eastAsia="Times New Roman"/>
          <w:noProof/>
          <w:sz w:val="18"/>
          <w:szCs w:val="16"/>
          <w:lang w:val="es-CR" w:eastAsia="es-CR"/>
        </w:rPr>
      </w:pPr>
      <w:hyperlink w:anchor="_Toc5465085" w:history="1">
        <w:r w:rsidRPr="00A616FC">
          <w:rPr>
            <w:rStyle w:val="Hipervnculo"/>
            <w:rFonts w:ascii="Verdana" w:hAnsi="Verdana"/>
            <w:i/>
            <w:noProof/>
            <w:sz w:val="18"/>
            <w:szCs w:val="16"/>
            <w:lang w:val="es-MX"/>
          </w:rPr>
          <w:t>E.</w:t>
        </w:r>
        <w:r w:rsidRPr="002B79C6">
          <w:rPr>
            <w:rFonts w:eastAsia="Times New Roman"/>
            <w:noProof/>
            <w:sz w:val="18"/>
            <w:szCs w:val="16"/>
            <w:lang w:val="es-CR" w:eastAsia="es-CR"/>
          </w:rPr>
          <w:tab/>
        </w:r>
        <w:r w:rsidRPr="00A616FC">
          <w:rPr>
            <w:rStyle w:val="Hipervnculo"/>
            <w:rFonts w:ascii="Verdana" w:hAnsi="Verdana"/>
            <w:i/>
            <w:noProof/>
            <w:sz w:val="18"/>
            <w:szCs w:val="16"/>
            <w:lang w:val="es-MX"/>
          </w:rPr>
          <w:t>Tratamiento médico y psicológico</w:t>
        </w:r>
        <w:r w:rsidRPr="00A616FC">
          <w:rPr>
            <w:noProof/>
            <w:webHidden/>
            <w:sz w:val="18"/>
            <w:szCs w:val="16"/>
          </w:rPr>
          <w:tab/>
        </w:r>
        <w:r w:rsidRPr="00A616FC">
          <w:rPr>
            <w:noProof/>
            <w:webHidden/>
            <w:sz w:val="18"/>
            <w:szCs w:val="16"/>
          </w:rPr>
          <w:fldChar w:fldCharType="begin"/>
        </w:r>
        <w:r w:rsidRPr="00A616FC">
          <w:rPr>
            <w:noProof/>
            <w:webHidden/>
            <w:sz w:val="18"/>
            <w:szCs w:val="16"/>
          </w:rPr>
          <w:instrText xml:space="preserve"> PAGEREF _Toc5465085 \h </w:instrText>
        </w:r>
        <w:r w:rsidRPr="00A616FC">
          <w:rPr>
            <w:noProof/>
            <w:webHidden/>
            <w:sz w:val="18"/>
            <w:szCs w:val="16"/>
          </w:rPr>
        </w:r>
        <w:r w:rsidRPr="00A616FC">
          <w:rPr>
            <w:noProof/>
            <w:webHidden/>
            <w:sz w:val="18"/>
            <w:szCs w:val="16"/>
          </w:rPr>
          <w:fldChar w:fldCharType="separate"/>
        </w:r>
        <w:r w:rsidR="00FB6513">
          <w:rPr>
            <w:noProof/>
            <w:webHidden/>
            <w:sz w:val="18"/>
            <w:szCs w:val="16"/>
          </w:rPr>
          <w:t>13</w:t>
        </w:r>
        <w:r w:rsidRPr="00A616FC">
          <w:rPr>
            <w:noProof/>
            <w:webHidden/>
            <w:sz w:val="18"/>
            <w:szCs w:val="16"/>
          </w:rPr>
          <w:fldChar w:fldCharType="end"/>
        </w:r>
      </w:hyperlink>
    </w:p>
    <w:p w:rsidR="00A616FC" w:rsidRPr="002B79C6" w:rsidRDefault="00A616FC" w:rsidP="00A616FC">
      <w:pPr>
        <w:pStyle w:val="TDC1"/>
        <w:spacing w:after="0" w:line="240" w:lineRule="auto"/>
        <w:rPr>
          <w:rFonts w:eastAsia="Times New Roman"/>
          <w:noProof/>
          <w:sz w:val="18"/>
          <w:szCs w:val="16"/>
          <w:lang w:val="es-CR" w:eastAsia="es-CR"/>
        </w:rPr>
      </w:pPr>
      <w:hyperlink w:anchor="_Toc5465086" w:history="1">
        <w:r w:rsidRPr="00A616FC">
          <w:rPr>
            <w:rStyle w:val="Hipervnculo"/>
            <w:rFonts w:ascii="Verdana" w:hAnsi="Verdana"/>
            <w:i/>
            <w:noProof/>
            <w:sz w:val="18"/>
            <w:szCs w:val="16"/>
            <w:lang w:val="es-MX"/>
          </w:rPr>
          <w:t>F.</w:t>
        </w:r>
        <w:r w:rsidRPr="002B79C6">
          <w:rPr>
            <w:rFonts w:eastAsia="Times New Roman"/>
            <w:noProof/>
            <w:sz w:val="18"/>
            <w:szCs w:val="16"/>
            <w:lang w:val="es-CR" w:eastAsia="es-CR"/>
          </w:rPr>
          <w:tab/>
        </w:r>
        <w:r w:rsidRPr="00A616FC">
          <w:rPr>
            <w:rStyle w:val="Hipervnculo"/>
            <w:rFonts w:ascii="Verdana" w:hAnsi="Verdana"/>
            <w:i/>
            <w:noProof/>
            <w:sz w:val="18"/>
            <w:szCs w:val="16"/>
            <w:lang w:val="es-MX"/>
          </w:rPr>
          <w:t>Pago de indemnizaciones por concepto de daños materiales e inmateriales</w:t>
        </w:r>
        <w:r w:rsidRPr="00A616FC">
          <w:rPr>
            <w:noProof/>
            <w:webHidden/>
            <w:sz w:val="18"/>
            <w:szCs w:val="16"/>
          </w:rPr>
          <w:tab/>
        </w:r>
        <w:r w:rsidRPr="00A616FC">
          <w:rPr>
            <w:noProof/>
            <w:webHidden/>
            <w:sz w:val="18"/>
            <w:szCs w:val="16"/>
          </w:rPr>
          <w:fldChar w:fldCharType="begin"/>
        </w:r>
        <w:r w:rsidRPr="00A616FC">
          <w:rPr>
            <w:noProof/>
            <w:webHidden/>
            <w:sz w:val="18"/>
            <w:szCs w:val="16"/>
          </w:rPr>
          <w:instrText xml:space="preserve"> PAGEREF _Toc5465086 \h </w:instrText>
        </w:r>
        <w:r w:rsidRPr="00A616FC">
          <w:rPr>
            <w:noProof/>
            <w:webHidden/>
            <w:sz w:val="18"/>
            <w:szCs w:val="16"/>
          </w:rPr>
        </w:r>
        <w:r w:rsidRPr="00A616FC">
          <w:rPr>
            <w:noProof/>
            <w:webHidden/>
            <w:sz w:val="18"/>
            <w:szCs w:val="16"/>
          </w:rPr>
          <w:fldChar w:fldCharType="separate"/>
        </w:r>
        <w:r w:rsidR="00FB6513">
          <w:rPr>
            <w:noProof/>
            <w:webHidden/>
            <w:sz w:val="18"/>
            <w:szCs w:val="16"/>
          </w:rPr>
          <w:t>16</w:t>
        </w:r>
        <w:r w:rsidRPr="00A616FC">
          <w:rPr>
            <w:noProof/>
            <w:webHidden/>
            <w:sz w:val="18"/>
            <w:szCs w:val="16"/>
          </w:rPr>
          <w:fldChar w:fldCharType="end"/>
        </w:r>
      </w:hyperlink>
    </w:p>
    <w:p w:rsidR="001052AB" w:rsidRDefault="001052AB" w:rsidP="00A616FC">
      <w:pPr>
        <w:spacing w:after="0" w:line="240" w:lineRule="auto"/>
        <w:jc w:val="both"/>
        <w:rPr>
          <w:rFonts w:ascii="Verdana" w:hAnsi="Verdana"/>
          <w:bCs/>
          <w:noProof/>
          <w:sz w:val="18"/>
          <w:szCs w:val="16"/>
        </w:rPr>
      </w:pPr>
      <w:r w:rsidRPr="00A616FC">
        <w:rPr>
          <w:rFonts w:ascii="Verdana" w:hAnsi="Verdana"/>
          <w:bCs/>
          <w:noProof/>
          <w:sz w:val="18"/>
          <w:szCs w:val="16"/>
        </w:rPr>
        <w:fldChar w:fldCharType="end"/>
      </w:r>
    </w:p>
    <w:p w:rsidR="000F6413" w:rsidRPr="00C9214B" w:rsidRDefault="00BF73F9" w:rsidP="00A616FC">
      <w:pPr>
        <w:spacing w:after="0" w:line="240" w:lineRule="auto"/>
        <w:jc w:val="both"/>
        <w:rPr>
          <w:rFonts w:ascii="Verdana" w:hAnsi="Verdana"/>
          <w:bCs/>
          <w:noProof/>
          <w:sz w:val="14"/>
          <w:szCs w:val="14"/>
        </w:rPr>
      </w:pPr>
      <w:r>
        <w:rPr>
          <w:rFonts w:ascii="Verdana" w:hAnsi="Verdana"/>
          <w:bCs/>
          <w:noProof/>
          <w:sz w:val="14"/>
          <w:szCs w:val="14"/>
        </w:rPr>
        <w:br w:type="page"/>
      </w:r>
    </w:p>
    <w:p w:rsidR="001052AB" w:rsidRDefault="001052AB" w:rsidP="004B6FAC">
      <w:pPr>
        <w:pStyle w:val="Listavistosa-nfasis1"/>
        <w:numPr>
          <w:ilvl w:val="0"/>
          <w:numId w:val="7"/>
        </w:numPr>
        <w:spacing w:after="0" w:line="240" w:lineRule="auto"/>
        <w:contextualSpacing w:val="0"/>
        <w:jc w:val="both"/>
        <w:outlineLvl w:val="0"/>
        <w:rPr>
          <w:rFonts w:ascii="Verdana" w:hAnsi="Verdana"/>
          <w:b/>
          <w:i/>
          <w:sz w:val="20"/>
          <w:lang w:val="es-MX"/>
        </w:rPr>
      </w:pPr>
      <w:bookmarkStart w:id="1" w:name="_Toc495655657"/>
      <w:bookmarkStart w:id="2" w:name="_Toc5465081"/>
      <w:r>
        <w:rPr>
          <w:rFonts w:ascii="Verdana" w:hAnsi="Verdana"/>
          <w:b/>
          <w:i/>
          <w:sz w:val="20"/>
          <w:lang w:val="es-MX"/>
        </w:rPr>
        <w:t>Obligación de investigar, juzgar, y de ser del caso, sancionar</w:t>
      </w:r>
      <w:bookmarkEnd w:id="1"/>
      <w:bookmarkEnd w:id="2"/>
    </w:p>
    <w:p w:rsidR="004B6FAC" w:rsidRPr="00C9214B" w:rsidRDefault="004B6FAC" w:rsidP="00084C87">
      <w:pPr>
        <w:pStyle w:val="Listavistosa-nfasis1"/>
        <w:spacing w:after="0" w:line="240" w:lineRule="auto"/>
        <w:ind w:left="0"/>
        <w:contextualSpacing w:val="0"/>
        <w:jc w:val="both"/>
        <w:rPr>
          <w:rFonts w:ascii="Verdana" w:hAnsi="Verdana"/>
          <w:sz w:val="14"/>
          <w:szCs w:val="14"/>
          <w:lang w:val="es-MX"/>
        </w:rPr>
      </w:pPr>
    </w:p>
    <w:p w:rsidR="001052AB" w:rsidRPr="000121ED" w:rsidRDefault="001052AB" w:rsidP="004B6FAC">
      <w:pPr>
        <w:pStyle w:val="Listavistosa-nfasis1"/>
        <w:spacing w:after="0" w:line="240" w:lineRule="auto"/>
        <w:contextualSpacing w:val="0"/>
        <w:jc w:val="both"/>
        <w:rPr>
          <w:rFonts w:ascii="Verdana" w:hAnsi="Verdana"/>
          <w:i/>
          <w:sz w:val="20"/>
          <w:lang w:val="es-MX"/>
        </w:rPr>
      </w:pPr>
      <w:r w:rsidRPr="000121ED">
        <w:rPr>
          <w:rFonts w:ascii="Verdana" w:hAnsi="Verdana"/>
          <w:i/>
          <w:sz w:val="20"/>
          <w:lang w:val="es-MX"/>
        </w:rPr>
        <w:t xml:space="preserve">A.1. Medida ordenada por la </w:t>
      </w:r>
      <w:r w:rsidRPr="009E04D5">
        <w:rPr>
          <w:rFonts w:ascii="Verdana" w:hAnsi="Verdana"/>
          <w:i/>
          <w:sz w:val="20"/>
          <w:lang w:val="es-MX"/>
        </w:rPr>
        <w:t>Corte y supervisión realizada en resoluciones anteriores</w:t>
      </w:r>
      <w:r>
        <w:rPr>
          <w:rFonts w:ascii="Verdana" w:hAnsi="Verdana"/>
          <w:i/>
          <w:sz w:val="20"/>
          <w:lang w:val="es-MX"/>
        </w:rPr>
        <w:t xml:space="preserve"> </w:t>
      </w:r>
    </w:p>
    <w:p w:rsidR="004B6FAC" w:rsidRPr="00084C87" w:rsidRDefault="004B6FAC" w:rsidP="004B6FAC">
      <w:pPr>
        <w:autoSpaceDE w:val="0"/>
        <w:autoSpaceDN w:val="0"/>
        <w:adjustRightInd w:val="0"/>
        <w:spacing w:after="0" w:line="240" w:lineRule="auto"/>
        <w:jc w:val="both"/>
        <w:rPr>
          <w:rFonts w:ascii="Verdana" w:hAnsi="Verdana"/>
          <w:b/>
          <w:sz w:val="14"/>
          <w:szCs w:val="14"/>
          <w:lang w:val="es-CR"/>
        </w:rPr>
      </w:pPr>
    </w:p>
    <w:p w:rsidR="001D5D29" w:rsidRPr="009E04D5" w:rsidRDefault="001052AB" w:rsidP="00C8662E">
      <w:pPr>
        <w:numPr>
          <w:ilvl w:val="0"/>
          <w:numId w:val="26"/>
        </w:numPr>
        <w:autoSpaceDE w:val="0"/>
        <w:autoSpaceDN w:val="0"/>
        <w:adjustRightInd w:val="0"/>
        <w:spacing w:after="0" w:line="240" w:lineRule="auto"/>
        <w:ind w:left="0" w:firstLine="0"/>
        <w:jc w:val="both"/>
        <w:rPr>
          <w:rFonts w:ascii="Verdana" w:hAnsi="Verdana"/>
          <w:b/>
          <w:sz w:val="20"/>
          <w:szCs w:val="20"/>
          <w:lang w:val="es-CR"/>
        </w:rPr>
      </w:pPr>
      <w:r w:rsidRPr="009E04D5">
        <w:rPr>
          <w:rFonts w:ascii="Verdana" w:hAnsi="Verdana"/>
          <w:sz w:val="20"/>
          <w:szCs w:val="20"/>
          <w:lang w:val="es-MX"/>
        </w:rPr>
        <w:t xml:space="preserve">En el punto dispositivo noveno y en los párrafos </w:t>
      </w:r>
      <w:r w:rsidR="0084194B" w:rsidRPr="009E04D5">
        <w:rPr>
          <w:rFonts w:ascii="Verdana" w:hAnsi="Verdana"/>
          <w:sz w:val="20"/>
          <w:szCs w:val="20"/>
          <w:lang w:val="es-MX"/>
        </w:rPr>
        <w:t>189 a 191</w:t>
      </w:r>
      <w:r w:rsidRPr="009E04D5">
        <w:rPr>
          <w:rFonts w:ascii="Verdana" w:hAnsi="Verdana"/>
          <w:sz w:val="20"/>
          <w:szCs w:val="20"/>
          <w:lang w:val="es-MX"/>
        </w:rPr>
        <w:t xml:space="preserve"> de la Sentencia, la Corte dispuso que </w:t>
      </w:r>
      <w:r w:rsidR="0084194B" w:rsidRPr="009E04D5">
        <w:rPr>
          <w:rFonts w:ascii="Verdana" w:hAnsi="Verdana"/>
          <w:sz w:val="20"/>
          <w:szCs w:val="20"/>
          <w:lang w:val="es-MX"/>
        </w:rPr>
        <w:t xml:space="preserve">el Estado debe “investigar inmediatamente los hechos que generaron las violaciones del presente caso, e identificar, </w:t>
      </w:r>
      <w:r w:rsidR="001D5D29" w:rsidRPr="009E04D5">
        <w:rPr>
          <w:rFonts w:ascii="Verdana" w:hAnsi="Verdana"/>
          <w:sz w:val="20"/>
          <w:szCs w:val="20"/>
          <w:lang w:val="es-MX"/>
        </w:rPr>
        <w:t>juzgar, y en su caso, sancionar a los responsables”. Para ello, la Corte determinó que “</w:t>
      </w:r>
      <w:r w:rsidR="001D5D29" w:rsidRPr="009E04D5">
        <w:rPr>
          <w:rFonts w:ascii="Verdana" w:hAnsi="Verdana" w:cs="Verdana"/>
          <w:sz w:val="20"/>
          <w:szCs w:val="20"/>
          <w:lang w:val="es-CR"/>
        </w:rPr>
        <w:t xml:space="preserve">el Estado debe remover todos los obstáculos, </w:t>
      </w:r>
      <w:r w:rsidR="001D5D29" w:rsidRPr="009E04D5">
        <w:rPr>
          <w:rFonts w:ascii="Verdana" w:hAnsi="Verdana" w:cs="Verdana"/>
          <w:i/>
          <w:iCs/>
          <w:sz w:val="20"/>
          <w:szCs w:val="20"/>
          <w:lang w:val="es-CR"/>
        </w:rPr>
        <w:t xml:space="preserve">de facto </w:t>
      </w:r>
      <w:r w:rsidR="001D5D29" w:rsidRPr="003B5A19">
        <w:rPr>
          <w:rFonts w:ascii="Verdana" w:hAnsi="Verdana" w:cs="Verdana"/>
          <w:iCs/>
          <w:sz w:val="20"/>
          <w:szCs w:val="20"/>
          <w:lang w:val="es-CR"/>
        </w:rPr>
        <w:t xml:space="preserve">y </w:t>
      </w:r>
      <w:r w:rsidR="001D5D29" w:rsidRPr="009E04D5">
        <w:rPr>
          <w:rFonts w:ascii="Verdana" w:hAnsi="Verdana" w:cs="Verdana"/>
          <w:i/>
          <w:iCs/>
          <w:sz w:val="20"/>
          <w:szCs w:val="20"/>
          <w:lang w:val="es-CR"/>
        </w:rPr>
        <w:t>de jure</w:t>
      </w:r>
      <w:r w:rsidR="001D5D29" w:rsidRPr="009E04D5">
        <w:rPr>
          <w:rFonts w:ascii="Verdana" w:hAnsi="Verdana" w:cs="Verdana"/>
          <w:sz w:val="20"/>
          <w:szCs w:val="20"/>
          <w:lang w:val="es-CR"/>
        </w:rPr>
        <w:t xml:space="preserve">, que impidan la </w:t>
      </w:r>
      <w:r w:rsidR="001D5D29" w:rsidRPr="00F66E3F">
        <w:rPr>
          <w:rFonts w:ascii="Verdana" w:hAnsi="Verdana" w:cs="Verdana"/>
          <w:sz w:val="20"/>
          <w:szCs w:val="20"/>
          <w:lang w:val="es-CR"/>
        </w:rPr>
        <w:t xml:space="preserve">debida investigación de los hechos, y utilizar todos los medios disponibles para hacer expedita dicha investigación y los procedimientos respectivos, </w:t>
      </w:r>
      <w:r w:rsidR="003355A2" w:rsidRPr="00F66E3F">
        <w:rPr>
          <w:rFonts w:ascii="Verdana" w:hAnsi="Verdana"/>
          <w:sz w:val="20"/>
          <w:szCs w:val="20"/>
          <w:lang w:val="es-CR"/>
        </w:rPr>
        <w:t>a fin de evitar la repetición de hechos tan graves”. También indicó que en el cumplimiento de esta medida, el Perú</w:t>
      </w:r>
      <w:r w:rsidR="001D5D29" w:rsidRPr="00F66E3F">
        <w:rPr>
          <w:rFonts w:ascii="Verdana" w:hAnsi="Verdana" w:cs="Verdana"/>
          <w:sz w:val="20"/>
          <w:szCs w:val="20"/>
          <w:lang w:val="es-CR"/>
        </w:rPr>
        <w:t xml:space="preserve"> </w:t>
      </w:r>
      <w:r w:rsidR="003355A2" w:rsidRPr="00F66E3F">
        <w:rPr>
          <w:rFonts w:ascii="Verdana" w:hAnsi="Verdana" w:cs="Verdana"/>
          <w:sz w:val="20"/>
          <w:szCs w:val="20"/>
          <w:lang w:val="es-CR"/>
        </w:rPr>
        <w:t>“</w:t>
      </w:r>
      <w:r w:rsidR="001D5D29" w:rsidRPr="00F66E3F">
        <w:rPr>
          <w:rFonts w:ascii="Verdana" w:hAnsi="Verdana" w:cs="Verdana"/>
          <w:sz w:val="20"/>
          <w:szCs w:val="20"/>
          <w:lang w:val="es-CR"/>
        </w:rPr>
        <w:t xml:space="preserve">no podrá argüir ninguna ley ni disposición de derecho interno para eximirse de su obligación de investigar </w:t>
      </w:r>
      <w:r w:rsidR="003355A2" w:rsidRPr="00F66E3F">
        <w:rPr>
          <w:rFonts w:ascii="Verdana" w:hAnsi="Verdana" w:cs="Verdana"/>
          <w:sz w:val="20"/>
          <w:szCs w:val="20"/>
          <w:lang w:val="es-CR"/>
        </w:rPr>
        <w:t>y</w:t>
      </w:r>
      <w:r w:rsidR="001D5D29" w:rsidRPr="00F66E3F">
        <w:rPr>
          <w:rFonts w:ascii="Verdana" w:hAnsi="Verdana" w:cs="Verdana"/>
          <w:sz w:val="20"/>
          <w:szCs w:val="20"/>
          <w:lang w:val="es-CR"/>
        </w:rPr>
        <w:t>[</w:t>
      </w:r>
      <w:r w:rsidR="003355A2" w:rsidRPr="00F66E3F">
        <w:rPr>
          <w:rFonts w:ascii="Verdana" w:hAnsi="Verdana" w:cs="Verdana"/>
          <w:sz w:val="20"/>
          <w:szCs w:val="20"/>
          <w:lang w:val="es-CR"/>
        </w:rPr>
        <w:t>, …] en particular</w:t>
      </w:r>
      <w:r w:rsidR="001D5D29" w:rsidRPr="00F66E3F">
        <w:rPr>
          <w:rFonts w:ascii="Verdana" w:hAnsi="Verdana" w:cs="Verdana"/>
          <w:sz w:val="20"/>
          <w:szCs w:val="20"/>
          <w:lang w:val="es-CR"/>
        </w:rPr>
        <w:t>[</w:t>
      </w:r>
      <w:r w:rsidR="003355A2" w:rsidRPr="00F66E3F">
        <w:rPr>
          <w:rFonts w:ascii="Verdana" w:hAnsi="Verdana" w:cs="Verdana"/>
          <w:sz w:val="20"/>
          <w:szCs w:val="20"/>
          <w:lang w:val="es-CR"/>
        </w:rPr>
        <w:t xml:space="preserve">, </w:t>
      </w:r>
      <w:r w:rsidR="001D5D29" w:rsidRPr="00F66E3F">
        <w:rPr>
          <w:rFonts w:ascii="Verdana" w:hAnsi="Verdana" w:cs="Verdana"/>
          <w:sz w:val="20"/>
          <w:szCs w:val="20"/>
          <w:lang w:val="es-CR"/>
        </w:rPr>
        <w:t>…]</w:t>
      </w:r>
      <w:r w:rsidR="009E04D5" w:rsidRPr="00F66E3F">
        <w:rPr>
          <w:rFonts w:ascii="Verdana" w:hAnsi="Verdana" w:cs="Verdana"/>
          <w:sz w:val="20"/>
          <w:szCs w:val="20"/>
          <w:lang w:val="es-CR"/>
        </w:rPr>
        <w:t xml:space="preserve"> </w:t>
      </w:r>
      <w:r w:rsidR="001D5D29" w:rsidRPr="00F66E3F">
        <w:rPr>
          <w:rFonts w:ascii="Verdana" w:hAnsi="Verdana" w:cs="Verdana"/>
          <w:sz w:val="20"/>
          <w:szCs w:val="20"/>
          <w:lang w:val="es-CR"/>
        </w:rPr>
        <w:t>no podrá aplicar leyes de amnistía, ni disposiciones de prescripción, ni otras</w:t>
      </w:r>
      <w:r w:rsidR="001D5D29" w:rsidRPr="009E04D5">
        <w:rPr>
          <w:rFonts w:ascii="Verdana" w:hAnsi="Verdana" w:cs="Verdana"/>
          <w:sz w:val="20"/>
          <w:szCs w:val="20"/>
          <w:lang w:val="es-CR"/>
        </w:rPr>
        <w:t xml:space="preserve"> excluyentes de responsabilidad que impidan investigar y sancionar a los responsables</w:t>
      </w:r>
      <w:r w:rsidR="009E04D5" w:rsidRPr="009E04D5">
        <w:rPr>
          <w:rFonts w:ascii="Verdana" w:hAnsi="Verdana" w:cs="Verdana"/>
          <w:sz w:val="20"/>
          <w:szCs w:val="20"/>
          <w:lang w:val="es-CR"/>
        </w:rPr>
        <w:t>”.</w:t>
      </w:r>
      <w:r w:rsidR="001D5D29" w:rsidRPr="009E04D5">
        <w:rPr>
          <w:rFonts w:ascii="Verdana" w:hAnsi="Verdana" w:cs="Verdana"/>
          <w:sz w:val="20"/>
          <w:szCs w:val="20"/>
          <w:lang w:val="es-CR"/>
        </w:rPr>
        <w:t xml:space="preserve"> </w:t>
      </w:r>
      <w:r w:rsidR="009E04D5" w:rsidRPr="009E04D5">
        <w:rPr>
          <w:rFonts w:ascii="Verdana" w:hAnsi="Verdana" w:cs="Verdana"/>
          <w:sz w:val="20"/>
          <w:szCs w:val="20"/>
          <w:lang w:val="es-CR"/>
        </w:rPr>
        <w:t>De igual manera, la Corte dispuso que “</w:t>
      </w:r>
      <w:r w:rsidR="001D5D29" w:rsidRPr="009E04D5">
        <w:rPr>
          <w:rFonts w:ascii="Verdana" w:hAnsi="Verdana" w:cs="Verdana"/>
          <w:sz w:val="20"/>
          <w:szCs w:val="20"/>
          <w:lang w:val="es-CR"/>
        </w:rPr>
        <w:t>el Estado</w:t>
      </w:r>
      <w:r w:rsidR="009E04D5" w:rsidRPr="009E04D5">
        <w:rPr>
          <w:rFonts w:ascii="Verdana" w:hAnsi="Verdana" w:cs="Verdana"/>
          <w:sz w:val="20"/>
          <w:szCs w:val="20"/>
          <w:lang w:val="es-CR"/>
        </w:rPr>
        <w:t xml:space="preserve"> </w:t>
      </w:r>
      <w:r w:rsidR="001D5D29" w:rsidRPr="009E04D5">
        <w:rPr>
          <w:rFonts w:ascii="Verdana" w:hAnsi="Verdana" w:cs="Verdana"/>
          <w:sz w:val="20"/>
          <w:szCs w:val="20"/>
          <w:lang w:val="es-CR"/>
        </w:rPr>
        <w:t>debe asegurar que los familiares de las víctimas tengan pleno acceso y capacidad de</w:t>
      </w:r>
      <w:r w:rsidR="009E04D5" w:rsidRPr="009E04D5">
        <w:rPr>
          <w:rFonts w:ascii="Verdana" w:hAnsi="Verdana" w:cs="Verdana"/>
          <w:sz w:val="20"/>
          <w:szCs w:val="20"/>
          <w:lang w:val="es-CR"/>
        </w:rPr>
        <w:t xml:space="preserve"> </w:t>
      </w:r>
      <w:r w:rsidR="001D5D29" w:rsidRPr="009E04D5">
        <w:rPr>
          <w:rFonts w:ascii="Verdana" w:hAnsi="Verdana" w:cs="Verdana"/>
          <w:sz w:val="20"/>
          <w:szCs w:val="20"/>
          <w:lang w:val="es-CR"/>
        </w:rPr>
        <w:t>actuar en todas las etapas e instancias de di</w:t>
      </w:r>
      <w:r w:rsidR="003355A2">
        <w:rPr>
          <w:rFonts w:ascii="Verdana" w:hAnsi="Verdana" w:cs="Verdana"/>
          <w:sz w:val="20"/>
          <w:szCs w:val="20"/>
          <w:lang w:val="es-CR"/>
        </w:rPr>
        <w:t>chas investigaciones y procesos</w:t>
      </w:r>
      <w:r w:rsidR="009E04D5" w:rsidRPr="009E04D5">
        <w:rPr>
          <w:rFonts w:ascii="Verdana" w:hAnsi="Verdana" w:cs="Verdana"/>
          <w:sz w:val="20"/>
          <w:szCs w:val="20"/>
          <w:lang w:val="es-CR"/>
        </w:rPr>
        <w:t xml:space="preserve">”. </w:t>
      </w:r>
    </w:p>
    <w:p w:rsidR="004B6FAC" w:rsidRPr="00084C87" w:rsidRDefault="004B6FAC" w:rsidP="004B6FAC">
      <w:pPr>
        <w:pStyle w:val="Listavistosa-nfasis1"/>
        <w:spacing w:after="0" w:line="240" w:lineRule="auto"/>
        <w:ind w:left="0"/>
        <w:contextualSpacing w:val="0"/>
        <w:jc w:val="both"/>
        <w:rPr>
          <w:rFonts w:ascii="Verdana" w:hAnsi="Verdana"/>
          <w:sz w:val="10"/>
          <w:szCs w:val="10"/>
          <w:lang w:val="es-MX"/>
        </w:rPr>
      </w:pPr>
    </w:p>
    <w:p w:rsidR="001052AB" w:rsidRPr="00F30CFB" w:rsidRDefault="001052AB" w:rsidP="00C8662E">
      <w:pPr>
        <w:pStyle w:val="Listavistosa-nfasis1"/>
        <w:numPr>
          <w:ilvl w:val="0"/>
          <w:numId w:val="26"/>
        </w:numPr>
        <w:spacing w:after="0" w:line="240" w:lineRule="auto"/>
        <w:ind w:left="0" w:firstLine="0"/>
        <w:contextualSpacing w:val="0"/>
        <w:jc w:val="both"/>
        <w:rPr>
          <w:rFonts w:ascii="Verdana" w:hAnsi="Verdana"/>
          <w:sz w:val="20"/>
          <w:lang w:val="es-MX"/>
        </w:rPr>
      </w:pPr>
      <w:r w:rsidRPr="00F30CFB">
        <w:rPr>
          <w:rFonts w:ascii="Verdana" w:hAnsi="Verdana"/>
          <w:sz w:val="20"/>
          <w:lang w:val="es-MX"/>
        </w:rPr>
        <w:t>En la</w:t>
      </w:r>
      <w:r w:rsidR="00287108">
        <w:rPr>
          <w:rFonts w:ascii="Verdana" w:hAnsi="Verdana"/>
          <w:sz w:val="20"/>
          <w:lang w:val="es-MX"/>
        </w:rPr>
        <w:t>s</w:t>
      </w:r>
      <w:r w:rsidR="007C1D49" w:rsidRPr="00F30CFB">
        <w:rPr>
          <w:rFonts w:ascii="Verdana" w:hAnsi="Verdana"/>
          <w:sz w:val="20"/>
          <w:lang w:val="es-MX"/>
        </w:rPr>
        <w:t xml:space="preserve"> </w:t>
      </w:r>
      <w:r w:rsidR="00287108">
        <w:rPr>
          <w:rFonts w:ascii="Verdana" w:hAnsi="Verdana"/>
          <w:sz w:val="20"/>
          <w:lang w:val="es-MX"/>
        </w:rPr>
        <w:t>Resoluciones</w:t>
      </w:r>
      <w:r w:rsidR="00B04F2C" w:rsidRPr="00F30CFB">
        <w:rPr>
          <w:rFonts w:ascii="Verdana" w:hAnsi="Verdana"/>
          <w:sz w:val="20"/>
          <w:lang w:val="es-MX"/>
        </w:rPr>
        <w:t xml:space="preserve"> de supervisión de cumplimiento de</w:t>
      </w:r>
      <w:r w:rsidR="00287108">
        <w:rPr>
          <w:rFonts w:ascii="Verdana" w:hAnsi="Verdana"/>
          <w:sz w:val="20"/>
          <w:lang w:val="es-MX"/>
        </w:rPr>
        <w:t xml:space="preserve"> abril</w:t>
      </w:r>
      <w:r w:rsidR="006C2E2D">
        <w:rPr>
          <w:rStyle w:val="Refdenotaalpie"/>
          <w:rFonts w:ascii="Verdana" w:hAnsi="Verdana"/>
          <w:sz w:val="20"/>
          <w:lang w:val="es-MX"/>
        </w:rPr>
        <w:footnoteReference w:id="10"/>
      </w:r>
      <w:r w:rsidR="003B5A19">
        <w:rPr>
          <w:rFonts w:ascii="Verdana" w:hAnsi="Verdana"/>
          <w:sz w:val="20"/>
          <w:lang w:val="es-MX"/>
        </w:rPr>
        <w:t xml:space="preserve"> y</w:t>
      </w:r>
      <w:r w:rsidR="00287108">
        <w:rPr>
          <w:rFonts w:ascii="Verdana" w:hAnsi="Verdana"/>
          <w:sz w:val="20"/>
          <w:lang w:val="es-MX"/>
        </w:rPr>
        <w:t xml:space="preserve"> septiembre de 2009</w:t>
      </w:r>
      <w:r w:rsidR="006C2E2D">
        <w:rPr>
          <w:rStyle w:val="Refdenotaalpie"/>
          <w:rFonts w:ascii="Verdana" w:hAnsi="Verdana"/>
          <w:sz w:val="20"/>
          <w:lang w:val="es-MX"/>
        </w:rPr>
        <w:footnoteReference w:id="11"/>
      </w:r>
      <w:r w:rsidR="003B5A19">
        <w:rPr>
          <w:rFonts w:ascii="Verdana" w:hAnsi="Verdana"/>
          <w:sz w:val="20"/>
          <w:lang w:val="es-MX"/>
        </w:rPr>
        <w:t>, así como de</w:t>
      </w:r>
      <w:r w:rsidR="00CE5636">
        <w:rPr>
          <w:rFonts w:ascii="Verdana" w:hAnsi="Verdana"/>
          <w:sz w:val="20"/>
          <w:lang w:val="es-MX"/>
        </w:rPr>
        <w:t xml:space="preserve"> febrero de 2011</w:t>
      </w:r>
      <w:r w:rsidR="00CE5636">
        <w:rPr>
          <w:rStyle w:val="Refdenotaalpie"/>
          <w:rFonts w:ascii="Verdana" w:hAnsi="Verdana"/>
          <w:sz w:val="20"/>
          <w:lang w:val="es-MX"/>
        </w:rPr>
        <w:footnoteReference w:id="12"/>
      </w:r>
      <w:r w:rsidR="00287108">
        <w:rPr>
          <w:rFonts w:ascii="Verdana" w:hAnsi="Verdana"/>
          <w:sz w:val="20"/>
          <w:lang w:val="es-MX"/>
        </w:rPr>
        <w:t xml:space="preserve">, la Corte </w:t>
      </w:r>
      <w:r w:rsidR="006C2E2D">
        <w:rPr>
          <w:rFonts w:ascii="Verdana" w:hAnsi="Verdana"/>
          <w:sz w:val="20"/>
          <w:lang w:val="es-MX"/>
        </w:rPr>
        <w:t>constató</w:t>
      </w:r>
      <w:r w:rsidR="00287108">
        <w:rPr>
          <w:rFonts w:ascii="Verdana" w:hAnsi="Verdana"/>
          <w:sz w:val="20"/>
          <w:lang w:val="es-MX"/>
        </w:rPr>
        <w:t xml:space="preserve"> que el Estado no había remitido información sobre el cumplimiento de la presente medida. No obstante ello, en la</w:t>
      </w:r>
      <w:r w:rsidR="006C2E2D">
        <w:rPr>
          <w:rFonts w:ascii="Verdana" w:hAnsi="Verdana"/>
          <w:sz w:val="20"/>
          <w:lang w:val="es-MX"/>
        </w:rPr>
        <w:t xml:space="preserve"> referida Resolución de septiembre de </w:t>
      </w:r>
      <w:r w:rsidR="00CE5636">
        <w:rPr>
          <w:rFonts w:ascii="Verdana" w:hAnsi="Verdana"/>
          <w:sz w:val="20"/>
          <w:lang w:val="es-MX"/>
        </w:rPr>
        <w:t>2009</w:t>
      </w:r>
      <w:r w:rsidR="006C2E2D">
        <w:rPr>
          <w:rStyle w:val="Refdenotaalpie"/>
          <w:rFonts w:ascii="Verdana" w:hAnsi="Verdana"/>
          <w:sz w:val="20"/>
          <w:lang w:val="es-MX"/>
        </w:rPr>
        <w:footnoteReference w:id="13"/>
      </w:r>
      <w:r w:rsidR="006C2E2D">
        <w:rPr>
          <w:rFonts w:ascii="Verdana" w:hAnsi="Verdana"/>
          <w:sz w:val="20"/>
          <w:lang w:val="es-MX"/>
        </w:rPr>
        <w:t xml:space="preserve">, el Tribunal valoró la información </w:t>
      </w:r>
      <w:r w:rsidR="006209FB">
        <w:rPr>
          <w:rFonts w:ascii="Verdana" w:hAnsi="Verdana"/>
          <w:sz w:val="20"/>
          <w:lang w:val="es-MX"/>
        </w:rPr>
        <w:t xml:space="preserve">remitida por </w:t>
      </w:r>
      <w:r w:rsidR="006C2E2D">
        <w:rPr>
          <w:rFonts w:ascii="Verdana" w:hAnsi="Verdana"/>
          <w:sz w:val="20"/>
          <w:lang w:val="es-MX"/>
        </w:rPr>
        <w:t>los representantes de las víctimas relativa a que la Segunda Fiscalía Penal Supraprovincial había iniciado una investigación y que en mayo de 2008 se había abierto un proceso penal en contra de dos presuntos autores inmediatos y un presunto autor mediato por los delitos de secuestro y homicidio calificado en perjuicio del señor Cantoral Huamaní y la señora García Santa Cruz.</w:t>
      </w:r>
      <w:r w:rsidR="001C2A96">
        <w:rPr>
          <w:rFonts w:ascii="Verdana" w:hAnsi="Verdana"/>
          <w:sz w:val="20"/>
          <w:lang w:val="es-MX"/>
        </w:rPr>
        <w:t xml:space="preserve"> Posteriormente, mediante la Resolución de supervisión de cumplimiento de</w:t>
      </w:r>
      <w:r w:rsidR="00B04F2C" w:rsidRPr="00F30CFB">
        <w:rPr>
          <w:rFonts w:ascii="Verdana" w:hAnsi="Verdana"/>
          <w:sz w:val="20"/>
          <w:lang w:val="es-MX"/>
        </w:rPr>
        <w:t xml:space="preserve"> febrero de 2011</w:t>
      </w:r>
      <w:r w:rsidR="003B7AD2">
        <w:rPr>
          <w:rStyle w:val="Refdenotaalpie"/>
          <w:rFonts w:ascii="Verdana" w:hAnsi="Verdana"/>
          <w:sz w:val="20"/>
          <w:lang w:val="es-MX"/>
        </w:rPr>
        <w:footnoteReference w:id="14"/>
      </w:r>
      <w:r w:rsidR="00F30CFB" w:rsidRPr="00F30CFB">
        <w:rPr>
          <w:rFonts w:ascii="Verdana" w:hAnsi="Verdana"/>
          <w:sz w:val="20"/>
          <w:lang w:val="es-MX"/>
        </w:rPr>
        <w:t xml:space="preserve">, </w:t>
      </w:r>
      <w:r w:rsidR="00CE5636">
        <w:rPr>
          <w:rFonts w:ascii="Verdana" w:hAnsi="Verdana"/>
          <w:sz w:val="20"/>
          <w:lang w:val="es-MX"/>
        </w:rPr>
        <w:t>la Corte nuevamente</w:t>
      </w:r>
      <w:r w:rsidR="00F30CFB" w:rsidRPr="00F30CFB">
        <w:rPr>
          <w:rFonts w:ascii="Verdana" w:hAnsi="Verdana"/>
          <w:sz w:val="20"/>
          <w:lang w:val="es-MX"/>
        </w:rPr>
        <w:t xml:space="preserve"> </w:t>
      </w:r>
      <w:r w:rsidR="00CE5636">
        <w:rPr>
          <w:rFonts w:ascii="Verdana" w:hAnsi="Verdana"/>
          <w:sz w:val="20"/>
          <w:lang w:val="es-MX"/>
        </w:rPr>
        <w:t xml:space="preserve">valoró la información </w:t>
      </w:r>
      <w:r w:rsidR="00CB027F">
        <w:rPr>
          <w:rFonts w:ascii="Verdana" w:hAnsi="Verdana"/>
          <w:sz w:val="20"/>
          <w:lang w:val="es-MX"/>
        </w:rPr>
        <w:t>remitida por</w:t>
      </w:r>
      <w:r w:rsidR="00CE5636">
        <w:rPr>
          <w:rFonts w:ascii="Verdana" w:hAnsi="Verdana"/>
          <w:sz w:val="20"/>
          <w:lang w:val="es-MX"/>
        </w:rPr>
        <w:t xml:space="preserve"> los representantes respecto del avance del proceso penal y la presentación de un recurso de </w:t>
      </w:r>
      <w:r w:rsidR="00CE5636" w:rsidRPr="009C22FD">
        <w:rPr>
          <w:rFonts w:ascii="Verdana" w:hAnsi="Verdana"/>
          <w:i/>
          <w:sz w:val="20"/>
          <w:lang w:val="es-MX"/>
        </w:rPr>
        <w:t>hábeas corpus</w:t>
      </w:r>
      <w:r w:rsidR="00CE5636">
        <w:rPr>
          <w:rFonts w:ascii="Verdana" w:hAnsi="Verdana"/>
          <w:sz w:val="20"/>
          <w:lang w:val="es-MX"/>
        </w:rPr>
        <w:t xml:space="preserve"> por parte de uno de los imputados del caso, que buscaba “declarar la nulidad del proceso penal”. En dicha oportunidad, el Tribunal reiteró su solicitud </w:t>
      </w:r>
      <w:r w:rsidR="00EB7E4E">
        <w:rPr>
          <w:rFonts w:ascii="Verdana" w:hAnsi="Verdana"/>
          <w:sz w:val="20"/>
          <w:lang w:val="es-MX"/>
        </w:rPr>
        <w:t xml:space="preserve">al Estado </w:t>
      </w:r>
      <w:r w:rsidR="00CE5636">
        <w:rPr>
          <w:rFonts w:ascii="Verdana" w:hAnsi="Verdana"/>
          <w:sz w:val="20"/>
          <w:lang w:val="es-MX"/>
        </w:rPr>
        <w:t>de</w:t>
      </w:r>
      <w:r w:rsidR="00EB7E4E">
        <w:rPr>
          <w:rFonts w:ascii="Verdana" w:hAnsi="Verdana"/>
          <w:sz w:val="20"/>
          <w:lang w:val="es-MX"/>
        </w:rPr>
        <w:t xml:space="preserve"> presentar</w:t>
      </w:r>
      <w:r w:rsidR="00CE5636">
        <w:rPr>
          <w:rFonts w:ascii="Verdana" w:hAnsi="Verdana"/>
          <w:sz w:val="20"/>
          <w:lang w:val="es-MX"/>
        </w:rPr>
        <w:t xml:space="preserve"> “información actualizada, detallada y completa [… del] avance del proceso correspondiente”, así como del mencionado “procedimiento de </w:t>
      </w:r>
      <w:r w:rsidR="00CE5636" w:rsidRPr="0033501D">
        <w:rPr>
          <w:rFonts w:ascii="Verdana" w:hAnsi="Verdana"/>
          <w:i/>
          <w:sz w:val="20"/>
          <w:lang w:val="es-MX"/>
        </w:rPr>
        <w:t>hábeas corpus</w:t>
      </w:r>
      <w:r w:rsidR="00CE5636">
        <w:rPr>
          <w:rFonts w:ascii="Verdana" w:hAnsi="Verdana"/>
          <w:sz w:val="20"/>
          <w:lang w:val="es-MX"/>
        </w:rPr>
        <w:t>”.</w:t>
      </w:r>
    </w:p>
    <w:p w:rsidR="001052AB" w:rsidRPr="00084C87" w:rsidRDefault="001052AB" w:rsidP="006209FB">
      <w:pPr>
        <w:pStyle w:val="Listavistosa-nfasis1"/>
        <w:spacing w:after="0" w:line="240" w:lineRule="auto"/>
        <w:ind w:left="0"/>
        <w:jc w:val="both"/>
        <w:rPr>
          <w:rFonts w:ascii="Verdana" w:hAnsi="Verdana"/>
          <w:sz w:val="14"/>
          <w:szCs w:val="14"/>
          <w:lang w:val="es-MX"/>
        </w:rPr>
      </w:pPr>
    </w:p>
    <w:p w:rsidR="001052AB" w:rsidRPr="005237EB" w:rsidRDefault="001052AB" w:rsidP="004B6FAC">
      <w:pPr>
        <w:pStyle w:val="Listavistosa-nfasis1"/>
        <w:spacing w:after="0" w:line="240" w:lineRule="auto"/>
        <w:contextualSpacing w:val="0"/>
        <w:jc w:val="both"/>
        <w:rPr>
          <w:rFonts w:ascii="Verdana" w:hAnsi="Verdana"/>
          <w:i/>
          <w:sz w:val="20"/>
          <w:lang w:val="es-MX"/>
        </w:rPr>
      </w:pPr>
      <w:r w:rsidRPr="005237EB">
        <w:rPr>
          <w:rFonts w:ascii="Verdana" w:hAnsi="Verdana"/>
          <w:i/>
          <w:sz w:val="20"/>
          <w:lang w:val="es-MX"/>
        </w:rPr>
        <w:t>A.2</w:t>
      </w:r>
      <w:r>
        <w:rPr>
          <w:rFonts w:ascii="Verdana" w:hAnsi="Verdana"/>
          <w:i/>
          <w:sz w:val="20"/>
          <w:lang w:val="es-MX"/>
        </w:rPr>
        <w:t>.</w:t>
      </w:r>
      <w:r w:rsidRPr="005237EB">
        <w:rPr>
          <w:rFonts w:ascii="Verdana" w:hAnsi="Verdana"/>
          <w:i/>
          <w:sz w:val="20"/>
          <w:lang w:val="es-MX"/>
        </w:rPr>
        <w:t xml:space="preserve"> </w:t>
      </w:r>
      <w:r w:rsidR="00F8539C">
        <w:rPr>
          <w:rFonts w:ascii="Verdana" w:hAnsi="Verdana"/>
          <w:i/>
          <w:sz w:val="20"/>
          <w:lang w:val="es-MX"/>
        </w:rPr>
        <w:t>Consideraciones de la Corte</w:t>
      </w:r>
      <w:r>
        <w:rPr>
          <w:rFonts w:ascii="Verdana" w:hAnsi="Verdana"/>
          <w:i/>
          <w:sz w:val="20"/>
          <w:lang w:val="es-MX"/>
        </w:rPr>
        <w:t xml:space="preserve"> </w:t>
      </w:r>
    </w:p>
    <w:p w:rsidR="004B6FAC" w:rsidRPr="00084C87" w:rsidRDefault="004B6FAC" w:rsidP="004B6FAC">
      <w:pPr>
        <w:pStyle w:val="Listavistosa-nfasis1"/>
        <w:spacing w:after="0" w:line="240" w:lineRule="auto"/>
        <w:ind w:left="0"/>
        <w:contextualSpacing w:val="0"/>
        <w:jc w:val="both"/>
        <w:rPr>
          <w:rFonts w:ascii="Verdana" w:hAnsi="Verdana"/>
          <w:sz w:val="14"/>
          <w:szCs w:val="14"/>
          <w:lang w:val="es-MX"/>
        </w:rPr>
      </w:pPr>
    </w:p>
    <w:p w:rsidR="00F51359" w:rsidRPr="00236856" w:rsidRDefault="001919A4" w:rsidP="00C8662E">
      <w:pPr>
        <w:pStyle w:val="Listavistosa-nfasis1"/>
        <w:numPr>
          <w:ilvl w:val="0"/>
          <w:numId w:val="26"/>
        </w:numPr>
        <w:spacing w:after="0" w:line="240" w:lineRule="auto"/>
        <w:ind w:left="0" w:firstLine="0"/>
        <w:contextualSpacing w:val="0"/>
        <w:jc w:val="both"/>
        <w:rPr>
          <w:rFonts w:ascii="Verdana" w:hAnsi="Verdana"/>
          <w:sz w:val="20"/>
          <w:lang w:val="es-MX"/>
        </w:rPr>
      </w:pPr>
      <w:r w:rsidRPr="00C92E77">
        <w:rPr>
          <w:rFonts w:ascii="Verdana" w:hAnsi="Verdana"/>
          <w:sz w:val="20"/>
          <w:lang w:val="es-MX"/>
        </w:rPr>
        <w:t>Con base en la información aportada por las partes</w:t>
      </w:r>
      <w:r w:rsidR="00D37085" w:rsidRPr="00290A1E">
        <w:rPr>
          <w:rStyle w:val="Refdenotaalpie"/>
          <w:rFonts w:ascii="Verdana" w:hAnsi="Verdana"/>
          <w:sz w:val="20"/>
          <w:lang w:val="es-MX"/>
        </w:rPr>
        <w:footnoteReference w:id="15"/>
      </w:r>
      <w:r w:rsidRPr="00C92E77">
        <w:rPr>
          <w:rFonts w:ascii="Verdana" w:hAnsi="Verdana"/>
          <w:sz w:val="20"/>
          <w:lang w:val="es-MX"/>
        </w:rPr>
        <w:t xml:space="preserve">, </w:t>
      </w:r>
      <w:r w:rsidR="00C71D27">
        <w:rPr>
          <w:rFonts w:ascii="Verdana" w:hAnsi="Verdana"/>
          <w:sz w:val="20"/>
          <w:lang w:val="es-MX"/>
        </w:rPr>
        <w:t>la Corte constata que el</w:t>
      </w:r>
      <w:r w:rsidR="00E152DC">
        <w:rPr>
          <w:rFonts w:ascii="Verdana" w:hAnsi="Verdana"/>
          <w:sz w:val="20"/>
          <w:lang w:val="es-MX"/>
        </w:rPr>
        <w:t xml:space="preserve"> </w:t>
      </w:r>
      <w:r w:rsidR="00E152DC" w:rsidRPr="00C92E77">
        <w:rPr>
          <w:rFonts w:ascii="Verdana" w:hAnsi="Verdana"/>
          <w:sz w:val="20"/>
          <w:lang w:val="es-MX"/>
        </w:rPr>
        <w:t>proceso penal</w:t>
      </w:r>
      <w:r w:rsidR="00C71D27">
        <w:rPr>
          <w:rFonts w:ascii="Verdana" w:hAnsi="Verdana"/>
          <w:sz w:val="20"/>
          <w:lang w:val="es-MX"/>
        </w:rPr>
        <w:t xml:space="preserve"> por los hechos del presente caso</w:t>
      </w:r>
      <w:r w:rsidR="00E152DC">
        <w:rPr>
          <w:rFonts w:ascii="Verdana" w:hAnsi="Verdana"/>
          <w:sz w:val="20"/>
          <w:lang w:val="es-MX"/>
        </w:rPr>
        <w:t xml:space="preserve"> se está tramitando</w:t>
      </w:r>
      <w:r w:rsidR="00E152DC" w:rsidRPr="00C92E77">
        <w:rPr>
          <w:rFonts w:ascii="Verdana" w:hAnsi="Verdana"/>
          <w:sz w:val="20"/>
          <w:lang w:val="es-MX"/>
        </w:rPr>
        <w:t xml:space="preserve"> </w:t>
      </w:r>
      <w:r w:rsidR="00E152DC">
        <w:rPr>
          <w:rFonts w:ascii="Verdana" w:hAnsi="Verdana"/>
          <w:sz w:val="20"/>
          <w:lang w:val="es-MX"/>
        </w:rPr>
        <w:t xml:space="preserve">ante la Sala Penal Nacional del Poder Judicial del Perú, </w:t>
      </w:r>
      <w:r w:rsidR="00E152DC" w:rsidRPr="00C92E77">
        <w:rPr>
          <w:rFonts w:ascii="Verdana" w:hAnsi="Verdana"/>
          <w:sz w:val="20"/>
          <w:lang w:val="es-MX"/>
        </w:rPr>
        <w:t>mediante el expediente penal N°. 935-07-0-JR</w:t>
      </w:r>
      <w:r w:rsidR="00E152DC">
        <w:rPr>
          <w:rFonts w:ascii="Verdana" w:hAnsi="Verdana"/>
          <w:sz w:val="20"/>
          <w:lang w:val="es-MX"/>
        </w:rPr>
        <w:t>,</w:t>
      </w:r>
      <w:r w:rsidR="00E152DC" w:rsidRPr="00C92E77">
        <w:rPr>
          <w:rFonts w:ascii="Verdana" w:hAnsi="Verdana"/>
          <w:sz w:val="20"/>
          <w:lang w:val="es-MX"/>
        </w:rPr>
        <w:t xml:space="preserve"> en contra de </w:t>
      </w:r>
      <w:r w:rsidR="00E152DC">
        <w:rPr>
          <w:rFonts w:ascii="Verdana" w:hAnsi="Verdana"/>
          <w:sz w:val="20"/>
          <w:lang w:val="es-MX"/>
        </w:rPr>
        <w:t>-</w:t>
      </w:r>
      <w:r w:rsidR="00E152DC" w:rsidRPr="00C92E77">
        <w:rPr>
          <w:rFonts w:ascii="Verdana" w:hAnsi="Verdana"/>
          <w:sz w:val="20"/>
          <w:lang w:val="es-MX"/>
        </w:rPr>
        <w:t>entre otros</w:t>
      </w:r>
      <w:r w:rsidR="00E152DC" w:rsidRPr="00290A1E">
        <w:rPr>
          <w:rStyle w:val="Refdenotaalpie"/>
          <w:rFonts w:ascii="Verdana" w:hAnsi="Verdana"/>
          <w:sz w:val="20"/>
          <w:lang w:val="es-MX"/>
        </w:rPr>
        <w:footnoteReference w:id="16"/>
      </w:r>
      <w:r w:rsidR="00E152DC">
        <w:rPr>
          <w:rFonts w:ascii="Verdana" w:hAnsi="Verdana"/>
          <w:sz w:val="20"/>
          <w:lang w:val="es-MX"/>
        </w:rPr>
        <w:t>-</w:t>
      </w:r>
      <w:r w:rsidR="00E152DC" w:rsidRPr="00C92E77">
        <w:rPr>
          <w:rFonts w:ascii="Verdana" w:hAnsi="Verdana"/>
          <w:sz w:val="20"/>
          <w:lang w:val="es-MX"/>
        </w:rPr>
        <w:t xml:space="preserve"> dos “presuntos autores inmediatos”</w:t>
      </w:r>
      <w:r w:rsidR="00E152DC" w:rsidRPr="00290A1E">
        <w:rPr>
          <w:rStyle w:val="Refdenotaalpie"/>
          <w:rFonts w:ascii="Verdana" w:hAnsi="Verdana"/>
          <w:sz w:val="20"/>
          <w:lang w:val="es-MX"/>
        </w:rPr>
        <w:footnoteReference w:id="17"/>
      </w:r>
      <w:r w:rsidR="00E152DC" w:rsidRPr="00C92E77">
        <w:rPr>
          <w:rFonts w:ascii="Verdana" w:hAnsi="Verdana"/>
          <w:sz w:val="20"/>
          <w:lang w:val="es-MX"/>
        </w:rPr>
        <w:t xml:space="preserve"> y un “presunto autor mediato”</w:t>
      </w:r>
      <w:r w:rsidR="00E152DC" w:rsidRPr="00290A1E">
        <w:rPr>
          <w:rStyle w:val="Refdenotaalpie"/>
          <w:rFonts w:ascii="Verdana" w:hAnsi="Verdana"/>
          <w:sz w:val="20"/>
          <w:lang w:val="es-MX"/>
        </w:rPr>
        <w:footnoteReference w:id="18"/>
      </w:r>
      <w:r w:rsidR="00E152DC" w:rsidRPr="00C92E77">
        <w:rPr>
          <w:rFonts w:ascii="Verdana" w:hAnsi="Verdana"/>
          <w:sz w:val="20"/>
          <w:lang w:val="es-MX"/>
        </w:rPr>
        <w:t xml:space="preserve"> (un “ex Ministro del Interior del Perú”) por el “delito de secuestro y homicidio calificado (con gran crueldad) […] en agravio de Saúl Isaac Cantoral Huamaní y Consuelo García Santa Cruz”, calificados como “</w:t>
      </w:r>
      <w:r w:rsidR="00E152DC" w:rsidRPr="00236856">
        <w:rPr>
          <w:rFonts w:ascii="Verdana" w:hAnsi="Verdana"/>
          <w:sz w:val="20"/>
          <w:lang w:val="es-MX"/>
        </w:rPr>
        <w:t>crímenes de lesa humanidad”.</w:t>
      </w:r>
    </w:p>
    <w:p w:rsidR="00F51359" w:rsidRPr="00236856" w:rsidRDefault="00F51359" w:rsidP="00F51359">
      <w:pPr>
        <w:pStyle w:val="Listavistosa-nfasis1"/>
        <w:spacing w:after="0" w:line="240" w:lineRule="auto"/>
        <w:ind w:left="0"/>
        <w:contextualSpacing w:val="0"/>
        <w:jc w:val="both"/>
        <w:rPr>
          <w:rFonts w:ascii="Verdana" w:hAnsi="Verdana"/>
          <w:sz w:val="10"/>
          <w:szCs w:val="10"/>
          <w:lang w:val="es-MX"/>
        </w:rPr>
      </w:pPr>
    </w:p>
    <w:p w:rsidR="00667CB1" w:rsidRPr="00667CB1" w:rsidRDefault="00EF0622" w:rsidP="00C8662E">
      <w:pPr>
        <w:pStyle w:val="Listavistosa-nfasis1"/>
        <w:numPr>
          <w:ilvl w:val="0"/>
          <w:numId w:val="26"/>
        </w:numPr>
        <w:spacing w:after="0" w:line="240" w:lineRule="auto"/>
        <w:ind w:left="0" w:firstLine="0"/>
        <w:contextualSpacing w:val="0"/>
        <w:jc w:val="both"/>
        <w:rPr>
          <w:rFonts w:ascii="Verdana" w:hAnsi="Verdana"/>
          <w:sz w:val="20"/>
          <w:lang w:val="es-MX"/>
        </w:rPr>
      </w:pPr>
      <w:r w:rsidRPr="00667CB1">
        <w:rPr>
          <w:rFonts w:ascii="Verdana" w:hAnsi="Verdana"/>
          <w:sz w:val="20"/>
          <w:lang w:val="es-MX"/>
        </w:rPr>
        <w:t xml:space="preserve">En primer lugar, </w:t>
      </w:r>
      <w:r w:rsidR="00667CB1" w:rsidRPr="00667CB1">
        <w:rPr>
          <w:rFonts w:ascii="Verdana" w:hAnsi="Verdana"/>
          <w:sz w:val="20"/>
          <w:lang w:val="es-MX"/>
        </w:rPr>
        <w:t>respecto</w:t>
      </w:r>
      <w:r w:rsidR="007D5727">
        <w:rPr>
          <w:rFonts w:ascii="Verdana" w:hAnsi="Verdana"/>
          <w:sz w:val="20"/>
          <w:lang w:val="es-MX"/>
        </w:rPr>
        <w:t xml:space="preserve"> de</w:t>
      </w:r>
      <w:r w:rsidRPr="00667CB1">
        <w:rPr>
          <w:rFonts w:ascii="Verdana" w:hAnsi="Verdana"/>
          <w:sz w:val="20"/>
          <w:lang w:val="es-MX"/>
        </w:rPr>
        <w:t xml:space="preserve"> la solicitud de información realizada por el Tribunal en la Resolución de</w:t>
      </w:r>
      <w:r w:rsidR="00E123AA" w:rsidRPr="00667CB1">
        <w:rPr>
          <w:rFonts w:ascii="Verdana" w:hAnsi="Verdana"/>
          <w:sz w:val="20"/>
          <w:lang w:val="es-MX"/>
        </w:rPr>
        <w:t xml:space="preserve"> febrero de</w:t>
      </w:r>
      <w:r w:rsidRPr="00667CB1">
        <w:rPr>
          <w:rFonts w:ascii="Verdana" w:hAnsi="Verdana"/>
          <w:sz w:val="20"/>
          <w:lang w:val="es-MX"/>
        </w:rPr>
        <w:t xml:space="preserve"> 2011 (</w:t>
      </w:r>
      <w:r w:rsidRPr="00667CB1">
        <w:rPr>
          <w:rFonts w:ascii="Verdana" w:hAnsi="Verdana"/>
          <w:i/>
          <w:sz w:val="20"/>
          <w:lang w:val="es-MX"/>
        </w:rPr>
        <w:t xml:space="preserve">supra </w:t>
      </w:r>
      <w:r w:rsidRPr="00667CB1">
        <w:rPr>
          <w:rFonts w:ascii="Verdana" w:hAnsi="Verdana"/>
          <w:sz w:val="20"/>
          <w:lang w:val="es-MX"/>
        </w:rPr>
        <w:t xml:space="preserve">Considerando </w:t>
      </w:r>
      <w:r w:rsidR="00741C6F">
        <w:rPr>
          <w:rFonts w:ascii="Verdana" w:hAnsi="Verdana"/>
          <w:sz w:val="20"/>
          <w:lang w:val="es-MX"/>
        </w:rPr>
        <w:t>5</w:t>
      </w:r>
      <w:r w:rsidRPr="00667CB1">
        <w:rPr>
          <w:rFonts w:ascii="Verdana" w:hAnsi="Verdana"/>
          <w:sz w:val="20"/>
          <w:lang w:val="es-MX"/>
        </w:rPr>
        <w:t xml:space="preserve">) en relación con el procedimiento de </w:t>
      </w:r>
      <w:r w:rsidRPr="00667CB1">
        <w:rPr>
          <w:rFonts w:ascii="Verdana" w:hAnsi="Verdana"/>
          <w:i/>
          <w:sz w:val="20"/>
          <w:lang w:val="es-MX"/>
        </w:rPr>
        <w:t>hábeas corpus</w:t>
      </w:r>
      <w:r w:rsidRPr="00667CB1">
        <w:rPr>
          <w:rFonts w:ascii="Verdana" w:hAnsi="Verdana"/>
          <w:sz w:val="20"/>
          <w:lang w:val="es-MX"/>
        </w:rPr>
        <w:t xml:space="preserve"> interpuesto </w:t>
      </w:r>
      <w:r w:rsidR="00FF11E7" w:rsidRPr="00667CB1">
        <w:rPr>
          <w:rFonts w:ascii="Verdana" w:hAnsi="Verdana"/>
          <w:sz w:val="20"/>
          <w:lang w:val="es-MX"/>
        </w:rPr>
        <w:t xml:space="preserve">por el “presunto autor mediato” </w:t>
      </w:r>
      <w:r w:rsidRPr="00667CB1">
        <w:rPr>
          <w:rFonts w:ascii="Verdana" w:hAnsi="Verdana"/>
          <w:sz w:val="20"/>
          <w:lang w:val="es-MX"/>
        </w:rPr>
        <w:t xml:space="preserve">en contra del auto de apertura del proceso penal </w:t>
      </w:r>
      <w:r w:rsidR="00332C88" w:rsidRPr="00667CB1">
        <w:rPr>
          <w:rFonts w:ascii="Verdana" w:hAnsi="Verdana"/>
          <w:sz w:val="20"/>
          <w:lang w:val="es-MX"/>
        </w:rPr>
        <w:t xml:space="preserve">de los hechos cometidos en agravio del señor Cantoral Huamaní y la señora García Santa Cruz </w:t>
      </w:r>
      <w:r w:rsidR="00FF11E7" w:rsidRPr="00667CB1">
        <w:rPr>
          <w:rFonts w:ascii="Verdana" w:hAnsi="Verdana"/>
          <w:sz w:val="20"/>
          <w:lang w:val="es-MX"/>
        </w:rPr>
        <w:t>(</w:t>
      </w:r>
      <w:r w:rsidR="00FF11E7" w:rsidRPr="00667CB1">
        <w:rPr>
          <w:rFonts w:ascii="Verdana" w:hAnsi="Verdana"/>
          <w:i/>
          <w:sz w:val="20"/>
          <w:lang w:val="es-MX"/>
        </w:rPr>
        <w:t xml:space="preserve">supra </w:t>
      </w:r>
      <w:r w:rsidR="00FF11E7" w:rsidRPr="00667CB1">
        <w:rPr>
          <w:rFonts w:ascii="Verdana" w:hAnsi="Verdana"/>
          <w:sz w:val="20"/>
          <w:lang w:val="es-MX"/>
        </w:rPr>
        <w:t xml:space="preserve">Considerando </w:t>
      </w:r>
      <w:r w:rsidR="00FF11E7">
        <w:rPr>
          <w:rFonts w:ascii="Verdana" w:hAnsi="Verdana"/>
          <w:sz w:val="20"/>
          <w:lang w:val="es-MX"/>
        </w:rPr>
        <w:t>6</w:t>
      </w:r>
      <w:r w:rsidR="00FF11E7" w:rsidRPr="00667CB1">
        <w:rPr>
          <w:rFonts w:ascii="Verdana" w:hAnsi="Verdana"/>
          <w:sz w:val="20"/>
          <w:lang w:val="es-MX"/>
        </w:rPr>
        <w:t>)</w:t>
      </w:r>
      <w:r w:rsidRPr="00667CB1">
        <w:rPr>
          <w:rFonts w:ascii="Verdana" w:hAnsi="Verdana"/>
          <w:sz w:val="20"/>
          <w:lang w:val="es-MX"/>
        </w:rPr>
        <w:t xml:space="preserve">, la Corte constata que el Tribunal Constitucional del Perú: i) en abril de 2011 “t[uvo] por desistido a[l referido imputado] del recurso de agravio constitucional interpuesto en el proceso de </w:t>
      </w:r>
      <w:r w:rsidR="009C22FD">
        <w:rPr>
          <w:rFonts w:ascii="Verdana" w:hAnsi="Verdana"/>
          <w:sz w:val="20"/>
          <w:lang w:val="es-MX"/>
        </w:rPr>
        <w:t>[</w:t>
      </w:r>
      <w:r w:rsidRPr="009C22FD">
        <w:rPr>
          <w:rFonts w:ascii="Verdana" w:hAnsi="Verdana"/>
          <w:i/>
          <w:sz w:val="20"/>
          <w:lang w:val="es-MX"/>
        </w:rPr>
        <w:t>hábeas corpus</w:t>
      </w:r>
      <w:r w:rsidRPr="00667CB1">
        <w:rPr>
          <w:rFonts w:ascii="Verdana" w:hAnsi="Verdana"/>
          <w:sz w:val="20"/>
          <w:lang w:val="es-MX"/>
        </w:rPr>
        <w:t xml:space="preserve"> …] seguido contra [… el] Fiscal Provincial de la Segunda Fiscalía Penal Supraprovincial”</w:t>
      </w:r>
      <w:r w:rsidR="00B518AE">
        <w:rPr>
          <w:rFonts w:ascii="Verdana" w:hAnsi="Verdana"/>
          <w:sz w:val="20"/>
          <w:lang w:val="es-MX"/>
        </w:rPr>
        <w:t xml:space="preserve">, </w:t>
      </w:r>
      <w:r w:rsidRPr="00667CB1">
        <w:rPr>
          <w:rFonts w:ascii="Verdana" w:hAnsi="Verdana"/>
          <w:sz w:val="20"/>
          <w:lang w:val="es-MX"/>
        </w:rPr>
        <w:t>y ii) en diciembre de 2013 “declar[ó] improcedente la demanda” interpuesta por el imputado en cuestión con el objetivo de “dej[ar] sin efecto el auto de apertura de instrucción” del proceso penal N°. 935-07-0-JR</w:t>
      </w:r>
      <w:r>
        <w:rPr>
          <w:rStyle w:val="Refdenotaalpie"/>
          <w:rFonts w:ascii="Verdana" w:hAnsi="Verdana"/>
          <w:sz w:val="20"/>
          <w:lang w:val="es-MX"/>
        </w:rPr>
        <w:footnoteReference w:id="19"/>
      </w:r>
      <w:r w:rsidRPr="00667CB1">
        <w:rPr>
          <w:rFonts w:ascii="Verdana" w:hAnsi="Verdana"/>
          <w:sz w:val="20"/>
          <w:lang w:val="es-MX"/>
        </w:rPr>
        <w:t>.</w:t>
      </w:r>
      <w:r w:rsidR="00B518AE">
        <w:rPr>
          <w:rFonts w:ascii="Verdana" w:hAnsi="Verdana"/>
          <w:sz w:val="20"/>
          <w:lang w:val="es-MX"/>
        </w:rPr>
        <w:t xml:space="preserve"> </w:t>
      </w:r>
      <w:r w:rsidR="00667CB1" w:rsidRPr="00667CB1">
        <w:rPr>
          <w:rFonts w:ascii="Verdana" w:hAnsi="Verdana"/>
          <w:sz w:val="20"/>
          <w:lang w:val="es-MX"/>
        </w:rPr>
        <w:t>Esta Corte destaca que en la decisión de diciembre de 2013, dicho Tribunal Constitucional realizó, entre otras consideraciones, las siguientes valoraciones respecto a “[l]a obligación internacional del Estado peruano de cumplir la sentencia del caso Cantoral Huamaní y García Santa Cruz”:</w:t>
      </w:r>
    </w:p>
    <w:p w:rsidR="00667CB1" w:rsidRPr="00084C87" w:rsidRDefault="00667CB1" w:rsidP="00667CB1">
      <w:pPr>
        <w:pStyle w:val="Listavistosa-nfasis1"/>
        <w:rPr>
          <w:rFonts w:ascii="Verdana" w:hAnsi="Verdana"/>
          <w:sz w:val="10"/>
          <w:szCs w:val="10"/>
          <w:lang w:val="es-MX"/>
        </w:rPr>
      </w:pPr>
    </w:p>
    <w:p w:rsidR="00667CB1" w:rsidRPr="008F7462" w:rsidRDefault="00667CB1" w:rsidP="00667CB1">
      <w:pPr>
        <w:pStyle w:val="Listavistosa-nfasis1"/>
        <w:spacing w:after="0" w:line="240" w:lineRule="auto"/>
        <w:ind w:right="720"/>
        <w:contextualSpacing w:val="0"/>
        <w:jc w:val="both"/>
        <w:rPr>
          <w:rFonts w:ascii="Verdana" w:hAnsi="Verdana"/>
          <w:b/>
          <w:sz w:val="18"/>
          <w:lang w:val="es-MX"/>
        </w:rPr>
      </w:pPr>
      <w:r w:rsidRPr="000F1DE0">
        <w:rPr>
          <w:rFonts w:ascii="Verdana" w:hAnsi="Verdana"/>
          <w:sz w:val="18"/>
          <w:lang w:val="es-MX"/>
        </w:rPr>
        <w:t>[…] debe tenerse en cuenta que declarar la nulidad de</w:t>
      </w:r>
      <w:r>
        <w:rPr>
          <w:rFonts w:ascii="Verdana" w:hAnsi="Verdana"/>
          <w:sz w:val="18"/>
          <w:lang w:val="es-MX"/>
        </w:rPr>
        <w:t>[l auto de apertura de instrucción ordenado en]</w:t>
      </w:r>
      <w:r w:rsidRPr="000F1DE0">
        <w:rPr>
          <w:rFonts w:ascii="Verdana" w:hAnsi="Verdana"/>
          <w:sz w:val="18"/>
          <w:lang w:val="es-MX"/>
        </w:rPr>
        <w:t xml:space="preserve"> la Resolución N°. 01, expedida por el Cuarto Juzgado Penal Supraprovincial, tal como es la pretensión de la demanda de autos, supondría un incumplimiento directo de la Sentencia de la Corte IDH, recaída en el caso Cantoral Huamaní y García Santa Cruz […], cuyo punto resolutivo N°. 9 ha ordenado al Estado peruano [</w:t>
      </w:r>
      <w:r>
        <w:rPr>
          <w:rFonts w:ascii="Verdana" w:hAnsi="Verdana"/>
          <w:sz w:val="18"/>
          <w:lang w:val="es-MX"/>
        </w:rPr>
        <w:t xml:space="preserve">la obligación de investigar, juzgar y, de ser el caso, sancionar. </w:t>
      </w:r>
      <w:r w:rsidRPr="000F1DE0">
        <w:rPr>
          <w:rFonts w:ascii="Verdana" w:hAnsi="Verdana"/>
          <w:sz w:val="18"/>
          <w:lang w:val="es-MX"/>
        </w:rPr>
        <w:t xml:space="preserve">…] Por lo demás, no se puede ignorar que, a la fecha de emisión de </w:t>
      </w:r>
      <w:r>
        <w:rPr>
          <w:rFonts w:ascii="Verdana" w:hAnsi="Verdana"/>
          <w:sz w:val="18"/>
          <w:lang w:val="es-MX"/>
        </w:rPr>
        <w:t xml:space="preserve">[dicha] </w:t>
      </w:r>
      <w:r w:rsidRPr="000F1DE0">
        <w:rPr>
          <w:rFonts w:ascii="Verdana" w:hAnsi="Verdana"/>
          <w:sz w:val="18"/>
          <w:lang w:val="es-MX"/>
        </w:rPr>
        <w:t>sentencia, han pasado nada menos que 23 años desde la comisión de los presuntos hechos delictivos, lo que hace evidente que optar por la nulidad del a</w:t>
      </w:r>
      <w:r w:rsidR="001A674F">
        <w:rPr>
          <w:rFonts w:ascii="Verdana" w:hAnsi="Verdana"/>
          <w:sz w:val="18"/>
          <w:lang w:val="es-MX"/>
        </w:rPr>
        <w:t>u</w:t>
      </w:r>
      <w:r w:rsidRPr="000F1DE0">
        <w:rPr>
          <w:rFonts w:ascii="Verdana" w:hAnsi="Verdana"/>
          <w:sz w:val="18"/>
          <w:lang w:val="es-MX"/>
        </w:rPr>
        <w:t xml:space="preserve">to cuestionado supondría condenar a los familiares de las víctimas a una </w:t>
      </w:r>
      <w:r w:rsidR="001A674F">
        <w:rPr>
          <w:rFonts w:ascii="Verdana" w:hAnsi="Verdana"/>
          <w:sz w:val="18"/>
          <w:lang w:val="es-MX"/>
        </w:rPr>
        <w:t xml:space="preserve">nueva </w:t>
      </w:r>
      <w:r w:rsidRPr="000F1DE0">
        <w:rPr>
          <w:rFonts w:ascii="Verdana" w:hAnsi="Verdana"/>
          <w:sz w:val="18"/>
          <w:lang w:val="es-MX"/>
        </w:rPr>
        <w:t>dilación en la investigación y sanción de los responsables, a nuestro criterio injustificada, tanto más si la propia Corte […] condenó al Estado Peruano por haber vulnerado el derecho al plazo razonable […</w:t>
      </w:r>
      <w:r>
        <w:rPr>
          <w:rFonts w:ascii="Verdana" w:hAnsi="Verdana"/>
          <w:sz w:val="18"/>
          <w:lang w:val="es-MX"/>
        </w:rPr>
        <w:t xml:space="preserve"> E</w:t>
      </w:r>
      <w:r w:rsidRPr="000F1DE0">
        <w:rPr>
          <w:rFonts w:ascii="Verdana" w:hAnsi="Verdana"/>
          <w:sz w:val="18"/>
          <w:lang w:val="es-MX"/>
        </w:rPr>
        <w:t>]</w:t>
      </w:r>
      <w:r>
        <w:rPr>
          <w:rFonts w:ascii="Verdana" w:hAnsi="Verdana"/>
          <w:sz w:val="18"/>
          <w:lang w:val="es-MX"/>
        </w:rPr>
        <w:t xml:space="preserve">s razonable concluir que, por medio de la Resolución N°. 01, el </w:t>
      </w:r>
      <w:r w:rsidRPr="000F1DE0">
        <w:rPr>
          <w:rFonts w:ascii="Verdana" w:hAnsi="Verdana"/>
          <w:sz w:val="18"/>
          <w:lang w:val="es-MX"/>
        </w:rPr>
        <w:t>Cuarto Juzgado Penal Supraprovincial</w:t>
      </w:r>
      <w:r>
        <w:rPr>
          <w:rFonts w:ascii="Verdana" w:hAnsi="Verdana"/>
          <w:sz w:val="18"/>
          <w:lang w:val="es-MX"/>
        </w:rPr>
        <w:t xml:space="preserve"> no ha hecho otra cosa que cumplir una orden emanada de una sentencia internacional dictada por la Corte IDH, siguiendo a tal efecto los parámetros allí fijados. </w:t>
      </w:r>
    </w:p>
    <w:p w:rsidR="00667CB1" w:rsidRPr="00084C87" w:rsidRDefault="00667CB1" w:rsidP="00667CB1">
      <w:pPr>
        <w:pStyle w:val="Listavistosa-nfasis1"/>
        <w:spacing w:after="0" w:line="240" w:lineRule="auto"/>
        <w:ind w:left="0"/>
        <w:contextualSpacing w:val="0"/>
        <w:jc w:val="both"/>
        <w:rPr>
          <w:rFonts w:ascii="Verdana" w:hAnsi="Verdana"/>
          <w:sz w:val="10"/>
          <w:szCs w:val="10"/>
          <w:lang w:val="es-MX"/>
        </w:rPr>
      </w:pPr>
    </w:p>
    <w:p w:rsidR="00667CB1" w:rsidRPr="00734610" w:rsidRDefault="00667CB1" w:rsidP="00096557">
      <w:pPr>
        <w:widowControl w:val="0"/>
        <w:numPr>
          <w:ilvl w:val="0"/>
          <w:numId w:val="26"/>
        </w:numPr>
        <w:tabs>
          <w:tab w:val="left" w:pos="720"/>
        </w:tabs>
        <w:autoSpaceDE w:val="0"/>
        <w:autoSpaceDN w:val="0"/>
        <w:adjustRightInd w:val="0"/>
        <w:spacing w:after="0" w:line="240" w:lineRule="auto"/>
        <w:ind w:left="0" w:firstLine="0"/>
        <w:jc w:val="both"/>
        <w:rPr>
          <w:rFonts w:ascii="Verdana" w:hAnsi="Verdana"/>
          <w:sz w:val="20"/>
          <w:lang w:val="es-MX"/>
        </w:rPr>
      </w:pPr>
      <w:r w:rsidRPr="00734610">
        <w:rPr>
          <w:rFonts w:ascii="Verdana" w:hAnsi="Verdana"/>
          <w:sz w:val="20"/>
          <w:szCs w:val="20"/>
          <w:lang w:val="es-MX"/>
        </w:rPr>
        <w:t>Este Tribunal</w:t>
      </w:r>
      <w:r w:rsidRPr="00734610">
        <w:rPr>
          <w:rFonts w:ascii="Verdana" w:hAnsi="Verdana"/>
          <w:sz w:val="20"/>
          <w:lang w:val="es-CR"/>
        </w:rPr>
        <w:t xml:space="preserve"> valora positivamente la referida decisión judicial interna (</w:t>
      </w:r>
      <w:r w:rsidRPr="00734610">
        <w:rPr>
          <w:rFonts w:ascii="Verdana" w:hAnsi="Verdana"/>
          <w:i/>
          <w:sz w:val="20"/>
          <w:lang w:val="es-CR"/>
        </w:rPr>
        <w:t xml:space="preserve">supra </w:t>
      </w:r>
      <w:r w:rsidRPr="00734610">
        <w:rPr>
          <w:rFonts w:ascii="Verdana" w:hAnsi="Verdana"/>
          <w:sz w:val="20"/>
          <w:lang w:val="es-CR"/>
        </w:rPr>
        <w:t xml:space="preserve">Considerando </w:t>
      </w:r>
      <w:r w:rsidR="001A674F">
        <w:rPr>
          <w:rFonts w:ascii="Verdana" w:hAnsi="Verdana"/>
          <w:sz w:val="20"/>
          <w:lang w:val="es-CR"/>
        </w:rPr>
        <w:t>7</w:t>
      </w:r>
      <w:r w:rsidRPr="00734610">
        <w:rPr>
          <w:rFonts w:ascii="Verdana" w:hAnsi="Verdana"/>
          <w:sz w:val="20"/>
          <w:lang w:val="es-CR"/>
        </w:rPr>
        <w:t xml:space="preserve">), en tanto </w:t>
      </w:r>
      <w:r>
        <w:rPr>
          <w:rFonts w:ascii="Verdana" w:hAnsi="Verdana"/>
          <w:sz w:val="20"/>
          <w:lang w:val="es-CR"/>
        </w:rPr>
        <w:t>la misma constituye</w:t>
      </w:r>
      <w:r w:rsidRPr="00734610">
        <w:rPr>
          <w:rFonts w:ascii="Verdana" w:hAnsi="Verdana"/>
          <w:sz w:val="20"/>
          <w:lang w:val="es-CR"/>
        </w:rPr>
        <w:t xml:space="preserve"> un importante aporte para </w:t>
      </w:r>
      <w:r>
        <w:rPr>
          <w:rFonts w:ascii="Verdana" w:hAnsi="Verdana"/>
          <w:sz w:val="20"/>
          <w:lang w:val="es-CR"/>
        </w:rPr>
        <w:t>asegurar un</w:t>
      </w:r>
      <w:r w:rsidRPr="00734610">
        <w:rPr>
          <w:rFonts w:ascii="Verdana" w:hAnsi="Verdana"/>
          <w:sz w:val="20"/>
          <w:lang w:val="es-CR"/>
        </w:rPr>
        <w:t xml:space="preserve"> adecuado cumplimiento de </w:t>
      </w:r>
      <w:r>
        <w:rPr>
          <w:rFonts w:ascii="Verdana" w:hAnsi="Verdana"/>
          <w:sz w:val="20"/>
          <w:lang w:val="es-CR"/>
        </w:rPr>
        <w:t>la obligación de investigar</w:t>
      </w:r>
      <w:r w:rsidRPr="00734610">
        <w:rPr>
          <w:rFonts w:ascii="Verdana" w:hAnsi="Verdana"/>
          <w:sz w:val="20"/>
          <w:lang w:val="es-CR"/>
        </w:rPr>
        <w:t>. Como esta Corte ha señalado con anterioridad</w:t>
      </w:r>
      <w:r w:rsidR="00096557">
        <w:rPr>
          <w:rStyle w:val="Refdenotaalpie"/>
          <w:rFonts w:ascii="Verdana" w:hAnsi="Verdana"/>
          <w:sz w:val="20"/>
          <w:lang w:val="es-CR"/>
        </w:rPr>
        <w:footnoteReference w:id="20"/>
      </w:r>
      <w:r w:rsidRPr="00734610">
        <w:rPr>
          <w:rFonts w:ascii="Verdana" w:hAnsi="Verdana"/>
          <w:sz w:val="20"/>
          <w:lang w:val="es-CR"/>
        </w:rPr>
        <w:t>, los tribunales internos también tienen –en el ámbito de sus competencias- un papel fundamental en el cumplimiento o implementación de las Sentencias de la Corte Interamericana, ya que deben velar por el acatamiento de las disposiciones convencionales. El que la Corte Interamericana determine el estado de cumplimiento de las medidas de reparación ordenadas en sus Sentencias, no excluye que los tribunales constitucionales asuman ese importante rol</w:t>
      </w:r>
      <w:r w:rsidRPr="008461DE">
        <w:rPr>
          <w:rStyle w:val="Refdenotaalpie"/>
          <w:rFonts w:ascii="Verdana" w:hAnsi="Verdana"/>
          <w:sz w:val="20"/>
          <w:lang w:val="es-CR"/>
        </w:rPr>
        <w:footnoteReference w:id="21"/>
      </w:r>
      <w:r w:rsidRPr="00734610">
        <w:rPr>
          <w:rFonts w:ascii="Verdana" w:hAnsi="Verdana"/>
          <w:sz w:val="20"/>
          <w:lang w:val="es-CR"/>
        </w:rPr>
        <w:t>, tal como se desprend</w:t>
      </w:r>
      <w:r w:rsidR="005D6740">
        <w:rPr>
          <w:rFonts w:ascii="Verdana" w:hAnsi="Verdana"/>
          <w:sz w:val="20"/>
          <w:lang w:val="es-CR"/>
        </w:rPr>
        <w:t>e de la referida sentencia del Tr</w:t>
      </w:r>
      <w:r w:rsidRPr="00734610">
        <w:rPr>
          <w:rFonts w:ascii="Verdana" w:hAnsi="Verdana"/>
          <w:sz w:val="20"/>
          <w:lang w:val="es-CR"/>
        </w:rPr>
        <w:t xml:space="preserve">ibunal </w:t>
      </w:r>
      <w:r w:rsidR="005D6740">
        <w:rPr>
          <w:rFonts w:ascii="Verdana" w:hAnsi="Verdana"/>
          <w:sz w:val="20"/>
          <w:szCs w:val="20"/>
          <w:lang w:val="es-CR"/>
        </w:rPr>
        <w:t>C</w:t>
      </w:r>
      <w:r w:rsidRPr="00734610">
        <w:rPr>
          <w:rFonts w:ascii="Verdana" w:hAnsi="Verdana"/>
          <w:sz w:val="20"/>
          <w:szCs w:val="20"/>
          <w:lang w:val="es-CR"/>
        </w:rPr>
        <w:t>onstitucional peruano.</w:t>
      </w:r>
    </w:p>
    <w:p w:rsidR="00667CB1" w:rsidRPr="00084C87" w:rsidRDefault="00667CB1" w:rsidP="00667CB1">
      <w:pPr>
        <w:widowControl w:val="0"/>
        <w:autoSpaceDE w:val="0"/>
        <w:autoSpaceDN w:val="0"/>
        <w:adjustRightInd w:val="0"/>
        <w:spacing w:after="0" w:line="240" w:lineRule="auto"/>
        <w:jc w:val="both"/>
        <w:rPr>
          <w:rFonts w:ascii="Verdana" w:hAnsi="Verdana"/>
          <w:sz w:val="10"/>
          <w:szCs w:val="10"/>
          <w:lang w:val="es-MX"/>
        </w:rPr>
      </w:pPr>
    </w:p>
    <w:p w:rsidR="00667CB1" w:rsidRPr="0047235E" w:rsidRDefault="0047235E" w:rsidP="00C8662E">
      <w:pPr>
        <w:pStyle w:val="Listavistosa-nfasis1"/>
        <w:numPr>
          <w:ilvl w:val="0"/>
          <w:numId w:val="26"/>
        </w:numPr>
        <w:spacing w:after="0" w:line="240" w:lineRule="auto"/>
        <w:ind w:left="0" w:firstLine="0"/>
        <w:contextualSpacing w:val="0"/>
        <w:jc w:val="both"/>
        <w:rPr>
          <w:rFonts w:ascii="Verdana" w:hAnsi="Verdana"/>
          <w:sz w:val="20"/>
          <w:lang w:val="es-MX"/>
        </w:rPr>
      </w:pPr>
      <w:r>
        <w:rPr>
          <w:rFonts w:ascii="Verdana" w:hAnsi="Verdana"/>
          <w:sz w:val="20"/>
          <w:lang w:val="es-MX"/>
        </w:rPr>
        <w:t>Respecto a la objeción reiterada de</w:t>
      </w:r>
      <w:r w:rsidR="00667CB1">
        <w:rPr>
          <w:rFonts w:ascii="Verdana" w:hAnsi="Verdana"/>
          <w:sz w:val="20"/>
          <w:lang w:val="es-MX"/>
        </w:rPr>
        <w:t xml:space="preserve"> los representantes de las víctimas, en el sentido de que </w:t>
      </w:r>
      <w:r w:rsidR="00667CB1" w:rsidRPr="00796039">
        <w:rPr>
          <w:rFonts w:ascii="Verdana" w:hAnsi="Verdana"/>
          <w:sz w:val="20"/>
          <w:lang w:val="es-MX"/>
        </w:rPr>
        <w:t>“la posible presentación de demandas</w:t>
      </w:r>
      <w:r w:rsidR="00667CB1">
        <w:rPr>
          <w:rFonts w:ascii="Verdana" w:hAnsi="Verdana"/>
          <w:sz w:val="20"/>
          <w:lang w:val="es-MX"/>
        </w:rPr>
        <w:t xml:space="preserve">” de </w:t>
      </w:r>
      <w:r w:rsidR="00667CB1" w:rsidRPr="009C22FD">
        <w:rPr>
          <w:rFonts w:ascii="Verdana" w:hAnsi="Verdana"/>
          <w:i/>
          <w:sz w:val="20"/>
          <w:lang w:val="es-MX"/>
        </w:rPr>
        <w:t>hábeas corpus</w:t>
      </w:r>
      <w:r w:rsidR="00667CB1">
        <w:rPr>
          <w:rFonts w:ascii="Verdana" w:hAnsi="Verdana"/>
          <w:sz w:val="20"/>
          <w:lang w:val="es-MX"/>
        </w:rPr>
        <w:t xml:space="preserve"> y “la falta de regulación con respecto a la intervención de los familiares de las víctimas en los eventuales procesos de habeas corpus, que otros procesados podrían plantear para cuestionar el proceso penal” puede “afectar” el cumplimiento de la presente medida</w:t>
      </w:r>
      <w:r w:rsidR="00173D74">
        <w:rPr>
          <w:rStyle w:val="Refdenotaalpie"/>
          <w:rFonts w:ascii="Verdana" w:hAnsi="Verdana"/>
          <w:sz w:val="20"/>
          <w:lang w:val="es-MX"/>
        </w:rPr>
        <w:footnoteReference w:id="22"/>
      </w:r>
      <w:r w:rsidR="00667CB1">
        <w:rPr>
          <w:rFonts w:ascii="Verdana" w:hAnsi="Verdana"/>
          <w:sz w:val="20"/>
          <w:lang w:val="es-MX"/>
        </w:rPr>
        <w:t xml:space="preserve">, </w:t>
      </w:r>
      <w:r>
        <w:rPr>
          <w:rFonts w:ascii="Verdana" w:hAnsi="Verdana"/>
          <w:sz w:val="20"/>
          <w:lang w:val="es-MX"/>
        </w:rPr>
        <w:t xml:space="preserve">este Tribunal </w:t>
      </w:r>
      <w:r w:rsidR="00667CB1" w:rsidRPr="0047235E">
        <w:rPr>
          <w:rFonts w:ascii="Verdana" w:hAnsi="Verdana"/>
          <w:sz w:val="20"/>
          <w:lang w:val="es-MX"/>
        </w:rPr>
        <w:t xml:space="preserve">debe destacar que, de la información presentada por las partes, solamente un imputado ejerció su derecho a presentar un recurso de </w:t>
      </w:r>
      <w:r w:rsidR="00667CB1" w:rsidRPr="009C22FD">
        <w:rPr>
          <w:rFonts w:ascii="Verdana" w:hAnsi="Verdana"/>
          <w:i/>
          <w:sz w:val="20"/>
          <w:lang w:val="es-MX"/>
        </w:rPr>
        <w:t>hábeas corpus</w:t>
      </w:r>
      <w:r w:rsidR="002A7A66">
        <w:rPr>
          <w:rFonts w:ascii="Verdana" w:hAnsi="Verdana"/>
          <w:sz w:val="20"/>
          <w:lang w:val="es-MX"/>
        </w:rPr>
        <w:t>. Además,</w:t>
      </w:r>
      <w:r w:rsidR="00667CB1" w:rsidRPr="0047235E">
        <w:rPr>
          <w:rFonts w:ascii="Verdana" w:hAnsi="Verdana"/>
          <w:sz w:val="20"/>
          <w:lang w:val="es-MX"/>
        </w:rPr>
        <w:t xml:space="preserve"> al momento de resolver sobre el mismo, el Tribunal Constitucional tomó en consideración los efectos que la resolución de dicho recurso podría tener sobre la obligación internacional del Estado relativa a investigar, juzgar y, de ser el caso, sancionar </w:t>
      </w:r>
      <w:r w:rsidR="007D1592">
        <w:rPr>
          <w:rFonts w:ascii="Verdana" w:hAnsi="Verdana"/>
          <w:sz w:val="20"/>
          <w:lang w:val="es-MX"/>
        </w:rPr>
        <w:t xml:space="preserve">a los responsables de </w:t>
      </w:r>
      <w:r w:rsidR="00667CB1" w:rsidRPr="0047235E">
        <w:rPr>
          <w:rFonts w:ascii="Verdana" w:hAnsi="Verdana"/>
          <w:sz w:val="20"/>
          <w:lang w:val="es-MX"/>
        </w:rPr>
        <w:t>los hechos del presente caso (</w:t>
      </w:r>
      <w:r w:rsidR="00667CB1" w:rsidRPr="0047235E">
        <w:rPr>
          <w:rFonts w:ascii="Verdana" w:hAnsi="Verdana"/>
          <w:i/>
          <w:sz w:val="20"/>
          <w:lang w:val="es-MX"/>
        </w:rPr>
        <w:t xml:space="preserve">supra </w:t>
      </w:r>
      <w:r w:rsidR="002A7A66">
        <w:rPr>
          <w:rFonts w:ascii="Verdana" w:hAnsi="Verdana"/>
          <w:sz w:val="20"/>
          <w:lang w:val="es-MX"/>
        </w:rPr>
        <w:t>Considerando</w:t>
      </w:r>
      <w:r w:rsidR="00667CB1" w:rsidRPr="0047235E">
        <w:rPr>
          <w:rFonts w:ascii="Verdana" w:hAnsi="Verdana"/>
          <w:sz w:val="20"/>
          <w:lang w:val="es-MX"/>
        </w:rPr>
        <w:t xml:space="preserve"> </w:t>
      </w:r>
      <w:r w:rsidR="001A674F">
        <w:rPr>
          <w:rFonts w:ascii="Verdana" w:hAnsi="Verdana"/>
          <w:sz w:val="20"/>
          <w:lang w:val="es-MX"/>
        </w:rPr>
        <w:t>7</w:t>
      </w:r>
      <w:r w:rsidR="00667CB1" w:rsidRPr="0047235E">
        <w:rPr>
          <w:rFonts w:ascii="Verdana" w:hAnsi="Verdana"/>
          <w:sz w:val="20"/>
          <w:lang w:val="es-MX"/>
        </w:rPr>
        <w:t>)</w:t>
      </w:r>
      <w:r w:rsidR="00E74A28" w:rsidRPr="0047235E">
        <w:rPr>
          <w:rFonts w:ascii="Verdana" w:hAnsi="Verdana"/>
          <w:sz w:val="20"/>
          <w:lang w:val="es-MX"/>
        </w:rPr>
        <w:t xml:space="preserve">. </w:t>
      </w:r>
    </w:p>
    <w:p w:rsidR="00667CB1" w:rsidRPr="00667CB1" w:rsidRDefault="00667CB1" w:rsidP="00667CB1">
      <w:pPr>
        <w:pStyle w:val="Listavistosa-nfasis1"/>
        <w:spacing w:after="0" w:line="240" w:lineRule="auto"/>
        <w:ind w:left="0"/>
        <w:contextualSpacing w:val="0"/>
        <w:jc w:val="both"/>
        <w:rPr>
          <w:rFonts w:ascii="Verdana" w:hAnsi="Verdana"/>
          <w:sz w:val="10"/>
          <w:szCs w:val="10"/>
          <w:lang w:val="es-MX"/>
        </w:rPr>
      </w:pPr>
    </w:p>
    <w:p w:rsidR="00986257" w:rsidRDefault="00E74A28" w:rsidP="00C8662E">
      <w:pPr>
        <w:pStyle w:val="Listavistosa-nfasis1"/>
        <w:numPr>
          <w:ilvl w:val="0"/>
          <w:numId w:val="26"/>
        </w:numPr>
        <w:spacing w:after="0" w:line="240" w:lineRule="auto"/>
        <w:ind w:left="0" w:firstLine="0"/>
        <w:contextualSpacing w:val="0"/>
        <w:jc w:val="both"/>
        <w:rPr>
          <w:rFonts w:ascii="Verdana" w:hAnsi="Verdana"/>
          <w:sz w:val="20"/>
          <w:lang w:val="es-MX"/>
        </w:rPr>
      </w:pPr>
      <w:r>
        <w:rPr>
          <w:rFonts w:ascii="Verdana" w:hAnsi="Verdana"/>
          <w:sz w:val="20"/>
          <w:lang w:val="es-MX"/>
        </w:rPr>
        <w:t>Por otra parte, e</w:t>
      </w:r>
      <w:r w:rsidR="00231E69" w:rsidRPr="00236856">
        <w:rPr>
          <w:rFonts w:ascii="Verdana" w:hAnsi="Verdana"/>
          <w:sz w:val="20"/>
          <w:lang w:val="es-MX"/>
        </w:rPr>
        <w:t>n relación con el proceso penal</w:t>
      </w:r>
      <w:r>
        <w:rPr>
          <w:rFonts w:ascii="Verdana" w:hAnsi="Verdana"/>
          <w:sz w:val="20"/>
          <w:lang w:val="es-MX"/>
        </w:rPr>
        <w:t xml:space="preserve"> por los hechos del presente caso (</w:t>
      </w:r>
      <w:r>
        <w:rPr>
          <w:rFonts w:ascii="Verdana" w:hAnsi="Verdana"/>
          <w:i/>
          <w:sz w:val="20"/>
          <w:lang w:val="es-MX"/>
        </w:rPr>
        <w:t xml:space="preserve">supra </w:t>
      </w:r>
      <w:r>
        <w:rPr>
          <w:rFonts w:ascii="Verdana" w:hAnsi="Verdana"/>
          <w:sz w:val="20"/>
          <w:lang w:val="es-MX"/>
        </w:rPr>
        <w:t xml:space="preserve">Considerando </w:t>
      </w:r>
      <w:r w:rsidR="00E203E6">
        <w:rPr>
          <w:rFonts w:ascii="Verdana" w:hAnsi="Verdana"/>
          <w:sz w:val="20"/>
          <w:lang w:val="es-MX"/>
        </w:rPr>
        <w:t>6</w:t>
      </w:r>
      <w:r>
        <w:rPr>
          <w:rFonts w:ascii="Verdana" w:hAnsi="Verdana"/>
          <w:sz w:val="20"/>
          <w:lang w:val="es-MX"/>
        </w:rPr>
        <w:t>)</w:t>
      </w:r>
      <w:r w:rsidR="00231E69" w:rsidRPr="00236856">
        <w:rPr>
          <w:rFonts w:ascii="Verdana" w:hAnsi="Verdana"/>
          <w:sz w:val="20"/>
          <w:lang w:val="es-MX"/>
        </w:rPr>
        <w:t>, e</w:t>
      </w:r>
      <w:r w:rsidR="00E152DC" w:rsidRPr="00236856">
        <w:rPr>
          <w:rFonts w:ascii="Verdana" w:hAnsi="Verdana"/>
          <w:sz w:val="20"/>
          <w:lang w:val="es-MX"/>
        </w:rPr>
        <w:t xml:space="preserve">l Tribunal observa que los representantes de las víctimas señalaron que “debido a una serie de decisiones por parte del Consejo Ejecutivo del Poder Judicial […] se ha afectado gravemente el debido proceso”. Al respecto, </w:t>
      </w:r>
      <w:r w:rsidR="00F51359" w:rsidRPr="00236856">
        <w:rPr>
          <w:rFonts w:ascii="Verdana" w:hAnsi="Verdana"/>
          <w:sz w:val="20"/>
          <w:lang w:val="es-MX"/>
        </w:rPr>
        <w:t>la Corte constata que en marzo de 2014, el Consejo Ejecutivo del Poder Judicial</w:t>
      </w:r>
      <w:r w:rsidR="00F51359" w:rsidRPr="00D2090E">
        <w:rPr>
          <w:rStyle w:val="Refdenotaalpie"/>
          <w:rFonts w:ascii="Verdana" w:hAnsi="Verdana"/>
          <w:sz w:val="20"/>
          <w:lang w:val="es-MX"/>
        </w:rPr>
        <w:footnoteReference w:id="23"/>
      </w:r>
      <w:r w:rsidR="00F51359" w:rsidRPr="00D2090E">
        <w:rPr>
          <w:rFonts w:ascii="Verdana" w:hAnsi="Verdana"/>
          <w:sz w:val="20"/>
          <w:lang w:val="es-MX"/>
        </w:rPr>
        <w:t xml:space="preserve"> emitió una Resolución Administrativa para “[d]ar por concluidas” y realizar otras “designaciones” de “magistrados integrantes de la Sala Penal Nacional”. </w:t>
      </w:r>
      <w:r w:rsidR="00F51359" w:rsidRPr="00084C87">
        <w:rPr>
          <w:rFonts w:ascii="Verdana" w:hAnsi="Verdana"/>
          <w:sz w:val="20"/>
          <w:lang w:val="es-MX"/>
        </w:rPr>
        <w:t xml:space="preserve">El Tribunal también </w:t>
      </w:r>
      <w:r w:rsidR="00236856">
        <w:rPr>
          <w:rFonts w:ascii="Verdana" w:hAnsi="Verdana"/>
          <w:sz w:val="20"/>
          <w:lang w:val="es-MX"/>
        </w:rPr>
        <w:t>nota</w:t>
      </w:r>
      <w:r w:rsidR="00F51359" w:rsidRPr="00084C87">
        <w:rPr>
          <w:rFonts w:ascii="Verdana" w:hAnsi="Verdana"/>
          <w:sz w:val="20"/>
          <w:lang w:val="es-MX"/>
        </w:rPr>
        <w:t xml:space="preserve"> que si bien en la referida Resolución Administrativa se estableció que la misma “no deberá generar el quiebre de las audiencias en giro ante la Sala Penal Nacional”, el proceso penal del presente caso </w:t>
      </w:r>
      <w:r w:rsidR="00236856">
        <w:rPr>
          <w:rFonts w:ascii="Verdana" w:hAnsi="Verdana"/>
          <w:sz w:val="20"/>
          <w:lang w:val="es-MX"/>
        </w:rPr>
        <w:t>tuvo un “quiebre” procesal</w:t>
      </w:r>
      <w:r w:rsidR="00F51359" w:rsidRPr="00084C87">
        <w:rPr>
          <w:rFonts w:ascii="Verdana" w:hAnsi="Verdana"/>
          <w:sz w:val="20"/>
          <w:lang w:val="es-MX"/>
        </w:rPr>
        <w:t xml:space="preserve"> en octubre de 2014</w:t>
      </w:r>
      <w:r w:rsidR="00F51359" w:rsidRPr="00084C87">
        <w:rPr>
          <w:rStyle w:val="Refdenotaalpie"/>
          <w:rFonts w:ascii="Verdana" w:hAnsi="Verdana"/>
          <w:sz w:val="20"/>
          <w:lang w:val="es-MX"/>
        </w:rPr>
        <w:footnoteReference w:id="24"/>
      </w:r>
      <w:r w:rsidR="00F51359" w:rsidRPr="00084C87">
        <w:rPr>
          <w:rFonts w:ascii="Verdana" w:hAnsi="Verdana"/>
          <w:sz w:val="20"/>
          <w:lang w:val="es-MX"/>
        </w:rPr>
        <w:t>, cuando –de conformidad con lo afirmado por los representantes y no controvertido por el Estado- “se realizaba el interrogatorio” del presunto autor material</w:t>
      </w:r>
      <w:r w:rsidR="00986257">
        <w:rPr>
          <w:rFonts w:ascii="Verdana" w:hAnsi="Verdana"/>
          <w:sz w:val="20"/>
          <w:lang w:val="es-MX"/>
        </w:rPr>
        <w:t>,</w:t>
      </w:r>
      <w:r w:rsidR="00F51359" w:rsidRPr="00084C87">
        <w:rPr>
          <w:rFonts w:ascii="Verdana" w:hAnsi="Verdana"/>
          <w:sz w:val="20"/>
          <w:lang w:val="es-MX"/>
        </w:rPr>
        <w:t xml:space="preserve"> que posteriormente falleció en 2015</w:t>
      </w:r>
      <w:r w:rsidR="00986257">
        <w:rPr>
          <w:rFonts w:ascii="Verdana" w:hAnsi="Verdana"/>
          <w:sz w:val="20"/>
          <w:lang w:val="es-MX"/>
        </w:rPr>
        <w:t xml:space="preserve"> (</w:t>
      </w:r>
      <w:r w:rsidR="00986257">
        <w:rPr>
          <w:rFonts w:ascii="Verdana" w:hAnsi="Verdana"/>
          <w:i/>
          <w:sz w:val="20"/>
          <w:lang w:val="es-MX"/>
        </w:rPr>
        <w:t xml:space="preserve">infra </w:t>
      </w:r>
      <w:r w:rsidR="00986257">
        <w:rPr>
          <w:rFonts w:ascii="Verdana" w:hAnsi="Verdana"/>
          <w:sz w:val="20"/>
          <w:lang w:val="es-MX"/>
        </w:rPr>
        <w:t xml:space="preserve">Considerando </w:t>
      </w:r>
      <w:r w:rsidR="001A674F">
        <w:rPr>
          <w:rFonts w:ascii="Verdana" w:hAnsi="Verdana"/>
          <w:sz w:val="20"/>
          <w:lang w:val="es-MX"/>
        </w:rPr>
        <w:t>13</w:t>
      </w:r>
      <w:r w:rsidR="00986257">
        <w:rPr>
          <w:rFonts w:ascii="Verdana" w:hAnsi="Verdana"/>
          <w:sz w:val="20"/>
          <w:lang w:val="es-MX"/>
        </w:rPr>
        <w:t>)</w:t>
      </w:r>
      <w:r w:rsidR="008428A9">
        <w:rPr>
          <w:rStyle w:val="Refdenotaalpie"/>
          <w:rFonts w:ascii="Verdana" w:hAnsi="Verdana"/>
          <w:sz w:val="20"/>
          <w:lang w:val="es-MX"/>
        </w:rPr>
        <w:footnoteReference w:id="25"/>
      </w:r>
    </w:p>
    <w:p w:rsidR="00986257" w:rsidRPr="00986257" w:rsidRDefault="00986257" w:rsidP="00986257">
      <w:pPr>
        <w:pStyle w:val="Listavistosa-nfasis1"/>
        <w:spacing w:after="0" w:line="240" w:lineRule="auto"/>
        <w:ind w:left="0"/>
        <w:contextualSpacing w:val="0"/>
        <w:jc w:val="both"/>
        <w:rPr>
          <w:rFonts w:ascii="Verdana" w:hAnsi="Verdana"/>
          <w:sz w:val="10"/>
          <w:szCs w:val="10"/>
          <w:lang w:val="es-MX"/>
        </w:rPr>
      </w:pPr>
    </w:p>
    <w:p w:rsidR="00F51359" w:rsidRDefault="00F51359" w:rsidP="00C8662E">
      <w:pPr>
        <w:pStyle w:val="Listavistosa-nfasis1"/>
        <w:numPr>
          <w:ilvl w:val="0"/>
          <w:numId w:val="26"/>
        </w:numPr>
        <w:spacing w:after="0" w:line="240" w:lineRule="auto"/>
        <w:ind w:left="0" w:firstLine="0"/>
        <w:contextualSpacing w:val="0"/>
        <w:jc w:val="both"/>
        <w:rPr>
          <w:rFonts w:ascii="Verdana" w:hAnsi="Verdana"/>
          <w:sz w:val="20"/>
          <w:lang w:val="es-MX"/>
        </w:rPr>
      </w:pPr>
      <w:r w:rsidRPr="00084C87">
        <w:rPr>
          <w:rFonts w:ascii="Verdana" w:hAnsi="Verdana"/>
          <w:sz w:val="20"/>
          <w:lang w:val="es-MX"/>
        </w:rPr>
        <w:t xml:space="preserve">Por motivo de dicho “quiebre” procesal, </w:t>
      </w:r>
      <w:r w:rsidR="00986257">
        <w:rPr>
          <w:rFonts w:ascii="Verdana" w:hAnsi="Verdana"/>
          <w:sz w:val="20"/>
          <w:lang w:val="es-MX"/>
        </w:rPr>
        <w:t xml:space="preserve">la Corte </w:t>
      </w:r>
      <w:r w:rsidR="00D85CC6">
        <w:rPr>
          <w:rFonts w:ascii="Verdana" w:hAnsi="Verdana"/>
          <w:sz w:val="20"/>
          <w:lang w:val="es-MX"/>
        </w:rPr>
        <w:t>constata</w:t>
      </w:r>
      <w:r w:rsidR="00986257">
        <w:rPr>
          <w:rFonts w:ascii="Verdana" w:hAnsi="Verdana"/>
          <w:sz w:val="20"/>
          <w:lang w:val="es-MX"/>
        </w:rPr>
        <w:t xml:space="preserve"> que </w:t>
      </w:r>
      <w:r w:rsidRPr="00084C87">
        <w:rPr>
          <w:rFonts w:ascii="Verdana" w:hAnsi="Verdana"/>
          <w:sz w:val="20"/>
          <w:lang w:val="es-MX"/>
        </w:rPr>
        <w:t>se debió</w:t>
      </w:r>
      <w:r w:rsidR="00236856">
        <w:rPr>
          <w:rFonts w:ascii="Verdana" w:hAnsi="Verdana"/>
          <w:sz w:val="20"/>
          <w:lang w:val="es-MX"/>
        </w:rPr>
        <w:t xml:space="preserve"> trasladar el conocimiento del </w:t>
      </w:r>
      <w:r w:rsidRPr="00084C87">
        <w:rPr>
          <w:rFonts w:ascii="Verdana" w:hAnsi="Verdana"/>
          <w:sz w:val="20"/>
          <w:lang w:val="es-MX"/>
        </w:rPr>
        <w:t xml:space="preserve">proceso </w:t>
      </w:r>
      <w:r w:rsidR="00236856">
        <w:rPr>
          <w:rFonts w:ascii="Verdana" w:hAnsi="Verdana"/>
          <w:sz w:val="20"/>
          <w:lang w:val="es-MX"/>
        </w:rPr>
        <w:t xml:space="preserve">penal en cuestión </w:t>
      </w:r>
      <w:r w:rsidRPr="00084C87">
        <w:rPr>
          <w:rFonts w:ascii="Verdana" w:hAnsi="Verdana"/>
          <w:sz w:val="20"/>
          <w:lang w:val="es-MX"/>
        </w:rPr>
        <w:t>del Colegiado “A” al Colegiado “B” de la Sala Penal Nacional</w:t>
      </w:r>
      <w:r w:rsidR="00D85CC6">
        <w:rPr>
          <w:rStyle w:val="Refdenotaalpie"/>
          <w:rFonts w:ascii="Verdana" w:hAnsi="Verdana"/>
          <w:sz w:val="20"/>
          <w:lang w:val="es-MX"/>
        </w:rPr>
        <w:footnoteReference w:id="26"/>
      </w:r>
      <w:r w:rsidRPr="00084C87">
        <w:rPr>
          <w:rFonts w:ascii="Verdana" w:hAnsi="Verdana"/>
          <w:sz w:val="20"/>
          <w:lang w:val="es-MX"/>
        </w:rPr>
        <w:t>. Al respecto, la</w:t>
      </w:r>
      <w:r w:rsidRPr="003C16AE">
        <w:rPr>
          <w:rFonts w:ascii="Verdana" w:hAnsi="Verdana"/>
          <w:sz w:val="20"/>
          <w:lang w:val="es-MX"/>
        </w:rPr>
        <w:t xml:space="preserve"> Sala Penal Nacional señaló </w:t>
      </w:r>
      <w:r>
        <w:rPr>
          <w:rFonts w:ascii="Verdana" w:hAnsi="Verdana"/>
          <w:sz w:val="20"/>
          <w:lang w:val="es-MX"/>
        </w:rPr>
        <w:t xml:space="preserve">en junio de 2014 </w:t>
      </w:r>
      <w:r w:rsidRPr="003C16AE">
        <w:rPr>
          <w:rFonts w:ascii="Verdana" w:hAnsi="Verdana"/>
          <w:sz w:val="20"/>
          <w:lang w:val="es-MX"/>
        </w:rPr>
        <w:t xml:space="preserve">que </w:t>
      </w:r>
      <w:r w:rsidR="005D0BFA">
        <w:rPr>
          <w:rFonts w:ascii="Verdana" w:hAnsi="Verdana"/>
          <w:sz w:val="20"/>
          <w:lang w:val="es-MX"/>
        </w:rPr>
        <w:t>dicho traslado</w:t>
      </w:r>
      <w:r w:rsidRPr="003C16AE">
        <w:rPr>
          <w:rFonts w:ascii="Verdana" w:hAnsi="Verdana"/>
          <w:sz w:val="20"/>
          <w:lang w:val="es-MX"/>
        </w:rPr>
        <w:t xml:space="preserve"> “no resulta adecuad</w:t>
      </w:r>
      <w:r w:rsidR="00E203E6">
        <w:rPr>
          <w:rFonts w:ascii="Verdana" w:hAnsi="Verdana"/>
          <w:sz w:val="20"/>
          <w:lang w:val="es-MX"/>
        </w:rPr>
        <w:t>[o</w:t>
      </w:r>
      <w:r>
        <w:rPr>
          <w:rFonts w:ascii="Verdana" w:hAnsi="Verdana"/>
          <w:sz w:val="20"/>
          <w:lang w:val="es-MX"/>
        </w:rPr>
        <w:t>]</w:t>
      </w:r>
      <w:r w:rsidRPr="003C16AE">
        <w:rPr>
          <w:rFonts w:ascii="Verdana" w:hAnsi="Verdana"/>
          <w:sz w:val="20"/>
          <w:lang w:val="es-MX"/>
        </w:rPr>
        <w:t xml:space="preserve"> ni [mucho] menos </w:t>
      </w:r>
      <w:r>
        <w:rPr>
          <w:rFonts w:ascii="Verdana" w:hAnsi="Verdana"/>
          <w:sz w:val="20"/>
          <w:lang w:val="es-MX"/>
        </w:rPr>
        <w:t>óptim</w:t>
      </w:r>
      <w:r w:rsidR="005D0BFA">
        <w:rPr>
          <w:rFonts w:ascii="Verdana" w:hAnsi="Verdana"/>
          <w:sz w:val="20"/>
          <w:lang w:val="es-MX"/>
        </w:rPr>
        <w:t>o</w:t>
      </w:r>
      <w:r w:rsidRPr="003C16AE">
        <w:rPr>
          <w:rFonts w:ascii="Verdana" w:hAnsi="Verdana"/>
          <w:sz w:val="20"/>
          <w:lang w:val="es-MX"/>
        </w:rPr>
        <w:t xml:space="preserve"> para un célere y oportuno juzgamiento de estos procesos que por su naturaleza, connotación nacional e internacional </w:t>
      </w:r>
      <w:r>
        <w:rPr>
          <w:rFonts w:ascii="Verdana" w:hAnsi="Verdana"/>
          <w:sz w:val="20"/>
          <w:lang w:val="es-MX"/>
        </w:rPr>
        <w:t xml:space="preserve">[así lo] </w:t>
      </w:r>
      <w:r w:rsidRPr="003C16AE">
        <w:rPr>
          <w:rFonts w:ascii="Verdana" w:hAnsi="Verdana"/>
          <w:sz w:val="20"/>
          <w:lang w:val="es-MX"/>
        </w:rPr>
        <w:t>exigen”</w:t>
      </w:r>
      <w:r>
        <w:rPr>
          <w:rStyle w:val="Refdenotaalpie"/>
          <w:rFonts w:ascii="Verdana" w:hAnsi="Verdana"/>
          <w:sz w:val="20"/>
          <w:lang w:val="es-MX"/>
        </w:rPr>
        <w:footnoteReference w:id="27"/>
      </w:r>
      <w:r w:rsidR="009A77B3">
        <w:rPr>
          <w:rFonts w:ascii="Verdana" w:hAnsi="Verdana"/>
          <w:sz w:val="20"/>
          <w:lang w:val="es-MX"/>
        </w:rPr>
        <w:t>.</w:t>
      </w:r>
      <w:r w:rsidRPr="003C16AE">
        <w:rPr>
          <w:rFonts w:ascii="Verdana" w:hAnsi="Verdana"/>
          <w:sz w:val="20"/>
          <w:lang w:val="es-MX"/>
        </w:rPr>
        <w:t xml:space="preserve"> </w:t>
      </w:r>
      <w:r>
        <w:rPr>
          <w:rFonts w:ascii="Verdana" w:hAnsi="Verdana"/>
          <w:sz w:val="20"/>
          <w:lang w:val="es-MX"/>
        </w:rPr>
        <w:t xml:space="preserve">Este Tribunal también </w:t>
      </w:r>
      <w:r w:rsidRPr="00BB5E6E">
        <w:rPr>
          <w:rFonts w:ascii="Verdana" w:hAnsi="Verdana"/>
          <w:sz w:val="20"/>
          <w:lang w:val="es-MX"/>
        </w:rPr>
        <w:t>observa</w:t>
      </w:r>
      <w:r>
        <w:rPr>
          <w:rFonts w:ascii="Verdana" w:hAnsi="Verdana"/>
          <w:sz w:val="20"/>
          <w:lang w:val="es-MX"/>
        </w:rPr>
        <w:t xml:space="preserve"> que dicha situación incluso llevó en abril de 2014 a</w:t>
      </w:r>
      <w:r w:rsidRPr="00703903">
        <w:rPr>
          <w:rFonts w:ascii="Verdana" w:hAnsi="Verdana"/>
          <w:sz w:val="20"/>
          <w:lang w:val="es-MX"/>
        </w:rPr>
        <w:t>l entonces Defensor del Pueblo a</w:t>
      </w:r>
      <w:r>
        <w:rPr>
          <w:rFonts w:ascii="Verdana" w:hAnsi="Verdana"/>
          <w:sz w:val="20"/>
          <w:lang w:val="es-MX"/>
        </w:rPr>
        <w:t xml:space="preserve"> manifestar al</w:t>
      </w:r>
      <w:r w:rsidRPr="00703903">
        <w:rPr>
          <w:rFonts w:ascii="Verdana" w:hAnsi="Verdana"/>
          <w:sz w:val="20"/>
          <w:lang w:val="es-MX"/>
        </w:rPr>
        <w:t xml:space="preserve"> Presidente del</w:t>
      </w:r>
      <w:r>
        <w:rPr>
          <w:rFonts w:ascii="Verdana" w:hAnsi="Verdana"/>
          <w:sz w:val="20"/>
          <w:lang w:val="es-MX"/>
        </w:rPr>
        <w:t xml:space="preserve"> referido Consejo Ejecutivo que, “en la práctica”, dicha decisión administrativa habría producido</w:t>
      </w:r>
      <w:r w:rsidRPr="00703903">
        <w:rPr>
          <w:rFonts w:ascii="Verdana" w:hAnsi="Verdana"/>
          <w:sz w:val="20"/>
          <w:lang w:val="es-MX"/>
        </w:rPr>
        <w:t xml:space="preserve"> “demoras en el juzgamiento”, “preocupación en las víctimas y en sus familiares”, así como “afecta[ción] a los procesados, cuya situación jurídica no es resuelta oportunamente”</w:t>
      </w:r>
      <w:r>
        <w:rPr>
          <w:rStyle w:val="Refdenotaalpie"/>
          <w:rFonts w:ascii="Verdana" w:hAnsi="Verdana"/>
          <w:sz w:val="20"/>
          <w:lang w:val="es-MX"/>
        </w:rPr>
        <w:footnoteReference w:id="28"/>
      </w:r>
      <w:r w:rsidRPr="00703903">
        <w:rPr>
          <w:rFonts w:ascii="Verdana" w:hAnsi="Verdana"/>
          <w:sz w:val="20"/>
          <w:lang w:val="es-MX"/>
        </w:rPr>
        <w:t>.</w:t>
      </w:r>
    </w:p>
    <w:p w:rsidR="00F51359" w:rsidRPr="00084C87" w:rsidRDefault="00F51359" w:rsidP="00F51359">
      <w:pPr>
        <w:pStyle w:val="Listavistosa-nfasis1"/>
        <w:spacing w:after="0" w:line="240" w:lineRule="auto"/>
        <w:ind w:left="0"/>
        <w:contextualSpacing w:val="0"/>
        <w:jc w:val="both"/>
        <w:rPr>
          <w:rFonts w:ascii="Verdana" w:hAnsi="Verdana"/>
          <w:sz w:val="10"/>
          <w:szCs w:val="10"/>
          <w:lang w:val="es-MX"/>
        </w:rPr>
      </w:pPr>
    </w:p>
    <w:p w:rsidR="00C71D27" w:rsidRDefault="00F51359" w:rsidP="00C8662E">
      <w:pPr>
        <w:pStyle w:val="Listavistosa-nfasis1"/>
        <w:numPr>
          <w:ilvl w:val="0"/>
          <w:numId w:val="26"/>
        </w:numPr>
        <w:spacing w:after="0" w:line="240" w:lineRule="auto"/>
        <w:ind w:left="0" w:firstLine="0"/>
        <w:contextualSpacing w:val="0"/>
        <w:jc w:val="both"/>
        <w:rPr>
          <w:rFonts w:ascii="Verdana" w:hAnsi="Verdana"/>
          <w:sz w:val="20"/>
          <w:szCs w:val="20"/>
          <w:lang w:val="es-CR"/>
        </w:rPr>
      </w:pPr>
      <w:r w:rsidRPr="001A0AC7">
        <w:rPr>
          <w:rFonts w:ascii="Verdana" w:hAnsi="Verdana"/>
          <w:sz w:val="20"/>
          <w:lang w:val="es-MX"/>
        </w:rPr>
        <w:t xml:space="preserve">En este sentido, aun cuando en el último informe en el que el Estado se refirió a la presente </w:t>
      </w:r>
      <w:r w:rsidR="007E2794">
        <w:rPr>
          <w:rFonts w:ascii="Verdana" w:hAnsi="Verdana"/>
          <w:sz w:val="20"/>
          <w:lang w:val="es-MX"/>
        </w:rPr>
        <w:t>obligación</w:t>
      </w:r>
      <w:r w:rsidRPr="001A0AC7">
        <w:rPr>
          <w:rFonts w:ascii="Verdana" w:hAnsi="Verdana"/>
          <w:sz w:val="20"/>
          <w:lang w:val="es-MX"/>
        </w:rPr>
        <w:t xml:space="preserve"> afirmó que el proceso penal se “está realizando con normalidad”</w:t>
      </w:r>
      <w:r w:rsidR="005550CD">
        <w:rPr>
          <w:rStyle w:val="Refdenotaalpie"/>
          <w:rFonts w:ascii="Verdana" w:hAnsi="Verdana"/>
          <w:sz w:val="20"/>
          <w:lang w:val="es-MX"/>
        </w:rPr>
        <w:footnoteReference w:id="29"/>
      </w:r>
      <w:r w:rsidRPr="001A0AC7">
        <w:rPr>
          <w:rFonts w:ascii="Verdana" w:hAnsi="Verdana"/>
          <w:sz w:val="20"/>
          <w:lang w:val="es-MX"/>
        </w:rPr>
        <w:t>, esta Corte toma nota del efecto que las referidas decisiones administrativas han tenido sobre el mismo. Si bien no corresponde al Tribunal pronunciarse sobre la pertinencia o no de las decisiones adoptadas por el Consejo Ejecutivo del Poder Judicial del Perú en el marco de sus competencias, estima prudente recordar que en</w:t>
      </w:r>
      <w:r>
        <w:rPr>
          <w:rFonts w:ascii="Verdana" w:hAnsi="Verdana"/>
          <w:sz w:val="20"/>
          <w:lang w:val="es-MX"/>
        </w:rPr>
        <w:t xml:space="preserve"> la</w:t>
      </w:r>
      <w:r w:rsidRPr="001A0AC7">
        <w:rPr>
          <w:rFonts w:ascii="Verdana" w:hAnsi="Verdana"/>
          <w:sz w:val="20"/>
          <w:lang w:val="es-MX"/>
        </w:rPr>
        <w:t xml:space="preserve"> Sentencia </w:t>
      </w:r>
      <w:r>
        <w:rPr>
          <w:rFonts w:ascii="Verdana" w:hAnsi="Verdana"/>
          <w:sz w:val="20"/>
          <w:lang w:val="es-MX"/>
        </w:rPr>
        <w:t xml:space="preserve">del presente caso </w:t>
      </w:r>
      <w:r w:rsidRPr="001A0AC7">
        <w:rPr>
          <w:rFonts w:ascii="Verdana" w:hAnsi="Verdana"/>
          <w:sz w:val="20"/>
          <w:lang w:val="es-MX"/>
        </w:rPr>
        <w:t>dispuso que el Estado debe “</w:t>
      </w:r>
      <w:r w:rsidRPr="001A0AC7">
        <w:rPr>
          <w:rFonts w:ascii="Verdana" w:hAnsi="Verdana"/>
          <w:sz w:val="20"/>
          <w:szCs w:val="20"/>
          <w:lang w:val="es-MX"/>
        </w:rPr>
        <w:t>investigar inmediatamente los hechos que generaron las violaciones del caso”</w:t>
      </w:r>
      <w:r>
        <w:rPr>
          <w:rFonts w:ascii="Verdana" w:hAnsi="Verdana"/>
          <w:sz w:val="20"/>
          <w:szCs w:val="20"/>
          <w:lang w:val="es-MX"/>
        </w:rPr>
        <w:t xml:space="preserve">, </w:t>
      </w:r>
      <w:r w:rsidRPr="00F66E3F">
        <w:rPr>
          <w:rFonts w:ascii="Verdana" w:hAnsi="Verdana" w:cs="Verdana"/>
          <w:sz w:val="20"/>
          <w:szCs w:val="20"/>
          <w:lang w:val="es-CR"/>
        </w:rPr>
        <w:t>“no p</w:t>
      </w:r>
      <w:r>
        <w:rPr>
          <w:rFonts w:ascii="Verdana" w:hAnsi="Verdana" w:cs="Verdana"/>
          <w:sz w:val="20"/>
          <w:szCs w:val="20"/>
          <w:lang w:val="es-CR"/>
        </w:rPr>
        <w:t>[uede]</w:t>
      </w:r>
      <w:r w:rsidRPr="00F66E3F">
        <w:rPr>
          <w:rFonts w:ascii="Verdana" w:hAnsi="Verdana" w:cs="Verdana"/>
          <w:sz w:val="20"/>
          <w:szCs w:val="20"/>
          <w:lang w:val="es-CR"/>
        </w:rPr>
        <w:t xml:space="preserve"> argüir ninguna ley ni disposición de derecho interno para eximirse de </w:t>
      </w:r>
      <w:r>
        <w:rPr>
          <w:rFonts w:ascii="Verdana" w:hAnsi="Verdana" w:cs="Verdana"/>
          <w:sz w:val="20"/>
          <w:szCs w:val="20"/>
          <w:lang w:val="es-CR"/>
        </w:rPr>
        <w:t xml:space="preserve">[dicha] </w:t>
      </w:r>
      <w:r w:rsidRPr="00F66E3F">
        <w:rPr>
          <w:rFonts w:ascii="Verdana" w:hAnsi="Verdana" w:cs="Verdana"/>
          <w:sz w:val="20"/>
          <w:szCs w:val="20"/>
          <w:lang w:val="es-CR"/>
        </w:rPr>
        <w:t>obligación de investigar</w:t>
      </w:r>
      <w:r>
        <w:rPr>
          <w:rFonts w:ascii="Verdana" w:hAnsi="Verdana" w:cs="Verdana"/>
          <w:sz w:val="20"/>
          <w:szCs w:val="20"/>
          <w:lang w:val="es-CR"/>
        </w:rPr>
        <w:t>”</w:t>
      </w:r>
      <w:r w:rsidRPr="001A0AC7">
        <w:rPr>
          <w:rFonts w:ascii="Verdana" w:hAnsi="Verdana"/>
          <w:sz w:val="20"/>
          <w:szCs w:val="20"/>
          <w:lang w:val="es-MX"/>
        </w:rPr>
        <w:t xml:space="preserve"> y </w:t>
      </w:r>
      <w:r>
        <w:rPr>
          <w:rFonts w:ascii="Verdana" w:hAnsi="Verdana"/>
          <w:sz w:val="20"/>
          <w:szCs w:val="20"/>
          <w:lang w:val="es-MX"/>
        </w:rPr>
        <w:t xml:space="preserve">debe </w:t>
      </w:r>
      <w:r w:rsidRPr="001A0AC7">
        <w:rPr>
          <w:rFonts w:ascii="Verdana" w:hAnsi="Verdana"/>
          <w:sz w:val="20"/>
          <w:szCs w:val="20"/>
          <w:lang w:val="es-MX"/>
        </w:rPr>
        <w:t>“</w:t>
      </w:r>
      <w:r w:rsidRPr="001A0AC7">
        <w:rPr>
          <w:rFonts w:ascii="Verdana" w:hAnsi="Verdana" w:cs="Verdana"/>
          <w:sz w:val="20"/>
          <w:szCs w:val="20"/>
          <w:lang w:val="es-CR"/>
        </w:rPr>
        <w:t xml:space="preserve">remover todos los obstáculos, </w:t>
      </w:r>
      <w:r w:rsidRPr="001A0AC7">
        <w:rPr>
          <w:rFonts w:ascii="Verdana" w:hAnsi="Verdana" w:cs="Verdana"/>
          <w:i/>
          <w:iCs/>
          <w:sz w:val="20"/>
          <w:szCs w:val="20"/>
          <w:lang w:val="es-CR"/>
        </w:rPr>
        <w:t xml:space="preserve">de facto </w:t>
      </w:r>
      <w:r w:rsidRPr="007E2794">
        <w:rPr>
          <w:rFonts w:ascii="Verdana" w:hAnsi="Verdana" w:cs="Verdana"/>
          <w:iCs/>
          <w:sz w:val="20"/>
          <w:szCs w:val="20"/>
          <w:lang w:val="es-CR"/>
        </w:rPr>
        <w:t>y</w:t>
      </w:r>
      <w:r w:rsidRPr="001A0AC7">
        <w:rPr>
          <w:rFonts w:ascii="Verdana" w:hAnsi="Verdana" w:cs="Verdana"/>
          <w:i/>
          <w:iCs/>
          <w:sz w:val="20"/>
          <w:szCs w:val="20"/>
          <w:lang w:val="es-CR"/>
        </w:rPr>
        <w:t xml:space="preserve"> de jure</w:t>
      </w:r>
      <w:r w:rsidRPr="001A0AC7">
        <w:rPr>
          <w:rFonts w:ascii="Verdana" w:hAnsi="Verdana" w:cs="Verdana"/>
          <w:sz w:val="20"/>
          <w:szCs w:val="20"/>
          <w:lang w:val="es-CR"/>
        </w:rPr>
        <w:t>, que impidan la debida investigación de los hechos, y utilizar todos los medios disponibles para hacer expedita dicha investigación y los procedimientos respectivos”</w:t>
      </w:r>
      <w:r>
        <w:rPr>
          <w:rStyle w:val="Refdenotaalpie"/>
          <w:rFonts w:ascii="Verdana" w:hAnsi="Verdana" w:cs="Verdana"/>
          <w:sz w:val="20"/>
          <w:szCs w:val="20"/>
          <w:lang w:val="es-CR"/>
        </w:rPr>
        <w:footnoteReference w:id="30"/>
      </w:r>
      <w:r w:rsidRPr="001A0AC7">
        <w:rPr>
          <w:rFonts w:ascii="Verdana" w:hAnsi="Verdana" w:cs="Verdana"/>
          <w:sz w:val="20"/>
          <w:szCs w:val="20"/>
          <w:lang w:val="es-CR"/>
        </w:rPr>
        <w:t xml:space="preserve">. En ese sentido, el Tribunal observa que han </w:t>
      </w:r>
      <w:r>
        <w:rPr>
          <w:rFonts w:ascii="Verdana" w:hAnsi="Verdana" w:cs="Verdana"/>
          <w:sz w:val="20"/>
          <w:szCs w:val="20"/>
          <w:lang w:val="es-CR"/>
        </w:rPr>
        <w:t>transcurrido 30</w:t>
      </w:r>
      <w:r w:rsidRPr="001A0AC7">
        <w:rPr>
          <w:rFonts w:ascii="Verdana" w:hAnsi="Verdana" w:cs="Verdana"/>
          <w:sz w:val="20"/>
          <w:szCs w:val="20"/>
          <w:lang w:val="es-CR"/>
        </w:rPr>
        <w:t xml:space="preserve"> años desde que ocurrieron los hechos que el Es</w:t>
      </w:r>
      <w:r>
        <w:rPr>
          <w:rFonts w:ascii="Verdana" w:hAnsi="Verdana" w:cs="Verdana"/>
          <w:sz w:val="20"/>
          <w:szCs w:val="20"/>
          <w:lang w:val="es-CR"/>
        </w:rPr>
        <w:t>tado está obligado a investigar, así como</w:t>
      </w:r>
      <w:r w:rsidRPr="001A0AC7">
        <w:rPr>
          <w:rFonts w:ascii="Verdana" w:hAnsi="Verdana" w:cs="Verdana"/>
          <w:sz w:val="20"/>
          <w:szCs w:val="20"/>
          <w:lang w:val="es-CR"/>
        </w:rPr>
        <w:t xml:space="preserve"> </w:t>
      </w:r>
      <w:r>
        <w:rPr>
          <w:rFonts w:ascii="Verdana" w:hAnsi="Verdana" w:cs="Verdana"/>
          <w:sz w:val="20"/>
          <w:szCs w:val="20"/>
          <w:lang w:val="es-CR"/>
        </w:rPr>
        <w:t>11</w:t>
      </w:r>
      <w:r w:rsidRPr="001A0AC7">
        <w:rPr>
          <w:rFonts w:ascii="Verdana" w:hAnsi="Verdana" w:cs="Verdana"/>
          <w:sz w:val="20"/>
          <w:szCs w:val="20"/>
          <w:lang w:val="es-CR"/>
        </w:rPr>
        <w:t xml:space="preserve"> años desde que </w:t>
      </w:r>
      <w:r w:rsidRPr="001A0AC7">
        <w:rPr>
          <w:rFonts w:ascii="Verdana" w:hAnsi="Verdana"/>
          <w:sz w:val="20"/>
          <w:szCs w:val="20"/>
          <w:lang w:val="es-CR"/>
        </w:rPr>
        <w:t xml:space="preserve">la Corte </w:t>
      </w:r>
      <w:r>
        <w:rPr>
          <w:rFonts w:ascii="Verdana" w:hAnsi="Verdana"/>
          <w:sz w:val="20"/>
          <w:szCs w:val="20"/>
          <w:lang w:val="es-CR"/>
        </w:rPr>
        <w:t xml:space="preserve">ordenó la presente </w:t>
      </w:r>
      <w:r w:rsidR="007E2794">
        <w:rPr>
          <w:rFonts w:ascii="Verdana" w:hAnsi="Verdana"/>
          <w:sz w:val="20"/>
          <w:lang w:val="es-MX"/>
        </w:rPr>
        <w:t>obligación</w:t>
      </w:r>
      <w:r>
        <w:rPr>
          <w:rFonts w:ascii="Verdana" w:hAnsi="Verdana"/>
          <w:sz w:val="20"/>
          <w:szCs w:val="20"/>
          <w:lang w:val="es-CR"/>
        </w:rPr>
        <w:t>. Por tanto, la Corte recuerda que el</w:t>
      </w:r>
      <w:r w:rsidRPr="001A0AC7">
        <w:rPr>
          <w:rFonts w:ascii="Verdana" w:hAnsi="Verdana"/>
          <w:sz w:val="20"/>
          <w:szCs w:val="20"/>
          <w:lang w:val="es-CR"/>
        </w:rPr>
        <w:t xml:space="preserve"> </w:t>
      </w:r>
      <w:r>
        <w:rPr>
          <w:rFonts w:ascii="Verdana" w:hAnsi="Verdana"/>
          <w:sz w:val="20"/>
          <w:szCs w:val="20"/>
          <w:lang w:val="es-CR"/>
        </w:rPr>
        <w:t>Perú</w:t>
      </w:r>
      <w:r w:rsidRPr="001A0AC7">
        <w:rPr>
          <w:rFonts w:ascii="Verdana" w:hAnsi="Verdana"/>
          <w:sz w:val="20"/>
          <w:szCs w:val="20"/>
          <w:lang w:val="es-CR"/>
        </w:rPr>
        <w:t xml:space="preserve"> debe asegurar que </w:t>
      </w:r>
      <w:r>
        <w:rPr>
          <w:rFonts w:ascii="Verdana" w:hAnsi="Verdana"/>
          <w:sz w:val="20"/>
          <w:szCs w:val="20"/>
          <w:lang w:val="es-CR"/>
        </w:rPr>
        <w:t>el proceso penal</w:t>
      </w:r>
      <w:r w:rsidRPr="001A0AC7">
        <w:rPr>
          <w:rFonts w:ascii="Verdana" w:hAnsi="Verdana"/>
          <w:sz w:val="20"/>
          <w:szCs w:val="20"/>
          <w:lang w:val="es-CR"/>
        </w:rPr>
        <w:t xml:space="preserve"> </w:t>
      </w:r>
      <w:r>
        <w:rPr>
          <w:rFonts w:ascii="Verdana" w:hAnsi="Verdana"/>
          <w:sz w:val="20"/>
          <w:szCs w:val="20"/>
          <w:lang w:val="es-CR"/>
        </w:rPr>
        <w:t xml:space="preserve">continúe su desarrollo normal, con la debida diligencia y de manera </w:t>
      </w:r>
      <w:r w:rsidRPr="00F66E3F">
        <w:rPr>
          <w:rFonts w:ascii="Verdana" w:hAnsi="Verdana" w:cs="Verdana"/>
          <w:sz w:val="20"/>
          <w:szCs w:val="20"/>
          <w:lang w:val="es-CR"/>
        </w:rPr>
        <w:t>expedita</w:t>
      </w:r>
      <w:r w:rsidRPr="001A0AC7">
        <w:rPr>
          <w:rFonts w:ascii="Verdana" w:hAnsi="Verdana"/>
          <w:sz w:val="20"/>
          <w:szCs w:val="20"/>
          <w:lang w:val="es-CR"/>
        </w:rPr>
        <w:t>.</w:t>
      </w:r>
    </w:p>
    <w:p w:rsidR="00C71D27" w:rsidRPr="00C71D27" w:rsidRDefault="00C71D27" w:rsidP="00C71D27">
      <w:pPr>
        <w:pStyle w:val="Listavistosa-nfasis1"/>
        <w:spacing w:after="0" w:line="240" w:lineRule="auto"/>
        <w:ind w:left="0"/>
        <w:contextualSpacing w:val="0"/>
        <w:jc w:val="both"/>
        <w:rPr>
          <w:rFonts w:ascii="Verdana" w:hAnsi="Verdana"/>
          <w:sz w:val="10"/>
          <w:szCs w:val="10"/>
          <w:lang w:val="es-CR"/>
        </w:rPr>
      </w:pPr>
    </w:p>
    <w:p w:rsidR="008428A9" w:rsidRDefault="00C71D27" w:rsidP="00C8662E">
      <w:pPr>
        <w:pStyle w:val="Listavistosa-nfasis1"/>
        <w:numPr>
          <w:ilvl w:val="0"/>
          <w:numId w:val="26"/>
        </w:numPr>
        <w:spacing w:after="0" w:line="240" w:lineRule="auto"/>
        <w:ind w:left="0" w:firstLine="0"/>
        <w:contextualSpacing w:val="0"/>
        <w:jc w:val="both"/>
        <w:rPr>
          <w:rFonts w:ascii="Verdana" w:hAnsi="Verdana"/>
          <w:sz w:val="20"/>
          <w:lang w:val="es-MX"/>
        </w:rPr>
      </w:pPr>
      <w:r w:rsidRPr="008428A9">
        <w:rPr>
          <w:rFonts w:ascii="Verdana" w:hAnsi="Verdana"/>
          <w:sz w:val="20"/>
          <w:lang w:val="es-MX"/>
        </w:rPr>
        <w:t xml:space="preserve">Por otra parte, </w:t>
      </w:r>
      <w:r w:rsidR="001919A4" w:rsidRPr="008428A9">
        <w:rPr>
          <w:rFonts w:ascii="Verdana" w:hAnsi="Verdana"/>
          <w:sz w:val="20"/>
          <w:lang w:val="es-MX"/>
        </w:rPr>
        <w:t xml:space="preserve">el Tribunal </w:t>
      </w:r>
      <w:r w:rsidR="00C92E77" w:rsidRPr="008428A9">
        <w:rPr>
          <w:rFonts w:ascii="Verdana" w:hAnsi="Verdana"/>
          <w:sz w:val="20"/>
          <w:lang w:val="es-MX"/>
        </w:rPr>
        <w:t>constata que, entre enero y agosto de 2015,</w:t>
      </w:r>
      <w:r w:rsidRPr="008428A9">
        <w:rPr>
          <w:rFonts w:ascii="Verdana" w:hAnsi="Verdana"/>
          <w:sz w:val="20"/>
          <w:lang w:val="es-MX"/>
        </w:rPr>
        <w:t xml:space="preserve"> el proceso penal en cuestión</w:t>
      </w:r>
      <w:r w:rsidR="00C92E77" w:rsidRPr="008428A9">
        <w:rPr>
          <w:rFonts w:ascii="Verdana" w:hAnsi="Verdana"/>
          <w:sz w:val="20"/>
          <w:lang w:val="es-MX"/>
        </w:rPr>
        <w:t xml:space="preserve"> fue detenido mientras las instancias jurisdiccionales pertinentes resolvieron una recusación interpuesta por la abogada de la parte civil contra una de las magistradas de la referida Sala Penal Nacional</w:t>
      </w:r>
      <w:r w:rsidR="00C92E77" w:rsidRPr="00290A1E">
        <w:rPr>
          <w:rStyle w:val="Refdenotaalpie"/>
          <w:rFonts w:ascii="Verdana" w:hAnsi="Verdana"/>
          <w:sz w:val="20"/>
          <w:lang w:val="es-MX"/>
        </w:rPr>
        <w:footnoteReference w:id="31"/>
      </w:r>
      <w:r w:rsidR="00C92E77" w:rsidRPr="008428A9">
        <w:rPr>
          <w:rFonts w:ascii="Verdana" w:hAnsi="Verdana"/>
          <w:sz w:val="20"/>
          <w:lang w:val="es-MX"/>
        </w:rPr>
        <w:t xml:space="preserve">. </w:t>
      </w:r>
      <w:r w:rsidRPr="008428A9">
        <w:rPr>
          <w:rFonts w:ascii="Verdana" w:hAnsi="Verdana"/>
          <w:sz w:val="20"/>
          <w:lang w:val="es-MX"/>
        </w:rPr>
        <w:t>Asimismo</w:t>
      </w:r>
      <w:r w:rsidR="00C92E77" w:rsidRPr="008428A9">
        <w:rPr>
          <w:rFonts w:ascii="Verdana" w:hAnsi="Verdana"/>
          <w:sz w:val="20"/>
          <w:lang w:val="es-MX"/>
        </w:rPr>
        <w:t xml:space="preserve">, </w:t>
      </w:r>
      <w:r w:rsidR="008428A9" w:rsidRPr="008428A9">
        <w:rPr>
          <w:rFonts w:ascii="Verdana" w:hAnsi="Verdana"/>
          <w:sz w:val="20"/>
          <w:lang w:val="es-MX"/>
        </w:rPr>
        <w:t xml:space="preserve">la Corte observa que </w:t>
      </w:r>
      <w:r w:rsidR="00667CB1" w:rsidRPr="008428A9">
        <w:rPr>
          <w:rFonts w:ascii="Verdana" w:hAnsi="Verdana"/>
          <w:sz w:val="20"/>
          <w:lang w:val="es-MX"/>
        </w:rPr>
        <w:t xml:space="preserve">el “presunto autor mediato”, quien interpuso el referido proceso de </w:t>
      </w:r>
      <w:r w:rsidR="00667CB1" w:rsidRPr="009C22FD">
        <w:rPr>
          <w:rFonts w:ascii="Verdana" w:hAnsi="Verdana"/>
          <w:i/>
          <w:sz w:val="20"/>
          <w:lang w:val="es-MX"/>
        </w:rPr>
        <w:t>hábeas corpus</w:t>
      </w:r>
      <w:r w:rsidR="008428A9">
        <w:rPr>
          <w:rFonts w:ascii="Verdana" w:hAnsi="Verdana"/>
          <w:sz w:val="20"/>
          <w:lang w:val="es-MX"/>
        </w:rPr>
        <w:t xml:space="preserve"> (</w:t>
      </w:r>
      <w:r w:rsidR="008428A9">
        <w:rPr>
          <w:rFonts w:ascii="Verdana" w:hAnsi="Verdana"/>
          <w:i/>
          <w:sz w:val="20"/>
          <w:lang w:val="es-MX"/>
        </w:rPr>
        <w:t xml:space="preserve">supra </w:t>
      </w:r>
      <w:r w:rsidR="008428A9">
        <w:rPr>
          <w:rFonts w:ascii="Verdana" w:hAnsi="Verdana"/>
          <w:sz w:val="20"/>
          <w:lang w:val="es-MX"/>
        </w:rPr>
        <w:t xml:space="preserve">Considerando </w:t>
      </w:r>
      <w:r w:rsidR="00C85130">
        <w:rPr>
          <w:rFonts w:ascii="Verdana" w:hAnsi="Verdana"/>
          <w:sz w:val="20"/>
          <w:lang w:val="es-MX"/>
        </w:rPr>
        <w:t>9</w:t>
      </w:r>
      <w:r w:rsidR="008428A9">
        <w:rPr>
          <w:rFonts w:ascii="Verdana" w:hAnsi="Verdana"/>
          <w:sz w:val="20"/>
          <w:lang w:val="es-MX"/>
        </w:rPr>
        <w:t>)</w:t>
      </w:r>
      <w:r w:rsidR="00667CB1" w:rsidRPr="008428A9">
        <w:rPr>
          <w:rFonts w:ascii="Verdana" w:hAnsi="Verdana"/>
          <w:sz w:val="20"/>
          <w:lang w:val="es-MX"/>
        </w:rPr>
        <w:t>, “falleció el 20 de noviembre de 2015”, información que fue confirmada por los representantes de las víctimas</w:t>
      </w:r>
      <w:r w:rsidR="00F82B44">
        <w:rPr>
          <w:rStyle w:val="Refdenotaalpie"/>
          <w:rFonts w:ascii="Verdana" w:hAnsi="Verdana"/>
          <w:sz w:val="20"/>
          <w:lang w:val="es-MX"/>
        </w:rPr>
        <w:footnoteReference w:id="32"/>
      </w:r>
      <w:r w:rsidR="00667CB1" w:rsidRPr="008428A9">
        <w:rPr>
          <w:rFonts w:ascii="Verdana" w:hAnsi="Verdana"/>
          <w:sz w:val="20"/>
          <w:lang w:val="es-MX"/>
        </w:rPr>
        <w:t>.</w:t>
      </w:r>
      <w:r w:rsidR="008428A9">
        <w:rPr>
          <w:rFonts w:ascii="Verdana" w:hAnsi="Verdana"/>
          <w:sz w:val="20"/>
          <w:lang w:val="es-MX"/>
        </w:rPr>
        <w:t xml:space="preserve"> </w:t>
      </w:r>
    </w:p>
    <w:p w:rsidR="008428A9" w:rsidRPr="008428A9" w:rsidRDefault="008428A9" w:rsidP="008428A9">
      <w:pPr>
        <w:pStyle w:val="Listavistosa-nfasis1"/>
        <w:spacing w:after="0" w:line="240" w:lineRule="auto"/>
        <w:ind w:left="0"/>
        <w:contextualSpacing w:val="0"/>
        <w:jc w:val="both"/>
        <w:rPr>
          <w:rFonts w:ascii="Verdana" w:hAnsi="Verdana"/>
          <w:sz w:val="10"/>
          <w:szCs w:val="10"/>
          <w:lang w:val="es-MX"/>
        </w:rPr>
      </w:pPr>
    </w:p>
    <w:p w:rsidR="006946C8" w:rsidRPr="008428A9" w:rsidRDefault="008428A9" w:rsidP="00C8662E">
      <w:pPr>
        <w:pStyle w:val="Listavistosa-nfasis1"/>
        <w:numPr>
          <w:ilvl w:val="0"/>
          <w:numId w:val="26"/>
        </w:numPr>
        <w:spacing w:after="0" w:line="240" w:lineRule="auto"/>
        <w:ind w:left="0" w:firstLine="0"/>
        <w:contextualSpacing w:val="0"/>
        <w:jc w:val="both"/>
        <w:rPr>
          <w:rFonts w:ascii="Verdana" w:hAnsi="Verdana"/>
          <w:sz w:val="20"/>
          <w:lang w:val="es-MX"/>
        </w:rPr>
      </w:pPr>
      <w:r>
        <w:rPr>
          <w:rFonts w:ascii="Verdana" w:hAnsi="Verdana"/>
          <w:sz w:val="20"/>
          <w:lang w:val="es-MX"/>
        </w:rPr>
        <w:t>E</w:t>
      </w:r>
      <w:r w:rsidR="00C92E77" w:rsidRPr="008428A9">
        <w:rPr>
          <w:rFonts w:ascii="Verdana" w:hAnsi="Verdana"/>
          <w:sz w:val="20"/>
          <w:lang w:val="es-MX"/>
        </w:rPr>
        <w:t xml:space="preserve">l Tribunal también </w:t>
      </w:r>
      <w:r w:rsidR="001919A4" w:rsidRPr="008428A9">
        <w:rPr>
          <w:rFonts w:ascii="Verdana" w:hAnsi="Verdana"/>
          <w:sz w:val="20"/>
          <w:lang w:val="es-MX"/>
        </w:rPr>
        <w:t>constata que</w:t>
      </w:r>
      <w:r w:rsidR="006209FB" w:rsidRPr="008428A9">
        <w:rPr>
          <w:rFonts w:ascii="Verdana" w:hAnsi="Verdana"/>
          <w:sz w:val="20"/>
          <w:lang w:val="es-MX"/>
        </w:rPr>
        <w:t xml:space="preserve">, a enero de 2017, el </w:t>
      </w:r>
      <w:r w:rsidR="00C92E77" w:rsidRPr="008428A9">
        <w:rPr>
          <w:rFonts w:ascii="Verdana" w:hAnsi="Verdana"/>
          <w:sz w:val="20"/>
          <w:lang w:val="es-MX"/>
        </w:rPr>
        <w:t xml:space="preserve">proceso penal </w:t>
      </w:r>
      <w:r w:rsidR="00F51359" w:rsidRPr="008428A9">
        <w:rPr>
          <w:rFonts w:ascii="Verdana" w:hAnsi="Verdana"/>
          <w:sz w:val="20"/>
          <w:lang w:val="es-MX"/>
        </w:rPr>
        <w:t xml:space="preserve">en cuestión </w:t>
      </w:r>
      <w:r w:rsidR="006209FB" w:rsidRPr="008428A9">
        <w:rPr>
          <w:rFonts w:ascii="Verdana" w:hAnsi="Verdana"/>
          <w:sz w:val="20"/>
          <w:lang w:val="es-MX"/>
        </w:rPr>
        <w:t>se encontraba en etapa de “juicio oral”</w:t>
      </w:r>
      <w:r w:rsidR="006209FB" w:rsidRPr="00290A1E">
        <w:rPr>
          <w:rStyle w:val="Refdenotaalpie"/>
          <w:rFonts w:ascii="Verdana" w:hAnsi="Verdana"/>
          <w:sz w:val="20"/>
          <w:lang w:val="es-MX"/>
        </w:rPr>
        <w:footnoteReference w:id="33"/>
      </w:r>
      <w:r w:rsidR="006209FB" w:rsidRPr="008428A9">
        <w:rPr>
          <w:rFonts w:ascii="Verdana" w:hAnsi="Verdana"/>
          <w:sz w:val="20"/>
          <w:lang w:val="es-MX"/>
        </w:rPr>
        <w:t xml:space="preserve">. </w:t>
      </w:r>
      <w:r w:rsidR="009E6E02" w:rsidRPr="008428A9">
        <w:rPr>
          <w:rFonts w:ascii="Verdana" w:hAnsi="Verdana"/>
          <w:sz w:val="20"/>
          <w:lang w:val="es-MX"/>
        </w:rPr>
        <w:t xml:space="preserve">Si bien </w:t>
      </w:r>
      <w:r w:rsidR="00C92E77" w:rsidRPr="008428A9">
        <w:rPr>
          <w:rFonts w:ascii="Verdana" w:hAnsi="Verdana"/>
          <w:sz w:val="20"/>
          <w:lang w:val="es-MX"/>
        </w:rPr>
        <w:t>la Corte</w:t>
      </w:r>
      <w:r w:rsidR="009E6E02" w:rsidRPr="008428A9">
        <w:rPr>
          <w:rFonts w:ascii="Verdana" w:hAnsi="Verdana"/>
          <w:sz w:val="20"/>
          <w:lang w:val="es-MX"/>
        </w:rPr>
        <w:t xml:space="preserve"> valora positivamente </w:t>
      </w:r>
      <w:r w:rsidR="00F84727" w:rsidRPr="008428A9">
        <w:rPr>
          <w:rFonts w:ascii="Verdana" w:hAnsi="Verdana"/>
          <w:sz w:val="20"/>
          <w:lang w:val="es-MX"/>
        </w:rPr>
        <w:t xml:space="preserve">la información presentada por las partes relativa a </w:t>
      </w:r>
      <w:r w:rsidR="009E6E02" w:rsidRPr="008428A9">
        <w:rPr>
          <w:rFonts w:ascii="Verdana" w:hAnsi="Verdana"/>
          <w:sz w:val="20"/>
          <w:lang w:val="es-MX"/>
        </w:rPr>
        <w:t>los avances en el proceso penal, observa</w:t>
      </w:r>
      <w:r w:rsidR="006946C8" w:rsidRPr="008428A9">
        <w:rPr>
          <w:rFonts w:ascii="Verdana" w:hAnsi="Verdana"/>
          <w:sz w:val="20"/>
          <w:lang w:val="es-MX"/>
        </w:rPr>
        <w:t xml:space="preserve"> que</w:t>
      </w:r>
      <w:r w:rsidR="009E6E02" w:rsidRPr="008428A9">
        <w:rPr>
          <w:rFonts w:ascii="Verdana" w:hAnsi="Verdana"/>
          <w:sz w:val="20"/>
          <w:lang w:val="es-MX"/>
        </w:rPr>
        <w:t xml:space="preserve"> </w:t>
      </w:r>
      <w:r w:rsidR="00F84727" w:rsidRPr="008428A9">
        <w:rPr>
          <w:rFonts w:ascii="Verdana" w:hAnsi="Verdana"/>
          <w:sz w:val="20"/>
          <w:lang w:val="es-MX"/>
        </w:rPr>
        <w:t>éstas</w:t>
      </w:r>
      <w:r w:rsidR="009E6E02" w:rsidRPr="008428A9">
        <w:rPr>
          <w:rFonts w:ascii="Verdana" w:hAnsi="Verdana"/>
          <w:sz w:val="20"/>
          <w:lang w:val="es-MX"/>
        </w:rPr>
        <w:t xml:space="preserve"> no han remitido información respecto al </w:t>
      </w:r>
      <w:r w:rsidR="006946C8" w:rsidRPr="008428A9">
        <w:rPr>
          <w:rFonts w:ascii="Verdana" w:hAnsi="Verdana"/>
          <w:sz w:val="20"/>
          <w:lang w:val="es-MX"/>
        </w:rPr>
        <w:t>estado</w:t>
      </w:r>
      <w:r w:rsidR="009E6E02" w:rsidRPr="008428A9">
        <w:rPr>
          <w:rFonts w:ascii="Verdana" w:hAnsi="Verdana"/>
          <w:sz w:val="20"/>
          <w:lang w:val="es-MX"/>
        </w:rPr>
        <w:t xml:space="preserve"> del referido proceso penal con posterioridad a enero de 2017</w:t>
      </w:r>
      <w:r>
        <w:rPr>
          <w:rFonts w:ascii="Verdana" w:hAnsi="Verdana"/>
          <w:sz w:val="20"/>
          <w:lang w:val="es-MX"/>
        </w:rPr>
        <w:t>, de manera que esta Corte no tiene información</w:t>
      </w:r>
      <w:r w:rsidR="00B57C37">
        <w:rPr>
          <w:rFonts w:ascii="Verdana" w:hAnsi="Verdana"/>
          <w:sz w:val="20"/>
          <w:lang w:val="es-MX"/>
        </w:rPr>
        <w:t xml:space="preserve"> actualizada</w:t>
      </w:r>
      <w:r>
        <w:rPr>
          <w:rFonts w:ascii="Verdana" w:hAnsi="Verdana"/>
          <w:sz w:val="20"/>
          <w:lang w:val="es-MX"/>
        </w:rPr>
        <w:t xml:space="preserve"> respecto a si el referido juicio oral ha concluido, o bien, si se ha emitido una sentencia penal</w:t>
      </w:r>
      <w:r w:rsidR="00432D4E">
        <w:rPr>
          <w:rFonts w:ascii="Verdana" w:hAnsi="Verdana"/>
          <w:sz w:val="20"/>
          <w:lang w:val="es-MX"/>
        </w:rPr>
        <w:t xml:space="preserve"> que se encuentre en firme</w:t>
      </w:r>
      <w:r w:rsidR="006946C8" w:rsidRPr="008428A9">
        <w:rPr>
          <w:rFonts w:ascii="Verdana" w:hAnsi="Verdana"/>
          <w:sz w:val="20"/>
          <w:lang w:val="es-MX"/>
        </w:rPr>
        <w:t xml:space="preserve">. </w:t>
      </w:r>
      <w:r w:rsidR="00432D4E">
        <w:rPr>
          <w:rFonts w:ascii="Verdana" w:hAnsi="Verdana"/>
          <w:sz w:val="20"/>
          <w:lang w:val="es-MX"/>
        </w:rPr>
        <w:t xml:space="preserve">En razón de ello, el Tribunal requiere al Estado </w:t>
      </w:r>
      <w:r w:rsidR="00432D4E" w:rsidRPr="00432D4E">
        <w:rPr>
          <w:rFonts w:ascii="Verdana" w:hAnsi="Verdana"/>
          <w:sz w:val="20"/>
          <w:lang w:val="es-MX"/>
        </w:rPr>
        <w:t xml:space="preserve">que, dentro del plazo establecido en el punto resolutivo </w:t>
      </w:r>
      <w:r w:rsidR="000B17C8">
        <w:rPr>
          <w:rFonts w:ascii="Verdana" w:hAnsi="Verdana"/>
          <w:sz w:val="20"/>
          <w:lang w:val="es-MX"/>
        </w:rPr>
        <w:t>4</w:t>
      </w:r>
      <w:r w:rsidR="00432D4E" w:rsidRPr="00432D4E">
        <w:rPr>
          <w:rFonts w:ascii="Verdana" w:hAnsi="Verdana"/>
          <w:sz w:val="20"/>
          <w:lang w:val="es-MX"/>
        </w:rPr>
        <w:t xml:space="preserve"> de la presente Resolución, remita información actualizada, detallada y completa </w:t>
      </w:r>
      <w:r w:rsidR="00975397" w:rsidRPr="005C0F4B">
        <w:rPr>
          <w:rFonts w:ascii="Verdana" w:hAnsi="Verdana" w:cs="Verdana"/>
          <w:sz w:val="20"/>
          <w:szCs w:val="20"/>
          <w:lang w:val="es-CR"/>
        </w:rPr>
        <w:t>sobr</w:t>
      </w:r>
      <w:r w:rsidR="00975397">
        <w:rPr>
          <w:rFonts w:ascii="Verdana" w:hAnsi="Verdana" w:cs="Verdana"/>
          <w:sz w:val="20"/>
          <w:szCs w:val="20"/>
          <w:lang w:val="es-CR"/>
        </w:rPr>
        <w:t xml:space="preserve">e el estado en </w:t>
      </w:r>
      <w:r w:rsidR="00B57C37">
        <w:rPr>
          <w:rFonts w:ascii="Verdana" w:hAnsi="Verdana" w:cs="Verdana"/>
          <w:sz w:val="20"/>
          <w:szCs w:val="20"/>
          <w:lang w:val="es-CR"/>
        </w:rPr>
        <w:t xml:space="preserve">el </w:t>
      </w:r>
      <w:r w:rsidR="00975397">
        <w:rPr>
          <w:rFonts w:ascii="Verdana" w:hAnsi="Verdana" w:cs="Verdana"/>
          <w:sz w:val="20"/>
          <w:szCs w:val="20"/>
          <w:lang w:val="es-CR"/>
        </w:rPr>
        <w:t>que se encuentra el referido proceso penal</w:t>
      </w:r>
      <w:r w:rsidR="00432D4E" w:rsidRPr="00432D4E">
        <w:rPr>
          <w:rFonts w:ascii="Verdana" w:hAnsi="Verdana"/>
          <w:sz w:val="20"/>
          <w:lang w:val="es-MX"/>
        </w:rPr>
        <w:t>, junto con las copias de las principales actuaciones procesales.</w:t>
      </w:r>
    </w:p>
    <w:p w:rsidR="006946C8" w:rsidRPr="00084C87" w:rsidRDefault="006946C8" w:rsidP="006946C8">
      <w:pPr>
        <w:pStyle w:val="Listavistosa-nfasis1"/>
        <w:spacing w:after="0" w:line="240" w:lineRule="auto"/>
        <w:ind w:left="0"/>
        <w:contextualSpacing w:val="0"/>
        <w:jc w:val="both"/>
        <w:rPr>
          <w:rFonts w:ascii="Verdana" w:hAnsi="Verdana"/>
          <w:sz w:val="10"/>
          <w:szCs w:val="10"/>
          <w:lang w:val="es-MX"/>
        </w:rPr>
      </w:pPr>
    </w:p>
    <w:p w:rsidR="00E16810" w:rsidRPr="005C0F4B" w:rsidRDefault="005C0F4B" w:rsidP="00C8662E">
      <w:pPr>
        <w:widowControl w:val="0"/>
        <w:numPr>
          <w:ilvl w:val="0"/>
          <w:numId w:val="26"/>
        </w:numPr>
        <w:autoSpaceDE w:val="0"/>
        <w:autoSpaceDN w:val="0"/>
        <w:adjustRightInd w:val="0"/>
        <w:spacing w:after="0" w:line="240" w:lineRule="auto"/>
        <w:ind w:left="0" w:firstLine="0"/>
        <w:jc w:val="both"/>
        <w:rPr>
          <w:rFonts w:ascii="Verdana" w:hAnsi="Verdana"/>
          <w:sz w:val="20"/>
          <w:szCs w:val="20"/>
          <w:lang w:val="es-ES"/>
        </w:rPr>
      </w:pPr>
      <w:r w:rsidRPr="005C0F4B">
        <w:rPr>
          <w:rFonts w:ascii="Verdana" w:hAnsi="Verdana" w:cs="Verdana"/>
          <w:sz w:val="20"/>
          <w:szCs w:val="20"/>
          <w:lang w:val="es-CR"/>
        </w:rPr>
        <w:t xml:space="preserve">Por todo lo anterior, </w:t>
      </w:r>
      <w:r w:rsidR="00310E36">
        <w:rPr>
          <w:rFonts w:ascii="Verdana" w:hAnsi="Verdana" w:cs="Verdana"/>
          <w:sz w:val="20"/>
          <w:szCs w:val="20"/>
          <w:lang w:val="es-CR"/>
        </w:rPr>
        <w:t xml:space="preserve">si bien </w:t>
      </w:r>
      <w:r w:rsidRPr="005C0F4B">
        <w:rPr>
          <w:rFonts w:ascii="Verdana" w:hAnsi="Verdana" w:cs="Verdana"/>
          <w:sz w:val="20"/>
          <w:szCs w:val="20"/>
          <w:lang w:val="es-CR"/>
        </w:rPr>
        <w:t>la Corte considera que</w:t>
      </w:r>
      <w:r w:rsidR="00310E36">
        <w:rPr>
          <w:rFonts w:ascii="Verdana" w:hAnsi="Verdana" w:cs="Verdana"/>
          <w:sz w:val="20"/>
          <w:szCs w:val="20"/>
          <w:lang w:val="es-CR"/>
        </w:rPr>
        <w:t xml:space="preserve"> </w:t>
      </w:r>
      <w:r w:rsidRPr="005C0F4B">
        <w:rPr>
          <w:rFonts w:ascii="Verdana" w:hAnsi="Verdana" w:cs="Verdana"/>
          <w:sz w:val="20"/>
          <w:szCs w:val="20"/>
          <w:lang w:val="es-CR"/>
        </w:rPr>
        <w:t>el Estado</w:t>
      </w:r>
      <w:r w:rsidR="00310E36">
        <w:rPr>
          <w:rFonts w:ascii="Verdana" w:hAnsi="Verdana" w:cs="Verdana"/>
          <w:sz w:val="20"/>
          <w:szCs w:val="20"/>
          <w:lang w:val="es-CR"/>
        </w:rPr>
        <w:t xml:space="preserve"> ha dado pasos positivos, </w:t>
      </w:r>
      <w:r w:rsidR="004F1A4B">
        <w:rPr>
          <w:rFonts w:ascii="Verdana" w:hAnsi="Verdana" w:cs="Verdana"/>
          <w:sz w:val="20"/>
          <w:szCs w:val="20"/>
          <w:lang w:val="es-CR"/>
        </w:rPr>
        <w:t xml:space="preserve">también estima que </w:t>
      </w:r>
      <w:r w:rsidR="00BB6034">
        <w:rPr>
          <w:rFonts w:ascii="Verdana" w:hAnsi="Verdana" w:cs="Verdana"/>
          <w:sz w:val="20"/>
          <w:szCs w:val="20"/>
          <w:lang w:val="es-CR"/>
        </w:rPr>
        <w:t>se encuentra pendiente de</w:t>
      </w:r>
      <w:r w:rsidRPr="005C0F4B">
        <w:rPr>
          <w:rFonts w:ascii="Verdana" w:hAnsi="Verdana" w:cs="Verdana"/>
          <w:sz w:val="20"/>
          <w:szCs w:val="20"/>
          <w:lang w:val="es-CR"/>
        </w:rPr>
        <w:t xml:space="preserve"> cumplimiento la </w:t>
      </w:r>
      <w:r w:rsidR="000B17C8">
        <w:rPr>
          <w:rFonts w:ascii="Verdana" w:hAnsi="Verdana" w:cs="Verdana"/>
          <w:sz w:val="20"/>
          <w:szCs w:val="20"/>
          <w:lang w:val="es-CR"/>
        </w:rPr>
        <w:t xml:space="preserve">obligación de </w:t>
      </w:r>
      <w:r w:rsidR="000B17C8" w:rsidRPr="009E04D5">
        <w:rPr>
          <w:rFonts w:ascii="Verdana" w:hAnsi="Verdana"/>
          <w:sz w:val="20"/>
          <w:szCs w:val="20"/>
          <w:lang w:val="es-MX"/>
        </w:rPr>
        <w:t>investigar inmediatamente los hechos que generaron las violaciones del presente caso, e identificar, juzgar, y en su caso, sancionar a los responsables</w:t>
      </w:r>
      <w:r w:rsidRPr="005C0F4B">
        <w:rPr>
          <w:rFonts w:ascii="Verdana" w:hAnsi="Verdana" w:cs="Verdana"/>
          <w:sz w:val="20"/>
          <w:szCs w:val="20"/>
          <w:lang w:val="es-CR"/>
        </w:rPr>
        <w:t>, según fue ordenada en el punto dis</w:t>
      </w:r>
      <w:r w:rsidR="00975397">
        <w:rPr>
          <w:rFonts w:ascii="Verdana" w:hAnsi="Verdana" w:cs="Verdana"/>
          <w:sz w:val="20"/>
          <w:szCs w:val="20"/>
          <w:lang w:val="es-CR"/>
        </w:rPr>
        <w:t>positivo noveno de la Sentencia</w:t>
      </w:r>
      <w:r w:rsidRPr="005C0F4B">
        <w:rPr>
          <w:rFonts w:ascii="Verdana" w:hAnsi="Verdana" w:cs="Verdana"/>
          <w:sz w:val="20"/>
          <w:szCs w:val="20"/>
          <w:lang w:val="es-CR"/>
        </w:rPr>
        <w:t xml:space="preserve">. </w:t>
      </w:r>
    </w:p>
    <w:p w:rsidR="004B6FAC" w:rsidRDefault="004B6FAC" w:rsidP="00084C87">
      <w:pPr>
        <w:pStyle w:val="Listavistosa-nfasis1"/>
        <w:spacing w:after="0" w:line="240" w:lineRule="auto"/>
        <w:ind w:left="0"/>
        <w:contextualSpacing w:val="0"/>
        <w:jc w:val="both"/>
        <w:outlineLvl w:val="0"/>
        <w:rPr>
          <w:rFonts w:ascii="Verdana" w:hAnsi="Verdana"/>
          <w:sz w:val="14"/>
          <w:szCs w:val="14"/>
          <w:lang w:val="es-MX"/>
        </w:rPr>
      </w:pPr>
      <w:bookmarkStart w:id="3" w:name="_Toc495655658"/>
    </w:p>
    <w:p w:rsidR="00B605E1" w:rsidRPr="00084C87" w:rsidRDefault="00B605E1" w:rsidP="00084C87">
      <w:pPr>
        <w:pStyle w:val="Listavistosa-nfasis1"/>
        <w:spacing w:after="0" w:line="240" w:lineRule="auto"/>
        <w:ind w:left="0"/>
        <w:contextualSpacing w:val="0"/>
        <w:jc w:val="both"/>
        <w:outlineLvl w:val="0"/>
        <w:rPr>
          <w:rFonts w:ascii="Verdana" w:hAnsi="Verdana"/>
          <w:sz w:val="14"/>
          <w:szCs w:val="14"/>
          <w:lang w:val="es-MX"/>
        </w:rPr>
      </w:pPr>
    </w:p>
    <w:p w:rsidR="001052AB" w:rsidRDefault="001052AB" w:rsidP="004B6FAC">
      <w:pPr>
        <w:pStyle w:val="Listavistosa-nfasis1"/>
        <w:numPr>
          <w:ilvl w:val="0"/>
          <w:numId w:val="7"/>
        </w:numPr>
        <w:spacing w:after="0" w:line="240" w:lineRule="auto"/>
        <w:contextualSpacing w:val="0"/>
        <w:jc w:val="both"/>
        <w:outlineLvl w:val="0"/>
        <w:rPr>
          <w:rFonts w:ascii="Verdana" w:hAnsi="Verdana"/>
          <w:b/>
          <w:i/>
          <w:sz w:val="20"/>
          <w:lang w:val="es-MX"/>
        </w:rPr>
      </w:pPr>
      <w:bookmarkStart w:id="4" w:name="_Toc5465082"/>
      <w:r>
        <w:rPr>
          <w:rFonts w:ascii="Verdana" w:hAnsi="Verdana"/>
          <w:b/>
          <w:i/>
          <w:sz w:val="20"/>
          <w:lang w:val="es-MX"/>
        </w:rPr>
        <w:t>Publicación y difusión de la Sentencia</w:t>
      </w:r>
      <w:bookmarkEnd w:id="3"/>
      <w:bookmarkEnd w:id="4"/>
    </w:p>
    <w:p w:rsidR="004B6FAC" w:rsidRPr="00084C87" w:rsidRDefault="004B6FAC" w:rsidP="00084C87">
      <w:pPr>
        <w:pStyle w:val="Listavistosa-nfasis1"/>
        <w:spacing w:after="0" w:line="240" w:lineRule="auto"/>
        <w:ind w:left="0"/>
        <w:contextualSpacing w:val="0"/>
        <w:jc w:val="both"/>
        <w:rPr>
          <w:rFonts w:ascii="Verdana" w:hAnsi="Verdana"/>
          <w:sz w:val="14"/>
          <w:szCs w:val="14"/>
          <w:lang w:val="es-MX"/>
        </w:rPr>
      </w:pPr>
    </w:p>
    <w:p w:rsidR="00B517E1" w:rsidRDefault="00B517E1" w:rsidP="004B6FAC">
      <w:pPr>
        <w:pStyle w:val="Listavistosa-nfasis1"/>
        <w:spacing w:after="0" w:line="240" w:lineRule="auto"/>
        <w:contextualSpacing w:val="0"/>
        <w:jc w:val="both"/>
        <w:rPr>
          <w:rFonts w:ascii="Verdana" w:hAnsi="Verdana"/>
          <w:i/>
          <w:sz w:val="20"/>
          <w:lang w:val="es-MX"/>
        </w:rPr>
      </w:pPr>
      <w:r w:rsidRPr="00B517E1">
        <w:rPr>
          <w:rFonts w:ascii="Verdana" w:hAnsi="Verdana"/>
          <w:i/>
          <w:sz w:val="20"/>
          <w:lang w:val="es-MX"/>
        </w:rPr>
        <w:t xml:space="preserve">B.1 </w:t>
      </w:r>
      <w:r w:rsidRPr="000121ED">
        <w:rPr>
          <w:rFonts w:ascii="Verdana" w:hAnsi="Verdana"/>
          <w:i/>
          <w:sz w:val="20"/>
          <w:lang w:val="es-MX"/>
        </w:rPr>
        <w:t>Medida</w:t>
      </w:r>
      <w:r w:rsidR="00024718">
        <w:rPr>
          <w:rFonts w:ascii="Verdana" w:hAnsi="Verdana"/>
          <w:i/>
          <w:sz w:val="20"/>
          <w:lang w:val="es-MX"/>
        </w:rPr>
        <w:t>s</w:t>
      </w:r>
      <w:r w:rsidRPr="000121ED">
        <w:rPr>
          <w:rFonts w:ascii="Verdana" w:hAnsi="Verdana"/>
          <w:i/>
          <w:sz w:val="20"/>
          <w:lang w:val="es-MX"/>
        </w:rPr>
        <w:t xml:space="preserve"> ordenada</w:t>
      </w:r>
      <w:r w:rsidR="00024718">
        <w:rPr>
          <w:rFonts w:ascii="Verdana" w:hAnsi="Verdana"/>
          <w:i/>
          <w:sz w:val="20"/>
          <w:lang w:val="es-MX"/>
        </w:rPr>
        <w:t>s</w:t>
      </w:r>
      <w:r w:rsidRPr="000121ED">
        <w:rPr>
          <w:rFonts w:ascii="Verdana" w:hAnsi="Verdana"/>
          <w:i/>
          <w:sz w:val="20"/>
          <w:lang w:val="es-MX"/>
        </w:rPr>
        <w:t xml:space="preserve"> por la </w:t>
      </w:r>
      <w:r w:rsidRPr="009E04D5">
        <w:rPr>
          <w:rFonts w:ascii="Verdana" w:hAnsi="Verdana"/>
          <w:i/>
          <w:sz w:val="20"/>
          <w:lang w:val="es-MX"/>
        </w:rPr>
        <w:t>Corte y supervisión realizada en resoluciones anteriores</w:t>
      </w:r>
      <w:r>
        <w:rPr>
          <w:rFonts w:ascii="Verdana" w:hAnsi="Verdana"/>
          <w:i/>
          <w:sz w:val="20"/>
          <w:lang w:val="es-MX"/>
        </w:rPr>
        <w:t xml:space="preserve"> </w:t>
      </w:r>
    </w:p>
    <w:p w:rsidR="004B6FAC" w:rsidRPr="00084C87" w:rsidRDefault="004B6FAC" w:rsidP="004B6FAC">
      <w:pPr>
        <w:pStyle w:val="Listavistosa-nfasis1"/>
        <w:spacing w:after="0" w:line="240" w:lineRule="auto"/>
        <w:ind w:left="0"/>
        <w:jc w:val="both"/>
        <w:rPr>
          <w:rFonts w:ascii="Verdana" w:hAnsi="Verdana" w:cs="Verdana"/>
          <w:sz w:val="14"/>
          <w:szCs w:val="14"/>
          <w:lang w:val="es-CR"/>
        </w:rPr>
      </w:pPr>
    </w:p>
    <w:p w:rsidR="00B517E1" w:rsidRPr="00A25961" w:rsidRDefault="00B517E1" w:rsidP="00C8662E">
      <w:pPr>
        <w:pStyle w:val="Listavistosa-nfasis1"/>
        <w:numPr>
          <w:ilvl w:val="0"/>
          <w:numId w:val="27"/>
        </w:numPr>
        <w:spacing w:after="0" w:line="240" w:lineRule="auto"/>
        <w:ind w:left="0" w:firstLine="0"/>
        <w:jc w:val="both"/>
        <w:rPr>
          <w:rFonts w:ascii="Verdana" w:hAnsi="Verdana" w:cs="Verdana"/>
          <w:sz w:val="20"/>
          <w:szCs w:val="20"/>
          <w:lang w:val="es-CR"/>
        </w:rPr>
      </w:pPr>
      <w:r w:rsidRPr="00B517E1">
        <w:rPr>
          <w:rFonts w:ascii="Verdana" w:hAnsi="Verdana" w:cs="Verdana"/>
          <w:sz w:val="20"/>
          <w:szCs w:val="20"/>
          <w:lang w:val="es-CR"/>
        </w:rPr>
        <w:t xml:space="preserve">En el punto dispositivo décimo </w:t>
      </w:r>
      <w:r w:rsidR="00024718">
        <w:rPr>
          <w:rFonts w:ascii="Verdana" w:hAnsi="Verdana" w:cs="Verdana"/>
          <w:sz w:val="20"/>
          <w:szCs w:val="20"/>
          <w:lang w:val="es-CR"/>
        </w:rPr>
        <w:t xml:space="preserve">y en el párrafo 192 </w:t>
      </w:r>
      <w:r w:rsidRPr="00B517E1">
        <w:rPr>
          <w:rFonts w:ascii="Verdana" w:hAnsi="Verdana" w:cs="Verdana"/>
          <w:sz w:val="20"/>
          <w:szCs w:val="20"/>
          <w:lang w:val="es-CR"/>
        </w:rPr>
        <w:t>de la Sentencia, la Corte dispu</w:t>
      </w:r>
      <w:r w:rsidR="005F7A2E">
        <w:rPr>
          <w:rFonts w:ascii="Verdana" w:hAnsi="Verdana" w:cs="Verdana"/>
          <w:sz w:val="20"/>
          <w:szCs w:val="20"/>
          <w:lang w:val="es-CR"/>
        </w:rPr>
        <w:t xml:space="preserve">so que el Estado debía publicar </w:t>
      </w:r>
      <w:r w:rsidRPr="00B517E1">
        <w:rPr>
          <w:rFonts w:ascii="Verdana" w:hAnsi="Verdana" w:cs="Verdana"/>
          <w:sz w:val="20"/>
          <w:szCs w:val="20"/>
          <w:lang w:val="es-CR"/>
        </w:rPr>
        <w:t>en el Diario Oficial y en otro diario de amplia circulación nacional, dentro del plazo de seis meses contado a partir de la notificación de la Sentencia, por una sola vez, los capítulos VII a X de la Sentencia, sin las notas al pie de página correspondientes, y los puntos resolutivos de la misma.</w:t>
      </w:r>
    </w:p>
    <w:p w:rsidR="00B517E1" w:rsidRPr="00084C87" w:rsidRDefault="00B517E1" w:rsidP="004B6FAC">
      <w:pPr>
        <w:pStyle w:val="Listavistosa-nfasis1"/>
        <w:spacing w:after="0" w:line="240" w:lineRule="auto"/>
        <w:ind w:left="0"/>
        <w:jc w:val="both"/>
        <w:rPr>
          <w:rFonts w:ascii="Verdana" w:hAnsi="Verdana" w:cs="Verdana"/>
          <w:sz w:val="10"/>
          <w:szCs w:val="10"/>
          <w:lang w:val="es-CR"/>
        </w:rPr>
      </w:pPr>
    </w:p>
    <w:p w:rsidR="00B517E1" w:rsidRPr="00695D03" w:rsidRDefault="00CA5E38" w:rsidP="00C8662E">
      <w:pPr>
        <w:pStyle w:val="Listavistosa-nfasis1"/>
        <w:numPr>
          <w:ilvl w:val="0"/>
          <w:numId w:val="27"/>
        </w:numPr>
        <w:spacing w:after="0" w:line="240" w:lineRule="auto"/>
        <w:ind w:left="0" w:firstLine="0"/>
        <w:contextualSpacing w:val="0"/>
        <w:jc w:val="both"/>
        <w:rPr>
          <w:rFonts w:ascii="Verdana" w:hAnsi="Verdana" w:cs="Verdana"/>
          <w:sz w:val="20"/>
          <w:szCs w:val="20"/>
          <w:lang w:val="es-CR"/>
        </w:rPr>
      </w:pPr>
      <w:r w:rsidRPr="00F30CFB">
        <w:rPr>
          <w:rFonts w:ascii="Verdana" w:hAnsi="Verdana"/>
          <w:sz w:val="20"/>
          <w:lang w:val="es-MX"/>
        </w:rPr>
        <w:t xml:space="preserve">En la </w:t>
      </w:r>
      <w:r w:rsidR="001551B2">
        <w:rPr>
          <w:rFonts w:ascii="Verdana" w:hAnsi="Verdana"/>
          <w:sz w:val="20"/>
          <w:lang w:val="es-MX"/>
        </w:rPr>
        <w:t>Resolución</w:t>
      </w:r>
      <w:r w:rsidRPr="00F30CFB">
        <w:rPr>
          <w:rFonts w:ascii="Verdana" w:hAnsi="Verdana"/>
          <w:sz w:val="20"/>
          <w:lang w:val="es-MX"/>
        </w:rPr>
        <w:t xml:space="preserve"> de supervisión de cumplimiento de</w:t>
      </w:r>
      <w:r>
        <w:rPr>
          <w:rFonts w:ascii="Verdana" w:hAnsi="Verdana"/>
          <w:sz w:val="20"/>
          <w:lang w:val="es-MX"/>
        </w:rPr>
        <w:t xml:space="preserve"> abril de 2009</w:t>
      </w:r>
      <w:r w:rsidR="001551B2">
        <w:rPr>
          <w:rStyle w:val="Refdenotaalpie"/>
          <w:rFonts w:ascii="Verdana" w:hAnsi="Verdana"/>
          <w:sz w:val="20"/>
          <w:lang w:val="es-MX"/>
        </w:rPr>
        <w:footnoteReference w:id="34"/>
      </w:r>
      <w:r>
        <w:rPr>
          <w:rFonts w:ascii="Verdana" w:hAnsi="Verdana"/>
          <w:sz w:val="20"/>
          <w:lang w:val="es-MX"/>
        </w:rPr>
        <w:t xml:space="preserve">, la Corte constató que el Estado no había remitido información sobre </w:t>
      </w:r>
      <w:r w:rsidR="008D5DFE">
        <w:rPr>
          <w:rFonts w:ascii="Verdana" w:hAnsi="Verdana"/>
          <w:sz w:val="20"/>
          <w:lang w:val="es-MX"/>
        </w:rPr>
        <w:t xml:space="preserve">avances en </w:t>
      </w:r>
      <w:r>
        <w:rPr>
          <w:rFonts w:ascii="Verdana" w:hAnsi="Verdana"/>
          <w:sz w:val="20"/>
          <w:lang w:val="es-MX"/>
        </w:rPr>
        <w:t xml:space="preserve">el cumplimiento de la presente medida. </w:t>
      </w:r>
      <w:r w:rsidR="00695D03" w:rsidRPr="00695D03">
        <w:rPr>
          <w:rFonts w:ascii="Verdana" w:hAnsi="Verdana" w:cs="Verdana"/>
          <w:sz w:val="20"/>
          <w:szCs w:val="20"/>
          <w:lang w:val="es-CR"/>
        </w:rPr>
        <w:t>En</w:t>
      </w:r>
      <w:r w:rsidR="006170B8">
        <w:rPr>
          <w:rFonts w:ascii="Verdana" w:hAnsi="Verdana" w:cs="Verdana"/>
          <w:sz w:val="20"/>
          <w:szCs w:val="20"/>
          <w:lang w:val="es-CR"/>
        </w:rPr>
        <w:t xml:space="preserve"> la</w:t>
      </w:r>
      <w:r w:rsidR="001551B2">
        <w:rPr>
          <w:rFonts w:ascii="Verdana" w:hAnsi="Verdana" w:cs="Verdana"/>
          <w:sz w:val="20"/>
          <w:szCs w:val="20"/>
          <w:lang w:val="es-CR"/>
        </w:rPr>
        <w:t>s Resoluciones</w:t>
      </w:r>
      <w:r w:rsidR="00695D03" w:rsidRPr="00695D03">
        <w:rPr>
          <w:rFonts w:ascii="Verdana" w:hAnsi="Verdana" w:cs="Verdana"/>
          <w:sz w:val="20"/>
          <w:szCs w:val="20"/>
          <w:lang w:val="es-CR"/>
        </w:rPr>
        <w:t xml:space="preserve"> de supervisión de cumplimiento de la Sentencia de</w:t>
      </w:r>
      <w:r w:rsidR="001551B2">
        <w:rPr>
          <w:rFonts w:ascii="Verdana" w:hAnsi="Verdana" w:cs="Verdana"/>
          <w:sz w:val="20"/>
          <w:szCs w:val="20"/>
          <w:lang w:val="es-CR"/>
        </w:rPr>
        <w:t xml:space="preserve"> </w:t>
      </w:r>
      <w:r w:rsidR="001551B2">
        <w:rPr>
          <w:rFonts w:ascii="Verdana" w:hAnsi="Verdana"/>
          <w:sz w:val="20"/>
          <w:lang w:val="es-MX"/>
        </w:rPr>
        <w:t>septiembre</w:t>
      </w:r>
      <w:r w:rsidR="00695D03" w:rsidRPr="00695D03">
        <w:rPr>
          <w:rFonts w:ascii="Verdana" w:hAnsi="Verdana" w:cs="Verdana"/>
          <w:sz w:val="20"/>
          <w:szCs w:val="20"/>
          <w:lang w:val="es-CR"/>
        </w:rPr>
        <w:t xml:space="preserve"> </w:t>
      </w:r>
      <w:r w:rsidR="001551B2">
        <w:rPr>
          <w:rFonts w:ascii="Verdana" w:hAnsi="Verdana" w:cs="Verdana"/>
          <w:sz w:val="20"/>
          <w:szCs w:val="20"/>
          <w:lang w:val="es-CR"/>
        </w:rPr>
        <w:t>de 2009</w:t>
      </w:r>
      <w:r w:rsidR="001551B2">
        <w:rPr>
          <w:rStyle w:val="Refdenotaalpie"/>
          <w:rFonts w:ascii="Verdana" w:hAnsi="Verdana" w:cs="Verdana"/>
          <w:sz w:val="20"/>
          <w:szCs w:val="20"/>
          <w:lang w:val="es-CR"/>
        </w:rPr>
        <w:footnoteReference w:id="35"/>
      </w:r>
      <w:r w:rsidR="001551B2">
        <w:rPr>
          <w:rFonts w:ascii="Verdana" w:hAnsi="Verdana" w:cs="Verdana"/>
          <w:sz w:val="20"/>
          <w:szCs w:val="20"/>
          <w:lang w:val="es-CR"/>
        </w:rPr>
        <w:t xml:space="preserve"> y</w:t>
      </w:r>
      <w:r w:rsidR="00695D03" w:rsidRPr="00695D03">
        <w:rPr>
          <w:rFonts w:ascii="Verdana" w:hAnsi="Verdana" w:cs="Verdana"/>
          <w:sz w:val="20"/>
          <w:szCs w:val="20"/>
          <w:lang w:val="es-CR"/>
        </w:rPr>
        <w:t xml:space="preserve"> febrero de 2011</w:t>
      </w:r>
      <w:r w:rsidR="003E7F34">
        <w:rPr>
          <w:rStyle w:val="Refdenotaalpie"/>
          <w:rFonts w:ascii="Verdana" w:hAnsi="Verdana" w:cs="Verdana"/>
          <w:sz w:val="20"/>
          <w:szCs w:val="20"/>
          <w:lang w:val="es-CR"/>
        </w:rPr>
        <w:footnoteReference w:id="36"/>
      </w:r>
      <w:r w:rsidR="00695D03" w:rsidRPr="00695D03">
        <w:rPr>
          <w:rFonts w:ascii="Verdana" w:hAnsi="Verdana" w:cs="Verdana"/>
          <w:sz w:val="20"/>
          <w:szCs w:val="20"/>
          <w:lang w:val="es-CR"/>
        </w:rPr>
        <w:t xml:space="preserve">, </w:t>
      </w:r>
      <w:r w:rsidR="00B04F2C">
        <w:rPr>
          <w:rFonts w:ascii="Verdana" w:hAnsi="Verdana" w:cs="Verdana"/>
          <w:sz w:val="20"/>
          <w:szCs w:val="20"/>
          <w:lang w:val="es-CR"/>
        </w:rPr>
        <w:t>este Tribunal</w:t>
      </w:r>
      <w:r w:rsidR="00695D03" w:rsidRPr="00695D03">
        <w:rPr>
          <w:rFonts w:ascii="Verdana" w:hAnsi="Verdana" w:cs="Verdana"/>
          <w:sz w:val="20"/>
          <w:szCs w:val="20"/>
          <w:lang w:val="es-CR"/>
        </w:rPr>
        <w:t xml:space="preserve"> </w:t>
      </w:r>
      <w:r w:rsidR="001551B2">
        <w:rPr>
          <w:rFonts w:ascii="Verdana" w:hAnsi="Verdana" w:cs="Verdana"/>
          <w:sz w:val="20"/>
          <w:szCs w:val="20"/>
          <w:lang w:val="es-CR"/>
        </w:rPr>
        <w:t>solicitó al Estado “aclar[ar] su propuesta” relativa a “establec[er] vínculos de acceso en las páginas de Internet de los principales diarios de circulación nacional”.</w:t>
      </w:r>
      <w:r w:rsidR="003E7F34">
        <w:rPr>
          <w:rFonts w:ascii="Verdana" w:hAnsi="Verdana" w:cs="Verdana"/>
          <w:sz w:val="20"/>
          <w:szCs w:val="20"/>
          <w:lang w:val="es-CR"/>
        </w:rPr>
        <w:t xml:space="preserve"> Asimismo, en la referida resolución de 2011, el Tribunal</w:t>
      </w:r>
      <w:r w:rsidR="001551B2">
        <w:rPr>
          <w:rFonts w:ascii="Verdana" w:hAnsi="Verdana" w:cs="Verdana"/>
          <w:sz w:val="20"/>
          <w:szCs w:val="20"/>
          <w:lang w:val="es-CR"/>
        </w:rPr>
        <w:t xml:space="preserve"> </w:t>
      </w:r>
      <w:r w:rsidR="006C0E7B">
        <w:rPr>
          <w:rFonts w:ascii="Verdana" w:hAnsi="Verdana" w:cs="Verdana"/>
          <w:sz w:val="20"/>
          <w:szCs w:val="20"/>
          <w:lang w:val="es-CR"/>
        </w:rPr>
        <w:t xml:space="preserve">señaló </w:t>
      </w:r>
      <w:r w:rsidR="00695D03" w:rsidRPr="00695D03">
        <w:rPr>
          <w:rFonts w:ascii="Verdana" w:hAnsi="Verdana" w:cs="Verdana"/>
          <w:sz w:val="20"/>
          <w:szCs w:val="20"/>
          <w:lang w:val="es-CR"/>
        </w:rPr>
        <w:t>que</w:t>
      </w:r>
      <w:r w:rsidR="00695D03">
        <w:rPr>
          <w:rFonts w:ascii="Verdana" w:hAnsi="Verdana" w:cs="Verdana"/>
          <w:sz w:val="20"/>
          <w:szCs w:val="20"/>
          <w:lang w:val="es-CR"/>
        </w:rPr>
        <w:t xml:space="preserve"> </w:t>
      </w:r>
      <w:r w:rsidR="00457485">
        <w:rPr>
          <w:rFonts w:ascii="Verdana" w:hAnsi="Verdana" w:cs="Verdana"/>
          <w:sz w:val="20"/>
          <w:szCs w:val="20"/>
          <w:lang w:val="es-CR"/>
        </w:rPr>
        <w:t xml:space="preserve">aun cuando </w:t>
      </w:r>
      <w:r w:rsidR="00695D03" w:rsidRPr="00695D03">
        <w:rPr>
          <w:rFonts w:ascii="Verdana" w:hAnsi="Verdana" w:cs="Verdana"/>
          <w:sz w:val="20"/>
          <w:szCs w:val="20"/>
          <w:lang w:val="es-CR"/>
        </w:rPr>
        <w:t xml:space="preserve">el Estado </w:t>
      </w:r>
      <w:r w:rsidR="003E7F34">
        <w:rPr>
          <w:rFonts w:ascii="Verdana" w:hAnsi="Verdana" w:cs="Verdana"/>
          <w:sz w:val="20"/>
          <w:szCs w:val="20"/>
          <w:lang w:val="es-CR"/>
        </w:rPr>
        <w:t>ha</w:t>
      </w:r>
      <w:r w:rsidR="00457485">
        <w:rPr>
          <w:rFonts w:ascii="Verdana" w:hAnsi="Verdana" w:cs="Verdana"/>
          <w:sz w:val="20"/>
          <w:szCs w:val="20"/>
          <w:lang w:val="es-CR"/>
        </w:rPr>
        <w:t>bía</w:t>
      </w:r>
      <w:r w:rsidR="003E7F34">
        <w:rPr>
          <w:rFonts w:ascii="Verdana" w:hAnsi="Verdana" w:cs="Verdana"/>
          <w:sz w:val="20"/>
          <w:szCs w:val="20"/>
          <w:lang w:val="es-CR"/>
        </w:rPr>
        <w:t xml:space="preserve"> informado que </w:t>
      </w:r>
      <w:r w:rsidR="00457485">
        <w:rPr>
          <w:rFonts w:ascii="Verdana" w:hAnsi="Verdana" w:cs="Verdana"/>
          <w:sz w:val="20"/>
          <w:szCs w:val="20"/>
          <w:lang w:val="es-CR"/>
        </w:rPr>
        <w:t>“</w:t>
      </w:r>
      <w:r w:rsidR="003E7F34">
        <w:rPr>
          <w:rFonts w:ascii="Verdana" w:hAnsi="Verdana" w:cs="Verdana"/>
          <w:sz w:val="20"/>
          <w:szCs w:val="20"/>
          <w:lang w:val="es-CR"/>
        </w:rPr>
        <w:t xml:space="preserve">la publicación impresa en un diario de circulación nacional […] ya se habría realizado”, no </w:t>
      </w:r>
      <w:r w:rsidR="00695D03" w:rsidRPr="00695D03">
        <w:rPr>
          <w:rFonts w:ascii="Verdana" w:hAnsi="Verdana" w:cs="Verdana"/>
          <w:sz w:val="20"/>
          <w:szCs w:val="20"/>
          <w:lang w:val="es-CR"/>
        </w:rPr>
        <w:t xml:space="preserve">remitió </w:t>
      </w:r>
      <w:r w:rsidR="003E7F34">
        <w:rPr>
          <w:rFonts w:ascii="Verdana" w:hAnsi="Verdana" w:cs="Verdana"/>
          <w:sz w:val="20"/>
          <w:szCs w:val="20"/>
          <w:lang w:val="es-CR"/>
        </w:rPr>
        <w:t>prueba que permitiese “apreciar si efectivamente se cumplió con la orden de la Corte”</w:t>
      </w:r>
      <w:r w:rsidR="00695D03">
        <w:rPr>
          <w:rStyle w:val="Refdenotaalpie"/>
          <w:rFonts w:ascii="Verdana" w:hAnsi="Verdana" w:cs="Verdana"/>
          <w:sz w:val="20"/>
          <w:szCs w:val="20"/>
          <w:lang w:val="es-CR"/>
        </w:rPr>
        <w:footnoteReference w:id="37"/>
      </w:r>
      <w:r w:rsidR="00695D03" w:rsidRPr="00695D03">
        <w:rPr>
          <w:rFonts w:ascii="Verdana" w:hAnsi="Verdana" w:cs="Verdana"/>
          <w:sz w:val="20"/>
          <w:szCs w:val="20"/>
          <w:lang w:val="es-CR"/>
        </w:rPr>
        <w:t>.</w:t>
      </w:r>
    </w:p>
    <w:p w:rsidR="004B6FAC" w:rsidRPr="00C710AE" w:rsidRDefault="004B6FAC" w:rsidP="00C710AE">
      <w:pPr>
        <w:pStyle w:val="Listavistosa-nfasis1"/>
        <w:spacing w:after="0" w:line="240" w:lineRule="auto"/>
        <w:ind w:left="0"/>
        <w:contextualSpacing w:val="0"/>
        <w:jc w:val="both"/>
        <w:rPr>
          <w:rFonts w:ascii="Verdana" w:hAnsi="Verdana"/>
          <w:sz w:val="14"/>
          <w:szCs w:val="14"/>
          <w:lang w:val="es-MX"/>
        </w:rPr>
      </w:pPr>
    </w:p>
    <w:p w:rsidR="008D039A" w:rsidRPr="004B53AF" w:rsidRDefault="008F0922" w:rsidP="004B6FAC">
      <w:pPr>
        <w:pStyle w:val="Listavistosa-nfasis1"/>
        <w:spacing w:after="0" w:line="240" w:lineRule="auto"/>
        <w:ind w:left="0" w:firstLine="720"/>
        <w:contextualSpacing w:val="0"/>
        <w:jc w:val="both"/>
        <w:rPr>
          <w:rFonts w:ascii="Verdana" w:hAnsi="Verdana"/>
          <w:i/>
          <w:sz w:val="20"/>
          <w:lang w:val="es-MX"/>
        </w:rPr>
      </w:pPr>
      <w:r>
        <w:rPr>
          <w:rFonts w:ascii="Verdana" w:hAnsi="Verdana"/>
          <w:i/>
          <w:sz w:val="20"/>
          <w:lang w:val="es-MX"/>
        </w:rPr>
        <w:t>B.2</w:t>
      </w:r>
      <w:r w:rsidR="008D039A" w:rsidRPr="004B53AF">
        <w:rPr>
          <w:rFonts w:ascii="Verdana" w:hAnsi="Verdana"/>
          <w:i/>
          <w:sz w:val="20"/>
          <w:lang w:val="es-MX"/>
        </w:rPr>
        <w:t xml:space="preserve">. Consideraciones de la Corte </w:t>
      </w:r>
    </w:p>
    <w:p w:rsidR="004B6FAC" w:rsidRPr="006B208B" w:rsidRDefault="004B6FAC" w:rsidP="004B6FAC">
      <w:pPr>
        <w:pStyle w:val="Listavistosa-nfasis1"/>
        <w:spacing w:after="0" w:line="240" w:lineRule="auto"/>
        <w:ind w:left="0"/>
        <w:contextualSpacing w:val="0"/>
        <w:jc w:val="both"/>
        <w:rPr>
          <w:rFonts w:ascii="Verdana" w:hAnsi="Verdana"/>
          <w:sz w:val="14"/>
          <w:szCs w:val="14"/>
          <w:lang w:val="es-MX"/>
        </w:rPr>
      </w:pPr>
    </w:p>
    <w:p w:rsidR="006B208B" w:rsidRDefault="00EC11BC" w:rsidP="00C8662E">
      <w:pPr>
        <w:pStyle w:val="Listavistosa-nfasis1"/>
        <w:numPr>
          <w:ilvl w:val="0"/>
          <w:numId w:val="27"/>
        </w:numPr>
        <w:spacing w:after="0" w:line="240" w:lineRule="auto"/>
        <w:ind w:left="0" w:firstLine="0"/>
        <w:contextualSpacing w:val="0"/>
        <w:jc w:val="both"/>
        <w:rPr>
          <w:rFonts w:ascii="Verdana" w:hAnsi="Verdana"/>
          <w:sz w:val="20"/>
          <w:szCs w:val="20"/>
          <w:lang w:val="es-MX"/>
        </w:rPr>
      </w:pPr>
      <w:r w:rsidRPr="006B208B">
        <w:rPr>
          <w:rFonts w:ascii="Verdana" w:hAnsi="Verdana"/>
          <w:sz w:val="20"/>
          <w:lang w:val="es-MX"/>
        </w:rPr>
        <w:t>La Corte ha constatado, con base en los comprobantes aportados por el Estado</w:t>
      </w:r>
      <w:r w:rsidR="000A52F1" w:rsidRPr="006B208B">
        <w:rPr>
          <w:rStyle w:val="Refdenotaalpie"/>
          <w:rFonts w:ascii="Verdana" w:hAnsi="Verdana" w:cs="Verdana"/>
          <w:sz w:val="20"/>
          <w:szCs w:val="20"/>
          <w:lang w:val="es-CR"/>
        </w:rPr>
        <w:footnoteReference w:id="38"/>
      </w:r>
      <w:r w:rsidRPr="006B208B">
        <w:rPr>
          <w:rFonts w:ascii="Verdana" w:hAnsi="Verdana"/>
          <w:sz w:val="20"/>
          <w:lang w:val="es-MX"/>
        </w:rPr>
        <w:t xml:space="preserve"> y tomando en cuenta </w:t>
      </w:r>
      <w:r w:rsidR="00F0083F">
        <w:rPr>
          <w:rFonts w:ascii="Verdana" w:hAnsi="Verdana"/>
          <w:sz w:val="20"/>
          <w:lang w:val="es-MX"/>
        </w:rPr>
        <w:t>lo</w:t>
      </w:r>
      <w:r w:rsidRPr="006B208B">
        <w:rPr>
          <w:rFonts w:ascii="Verdana" w:hAnsi="Verdana"/>
          <w:sz w:val="20"/>
          <w:lang w:val="es-MX"/>
        </w:rPr>
        <w:t xml:space="preserve"> manifestad</w:t>
      </w:r>
      <w:r w:rsidR="006C0E7B">
        <w:rPr>
          <w:rFonts w:ascii="Verdana" w:hAnsi="Verdana"/>
          <w:sz w:val="20"/>
          <w:lang w:val="es-MX"/>
        </w:rPr>
        <w:t>o</w:t>
      </w:r>
      <w:r w:rsidRPr="006B208B">
        <w:rPr>
          <w:rFonts w:ascii="Verdana" w:hAnsi="Verdana"/>
          <w:sz w:val="20"/>
          <w:lang w:val="es-MX"/>
        </w:rPr>
        <w:t xml:space="preserve"> por los representantes de las víctimas</w:t>
      </w:r>
      <w:r w:rsidRPr="006B208B">
        <w:rPr>
          <w:rStyle w:val="Refdenotaalpie"/>
          <w:rFonts w:ascii="Verdana" w:hAnsi="Verdana"/>
          <w:sz w:val="20"/>
          <w:lang w:val="es-MX"/>
        </w:rPr>
        <w:footnoteReference w:id="39"/>
      </w:r>
      <w:r w:rsidRPr="006B208B">
        <w:rPr>
          <w:rFonts w:ascii="Verdana" w:hAnsi="Verdana"/>
          <w:sz w:val="20"/>
          <w:lang w:val="es-MX"/>
        </w:rPr>
        <w:t xml:space="preserve"> y el parecer de la Comisión Interamericana</w:t>
      </w:r>
      <w:r w:rsidRPr="006B208B">
        <w:rPr>
          <w:rStyle w:val="Refdenotaalpie"/>
          <w:rFonts w:ascii="Verdana" w:hAnsi="Verdana"/>
          <w:sz w:val="20"/>
          <w:lang w:val="es-MX"/>
        </w:rPr>
        <w:footnoteReference w:id="40"/>
      </w:r>
      <w:r w:rsidRPr="006B208B">
        <w:rPr>
          <w:rFonts w:ascii="Verdana" w:hAnsi="Verdana"/>
          <w:sz w:val="20"/>
          <w:lang w:val="es-MX"/>
        </w:rPr>
        <w:t xml:space="preserve">, que el Estado cumplió </w:t>
      </w:r>
      <w:r w:rsidR="00457485">
        <w:rPr>
          <w:rFonts w:ascii="Verdana" w:hAnsi="Verdana"/>
          <w:sz w:val="20"/>
          <w:lang w:val="es-MX"/>
        </w:rPr>
        <w:t xml:space="preserve">en </w:t>
      </w:r>
      <w:r w:rsidR="00066E12">
        <w:rPr>
          <w:rFonts w:ascii="Verdana" w:hAnsi="Verdana"/>
          <w:sz w:val="20"/>
          <w:lang w:val="es-MX"/>
        </w:rPr>
        <w:t>abril de</w:t>
      </w:r>
      <w:r w:rsidR="00457485">
        <w:rPr>
          <w:rFonts w:ascii="Verdana" w:hAnsi="Verdana"/>
          <w:sz w:val="20"/>
          <w:lang w:val="es-MX"/>
        </w:rPr>
        <w:t xml:space="preserve"> 2010 </w:t>
      </w:r>
      <w:r w:rsidRPr="006B208B">
        <w:rPr>
          <w:rFonts w:ascii="Verdana" w:hAnsi="Verdana"/>
          <w:sz w:val="20"/>
          <w:lang w:val="es-MX"/>
        </w:rPr>
        <w:t>con publicar</w:t>
      </w:r>
      <w:r w:rsidR="00BF0DE7" w:rsidRPr="006B208B">
        <w:rPr>
          <w:rFonts w:ascii="Verdana" w:hAnsi="Verdana"/>
          <w:sz w:val="20"/>
          <w:lang w:val="es-MX"/>
        </w:rPr>
        <w:t xml:space="preserve"> </w:t>
      </w:r>
      <w:r w:rsidR="00BF0DE7" w:rsidRPr="006B208B">
        <w:rPr>
          <w:rFonts w:ascii="Verdana" w:hAnsi="Verdana" w:cs="Verdana"/>
          <w:sz w:val="20"/>
          <w:szCs w:val="20"/>
          <w:lang w:val="es-CR"/>
        </w:rPr>
        <w:t>los capítulos VII a X de la Sentencia, sin las notas al pie de página correspondientes, y los puntos resolutivos de la misma en</w:t>
      </w:r>
      <w:r w:rsidRPr="006B208B">
        <w:rPr>
          <w:rFonts w:ascii="Verdana" w:hAnsi="Verdana"/>
          <w:sz w:val="20"/>
          <w:lang w:val="es-MX"/>
        </w:rPr>
        <w:t xml:space="preserve"> en el Diario Expreso, “diario de </w:t>
      </w:r>
      <w:r w:rsidR="007C72BB" w:rsidRPr="006B208B">
        <w:rPr>
          <w:rFonts w:ascii="Verdana" w:hAnsi="Verdana"/>
          <w:sz w:val="20"/>
          <w:lang w:val="es-MX"/>
        </w:rPr>
        <w:t>amplia</w:t>
      </w:r>
      <w:r w:rsidRPr="006B208B">
        <w:rPr>
          <w:rFonts w:ascii="Verdana" w:hAnsi="Verdana"/>
          <w:sz w:val="20"/>
          <w:lang w:val="es-MX"/>
        </w:rPr>
        <w:t xml:space="preserve"> circulación</w:t>
      </w:r>
      <w:r w:rsidR="007C72BB" w:rsidRPr="006B208B">
        <w:rPr>
          <w:rFonts w:ascii="Verdana" w:hAnsi="Verdana"/>
          <w:sz w:val="20"/>
          <w:lang w:val="es-MX"/>
        </w:rPr>
        <w:t xml:space="preserve"> nacional</w:t>
      </w:r>
      <w:r w:rsidR="00924907" w:rsidRPr="006B208B">
        <w:rPr>
          <w:rFonts w:ascii="Verdana" w:hAnsi="Verdana"/>
          <w:sz w:val="20"/>
          <w:lang w:val="es-MX"/>
        </w:rPr>
        <w:t>”</w:t>
      </w:r>
      <w:r w:rsidR="00BF0DE7" w:rsidRPr="006B208B">
        <w:rPr>
          <w:rFonts w:ascii="Verdana" w:hAnsi="Verdana"/>
          <w:sz w:val="20"/>
          <w:lang w:val="es-MX"/>
        </w:rPr>
        <w:t>,</w:t>
      </w:r>
      <w:r w:rsidR="00924907" w:rsidRPr="006B208B">
        <w:rPr>
          <w:rFonts w:ascii="Verdana" w:hAnsi="Verdana"/>
          <w:sz w:val="20"/>
          <w:lang w:val="es-MX"/>
        </w:rPr>
        <w:t xml:space="preserve"> </w:t>
      </w:r>
      <w:r w:rsidR="00BF0DE7" w:rsidRPr="006B208B">
        <w:rPr>
          <w:rFonts w:ascii="Verdana" w:hAnsi="Verdana"/>
          <w:sz w:val="20"/>
          <w:lang w:val="es-MX"/>
        </w:rPr>
        <w:t xml:space="preserve">así como </w:t>
      </w:r>
      <w:r w:rsidR="00457485">
        <w:rPr>
          <w:rFonts w:ascii="Verdana" w:hAnsi="Verdana"/>
          <w:sz w:val="20"/>
          <w:lang w:val="es-MX"/>
        </w:rPr>
        <w:t xml:space="preserve">en </w:t>
      </w:r>
      <w:r w:rsidR="00066E12">
        <w:rPr>
          <w:rFonts w:ascii="Verdana" w:hAnsi="Verdana"/>
          <w:sz w:val="20"/>
          <w:lang w:val="es-MX"/>
        </w:rPr>
        <w:t>abril de</w:t>
      </w:r>
      <w:r w:rsidR="00457485">
        <w:rPr>
          <w:rFonts w:ascii="Verdana" w:hAnsi="Verdana"/>
          <w:sz w:val="20"/>
          <w:lang w:val="es-MX"/>
        </w:rPr>
        <w:t xml:space="preserve"> 2018 </w:t>
      </w:r>
      <w:r w:rsidR="00BF0DE7" w:rsidRPr="006B208B">
        <w:rPr>
          <w:rFonts w:ascii="Verdana" w:hAnsi="Verdana"/>
          <w:sz w:val="20"/>
          <w:lang w:val="es-MX"/>
        </w:rPr>
        <w:t>en el Diario Oficial “El Peruano”</w:t>
      </w:r>
      <w:r w:rsidR="002F65B1" w:rsidRPr="006B208B">
        <w:rPr>
          <w:rFonts w:ascii="Verdana" w:hAnsi="Verdana"/>
          <w:sz w:val="20"/>
          <w:lang w:val="es-MX"/>
        </w:rPr>
        <w:t>.</w:t>
      </w:r>
      <w:r w:rsidR="00832540" w:rsidRPr="006B208B">
        <w:rPr>
          <w:rFonts w:ascii="Verdana" w:hAnsi="Verdana"/>
          <w:sz w:val="20"/>
          <w:lang w:val="es-MX"/>
        </w:rPr>
        <w:t xml:space="preserve"> </w:t>
      </w:r>
      <w:r w:rsidR="00F0083F">
        <w:rPr>
          <w:rFonts w:ascii="Verdana" w:hAnsi="Verdana"/>
          <w:sz w:val="20"/>
          <w:lang w:val="es-MX"/>
        </w:rPr>
        <w:t>Asimismo, el Tribunal observa que</w:t>
      </w:r>
      <w:r w:rsidR="006C0E7B">
        <w:rPr>
          <w:rFonts w:ascii="Verdana" w:hAnsi="Verdana"/>
          <w:sz w:val="20"/>
          <w:lang w:val="es-MX"/>
        </w:rPr>
        <w:t>,</w:t>
      </w:r>
      <w:r w:rsidR="00F0083F">
        <w:rPr>
          <w:rFonts w:ascii="Verdana" w:hAnsi="Verdana"/>
          <w:sz w:val="20"/>
          <w:lang w:val="es-MX"/>
        </w:rPr>
        <w:t xml:space="preserve"> pese a tratarse de una reparación cuyo cumplimiento no es de naturaleza compleja, las publicaciones se realizaron</w:t>
      </w:r>
      <w:r w:rsidR="00A81046">
        <w:rPr>
          <w:rFonts w:ascii="Verdana" w:hAnsi="Verdana"/>
          <w:sz w:val="20"/>
          <w:lang w:val="es-MX"/>
        </w:rPr>
        <w:t>, respectivamente,</w:t>
      </w:r>
      <w:r w:rsidR="00B605E1">
        <w:rPr>
          <w:rFonts w:ascii="Verdana" w:hAnsi="Verdana"/>
          <w:sz w:val="20"/>
          <w:lang w:val="es-MX"/>
        </w:rPr>
        <w:t xml:space="preserve"> más de dos</w:t>
      </w:r>
      <w:r w:rsidR="00B214E0">
        <w:rPr>
          <w:rFonts w:ascii="Verdana" w:hAnsi="Verdana"/>
          <w:sz w:val="20"/>
          <w:lang w:val="es-MX"/>
        </w:rPr>
        <w:t xml:space="preserve"> y </w:t>
      </w:r>
      <w:r w:rsidR="00B605E1">
        <w:rPr>
          <w:rFonts w:ascii="Verdana" w:hAnsi="Verdana"/>
          <w:sz w:val="20"/>
          <w:lang w:val="es-MX"/>
        </w:rPr>
        <w:t>diez</w:t>
      </w:r>
      <w:r w:rsidR="00B214E0">
        <w:rPr>
          <w:rFonts w:ascii="Verdana" w:hAnsi="Verdana"/>
          <w:sz w:val="20"/>
          <w:lang w:val="es-MX"/>
        </w:rPr>
        <w:t xml:space="preserve"> años después de notificado el </w:t>
      </w:r>
      <w:r w:rsidR="00877F95">
        <w:rPr>
          <w:rFonts w:ascii="Verdana" w:hAnsi="Verdana"/>
          <w:sz w:val="20"/>
          <w:lang w:val="es-MX"/>
        </w:rPr>
        <w:t>F</w:t>
      </w:r>
      <w:r w:rsidR="00B214E0">
        <w:rPr>
          <w:rFonts w:ascii="Verdana" w:hAnsi="Verdana"/>
          <w:sz w:val="20"/>
          <w:lang w:val="es-MX"/>
        </w:rPr>
        <w:t>allo.</w:t>
      </w:r>
    </w:p>
    <w:p w:rsidR="006B208B" w:rsidRPr="00F0083F" w:rsidRDefault="006B208B" w:rsidP="006B208B">
      <w:pPr>
        <w:pStyle w:val="Listavistosa-nfasis1"/>
        <w:spacing w:after="0" w:line="240" w:lineRule="auto"/>
        <w:ind w:left="0"/>
        <w:contextualSpacing w:val="0"/>
        <w:jc w:val="both"/>
        <w:rPr>
          <w:rFonts w:ascii="Verdana" w:hAnsi="Verdana"/>
          <w:sz w:val="10"/>
          <w:szCs w:val="10"/>
          <w:lang w:val="es-MX"/>
        </w:rPr>
      </w:pPr>
    </w:p>
    <w:p w:rsidR="00EC11BC" w:rsidRPr="00B42E49" w:rsidRDefault="006607C7" w:rsidP="00C8662E">
      <w:pPr>
        <w:pStyle w:val="Listavistosa-nfasis1"/>
        <w:numPr>
          <w:ilvl w:val="0"/>
          <w:numId w:val="27"/>
        </w:numPr>
        <w:spacing w:after="0" w:line="240" w:lineRule="auto"/>
        <w:ind w:left="0" w:firstLine="0"/>
        <w:contextualSpacing w:val="0"/>
        <w:jc w:val="both"/>
        <w:rPr>
          <w:rFonts w:ascii="Verdana" w:hAnsi="Verdana"/>
          <w:sz w:val="20"/>
          <w:lang w:val="es-MX"/>
        </w:rPr>
      </w:pPr>
      <w:r>
        <w:rPr>
          <w:rFonts w:ascii="Verdana" w:hAnsi="Verdana"/>
          <w:sz w:val="20"/>
          <w:lang w:val="es-MX"/>
        </w:rPr>
        <w:t xml:space="preserve">Con base en </w:t>
      </w:r>
      <w:r w:rsidR="00D834C3">
        <w:rPr>
          <w:rFonts w:ascii="Verdana" w:hAnsi="Verdana"/>
          <w:sz w:val="20"/>
          <w:lang w:val="es-MX"/>
        </w:rPr>
        <w:t>lo anterior</w:t>
      </w:r>
      <w:r w:rsidR="00EC11BC" w:rsidRPr="006B208B">
        <w:rPr>
          <w:rFonts w:ascii="Verdana" w:hAnsi="Verdana"/>
          <w:sz w:val="20"/>
          <w:lang w:val="es-MX"/>
        </w:rPr>
        <w:t xml:space="preserve">, la Corte considera que el Estado ha dado cumplimiento a las medidas </w:t>
      </w:r>
      <w:r w:rsidR="00695A82">
        <w:rPr>
          <w:rFonts w:ascii="Verdana" w:hAnsi="Verdana"/>
          <w:sz w:val="20"/>
          <w:lang w:val="es-MX"/>
        </w:rPr>
        <w:t xml:space="preserve">de </w:t>
      </w:r>
      <w:r w:rsidR="00DB6CC5" w:rsidRPr="00695A82">
        <w:rPr>
          <w:rFonts w:ascii="Verdana" w:hAnsi="Verdana"/>
          <w:sz w:val="20"/>
          <w:lang w:val="es-MX"/>
        </w:rPr>
        <w:t xml:space="preserve">publicación en el Diario Oficial y en otro diario de amplia </w:t>
      </w:r>
      <w:r w:rsidR="00695A82" w:rsidRPr="00695A82">
        <w:rPr>
          <w:rFonts w:ascii="Verdana" w:hAnsi="Verdana"/>
          <w:sz w:val="20"/>
          <w:lang w:val="es-MX"/>
        </w:rPr>
        <w:t>circulación nacional</w:t>
      </w:r>
      <w:r w:rsidR="00957FD1">
        <w:rPr>
          <w:rFonts w:ascii="Verdana" w:hAnsi="Verdana"/>
          <w:sz w:val="20"/>
          <w:lang w:val="es-MX"/>
        </w:rPr>
        <w:t xml:space="preserve">, ordenadas en el punto dispositivo </w:t>
      </w:r>
      <w:r w:rsidR="00957FD1" w:rsidRPr="00B42E49">
        <w:rPr>
          <w:rFonts w:ascii="Verdana" w:hAnsi="Verdana"/>
          <w:sz w:val="20"/>
          <w:lang w:val="es-MX"/>
        </w:rPr>
        <w:t>décimo de la Sentencia</w:t>
      </w:r>
      <w:r w:rsidR="00EC11BC" w:rsidRPr="00B42E49">
        <w:rPr>
          <w:rFonts w:ascii="Verdana" w:hAnsi="Verdana"/>
          <w:sz w:val="20"/>
          <w:lang w:val="es-MX"/>
        </w:rPr>
        <w:t xml:space="preserve">. </w:t>
      </w:r>
    </w:p>
    <w:p w:rsidR="004B6FAC" w:rsidRDefault="004B6FAC" w:rsidP="007C72BB">
      <w:pPr>
        <w:pStyle w:val="Listavistosa-nfasis1"/>
        <w:spacing w:after="0" w:line="240" w:lineRule="auto"/>
        <w:ind w:left="0"/>
        <w:contextualSpacing w:val="0"/>
        <w:jc w:val="both"/>
        <w:outlineLvl w:val="0"/>
        <w:rPr>
          <w:rFonts w:ascii="Verdana" w:hAnsi="Verdana"/>
          <w:b/>
          <w:sz w:val="14"/>
          <w:szCs w:val="14"/>
          <w:lang w:val="es-MX"/>
        </w:rPr>
      </w:pPr>
      <w:bookmarkStart w:id="5" w:name="_Toc495655659"/>
    </w:p>
    <w:p w:rsidR="00B605E1" w:rsidRPr="00B42E49" w:rsidRDefault="00B605E1" w:rsidP="007C72BB">
      <w:pPr>
        <w:pStyle w:val="Listavistosa-nfasis1"/>
        <w:spacing w:after="0" w:line="240" w:lineRule="auto"/>
        <w:ind w:left="0"/>
        <w:contextualSpacing w:val="0"/>
        <w:jc w:val="both"/>
        <w:outlineLvl w:val="0"/>
        <w:rPr>
          <w:rFonts w:ascii="Verdana" w:hAnsi="Verdana"/>
          <w:b/>
          <w:sz w:val="14"/>
          <w:szCs w:val="14"/>
          <w:lang w:val="es-MX"/>
        </w:rPr>
      </w:pPr>
    </w:p>
    <w:p w:rsidR="001052AB" w:rsidRPr="00B42E49" w:rsidRDefault="001052AB" w:rsidP="004B6FAC">
      <w:pPr>
        <w:pStyle w:val="Listavistosa-nfasis1"/>
        <w:numPr>
          <w:ilvl w:val="0"/>
          <w:numId w:val="7"/>
        </w:numPr>
        <w:spacing w:after="0" w:line="240" w:lineRule="auto"/>
        <w:contextualSpacing w:val="0"/>
        <w:jc w:val="both"/>
        <w:outlineLvl w:val="0"/>
        <w:rPr>
          <w:rFonts w:ascii="Verdana" w:hAnsi="Verdana"/>
          <w:b/>
          <w:i/>
          <w:sz w:val="20"/>
          <w:szCs w:val="20"/>
          <w:lang w:val="es-MX"/>
        </w:rPr>
      </w:pPr>
      <w:bookmarkStart w:id="6" w:name="_Toc5465083"/>
      <w:r w:rsidRPr="00B42E49">
        <w:rPr>
          <w:rFonts w:ascii="Verdana" w:hAnsi="Verdana"/>
          <w:b/>
          <w:i/>
          <w:sz w:val="20"/>
          <w:szCs w:val="20"/>
          <w:lang w:val="es-MX"/>
        </w:rPr>
        <w:t>Acto público de reconocimiento de responsabilidad internacional</w:t>
      </w:r>
      <w:bookmarkEnd w:id="5"/>
      <w:bookmarkEnd w:id="6"/>
    </w:p>
    <w:p w:rsidR="004B6FAC" w:rsidRPr="00B42E49" w:rsidRDefault="004B6FAC" w:rsidP="00BD6195">
      <w:pPr>
        <w:pStyle w:val="Listavistosa-nfasis1"/>
        <w:spacing w:after="0" w:line="240" w:lineRule="auto"/>
        <w:ind w:left="0"/>
        <w:contextualSpacing w:val="0"/>
        <w:jc w:val="both"/>
        <w:rPr>
          <w:rFonts w:ascii="Verdana" w:hAnsi="Verdana"/>
          <w:sz w:val="14"/>
          <w:szCs w:val="14"/>
          <w:lang w:val="es-MX"/>
        </w:rPr>
      </w:pPr>
    </w:p>
    <w:p w:rsidR="007C6007" w:rsidRPr="00B42E49" w:rsidRDefault="003904A1" w:rsidP="004B6FAC">
      <w:pPr>
        <w:pStyle w:val="Listavistosa-nfasis1"/>
        <w:spacing w:after="0" w:line="240" w:lineRule="auto"/>
        <w:contextualSpacing w:val="0"/>
        <w:jc w:val="both"/>
        <w:rPr>
          <w:rFonts w:ascii="Verdana" w:hAnsi="Verdana"/>
          <w:i/>
          <w:sz w:val="20"/>
          <w:szCs w:val="20"/>
          <w:lang w:val="es-MX"/>
        </w:rPr>
      </w:pPr>
      <w:r w:rsidRPr="00B42E49">
        <w:rPr>
          <w:rFonts w:ascii="Verdana" w:hAnsi="Verdana"/>
          <w:i/>
          <w:sz w:val="20"/>
          <w:szCs w:val="20"/>
          <w:lang w:val="es-MX"/>
        </w:rPr>
        <w:t>C</w:t>
      </w:r>
      <w:r w:rsidR="007C6007" w:rsidRPr="00B42E49">
        <w:rPr>
          <w:rFonts w:ascii="Verdana" w:hAnsi="Verdana"/>
          <w:i/>
          <w:sz w:val="20"/>
          <w:szCs w:val="20"/>
          <w:lang w:val="es-MX"/>
        </w:rPr>
        <w:t xml:space="preserve">.1 Medida ordenada por la Corte y supervisión realizada en resoluciones anteriores </w:t>
      </w:r>
    </w:p>
    <w:p w:rsidR="004B6FAC" w:rsidRPr="00B42E49" w:rsidRDefault="004B6FAC" w:rsidP="004B6FAC">
      <w:pPr>
        <w:pStyle w:val="Listavistosa-nfasis1"/>
        <w:spacing w:after="0" w:line="240" w:lineRule="auto"/>
        <w:ind w:left="0"/>
        <w:jc w:val="both"/>
        <w:rPr>
          <w:rFonts w:ascii="Verdana" w:hAnsi="Verdana" w:cs="Verdana"/>
          <w:sz w:val="14"/>
          <w:szCs w:val="14"/>
          <w:lang w:val="es-CR"/>
        </w:rPr>
      </w:pPr>
    </w:p>
    <w:p w:rsidR="003904A1" w:rsidRPr="00B42E49" w:rsidRDefault="007C6007" w:rsidP="00C8662E">
      <w:pPr>
        <w:pStyle w:val="Listavistosa-nfasis1"/>
        <w:numPr>
          <w:ilvl w:val="0"/>
          <w:numId w:val="27"/>
        </w:numPr>
        <w:spacing w:after="0" w:line="240" w:lineRule="auto"/>
        <w:ind w:left="0" w:firstLine="0"/>
        <w:jc w:val="both"/>
        <w:rPr>
          <w:rFonts w:ascii="Verdana" w:hAnsi="Verdana" w:cs="Verdana"/>
          <w:sz w:val="20"/>
          <w:szCs w:val="20"/>
          <w:lang w:val="es-CR"/>
        </w:rPr>
      </w:pPr>
      <w:r w:rsidRPr="00B42E49">
        <w:rPr>
          <w:rFonts w:ascii="Verdana" w:hAnsi="Verdana" w:cs="Verdana"/>
          <w:sz w:val="20"/>
          <w:szCs w:val="20"/>
          <w:lang w:val="es-CR"/>
        </w:rPr>
        <w:t xml:space="preserve">En el punto dispositivo décimo </w:t>
      </w:r>
      <w:r w:rsidR="003904A1" w:rsidRPr="00B42E49">
        <w:rPr>
          <w:rFonts w:ascii="Verdana" w:hAnsi="Verdana" w:cs="Verdana"/>
          <w:sz w:val="20"/>
          <w:szCs w:val="20"/>
          <w:lang w:val="es-CR"/>
        </w:rPr>
        <w:t>primero y en el párrafo 193</w:t>
      </w:r>
      <w:r w:rsidR="00BD6195" w:rsidRPr="00B42E49">
        <w:rPr>
          <w:rFonts w:ascii="Verdana" w:hAnsi="Verdana" w:cs="Verdana"/>
          <w:sz w:val="20"/>
          <w:szCs w:val="20"/>
          <w:lang w:val="es-CR"/>
        </w:rPr>
        <w:t xml:space="preserve"> de la Sentencia</w:t>
      </w:r>
      <w:r w:rsidRPr="00B42E49">
        <w:rPr>
          <w:rFonts w:ascii="Verdana" w:hAnsi="Verdana" w:cs="Verdana"/>
          <w:sz w:val="20"/>
          <w:szCs w:val="20"/>
          <w:lang w:val="es-CR"/>
        </w:rPr>
        <w:t>, la C</w:t>
      </w:r>
      <w:r w:rsidR="003904A1" w:rsidRPr="00B42E49">
        <w:rPr>
          <w:rFonts w:ascii="Verdana" w:hAnsi="Verdana" w:cs="Verdana"/>
          <w:sz w:val="20"/>
          <w:szCs w:val="20"/>
          <w:lang w:val="es-CR"/>
        </w:rPr>
        <w:t xml:space="preserve">orte dispuso que el Estado </w:t>
      </w:r>
      <w:r w:rsidR="00BD6195" w:rsidRPr="00B42E49">
        <w:rPr>
          <w:rFonts w:ascii="Verdana" w:hAnsi="Verdana" w:cs="Verdana"/>
          <w:sz w:val="20"/>
          <w:szCs w:val="20"/>
          <w:lang w:val="es-CR"/>
        </w:rPr>
        <w:t>debía</w:t>
      </w:r>
      <w:r w:rsidR="003904A1" w:rsidRPr="00B42E49">
        <w:rPr>
          <w:rFonts w:ascii="Verdana" w:hAnsi="Verdana" w:cs="Verdana"/>
          <w:sz w:val="20"/>
          <w:szCs w:val="20"/>
          <w:lang w:val="es-CR"/>
        </w:rPr>
        <w:t>, dentro del plazo de seis meses</w:t>
      </w:r>
      <w:r w:rsidR="00BD6195" w:rsidRPr="00B42E49">
        <w:rPr>
          <w:rFonts w:ascii="Verdana" w:hAnsi="Verdana" w:cs="Verdana"/>
          <w:sz w:val="20"/>
          <w:szCs w:val="20"/>
          <w:lang w:val="es-CR"/>
        </w:rPr>
        <w:t xml:space="preserve"> a partir de la notificación de la Sentencia</w:t>
      </w:r>
      <w:r w:rsidR="003904A1" w:rsidRPr="00B42E49">
        <w:rPr>
          <w:rFonts w:ascii="Verdana" w:hAnsi="Verdana" w:cs="Verdana"/>
          <w:sz w:val="20"/>
          <w:szCs w:val="20"/>
          <w:lang w:val="es-CR"/>
        </w:rPr>
        <w:t>, realizar un acto público de reconocimiento de su responsabilidad internacional en relación con las violaci</w:t>
      </w:r>
      <w:r w:rsidR="00BD6195" w:rsidRPr="00B42E49">
        <w:rPr>
          <w:rFonts w:ascii="Verdana" w:hAnsi="Verdana" w:cs="Verdana"/>
          <w:sz w:val="20"/>
          <w:szCs w:val="20"/>
          <w:lang w:val="es-CR"/>
        </w:rPr>
        <w:t xml:space="preserve">ones declaradas en la Sentencia, en una ceremonia pública </w:t>
      </w:r>
      <w:r w:rsidR="003904A1" w:rsidRPr="00B42E49">
        <w:rPr>
          <w:rFonts w:ascii="Verdana" w:hAnsi="Verdana" w:cs="Verdana"/>
          <w:sz w:val="20"/>
          <w:szCs w:val="20"/>
          <w:lang w:val="es-CR"/>
        </w:rPr>
        <w:t xml:space="preserve">con la presencia de </w:t>
      </w:r>
      <w:r w:rsidR="00BD6195" w:rsidRPr="00B42E49">
        <w:rPr>
          <w:rFonts w:ascii="Verdana" w:hAnsi="Verdana" w:cs="Verdana"/>
          <w:sz w:val="20"/>
          <w:szCs w:val="20"/>
          <w:lang w:val="es-CR"/>
        </w:rPr>
        <w:t>“</w:t>
      </w:r>
      <w:r w:rsidR="003904A1" w:rsidRPr="00B42E49">
        <w:rPr>
          <w:rFonts w:ascii="Verdana" w:hAnsi="Verdana" w:cs="Verdana"/>
          <w:sz w:val="20"/>
          <w:szCs w:val="20"/>
          <w:lang w:val="es-CR"/>
        </w:rPr>
        <w:t>autoridades que representen el Estado</w:t>
      </w:r>
      <w:r w:rsidR="00BD6195" w:rsidRPr="00B42E49">
        <w:rPr>
          <w:rFonts w:ascii="Verdana" w:hAnsi="Verdana" w:cs="Verdana"/>
          <w:sz w:val="20"/>
          <w:szCs w:val="20"/>
          <w:lang w:val="es-CR"/>
        </w:rPr>
        <w:t>”</w:t>
      </w:r>
      <w:r w:rsidR="003904A1" w:rsidRPr="00B42E49">
        <w:rPr>
          <w:rFonts w:ascii="Verdana" w:hAnsi="Verdana" w:cs="Verdana"/>
          <w:sz w:val="20"/>
          <w:szCs w:val="20"/>
          <w:lang w:val="es-CR"/>
        </w:rPr>
        <w:t xml:space="preserve"> y </w:t>
      </w:r>
      <w:r w:rsidR="00BD6195" w:rsidRPr="00B42E49">
        <w:rPr>
          <w:rFonts w:ascii="Verdana" w:hAnsi="Verdana" w:cs="Verdana"/>
          <w:sz w:val="20"/>
          <w:szCs w:val="20"/>
          <w:lang w:val="es-CR"/>
        </w:rPr>
        <w:t>“</w:t>
      </w:r>
      <w:r w:rsidR="003904A1" w:rsidRPr="00B42E49">
        <w:rPr>
          <w:rFonts w:ascii="Verdana" w:hAnsi="Verdana" w:cs="Verdana"/>
          <w:sz w:val="20"/>
          <w:szCs w:val="20"/>
          <w:lang w:val="es-CR"/>
        </w:rPr>
        <w:t>de los familiares declarados víctima</w:t>
      </w:r>
      <w:r w:rsidR="00070F93">
        <w:rPr>
          <w:rFonts w:ascii="Verdana" w:hAnsi="Verdana" w:cs="Verdana"/>
          <w:sz w:val="20"/>
          <w:szCs w:val="20"/>
          <w:lang w:val="es-CR"/>
        </w:rPr>
        <w:t>s</w:t>
      </w:r>
      <w:r w:rsidR="00BD6195" w:rsidRPr="00B42E49">
        <w:rPr>
          <w:rFonts w:ascii="Verdana" w:hAnsi="Verdana" w:cs="Verdana"/>
          <w:sz w:val="20"/>
          <w:szCs w:val="20"/>
          <w:lang w:val="es-CR"/>
        </w:rPr>
        <w:t>”</w:t>
      </w:r>
      <w:r w:rsidR="003904A1" w:rsidRPr="00B42E49">
        <w:rPr>
          <w:rFonts w:ascii="Verdana" w:hAnsi="Verdana" w:cs="Verdana"/>
          <w:sz w:val="20"/>
          <w:szCs w:val="20"/>
          <w:lang w:val="es-CR"/>
        </w:rPr>
        <w:t xml:space="preserve">, quienes </w:t>
      </w:r>
      <w:r w:rsidR="004F1A4B">
        <w:rPr>
          <w:rFonts w:ascii="Verdana" w:hAnsi="Verdana" w:cs="Verdana"/>
          <w:sz w:val="20"/>
          <w:szCs w:val="20"/>
          <w:lang w:val="es-CR"/>
        </w:rPr>
        <w:t>“</w:t>
      </w:r>
      <w:r w:rsidR="003904A1" w:rsidRPr="00B42E49">
        <w:rPr>
          <w:rFonts w:ascii="Verdana" w:hAnsi="Verdana" w:cs="Verdana"/>
          <w:sz w:val="20"/>
          <w:szCs w:val="20"/>
          <w:lang w:val="es-CR"/>
        </w:rPr>
        <w:t xml:space="preserve">deberán ser convocados por el Estado con la debida antelación”. </w:t>
      </w:r>
      <w:r w:rsidR="00BD6195" w:rsidRPr="00B42E49">
        <w:rPr>
          <w:rFonts w:ascii="Verdana" w:hAnsi="Verdana" w:cs="Verdana"/>
          <w:sz w:val="20"/>
          <w:szCs w:val="20"/>
          <w:lang w:val="es-CR"/>
        </w:rPr>
        <w:t>El Tribunal también dispuso que dicho acto debía</w:t>
      </w:r>
      <w:r w:rsidR="003904A1" w:rsidRPr="00B42E49">
        <w:rPr>
          <w:rFonts w:ascii="Verdana" w:hAnsi="Verdana" w:cs="Verdana"/>
          <w:sz w:val="20"/>
          <w:szCs w:val="20"/>
          <w:lang w:val="es-CR"/>
        </w:rPr>
        <w:t xml:space="preserve"> difundirse a través de los medios de comunicación. </w:t>
      </w:r>
    </w:p>
    <w:p w:rsidR="00695D03" w:rsidRPr="00B42E49" w:rsidRDefault="00695D03" w:rsidP="004B6FAC">
      <w:pPr>
        <w:pStyle w:val="Listavistosa-nfasis1"/>
        <w:spacing w:after="0" w:line="240" w:lineRule="auto"/>
        <w:ind w:left="0"/>
        <w:jc w:val="both"/>
        <w:rPr>
          <w:rFonts w:ascii="Verdana" w:hAnsi="Verdana" w:cs="Verdana"/>
          <w:sz w:val="10"/>
          <w:szCs w:val="10"/>
          <w:lang w:val="es-CR"/>
        </w:rPr>
      </w:pPr>
    </w:p>
    <w:p w:rsidR="00695D03" w:rsidRPr="004C33FB" w:rsidRDefault="00230C1B" w:rsidP="00C8662E">
      <w:pPr>
        <w:pStyle w:val="Listavistosa-nfasis1"/>
        <w:numPr>
          <w:ilvl w:val="0"/>
          <w:numId w:val="27"/>
        </w:numPr>
        <w:spacing w:after="0" w:line="240" w:lineRule="auto"/>
        <w:ind w:left="0" w:firstLine="0"/>
        <w:jc w:val="both"/>
        <w:rPr>
          <w:rFonts w:ascii="Verdana" w:hAnsi="Verdana" w:cs="Verdana"/>
          <w:sz w:val="20"/>
          <w:szCs w:val="20"/>
          <w:lang w:val="es-CR"/>
        </w:rPr>
      </w:pPr>
      <w:r w:rsidRPr="00B42E49">
        <w:rPr>
          <w:rFonts w:ascii="Verdana" w:hAnsi="Verdana"/>
          <w:sz w:val="20"/>
          <w:lang w:val="es-MX"/>
        </w:rPr>
        <w:t>En las Resoluciones de supervisión de cumplimiento de abril</w:t>
      </w:r>
      <w:r w:rsidRPr="00B42E49">
        <w:rPr>
          <w:rStyle w:val="Refdenotaalpie"/>
          <w:rFonts w:ascii="Verdana" w:hAnsi="Verdana"/>
          <w:sz w:val="20"/>
          <w:lang w:val="es-MX"/>
        </w:rPr>
        <w:footnoteReference w:id="41"/>
      </w:r>
      <w:r w:rsidR="00B7144A">
        <w:rPr>
          <w:rFonts w:ascii="Verdana" w:hAnsi="Verdana"/>
          <w:sz w:val="20"/>
          <w:lang w:val="es-MX"/>
        </w:rPr>
        <w:t xml:space="preserve"> y</w:t>
      </w:r>
      <w:r w:rsidRPr="00B42E49">
        <w:rPr>
          <w:rFonts w:ascii="Verdana" w:hAnsi="Verdana"/>
          <w:sz w:val="20"/>
          <w:lang w:val="es-MX"/>
        </w:rPr>
        <w:t xml:space="preserve"> septiembre de 2009</w:t>
      </w:r>
      <w:r w:rsidRPr="00B42E49">
        <w:rPr>
          <w:rStyle w:val="Refdenotaalpie"/>
          <w:rFonts w:ascii="Verdana" w:hAnsi="Verdana"/>
          <w:sz w:val="20"/>
          <w:lang w:val="es-MX"/>
        </w:rPr>
        <w:footnoteReference w:id="42"/>
      </w:r>
      <w:r w:rsidRPr="00B42E49">
        <w:rPr>
          <w:rFonts w:ascii="Verdana" w:hAnsi="Verdana"/>
          <w:sz w:val="20"/>
          <w:lang w:val="es-MX"/>
        </w:rPr>
        <w:t xml:space="preserve">, la Corte constató que el Estado no había remitido información sobre el cumplimiento de la presente medida. </w:t>
      </w:r>
      <w:r w:rsidR="00B7144A">
        <w:rPr>
          <w:rFonts w:ascii="Verdana" w:hAnsi="Verdana"/>
          <w:sz w:val="20"/>
          <w:lang w:val="es-MX"/>
        </w:rPr>
        <w:t>E</w:t>
      </w:r>
      <w:r w:rsidRPr="00B42E49">
        <w:rPr>
          <w:rFonts w:ascii="Verdana" w:hAnsi="Verdana"/>
          <w:sz w:val="20"/>
          <w:lang w:val="es-MX"/>
        </w:rPr>
        <w:t xml:space="preserve">n la Resolución de </w:t>
      </w:r>
      <w:r w:rsidR="00503374" w:rsidRPr="00B42E49">
        <w:rPr>
          <w:rFonts w:ascii="Verdana" w:hAnsi="Verdana"/>
          <w:sz w:val="20"/>
          <w:lang w:val="es-MX"/>
        </w:rPr>
        <w:t xml:space="preserve">febrero </w:t>
      </w:r>
      <w:r w:rsidRPr="00B42E49">
        <w:rPr>
          <w:rFonts w:ascii="Verdana" w:hAnsi="Verdana"/>
          <w:sz w:val="20"/>
          <w:lang w:val="es-MX"/>
        </w:rPr>
        <w:t xml:space="preserve">de </w:t>
      </w:r>
      <w:r w:rsidR="00503374" w:rsidRPr="00B42E49">
        <w:rPr>
          <w:rFonts w:ascii="Verdana" w:hAnsi="Verdana"/>
          <w:sz w:val="20"/>
          <w:lang w:val="es-MX"/>
        </w:rPr>
        <w:t>2011</w:t>
      </w:r>
      <w:r w:rsidRPr="00B42E49">
        <w:rPr>
          <w:rStyle w:val="Refdenotaalpie"/>
          <w:rFonts w:ascii="Verdana" w:hAnsi="Verdana"/>
          <w:sz w:val="20"/>
          <w:lang w:val="es-MX"/>
        </w:rPr>
        <w:footnoteReference w:id="43"/>
      </w:r>
      <w:r w:rsidRPr="00B42E49">
        <w:rPr>
          <w:rFonts w:ascii="Verdana" w:hAnsi="Verdana"/>
          <w:sz w:val="20"/>
          <w:lang w:val="es-MX"/>
        </w:rPr>
        <w:t xml:space="preserve">, el Tribunal </w:t>
      </w:r>
      <w:r w:rsidR="00503374" w:rsidRPr="00B42E49">
        <w:rPr>
          <w:rFonts w:ascii="Verdana" w:hAnsi="Verdana"/>
          <w:sz w:val="20"/>
          <w:lang w:val="es-MX"/>
        </w:rPr>
        <w:t>“</w:t>
      </w:r>
      <w:r w:rsidR="00F30CFB" w:rsidRPr="00B42E49">
        <w:rPr>
          <w:rFonts w:ascii="Verdana" w:hAnsi="Verdana" w:cs="Verdana"/>
          <w:sz w:val="20"/>
          <w:szCs w:val="20"/>
          <w:lang w:val="es-CR"/>
        </w:rPr>
        <w:t>tom</w:t>
      </w:r>
      <w:r w:rsidR="00503374" w:rsidRPr="00B42E49">
        <w:rPr>
          <w:rFonts w:ascii="Verdana" w:hAnsi="Verdana" w:cs="Verdana"/>
          <w:sz w:val="20"/>
          <w:szCs w:val="20"/>
          <w:lang w:val="es-CR"/>
        </w:rPr>
        <w:t>[</w:t>
      </w:r>
      <w:r w:rsidR="00F30CFB" w:rsidRPr="00B42E49">
        <w:rPr>
          <w:rFonts w:ascii="Verdana" w:hAnsi="Verdana" w:cs="Verdana"/>
          <w:sz w:val="20"/>
          <w:szCs w:val="20"/>
          <w:lang w:val="es-CR"/>
        </w:rPr>
        <w:t>ó</w:t>
      </w:r>
      <w:r w:rsidR="00503374" w:rsidRPr="00B42E49">
        <w:rPr>
          <w:rFonts w:ascii="Verdana" w:hAnsi="Verdana" w:cs="Verdana"/>
          <w:sz w:val="20"/>
          <w:szCs w:val="20"/>
          <w:lang w:val="es-CR"/>
        </w:rPr>
        <w:t xml:space="preserve">] </w:t>
      </w:r>
      <w:r w:rsidR="00695D03" w:rsidRPr="00B42E49">
        <w:rPr>
          <w:rFonts w:ascii="Verdana" w:hAnsi="Verdana" w:cs="Verdana"/>
          <w:sz w:val="20"/>
          <w:szCs w:val="20"/>
          <w:lang w:val="es-CR"/>
        </w:rPr>
        <w:t xml:space="preserve">nota de la realización de una reunión en la cual el Estado se </w:t>
      </w:r>
      <w:r w:rsidR="00695D03" w:rsidRPr="004C33FB">
        <w:rPr>
          <w:rFonts w:ascii="Verdana" w:hAnsi="Verdana" w:cs="Verdana"/>
          <w:sz w:val="20"/>
          <w:szCs w:val="20"/>
          <w:lang w:val="es-CR"/>
        </w:rPr>
        <w:t>comprometió a realizar acciones tendientes a dar cumplimiento con este punto</w:t>
      </w:r>
      <w:r w:rsidR="00503374" w:rsidRPr="004C33FB">
        <w:rPr>
          <w:rFonts w:ascii="Verdana" w:hAnsi="Verdana" w:cs="Verdana"/>
          <w:sz w:val="20"/>
          <w:szCs w:val="20"/>
          <w:lang w:val="es-CR"/>
        </w:rPr>
        <w:t>”</w:t>
      </w:r>
      <w:r w:rsidR="00695D03" w:rsidRPr="004C33FB">
        <w:rPr>
          <w:rFonts w:ascii="Verdana" w:hAnsi="Verdana" w:cs="Verdana"/>
          <w:sz w:val="20"/>
          <w:szCs w:val="20"/>
          <w:lang w:val="es-CR"/>
        </w:rPr>
        <w:t>.</w:t>
      </w:r>
    </w:p>
    <w:p w:rsidR="003904A1" w:rsidRPr="004C33FB" w:rsidRDefault="003904A1" w:rsidP="004B6FAC">
      <w:pPr>
        <w:pStyle w:val="Listavistosa-nfasis1"/>
        <w:spacing w:after="0" w:line="240" w:lineRule="auto"/>
        <w:ind w:left="0"/>
        <w:jc w:val="both"/>
        <w:rPr>
          <w:rFonts w:ascii="Verdana" w:hAnsi="Verdana" w:cs="Verdana"/>
          <w:sz w:val="14"/>
          <w:szCs w:val="14"/>
          <w:lang w:val="es-CR"/>
        </w:rPr>
      </w:pPr>
    </w:p>
    <w:p w:rsidR="007C6007" w:rsidRPr="004C33FB" w:rsidRDefault="003904A1" w:rsidP="004B6FAC">
      <w:pPr>
        <w:pStyle w:val="Listavistosa-nfasis1"/>
        <w:spacing w:after="0" w:line="240" w:lineRule="auto"/>
        <w:ind w:left="810"/>
        <w:contextualSpacing w:val="0"/>
        <w:jc w:val="both"/>
        <w:rPr>
          <w:rFonts w:ascii="Verdana" w:hAnsi="Verdana"/>
          <w:i/>
          <w:sz w:val="20"/>
          <w:lang w:val="es-MX"/>
        </w:rPr>
      </w:pPr>
      <w:r w:rsidRPr="004C33FB">
        <w:rPr>
          <w:rFonts w:ascii="Verdana" w:hAnsi="Verdana"/>
          <w:i/>
          <w:sz w:val="20"/>
          <w:lang w:val="es-MX"/>
        </w:rPr>
        <w:t>C</w:t>
      </w:r>
      <w:r w:rsidR="007C6007" w:rsidRPr="004C33FB">
        <w:rPr>
          <w:rFonts w:ascii="Verdana" w:hAnsi="Verdana"/>
          <w:i/>
          <w:sz w:val="20"/>
          <w:lang w:val="es-MX"/>
        </w:rPr>
        <w:t xml:space="preserve">.2. </w:t>
      </w:r>
      <w:r w:rsidR="00805778" w:rsidRPr="004C33FB">
        <w:rPr>
          <w:rFonts w:ascii="Verdana" w:hAnsi="Verdana"/>
          <w:i/>
          <w:sz w:val="20"/>
          <w:lang w:val="es-MX"/>
        </w:rPr>
        <w:t>Consideraciones de la Corte</w:t>
      </w:r>
      <w:r w:rsidR="007C6007" w:rsidRPr="004C33FB">
        <w:rPr>
          <w:rFonts w:ascii="Verdana" w:hAnsi="Verdana"/>
          <w:i/>
          <w:sz w:val="20"/>
          <w:lang w:val="es-MX"/>
        </w:rPr>
        <w:t xml:space="preserve"> </w:t>
      </w:r>
    </w:p>
    <w:p w:rsidR="004B6FAC" w:rsidRPr="004C33FB" w:rsidRDefault="004B6FAC" w:rsidP="004B6FAC">
      <w:pPr>
        <w:pStyle w:val="Listavistosa-nfasis1"/>
        <w:spacing w:after="0" w:line="240" w:lineRule="auto"/>
        <w:ind w:left="0"/>
        <w:contextualSpacing w:val="0"/>
        <w:jc w:val="both"/>
        <w:rPr>
          <w:rFonts w:ascii="Verdana" w:hAnsi="Verdana"/>
          <w:sz w:val="14"/>
          <w:szCs w:val="14"/>
          <w:lang w:val="es-MX"/>
        </w:rPr>
      </w:pPr>
    </w:p>
    <w:p w:rsidR="00D84A6E" w:rsidRPr="00FD21C9" w:rsidRDefault="006A66FC" w:rsidP="00C8662E">
      <w:pPr>
        <w:widowControl w:val="0"/>
        <w:numPr>
          <w:ilvl w:val="0"/>
          <w:numId w:val="27"/>
        </w:numPr>
        <w:autoSpaceDE w:val="0"/>
        <w:autoSpaceDN w:val="0"/>
        <w:adjustRightInd w:val="0"/>
        <w:spacing w:after="0" w:line="240" w:lineRule="auto"/>
        <w:ind w:left="0" w:firstLine="0"/>
        <w:jc w:val="both"/>
        <w:rPr>
          <w:rFonts w:ascii="Verdana" w:hAnsi="Verdana"/>
          <w:sz w:val="20"/>
          <w:lang w:val="es-CR"/>
        </w:rPr>
      </w:pPr>
      <w:r w:rsidRPr="004F1A4B">
        <w:rPr>
          <w:rFonts w:ascii="Verdana" w:hAnsi="Verdana"/>
          <w:sz w:val="20"/>
          <w:szCs w:val="20"/>
          <w:lang w:val="es-MX"/>
        </w:rPr>
        <w:t>Con base en lo informado por el Estado</w:t>
      </w:r>
      <w:r w:rsidRPr="00C559CB">
        <w:rPr>
          <w:rStyle w:val="Refdenotaalpie"/>
          <w:rFonts w:ascii="Verdana" w:hAnsi="Verdana"/>
          <w:sz w:val="20"/>
          <w:szCs w:val="20"/>
          <w:lang w:val="es-MX"/>
        </w:rPr>
        <w:footnoteReference w:id="44"/>
      </w:r>
      <w:r w:rsidRPr="004F1A4B">
        <w:rPr>
          <w:rFonts w:ascii="Verdana" w:hAnsi="Verdana"/>
          <w:sz w:val="20"/>
          <w:szCs w:val="20"/>
          <w:lang w:val="es-MX"/>
        </w:rPr>
        <w:t xml:space="preserve"> y confirmado por los representantes de las víctimas</w:t>
      </w:r>
      <w:r w:rsidRPr="00C559CB">
        <w:rPr>
          <w:rStyle w:val="Refdenotaalpie"/>
          <w:rFonts w:ascii="Verdana" w:hAnsi="Verdana"/>
          <w:sz w:val="20"/>
          <w:szCs w:val="20"/>
          <w:lang w:val="es-MX"/>
        </w:rPr>
        <w:footnoteReference w:id="45"/>
      </w:r>
      <w:r w:rsidRPr="004F1A4B">
        <w:rPr>
          <w:rFonts w:ascii="Verdana" w:hAnsi="Verdana"/>
          <w:sz w:val="20"/>
          <w:szCs w:val="20"/>
          <w:lang w:val="es-MX"/>
        </w:rPr>
        <w:t xml:space="preserve">, el 23 de julio de 2013 </w:t>
      </w:r>
      <w:r w:rsidR="00805778" w:rsidRPr="004F1A4B">
        <w:rPr>
          <w:rFonts w:ascii="Verdana" w:hAnsi="Verdana"/>
          <w:sz w:val="20"/>
          <w:szCs w:val="20"/>
          <w:lang w:val="es-MX"/>
        </w:rPr>
        <w:t xml:space="preserve">se efectuó el </w:t>
      </w:r>
      <w:r w:rsidR="004C33FB" w:rsidRPr="004F1A4B">
        <w:rPr>
          <w:rFonts w:ascii="Verdana" w:hAnsi="Verdana"/>
          <w:sz w:val="20"/>
          <w:szCs w:val="20"/>
          <w:lang w:val="es-MX"/>
        </w:rPr>
        <w:t>“Acto de disculpas públicas y reconocimiento de responsabilidad internacional” en la sede del Ministerio de Justicia y Derechos Humanos.</w:t>
      </w:r>
      <w:r w:rsidR="00805778" w:rsidRPr="004F1A4B">
        <w:rPr>
          <w:rFonts w:ascii="Verdana" w:hAnsi="Verdana"/>
          <w:sz w:val="20"/>
          <w:szCs w:val="20"/>
          <w:lang w:val="es-MX"/>
        </w:rPr>
        <w:t xml:space="preserve"> </w:t>
      </w:r>
      <w:r w:rsidR="00EA2304" w:rsidRPr="004F1A4B">
        <w:rPr>
          <w:rFonts w:ascii="Verdana" w:hAnsi="Verdana"/>
          <w:sz w:val="20"/>
          <w:lang w:val="es-CR"/>
        </w:rPr>
        <w:t xml:space="preserve">Durante el acto se hizo una narración de los hechos probados en la Sentencia y las violaciones </w:t>
      </w:r>
      <w:r w:rsidR="00070F93">
        <w:rPr>
          <w:rFonts w:ascii="Verdana" w:hAnsi="Verdana"/>
          <w:sz w:val="20"/>
          <w:lang w:val="es-CR"/>
        </w:rPr>
        <w:t xml:space="preserve">ahí </w:t>
      </w:r>
      <w:r w:rsidR="00EA2304" w:rsidRPr="004F1A4B">
        <w:rPr>
          <w:rFonts w:ascii="Verdana" w:hAnsi="Verdana"/>
          <w:sz w:val="20"/>
          <w:lang w:val="es-CR"/>
        </w:rPr>
        <w:t xml:space="preserve">declaradas; </w:t>
      </w:r>
      <w:r w:rsidR="00D20E9B">
        <w:rPr>
          <w:rFonts w:ascii="Verdana" w:hAnsi="Verdana"/>
          <w:sz w:val="20"/>
          <w:lang w:val="es-CR"/>
        </w:rPr>
        <w:t>el Perú</w:t>
      </w:r>
      <w:r w:rsidR="00EA2304" w:rsidRPr="004F1A4B">
        <w:rPr>
          <w:rFonts w:ascii="Verdana" w:hAnsi="Verdana"/>
          <w:sz w:val="20"/>
          <w:lang w:val="es-CR"/>
        </w:rPr>
        <w:t xml:space="preserve"> hizo un reconocimiento de </w:t>
      </w:r>
      <w:r w:rsidR="00E46C66">
        <w:rPr>
          <w:rFonts w:ascii="Verdana" w:hAnsi="Verdana"/>
          <w:sz w:val="20"/>
          <w:lang w:val="es-CR"/>
        </w:rPr>
        <w:t>su</w:t>
      </w:r>
      <w:r w:rsidR="00EA2304" w:rsidRPr="004F1A4B">
        <w:rPr>
          <w:rFonts w:ascii="Verdana" w:hAnsi="Verdana"/>
          <w:sz w:val="20"/>
          <w:lang w:val="es-CR"/>
        </w:rPr>
        <w:t xml:space="preserve"> responsabilidad internacional por los hechos y </w:t>
      </w:r>
      <w:r w:rsidR="00D20E9B" w:rsidRPr="004F1A4B">
        <w:rPr>
          <w:rFonts w:ascii="Verdana" w:hAnsi="Verdana"/>
          <w:sz w:val="20"/>
          <w:lang w:val="es-CR"/>
        </w:rPr>
        <w:t xml:space="preserve">el Ministro de Justicia y Derechos Humanos </w:t>
      </w:r>
      <w:r w:rsidR="00EA2304" w:rsidRPr="004F1A4B">
        <w:rPr>
          <w:rFonts w:ascii="Verdana" w:hAnsi="Verdana"/>
          <w:sz w:val="20"/>
          <w:lang w:val="es-CR"/>
        </w:rPr>
        <w:t>exp</w:t>
      </w:r>
      <w:r w:rsidR="00D20E9B">
        <w:rPr>
          <w:rFonts w:ascii="Verdana" w:hAnsi="Verdana"/>
          <w:sz w:val="20"/>
          <w:lang w:val="es-CR"/>
        </w:rPr>
        <w:t>resó una disculpa pública por parte del Estado</w:t>
      </w:r>
      <w:r w:rsidR="00881D4D">
        <w:rPr>
          <w:rStyle w:val="Refdenotaalpie"/>
          <w:rFonts w:ascii="Verdana" w:hAnsi="Verdana"/>
          <w:sz w:val="20"/>
          <w:szCs w:val="20"/>
          <w:lang w:val="es-MX"/>
        </w:rPr>
        <w:footnoteReference w:id="46"/>
      </w:r>
      <w:r w:rsidR="00EA2304" w:rsidRPr="004F1A4B">
        <w:rPr>
          <w:rFonts w:ascii="Verdana" w:hAnsi="Verdana"/>
          <w:sz w:val="20"/>
          <w:lang w:val="es-CR"/>
        </w:rPr>
        <w:t xml:space="preserve">. </w:t>
      </w:r>
      <w:r w:rsidR="00805778" w:rsidRPr="004F1A4B">
        <w:rPr>
          <w:rFonts w:ascii="Verdana" w:hAnsi="Verdana"/>
          <w:sz w:val="20"/>
          <w:szCs w:val="20"/>
          <w:lang w:val="es-MX"/>
        </w:rPr>
        <w:t xml:space="preserve">El acto contó </w:t>
      </w:r>
      <w:r w:rsidR="004C33FB" w:rsidRPr="004F1A4B">
        <w:rPr>
          <w:rFonts w:ascii="Verdana" w:hAnsi="Verdana"/>
          <w:sz w:val="20"/>
          <w:szCs w:val="20"/>
          <w:lang w:val="es-MX"/>
        </w:rPr>
        <w:t xml:space="preserve">con la asistencia de altas </w:t>
      </w:r>
      <w:r w:rsidR="00805778" w:rsidRPr="004F1A4B">
        <w:rPr>
          <w:rFonts w:ascii="Verdana" w:hAnsi="Verdana"/>
          <w:sz w:val="20"/>
          <w:szCs w:val="20"/>
          <w:lang w:val="es-MX"/>
        </w:rPr>
        <w:t xml:space="preserve">autoridades estatales, entre ellas: i) el </w:t>
      </w:r>
      <w:r w:rsidR="004C33FB" w:rsidRPr="004F1A4B">
        <w:rPr>
          <w:rFonts w:ascii="Verdana" w:hAnsi="Verdana"/>
          <w:sz w:val="20"/>
          <w:szCs w:val="20"/>
          <w:lang w:val="es-MX"/>
        </w:rPr>
        <w:t>Ministro de Justicia y Derechos Humanos; ii) el Presidente del Consejo de Ministros; iii) el fiscal Supremo, y iv) el Viceministro de Derechos Humanos y Acceso a la Justicia</w:t>
      </w:r>
      <w:r w:rsidR="00E46C66">
        <w:rPr>
          <w:rFonts w:ascii="Verdana" w:hAnsi="Verdana"/>
          <w:sz w:val="20"/>
          <w:szCs w:val="20"/>
          <w:lang w:val="es-MX"/>
        </w:rPr>
        <w:t>. Asimismo,</w:t>
      </w:r>
      <w:r w:rsidR="00FF11BE">
        <w:rPr>
          <w:rFonts w:ascii="Verdana" w:hAnsi="Verdana"/>
          <w:sz w:val="20"/>
          <w:szCs w:val="20"/>
          <w:lang w:val="es-MX"/>
        </w:rPr>
        <w:t xml:space="preserve"> </w:t>
      </w:r>
      <w:r w:rsidR="00E46C66">
        <w:rPr>
          <w:rFonts w:ascii="Verdana" w:hAnsi="Verdana"/>
          <w:sz w:val="20"/>
          <w:szCs w:val="20"/>
          <w:lang w:val="es-MX"/>
        </w:rPr>
        <w:t xml:space="preserve">el mencionado acto </w:t>
      </w:r>
      <w:r w:rsidR="00FF11BE">
        <w:rPr>
          <w:rFonts w:ascii="Verdana" w:hAnsi="Verdana"/>
          <w:sz w:val="20"/>
          <w:szCs w:val="20"/>
          <w:lang w:val="es-MX"/>
        </w:rPr>
        <w:t xml:space="preserve">fue </w:t>
      </w:r>
      <w:r w:rsidR="00F57226">
        <w:rPr>
          <w:rFonts w:ascii="Verdana" w:hAnsi="Verdana"/>
          <w:sz w:val="20"/>
          <w:szCs w:val="20"/>
          <w:lang w:val="es-MX"/>
        </w:rPr>
        <w:t>difundido</w:t>
      </w:r>
      <w:r w:rsidR="00FF11BE" w:rsidRPr="00FF11BE">
        <w:rPr>
          <w:rFonts w:ascii="Verdana" w:hAnsi="Verdana"/>
          <w:sz w:val="20"/>
          <w:szCs w:val="20"/>
          <w:lang w:val="es-MX"/>
        </w:rPr>
        <w:t xml:space="preserve"> por diversos medios de prensa</w:t>
      </w:r>
      <w:r w:rsidR="00FF11BE">
        <w:rPr>
          <w:rStyle w:val="Refdenotaalpie"/>
          <w:rFonts w:ascii="Verdana" w:hAnsi="Verdana"/>
          <w:sz w:val="20"/>
          <w:szCs w:val="20"/>
          <w:lang w:val="es-MX"/>
        </w:rPr>
        <w:footnoteReference w:id="47"/>
      </w:r>
      <w:r w:rsidR="00FF11BE">
        <w:rPr>
          <w:rFonts w:ascii="Verdana" w:hAnsi="Verdana"/>
          <w:sz w:val="20"/>
          <w:szCs w:val="20"/>
          <w:lang w:val="es-MX"/>
        </w:rPr>
        <w:t>.</w:t>
      </w:r>
      <w:r w:rsidR="00805778" w:rsidRPr="004F1A4B">
        <w:rPr>
          <w:rFonts w:ascii="Verdana" w:hAnsi="Verdana"/>
          <w:sz w:val="20"/>
          <w:szCs w:val="20"/>
          <w:lang w:val="es-MX"/>
        </w:rPr>
        <w:t xml:space="preserve"> </w:t>
      </w:r>
      <w:r w:rsidR="003F6201" w:rsidRPr="004F1A4B">
        <w:rPr>
          <w:rFonts w:ascii="Verdana" w:hAnsi="Verdana"/>
          <w:sz w:val="20"/>
          <w:szCs w:val="20"/>
          <w:lang w:val="es-MX"/>
        </w:rPr>
        <w:t>Al acto también asistieron familiares de las víctimas. Sin embargo, la Corte considera negativo que, debido a que la ceremonia inició treinta minutos antes de lo acordado entre las partes, algunos familiares del señor Cantoral Huamaní no habían llegado</w:t>
      </w:r>
      <w:r w:rsidR="003F6201">
        <w:rPr>
          <w:rStyle w:val="Refdenotaalpie"/>
          <w:rFonts w:ascii="Verdana" w:hAnsi="Verdana"/>
          <w:sz w:val="20"/>
          <w:lang w:val="es-CR"/>
        </w:rPr>
        <w:footnoteReference w:id="48"/>
      </w:r>
      <w:r w:rsidR="003F6201" w:rsidRPr="004F1A4B">
        <w:rPr>
          <w:rFonts w:ascii="Verdana" w:hAnsi="Verdana"/>
          <w:sz w:val="20"/>
          <w:szCs w:val="20"/>
          <w:lang w:val="es-MX"/>
        </w:rPr>
        <w:t xml:space="preserve">. Cuando </w:t>
      </w:r>
      <w:r w:rsidR="00302AB0" w:rsidRPr="004F1A4B">
        <w:rPr>
          <w:rFonts w:ascii="Verdana" w:hAnsi="Verdana"/>
          <w:sz w:val="20"/>
          <w:lang w:val="es-CR"/>
        </w:rPr>
        <w:t xml:space="preserve">la víctima Brenda Cantoral Contreras expresó algunas palabras al público asistente, señaló que </w:t>
      </w:r>
      <w:r w:rsidR="00F7128B" w:rsidRPr="004F1A4B">
        <w:rPr>
          <w:rFonts w:ascii="Verdana" w:hAnsi="Verdana"/>
          <w:sz w:val="20"/>
          <w:lang w:val="es-CR"/>
        </w:rPr>
        <w:t>se encontraba “un poco mortificada” debido a que la ceremonia “se había predispuesto para las once de la mañana y muchos familiares [suyos] todavía no ha[bían] llegado”.</w:t>
      </w:r>
      <w:r w:rsidR="007455AB" w:rsidRPr="004F1A4B">
        <w:rPr>
          <w:rFonts w:ascii="Verdana" w:hAnsi="Verdana"/>
          <w:sz w:val="20"/>
          <w:lang w:val="es-CR"/>
        </w:rPr>
        <w:t xml:space="preserve"> </w:t>
      </w:r>
      <w:r w:rsidR="006B6029">
        <w:rPr>
          <w:rFonts w:ascii="Verdana" w:hAnsi="Verdana"/>
          <w:sz w:val="20"/>
          <w:lang w:val="es-CR"/>
        </w:rPr>
        <w:t>E</w:t>
      </w:r>
      <w:r w:rsidR="0018479F" w:rsidRPr="004F1A4B">
        <w:rPr>
          <w:rFonts w:ascii="Verdana" w:hAnsi="Verdana"/>
          <w:sz w:val="20"/>
          <w:lang w:val="es-CR"/>
        </w:rPr>
        <w:t>l Estado</w:t>
      </w:r>
      <w:r w:rsidR="006B6029" w:rsidRPr="006B6029">
        <w:rPr>
          <w:rFonts w:ascii="Verdana" w:hAnsi="Verdana"/>
          <w:sz w:val="20"/>
          <w:lang w:val="es-CR"/>
        </w:rPr>
        <w:t xml:space="preserve"> </w:t>
      </w:r>
      <w:r w:rsidR="006B6029" w:rsidRPr="004F1A4B">
        <w:rPr>
          <w:rFonts w:ascii="Verdana" w:hAnsi="Verdana"/>
          <w:sz w:val="20"/>
          <w:lang w:val="es-CR"/>
        </w:rPr>
        <w:t>solicitó que la referida medida fuese declarada como cumplida</w:t>
      </w:r>
      <w:r w:rsidR="006B6029">
        <w:rPr>
          <w:rFonts w:ascii="Verdana" w:hAnsi="Verdana"/>
          <w:sz w:val="20"/>
          <w:lang w:val="es-CR"/>
        </w:rPr>
        <w:t>, si bien</w:t>
      </w:r>
      <w:r w:rsidR="0018479F" w:rsidRPr="004F1A4B">
        <w:rPr>
          <w:rFonts w:ascii="Verdana" w:hAnsi="Verdana"/>
          <w:sz w:val="20"/>
          <w:lang w:val="es-CR"/>
        </w:rPr>
        <w:t xml:space="preserve"> no se refirió a lo señalado por la víctima y sus representantes</w:t>
      </w:r>
      <w:r w:rsidR="0018479F">
        <w:rPr>
          <w:rStyle w:val="Refdenotaalpie"/>
          <w:rFonts w:ascii="Verdana" w:hAnsi="Verdana"/>
          <w:sz w:val="20"/>
          <w:lang w:val="es-CR"/>
        </w:rPr>
        <w:footnoteReference w:id="49"/>
      </w:r>
      <w:r w:rsidR="0018479F" w:rsidRPr="004F1A4B">
        <w:rPr>
          <w:rFonts w:ascii="Verdana" w:hAnsi="Verdana"/>
          <w:sz w:val="20"/>
          <w:lang w:val="es-CR"/>
        </w:rPr>
        <w:t xml:space="preserve">. </w:t>
      </w:r>
      <w:r w:rsidR="004F1A4B" w:rsidRPr="004F1A4B">
        <w:rPr>
          <w:rFonts w:ascii="Verdana" w:hAnsi="Verdana"/>
          <w:sz w:val="20"/>
          <w:lang w:val="es-CR"/>
        </w:rPr>
        <w:t xml:space="preserve">Por su parte, los representantes de las víctimas </w:t>
      </w:r>
      <w:r w:rsidR="00FD21C9" w:rsidRPr="00FD21C9">
        <w:rPr>
          <w:rFonts w:ascii="Verdana" w:hAnsi="Verdana"/>
          <w:sz w:val="20"/>
          <w:lang w:val="es-CR"/>
        </w:rPr>
        <w:t>indicaron respecto al referido acto que “[s]i bien es cierto que el Estado cumplió en realizar[lo]”, querían “dejar constancia”</w:t>
      </w:r>
      <w:r w:rsidR="00FD21C9">
        <w:rPr>
          <w:rFonts w:ascii="Verdana" w:hAnsi="Verdana"/>
          <w:sz w:val="20"/>
          <w:lang w:val="es-CR"/>
        </w:rPr>
        <w:t xml:space="preserve"> del incumplimiento del Estado respecto de los términos de lo acordado para la realización del acto en cuestión</w:t>
      </w:r>
      <w:r w:rsidR="00FD21C9">
        <w:rPr>
          <w:rStyle w:val="Refdenotaalpie"/>
          <w:rFonts w:ascii="Verdana" w:hAnsi="Verdana"/>
          <w:sz w:val="20"/>
          <w:lang w:val="es-CR"/>
        </w:rPr>
        <w:footnoteReference w:id="50"/>
      </w:r>
      <w:r w:rsidR="004F1A4B" w:rsidRPr="00FD21C9">
        <w:rPr>
          <w:rFonts w:ascii="Verdana" w:hAnsi="Verdana"/>
          <w:sz w:val="20"/>
          <w:lang w:val="es-CR"/>
        </w:rPr>
        <w:t>.</w:t>
      </w:r>
    </w:p>
    <w:p w:rsidR="004F1A4B" w:rsidRPr="004F1A4B" w:rsidRDefault="004F1A4B" w:rsidP="004F1A4B">
      <w:pPr>
        <w:widowControl w:val="0"/>
        <w:autoSpaceDE w:val="0"/>
        <w:autoSpaceDN w:val="0"/>
        <w:adjustRightInd w:val="0"/>
        <w:spacing w:after="0" w:line="240" w:lineRule="auto"/>
        <w:jc w:val="both"/>
        <w:rPr>
          <w:rFonts w:ascii="Verdana" w:hAnsi="Verdana"/>
          <w:sz w:val="10"/>
          <w:szCs w:val="10"/>
          <w:lang w:val="es-MX"/>
        </w:rPr>
      </w:pPr>
    </w:p>
    <w:p w:rsidR="00805778" w:rsidRPr="00F7128B" w:rsidRDefault="003F6201" w:rsidP="00C8662E">
      <w:pPr>
        <w:widowControl w:val="0"/>
        <w:numPr>
          <w:ilvl w:val="0"/>
          <w:numId w:val="27"/>
        </w:numPr>
        <w:autoSpaceDE w:val="0"/>
        <w:autoSpaceDN w:val="0"/>
        <w:adjustRightInd w:val="0"/>
        <w:spacing w:after="0" w:line="240" w:lineRule="auto"/>
        <w:ind w:left="0" w:firstLine="0"/>
        <w:jc w:val="both"/>
        <w:rPr>
          <w:rFonts w:ascii="Verdana" w:hAnsi="Verdana"/>
          <w:sz w:val="20"/>
          <w:szCs w:val="20"/>
          <w:lang w:val="es-MX"/>
        </w:rPr>
      </w:pPr>
      <w:r>
        <w:rPr>
          <w:rFonts w:ascii="Verdana" w:hAnsi="Verdana"/>
          <w:sz w:val="20"/>
          <w:lang w:val="es-CR"/>
        </w:rPr>
        <w:t xml:space="preserve">La Corte considera que el Estado efectuó el acto público de reconocimiento de responsabilidad ordenado en la Sentencia, pero </w:t>
      </w:r>
      <w:r w:rsidR="00570BC8">
        <w:rPr>
          <w:rFonts w:ascii="Verdana" w:hAnsi="Verdana"/>
          <w:sz w:val="20"/>
          <w:lang w:val="es-CR"/>
        </w:rPr>
        <w:t>resalta como</w:t>
      </w:r>
      <w:r w:rsidR="007455AB">
        <w:rPr>
          <w:rFonts w:ascii="Verdana" w:hAnsi="Verdana"/>
          <w:sz w:val="20"/>
          <w:lang w:val="es-CR"/>
        </w:rPr>
        <w:t xml:space="preserve"> lamentable </w:t>
      </w:r>
      <w:r>
        <w:rPr>
          <w:rFonts w:ascii="Verdana" w:hAnsi="Verdana"/>
          <w:sz w:val="20"/>
          <w:lang w:val="es-CR"/>
        </w:rPr>
        <w:t xml:space="preserve">la cantidad de años transcurridos para su ejecución y </w:t>
      </w:r>
      <w:r w:rsidR="0018479F">
        <w:rPr>
          <w:rFonts w:ascii="Verdana" w:hAnsi="Verdana"/>
          <w:sz w:val="20"/>
          <w:lang w:val="es-CR"/>
        </w:rPr>
        <w:t xml:space="preserve">el hecho </w:t>
      </w:r>
      <w:r w:rsidR="007455AB">
        <w:rPr>
          <w:rFonts w:ascii="Verdana" w:hAnsi="Verdana"/>
          <w:sz w:val="20"/>
          <w:lang w:val="es-CR"/>
        </w:rPr>
        <w:t>que algunos familiares de la víctima Saúl Cantoral Huamaní no hayan estado presentes al momento del acto de disculpas públicas</w:t>
      </w:r>
      <w:r w:rsidR="00DA31B9">
        <w:rPr>
          <w:rFonts w:ascii="Verdana" w:hAnsi="Verdana"/>
          <w:sz w:val="20"/>
          <w:lang w:val="es-CR"/>
        </w:rPr>
        <w:t xml:space="preserve"> por un cambio de coordinación no comunicado diligentemente</w:t>
      </w:r>
      <w:r w:rsidR="00CC3B44">
        <w:rPr>
          <w:rFonts w:ascii="Verdana" w:hAnsi="Verdana"/>
          <w:sz w:val="20"/>
          <w:lang w:val="es-CR"/>
        </w:rPr>
        <w:t xml:space="preserve"> (</w:t>
      </w:r>
      <w:r w:rsidR="00CC3B44">
        <w:rPr>
          <w:rFonts w:ascii="Verdana" w:hAnsi="Verdana"/>
          <w:i/>
          <w:sz w:val="20"/>
          <w:lang w:val="es-CR"/>
        </w:rPr>
        <w:t xml:space="preserve">supra </w:t>
      </w:r>
      <w:r w:rsidR="00CC3B44">
        <w:rPr>
          <w:rFonts w:ascii="Verdana" w:hAnsi="Verdana"/>
          <w:sz w:val="20"/>
          <w:lang w:val="es-CR"/>
        </w:rPr>
        <w:t xml:space="preserve">Considerando </w:t>
      </w:r>
      <w:r w:rsidR="00407329">
        <w:rPr>
          <w:rFonts w:ascii="Verdana" w:hAnsi="Verdana"/>
          <w:sz w:val="20"/>
          <w:lang w:val="es-CR"/>
        </w:rPr>
        <w:t>22</w:t>
      </w:r>
      <w:r w:rsidR="00CC3B44">
        <w:rPr>
          <w:rFonts w:ascii="Verdana" w:hAnsi="Verdana"/>
          <w:sz w:val="20"/>
          <w:lang w:val="es-CR"/>
        </w:rPr>
        <w:t>)</w:t>
      </w:r>
      <w:r w:rsidR="00ED720D">
        <w:rPr>
          <w:rFonts w:ascii="Verdana" w:hAnsi="Verdana"/>
          <w:sz w:val="20"/>
          <w:lang w:val="es-CR"/>
        </w:rPr>
        <w:t>.</w:t>
      </w:r>
      <w:r w:rsidR="007455AB">
        <w:rPr>
          <w:rFonts w:ascii="Verdana" w:hAnsi="Verdana"/>
          <w:sz w:val="20"/>
          <w:lang w:val="es-CR"/>
        </w:rPr>
        <w:t xml:space="preserve"> </w:t>
      </w:r>
      <w:r w:rsidR="00ED720D">
        <w:rPr>
          <w:rFonts w:ascii="Verdana" w:hAnsi="Verdana"/>
          <w:sz w:val="20"/>
          <w:lang w:val="es-CR"/>
        </w:rPr>
        <w:t xml:space="preserve">El Perú debe asegurar que todos los componentes de este tipo de actos cumplan con </w:t>
      </w:r>
      <w:r w:rsidR="007455AB">
        <w:rPr>
          <w:rFonts w:ascii="Verdana" w:hAnsi="Verdana"/>
          <w:sz w:val="20"/>
          <w:lang w:val="es-CR"/>
        </w:rPr>
        <w:t xml:space="preserve">el sentido de la presente medida de satisfacción. </w:t>
      </w:r>
    </w:p>
    <w:p w:rsidR="00805778" w:rsidRDefault="00805778" w:rsidP="00C8662E">
      <w:pPr>
        <w:widowControl w:val="0"/>
        <w:autoSpaceDE w:val="0"/>
        <w:autoSpaceDN w:val="0"/>
        <w:adjustRightInd w:val="0"/>
        <w:spacing w:after="0" w:line="240" w:lineRule="auto"/>
        <w:jc w:val="both"/>
        <w:rPr>
          <w:rFonts w:ascii="Verdana" w:hAnsi="Verdana"/>
          <w:sz w:val="10"/>
          <w:szCs w:val="10"/>
          <w:lang w:val="es-MX"/>
        </w:rPr>
      </w:pPr>
    </w:p>
    <w:p w:rsidR="00805778" w:rsidRPr="00A00132" w:rsidRDefault="001C2559" w:rsidP="00C8662E">
      <w:pPr>
        <w:widowControl w:val="0"/>
        <w:numPr>
          <w:ilvl w:val="0"/>
          <w:numId w:val="27"/>
        </w:numPr>
        <w:autoSpaceDE w:val="0"/>
        <w:autoSpaceDN w:val="0"/>
        <w:adjustRightInd w:val="0"/>
        <w:spacing w:after="0" w:line="240" w:lineRule="auto"/>
        <w:ind w:left="0" w:firstLine="0"/>
        <w:jc w:val="both"/>
        <w:rPr>
          <w:rFonts w:ascii="Verdana" w:hAnsi="Verdana"/>
          <w:sz w:val="20"/>
          <w:szCs w:val="20"/>
          <w:lang w:val="es-CR"/>
        </w:rPr>
      </w:pPr>
      <w:r>
        <w:rPr>
          <w:rFonts w:ascii="Verdana" w:hAnsi="Verdana"/>
          <w:sz w:val="20"/>
          <w:szCs w:val="20"/>
          <w:lang w:val="es-CO"/>
        </w:rPr>
        <w:t>Tomando en cuenta</w:t>
      </w:r>
      <w:r w:rsidR="00F46605">
        <w:rPr>
          <w:rFonts w:ascii="Verdana" w:hAnsi="Verdana"/>
          <w:sz w:val="20"/>
          <w:szCs w:val="20"/>
          <w:lang w:val="es-CO"/>
        </w:rPr>
        <w:t xml:space="preserve"> lo anterior</w:t>
      </w:r>
      <w:r w:rsidR="00805778" w:rsidRPr="009A3849">
        <w:rPr>
          <w:rFonts w:ascii="Verdana" w:hAnsi="Verdana"/>
          <w:sz w:val="20"/>
          <w:szCs w:val="20"/>
          <w:lang w:val="es-CO"/>
        </w:rPr>
        <w:t xml:space="preserve">, </w:t>
      </w:r>
      <w:r w:rsidR="00805778" w:rsidRPr="009A3849">
        <w:rPr>
          <w:rFonts w:ascii="Verdana" w:hAnsi="Verdana"/>
          <w:sz w:val="20"/>
          <w:szCs w:val="20"/>
          <w:lang w:val="es-CR"/>
        </w:rPr>
        <w:t xml:space="preserve">la Corte considera que el Estado ha dado cumplimiento a la medida de reparación relativa a </w:t>
      </w:r>
      <w:r w:rsidR="00A00132" w:rsidRPr="00A00132">
        <w:rPr>
          <w:rFonts w:ascii="Verdana" w:hAnsi="Verdana"/>
          <w:sz w:val="20"/>
          <w:szCs w:val="20"/>
          <w:lang w:val="es-CR"/>
        </w:rPr>
        <w:t>realizar un acto público de reconocimiento de su responsabilidad internacional</w:t>
      </w:r>
      <w:r w:rsidR="00B53B05">
        <w:rPr>
          <w:rFonts w:ascii="Verdana" w:hAnsi="Verdana"/>
          <w:sz w:val="20"/>
          <w:szCs w:val="20"/>
          <w:lang w:val="es-CR"/>
        </w:rPr>
        <w:t>,</w:t>
      </w:r>
      <w:r w:rsidR="00A00132" w:rsidRPr="00A00132">
        <w:rPr>
          <w:rFonts w:ascii="Verdana" w:hAnsi="Verdana"/>
          <w:sz w:val="20"/>
          <w:szCs w:val="20"/>
          <w:lang w:val="es-CR"/>
        </w:rPr>
        <w:t xml:space="preserve"> </w:t>
      </w:r>
      <w:r w:rsidR="00805778" w:rsidRPr="009A3849">
        <w:rPr>
          <w:rFonts w:ascii="Verdana" w:hAnsi="Verdana"/>
          <w:sz w:val="20"/>
          <w:szCs w:val="20"/>
          <w:lang w:val="es-CR"/>
        </w:rPr>
        <w:t xml:space="preserve">ordenada en el punto dispositivo </w:t>
      </w:r>
      <w:r w:rsidR="009E1F71">
        <w:rPr>
          <w:rFonts w:ascii="Verdana" w:hAnsi="Verdana"/>
          <w:sz w:val="20"/>
          <w:szCs w:val="20"/>
          <w:lang w:val="es-CR"/>
        </w:rPr>
        <w:t>décimo primero</w:t>
      </w:r>
      <w:r w:rsidR="00805778" w:rsidRPr="009A3849">
        <w:rPr>
          <w:rFonts w:ascii="Verdana" w:hAnsi="Verdana"/>
          <w:sz w:val="20"/>
          <w:szCs w:val="20"/>
          <w:lang w:val="es-CR"/>
        </w:rPr>
        <w:t xml:space="preserve"> de la Sentencia</w:t>
      </w:r>
      <w:r w:rsidR="00D54751">
        <w:rPr>
          <w:rFonts w:ascii="Verdana" w:hAnsi="Verdana"/>
          <w:sz w:val="20"/>
          <w:szCs w:val="20"/>
          <w:lang w:val="es-CR"/>
        </w:rPr>
        <w:t>.</w:t>
      </w:r>
    </w:p>
    <w:p w:rsidR="004B53AF" w:rsidRPr="00D54751" w:rsidRDefault="004B53AF" w:rsidP="004B6FAC">
      <w:pPr>
        <w:pStyle w:val="Listavistosa-nfasis1"/>
        <w:spacing w:after="0" w:line="240" w:lineRule="auto"/>
        <w:ind w:left="0"/>
        <w:contextualSpacing w:val="0"/>
        <w:jc w:val="both"/>
        <w:rPr>
          <w:rFonts w:ascii="Verdana" w:hAnsi="Verdana"/>
          <w:sz w:val="14"/>
          <w:szCs w:val="14"/>
          <w:lang w:val="es-CR"/>
        </w:rPr>
      </w:pPr>
    </w:p>
    <w:p w:rsidR="001052AB" w:rsidRDefault="00FC46C7" w:rsidP="004B6FAC">
      <w:pPr>
        <w:pStyle w:val="Listavistosa-nfasis1"/>
        <w:numPr>
          <w:ilvl w:val="0"/>
          <w:numId w:val="7"/>
        </w:numPr>
        <w:spacing w:after="0" w:line="240" w:lineRule="auto"/>
        <w:contextualSpacing w:val="0"/>
        <w:jc w:val="both"/>
        <w:outlineLvl w:val="0"/>
        <w:rPr>
          <w:rFonts w:ascii="Verdana" w:hAnsi="Verdana"/>
          <w:b/>
          <w:i/>
          <w:sz w:val="20"/>
          <w:lang w:val="es-MX"/>
        </w:rPr>
      </w:pPr>
      <w:bookmarkStart w:id="7" w:name="_Toc495655660"/>
      <w:bookmarkStart w:id="8" w:name="_Toc5465084"/>
      <w:r>
        <w:rPr>
          <w:rFonts w:ascii="Verdana" w:hAnsi="Verdana"/>
          <w:b/>
          <w:i/>
          <w:sz w:val="20"/>
          <w:lang w:val="es-MX"/>
        </w:rPr>
        <w:t>Otorgar b</w:t>
      </w:r>
      <w:r w:rsidR="001052AB">
        <w:rPr>
          <w:rFonts w:ascii="Verdana" w:hAnsi="Verdana"/>
          <w:b/>
          <w:i/>
          <w:sz w:val="20"/>
          <w:lang w:val="es-MX"/>
        </w:rPr>
        <w:t xml:space="preserve">ecas </w:t>
      </w:r>
      <w:r>
        <w:rPr>
          <w:rFonts w:ascii="Verdana" w:hAnsi="Verdana"/>
          <w:b/>
          <w:i/>
          <w:sz w:val="20"/>
          <w:lang w:val="es-MX"/>
        </w:rPr>
        <w:t>de</w:t>
      </w:r>
      <w:r w:rsidR="001052AB">
        <w:rPr>
          <w:rFonts w:ascii="Verdana" w:hAnsi="Verdana"/>
          <w:b/>
          <w:i/>
          <w:sz w:val="20"/>
          <w:lang w:val="es-MX"/>
        </w:rPr>
        <w:t xml:space="preserve"> estudio</w:t>
      </w:r>
      <w:bookmarkEnd w:id="7"/>
      <w:bookmarkEnd w:id="8"/>
      <w:r w:rsidR="001052AB">
        <w:rPr>
          <w:rFonts w:ascii="Verdana" w:hAnsi="Verdana"/>
          <w:b/>
          <w:i/>
          <w:sz w:val="20"/>
          <w:lang w:val="es-MX"/>
        </w:rPr>
        <w:t xml:space="preserve"> </w:t>
      </w:r>
    </w:p>
    <w:p w:rsidR="000E08DB" w:rsidRPr="004E7BCB" w:rsidRDefault="000E08DB" w:rsidP="004E7BCB">
      <w:pPr>
        <w:pStyle w:val="Listavistosa-nfasis1"/>
        <w:spacing w:after="0" w:line="240" w:lineRule="auto"/>
        <w:ind w:left="0"/>
        <w:contextualSpacing w:val="0"/>
        <w:jc w:val="both"/>
        <w:rPr>
          <w:rFonts w:ascii="Verdana" w:hAnsi="Verdana"/>
          <w:sz w:val="14"/>
          <w:szCs w:val="14"/>
          <w:lang w:val="es-MX"/>
        </w:rPr>
      </w:pPr>
    </w:p>
    <w:p w:rsidR="004A0F49" w:rsidRDefault="004A0F49" w:rsidP="002C70F6">
      <w:pPr>
        <w:pStyle w:val="Listavistosa-nfasis1"/>
        <w:spacing w:after="0" w:line="240" w:lineRule="auto"/>
        <w:ind w:left="0" w:firstLine="450"/>
        <w:contextualSpacing w:val="0"/>
        <w:jc w:val="both"/>
        <w:rPr>
          <w:rFonts w:ascii="Verdana" w:hAnsi="Verdana"/>
          <w:i/>
          <w:sz w:val="20"/>
          <w:szCs w:val="20"/>
          <w:lang w:val="es-MX"/>
        </w:rPr>
      </w:pPr>
      <w:r>
        <w:rPr>
          <w:rFonts w:ascii="Verdana" w:hAnsi="Verdana"/>
          <w:i/>
          <w:sz w:val="20"/>
          <w:szCs w:val="20"/>
          <w:lang w:val="es-MX"/>
        </w:rPr>
        <w:t>D</w:t>
      </w:r>
      <w:r w:rsidRPr="003904A1">
        <w:rPr>
          <w:rFonts w:ascii="Verdana" w:hAnsi="Verdana"/>
          <w:i/>
          <w:sz w:val="20"/>
          <w:szCs w:val="20"/>
          <w:lang w:val="es-MX"/>
        </w:rPr>
        <w:t xml:space="preserve">.1 Medida ordenada por la Corte y supervisión realizada en resoluciones anteriores </w:t>
      </w:r>
    </w:p>
    <w:p w:rsidR="000E08DB" w:rsidRPr="004E7BCB" w:rsidRDefault="000E08DB" w:rsidP="004E7BCB">
      <w:pPr>
        <w:pStyle w:val="Listavistosa-nfasis1"/>
        <w:spacing w:after="0" w:line="240" w:lineRule="auto"/>
        <w:ind w:left="0"/>
        <w:contextualSpacing w:val="0"/>
        <w:jc w:val="both"/>
        <w:rPr>
          <w:rFonts w:ascii="Verdana" w:hAnsi="Verdana"/>
          <w:sz w:val="14"/>
          <w:szCs w:val="14"/>
          <w:lang w:val="es-MX"/>
        </w:rPr>
      </w:pPr>
    </w:p>
    <w:p w:rsidR="000E08DB" w:rsidRPr="008D2D5F" w:rsidRDefault="004D6643" w:rsidP="00C8662E">
      <w:pPr>
        <w:numPr>
          <w:ilvl w:val="0"/>
          <w:numId w:val="28"/>
        </w:numPr>
        <w:autoSpaceDE w:val="0"/>
        <w:autoSpaceDN w:val="0"/>
        <w:adjustRightInd w:val="0"/>
        <w:spacing w:after="0" w:line="240" w:lineRule="auto"/>
        <w:ind w:left="0" w:firstLine="0"/>
        <w:jc w:val="both"/>
        <w:rPr>
          <w:rFonts w:ascii="Verdana" w:hAnsi="Verdana" w:cs="Verdana"/>
          <w:sz w:val="20"/>
          <w:szCs w:val="20"/>
          <w:lang w:val="es-CR"/>
        </w:rPr>
      </w:pPr>
      <w:r w:rsidRPr="004D6643">
        <w:rPr>
          <w:rFonts w:ascii="Verdana" w:hAnsi="Verdana" w:cs="Verdana"/>
          <w:sz w:val="20"/>
          <w:szCs w:val="20"/>
          <w:lang w:val="es-CR"/>
        </w:rPr>
        <w:t xml:space="preserve">En el punto dispositivo décimo segundo </w:t>
      </w:r>
      <w:r w:rsidR="000E08DB" w:rsidRPr="004D6643">
        <w:rPr>
          <w:rFonts w:ascii="Verdana" w:hAnsi="Verdana" w:cs="Verdana"/>
          <w:sz w:val="20"/>
          <w:szCs w:val="20"/>
          <w:lang w:val="es-CR"/>
        </w:rPr>
        <w:t>y en el párrafo</w:t>
      </w:r>
      <w:r w:rsidRPr="004D6643">
        <w:rPr>
          <w:rFonts w:ascii="Verdana" w:hAnsi="Verdana" w:cs="Verdana"/>
          <w:sz w:val="20"/>
          <w:szCs w:val="20"/>
          <w:lang w:val="es-CR"/>
        </w:rPr>
        <w:t xml:space="preserve"> 194</w:t>
      </w:r>
      <w:r w:rsidR="001C2559" w:rsidRPr="001C2559">
        <w:rPr>
          <w:rFonts w:ascii="Verdana" w:hAnsi="Verdana" w:cs="Verdana"/>
          <w:sz w:val="20"/>
          <w:szCs w:val="20"/>
          <w:lang w:val="es-CR"/>
        </w:rPr>
        <w:t xml:space="preserve"> </w:t>
      </w:r>
      <w:r w:rsidR="001C2559" w:rsidRPr="004D6643">
        <w:rPr>
          <w:rFonts w:ascii="Verdana" w:hAnsi="Verdana" w:cs="Verdana"/>
          <w:sz w:val="20"/>
          <w:szCs w:val="20"/>
          <w:lang w:val="es-CR"/>
        </w:rPr>
        <w:t>de la Sentencia</w:t>
      </w:r>
      <w:r w:rsidR="000E08DB" w:rsidRPr="004D6643">
        <w:rPr>
          <w:rFonts w:ascii="Verdana" w:hAnsi="Verdana" w:cs="Verdana"/>
          <w:sz w:val="20"/>
          <w:szCs w:val="20"/>
          <w:lang w:val="es-CR"/>
        </w:rPr>
        <w:t>, la Corte dispuso</w:t>
      </w:r>
      <w:r w:rsidR="00924736">
        <w:rPr>
          <w:rFonts w:ascii="Verdana" w:hAnsi="Verdana" w:cs="Verdana"/>
          <w:sz w:val="20"/>
          <w:szCs w:val="20"/>
          <w:lang w:val="es-CR"/>
        </w:rPr>
        <w:t xml:space="preserve"> que</w:t>
      </w:r>
      <w:r w:rsidRPr="004D6643">
        <w:rPr>
          <w:rFonts w:ascii="Verdana" w:hAnsi="Verdana" w:cs="Verdana"/>
          <w:sz w:val="20"/>
          <w:szCs w:val="20"/>
          <w:lang w:val="es-CR"/>
        </w:rPr>
        <w:t xml:space="preserve"> </w:t>
      </w:r>
      <w:r w:rsidR="008D2D5F" w:rsidRPr="008D2D5F">
        <w:rPr>
          <w:rFonts w:ascii="Verdana" w:hAnsi="Verdana"/>
          <w:sz w:val="20"/>
          <w:szCs w:val="20"/>
          <w:lang w:val="es-CR"/>
        </w:rPr>
        <w:t xml:space="preserve">el Estado </w:t>
      </w:r>
      <w:r w:rsidR="008D2D5F">
        <w:rPr>
          <w:rFonts w:ascii="Verdana" w:hAnsi="Verdana"/>
          <w:sz w:val="20"/>
          <w:szCs w:val="20"/>
          <w:lang w:val="es-CR"/>
        </w:rPr>
        <w:t>debía</w:t>
      </w:r>
      <w:r w:rsidR="008D2D5F" w:rsidRPr="008D2D5F">
        <w:rPr>
          <w:rFonts w:ascii="Verdana" w:hAnsi="Verdana"/>
          <w:sz w:val="20"/>
          <w:szCs w:val="20"/>
          <w:lang w:val="es-CR"/>
        </w:rPr>
        <w:t xml:space="preserve"> </w:t>
      </w:r>
      <w:r w:rsidR="008D2D5F">
        <w:rPr>
          <w:rFonts w:ascii="Verdana" w:hAnsi="Verdana"/>
          <w:sz w:val="20"/>
          <w:szCs w:val="20"/>
          <w:lang w:val="es-CR"/>
        </w:rPr>
        <w:t>“</w:t>
      </w:r>
      <w:r w:rsidR="008D2D5F" w:rsidRPr="008D2D5F">
        <w:rPr>
          <w:rFonts w:ascii="Verdana" w:hAnsi="Verdana"/>
          <w:sz w:val="20"/>
          <w:szCs w:val="20"/>
          <w:lang w:val="es-CR"/>
        </w:rPr>
        <w:t>otorgar una beca en una institución pública peruana, en beneficio de los hijos de Saúl Cantoral Huamaní, que cubra todos los costos de su educación, desde el momento en que los beneficiarios la soliciten al Estado hasta la conclusión de sus estudios superiores, bien sean técnicos o universitarios</w:t>
      </w:r>
      <w:r w:rsidR="00C8470D">
        <w:rPr>
          <w:rFonts w:ascii="Verdana" w:hAnsi="Verdana"/>
          <w:sz w:val="20"/>
          <w:szCs w:val="20"/>
          <w:lang w:val="es-CR"/>
        </w:rPr>
        <w:t>”</w:t>
      </w:r>
      <w:r w:rsidR="003F32BF">
        <w:rPr>
          <w:rStyle w:val="Refdenotaalpie"/>
          <w:rFonts w:ascii="Verdana" w:hAnsi="Verdana"/>
          <w:sz w:val="20"/>
          <w:szCs w:val="20"/>
          <w:lang w:val="es-CR"/>
        </w:rPr>
        <w:footnoteReference w:id="51"/>
      </w:r>
      <w:r w:rsidR="008D2D5F" w:rsidRPr="008D2D5F">
        <w:rPr>
          <w:rFonts w:ascii="Verdana" w:hAnsi="Verdana"/>
          <w:sz w:val="20"/>
          <w:szCs w:val="20"/>
          <w:lang w:val="es-CR"/>
        </w:rPr>
        <w:t xml:space="preserve">. </w:t>
      </w:r>
      <w:r w:rsidR="008D2D5F">
        <w:rPr>
          <w:rFonts w:ascii="Verdana" w:hAnsi="Verdana"/>
          <w:sz w:val="20"/>
          <w:szCs w:val="20"/>
          <w:lang w:val="es-CR"/>
        </w:rPr>
        <w:t>Asimismo, dispuso que “[e]</w:t>
      </w:r>
      <w:r w:rsidR="008D2D5F" w:rsidRPr="008D2D5F">
        <w:rPr>
          <w:rFonts w:ascii="Verdana" w:hAnsi="Verdana"/>
          <w:sz w:val="20"/>
          <w:szCs w:val="20"/>
          <w:lang w:val="es-CR"/>
        </w:rPr>
        <w:t>n las mismas condiciones el Estado deb</w:t>
      </w:r>
      <w:r w:rsidR="008D2D5F">
        <w:rPr>
          <w:rFonts w:ascii="Verdana" w:hAnsi="Verdana"/>
          <w:sz w:val="20"/>
          <w:szCs w:val="20"/>
          <w:lang w:val="es-CR"/>
        </w:rPr>
        <w:t>[ía]</w:t>
      </w:r>
      <w:r w:rsidR="008D2D5F" w:rsidRPr="008D2D5F">
        <w:rPr>
          <w:rFonts w:ascii="Verdana" w:hAnsi="Verdana"/>
          <w:sz w:val="20"/>
          <w:szCs w:val="20"/>
          <w:lang w:val="es-CR"/>
        </w:rPr>
        <w:t xml:space="preserve"> también otorgar una beca de estudios de capacitación o actualización profesional</w:t>
      </w:r>
      <w:r w:rsidR="003F32BF">
        <w:rPr>
          <w:rFonts w:ascii="Verdana" w:hAnsi="Verdana"/>
          <w:sz w:val="20"/>
          <w:szCs w:val="20"/>
          <w:lang w:val="es-CR"/>
        </w:rPr>
        <w:t>”</w:t>
      </w:r>
      <w:r w:rsidR="008D2D5F" w:rsidRPr="008D2D5F">
        <w:rPr>
          <w:rFonts w:ascii="Verdana" w:hAnsi="Verdana"/>
          <w:sz w:val="20"/>
          <w:szCs w:val="20"/>
          <w:lang w:val="es-CR"/>
        </w:rPr>
        <w:t xml:space="preserve"> para</w:t>
      </w:r>
      <w:r w:rsidR="003F32BF">
        <w:rPr>
          <w:rFonts w:ascii="Verdana" w:hAnsi="Verdana"/>
          <w:sz w:val="20"/>
          <w:szCs w:val="20"/>
          <w:lang w:val="es-CR"/>
        </w:rPr>
        <w:t xml:space="preserve"> la esposa</w:t>
      </w:r>
      <w:r w:rsidR="003F32BF">
        <w:rPr>
          <w:rStyle w:val="Refdenotaalpie"/>
          <w:rFonts w:ascii="Verdana" w:hAnsi="Verdana"/>
          <w:sz w:val="20"/>
          <w:szCs w:val="20"/>
          <w:lang w:val="es-CR"/>
        </w:rPr>
        <w:footnoteReference w:id="52"/>
      </w:r>
      <w:r w:rsidR="003F32BF">
        <w:rPr>
          <w:rFonts w:ascii="Verdana" w:hAnsi="Verdana"/>
          <w:sz w:val="20"/>
          <w:szCs w:val="20"/>
          <w:lang w:val="es-CR"/>
        </w:rPr>
        <w:t xml:space="preserve"> y el hermano</w:t>
      </w:r>
      <w:r w:rsidR="003F32BF">
        <w:rPr>
          <w:rStyle w:val="Refdenotaalpie"/>
          <w:rFonts w:ascii="Verdana" w:hAnsi="Verdana"/>
          <w:sz w:val="20"/>
          <w:szCs w:val="20"/>
          <w:lang w:val="es-CR"/>
        </w:rPr>
        <w:footnoteReference w:id="53"/>
      </w:r>
      <w:r w:rsidR="003F32BF">
        <w:rPr>
          <w:rFonts w:ascii="Verdana" w:hAnsi="Verdana"/>
          <w:sz w:val="20"/>
          <w:szCs w:val="20"/>
          <w:lang w:val="es-CR"/>
        </w:rPr>
        <w:t xml:space="preserve"> del señor Cantoral Huamaní.</w:t>
      </w:r>
      <w:r w:rsidR="005230DD" w:rsidRPr="008D2D5F">
        <w:rPr>
          <w:rFonts w:ascii="Verdana" w:hAnsi="Verdana" w:cs="Verdana"/>
          <w:sz w:val="20"/>
          <w:szCs w:val="20"/>
          <w:lang w:val="es-CR"/>
        </w:rPr>
        <w:t xml:space="preserve"> </w:t>
      </w:r>
    </w:p>
    <w:p w:rsidR="002C70F6" w:rsidRPr="004E7BCB" w:rsidRDefault="002C70F6" w:rsidP="002C70F6">
      <w:pPr>
        <w:autoSpaceDE w:val="0"/>
        <w:autoSpaceDN w:val="0"/>
        <w:adjustRightInd w:val="0"/>
        <w:spacing w:after="0" w:line="240" w:lineRule="auto"/>
        <w:jc w:val="both"/>
        <w:rPr>
          <w:rFonts w:ascii="Verdana" w:hAnsi="Verdana" w:cs="Verdana"/>
          <w:sz w:val="10"/>
          <w:szCs w:val="10"/>
          <w:lang w:val="es-CR"/>
        </w:rPr>
      </w:pPr>
    </w:p>
    <w:p w:rsidR="00FC78C8" w:rsidRPr="003F08A8" w:rsidRDefault="00785A12" w:rsidP="00C8662E">
      <w:pPr>
        <w:numPr>
          <w:ilvl w:val="0"/>
          <w:numId w:val="28"/>
        </w:numPr>
        <w:tabs>
          <w:tab w:val="left" w:pos="720"/>
        </w:tabs>
        <w:autoSpaceDE w:val="0"/>
        <w:autoSpaceDN w:val="0"/>
        <w:adjustRightInd w:val="0"/>
        <w:spacing w:after="0" w:line="240" w:lineRule="auto"/>
        <w:ind w:left="0" w:firstLine="0"/>
        <w:jc w:val="both"/>
        <w:rPr>
          <w:rFonts w:ascii="Verdana" w:hAnsi="Verdana" w:cs="Verdana"/>
          <w:sz w:val="20"/>
          <w:szCs w:val="20"/>
          <w:lang w:val="es-CR"/>
        </w:rPr>
      </w:pPr>
      <w:r w:rsidRPr="003F08A8">
        <w:rPr>
          <w:rFonts w:ascii="Verdana" w:hAnsi="Verdana"/>
          <w:sz w:val="20"/>
          <w:lang w:val="es-MX"/>
        </w:rPr>
        <w:t xml:space="preserve">En </w:t>
      </w:r>
      <w:r w:rsidRPr="003F08A8">
        <w:rPr>
          <w:rFonts w:ascii="Verdana" w:hAnsi="Verdana"/>
          <w:sz w:val="20"/>
          <w:szCs w:val="20"/>
          <w:lang w:val="es-MX"/>
        </w:rPr>
        <w:t>la Resolución de supervisión de cumplimiento de abril de 2009</w:t>
      </w:r>
      <w:r w:rsidRPr="00CA6F53">
        <w:rPr>
          <w:rStyle w:val="Refdenotaalpie"/>
          <w:rFonts w:ascii="Verdana" w:hAnsi="Verdana"/>
          <w:sz w:val="20"/>
          <w:szCs w:val="20"/>
          <w:lang w:val="es-MX"/>
        </w:rPr>
        <w:footnoteReference w:id="54"/>
      </w:r>
      <w:r w:rsidRPr="003F08A8">
        <w:rPr>
          <w:rFonts w:ascii="Verdana" w:hAnsi="Verdana"/>
          <w:sz w:val="20"/>
          <w:szCs w:val="20"/>
          <w:lang w:val="es-MX"/>
        </w:rPr>
        <w:t xml:space="preserve">, la Corte constató que el Estado no había remitido información sobre avances en el cumplimiento de la presente medida. </w:t>
      </w:r>
      <w:r w:rsidRPr="003F08A8">
        <w:rPr>
          <w:rFonts w:ascii="Verdana" w:hAnsi="Verdana" w:cs="Verdana"/>
          <w:sz w:val="20"/>
          <w:szCs w:val="20"/>
          <w:lang w:val="es-CR"/>
        </w:rPr>
        <w:t xml:space="preserve">En la Resolución de </w:t>
      </w:r>
      <w:r w:rsidRPr="003F08A8">
        <w:rPr>
          <w:rFonts w:ascii="Verdana" w:hAnsi="Verdana"/>
          <w:sz w:val="20"/>
          <w:szCs w:val="20"/>
          <w:lang w:val="es-MX"/>
        </w:rPr>
        <w:t>septiembre</w:t>
      </w:r>
      <w:r w:rsidRPr="003F08A8">
        <w:rPr>
          <w:rFonts w:ascii="Verdana" w:hAnsi="Verdana" w:cs="Verdana"/>
          <w:sz w:val="20"/>
          <w:szCs w:val="20"/>
          <w:lang w:val="es-CR"/>
        </w:rPr>
        <w:t xml:space="preserve"> de 2009</w:t>
      </w:r>
      <w:r w:rsidRPr="00CA6F53">
        <w:rPr>
          <w:rStyle w:val="Refdenotaalpie"/>
          <w:rFonts w:ascii="Verdana" w:hAnsi="Verdana" w:cs="Verdana"/>
          <w:sz w:val="20"/>
          <w:szCs w:val="20"/>
          <w:lang w:val="es-CR"/>
        </w:rPr>
        <w:footnoteReference w:id="55"/>
      </w:r>
      <w:r w:rsidRPr="003F08A8">
        <w:rPr>
          <w:rFonts w:ascii="Verdana" w:hAnsi="Verdana" w:cs="Verdana"/>
          <w:sz w:val="20"/>
          <w:szCs w:val="20"/>
          <w:lang w:val="es-CR"/>
        </w:rPr>
        <w:t xml:space="preserve">, </w:t>
      </w:r>
      <w:r w:rsidR="00AA1E55" w:rsidRPr="003F08A8">
        <w:rPr>
          <w:rFonts w:ascii="Verdana" w:hAnsi="Verdana" w:cs="Verdana"/>
          <w:sz w:val="20"/>
          <w:szCs w:val="20"/>
          <w:lang w:val="es-CR"/>
        </w:rPr>
        <w:t>el Tribunal</w:t>
      </w:r>
      <w:r w:rsidRPr="003F08A8">
        <w:rPr>
          <w:rFonts w:ascii="Verdana" w:hAnsi="Verdana" w:cs="Verdana"/>
          <w:sz w:val="20"/>
          <w:szCs w:val="20"/>
          <w:lang w:val="es-CR"/>
        </w:rPr>
        <w:t xml:space="preserve"> </w:t>
      </w:r>
      <w:r w:rsidRPr="003F08A8">
        <w:rPr>
          <w:rFonts w:ascii="Verdana" w:hAnsi="Verdana"/>
          <w:sz w:val="20"/>
          <w:szCs w:val="20"/>
          <w:lang w:val="es-CR"/>
        </w:rPr>
        <w:t xml:space="preserve">valoró positivamente las gestiones realizadas por el Estado en beneficio de Brenda Cantoral </w:t>
      </w:r>
      <w:r w:rsidRPr="003F08A8">
        <w:rPr>
          <w:rFonts w:ascii="Verdana" w:hAnsi="Verdana" w:cs="Verdana"/>
          <w:sz w:val="20"/>
          <w:szCs w:val="20"/>
          <w:lang w:val="es-CR"/>
        </w:rPr>
        <w:t xml:space="preserve">Contreras y apreció que se habría avanzado en la exoneración del pago de determinados gastos educativos. </w:t>
      </w:r>
      <w:r w:rsidR="00F86F9F">
        <w:rPr>
          <w:rFonts w:ascii="Verdana" w:hAnsi="Verdana" w:cs="Verdana"/>
          <w:sz w:val="20"/>
          <w:szCs w:val="20"/>
          <w:lang w:val="es-CR"/>
        </w:rPr>
        <w:t>E</w:t>
      </w:r>
      <w:r w:rsidR="00A37CD9" w:rsidRPr="003F08A8">
        <w:rPr>
          <w:rFonts w:ascii="Verdana" w:hAnsi="Verdana" w:cs="Verdana"/>
          <w:sz w:val="20"/>
          <w:szCs w:val="20"/>
          <w:lang w:val="es-CR"/>
        </w:rPr>
        <w:t xml:space="preserve">n la Resolución de </w:t>
      </w:r>
      <w:r w:rsidR="00A37CD9" w:rsidRPr="003F08A8">
        <w:rPr>
          <w:rFonts w:ascii="Verdana" w:hAnsi="Verdana"/>
          <w:sz w:val="20"/>
          <w:szCs w:val="20"/>
          <w:lang w:val="es-MX"/>
        </w:rPr>
        <w:t>febrero de 2011</w:t>
      </w:r>
      <w:r w:rsidR="00A37CD9" w:rsidRPr="00CA6F53">
        <w:rPr>
          <w:rStyle w:val="Refdenotaalpie"/>
          <w:rFonts w:ascii="Verdana" w:hAnsi="Verdana" w:cs="Verdana"/>
          <w:sz w:val="20"/>
          <w:szCs w:val="20"/>
          <w:lang w:val="es-CR"/>
        </w:rPr>
        <w:footnoteReference w:id="56"/>
      </w:r>
      <w:r w:rsidR="00A37CD9" w:rsidRPr="003F08A8">
        <w:rPr>
          <w:rFonts w:ascii="Verdana" w:hAnsi="Verdana" w:cs="Verdana"/>
          <w:sz w:val="20"/>
          <w:szCs w:val="20"/>
          <w:lang w:val="es-CR"/>
        </w:rPr>
        <w:t xml:space="preserve">, </w:t>
      </w:r>
      <w:r w:rsidR="00AA1E55" w:rsidRPr="003F08A8">
        <w:rPr>
          <w:rFonts w:ascii="Verdana" w:hAnsi="Verdana" w:cs="Verdana"/>
          <w:sz w:val="20"/>
          <w:szCs w:val="20"/>
          <w:lang w:val="es-CR"/>
        </w:rPr>
        <w:t xml:space="preserve">la Corte valoró las gestiones realizadas respecto de la beca para </w:t>
      </w:r>
      <w:r w:rsidR="00AA1E55" w:rsidRPr="00117900">
        <w:rPr>
          <w:rFonts w:ascii="Verdana" w:hAnsi="Verdana"/>
          <w:sz w:val="20"/>
          <w:szCs w:val="20"/>
          <w:lang w:val="es-CR"/>
        </w:rPr>
        <w:t>Vanessa Cantoral Contreras</w:t>
      </w:r>
      <w:r w:rsidR="00AA1E55" w:rsidRPr="003F08A8">
        <w:rPr>
          <w:rFonts w:ascii="Verdana" w:hAnsi="Verdana" w:cs="Verdana"/>
          <w:sz w:val="20"/>
          <w:szCs w:val="20"/>
          <w:lang w:val="es-CR"/>
        </w:rPr>
        <w:t>.</w:t>
      </w:r>
      <w:r w:rsidR="003F08A8">
        <w:rPr>
          <w:rFonts w:ascii="Verdana" w:hAnsi="Verdana" w:cs="Verdana"/>
          <w:sz w:val="20"/>
          <w:szCs w:val="20"/>
          <w:lang w:val="es-CR"/>
        </w:rPr>
        <w:t xml:space="preserve"> </w:t>
      </w:r>
      <w:r w:rsidRPr="003F08A8">
        <w:rPr>
          <w:rFonts w:ascii="Verdana" w:hAnsi="Verdana" w:cs="Verdana"/>
          <w:sz w:val="20"/>
          <w:szCs w:val="20"/>
          <w:lang w:val="es-CR"/>
        </w:rPr>
        <w:t>A su vez, en las últimas dos resoluciones</w:t>
      </w:r>
      <w:r w:rsidR="003F08A8">
        <w:rPr>
          <w:rFonts w:ascii="Verdana" w:hAnsi="Verdana" w:cs="Verdana"/>
          <w:sz w:val="20"/>
          <w:szCs w:val="20"/>
          <w:lang w:val="es-CR"/>
        </w:rPr>
        <w:t xml:space="preserve"> de 2009 y 2011</w:t>
      </w:r>
      <w:r w:rsidR="00E878D8">
        <w:rPr>
          <w:rStyle w:val="Refdenotaalpie"/>
          <w:rFonts w:ascii="Verdana" w:hAnsi="Verdana" w:cs="Verdana"/>
          <w:sz w:val="20"/>
          <w:szCs w:val="20"/>
          <w:lang w:val="es-CR"/>
        </w:rPr>
        <w:footnoteReference w:id="57"/>
      </w:r>
      <w:r w:rsidRPr="003F08A8">
        <w:rPr>
          <w:rFonts w:ascii="Verdana" w:hAnsi="Verdana" w:cs="Verdana"/>
          <w:sz w:val="20"/>
          <w:szCs w:val="20"/>
          <w:lang w:val="es-CR"/>
        </w:rPr>
        <w:t>, la Corte señaló que</w:t>
      </w:r>
      <w:r w:rsidR="00E4296F">
        <w:rPr>
          <w:rFonts w:ascii="Verdana" w:hAnsi="Verdana" w:cs="Verdana"/>
          <w:sz w:val="20"/>
          <w:szCs w:val="20"/>
          <w:lang w:val="es-CR"/>
        </w:rPr>
        <w:t>,</w:t>
      </w:r>
      <w:r w:rsidRPr="003F08A8">
        <w:rPr>
          <w:rFonts w:ascii="Verdana" w:hAnsi="Verdana" w:cs="Verdana"/>
          <w:sz w:val="20"/>
          <w:szCs w:val="20"/>
          <w:lang w:val="es-CR"/>
        </w:rPr>
        <w:t xml:space="preserve"> “en relación con los demás beneficiarios, […] el cumplimiento de esta obligación por parte del Estado implica, en parte, que aquellos lleven a cabo determinadas acciones tendientes al ejercicio de su derecho a esta medida de reparación</w:t>
      </w:r>
      <w:r w:rsidR="00FC78C8" w:rsidRPr="003F08A8">
        <w:rPr>
          <w:rFonts w:ascii="Verdana" w:hAnsi="Verdana" w:cs="Verdana"/>
          <w:sz w:val="20"/>
          <w:szCs w:val="20"/>
          <w:lang w:val="es-CR"/>
        </w:rPr>
        <w:t>”</w:t>
      </w:r>
      <w:r w:rsidRPr="003F08A8">
        <w:rPr>
          <w:rFonts w:ascii="Verdana" w:hAnsi="Verdana" w:cs="Verdana"/>
          <w:sz w:val="20"/>
          <w:szCs w:val="20"/>
          <w:lang w:val="es-CR"/>
        </w:rPr>
        <w:t>.</w:t>
      </w:r>
      <w:r w:rsidR="00FC78C8" w:rsidRPr="003F08A8">
        <w:rPr>
          <w:rFonts w:ascii="Verdana" w:hAnsi="Verdana" w:cs="Verdana"/>
          <w:sz w:val="20"/>
          <w:szCs w:val="20"/>
          <w:lang w:val="es-CR"/>
        </w:rPr>
        <w:t xml:space="preserve"> También destacó en ambas oportunidades “la importancia de avanzar en la coordinación entre el Estado y los representantes para concretar el cumplimiento de la presente obligación”.</w:t>
      </w:r>
    </w:p>
    <w:p w:rsidR="00785A12" w:rsidRPr="004E7BCB" w:rsidRDefault="00785A12" w:rsidP="00785A12">
      <w:pPr>
        <w:pStyle w:val="Listavistosa-nfasis1"/>
        <w:spacing w:after="0" w:line="240" w:lineRule="auto"/>
        <w:ind w:left="0"/>
        <w:contextualSpacing w:val="0"/>
        <w:jc w:val="both"/>
        <w:rPr>
          <w:rFonts w:ascii="Verdana" w:hAnsi="Verdana"/>
          <w:sz w:val="14"/>
          <w:szCs w:val="14"/>
          <w:lang w:val="es-CR"/>
        </w:rPr>
      </w:pPr>
    </w:p>
    <w:p w:rsidR="00165D3F" w:rsidRDefault="00165D3F" w:rsidP="004B6FAC">
      <w:pPr>
        <w:pStyle w:val="Listavistosa-nfasis1"/>
        <w:spacing w:after="0" w:line="240" w:lineRule="auto"/>
        <w:contextualSpacing w:val="0"/>
        <w:jc w:val="both"/>
        <w:rPr>
          <w:rFonts w:ascii="Verdana" w:hAnsi="Verdana"/>
          <w:i/>
          <w:sz w:val="20"/>
          <w:lang w:val="es-MX"/>
        </w:rPr>
      </w:pPr>
      <w:r>
        <w:rPr>
          <w:rFonts w:ascii="Verdana" w:hAnsi="Verdana"/>
          <w:i/>
          <w:sz w:val="20"/>
          <w:lang w:val="es-MX"/>
        </w:rPr>
        <w:t>D</w:t>
      </w:r>
      <w:r w:rsidRPr="005237EB">
        <w:rPr>
          <w:rFonts w:ascii="Verdana" w:hAnsi="Verdana"/>
          <w:i/>
          <w:sz w:val="20"/>
          <w:lang w:val="es-MX"/>
        </w:rPr>
        <w:t>.2</w:t>
      </w:r>
      <w:r>
        <w:rPr>
          <w:rFonts w:ascii="Verdana" w:hAnsi="Verdana"/>
          <w:i/>
          <w:sz w:val="20"/>
          <w:lang w:val="es-MX"/>
        </w:rPr>
        <w:t>.</w:t>
      </w:r>
      <w:r w:rsidRPr="005237EB">
        <w:rPr>
          <w:rFonts w:ascii="Verdana" w:hAnsi="Verdana"/>
          <w:i/>
          <w:sz w:val="20"/>
          <w:lang w:val="es-MX"/>
        </w:rPr>
        <w:t xml:space="preserve"> </w:t>
      </w:r>
      <w:r w:rsidR="00560313">
        <w:rPr>
          <w:rFonts w:ascii="Verdana" w:hAnsi="Verdana"/>
          <w:i/>
          <w:sz w:val="20"/>
          <w:lang w:val="es-MX"/>
        </w:rPr>
        <w:t>Consideraciones de la Corte</w:t>
      </w:r>
      <w:r>
        <w:rPr>
          <w:rFonts w:ascii="Verdana" w:hAnsi="Verdana"/>
          <w:i/>
          <w:sz w:val="20"/>
          <w:lang w:val="es-MX"/>
        </w:rPr>
        <w:t xml:space="preserve"> </w:t>
      </w:r>
    </w:p>
    <w:p w:rsidR="002C70F6" w:rsidRDefault="002C70F6" w:rsidP="002C70F6">
      <w:pPr>
        <w:autoSpaceDE w:val="0"/>
        <w:autoSpaceDN w:val="0"/>
        <w:adjustRightInd w:val="0"/>
        <w:spacing w:after="0" w:line="240" w:lineRule="auto"/>
        <w:jc w:val="both"/>
        <w:rPr>
          <w:rFonts w:ascii="Verdana" w:hAnsi="Verdana" w:cs="Verdana"/>
          <w:sz w:val="14"/>
          <w:szCs w:val="14"/>
          <w:lang w:val="es-MX"/>
        </w:rPr>
      </w:pPr>
    </w:p>
    <w:p w:rsidR="00DB0EAE" w:rsidRPr="00985211" w:rsidRDefault="000E2D62" w:rsidP="00C8662E">
      <w:pPr>
        <w:numPr>
          <w:ilvl w:val="0"/>
          <w:numId w:val="28"/>
        </w:numPr>
        <w:tabs>
          <w:tab w:val="left" w:pos="720"/>
        </w:tabs>
        <w:autoSpaceDE w:val="0"/>
        <w:autoSpaceDN w:val="0"/>
        <w:adjustRightInd w:val="0"/>
        <w:spacing w:after="0" w:line="240" w:lineRule="auto"/>
        <w:ind w:left="0" w:firstLine="0"/>
        <w:jc w:val="both"/>
        <w:rPr>
          <w:rFonts w:ascii="Verdana" w:hAnsi="Verdana" w:cs="Verdana"/>
          <w:sz w:val="20"/>
          <w:szCs w:val="20"/>
          <w:lang w:val="es-CR"/>
        </w:rPr>
      </w:pPr>
      <w:r w:rsidRPr="00985211">
        <w:rPr>
          <w:rFonts w:ascii="Verdana" w:hAnsi="Verdana" w:cs="Verdana"/>
          <w:sz w:val="20"/>
          <w:szCs w:val="20"/>
          <w:lang w:val="es-CR"/>
        </w:rPr>
        <w:t xml:space="preserve">Respecto a los </w:t>
      </w:r>
      <w:r w:rsidR="00D620F7" w:rsidRPr="00985211">
        <w:rPr>
          <w:rFonts w:ascii="Verdana" w:hAnsi="Verdana" w:cs="Verdana"/>
          <w:sz w:val="20"/>
          <w:szCs w:val="20"/>
          <w:lang w:val="es-CR"/>
        </w:rPr>
        <w:t xml:space="preserve">referidos </w:t>
      </w:r>
      <w:r w:rsidR="009A6D02" w:rsidRPr="00985211">
        <w:rPr>
          <w:rFonts w:ascii="Verdana" w:hAnsi="Verdana" w:cs="Verdana"/>
          <w:sz w:val="20"/>
          <w:szCs w:val="20"/>
          <w:lang w:val="es-CR"/>
        </w:rPr>
        <w:t xml:space="preserve">seis </w:t>
      </w:r>
      <w:r w:rsidR="00D620F7" w:rsidRPr="00985211">
        <w:rPr>
          <w:rFonts w:ascii="Verdana" w:hAnsi="Verdana" w:cs="Verdana"/>
          <w:sz w:val="20"/>
          <w:szCs w:val="20"/>
          <w:lang w:val="es-CR"/>
        </w:rPr>
        <w:t>beneficiarios de la presente medida (</w:t>
      </w:r>
      <w:r w:rsidR="00D620F7" w:rsidRPr="00985211">
        <w:rPr>
          <w:rFonts w:ascii="Verdana" w:hAnsi="Verdana" w:cs="Verdana"/>
          <w:i/>
          <w:sz w:val="20"/>
          <w:szCs w:val="20"/>
          <w:lang w:val="es-CR"/>
        </w:rPr>
        <w:t xml:space="preserve">supra </w:t>
      </w:r>
      <w:r w:rsidR="00D620F7" w:rsidRPr="00985211">
        <w:rPr>
          <w:rFonts w:ascii="Verdana" w:hAnsi="Verdana" w:cs="Verdana"/>
          <w:sz w:val="20"/>
          <w:szCs w:val="20"/>
          <w:lang w:val="es-CR"/>
        </w:rPr>
        <w:t xml:space="preserve">Considerando </w:t>
      </w:r>
      <w:r w:rsidR="001C2559">
        <w:rPr>
          <w:rFonts w:ascii="Verdana" w:hAnsi="Verdana" w:cs="Verdana"/>
          <w:sz w:val="20"/>
          <w:szCs w:val="20"/>
          <w:lang w:val="es-CR"/>
        </w:rPr>
        <w:t>25</w:t>
      </w:r>
      <w:r w:rsidR="00D620F7" w:rsidRPr="00985211">
        <w:rPr>
          <w:rFonts w:ascii="Verdana" w:hAnsi="Verdana" w:cs="Verdana"/>
          <w:sz w:val="20"/>
          <w:szCs w:val="20"/>
          <w:lang w:val="es-CR"/>
        </w:rPr>
        <w:t>)</w:t>
      </w:r>
      <w:r w:rsidRPr="00985211">
        <w:rPr>
          <w:rFonts w:ascii="Verdana" w:hAnsi="Verdana" w:cs="Verdana"/>
          <w:sz w:val="20"/>
          <w:szCs w:val="20"/>
          <w:lang w:val="es-CR"/>
        </w:rPr>
        <w:t>, la Corte constata</w:t>
      </w:r>
      <w:r w:rsidR="00D620F7" w:rsidRPr="00985211">
        <w:rPr>
          <w:rFonts w:ascii="Verdana" w:hAnsi="Verdana" w:cs="Verdana"/>
          <w:sz w:val="20"/>
          <w:szCs w:val="20"/>
          <w:lang w:val="es-CR"/>
        </w:rPr>
        <w:t>,</w:t>
      </w:r>
      <w:r w:rsidRPr="00985211">
        <w:rPr>
          <w:rFonts w:ascii="Verdana" w:hAnsi="Verdana" w:cs="Verdana"/>
          <w:sz w:val="20"/>
          <w:szCs w:val="20"/>
          <w:lang w:val="es-CR"/>
        </w:rPr>
        <w:t xml:space="preserve"> con base en la información aportada por las partes</w:t>
      </w:r>
      <w:r>
        <w:rPr>
          <w:rStyle w:val="Refdenotaalpie"/>
          <w:rFonts w:ascii="Verdana" w:hAnsi="Verdana" w:cs="Verdana"/>
          <w:sz w:val="20"/>
          <w:szCs w:val="20"/>
          <w:lang w:val="es-CR"/>
        </w:rPr>
        <w:footnoteReference w:id="58"/>
      </w:r>
      <w:r w:rsidR="00D620F7" w:rsidRPr="00985211">
        <w:rPr>
          <w:rFonts w:ascii="Verdana" w:hAnsi="Verdana" w:cs="Verdana"/>
          <w:sz w:val="20"/>
          <w:szCs w:val="20"/>
          <w:lang w:val="es-CR"/>
        </w:rPr>
        <w:t>,</w:t>
      </w:r>
      <w:r w:rsidRPr="00985211">
        <w:rPr>
          <w:rFonts w:ascii="Verdana" w:hAnsi="Verdana" w:cs="Verdana"/>
          <w:sz w:val="20"/>
          <w:szCs w:val="20"/>
          <w:lang w:val="es-CR"/>
        </w:rPr>
        <w:t xml:space="preserve"> que</w:t>
      </w:r>
      <w:r w:rsidR="00621FD7" w:rsidRPr="00985211">
        <w:rPr>
          <w:rFonts w:ascii="Verdana" w:hAnsi="Verdana" w:cs="Verdana"/>
          <w:sz w:val="20"/>
          <w:szCs w:val="20"/>
          <w:lang w:val="es-CR"/>
        </w:rPr>
        <w:t>: i)</w:t>
      </w:r>
      <w:r w:rsidRPr="00985211">
        <w:rPr>
          <w:rFonts w:ascii="Verdana" w:hAnsi="Verdana" w:cs="Verdana"/>
          <w:sz w:val="20"/>
          <w:szCs w:val="20"/>
          <w:lang w:val="es-CR"/>
        </w:rPr>
        <w:t xml:space="preserve"> Brenda Cantoral Contreras “ya concluy[ó] sus estudios superiores”, siendo Licenciada en Antropología por la Universidad Nacional Mayor de San Marcos</w:t>
      </w:r>
      <w:r w:rsidR="00924FC3">
        <w:rPr>
          <w:rStyle w:val="Refdenotaalpie"/>
          <w:rFonts w:ascii="Verdana" w:hAnsi="Verdana" w:cs="Verdana"/>
          <w:sz w:val="20"/>
          <w:szCs w:val="20"/>
          <w:lang w:val="es-CR"/>
        </w:rPr>
        <w:footnoteReference w:id="59"/>
      </w:r>
      <w:r w:rsidR="00621FD7" w:rsidRPr="00985211">
        <w:rPr>
          <w:rFonts w:ascii="Verdana" w:hAnsi="Verdana" w:cs="Verdana"/>
          <w:sz w:val="20"/>
          <w:szCs w:val="20"/>
          <w:lang w:val="es-CR"/>
        </w:rPr>
        <w:t>;</w:t>
      </w:r>
      <w:r w:rsidRPr="00985211">
        <w:rPr>
          <w:rFonts w:ascii="Verdana" w:hAnsi="Verdana" w:cs="Verdana"/>
          <w:sz w:val="20"/>
          <w:szCs w:val="20"/>
          <w:lang w:val="es-CR"/>
        </w:rPr>
        <w:t xml:space="preserve"> </w:t>
      </w:r>
      <w:r w:rsidR="00621FD7" w:rsidRPr="00985211">
        <w:rPr>
          <w:rFonts w:ascii="Verdana" w:hAnsi="Verdana" w:cs="Verdana"/>
          <w:sz w:val="20"/>
          <w:szCs w:val="20"/>
          <w:lang w:val="es-CR"/>
        </w:rPr>
        <w:t>ii)</w:t>
      </w:r>
      <w:r w:rsidR="00D620F7" w:rsidRPr="00985211">
        <w:rPr>
          <w:rFonts w:ascii="Verdana" w:hAnsi="Verdana" w:cs="Verdana"/>
          <w:sz w:val="20"/>
          <w:szCs w:val="20"/>
          <w:lang w:val="es-CR"/>
        </w:rPr>
        <w:t xml:space="preserve"> Pelagia Mélida Contreras </w:t>
      </w:r>
      <w:r w:rsidR="00B14F2D" w:rsidRPr="00985211">
        <w:rPr>
          <w:rFonts w:ascii="Verdana" w:hAnsi="Verdana" w:cs="Verdana"/>
          <w:sz w:val="20"/>
          <w:szCs w:val="20"/>
          <w:lang w:val="es-CR"/>
        </w:rPr>
        <w:t xml:space="preserve">también </w:t>
      </w:r>
      <w:r w:rsidR="005F564E" w:rsidRPr="00985211">
        <w:rPr>
          <w:rFonts w:ascii="Verdana" w:hAnsi="Verdana" w:cs="Verdana"/>
          <w:sz w:val="20"/>
          <w:szCs w:val="20"/>
          <w:lang w:val="es-CR"/>
        </w:rPr>
        <w:t>“concluy[ó] sus estudios superiores”, siendo “Licenciada en Administración por la Universidad Nacional San Luis de Gonzaga de Ica”</w:t>
      </w:r>
      <w:r w:rsidR="00782BE4">
        <w:rPr>
          <w:rStyle w:val="Refdenotaalpie"/>
          <w:rFonts w:ascii="Verdana" w:hAnsi="Verdana" w:cs="Verdana"/>
          <w:sz w:val="20"/>
          <w:szCs w:val="20"/>
          <w:lang w:val="es-CR"/>
        </w:rPr>
        <w:footnoteReference w:id="60"/>
      </w:r>
      <w:r w:rsidR="005F564E" w:rsidRPr="00985211">
        <w:rPr>
          <w:rFonts w:ascii="Verdana" w:hAnsi="Verdana" w:cs="Verdana"/>
          <w:sz w:val="20"/>
          <w:szCs w:val="20"/>
          <w:lang w:val="es-CR"/>
        </w:rPr>
        <w:t>; iii)</w:t>
      </w:r>
      <w:r w:rsidR="00621FD7" w:rsidRPr="00985211">
        <w:rPr>
          <w:rFonts w:ascii="Verdana" w:hAnsi="Verdana" w:cs="Verdana"/>
          <w:sz w:val="20"/>
          <w:szCs w:val="20"/>
          <w:lang w:val="es-CR"/>
        </w:rPr>
        <w:t xml:space="preserve"> </w:t>
      </w:r>
      <w:r w:rsidR="005719C6" w:rsidRPr="00985211">
        <w:rPr>
          <w:rFonts w:ascii="Verdana" w:hAnsi="Verdana" w:cs="Verdana"/>
          <w:sz w:val="20"/>
          <w:szCs w:val="20"/>
          <w:lang w:val="es-CR"/>
        </w:rPr>
        <w:t xml:space="preserve">respecto a Vanesa Cantoral Contreras, </w:t>
      </w:r>
      <w:r w:rsidR="00621FD7" w:rsidRPr="00985211">
        <w:rPr>
          <w:rFonts w:ascii="Verdana" w:hAnsi="Verdana" w:cs="Verdana"/>
          <w:sz w:val="20"/>
          <w:szCs w:val="20"/>
          <w:lang w:val="es-CR"/>
        </w:rPr>
        <w:t>si bien “se iniciaron gestiones para la exoneración del pago de costos en la Universidad Nacional Federico Villareal” para otorgar una “beca integral de estudios”, la misma fue “declarada improcedente”</w:t>
      </w:r>
      <w:r w:rsidR="00CC5B7C">
        <w:rPr>
          <w:rStyle w:val="Refdenotaalpie"/>
          <w:rFonts w:ascii="Verdana" w:hAnsi="Verdana" w:cs="Verdana"/>
          <w:sz w:val="20"/>
          <w:szCs w:val="20"/>
          <w:lang w:val="es-CR"/>
        </w:rPr>
        <w:footnoteReference w:id="61"/>
      </w:r>
      <w:r w:rsidR="00992186" w:rsidRPr="00985211">
        <w:rPr>
          <w:rFonts w:ascii="Verdana" w:hAnsi="Verdana" w:cs="Verdana"/>
          <w:sz w:val="20"/>
          <w:szCs w:val="20"/>
          <w:lang w:val="es-CR"/>
        </w:rPr>
        <w:t>;</w:t>
      </w:r>
      <w:r w:rsidR="00621FD7" w:rsidRPr="00985211">
        <w:rPr>
          <w:rFonts w:ascii="Verdana" w:hAnsi="Verdana" w:cs="Verdana"/>
          <w:sz w:val="20"/>
          <w:szCs w:val="20"/>
          <w:lang w:val="es-CR"/>
        </w:rPr>
        <w:t xml:space="preserve"> </w:t>
      </w:r>
      <w:r w:rsidR="00992186" w:rsidRPr="00985211">
        <w:rPr>
          <w:rFonts w:ascii="Verdana" w:hAnsi="Verdana" w:cs="Verdana"/>
          <w:sz w:val="20"/>
          <w:szCs w:val="20"/>
          <w:lang w:val="es-CR"/>
        </w:rPr>
        <w:t>iv</w:t>
      </w:r>
      <w:r w:rsidR="00621FD7" w:rsidRPr="00985211">
        <w:rPr>
          <w:rFonts w:ascii="Verdana" w:hAnsi="Verdana" w:cs="Verdana"/>
          <w:sz w:val="20"/>
          <w:szCs w:val="20"/>
          <w:lang w:val="es-CR"/>
        </w:rPr>
        <w:t xml:space="preserve">) Marco Antonio Cantoral Lozano ha manifestado </w:t>
      </w:r>
      <w:r w:rsidR="0033725D" w:rsidRPr="00985211">
        <w:rPr>
          <w:rFonts w:ascii="Verdana" w:hAnsi="Verdana" w:cs="Verdana"/>
          <w:sz w:val="20"/>
          <w:szCs w:val="20"/>
          <w:lang w:val="es-CR"/>
        </w:rPr>
        <w:t xml:space="preserve">su </w:t>
      </w:r>
      <w:r w:rsidR="00621FD7" w:rsidRPr="00985211">
        <w:rPr>
          <w:rFonts w:ascii="Verdana" w:hAnsi="Verdana" w:cs="Verdana"/>
          <w:sz w:val="20"/>
          <w:szCs w:val="20"/>
          <w:lang w:val="es-CR"/>
        </w:rPr>
        <w:t>“interés en realizar estudios de Administración en la Universidad Nacional San Luis Gonzaga”</w:t>
      </w:r>
      <w:r w:rsidR="0064650D">
        <w:rPr>
          <w:rStyle w:val="Refdenotaalpie"/>
          <w:rFonts w:ascii="Verdana" w:hAnsi="Verdana" w:cs="Verdana"/>
          <w:sz w:val="20"/>
          <w:szCs w:val="20"/>
          <w:lang w:val="es-CR"/>
        </w:rPr>
        <w:footnoteReference w:id="62"/>
      </w:r>
      <w:r w:rsidR="00992186" w:rsidRPr="00985211">
        <w:rPr>
          <w:rFonts w:ascii="Verdana" w:hAnsi="Verdana" w:cs="Verdana"/>
          <w:sz w:val="20"/>
          <w:szCs w:val="20"/>
          <w:lang w:val="es-CR"/>
        </w:rPr>
        <w:t>,</w:t>
      </w:r>
      <w:r w:rsidR="00431733" w:rsidRPr="00985211">
        <w:rPr>
          <w:rFonts w:ascii="Verdana" w:hAnsi="Verdana" w:cs="Verdana"/>
          <w:sz w:val="20"/>
          <w:szCs w:val="20"/>
          <w:lang w:val="es-CR"/>
        </w:rPr>
        <w:t xml:space="preserve"> </w:t>
      </w:r>
      <w:r w:rsidR="00992186" w:rsidRPr="00985211">
        <w:rPr>
          <w:rFonts w:ascii="Verdana" w:hAnsi="Verdana" w:cs="Verdana"/>
          <w:sz w:val="20"/>
          <w:szCs w:val="20"/>
          <w:lang w:val="es-CR"/>
        </w:rPr>
        <w:t>y v) Ulises Cantoral Huamaní, a enero de 2017, no “ha[bía] expresado su voluntad de hacer uso de esta medida de reparación”</w:t>
      </w:r>
      <w:r w:rsidR="005A5B84">
        <w:rPr>
          <w:rStyle w:val="Refdenotaalpie"/>
          <w:rFonts w:ascii="Verdana" w:hAnsi="Verdana" w:cs="Verdana"/>
          <w:sz w:val="20"/>
          <w:szCs w:val="20"/>
          <w:lang w:val="es-CR"/>
        </w:rPr>
        <w:footnoteReference w:id="63"/>
      </w:r>
      <w:r w:rsidR="00621FD7" w:rsidRPr="00985211">
        <w:rPr>
          <w:rFonts w:ascii="Verdana" w:hAnsi="Verdana" w:cs="Verdana"/>
          <w:sz w:val="20"/>
          <w:szCs w:val="20"/>
          <w:lang w:val="es-CR"/>
        </w:rPr>
        <w:t>.</w:t>
      </w:r>
      <w:r w:rsidR="00035307" w:rsidRPr="00985211">
        <w:rPr>
          <w:rFonts w:ascii="Verdana" w:hAnsi="Verdana" w:cs="Verdana"/>
          <w:sz w:val="20"/>
          <w:szCs w:val="20"/>
          <w:lang w:val="es-CR"/>
        </w:rPr>
        <w:t xml:space="preserve"> </w:t>
      </w:r>
      <w:r w:rsidR="00DB0EAE" w:rsidRPr="00985211">
        <w:rPr>
          <w:rFonts w:ascii="Verdana" w:hAnsi="Verdana" w:cs="Verdana"/>
          <w:sz w:val="20"/>
          <w:szCs w:val="20"/>
          <w:lang w:val="es-CR"/>
        </w:rPr>
        <w:t xml:space="preserve">Al respecto, la Corte observa que </w:t>
      </w:r>
      <w:r w:rsidR="0072229C" w:rsidRPr="00985211">
        <w:rPr>
          <w:rFonts w:ascii="Verdana" w:hAnsi="Verdana" w:cs="Verdana"/>
          <w:sz w:val="20"/>
          <w:szCs w:val="20"/>
          <w:lang w:val="es-CR"/>
        </w:rPr>
        <w:t>el Estado no ha solicitado</w:t>
      </w:r>
      <w:r w:rsidR="00EA2506" w:rsidRPr="00985211">
        <w:rPr>
          <w:rFonts w:ascii="Verdana" w:hAnsi="Verdana" w:cs="Verdana"/>
          <w:sz w:val="20"/>
          <w:szCs w:val="20"/>
          <w:lang w:val="es-CR"/>
        </w:rPr>
        <w:t xml:space="preserve"> a esta Corte declarar el cumplimiento de la presente medida, a la vez que</w:t>
      </w:r>
      <w:r w:rsidR="0072229C" w:rsidRPr="00985211">
        <w:rPr>
          <w:rFonts w:ascii="Verdana" w:hAnsi="Verdana" w:cs="Verdana"/>
          <w:sz w:val="20"/>
          <w:szCs w:val="20"/>
          <w:lang w:val="es-CR"/>
        </w:rPr>
        <w:t xml:space="preserve"> </w:t>
      </w:r>
      <w:r w:rsidR="00DB0EAE" w:rsidRPr="00985211">
        <w:rPr>
          <w:rFonts w:ascii="Verdana" w:hAnsi="Verdana" w:cs="Verdana"/>
          <w:sz w:val="20"/>
          <w:szCs w:val="20"/>
          <w:lang w:val="es-CR"/>
        </w:rPr>
        <w:t>los representantes de las víctimas afirmaron que la presente medida “se encuentra aún pendiente de cumplimiento” debido a la “falta de respuesta a la solicitud de una beca a favor de Vanessa Cantoral Huamaní, Marco Antonio Cantoral Loz</w:t>
      </w:r>
      <w:r w:rsidR="00B605E1">
        <w:rPr>
          <w:rFonts w:ascii="Verdana" w:hAnsi="Verdana" w:cs="Verdana"/>
          <w:sz w:val="20"/>
          <w:szCs w:val="20"/>
          <w:lang w:val="es-CR"/>
        </w:rPr>
        <w:t>ano y Ronny Cantoral Contreras”.</w:t>
      </w:r>
      <w:r w:rsidR="00DB0EAE" w:rsidRPr="00985211">
        <w:rPr>
          <w:rFonts w:ascii="Verdana" w:hAnsi="Verdana" w:cs="Verdana"/>
          <w:sz w:val="20"/>
          <w:szCs w:val="20"/>
          <w:lang w:val="es-CR"/>
        </w:rPr>
        <w:t xml:space="preserve"> </w:t>
      </w:r>
      <w:r w:rsidR="00523D58">
        <w:rPr>
          <w:rFonts w:ascii="Verdana" w:hAnsi="Verdana" w:cs="Verdana"/>
          <w:sz w:val="20"/>
          <w:szCs w:val="20"/>
          <w:lang w:val="es-CR"/>
        </w:rPr>
        <w:t xml:space="preserve">Asimismo, los representantes </w:t>
      </w:r>
      <w:r w:rsidR="00985211" w:rsidRPr="00985211">
        <w:rPr>
          <w:rFonts w:ascii="Verdana" w:hAnsi="Verdana" w:cs="Verdana"/>
          <w:sz w:val="20"/>
          <w:szCs w:val="20"/>
          <w:lang w:val="es-CR"/>
        </w:rPr>
        <w:t>señalaron</w:t>
      </w:r>
      <w:r w:rsidR="00DB0EAE" w:rsidRPr="00985211">
        <w:rPr>
          <w:rFonts w:ascii="Verdana" w:hAnsi="Verdana" w:cs="Verdana"/>
          <w:sz w:val="20"/>
          <w:szCs w:val="20"/>
          <w:lang w:val="es-CR"/>
        </w:rPr>
        <w:t xml:space="preserve"> respecto a “Ulises Cantoral Huamani</w:t>
      </w:r>
      <w:r w:rsidR="00165CB6" w:rsidRPr="00985211">
        <w:rPr>
          <w:rFonts w:ascii="Verdana" w:hAnsi="Verdana" w:cs="Verdana"/>
          <w:sz w:val="20"/>
          <w:szCs w:val="20"/>
          <w:lang w:val="es-CR"/>
        </w:rPr>
        <w:t>”</w:t>
      </w:r>
      <w:r w:rsidR="00DB0EAE" w:rsidRPr="00985211">
        <w:rPr>
          <w:rFonts w:ascii="Verdana" w:hAnsi="Verdana" w:cs="Verdana"/>
          <w:sz w:val="20"/>
          <w:szCs w:val="20"/>
          <w:lang w:val="es-CR"/>
        </w:rPr>
        <w:t xml:space="preserve">, que si bien </w:t>
      </w:r>
      <w:r w:rsidR="00165CB6" w:rsidRPr="00985211">
        <w:rPr>
          <w:rFonts w:ascii="Verdana" w:hAnsi="Verdana" w:cs="Verdana"/>
          <w:sz w:val="20"/>
          <w:szCs w:val="20"/>
          <w:lang w:val="es-CR"/>
        </w:rPr>
        <w:t>“</w:t>
      </w:r>
      <w:r w:rsidR="00F33DB4">
        <w:rPr>
          <w:rFonts w:ascii="Verdana" w:hAnsi="Verdana" w:cs="Verdana"/>
          <w:sz w:val="20"/>
          <w:szCs w:val="20"/>
          <w:lang w:val="es-CR"/>
        </w:rPr>
        <w:t>[</w:t>
      </w:r>
      <w:r w:rsidR="00165CB6" w:rsidRPr="00985211">
        <w:rPr>
          <w:rFonts w:ascii="Verdana" w:hAnsi="Verdana" w:cs="Verdana"/>
          <w:sz w:val="20"/>
          <w:szCs w:val="20"/>
          <w:lang w:val="es-CR"/>
        </w:rPr>
        <w:t>él</w:t>
      </w:r>
      <w:r w:rsidR="00F33DB4">
        <w:rPr>
          <w:rFonts w:ascii="Verdana" w:hAnsi="Verdana" w:cs="Verdana"/>
          <w:sz w:val="20"/>
          <w:szCs w:val="20"/>
          <w:lang w:val="es-CR"/>
        </w:rPr>
        <w:t>]</w:t>
      </w:r>
      <w:r w:rsidR="00165CB6" w:rsidRPr="00985211">
        <w:rPr>
          <w:rFonts w:ascii="Verdana" w:hAnsi="Verdana" w:cs="Verdana"/>
          <w:sz w:val="20"/>
          <w:szCs w:val="20"/>
          <w:lang w:val="es-CR"/>
        </w:rPr>
        <w:t xml:space="preserve"> </w:t>
      </w:r>
      <w:r w:rsidR="00DB0EAE" w:rsidRPr="00985211">
        <w:rPr>
          <w:rFonts w:ascii="Verdana" w:hAnsi="Verdana" w:cs="Verdana"/>
          <w:sz w:val="20"/>
          <w:szCs w:val="20"/>
          <w:lang w:val="es-CR"/>
        </w:rPr>
        <w:t xml:space="preserve">aún no ha expresado su voluntad de hacer uso de esta medida de reparación, […] el Estado debe llevar a cabo las acciones necesarias a fin de asegurar </w:t>
      </w:r>
      <w:r w:rsidR="0072229C" w:rsidRPr="00985211">
        <w:rPr>
          <w:rFonts w:ascii="Verdana" w:hAnsi="Verdana" w:cs="Verdana"/>
          <w:sz w:val="20"/>
          <w:szCs w:val="20"/>
          <w:lang w:val="es-CR"/>
        </w:rPr>
        <w:t>el cumplimiento de la presente reparación en el momento en que así lo soliciten”.</w:t>
      </w:r>
      <w:r w:rsidR="00985211" w:rsidRPr="00985211">
        <w:rPr>
          <w:rFonts w:ascii="Verdana" w:hAnsi="Verdana" w:cs="Verdana"/>
          <w:sz w:val="20"/>
          <w:szCs w:val="20"/>
          <w:lang w:val="es-CR"/>
        </w:rPr>
        <w:t xml:space="preserve"> Consideraron que “resulta necesario que el Estado convoque una reunión con los representantes y los mencionados familiares, junto con Ulises Cantoral Huamaní […] para que puedan ser debidamente informados por las autoridades competentes sobre los programas que permiten</w:t>
      </w:r>
      <w:r w:rsidR="00985211">
        <w:rPr>
          <w:rFonts w:ascii="Verdana" w:hAnsi="Verdana" w:cs="Verdana"/>
          <w:sz w:val="20"/>
          <w:szCs w:val="20"/>
          <w:lang w:val="es-CR"/>
        </w:rPr>
        <w:t xml:space="preserve"> </w:t>
      </w:r>
      <w:r w:rsidR="00985211" w:rsidRPr="00985211">
        <w:rPr>
          <w:rFonts w:ascii="Verdana" w:hAnsi="Verdana" w:cs="Verdana"/>
          <w:sz w:val="20"/>
          <w:szCs w:val="20"/>
          <w:lang w:val="es-CR"/>
        </w:rPr>
        <w:t>acceder de manera integral a una reparación en educación</w:t>
      </w:r>
      <w:r w:rsidR="00985211">
        <w:rPr>
          <w:rFonts w:ascii="Verdana" w:hAnsi="Verdana" w:cs="Verdana"/>
          <w:sz w:val="20"/>
          <w:szCs w:val="20"/>
          <w:lang w:val="es-CR"/>
        </w:rPr>
        <w:t>”</w:t>
      </w:r>
      <w:r w:rsidR="007C269F">
        <w:rPr>
          <w:rStyle w:val="Refdenotaalpie"/>
          <w:rFonts w:ascii="Verdana" w:hAnsi="Verdana" w:cs="Verdana"/>
          <w:sz w:val="20"/>
          <w:szCs w:val="20"/>
          <w:lang w:val="es-CR"/>
        </w:rPr>
        <w:footnoteReference w:id="64"/>
      </w:r>
      <w:r w:rsidR="00985211">
        <w:rPr>
          <w:rFonts w:ascii="Verdana" w:hAnsi="Verdana" w:cs="Verdana"/>
          <w:sz w:val="20"/>
          <w:szCs w:val="20"/>
          <w:lang w:val="es-CR"/>
        </w:rPr>
        <w:t>.</w:t>
      </w:r>
    </w:p>
    <w:p w:rsidR="00992186" w:rsidRPr="00534268" w:rsidRDefault="00992186" w:rsidP="00992186">
      <w:pPr>
        <w:autoSpaceDE w:val="0"/>
        <w:autoSpaceDN w:val="0"/>
        <w:adjustRightInd w:val="0"/>
        <w:spacing w:after="0" w:line="240" w:lineRule="auto"/>
        <w:jc w:val="both"/>
        <w:rPr>
          <w:rFonts w:ascii="Verdana" w:hAnsi="Verdana" w:cs="Verdana"/>
          <w:sz w:val="10"/>
          <w:szCs w:val="10"/>
          <w:lang w:val="es-CR"/>
        </w:rPr>
      </w:pPr>
    </w:p>
    <w:p w:rsidR="00C26D11" w:rsidRDefault="00D15961" w:rsidP="00C8662E">
      <w:pPr>
        <w:numPr>
          <w:ilvl w:val="0"/>
          <w:numId w:val="28"/>
        </w:numPr>
        <w:autoSpaceDE w:val="0"/>
        <w:autoSpaceDN w:val="0"/>
        <w:adjustRightInd w:val="0"/>
        <w:spacing w:after="0" w:line="240" w:lineRule="auto"/>
        <w:ind w:left="0" w:firstLine="0"/>
        <w:jc w:val="both"/>
        <w:rPr>
          <w:rFonts w:ascii="Verdana" w:hAnsi="Verdana" w:cs="Verdana"/>
          <w:sz w:val="20"/>
          <w:szCs w:val="20"/>
          <w:lang w:val="es-CR"/>
        </w:rPr>
      </w:pPr>
      <w:r>
        <w:rPr>
          <w:rFonts w:ascii="Verdana" w:hAnsi="Verdana" w:cs="Verdana"/>
          <w:sz w:val="20"/>
          <w:szCs w:val="20"/>
          <w:lang w:val="es-CR"/>
        </w:rPr>
        <w:t xml:space="preserve">En lo que respecta a las víctimas Brenda Cantoral Contreras y Pelagia Mélida Contreras Montoya, </w:t>
      </w:r>
      <w:r w:rsidR="00455579">
        <w:rPr>
          <w:rFonts w:ascii="Verdana" w:hAnsi="Verdana" w:cs="Verdana"/>
          <w:sz w:val="20"/>
          <w:szCs w:val="20"/>
          <w:lang w:val="es-CR"/>
        </w:rPr>
        <w:t xml:space="preserve">recién en el 2017 </w:t>
      </w:r>
      <w:r w:rsidR="00BE27F8">
        <w:rPr>
          <w:rFonts w:ascii="Verdana" w:hAnsi="Verdana" w:cs="Verdana"/>
          <w:sz w:val="20"/>
          <w:szCs w:val="20"/>
          <w:lang w:val="es-CR"/>
        </w:rPr>
        <w:t xml:space="preserve">los representantes </w:t>
      </w:r>
      <w:r w:rsidR="00455579">
        <w:rPr>
          <w:rFonts w:ascii="Verdana" w:hAnsi="Verdana" w:cs="Verdana"/>
          <w:sz w:val="20"/>
          <w:szCs w:val="20"/>
          <w:lang w:val="es-CR"/>
        </w:rPr>
        <w:t>señalaron que si bien ambas víctimas concluyeron “sus estudios superiores[, … las mismas] solo accedieron a la condonación de su curso de titulación profesional, lo que significó el último trecho de sus carreras universitarias”, y sostuvieron que “no se aplicó en su totalidad la reparación en educación para ellas”</w:t>
      </w:r>
      <w:r w:rsidR="00455579">
        <w:rPr>
          <w:rStyle w:val="Refdenotaalpie"/>
          <w:rFonts w:ascii="Verdana" w:hAnsi="Verdana" w:cs="Verdana"/>
          <w:sz w:val="20"/>
          <w:szCs w:val="20"/>
          <w:lang w:val="es-CR"/>
        </w:rPr>
        <w:footnoteReference w:id="65"/>
      </w:r>
      <w:r w:rsidR="00455579">
        <w:rPr>
          <w:rFonts w:ascii="Verdana" w:hAnsi="Verdana" w:cs="Verdana"/>
          <w:sz w:val="20"/>
          <w:szCs w:val="20"/>
          <w:lang w:val="es-CR"/>
        </w:rPr>
        <w:t xml:space="preserve">. </w:t>
      </w:r>
      <w:r w:rsidR="00B6102A">
        <w:rPr>
          <w:rFonts w:ascii="Verdana" w:hAnsi="Verdana" w:cs="Verdana"/>
          <w:sz w:val="20"/>
          <w:szCs w:val="20"/>
          <w:lang w:val="es-CR"/>
        </w:rPr>
        <w:t>No obstante ello, este Tribunal observa que p</w:t>
      </w:r>
      <w:r w:rsidR="00455579">
        <w:rPr>
          <w:rFonts w:ascii="Verdana" w:hAnsi="Verdana" w:cs="Verdana"/>
          <w:sz w:val="20"/>
          <w:szCs w:val="20"/>
          <w:lang w:val="es-CR"/>
        </w:rPr>
        <w:t>revio al 2017</w:t>
      </w:r>
      <w:r w:rsidR="00B6102A">
        <w:rPr>
          <w:rFonts w:ascii="Verdana" w:hAnsi="Verdana" w:cs="Verdana"/>
          <w:sz w:val="20"/>
          <w:szCs w:val="20"/>
          <w:lang w:val="es-CR"/>
        </w:rPr>
        <w:t>,</w:t>
      </w:r>
      <w:r w:rsidR="00455579">
        <w:rPr>
          <w:rFonts w:ascii="Verdana" w:hAnsi="Verdana" w:cs="Verdana"/>
          <w:sz w:val="20"/>
          <w:szCs w:val="20"/>
          <w:lang w:val="es-CR"/>
        </w:rPr>
        <w:t xml:space="preserve"> las representantes no presentaron objeciones respecto a la ejecución del cumplimiento de dicha medida a favor de las referidas dos víctimas</w:t>
      </w:r>
      <w:r w:rsidR="00B6102A">
        <w:rPr>
          <w:rStyle w:val="Refdenotaalpie"/>
          <w:rFonts w:ascii="Verdana" w:hAnsi="Verdana" w:cs="Verdana"/>
          <w:sz w:val="20"/>
          <w:szCs w:val="20"/>
          <w:lang w:val="es-CR"/>
        </w:rPr>
        <w:footnoteReference w:id="66"/>
      </w:r>
      <w:r w:rsidR="00B6102A">
        <w:rPr>
          <w:rFonts w:ascii="Verdana" w:hAnsi="Verdana" w:cs="Verdana"/>
          <w:sz w:val="20"/>
          <w:szCs w:val="20"/>
          <w:lang w:val="es-CR"/>
        </w:rPr>
        <w:t>, según ha sido informada por el Estado desde el año 2011</w:t>
      </w:r>
      <w:r w:rsidR="00B6102A">
        <w:rPr>
          <w:rStyle w:val="Refdenotaalpie"/>
          <w:rFonts w:ascii="Verdana" w:hAnsi="Verdana" w:cs="Verdana"/>
          <w:sz w:val="20"/>
          <w:szCs w:val="20"/>
          <w:lang w:val="es-CR"/>
        </w:rPr>
        <w:footnoteReference w:id="67"/>
      </w:r>
      <w:r w:rsidR="00455579">
        <w:rPr>
          <w:rFonts w:ascii="Verdana" w:hAnsi="Verdana" w:cs="Verdana"/>
          <w:sz w:val="20"/>
          <w:szCs w:val="20"/>
          <w:lang w:val="es-CR"/>
        </w:rPr>
        <w:t xml:space="preserve">. Cuando </w:t>
      </w:r>
      <w:r w:rsidR="004F6647">
        <w:rPr>
          <w:rFonts w:ascii="Verdana" w:hAnsi="Verdana" w:cs="Verdana"/>
          <w:sz w:val="20"/>
          <w:szCs w:val="20"/>
          <w:lang w:val="es-CR"/>
        </w:rPr>
        <w:t>el Estado señaló</w:t>
      </w:r>
      <w:r w:rsidR="00455579">
        <w:rPr>
          <w:rFonts w:ascii="Verdana" w:hAnsi="Verdana" w:cs="Verdana"/>
          <w:sz w:val="20"/>
          <w:szCs w:val="20"/>
          <w:lang w:val="es-CR"/>
        </w:rPr>
        <w:t>,</w:t>
      </w:r>
      <w:r w:rsidR="004F6647">
        <w:rPr>
          <w:rFonts w:ascii="Verdana" w:hAnsi="Verdana" w:cs="Verdana"/>
          <w:sz w:val="20"/>
          <w:szCs w:val="20"/>
          <w:lang w:val="es-CR"/>
        </w:rPr>
        <w:t xml:space="preserve"> en </w:t>
      </w:r>
      <w:r w:rsidR="00BF42A7">
        <w:rPr>
          <w:rFonts w:ascii="Verdana" w:hAnsi="Verdana" w:cs="Verdana"/>
          <w:sz w:val="20"/>
          <w:szCs w:val="20"/>
          <w:lang w:val="es-CR"/>
        </w:rPr>
        <w:t xml:space="preserve">agosto de 2011 y </w:t>
      </w:r>
      <w:r w:rsidR="004F6647">
        <w:rPr>
          <w:rFonts w:ascii="Verdana" w:hAnsi="Verdana" w:cs="Verdana"/>
          <w:sz w:val="20"/>
          <w:szCs w:val="20"/>
          <w:lang w:val="es-CR"/>
        </w:rPr>
        <w:t>octubre de 2012</w:t>
      </w:r>
      <w:r w:rsidR="00455579">
        <w:rPr>
          <w:rFonts w:ascii="Verdana" w:hAnsi="Verdana" w:cs="Verdana"/>
          <w:sz w:val="20"/>
          <w:szCs w:val="20"/>
          <w:lang w:val="es-CR"/>
        </w:rPr>
        <w:t>,</w:t>
      </w:r>
      <w:r w:rsidR="004F6647">
        <w:rPr>
          <w:rFonts w:ascii="Verdana" w:hAnsi="Verdana" w:cs="Verdana"/>
          <w:sz w:val="20"/>
          <w:szCs w:val="20"/>
          <w:lang w:val="es-CR"/>
        </w:rPr>
        <w:t xml:space="preserve"> las gestiones que habría realizado a solicitud de Brenda Cantoral Contreras y Pelagia Mélida Contreras Montoya</w:t>
      </w:r>
      <w:r w:rsidR="004F6647">
        <w:rPr>
          <w:rStyle w:val="Refdenotaalpie"/>
          <w:rFonts w:ascii="Verdana" w:hAnsi="Verdana" w:cs="Verdana"/>
          <w:sz w:val="20"/>
          <w:szCs w:val="20"/>
          <w:lang w:val="es-CR"/>
        </w:rPr>
        <w:footnoteReference w:id="68"/>
      </w:r>
      <w:r w:rsidR="004F6647">
        <w:rPr>
          <w:rFonts w:ascii="Verdana" w:hAnsi="Verdana" w:cs="Verdana"/>
          <w:sz w:val="20"/>
          <w:szCs w:val="20"/>
          <w:lang w:val="es-CR"/>
        </w:rPr>
        <w:t xml:space="preserve">, </w:t>
      </w:r>
      <w:r w:rsidR="00455579">
        <w:rPr>
          <w:rFonts w:ascii="Verdana" w:hAnsi="Verdana" w:cs="Verdana"/>
          <w:sz w:val="20"/>
          <w:szCs w:val="20"/>
          <w:lang w:val="es-CR"/>
        </w:rPr>
        <w:t xml:space="preserve">ello </w:t>
      </w:r>
      <w:r w:rsidR="004F6647">
        <w:rPr>
          <w:rFonts w:ascii="Verdana" w:hAnsi="Verdana" w:cs="Verdana"/>
          <w:sz w:val="20"/>
          <w:szCs w:val="20"/>
          <w:lang w:val="es-CR"/>
        </w:rPr>
        <w:t xml:space="preserve">fue reconocido en noviembre de </w:t>
      </w:r>
      <w:r w:rsidR="00F9579D">
        <w:rPr>
          <w:rFonts w:ascii="Verdana" w:hAnsi="Verdana" w:cs="Verdana"/>
          <w:sz w:val="20"/>
          <w:szCs w:val="20"/>
          <w:lang w:val="es-CR"/>
        </w:rPr>
        <w:t>2012</w:t>
      </w:r>
      <w:r w:rsidR="004F6647">
        <w:rPr>
          <w:rFonts w:ascii="Verdana" w:hAnsi="Verdana" w:cs="Verdana"/>
          <w:sz w:val="20"/>
          <w:szCs w:val="20"/>
          <w:lang w:val="es-CR"/>
        </w:rPr>
        <w:t xml:space="preserve"> por </w:t>
      </w:r>
      <w:r w:rsidR="00992186">
        <w:rPr>
          <w:rFonts w:ascii="Verdana" w:hAnsi="Verdana" w:cs="Verdana"/>
          <w:sz w:val="20"/>
          <w:szCs w:val="20"/>
          <w:lang w:val="es-CR"/>
        </w:rPr>
        <w:t>los representantes de las v</w:t>
      </w:r>
      <w:r w:rsidR="004F6647">
        <w:rPr>
          <w:rFonts w:ascii="Verdana" w:hAnsi="Verdana" w:cs="Verdana"/>
          <w:sz w:val="20"/>
          <w:szCs w:val="20"/>
          <w:lang w:val="es-CR"/>
        </w:rPr>
        <w:t xml:space="preserve">íctimas, </w:t>
      </w:r>
      <w:r w:rsidR="00AB66DD">
        <w:rPr>
          <w:rFonts w:ascii="Verdana" w:hAnsi="Verdana" w:cs="Verdana"/>
          <w:sz w:val="20"/>
          <w:szCs w:val="20"/>
          <w:lang w:val="es-CR"/>
        </w:rPr>
        <w:t>quienes incluso señalaron</w:t>
      </w:r>
      <w:r w:rsidR="004F6647">
        <w:rPr>
          <w:rFonts w:ascii="Verdana" w:hAnsi="Verdana" w:cs="Verdana"/>
          <w:sz w:val="20"/>
          <w:szCs w:val="20"/>
          <w:lang w:val="es-CR"/>
        </w:rPr>
        <w:t xml:space="preserve"> </w:t>
      </w:r>
      <w:r w:rsidR="00035307">
        <w:rPr>
          <w:rFonts w:ascii="Verdana" w:hAnsi="Verdana" w:cs="Verdana"/>
          <w:sz w:val="20"/>
          <w:szCs w:val="20"/>
          <w:lang w:val="es-CR"/>
        </w:rPr>
        <w:t>que el Estado “proporcion[ó] otros beneficios adicionales a los ya otorgados a favor de Brenda Cantoral y Pelagia Contreras […] lo que [dicha] representación saluda”</w:t>
      </w:r>
      <w:r w:rsidR="00621A84">
        <w:rPr>
          <w:rStyle w:val="Refdenotaalpie"/>
          <w:rFonts w:ascii="Verdana" w:hAnsi="Verdana" w:cs="Verdana"/>
          <w:sz w:val="20"/>
          <w:szCs w:val="20"/>
          <w:lang w:val="es-CR"/>
        </w:rPr>
        <w:footnoteReference w:id="69"/>
      </w:r>
      <w:r w:rsidR="00455579">
        <w:rPr>
          <w:rFonts w:ascii="Verdana" w:hAnsi="Verdana" w:cs="Verdana"/>
          <w:sz w:val="20"/>
          <w:szCs w:val="20"/>
          <w:lang w:val="es-CR"/>
        </w:rPr>
        <w:t>.</w:t>
      </w:r>
      <w:r w:rsidR="00AB66DD">
        <w:rPr>
          <w:rFonts w:ascii="Verdana" w:hAnsi="Verdana" w:cs="Verdana"/>
          <w:sz w:val="20"/>
          <w:szCs w:val="20"/>
          <w:lang w:val="es-CR"/>
        </w:rPr>
        <w:t xml:space="preserve"> </w:t>
      </w:r>
    </w:p>
    <w:p w:rsidR="00C26D11" w:rsidRPr="00C26D11" w:rsidRDefault="00C26D11" w:rsidP="00C26D11">
      <w:pPr>
        <w:autoSpaceDE w:val="0"/>
        <w:autoSpaceDN w:val="0"/>
        <w:adjustRightInd w:val="0"/>
        <w:spacing w:after="0" w:line="240" w:lineRule="auto"/>
        <w:jc w:val="both"/>
        <w:rPr>
          <w:rFonts w:ascii="Verdana" w:hAnsi="Verdana" w:cs="Verdana"/>
          <w:sz w:val="10"/>
          <w:szCs w:val="10"/>
          <w:lang w:val="es-CR"/>
        </w:rPr>
      </w:pPr>
    </w:p>
    <w:p w:rsidR="00AB66DD" w:rsidRDefault="00C26D11" w:rsidP="00C8662E">
      <w:pPr>
        <w:numPr>
          <w:ilvl w:val="0"/>
          <w:numId w:val="28"/>
        </w:numPr>
        <w:autoSpaceDE w:val="0"/>
        <w:autoSpaceDN w:val="0"/>
        <w:adjustRightInd w:val="0"/>
        <w:spacing w:after="0" w:line="240" w:lineRule="auto"/>
        <w:ind w:left="0" w:firstLine="0"/>
        <w:jc w:val="both"/>
        <w:rPr>
          <w:rFonts w:ascii="Verdana" w:hAnsi="Verdana" w:cs="Verdana"/>
          <w:sz w:val="20"/>
          <w:szCs w:val="20"/>
          <w:lang w:val="es-CR"/>
        </w:rPr>
      </w:pPr>
      <w:r>
        <w:rPr>
          <w:rFonts w:ascii="Verdana" w:hAnsi="Verdana" w:cs="Verdana"/>
          <w:sz w:val="20"/>
          <w:szCs w:val="20"/>
          <w:lang w:val="es-CR"/>
        </w:rPr>
        <w:t xml:space="preserve">Si bien esta Corte </w:t>
      </w:r>
      <w:r w:rsidRPr="00BF084A">
        <w:rPr>
          <w:rFonts w:ascii="Verdana" w:hAnsi="Verdana" w:cs="Verdana"/>
          <w:sz w:val="20"/>
          <w:szCs w:val="20"/>
          <w:lang w:val="es-CR"/>
        </w:rPr>
        <w:t>valora pos</w:t>
      </w:r>
      <w:r>
        <w:rPr>
          <w:rFonts w:ascii="Verdana" w:hAnsi="Verdana" w:cs="Verdana"/>
          <w:sz w:val="20"/>
          <w:szCs w:val="20"/>
          <w:lang w:val="es-CR"/>
        </w:rPr>
        <w:t xml:space="preserve">itivamente las gestiones realizadas por el Estado </w:t>
      </w:r>
      <w:r w:rsidRPr="00BF084A">
        <w:rPr>
          <w:rFonts w:ascii="Verdana" w:hAnsi="Verdana" w:cs="Verdana"/>
          <w:sz w:val="20"/>
          <w:szCs w:val="20"/>
          <w:lang w:val="es-CR"/>
        </w:rPr>
        <w:t>en relación con Brenda Cantoral Contreras y Pelagia Mélida Contreras</w:t>
      </w:r>
      <w:r>
        <w:rPr>
          <w:rFonts w:ascii="Verdana" w:hAnsi="Verdana" w:cs="Verdana"/>
          <w:sz w:val="20"/>
          <w:szCs w:val="20"/>
          <w:lang w:val="es-CR"/>
        </w:rPr>
        <w:t>, considera que la información proporcionada por las partes (</w:t>
      </w:r>
      <w:r>
        <w:rPr>
          <w:rFonts w:ascii="Verdana" w:hAnsi="Verdana" w:cs="Verdana"/>
          <w:i/>
          <w:sz w:val="20"/>
          <w:szCs w:val="20"/>
          <w:lang w:val="es-CR"/>
        </w:rPr>
        <w:t xml:space="preserve">supra </w:t>
      </w:r>
      <w:r>
        <w:rPr>
          <w:rFonts w:ascii="Verdana" w:hAnsi="Verdana" w:cs="Verdana"/>
          <w:sz w:val="20"/>
          <w:szCs w:val="20"/>
          <w:lang w:val="es-CR"/>
        </w:rPr>
        <w:t>Considerando</w:t>
      </w:r>
      <w:r w:rsidR="00792D97">
        <w:rPr>
          <w:rFonts w:ascii="Verdana" w:hAnsi="Verdana" w:cs="Verdana"/>
          <w:sz w:val="20"/>
          <w:szCs w:val="20"/>
          <w:lang w:val="es-CR"/>
        </w:rPr>
        <w:t>s</w:t>
      </w:r>
      <w:r>
        <w:rPr>
          <w:rFonts w:ascii="Verdana" w:hAnsi="Verdana" w:cs="Verdana"/>
          <w:sz w:val="20"/>
          <w:szCs w:val="20"/>
          <w:lang w:val="es-CR"/>
        </w:rPr>
        <w:t xml:space="preserve"> </w:t>
      </w:r>
      <w:r w:rsidR="00EA495B">
        <w:rPr>
          <w:rFonts w:ascii="Verdana" w:hAnsi="Verdana" w:cs="Verdana"/>
          <w:sz w:val="20"/>
          <w:szCs w:val="20"/>
          <w:lang w:val="es-CR"/>
        </w:rPr>
        <w:t>27</w:t>
      </w:r>
      <w:r w:rsidR="00792D97">
        <w:rPr>
          <w:rFonts w:ascii="Verdana" w:hAnsi="Verdana" w:cs="Verdana"/>
          <w:sz w:val="20"/>
          <w:szCs w:val="20"/>
          <w:lang w:val="es-CR"/>
        </w:rPr>
        <w:t xml:space="preserve"> y 28</w:t>
      </w:r>
      <w:r>
        <w:rPr>
          <w:rFonts w:ascii="Verdana" w:hAnsi="Verdana" w:cs="Verdana"/>
          <w:sz w:val="20"/>
          <w:szCs w:val="20"/>
          <w:lang w:val="es-CR"/>
        </w:rPr>
        <w:t>) no permite conocer con claridad si las referidas gestiones permitieron “</w:t>
      </w:r>
      <w:r w:rsidRPr="008D2D5F">
        <w:rPr>
          <w:rFonts w:ascii="Verdana" w:hAnsi="Verdana"/>
          <w:sz w:val="20"/>
          <w:szCs w:val="20"/>
          <w:lang w:val="es-CR"/>
        </w:rPr>
        <w:t>c</w:t>
      </w:r>
      <w:r>
        <w:rPr>
          <w:rFonts w:ascii="Verdana" w:hAnsi="Verdana"/>
          <w:sz w:val="20"/>
          <w:szCs w:val="20"/>
          <w:lang w:val="es-CR"/>
        </w:rPr>
        <w:t>ubr[ir]</w:t>
      </w:r>
      <w:r w:rsidRPr="008D2D5F">
        <w:rPr>
          <w:rFonts w:ascii="Verdana" w:hAnsi="Verdana"/>
          <w:sz w:val="20"/>
          <w:szCs w:val="20"/>
          <w:lang w:val="es-CR"/>
        </w:rPr>
        <w:t xml:space="preserve"> todos los costos de </w:t>
      </w:r>
      <w:r>
        <w:rPr>
          <w:rFonts w:ascii="Verdana" w:hAnsi="Verdana"/>
          <w:sz w:val="20"/>
          <w:szCs w:val="20"/>
          <w:lang w:val="es-CR"/>
        </w:rPr>
        <w:t>[la]</w:t>
      </w:r>
      <w:r w:rsidRPr="008D2D5F">
        <w:rPr>
          <w:rFonts w:ascii="Verdana" w:hAnsi="Verdana"/>
          <w:sz w:val="20"/>
          <w:szCs w:val="20"/>
          <w:lang w:val="es-CR"/>
        </w:rPr>
        <w:t xml:space="preserve"> educación</w:t>
      </w:r>
      <w:r>
        <w:rPr>
          <w:rFonts w:ascii="Verdana" w:hAnsi="Verdana"/>
          <w:sz w:val="20"/>
          <w:szCs w:val="20"/>
          <w:lang w:val="es-CR"/>
        </w:rPr>
        <w:t>”</w:t>
      </w:r>
      <w:r w:rsidRPr="008D2D5F">
        <w:rPr>
          <w:rFonts w:ascii="Verdana" w:hAnsi="Verdana"/>
          <w:sz w:val="20"/>
          <w:szCs w:val="20"/>
          <w:lang w:val="es-CR"/>
        </w:rPr>
        <w:t>,</w:t>
      </w:r>
      <w:r>
        <w:rPr>
          <w:rFonts w:ascii="Verdana" w:hAnsi="Verdana"/>
          <w:sz w:val="20"/>
          <w:szCs w:val="20"/>
          <w:lang w:val="es-CR"/>
        </w:rPr>
        <w:t xml:space="preserve"> de las referidas víctimas</w:t>
      </w:r>
      <w:r w:rsidRPr="008D2D5F">
        <w:rPr>
          <w:rFonts w:ascii="Verdana" w:hAnsi="Verdana"/>
          <w:sz w:val="20"/>
          <w:szCs w:val="20"/>
          <w:lang w:val="es-CR"/>
        </w:rPr>
        <w:t xml:space="preserve"> </w:t>
      </w:r>
      <w:r>
        <w:rPr>
          <w:rFonts w:ascii="Verdana" w:hAnsi="Verdana"/>
          <w:sz w:val="20"/>
          <w:szCs w:val="20"/>
          <w:lang w:val="es-CR"/>
        </w:rPr>
        <w:t>“</w:t>
      </w:r>
      <w:r w:rsidRPr="008D2D5F">
        <w:rPr>
          <w:rFonts w:ascii="Verdana" w:hAnsi="Verdana"/>
          <w:sz w:val="20"/>
          <w:szCs w:val="20"/>
          <w:lang w:val="es-CR"/>
        </w:rPr>
        <w:t xml:space="preserve">desde el momento en que </w:t>
      </w:r>
      <w:r>
        <w:rPr>
          <w:rFonts w:ascii="Verdana" w:hAnsi="Verdana"/>
          <w:sz w:val="20"/>
          <w:szCs w:val="20"/>
          <w:lang w:val="es-CR"/>
        </w:rPr>
        <w:t>[…]</w:t>
      </w:r>
      <w:r w:rsidR="00474EB9">
        <w:rPr>
          <w:rFonts w:ascii="Verdana" w:hAnsi="Verdana"/>
          <w:sz w:val="20"/>
          <w:szCs w:val="20"/>
          <w:lang w:val="es-CR"/>
        </w:rPr>
        <w:t xml:space="preserve"> </w:t>
      </w:r>
      <w:r w:rsidRPr="008D2D5F">
        <w:rPr>
          <w:rFonts w:ascii="Verdana" w:hAnsi="Verdana"/>
          <w:sz w:val="20"/>
          <w:szCs w:val="20"/>
          <w:lang w:val="es-CR"/>
        </w:rPr>
        <w:t>solicit</w:t>
      </w:r>
      <w:r>
        <w:rPr>
          <w:rFonts w:ascii="Verdana" w:hAnsi="Verdana"/>
          <w:sz w:val="20"/>
          <w:szCs w:val="20"/>
          <w:lang w:val="es-CR"/>
        </w:rPr>
        <w:t>[aro]</w:t>
      </w:r>
      <w:r w:rsidRPr="008D2D5F">
        <w:rPr>
          <w:rFonts w:ascii="Verdana" w:hAnsi="Verdana"/>
          <w:sz w:val="20"/>
          <w:szCs w:val="20"/>
          <w:lang w:val="es-CR"/>
        </w:rPr>
        <w:t xml:space="preserve">n </w:t>
      </w:r>
      <w:r>
        <w:rPr>
          <w:rFonts w:ascii="Verdana" w:hAnsi="Verdana"/>
          <w:sz w:val="20"/>
          <w:szCs w:val="20"/>
          <w:lang w:val="es-CR"/>
        </w:rPr>
        <w:t xml:space="preserve">[la beca] </w:t>
      </w:r>
      <w:r w:rsidRPr="008D2D5F">
        <w:rPr>
          <w:rFonts w:ascii="Verdana" w:hAnsi="Verdana"/>
          <w:sz w:val="20"/>
          <w:szCs w:val="20"/>
          <w:lang w:val="es-CR"/>
        </w:rPr>
        <w:t>al Estado hasta la conclusión de sus estudios</w:t>
      </w:r>
      <w:r>
        <w:rPr>
          <w:rFonts w:ascii="Verdana" w:hAnsi="Verdana" w:cs="Verdana"/>
          <w:sz w:val="20"/>
          <w:szCs w:val="20"/>
          <w:lang w:val="es-CR"/>
        </w:rPr>
        <w:t>”, o bien, si se sufragó únicamente una parte de los referidos costos. En razón de lo anterior, este Tribunal requiere al Estado</w:t>
      </w:r>
      <w:r w:rsidR="0026611F" w:rsidRPr="0026611F">
        <w:rPr>
          <w:rFonts w:ascii="Verdana" w:hAnsi="Verdana" w:cs="Verdana"/>
          <w:sz w:val="20"/>
          <w:szCs w:val="20"/>
          <w:lang w:val="es-CR"/>
        </w:rPr>
        <w:t xml:space="preserve"> </w:t>
      </w:r>
      <w:r w:rsidR="0026611F">
        <w:rPr>
          <w:rFonts w:ascii="Verdana" w:hAnsi="Verdana" w:cs="Verdana"/>
          <w:sz w:val="20"/>
          <w:szCs w:val="20"/>
          <w:lang w:val="es-CR"/>
        </w:rPr>
        <w:t>referirse</w:t>
      </w:r>
      <w:r>
        <w:rPr>
          <w:rFonts w:ascii="Verdana" w:hAnsi="Verdana" w:cs="Verdana"/>
          <w:sz w:val="20"/>
          <w:szCs w:val="20"/>
          <w:lang w:val="es-CR"/>
        </w:rPr>
        <w:t xml:space="preserve">, dentro del plazo establecido en el punto resolutivo </w:t>
      </w:r>
      <w:r w:rsidR="00EA495B">
        <w:rPr>
          <w:rFonts w:ascii="Verdana" w:hAnsi="Verdana" w:cs="Verdana"/>
          <w:sz w:val="20"/>
          <w:szCs w:val="20"/>
          <w:lang w:val="es-CR"/>
        </w:rPr>
        <w:t>4</w:t>
      </w:r>
      <w:r>
        <w:rPr>
          <w:rFonts w:ascii="Verdana" w:hAnsi="Verdana" w:cs="Verdana"/>
          <w:sz w:val="20"/>
          <w:szCs w:val="20"/>
          <w:lang w:val="es-CR"/>
        </w:rPr>
        <w:t xml:space="preserve"> de la presente Resolución, a la objeción presentada por los representantes en relación con el cumplimiento de la presente medida respecto de las mencionadas dos víctimas</w:t>
      </w:r>
      <w:r w:rsidR="00F2790A">
        <w:rPr>
          <w:rFonts w:ascii="Verdana" w:hAnsi="Verdana" w:cs="Verdana"/>
          <w:sz w:val="20"/>
          <w:szCs w:val="20"/>
          <w:lang w:val="es-CR"/>
        </w:rPr>
        <w:t xml:space="preserve">. </w:t>
      </w:r>
    </w:p>
    <w:p w:rsidR="00F2790A" w:rsidRPr="00534268" w:rsidRDefault="00F2790A" w:rsidP="00F2790A">
      <w:pPr>
        <w:autoSpaceDE w:val="0"/>
        <w:autoSpaceDN w:val="0"/>
        <w:adjustRightInd w:val="0"/>
        <w:spacing w:after="0" w:line="240" w:lineRule="auto"/>
        <w:jc w:val="both"/>
        <w:rPr>
          <w:rFonts w:ascii="Verdana" w:hAnsi="Verdana" w:cs="Verdana"/>
          <w:sz w:val="10"/>
          <w:szCs w:val="10"/>
          <w:lang w:val="es-CR"/>
        </w:rPr>
      </w:pPr>
    </w:p>
    <w:p w:rsidR="0026611F" w:rsidRDefault="00F65039" w:rsidP="00C8662E">
      <w:pPr>
        <w:numPr>
          <w:ilvl w:val="0"/>
          <w:numId w:val="28"/>
        </w:numPr>
        <w:autoSpaceDE w:val="0"/>
        <w:autoSpaceDN w:val="0"/>
        <w:adjustRightInd w:val="0"/>
        <w:spacing w:after="0" w:line="240" w:lineRule="auto"/>
        <w:ind w:left="0" w:firstLine="0"/>
        <w:jc w:val="both"/>
        <w:rPr>
          <w:rFonts w:ascii="Verdana" w:hAnsi="Verdana" w:cs="Verdana"/>
          <w:sz w:val="20"/>
          <w:szCs w:val="20"/>
          <w:lang w:val="es-CR"/>
        </w:rPr>
      </w:pPr>
      <w:r w:rsidRPr="00010BF7">
        <w:rPr>
          <w:rFonts w:ascii="Verdana" w:hAnsi="Verdana" w:cs="Verdana"/>
          <w:sz w:val="20"/>
          <w:szCs w:val="20"/>
          <w:lang w:val="es-CR"/>
        </w:rPr>
        <w:t xml:space="preserve">Por otra parte, los representantes de las víctimas señalaron </w:t>
      </w:r>
      <w:r>
        <w:rPr>
          <w:rFonts w:ascii="Verdana" w:hAnsi="Verdana" w:cs="Verdana"/>
          <w:sz w:val="20"/>
          <w:szCs w:val="20"/>
          <w:lang w:val="es-CR"/>
        </w:rPr>
        <w:t xml:space="preserve">en enero de 2017 </w:t>
      </w:r>
      <w:r w:rsidRPr="00010BF7">
        <w:rPr>
          <w:rFonts w:ascii="Verdana" w:hAnsi="Verdana" w:cs="Verdana"/>
          <w:sz w:val="20"/>
          <w:szCs w:val="20"/>
          <w:lang w:val="es-CR"/>
        </w:rPr>
        <w:t xml:space="preserve">que Vanessa y Ronny Cantoral Contreras “intentaron acceder [en el año 2014] al programa de beca especial para personas víctimas de la violencia ocurrida en el país durante el periodo 1980-2000 </w:t>
      </w:r>
      <w:r w:rsidR="00792D97">
        <w:rPr>
          <w:rFonts w:ascii="Verdana" w:hAnsi="Verdana" w:cs="Verdana"/>
          <w:sz w:val="20"/>
          <w:szCs w:val="20"/>
          <w:lang w:val="es-CR"/>
        </w:rPr>
        <w:t>[…]</w:t>
      </w:r>
      <w:r w:rsidRPr="00010BF7">
        <w:rPr>
          <w:rFonts w:ascii="Verdana" w:hAnsi="Verdana" w:cs="Verdana"/>
          <w:sz w:val="20"/>
          <w:szCs w:val="20"/>
          <w:lang w:val="es-CR"/>
        </w:rPr>
        <w:t xml:space="preserve"> Beca Especial Reparaciones en Educación”, otorgado por el Ministerio de Educación</w:t>
      </w:r>
      <w:r w:rsidRPr="00010BF7">
        <w:rPr>
          <w:rStyle w:val="Refdenotaalpie"/>
          <w:rFonts w:ascii="Verdana" w:hAnsi="Verdana" w:cs="Verdana"/>
          <w:sz w:val="20"/>
          <w:szCs w:val="20"/>
          <w:lang w:val="es-CR"/>
        </w:rPr>
        <w:footnoteReference w:id="70"/>
      </w:r>
      <w:r w:rsidRPr="00010BF7">
        <w:rPr>
          <w:rFonts w:ascii="Verdana" w:hAnsi="Verdana" w:cs="Verdana"/>
          <w:sz w:val="20"/>
          <w:szCs w:val="20"/>
          <w:lang w:val="es-CR"/>
        </w:rPr>
        <w:t xml:space="preserve">. No obstante ello, señalaron que el </w:t>
      </w:r>
      <w:r>
        <w:rPr>
          <w:rFonts w:ascii="Verdana" w:hAnsi="Verdana" w:cs="Verdana"/>
          <w:sz w:val="20"/>
          <w:szCs w:val="20"/>
          <w:lang w:val="es-CR"/>
        </w:rPr>
        <w:t>“</w:t>
      </w:r>
      <w:r w:rsidRPr="00010BF7">
        <w:rPr>
          <w:rFonts w:ascii="Verdana" w:hAnsi="Verdana" w:cs="Verdana"/>
          <w:sz w:val="20"/>
          <w:szCs w:val="20"/>
          <w:lang w:val="es-CR"/>
        </w:rPr>
        <w:t>artículo 7.8</w:t>
      </w:r>
      <w:r>
        <w:rPr>
          <w:rFonts w:ascii="Verdana" w:hAnsi="Verdana" w:cs="Verdana"/>
          <w:sz w:val="20"/>
          <w:szCs w:val="20"/>
          <w:lang w:val="es-CR"/>
        </w:rPr>
        <w:t>”</w:t>
      </w:r>
      <w:r w:rsidRPr="00010BF7">
        <w:rPr>
          <w:rFonts w:ascii="Verdana" w:hAnsi="Verdana" w:cs="Verdana"/>
          <w:sz w:val="20"/>
          <w:szCs w:val="20"/>
          <w:lang w:val="es-CR"/>
        </w:rPr>
        <w:t xml:space="preserve"> de las “bases el concurso” estableció</w:t>
      </w:r>
      <w:r w:rsidR="00792D97">
        <w:rPr>
          <w:rFonts w:ascii="Verdana" w:hAnsi="Verdana" w:cs="Verdana"/>
          <w:sz w:val="20"/>
          <w:szCs w:val="20"/>
          <w:lang w:val="es-CR"/>
        </w:rPr>
        <w:t>,</w:t>
      </w:r>
      <w:r w:rsidRPr="00010BF7">
        <w:rPr>
          <w:rFonts w:ascii="Verdana" w:hAnsi="Verdana" w:cs="Verdana"/>
          <w:sz w:val="20"/>
          <w:szCs w:val="20"/>
          <w:lang w:val="es-CR"/>
        </w:rPr>
        <w:t xml:space="preserve"> entre otros “[i]mpedimentos de [p]ostulación”, el “[h]aber recibido reparaciones por otras decisiones o políticas del Estado[,] sean leyes especiales </w:t>
      </w:r>
      <w:r>
        <w:rPr>
          <w:rFonts w:ascii="Verdana" w:hAnsi="Verdana" w:cs="Verdana"/>
          <w:sz w:val="20"/>
          <w:szCs w:val="20"/>
          <w:lang w:val="es-CR"/>
        </w:rPr>
        <w:t>[…]</w:t>
      </w:r>
      <w:r w:rsidRPr="00010BF7">
        <w:rPr>
          <w:rFonts w:ascii="Verdana" w:hAnsi="Verdana" w:cs="Verdana"/>
          <w:sz w:val="20"/>
          <w:szCs w:val="20"/>
          <w:lang w:val="es-CR"/>
        </w:rPr>
        <w:t xml:space="preserve"> o por cumplimiento de sentencias </w:t>
      </w:r>
      <w:r>
        <w:rPr>
          <w:rFonts w:ascii="Verdana" w:hAnsi="Verdana" w:cs="Verdana"/>
          <w:sz w:val="20"/>
          <w:szCs w:val="20"/>
          <w:lang w:val="es-CR"/>
        </w:rPr>
        <w:t xml:space="preserve">[…] </w:t>
      </w:r>
      <w:r w:rsidRPr="00010BF7">
        <w:rPr>
          <w:rFonts w:ascii="Verdana" w:hAnsi="Verdana" w:cs="Verdana"/>
          <w:sz w:val="20"/>
          <w:szCs w:val="20"/>
          <w:lang w:val="es-CR"/>
        </w:rPr>
        <w:t>provenientes de la Corte Interamericana de Derechos Humanos”. Los representantes manifestaron su desacuerdo con dicho impedimento y consideraron que “el Estado tuvo la oportunidad de utilizar dicho programa de becas para canalizar con efectividad la reparación ordenada por la Corte”</w:t>
      </w:r>
      <w:r w:rsidR="00792D97">
        <w:rPr>
          <w:rStyle w:val="Refdenotaalpie"/>
          <w:rFonts w:ascii="Verdana" w:hAnsi="Verdana" w:cs="Verdana"/>
          <w:sz w:val="20"/>
          <w:szCs w:val="20"/>
          <w:lang w:val="es-CR"/>
        </w:rPr>
        <w:footnoteReference w:id="71"/>
      </w:r>
      <w:r w:rsidRPr="00010BF7">
        <w:rPr>
          <w:rFonts w:ascii="Verdana" w:hAnsi="Verdana" w:cs="Verdana"/>
          <w:sz w:val="20"/>
          <w:szCs w:val="20"/>
          <w:lang w:val="es-CR"/>
        </w:rPr>
        <w:t xml:space="preserve">. </w:t>
      </w:r>
      <w:r>
        <w:rPr>
          <w:rFonts w:ascii="Verdana" w:hAnsi="Verdana" w:cs="Verdana"/>
          <w:sz w:val="20"/>
          <w:szCs w:val="20"/>
          <w:lang w:val="es-CR"/>
        </w:rPr>
        <w:t xml:space="preserve">El Perú no se refirió a lo afirmado por los representantes de las víctimas en relación con el referido programa de beca especial o respecto a si trató de satisfacer por otros medios la necesidad de otorgar becas a las víctimas </w:t>
      </w:r>
      <w:r w:rsidRPr="00010BF7">
        <w:rPr>
          <w:rFonts w:ascii="Verdana" w:hAnsi="Verdana" w:cs="Verdana"/>
          <w:sz w:val="20"/>
          <w:szCs w:val="20"/>
          <w:lang w:val="es-CR"/>
        </w:rPr>
        <w:t>Vanessa y Ronny Cantoral Contreras</w:t>
      </w:r>
      <w:r>
        <w:rPr>
          <w:rStyle w:val="Refdenotaalpie"/>
          <w:rFonts w:ascii="Verdana" w:hAnsi="Verdana" w:cs="Verdana"/>
          <w:sz w:val="20"/>
          <w:szCs w:val="20"/>
          <w:lang w:val="es-CR"/>
        </w:rPr>
        <w:footnoteReference w:id="72"/>
      </w:r>
      <w:r>
        <w:rPr>
          <w:rFonts w:ascii="Verdana" w:hAnsi="Verdana" w:cs="Verdana"/>
          <w:sz w:val="20"/>
          <w:szCs w:val="20"/>
          <w:lang w:val="es-CR"/>
        </w:rPr>
        <w:t>.</w:t>
      </w:r>
    </w:p>
    <w:p w:rsidR="0026611F" w:rsidRPr="0026611F" w:rsidRDefault="0026611F" w:rsidP="0026611F">
      <w:pPr>
        <w:autoSpaceDE w:val="0"/>
        <w:autoSpaceDN w:val="0"/>
        <w:adjustRightInd w:val="0"/>
        <w:spacing w:after="0" w:line="240" w:lineRule="auto"/>
        <w:jc w:val="both"/>
        <w:rPr>
          <w:rFonts w:ascii="Verdana" w:hAnsi="Verdana" w:cs="Verdana"/>
          <w:sz w:val="10"/>
          <w:szCs w:val="10"/>
          <w:lang w:val="es-CR"/>
        </w:rPr>
      </w:pPr>
    </w:p>
    <w:p w:rsidR="0026611F" w:rsidRPr="0026611F" w:rsidRDefault="00F95817" w:rsidP="00C8662E">
      <w:pPr>
        <w:numPr>
          <w:ilvl w:val="0"/>
          <w:numId w:val="28"/>
        </w:numPr>
        <w:autoSpaceDE w:val="0"/>
        <w:autoSpaceDN w:val="0"/>
        <w:adjustRightInd w:val="0"/>
        <w:spacing w:after="0" w:line="240" w:lineRule="auto"/>
        <w:ind w:left="0" w:firstLine="0"/>
        <w:jc w:val="both"/>
        <w:rPr>
          <w:rFonts w:ascii="Verdana" w:hAnsi="Verdana" w:cs="Verdana"/>
          <w:sz w:val="20"/>
          <w:szCs w:val="20"/>
          <w:lang w:val="es-CR"/>
        </w:rPr>
      </w:pPr>
      <w:r w:rsidRPr="0026611F">
        <w:rPr>
          <w:rFonts w:ascii="Verdana" w:hAnsi="Verdana" w:cs="Verdana"/>
          <w:sz w:val="20"/>
          <w:szCs w:val="20"/>
          <w:lang w:val="es-CR"/>
        </w:rPr>
        <w:t xml:space="preserve">Al respecto, si bien este Tribunal comparte la preocupación de que las mencionadas víctimas no hayan recibido una medida de satisfacción ordenada hace 11 años, también recuerda que en la Resolución de supervisión de cumplimiento de febrero de 2011 había señalado que en </w:t>
      </w:r>
      <w:r w:rsidRPr="0026611F">
        <w:rPr>
          <w:rFonts w:ascii="Verdana" w:hAnsi="Verdana"/>
          <w:sz w:val="20"/>
          <w:szCs w:val="20"/>
          <w:lang w:val="es-CR"/>
        </w:rPr>
        <w:t xml:space="preserve">la Sentencia del presente caso </w:t>
      </w:r>
      <w:r w:rsidRPr="0026611F">
        <w:rPr>
          <w:rFonts w:ascii="Verdana" w:hAnsi="Verdana" w:cs="Verdana"/>
          <w:sz w:val="20"/>
          <w:szCs w:val="20"/>
          <w:lang w:val="es-CR"/>
        </w:rPr>
        <w:t>“no [se] determinó el procedimiento por el cual se otorgaría la beca, sino que corresponde al Estado realizar todas las gestiones que correspondan en el ámbito interno que le permitan cumplir con esta medida de reparación”</w:t>
      </w:r>
      <w:r w:rsidRPr="00B346CE">
        <w:rPr>
          <w:rStyle w:val="Refdenotaalpie"/>
          <w:rFonts w:ascii="Verdana" w:hAnsi="Verdana" w:cs="Verdana"/>
          <w:sz w:val="20"/>
          <w:szCs w:val="20"/>
          <w:lang w:val="es-CR"/>
        </w:rPr>
        <w:footnoteReference w:id="73"/>
      </w:r>
      <w:r w:rsidRPr="0026611F">
        <w:rPr>
          <w:rFonts w:ascii="Verdana" w:hAnsi="Verdana" w:cs="Verdana"/>
          <w:sz w:val="20"/>
          <w:szCs w:val="20"/>
          <w:lang w:val="es-CR"/>
        </w:rPr>
        <w:t>. En este sentido, esta Corte no se manifestará sobre la pertinencia o no de los requisitos establecidos en las referidas bases del concurso en el cual los representantes afirmaron que no pudieron participar las víctimas Vanessa y Ronny Cantoral Contreras (</w:t>
      </w:r>
      <w:r w:rsidRPr="0026611F">
        <w:rPr>
          <w:rFonts w:ascii="Verdana" w:hAnsi="Verdana" w:cs="Verdana"/>
          <w:i/>
          <w:sz w:val="20"/>
          <w:szCs w:val="20"/>
          <w:lang w:val="es-CR"/>
        </w:rPr>
        <w:t xml:space="preserve">supra </w:t>
      </w:r>
      <w:r w:rsidRPr="0026611F">
        <w:rPr>
          <w:rFonts w:ascii="Verdana" w:hAnsi="Verdana" w:cs="Verdana"/>
          <w:sz w:val="20"/>
          <w:szCs w:val="20"/>
          <w:lang w:val="es-CR"/>
        </w:rPr>
        <w:t xml:space="preserve">Considerando </w:t>
      </w:r>
      <w:r w:rsidR="00772E56">
        <w:rPr>
          <w:rFonts w:ascii="Verdana" w:hAnsi="Verdana" w:cs="Verdana"/>
          <w:sz w:val="20"/>
          <w:szCs w:val="20"/>
          <w:lang w:val="es-CR"/>
        </w:rPr>
        <w:t>30</w:t>
      </w:r>
      <w:r w:rsidRPr="0026611F">
        <w:rPr>
          <w:rFonts w:ascii="Verdana" w:hAnsi="Verdana" w:cs="Verdana"/>
          <w:sz w:val="20"/>
          <w:szCs w:val="20"/>
          <w:lang w:val="es-CR"/>
        </w:rPr>
        <w:t>).</w:t>
      </w:r>
      <w:r w:rsidR="0026611F" w:rsidRPr="0026611F">
        <w:rPr>
          <w:rFonts w:ascii="Verdana" w:hAnsi="Verdana" w:cs="Verdana"/>
          <w:sz w:val="20"/>
          <w:szCs w:val="20"/>
          <w:lang w:val="es-CR"/>
        </w:rPr>
        <w:t xml:space="preserve"> No obstante ello, este Tribunal enfatiza la importancia y urgencia de que el Perú realice todas las gestiones posibles para dar cumplimiento a la presente medida; particularmente considerando que el señor Ronny Cantoral incluso ha sufragado su propia educación (</w:t>
      </w:r>
      <w:r w:rsidR="0026611F" w:rsidRPr="0026611F">
        <w:rPr>
          <w:rFonts w:ascii="Verdana" w:hAnsi="Verdana" w:cs="Verdana"/>
          <w:i/>
          <w:sz w:val="20"/>
          <w:szCs w:val="20"/>
          <w:lang w:val="es-CR"/>
        </w:rPr>
        <w:t xml:space="preserve">infra </w:t>
      </w:r>
      <w:r w:rsidR="0026611F" w:rsidRPr="0026611F">
        <w:rPr>
          <w:rFonts w:ascii="Verdana" w:hAnsi="Verdana" w:cs="Verdana"/>
          <w:sz w:val="20"/>
          <w:szCs w:val="20"/>
          <w:lang w:val="es-CR"/>
        </w:rPr>
        <w:t xml:space="preserve">Considerando </w:t>
      </w:r>
      <w:r w:rsidR="00772E56">
        <w:rPr>
          <w:rFonts w:ascii="Verdana" w:hAnsi="Verdana" w:cs="Verdana"/>
          <w:sz w:val="20"/>
          <w:szCs w:val="20"/>
          <w:lang w:val="es-CR"/>
        </w:rPr>
        <w:t>32</w:t>
      </w:r>
      <w:r w:rsidR="0026611F" w:rsidRPr="0026611F">
        <w:rPr>
          <w:rFonts w:ascii="Verdana" w:hAnsi="Verdana" w:cs="Verdana"/>
          <w:sz w:val="20"/>
          <w:szCs w:val="20"/>
          <w:lang w:val="es-CR"/>
        </w:rPr>
        <w:t>)</w:t>
      </w:r>
      <w:r w:rsidR="00110791">
        <w:rPr>
          <w:rFonts w:ascii="Verdana" w:hAnsi="Verdana" w:cs="Verdana"/>
          <w:sz w:val="20"/>
          <w:szCs w:val="20"/>
          <w:lang w:val="es-CR"/>
        </w:rPr>
        <w:t>.</w:t>
      </w:r>
    </w:p>
    <w:p w:rsidR="00F95817" w:rsidRPr="00F65039" w:rsidRDefault="00F95817" w:rsidP="00F65039">
      <w:pPr>
        <w:autoSpaceDE w:val="0"/>
        <w:autoSpaceDN w:val="0"/>
        <w:adjustRightInd w:val="0"/>
        <w:spacing w:after="0" w:line="240" w:lineRule="auto"/>
        <w:jc w:val="both"/>
        <w:rPr>
          <w:rFonts w:ascii="Verdana" w:hAnsi="Verdana" w:cs="Verdana"/>
          <w:sz w:val="10"/>
          <w:szCs w:val="10"/>
          <w:lang w:val="es-CR"/>
        </w:rPr>
      </w:pPr>
    </w:p>
    <w:p w:rsidR="006E0FC6" w:rsidRPr="00F95817" w:rsidRDefault="00F65039" w:rsidP="00C8662E">
      <w:pPr>
        <w:numPr>
          <w:ilvl w:val="0"/>
          <w:numId w:val="28"/>
        </w:numPr>
        <w:autoSpaceDE w:val="0"/>
        <w:autoSpaceDN w:val="0"/>
        <w:adjustRightInd w:val="0"/>
        <w:spacing w:after="0" w:line="240" w:lineRule="auto"/>
        <w:ind w:left="0" w:firstLine="0"/>
        <w:jc w:val="both"/>
        <w:rPr>
          <w:rFonts w:ascii="Verdana" w:hAnsi="Verdana" w:cs="Verdana"/>
          <w:sz w:val="20"/>
          <w:szCs w:val="20"/>
          <w:lang w:val="es-CR"/>
        </w:rPr>
      </w:pPr>
      <w:r>
        <w:rPr>
          <w:rFonts w:ascii="Verdana" w:hAnsi="Verdana" w:cs="Verdana"/>
          <w:sz w:val="20"/>
          <w:szCs w:val="20"/>
          <w:lang w:val="es-CR"/>
        </w:rPr>
        <w:t>En</w:t>
      </w:r>
      <w:r w:rsidR="00244715" w:rsidRPr="00117900">
        <w:rPr>
          <w:rFonts w:ascii="Verdana" w:hAnsi="Verdana" w:cs="Verdana"/>
          <w:sz w:val="20"/>
          <w:szCs w:val="20"/>
          <w:lang w:val="es-CR"/>
        </w:rPr>
        <w:t xml:space="preserve"> lo que </w:t>
      </w:r>
      <w:r w:rsidR="00276D5B">
        <w:rPr>
          <w:rFonts w:ascii="Verdana" w:hAnsi="Verdana" w:cs="Verdana"/>
          <w:sz w:val="20"/>
          <w:szCs w:val="20"/>
          <w:lang w:val="es-CR"/>
        </w:rPr>
        <w:t>refiere</w:t>
      </w:r>
      <w:r w:rsidR="00244715" w:rsidRPr="00117900">
        <w:rPr>
          <w:rFonts w:ascii="Verdana" w:hAnsi="Verdana" w:cs="Verdana"/>
          <w:sz w:val="20"/>
          <w:szCs w:val="20"/>
          <w:lang w:val="es-CR"/>
        </w:rPr>
        <w:t xml:space="preserve"> </w:t>
      </w:r>
      <w:r w:rsidR="00F95817">
        <w:rPr>
          <w:rFonts w:ascii="Verdana" w:hAnsi="Verdana" w:cs="Verdana"/>
          <w:sz w:val="20"/>
          <w:szCs w:val="20"/>
          <w:lang w:val="es-CR"/>
        </w:rPr>
        <w:t xml:space="preserve">específicamente </w:t>
      </w:r>
      <w:r w:rsidR="00244715" w:rsidRPr="00117900">
        <w:rPr>
          <w:rFonts w:ascii="Verdana" w:hAnsi="Verdana" w:cs="Verdana"/>
          <w:sz w:val="20"/>
          <w:szCs w:val="20"/>
          <w:lang w:val="es-CR"/>
        </w:rPr>
        <w:t>a la v</w:t>
      </w:r>
      <w:r w:rsidR="00244715">
        <w:rPr>
          <w:rFonts w:ascii="Verdana" w:hAnsi="Verdana" w:cs="Verdana"/>
          <w:sz w:val="20"/>
          <w:szCs w:val="20"/>
          <w:lang w:val="es-CR"/>
        </w:rPr>
        <w:t>íctima</w:t>
      </w:r>
      <w:r w:rsidR="005E3278" w:rsidRPr="00244715">
        <w:rPr>
          <w:rFonts w:ascii="Verdana" w:hAnsi="Verdana" w:cs="Verdana"/>
          <w:sz w:val="20"/>
          <w:szCs w:val="20"/>
          <w:lang w:val="es-CR"/>
        </w:rPr>
        <w:t xml:space="preserve"> </w:t>
      </w:r>
      <w:r w:rsidR="00244715">
        <w:rPr>
          <w:rFonts w:ascii="Verdana" w:hAnsi="Verdana" w:cs="Verdana"/>
          <w:sz w:val="20"/>
          <w:szCs w:val="20"/>
          <w:lang w:val="es-CR"/>
        </w:rPr>
        <w:t xml:space="preserve">Ronny Cantoral Contreras, </w:t>
      </w:r>
      <w:r>
        <w:rPr>
          <w:rFonts w:ascii="Verdana" w:hAnsi="Verdana" w:cs="Verdana"/>
          <w:sz w:val="20"/>
          <w:szCs w:val="20"/>
          <w:lang w:val="es-CR"/>
        </w:rPr>
        <w:t>esta Corte observa que</w:t>
      </w:r>
      <w:r w:rsidR="007E0648">
        <w:rPr>
          <w:rFonts w:ascii="Verdana" w:hAnsi="Verdana" w:cs="Verdana"/>
          <w:sz w:val="20"/>
          <w:szCs w:val="20"/>
          <w:lang w:val="es-CR"/>
        </w:rPr>
        <w:t xml:space="preserve"> el Perú indicó en diciembre de 2016 que “</w:t>
      </w:r>
      <w:r>
        <w:rPr>
          <w:rFonts w:ascii="Verdana" w:hAnsi="Verdana" w:cs="Verdana"/>
          <w:sz w:val="20"/>
          <w:szCs w:val="20"/>
          <w:lang w:val="es-CR"/>
        </w:rPr>
        <w:t>[no]</w:t>
      </w:r>
      <w:r w:rsidR="007E0648">
        <w:rPr>
          <w:rFonts w:ascii="Verdana" w:hAnsi="Verdana" w:cs="Verdana"/>
          <w:sz w:val="20"/>
          <w:szCs w:val="20"/>
          <w:lang w:val="es-CR"/>
        </w:rPr>
        <w:t xml:space="preserve"> existe algún dato sobre [el] deseo de hacer uso de la medida de reparación”</w:t>
      </w:r>
      <w:r>
        <w:rPr>
          <w:rFonts w:ascii="Verdana" w:hAnsi="Verdana" w:cs="Verdana"/>
          <w:sz w:val="20"/>
          <w:szCs w:val="20"/>
          <w:lang w:val="es-CR"/>
        </w:rPr>
        <w:t xml:space="preserve"> por parte de dicha víctima. Por su parte</w:t>
      </w:r>
      <w:r w:rsidR="007E0648">
        <w:rPr>
          <w:rFonts w:ascii="Verdana" w:hAnsi="Verdana" w:cs="Verdana"/>
          <w:sz w:val="20"/>
          <w:szCs w:val="20"/>
          <w:lang w:val="es-CR"/>
        </w:rPr>
        <w:t>, los representantes indicaron</w:t>
      </w:r>
      <w:r>
        <w:rPr>
          <w:rFonts w:ascii="Verdana" w:hAnsi="Verdana" w:cs="Verdana"/>
          <w:sz w:val="20"/>
          <w:szCs w:val="20"/>
          <w:lang w:val="es-CR"/>
        </w:rPr>
        <w:t xml:space="preserve"> </w:t>
      </w:r>
      <w:r w:rsidR="000329E1">
        <w:rPr>
          <w:rFonts w:ascii="Verdana" w:hAnsi="Verdana" w:cs="Verdana"/>
          <w:sz w:val="20"/>
          <w:szCs w:val="20"/>
          <w:lang w:val="es-CR"/>
        </w:rPr>
        <w:t>recién en</w:t>
      </w:r>
      <w:r>
        <w:rPr>
          <w:rFonts w:ascii="Verdana" w:hAnsi="Verdana" w:cs="Verdana"/>
          <w:sz w:val="20"/>
          <w:szCs w:val="20"/>
          <w:lang w:val="es-CR"/>
        </w:rPr>
        <w:t xml:space="preserve"> enero de 2017 que la referida víctima habría intentado tener acceso a una beca del Ministerio de Educación (</w:t>
      </w:r>
      <w:r>
        <w:rPr>
          <w:rFonts w:ascii="Verdana" w:hAnsi="Verdana" w:cs="Verdana"/>
          <w:i/>
          <w:sz w:val="20"/>
          <w:szCs w:val="20"/>
          <w:lang w:val="es-CR"/>
        </w:rPr>
        <w:t xml:space="preserve">supra </w:t>
      </w:r>
      <w:r>
        <w:rPr>
          <w:rFonts w:ascii="Verdana" w:hAnsi="Verdana" w:cs="Verdana"/>
          <w:sz w:val="20"/>
          <w:szCs w:val="20"/>
          <w:lang w:val="es-CR"/>
        </w:rPr>
        <w:t xml:space="preserve">Considerando </w:t>
      </w:r>
      <w:r w:rsidR="0066254C">
        <w:rPr>
          <w:rFonts w:ascii="Verdana" w:hAnsi="Verdana" w:cs="Verdana"/>
          <w:sz w:val="20"/>
          <w:szCs w:val="20"/>
          <w:lang w:val="es-CR"/>
        </w:rPr>
        <w:t>30</w:t>
      </w:r>
      <w:r>
        <w:rPr>
          <w:rFonts w:ascii="Verdana" w:hAnsi="Verdana" w:cs="Verdana"/>
          <w:sz w:val="20"/>
          <w:szCs w:val="20"/>
          <w:lang w:val="es-CR"/>
        </w:rPr>
        <w:t>)</w:t>
      </w:r>
      <w:r w:rsidR="007E0648">
        <w:rPr>
          <w:rFonts w:ascii="Verdana" w:hAnsi="Verdana" w:cs="Verdana"/>
          <w:sz w:val="20"/>
          <w:szCs w:val="20"/>
          <w:lang w:val="es-CR"/>
        </w:rPr>
        <w:t>,</w:t>
      </w:r>
      <w:r>
        <w:rPr>
          <w:rFonts w:ascii="Verdana" w:hAnsi="Verdana" w:cs="Verdana"/>
          <w:sz w:val="20"/>
          <w:szCs w:val="20"/>
          <w:lang w:val="es-CR"/>
        </w:rPr>
        <w:t xml:space="preserve"> sin señalar si esto fue comunicado al Estado con anterioridad, o bien, si se </w:t>
      </w:r>
      <w:r w:rsidR="00F95817">
        <w:rPr>
          <w:rFonts w:ascii="Verdana" w:hAnsi="Verdana" w:cs="Verdana"/>
          <w:sz w:val="20"/>
          <w:szCs w:val="20"/>
          <w:lang w:val="es-CR"/>
        </w:rPr>
        <w:t>comunicó</w:t>
      </w:r>
      <w:r>
        <w:rPr>
          <w:rFonts w:ascii="Verdana" w:hAnsi="Verdana" w:cs="Verdana"/>
          <w:sz w:val="20"/>
          <w:szCs w:val="20"/>
          <w:lang w:val="es-CR"/>
        </w:rPr>
        <w:t xml:space="preserve"> alguna otra solicitud </w:t>
      </w:r>
      <w:r w:rsidR="00F95817">
        <w:rPr>
          <w:rFonts w:ascii="Verdana" w:hAnsi="Verdana" w:cs="Verdana"/>
          <w:sz w:val="20"/>
          <w:szCs w:val="20"/>
          <w:lang w:val="es-CR"/>
        </w:rPr>
        <w:t>para</w:t>
      </w:r>
      <w:r>
        <w:rPr>
          <w:rFonts w:ascii="Verdana" w:hAnsi="Verdana" w:cs="Verdana"/>
          <w:sz w:val="20"/>
          <w:szCs w:val="20"/>
          <w:lang w:val="es-CR"/>
        </w:rPr>
        <w:t xml:space="preserve"> que Ronny Cantoral </w:t>
      </w:r>
      <w:r w:rsidR="00B6102A">
        <w:rPr>
          <w:rFonts w:ascii="Verdana" w:hAnsi="Verdana" w:cs="Verdana"/>
          <w:sz w:val="20"/>
          <w:szCs w:val="20"/>
          <w:lang w:val="es-CR"/>
        </w:rPr>
        <w:t>fuese beneficiario de</w:t>
      </w:r>
      <w:r>
        <w:rPr>
          <w:rFonts w:ascii="Verdana" w:hAnsi="Verdana" w:cs="Verdana"/>
          <w:sz w:val="20"/>
          <w:szCs w:val="20"/>
          <w:lang w:val="es-CR"/>
        </w:rPr>
        <w:t xml:space="preserve"> la presente reparación. En este sentido, los representantes únicamente </w:t>
      </w:r>
      <w:r w:rsidR="00B6102A">
        <w:rPr>
          <w:rFonts w:ascii="Verdana" w:hAnsi="Verdana" w:cs="Verdana"/>
          <w:sz w:val="20"/>
          <w:szCs w:val="20"/>
          <w:lang w:val="es-CR"/>
        </w:rPr>
        <w:t>indicaron</w:t>
      </w:r>
      <w:r w:rsidR="007E0648">
        <w:rPr>
          <w:rFonts w:ascii="Verdana" w:hAnsi="Verdana" w:cs="Verdana"/>
          <w:sz w:val="20"/>
          <w:szCs w:val="20"/>
          <w:lang w:val="es-CR"/>
        </w:rPr>
        <w:t xml:space="preserve"> que</w:t>
      </w:r>
      <w:r>
        <w:rPr>
          <w:rFonts w:ascii="Verdana" w:hAnsi="Verdana" w:cs="Verdana"/>
          <w:sz w:val="20"/>
          <w:szCs w:val="20"/>
          <w:lang w:val="es-CR"/>
        </w:rPr>
        <w:t xml:space="preserve"> tras la negativa de recibir la referida beca del Ministerio de Educación,</w:t>
      </w:r>
      <w:r w:rsidR="007E0648">
        <w:rPr>
          <w:rFonts w:ascii="Verdana" w:hAnsi="Verdana" w:cs="Verdana"/>
          <w:sz w:val="20"/>
          <w:szCs w:val="20"/>
          <w:lang w:val="es-CR"/>
        </w:rPr>
        <w:t xml:space="preserve"> dicha víctima “tuvo que iniciar estudios superiores subrogando él mismo los gastos propios de una educación superior”</w:t>
      </w:r>
      <w:r w:rsidR="00F305BF">
        <w:rPr>
          <w:rStyle w:val="Refdenotaalpie"/>
          <w:rFonts w:ascii="Verdana" w:hAnsi="Verdana" w:cs="Verdana"/>
          <w:sz w:val="20"/>
          <w:szCs w:val="20"/>
          <w:lang w:val="es-CR"/>
        </w:rPr>
        <w:footnoteReference w:id="74"/>
      </w:r>
      <w:r w:rsidR="00F95817">
        <w:rPr>
          <w:rFonts w:ascii="Verdana" w:hAnsi="Verdana" w:cs="Verdana"/>
          <w:sz w:val="20"/>
          <w:szCs w:val="20"/>
          <w:lang w:val="es-CR"/>
        </w:rPr>
        <w:t>.</w:t>
      </w:r>
      <w:r w:rsidR="007E0648">
        <w:rPr>
          <w:rFonts w:ascii="Verdana" w:hAnsi="Verdana" w:cs="Verdana"/>
          <w:sz w:val="20"/>
          <w:szCs w:val="20"/>
          <w:lang w:val="es-CR"/>
        </w:rPr>
        <w:t xml:space="preserve"> </w:t>
      </w:r>
      <w:r w:rsidR="00B6102A">
        <w:rPr>
          <w:rFonts w:ascii="Verdana" w:hAnsi="Verdana" w:cs="Verdana"/>
          <w:sz w:val="20"/>
          <w:szCs w:val="20"/>
          <w:lang w:val="es-CR"/>
        </w:rPr>
        <w:t>Al respecto, p</w:t>
      </w:r>
      <w:r w:rsidR="00F95817">
        <w:rPr>
          <w:rFonts w:ascii="Verdana" w:hAnsi="Verdana" w:cs="Verdana"/>
          <w:sz w:val="20"/>
          <w:szCs w:val="20"/>
          <w:lang w:val="es-CR"/>
        </w:rPr>
        <w:t>resentaron prueba documental que muestra</w:t>
      </w:r>
      <w:r w:rsidR="007E0648">
        <w:rPr>
          <w:rFonts w:ascii="Verdana" w:hAnsi="Verdana" w:cs="Verdana"/>
          <w:sz w:val="20"/>
          <w:szCs w:val="20"/>
          <w:lang w:val="es-CR"/>
        </w:rPr>
        <w:t xml:space="preserve"> que </w:t>
      </w:r>
      <w:r w:rsidR="00F95817">
        <w:rPr>
          <w:rFonts w:ascii="Verdana" w:hAnsi="Verdana" w:cs="Verdana"/>
          <w:sz w:val="20"/>
          <w:szCs w:val="20"/>
          <w:lang w:val="es-CR"/>
        </w:rPr>
        <w:t>dicha víctima</w:t>
      </w:r>
      <w:r w:rsidR="007E0648">
        <w:rPr>
          <w:rFonts w:ascii="Verdana" w:hAnsi="Verdana" w:cs="Verdana"/>
          <w:sz w:val="20"/>
          <w:szCs w:val="20"/>
          <w:lang w:val="es-CR"/>
        </w:rPr>
        <w:t xml:space="preserve"> ingresó a la “Universidad Inca Garcilaso de la Vega” en el año 2015, encontrándose a enero de 2017 matriculado en la “Facultad de derecho y ciencias políticas”, así como que</w:t>
      </w:r>
      <w:r w:rsidR="00152E1C">
        <w:rPr>
          <w:rFonts w:ascii="Verdana" w:hAnsi="Verdana" w:cs="Verdana"/>
          <w:sz w:val="20"/>
          <w:szCs w:val="20"/>
          <w:lang w:val="es-CR"/>
        </w:rPr>
        <w:t xml:space="preserve"> entre octubre y enero de 2017</w:t>
      </w:r>
      <w:r w:rsidR="007E0648">
        <w:rPr>
          <w:rFonts w:ascii="Verdana" w:hAnsi="Verdana" w:cs="Verdana"/>
          <w:sz w:val="20"/>
          <w:szCs w:val="20"/>
          <w:lang w:val="es-CR"/>
        </w:rPr>
        <w:t xml:space="preserve"> dicha víctima realizó pagos a </w:t>
      </w:r>
      <w:r w:rsidR="006E2CEE">
        <w:rPr>
          <w:rFonts w:ascii="Verdana" w:hAnsi="Verdana" w:cs="Verdana"/>
          <w:sz w:val="20"/>
          <w:szCs w:val="20"/>
          <w:lang w:val="es-CR"/>
        </w:rPr>
        <w:t>la referida</w:t>
      </w:r>
      <w:r w:rsidR="007E0648">
        <w:rPr>
          <w:rFonts w:ascii="Verdana" w:hAnsi="Verdana" w:cs="Verdana"/>
          <w:sz w:val="20"/>
          <w:szCs w:val="20"/>
          <w:lang w:val="es-CR"/>
        </w:rPr>
        <w:t xml:space="preserve"> universidad</w:t>
      </w:r>
      <w:r w:rsidR="006E2CEE">
        <w:rPr>
          <w:rStyle w:val="Refdenotaalpie"/>
          <w:rFonts w:ascii="Verdana" w:hAnsi="Verdana" w:cs="Verdana"/>
          <w:sz w:val="20"/>
          <w:szCs w:val="20"/>
          <w:lang w:val="es-CR"/>
        </w:rPr>
        <w:footnoteReference w:id="75"/>
      </w:r>
      <w:r w:rsidR="007E0648">
        <w:rPr>
          <w:rFonts w:ascii="Verdana" w:hAnsi="Verdana" w:cs="Verdana"/>
          <w:sz w:val="20"/>
          <w:szCs w:val="20"/>
          <w:lang w:val="es-CR"/>
        </w:rPr>
        <w:t xml:space="preserve">. </w:t>
      </w:r>
      <w:r w:rsidR="00F95817">
        <w:rPr>
          <w:rFonts w:ascii="Verdana" w:hAnsi="Verdana" w:cs="Verdana"/>
          <w:sz w:val="20"/>
          <w:szCs w:val="20"/>
          <w:lang w:val="es-CR"/>
        </w:rPr>
        <w:t xml:space="preserve">El </w:t>
      </w:r>
      <w:r w:rsidR="00884D02" w:rsidRPr="00F95817">
        <w:rPr>
          <w:rFonts w:ascii="Verdana" w:hAnsi="Verdana" w:cs="Verdana"/>
          <w:sz w:val="20"/>
          <w:szCs w:val="20"/>
          <w:lang w:val="es-CR"/>
        </w:rPr>
        <w:t xml:space="preserve">Perú no se refirió a las mencionadas objeciones </w:t>
      </w:r>
      <w:r w:rsidR="00152E1C">
        <w:rPr>
          <w:rFonts w:ascii="Verdana" w:hAnsi="Verdana" w:cs="Verdana"/>
          <w:sz w:val="20"/>
          <w:szCs w:val="20"/>
          <w:lang w:val="es-CR"/>
        </w:rPr>
        <w:t>formuladas</w:t>
      </w:r>
      <w:r w:rsidR="00884D02" w:rsidRPr="00F95817">
        <w:rPr>
          <w:rFonts w:ascii="Verdana" w:hAnsi="Verdana" w:cs="Verdana"/>
          <w:sz w:val="20"/>
          <w:szCs w:val="20"/>
          <w:lang w:val="es-CR"/>
        </w:rPr>
        <w:t xml:space="preserve"> por los representantes en relación con la presente medida</w:t>
      </w:r>
      <w:r w:rsidR="00B6102A">
        <w:rPr>
          <w:rStyle w:val="Refdenotaalpie"/>
          <w:rFonts w:ascii="Verdana" w:hAnsi="Verdana" w:cs="Verdana"/>
          <w:sz w:val="20"/>
          <w:szCs w:val="20"/>
          <w:lang w:val="es-CR"/>
        </w:rPr>
        <w:footnoteReference w:id="76"/>
      </w:r>
      <w:r w:rsidRPr="00F95817">
        <w:rPr>
          <w:rFonts w:ascii="Verdana" w:hAnsi="Verdana" w:cs="Verdana"/>
          <w:sz w:val="20"/>
          <w:szCs w:val="20"/>
          <w:lang w:val="es-CR"/>
        </w:rPr>
        <w:t>, ni tampoco a si habría sido informado de la solicitud de la referida v</w:t>
      </w:r>
      <w:r w:rsidR="00152E1C">
        <w:rPr>
          <w:rFonts w:ascii="Verdana" w:hAnsi="Verdana" w:cs="Verdana"/>
          <w:sz w:val="20"/>
          <w:szCs w:val="20"/>
          <w:lang w:val="es-CR"/>
        </w:rPr>
        <w:t>íctima de</w:t>
      </w:r>
      <w:r w:rsidRPr="00F95817">
        <w:rPr>
          <w:rFonts w:ascii="Verdana" w:hAnsi="Verdana" w:cs="Verdana"/>
          <w:sz w:val="20"/>
          <w:szCs w:val="20"/>
          <w:lang w:val="es-CR"/>
        </w:rPr>
        <w:t xml:space="preserve"> recibir la presente reparación</w:t>
      </w:r>
      <w:r w:rsidR="00884D02" w:rsidRPr="00F95817">
        <w:rPr>
          <w:rFonts w:ascii="Verdana" w:hAnsi="Verdana" w:cs="Verdana"/>
          <w:sz w:val="20"/>
          <w:szCs w:val="20"/>
          <w:lang w:val="es-CR"/>
        </w:rPr>
        <w:t>.</w:t>
      </w:r>
    </w:p>
    <w:p w:rsidR="007C3913" w:rsidRDefault="007C3913" w:rsidP="007C3913">
      <w:pPr>
        <w:autoSpaceDE w:val="0"/>
        <w:autoSpaceDN w:val="0"/>
        <w:adjustRightInd w:val="0"/>
        <w:spacing w:after="0" w:line="240" w:lineRule="auto"/>
        <w:jc w:val="both"/>
        <w:rPr>
          <w:rFonts w:ascii="Verdana" w:hAnsi="Verdana" w:cs="Verdana"/>
          <w:sz w:val="10"/>
          <w:szCs w:val="10"/>
          <w:lang w:val="es-CR"/>
        </w:rPr>
      </w:pPr>
    </w:p>
    <w:p w:rsidR="004A176F" w:rsidRPr="00117900" w:rsidRDefault="004A176F" w:rsidP="00C8662E">
      <w:pPr>
        <w:numPr>
          <w:ilvl w:val="0"/>
          <w:numId w:val="28"/>
        </w:numPr>
        <w:autoSpaceDE w:val="0"/>
        <w:autoSpaceDN w:val="0"/>
        <w:adjustRightInd w:val="0"/>
        <w:spacing w:after="0" w:line="240" w:lineRule="auto"/>
        <w:ind w:left="0" w:firstLine="0"/>
        <w:jc w:val="both"/>
        <w:rPr>
          <w:rFonts w:ascii="Verdana" w:hAnsi="Verdana" w:cs="Verdana"/>
          <w:sz w:val="20"/>
          <w:szCs w:val="20"/>
          <w:lang w:val="es-CR"/>
        </w:rPr>
      </w:pPr>
      <w:r>
        <w:rPr>
          <w:rFonts w:ascii="Verdana" w:hAnsi="Verdana" w:cs="Verdana"/>
          <w:sz w:val="20"/>
          <w:szCs w:val="20"/>
          <w:lang w:val="es-CR"/>
        </w:rPr>
        <w:t xml:space="preserve">Por otra parte, en lo que respecta a las víctimas Vanessa Cantoral y Marco Antonio Cantoral Lozano, el Estado indicó en su informe de diciembre de 2016 que los representantes “no han realizado algún otro pedido distinto” en relación con Vanessa Cantoral, así como que “[es] necesario actualizar [la] información” respecto a lo manifestado por Marco Antonio Cantoral Lozano para realizar sus estudios y “confirmar si [dicho] interés persiste”. Sin embargo, los representantes señalaron en enero de 2017 que “no se realizó ‘algún otro pedido distinto’ […] precisamente [porque] se encontraban pendientes las respuestas por parte del Estado </w:t>
      </w:r>
      <w:r w:rsidR="007E0A0B">
        <w:rPr>
          <w:rFonts w:ascii="Verdana" w:hAnsi="Verdana" w:cs="Verdana"/>
          <w:sz w:val="20"/>
          <w:szCs w:val="20"/>
          <w:lang w:val="es-CR"/>
        </w:rPr>
        <w:t>en</w:t>
      </w:r>
      <w:r>
        <w:rPr>
          <w:rFonts w:ascii="Verdana" w:hAnsi="Verdana" w:cs="Verdana"/>
          <w:sz w:val="20"/>
          <w:szCs w:val="20"/>
          <w:lang w:val="es-CR"/>
        </w:rPr>
        <w:t xml:space="preserve"> ambos casos”</w:t>
      </w:r>
      <w:r>
        <w:rPr>
          <w:rStyle w:val="Refdenotaalpie"/>
          <w:rFonts w:ascii="Verdana" w:hAnsi="Verdana" w:cs="Verdana"/>
          <w:sz w:val="20"/>
          <w:szCs w:val="20"/>
          <w:lang w:val="es-CR"/>
        </w:rPr>
        <w:footnoteReference w:id="77"/>
      </w:r>
      <w:r>
        <w:rPr>
          <w:rFonts w:ascii="Verdana" w:hAnsi="Verdana" w:cs="Verdana"/>
          <w:sz w:val="20"/>
          <w:szCs w:val="20"/>
          <w:lang w:val="es-CR"/>
        </w:rPr>
        <w:t>.</w:t>
      </w:r>
    </w:p>
    <w:p w:rsidR="004A176F" w:rsidRPr="00534268" w:rsidRDefault="004A176F" w:rsidP="007C3913">
      <w:pPr>
        <w:autoSpaceDE w:val="0"/>
        <w:autoSpaceDN w:val="0"/>
        <w:adjustRightInd w:val="0"/>
        <w:spacing w:after="0" w:line="240" w:lineRule="auto"/>
        <w:jc w:val="both"/>
        <w:rPr>
          <w:rFonts w:ascii="Verdana" w:hAnsi="Verdana" w:cs="Verdana"/>
          <w:sz w:val="10"/>
          <w:szCs w:val="10"/>
          <w:lang w:val="es-CR"/>
        </w:rPr>
      </w:pPr>
    </w:p>
    <w:p w:rsidR="00120836" w:rsidRDefault="00BF084A" w:rsidP="00C8662E">
      <w:pPr>
        <w:numPr>
          <w:ilvl w:val="0"/>
          <w:numId w:val="28"/>
        </w:numPr>
        <w:autoSpaceDE w:val="0"/>
        <w:autoSpaceDN w:val="0"/>
        <w:adjustRightInd w:val="0"/>
        <w:spacing w:after="0" w:line="240" w:lineRule="auto"/>
        <w:ind w:left="0" w:firstLine="0"/>
        <w:jc w:val="both"/>
        <w:rPr>
          <w:rFonts w:ascii="Verdana" w:hAnsi="Verdana" w:cs="Verdana"/>
          <w:sz w:val="20"/>
          <w:szCs w:val="20"/>
          <w:lang w:val="es-CR"/>
        </w:rPr>
      </w:pPr>
      <w:r>
        <w:rPr>
          <w:rFonts w:ascii="Verdana" w:hAnsi="Verdana" w:cs="Verdana"/>
          <w:sz w:val="20"/>
          <w:szCs w:val="20"/>
          <w:lang w:val="es-CR"/>
        </w:rPr>
        <w:t>Considerando todo lo anterior, este Tribunal coincide con lo manifestado por los representantes y la Comisión Interamericana</w:t>
      </w:r>
      <w:r w:rsidR="00477A2B">
        <w:rPr>
          <w:rStyle w:val="Refdenotaalpie"/>
          <w:rFonts w:ascii="Verdana" w:hAnsi="Verdana" w:cs="Verdana"/>
          <w:sz w:val="20"/>
          <w:szCs w:val="20"/>
          <w:lang w:val="es-CR"/>
        </w:rPr>
        <w:footnoteReference w:id="78"/>
      </w:r>
      <w:r>
        <w:rPr>
          <w:rFonts w:ascii="Verdana" w:hAnsi="Verdana" w:cs="Verdana"/>
          <w:sz w:val="20"/>
          <w:szCs w:val="20"/>
          <w:lang w:val="es-CR"/>
        </w:rPr>
        <w:t xml:space="preserve"> </w:t>
      </w:r>
      <w:r w:rsidR="003C5369">
        <w:rPr>
          <w:rFonts w:ascii="Verdana" w:hAnsi="Verdana" w:cs="Verdana"/>
          <w:sz w:val="20"/>
          <w:szCs w:val="20"/>
          <w:lang w:val="es-CR"/>
        </w:rPr>
        <w:t>respecto de</w:t>
      </w:r>
      <w:r>
        <w:rPr>
          <w:rFonts w:ascii="Verdana" w:hAnsi="Verdana" w:cs="Verdana"/>
          <w:sz w:val="20"/>
          <w:szCs w:val="20"/>
          <w:lang w:val="es-CR"/>
        </w:rPr>
        <w:t xml:space="preserve"> la necesidad de que el Estado </w:t>
      </w:r>
      <w:r w:rsidR="00C40C3B">
        <w:rPr>
          <w:rFonts w:ascii="Verdana" w:hAnsi="Verdana" w:cs="Verdana"/>
          <w:sz w:val="20"/>
          <w:szCs w:val="20"/>
          <w:lang w:val="es-CR"/>
        </w:rPr>
        <w:t xml:space="preserve">efectúe, </w:t>
      </w:r>
      <w:r>
        <w:rPr>
          <w:rFonts w:ascii="Verdana" w:hAnsi="Verdana" w:cs="Verdana"/>
          <w:sz w:val="20"/>
          <w:szCs w:val="20"/>
          <w:lang w:val="es-CR"/>
        </w:rPr>
        <w:t>a la mayor brevedad posible</w:t>
      </w:r>
      <w:r w:rsidR="00C40C3B">
        <w:rPr>
          <w:rFonts w:ascii="Verdana" w:hAnsi="Verdana" w:cs="Verdana"/>
          <w:sz w:val="20"/>
          <w:szCs w:val="20"/>
          <w:lang w:val="es-CR"/>
        </w:rPr>
        <w:t>,</w:t>
      </w:r>
      <w:r>
        <w:rPr>
          <w:rFonts w:ascii="Verdana" w:hAnsi="Verdana" w:cs="Verdana"/>
          <w:sz w:val="20"/>
          <w:szCs w:val="20"/>
          <w:lang w:val="es-CR"/>
        </w:rPr>
        <w:t xml:space="preserve"> una reunión con las referidas</w:t>
      </w:r>
      <w:r w:rsidR="003C5369">
        <w:rPr>
          <w:rFonts w:ascii="Verdana" w:hAnsi="Verdana" w:cs="Verdana"/>
          <w:sz w:val="20"/>
          <w:szCs w:val="20"/>
          <w:lang w:val="es-CR"/>
        </w:rPr>
        <w:t xml:space="preserve"> víctimas y sus representantes para</w:t>
      </w:r>
      <w:r w:rsidR="00152E1C">
        <w:rPr>
          <w:rFonts w:ascii="Verdana" w:hAnsi="Verdana" w:cs="Verdana"/>
          <w:sz w:val="20"/>
          <w:szCs w:val="20"/>
          <w:lang w:val="es-CR"/>
        </w:rPr>
        <w:t xml:space="preserve"> que</w:t>
      </w:r>
      <w:r w:rsidR="003C5369" w:rsidRPr="003C5369">
        <w:rPr>
          <w:rFonts w:ascii="Verdana" w:hAnsi="Verdana" w:cs="Verdana"/>
          <w:sz w:val="20"/>
          <w:szCs w:val="20"/>
          <w:lang w:val="es-CR"/>
        </w:rPr>
        <w:t xml:space="preserve"> a través del diálogo busquen los mecanismos más eficaces para dar cumplimiento a la presente medida, tomando en consideración las situaciones individuales de cada una de las v</w:t>
      </w:r>
      <w:r w:rsidR="003C5369">
        <w:rPr>
          <w:rFonts w:ascii="Verdana" w:hAnsi="Verdana" w:cs="Verdana"/>
          <w:sz w:val="20"/>
          <w:szCs w:val="20"/>
          <w:lang w:val="es-CR"/>
        </w:rPr>
        <w:t>íctimas y si han tenido que sufragar ellas mismas sus estudios</w:t>
      </w:r>
      <w:r w:rsidR="003C5369" w:rsidRPr="003C5369">
        <w:rPr>
          <w:rFonts w:ascii="Verdana" w:hAnsi="Verdana" w:cs="Verdana"/>
          <w:sz w:val="20"/>
          <w:szCs w:val="20"/>
          <w:lang w:val="es-CR"/>
        </w:rPr>
        <w:t>.</w:t>
      </w:r>
      <w:r w:rsidR="003C5369">
        <w:rPr>
          <w:lang w:val="es-CR"/>
        </w:rPr>
        <w:t xml:space="preserve"> </w:t>
      </w:r>
      <w:r>
        <w:rPr>
          <w:rFonts w:ascii="Verdana" w:hAnsi="Verdana" w:cs="Verdana"/>
          <w:sz w:val="20"/>
          <w:szCs w:val="20"/>
          <w:lang w:val="es-CR"/>
        </w:rPr>
        <w:t>Asimismo, esta Corte considera importante que</w:t>
      </w:r>
      <w:r w:rsidR="000E20B7">
        <w:rPr>
          <w:rFonts w:ascii="Verdana" w:hAnsi="Verdana" w:cs="Verdana"/>
          <w:sz w:val="20"/>
          <w:szCs w:val="20"/>
          <w:lang w:val="es-CR"/>
        </w:rPr>
        <w:t xml:space="preserve"> </w:t>
      </w:r>
      <w:r w:rsidR="003C5369">
        <w:rPr>
          <w:rFonts w:ascii="Verdana" w:hAnsi="Verdana" w:cs="Verdana"/>
          <w:sz w:val="20"/>
          <w:szCs w:val="20"/>
          <w:lang w:val="es-CR"/>
        </w:rPr>
        <w:t>a</w:t>
      </w:r>
      <w:r w:rsidR="000E20B7">
        <w:rPr>
          <w:rFonts w:ascii="Verdana" w:hAnsi="Verdana" w:cs="Verdana"/>
          <w:sz w:val="20"/>
          <w:szCs w:val="20"/>
          <w:lang w:val="es-CR"/>
        </w:rPr>
        <w:t xml:space="preserve"> dicha reunión </w:t>
      </w:r>
      <w:r>
        <w:rPr>
          <w:rFonts w:ascii="Verdana" w:hAnsi="Verdana" w:cs="Verdana"/>
          <w:sz w:val="20"/>
          <w:szCs w:val="20"/>
          <w:lang w:val="es-CR"/>
        </w:rPr>
        <w:t xml:space="preserve">se convoque al señor Ulises Cantoral Huamaní y sus representantes, con el objetivo de </w:t>
      </w:r>
      <w:r w:rsidR="00BE75B3">
        <w:rPr>
          <w:rFonts w:ascii="Verdana" w:hAnsi="Verdana" w:cs="Verdana"/>
          <w:sz w:val="20"/>
          <w:szCs w:val="20"/>
          <w:lang w:val="es-CR"/>
        </w:rPr>
        <w:t xml:space="preserve">conocer </w:t>
      </w:r>
      <w:r w:rsidR="00BE75B3" w:rsidRPr="00BE75B3">
        <w:rPr>
          <w:rFonts w:ascii="Verdana" w:hAnsi="Verdana" w:cs="Verdana"/>
          <w:sz w:val="20"/>
          <w:szCs w:val="20"/>
          <w:lang w:val="es-CR"/>
        </w:rPr>
        <w:t xml:space="preserve">la voluntad de dicha víctima respecto a recibir la </w:t>
      </w:r>
      <w:r w:rsidR="003C5369">
        <w:rPr>
          <w:rFonts w:ascii="Verdana" w:hAnsi="Verdana" w:cs="Verdana"/>
          <w:sz w:val="20"/>
          <w:szCs w:val="20"/>
          <w:lang w:val="es-CR"/>
        </w:rPr>
        <w:t>presente medida</w:t>
      </w:r>
      <w:r w:rsidR="00BE75B3" w:rsidRPr="00BE75B3">
        <w:rPr>
          <w:rFonts w:ascii="Verdana" w:hAnsi="Verdana" w:cs="Verdana"/>
          <w:sz w:val="20"/>
          <w:szCs w:val="20"/>
          <w:lang w:val="es-CR"/>
        </w:rPr>
        <w:t xml:space="preserve"> ordenada por la Corte</w:t>
      </w:r>
      <w:r w:rsidR="00FD2D37">
        <w:rPr>
          <w:rFonts w:ascii="Verdana" w:hAnsi="Verdana" w:cs="Verdana"/>
          <w:sz w:val="20"/>
          <w:szCs w:val="20"/>
          <w:lang w:val="es-CR"/>
        </w:rPr>
        <w:t xml:space="preserve"> (</w:t>
      </w:r>
      <w:r w:rsidR="00FD2D37">
        <w:rPr>
          <w:rFonts w:ascii="Verdana" w:hAnsi="Verdana" w:cs="Verdana"/>
          <w:i/>
          <w:sz w:val="20"/>
          <w:szCs w:val="20"/>
          <w:lang w:val="es-CR"/>
        </w:rPr>
        <w:t xml:space="preserve">supra </w:t>
      </w:r>
      <w:r w:rsidR="00FD2D37">
        <w:rPr>
          <w:rFonts w:ascii="Verdana" w:hAnsi="Verdana" w:cs="Verdana"/>
          <w:sz w:val="20"/>
          <w:szCs w:val="20"/>
          <w:lang w:val="es-CR"/>
        </w:rPr>
        <w:t xml:space="preserve">Considerando </w:t>
      </w:r>
      <w:r w:rsidR="00EE4D34">
        <w:rPr>
          <w:rFonts w:ascii="Verdana" w:hAnsi="Verdana" w:cs="Verdana"/>
          <w:sz w:val="20"/>
          <w:szCs w:val="20"/>
          <w:lang w:val="es-CR"/>
        </w:rPr>
        <w:t>27</w:t>
      </w:r>
      <w:r w:rsidR="00FD2D37">
        <w:rPr>
          <w:rFonts w:ascii="Verdana" w:hAnsi="Verdana" w:cs="Verdana"/>
          <w:sz w:val="20"/>
          <w:szCs w:val="20"/>
          <w:lang w:val="es-CR"/>
        </w:rPr>
        <w:t>)</w:t>
      </w:r>
      <w:r w:rsidR="00BE75B3" w:rsidRPr="00BE75B3">
        <w:rPr>
          <w:rFonts w:ascii="Verdana" w:hAnsi="Verdana" w:cs="Verdana"/>
          <w:sz w:val="20"/>
          <w:szCs w:val="20"/>
          <w:lang w:val="es-CR"/>
        </w:rPr>
        <w:t>.</w:t>
      </w:r>
      <w:r w:rsidR="00BE75B3">
        <w:rPr>
          <w:rFonts w:ascii="Verdana" w:hAnsi="Verdana" w:cs="Verdana"/>
          <w:sz w:val="20"/>
          <w:szCs w:val="20"/>
          <w:lang w:val="es-CR"/>
        </w:rPr>
        <w:t xml:space="preserve"> </w:t>
      </w:r>
      <w:r w:rsidR="007B1D26">
        <w:rPr>
          <w:rFonts w:ascii="Verdana" w:hAnsi="Verdana" w:cs="Verdana"/>
          <w:sz w:val="20"/>
          <w:szCs w:val="20"/>
          <w:lang w:val="es-CR"/>
        </w:rPr>
        <w:t>Una vez realizada dicha reunión en los términos aquí señalados, el</w:t>
      </w:r>
      <w:r w:rsidR="00BE75B3">
        <w:rPr>
          <w:rFonts w:ascii="Verdana" w:hAnsi="Verdana" w:cs="Verdana"/>
          <w:sz w:val="20"/>
          <w:szCs w:val="20"/>
          <w:lang w:val="es-CR"/>
        </w:rPr>
        <w:t xml:space="preserve"> Estado </w:t>
      </w:r>
      <w:r w:rsidR="007B1D26">
        <w:rPr>
          <w:rFonts w:ascii="Verdana" w:hAnsi="Verdana" w:cs="Verdana"/>
          <w:sz w:val="20"/>
          <w:szCs w:val="20"/>
          <w:lang w:val="es-CR"/>
        </w:rPr>
        <w:t xml:space="preserve">deberá realizar a la brevedad todas las gestiones que correspondan en el ámbito interno para dar cumplimiento a esta medida y </w:t>
      </w:r>
      <w:r w:rsidR="00BE75B3">
        <w:rPr>
          <w:rFonts w:ascii="Verdana" w:hAnsi="Verdana" w:cs="Verdana"/>
          <w:sz w:val="20"/>
          <w:szCs w:val="20"/>
          <w:lang w:val="es-CR"/>
        </w:rPr>
        <w:t>deberá presentar, dentro del</w:t>
      </w:r>
      <w:r w:rsidR="00477A2B">
        <w:rPr>
          <w:rFonts w:ascii="Verdana" w:hAnsi="Verdana" w:cs="Verdana"/>
          <w:sz w:val="20"/>
          <w:szCs w:val="20"/>
          <w:lang w:val="es-CR"/>
        </w:rPr>
        <w:t xml:space="preserve"> plazo establecido en el punto </w:t>
      </w:r>
      <w:r w:rsidR="00BE75B3">
        <w:rPr>
          <w:rFonts w:ascii="Verdana" w:hAnsi="Verdana" w:cs="Verdana"/>
          <w:sz w:val="20"/>
          <w:szCs w:val="20"/>
          <w:lang w:val="es-CR"/>
        </w:rPr>
        <w:t xml:space="preserve">resolutivo </w:t>
      </w:r>
      <w:r w:rsidR="00EE4D34">
        <w:rPr>
          <w:rFonts w:ascii="Verdana" w:hAnsi="Verdana" w:cs="Verdana"/>
          <w:sz w:val="20"/>
          <w:szCs w:val="20"/>
          <w:lang w:val="es-CR"/>
        </w:rPr>
        <w:t>4</w:t>
      </w:r>
      <w:r w:rsidR="00BE75B3">
        <w:rPr>
          <w:rFonts w:ascii="Verdana" w:hAnsi="Verdana" w:cs="Verdana"/>
          <w:sz w:val="20"/>
          <w:szCs w:val="20"/>
          <w:lang w:val="es-CR"/>
        </w:rPr>
        <w:t xml:space="preserve"> de la presente Resolución, información detallada y actualizada respecto a </w:t>
      </w:r>
      <w:r w:rsidR="007B364E" w:rsidRPr="007B364E">
        <w:rPr>
          <w:rFonts w:ascii="Verdana" w:hAnsi="Verdana" w:cs="Verdana"/>
          <w:sz w:val="20"/>
          <w:szCs w:val="20"/>
          <w:lang w:val="es-CR"/>
        </w:rPr>
        <w:t xml:space="preserve">las gestiones </w:t>
      </w:r>
      <w:r w:rsidR="007B1D26">
        <w:rPr>
          <w:rFonts w:ascii="Verdana" w:hAnsi="Verdana" w:cs="Verdana"/>
          <w:sz w:val="20"/>
          <w:szCs w:val="20"/>
          <w:lang w:val="es-CR"/>
        </w:rPr>
        <w:t xml:space="preserve">realizadas </w:t>
      </w:r>
      <w:r w:rsidR="007B364E" w:rsidRPr="007B364E">
        <w:rPr>
          <w:rFonts w:ascii="Verdana" w:hAnsi="Verdana" w:cs="Verdana"/>
          <w:sz w:val="20"/>
          <w:szCs w:val="20"/>
          <w:lang w:val="es-CR"/>
        </w:rPr>
        <w:t>y los resultados obtenidos</w:t>
      </w:r>
      <w:r w:rsidR="007B364E">
        <w:rPr>
          <w:rFonts w:ascii="Verdana" w:hAnsi="Verdana" w:cs="Verdana"/>
          <w:sz w:val="20"/>
          <w:szCs w:val="20"/>
          <w:lang w:val="es-CR"/>
        </w:rPr>
        <w:t xml:space="preserve"> </w:t>
      </w:r>
      <w:r w:rsidR="007B1D26">
        <w:rPr>
          <w:rFonts w:ascii="Verdana" w:hAnsi="Verdana" w:cs="Verdana"/>
          <w:sz w:val="20"/>
          <w:szCs w:val="20"/>
          <w:lang w:val="es-CR"/>
        </w:rPr>
        <w:t>a tal efecto</w:t>
      </w:r>
      <w:r w:rsidR="00BE75B3">
        <w:rPr>
          <w:rFonts w:ascii="Verdana" w:hAnsi="Verdana" w:cs="Verdana"/>
          <w:sz w:val="20"/>
          <w:szCs w:val="20"/>
          <w:lang w:val="es-CR"/>
        </w:rPr>
        <w:t>.</w:t>
      </w:r>
    </w:p>
    <w:p w:rsidR="00120836" w:rsidRPr="003C5369" w:rsidRDefault="00120836" w:rsidP="00120836">
      <w:pPr>
        <w:autoSpaceDE w:val="0"/>
        <w:autoSpaceDN w:val="0"/>
        <w:adjustRightInd w:val="0"/>
        <w:spacing w:after="0" w:line="240" w:lineRule="auto"/>
        <w:jc w:val="both"/>
        <w:rPr>
          <w:rFonts w:ascii="Verdana" w:hAnsi="Verdana" w:cs="Verdana"/>
          <w:sz w:val="10"/>
          <w:szCs w:val="10"/>
          <w:lang w:val="es-CR"/>
        </w:rPr>
      </w:pPr>
    </w:p>
    <w:p w:rsidR="00BF084A" w:rsidRPr="002C174F" w:rsidRDefault="00120836" w:rsidP="00C8662E">
      <w:pPr>
        <w:numPr>
          <w:ilvl w:val="0"/>
          <w:numId w:val="28"/>
        </w:numPr>
        <w:autoSpaceDE w:val="0"/>
        <w:autoSpaceDN w:val="0"/>
        <w:adjustRightInd w:val="0"/>
        <w:spacing w:after="0" w:line="240" w:lineRule="auto"/>
        <w:ind w:left="0" w:firstLine="0"/>
        <w:jc w:val="both"/>
        <w:rPr>
          <w:rFonts w:ascii="Verdana" w:hAnsi="Verdana" w:cs="Verdana"/>
          <w:sz w:val="20"/>
          <w:szCs w:val="20"/>
          <w:lang w:val="es-CR"/>
        </w:rPr>
      </w:pPr>
      <w:r>
        <w:rPr>
          <w:rFonts w:ascii="Verdana" w:hAnsi="Verdana" w:cs="Verdana"/>
          <w:sz w:val="20"/>
          <w:szCs w:val="20"/>
          <w:lang w:val="es-CR"/>
        </w:rPr>
        <w:t xml:space="preserve">En virtud de las consideraciones </w:t>
      </w:r>
      <w:r w:rsidRPr="00120836">
        <w:rPr>
          <w:rFonts w:ascii="Verdana" w:hAnsi="Verdana" w:cs="Verdana"/>
          <w:sz w:val="20"/>
          <w:szCs w:val="20"/>
          <w:lang w:val="es-CR"/>
        </w:rPr>
        <w:t xml:space="preserve">previas, </w:t>
      </w:r>
      <w:r w:rsidRPr="00120836">
        <w:rPr>
          <w:rFonts w:ascii="Verdana" w:hAnsi="Verdana"/>
          <w:sz w:val="20"/>
          <w:lang w:val="es-MX"/>
        </w:rPr>
        <w:t xml:space="preserve">la Corte considera </w:t>
      </w:r>
      <w:r>
        <w:rPr>
          <w:rFonts w:ascii="Verdana" w:hAnsi="Verdana"/>
          <w:sz w:val="20"/>
          <w:lang w:val="es-MX"/>
        </w:rPr>
        <w:t xml:space="preserve">que </w:t>
      </w:r>
      <w:r w:rsidR="007B1D26">
        <w:rPr>
          <w:rFonts w:ascii="Verdana" w:hAnsi="Verdana"/>
          <w:sz w:val="20"/>
          <w:lang w:val="es-MX"/>
        </w:rPr>
        <w:t xml:space="preserve">se encuentra pendiente de cumplimiento </w:t>
      </w:r>
      <w:r>
        <w:rPr>
          <w:rFonts w:ascii="Verdana" w:hAnsi="Verdana"/>
          <w:sz w:val="20"/>
          <w:lang w:val="es-MX"/>
        </w:rPr>
        <w:t>la</w:t>
      </w:r>
      <w:r w:rsidRPr="00120836">
        <w:rPr>
          <w:rFonts w:ascii="Verdana" w:hAnsi="Verdana"/>
          <w:sz w:val="20"/>
          <w:lang w:val="es-MX"/>
        </w:rPr>
        <w:t xml:space="preserve"> </w:t>
      </w:r>
      <w:r w:rsidRPr="00120836">
        <w:rPr>
          <w:rFonts w:ascii="Verdana" w:hAnsi="Verdana" w:cs="Verdana"/>
          <w:sz w:val="20"/>
          <w:szCs w:val="20"/>
          <w:lang w:val="es-CR"/>
        </w:rPr>
        <w:t xml:space="preserve">medida de reparación relativa a otorgar una beca </w:t>
      </w:r>
      <w:r w:rsidR="00C40C3B">
        <w:rPr>
          <w:rFonts w:ascii="Verdana" w:hAnsi="Verdana" w:cs="Verdana"/>
          <w:sz w:val="20"/>
          <w:szCs w:val="20"/>
          <w:lang w:val="es-CR"/>
        </w:rPr>
        <w:t xml:space="preserve">para </w:t>
      </w:r>
      <w:r w:rsidRPr="00120836">
        <w:rPr>
          <w:rFonts w:ascii="Verdana" w:hAnsi="Verdana" w:cs="Verdana"/>
          <w:sz w:val="20"/>
          <w:szCs w:val="20"/>
          <w:lang w:val="es-CR"/>
        </w:rPr>
        <w:t>estudios superiores</w:t>
      </w:r>
      <w:r w:rsidR="00C40C3B">
        <w:rPr>
          <w:rFonts w:ascii="Verdana" w:hAnsi="Verdana" w:cs="Verdana"/>
          <w:sz w:val="20"/>
          <w:szCs w:val="20"/>
          <w:lang w:val="es-CR"/>
        </w:rPr>
        <w:t xml:space="preserve"> o estudios </w:t>
      </w:r>
      <w:r w:rsidRPr="00120836">
        <w:rPr>
          <w:rFonts w:ascii="Verdana" w:hAnsi="Verdana" w:cs="Verdana"/>
          <w:sz w:val="20"/>
          <w:szCs w:val="20"/>
          <w:lang w:val="es-CR"/>
        </w:rPr>
        <w:t>de capacitación o actualización</w:t>
      </w:r>
      <w:r w:rsidR="00C40C3B">
        <w:rPr>
          <w:rFonts w:ascii="Verdana" w:hAnsi="Verdana" w:cs="Verdana"/>
          <w:sz w:val="20"/>
          <w:szCs w:val="20"/>
          <w:lang w:val="es-CR"/>
        </w:rPr>
        <w:t xml:space="preserve"> profesional </w:t>
      </w:r>
      <w:r w:rsidRPr="00120836">
        <w:rPr>
          <w:rFonts w:ascii="Verdana" w:hAnsi="Verdana" w:cs="Verdana"/>
          <w:sz w:val="20"/>
          <w:szCs w:val="20"/>
          <w:lang w:val="es-CR"/>
        </w:rPr>
        <w:t>en beneficio de P</w:t>
      </w:r>
      <w:r w:rsidR="007B1D26">
        <w:rPr>
          <w:rFonts w:ascii="Verdana" w:hAnsi="Verdana" w:cs="Verdana"/>
          <w:sz w:val="20"/>
          <w:szCs w:val="20"/>
          <w:lang w:val="es-CR"/>
        </w:rPr>
        <w:t>elagia Mélida Contreras Montoya,</w:t>
      </w:r>
      <w:r>
        <w:rPr>
          <w:rFonts w:ascii="Verdana" w:hAnsi="Verdana" w:cs="Verdana"/>
          <w:sz w:val="20"/>
          <w:szCs w:val="20"/>
          <w:lang w:val="es-CR"/>
        </w:rPr>
        <w:t xml:space="preserve"> </w:t>
      </w:r>
      <w:r w:rsidRPr="00BF084A">
        <w:rPr>
          <w:rFonts w:ascii="Verdana" w:hAnsi="Verdana" w:cs="Verdana"/>
          <w:sz w:val="20"/>
          <w:szCs w:val="20"/>
          <w:lang w:val="es-CR"/>
        </w:rPr>
        <w:t>Brenda Cantoral Contreras</w:t>
      </w:r>
      <w:r>
        <w:rPr>
          <w:rFonts w:ascii="Verdana" w:hAnsi="Verdana" w:cs="Verdana"/>
          <w:sz w:val="20"/>
          <w:szCs w:val="20"/>
          <w:lang w:val="es-CR"/>
        </w:rPr>
        <w:t xml:space="preserve">, Marco Antonio Cantoral Lozano, Vanessa </w:t>
      </w:r>
      <w:r w:rsidR="00641F79">
        <w:rPr>
          <w:rFonts w:ascii="Verdana" w:hAnsi="Verdana" w:cs="Verdana"/>
          <w:sz w:val="20"/>
          <w:szCs w:val="20"/>
          <w:lang w:val="es-CR"/>
        </w:rPr>
        <w:t xml:space="preserve">Cantoral Contreras, </w:t>
      </w:r>
      <w:r>
        <w:rPr>
          <w:rFonts w:ascii="Verdana" w:hAnsi="Verdana" w:cs="Verdana"/>
          <w:sz w:val="20"/>
          <w:szCs w:val="20"/>
          <w:lang w:val="es-CR"/>
        </w:rPr>
        <w:t>Rony Cantoral Contreras</w:t>
      </w:r>
      <w:r w:rsidR="00641F79">
        <w:rPr>
          <w:rFonts w:ascii="Verdana" w:hAnsi="Verdana" w:cs="Verdana"/>
          <w:sz w:val="20"/>
          <w:szCs w:val="20"/>
          <w:lang w:val="es-CR"/>
        </w:rPr>
        <w:t xml:space="preserve"> y </w:t>
      </w:r>
      <w:r w:rsidR="00641F79" w:rsidRPr="00120836">
        <w:rPr>
          <w:rFonts w:ascii="Verdana" w:hAnsi="Verdana" w:cs="Verdana"/>
          <w:sz w:val="20"/>
          <w:szCs w:val="20"/>
          <w:lang w:val="es-CR"/>
        </w:rPr>
        <w:t>Ulises Cantoral Huamaní</w:t>
      </w:r>
      <w:r>
        <w:rPr>
          <w:rFonts w:ascii="Verdana" w:hAnsi="Verdana" w:cs="Verdana"/>
          <w:sz w:val="20"/>
          <w:szCs w:val="20"/>
          <w:lang w:val="es-CR"/>
        </w:rPr>
        <w:t xml:space="preserve">, según fue ordenado </w:t>
      </w:r>
      <w:r w:rsidRPr="00120836">
        <w:rPr>
          <w:rFonts w:ascii="Verdana" w:hAnsi="Verdana" w:cs="Verdana"/>
          <w:sz w:val="20"/>
          <w:szCs w:val="20"/>
          <w:lang w:val="es-CR"/>
        </w:rPr>
        <w:t>en el punto dispositivo décimo segundo</w:t>
      </w:r>
      <w:r>
        <w:rPr>
          <w:rFonts w:ascii="Verdana" w:hAnsi="Verdana" w:cs="Verdana"/>
          <w:sz w:val="20"/>
          <w:szCs w:val="20"/>
          <w:lang w:val="es-CR"/>
        </w:rPr>
        <w:t xml:space="preserve"> de la </w:t>
      </w:r>
      <w:r w:rsidRPr="002C174F">
        <w:rPr>
          <w:rFonts w:ascii="Verdana" w:hAnsi="Verdana" w:cs="Verdana"/>
          <w:sz w:val="20"/>
          <w:szCs w:val="20"/>
          <w:lang w:val="es-CR"/>
        </w:rPr>
        <w:t>Sentencia.</w:t>
      </w:r>
    </w:p>
    <w:p w:rsidR="00C07F55" w:rsidRPr="002C174F" w:rsidRDefault="00C07F55" w:rsidP="002C70F6">
      <w:pPr>
        <w:autoSpaceDE w:val="0"/>
        <w:autoSpaceDN w:val="0"/>
        <w:adjustRightInd w:val="0"/>
        <w:spacing w:after="0" w:line="240" w:lineRule="auto"/>
        <w:jc w:val="both"/>
        <w:rPr>
          <w:rFonts w:ascii="Verdana" w:hAnsi="Verdana" w:cs="Verdana"/>
          <w:sz w:val="14"/>
          <w:szCs w:val="14"/>
          <w:lang w:val="es-CR"/>
        </w:rPr>
      </w:pPr>
    </w:p>
    <w:p w:rsidR="001052AB" w:rsidRPr="002C174F" w:rsidRDefault="004267A8" w:rsidP="004B6FAC">
      <w:pPr>
        <w:pStyle w:val="Listavistosa-nfasis1"/>
        <w:numPr>
          <w:ilvl w:val="0"/>
          <w:numId w:val="7"/>
        </w:numPr>
        <w:spacing w:after="0" w:line="240" w:lineRule="auto"/>
        <w:contextualSpacing w:val="0"/>
        <w:jc w:val="both"/>
        <w:outlineLvl w:val="0"/>
        <w:rPr>
          <w:rFonts w:ascii="Verdana" w:hAnsi="Verdana"/>
          <w:b/>
          <w:i/>
          <w:sz w:val="20"/>
          <w:lang w:val="es-MX"/>
        </w:rPr>
      </w:pPr>
      <w:bookmarkStart w:id="9" w:name="_Toc5465085"/>
      <w:r w:rsidRPr="002C174F">
        <w:rPr>
          <w:rFonts w:ascii="Verdana" w:hAnsi="Verdana"/>
          <w:b/>
          <w:i/>
          <w:sz w:val="20"/>
          <w:lang w:val="es-MX"/>
        </w:rPr>
        <w:t>Tratamiento médico y psicológico</w:t>
      </w:r>
      <w:bookmarkEnd w:id="9"/>
    </w:p>
    <w:p w:rsidR="004A0F49" w:rsidRPr="002134FE" w:rsidRDefault="004A0F49" w:rsidP="002C70F6">
      <w:pPr>
        <w:pStyle w:val="Listavistosa-nfasis1"/>
        <w:spacing w:after="0" w:line="240" w:lineRule="auto"/>
        <w:ind w:left="0"/>
        <w:contextualSpacing w:val="0"/>
        <w:jc w:val="both"/>
        <w:rPr>
          <w:rFonts w:ascii="Verdana" w:hAnsi="Verdana"/>
          <w:sz w:val="14"/>
          <w:szCs w:val="14"/>
          <w:lang w:val="es-MX"/>
        </w:rPr>
      </w:pPr>
    </w:p>
    <w:p w:rsidR="004A0F49" w:rsidRPr="002134FE" w:rsidRDefault="004A0F49" w:rsidP="002C70F6">
      <w:pPr>
        <w:pStyle w:val="Listavistosa-nfasis1"/>
        <w:spacing w:after="0" w:line="240" w:lineRule="auto"/>
        <w:ind w:left="0" w:firstLine="450"/>
        <w:contextualSpacing w:val="0"/>
        <w:jc w:val="both"/>
        <w:rPr>
          <w:rFonts w:ascii="Verdana" w:hAnsi="Verdana"/>
          <w:i/>
          <w:sz w:val="20"/>
          <w:szCs w:val="20"/>
          <w:lang w:val="es-MX"/>
        </w:rPr>
      </w:pPr>
      <w:r w:rsidRPr="002134FE">
        <w:rPr>
          <w:rFonts w:ascii="Verdana" w:hAnsi="Verdana"/>
          <w:i/>
          <w:sz w:val="20"/>
          <w:szCs w:val="20"/>
          <w:lang w:val="es-MX"/>
        </w:rPr>
        <w:t>E.1 Medida ordenada por la Corte y supervisión reali</w:t>
      </w:r>
      <w:r w:rsidR="002C70F6" w:rsidRPr="002134FE">
        <w:rPr>
          <w:rFonts w:ascii="Verdana" w:hAnsi="Verdana"/>
          <w:i/>
          <w:sz w:val="20"/>
          <w:szCs w:val="20"/>
          <w:lang w:val="es-MX"/>
        </w:rPr>
        <w:t>zada en resoluciones anteriores</w:t>
      </w:r>
    </w:p>
    <w:p w:rsidR="002C70F6" w:rsidRPr="002134FE" w:rsidRDefault="002C70F6" w:rsidP="002134FE">
      <w:pPr>
        <w:pStyle w:val="Listavistosa-nfasis1"/>
        <w:spacing w:after="0" w:line="240" w:lineRule="auto"/>
        <w:ind w:left="0"/>
        <w:contextualSpacing w:val="0"/>
        <w:jc w:val="both"/>
        <w:rPr>
          <w:rFonts w:ascii="Verdana" w:hAnsi="Verdana"/>
          <w:sz w:val="14"/>
          <w:szCs w:val="14"/>
          <w:lang w:val="es-MX"/>
        </w:rPr>
      </w:pPr>
    </w:p>
    <w:p w:rsidR="002C70F6" w:rsidRPr="00DA63F6" w:rsidRDefault="004A0F49" w:rsidP="00C8662E">
      <w:pPr>
        <w:numPr>
          <w:ilvl w:val="0"/>
          <w:numId w:val="28"/>
        </w:numPr>
        <w:autoSpaceDE w:val="0"/>
        <w:autoSpaceDN w:val="0"/>
        <w:adjustRightInd w:val="0"/>
        <w:spacing w:after="0" w:line="240" w:lineRule="auto"/>
        <w:ind w:left="0" w:firstLine="0"/>
        <w:jc w:val="both"/>
        <w:rPr>
          <w:rFonts w:ascii="Verdana" w:hAnsi="Verdana" w:cs="Verdana"/>
          <w:sz w:val="20"/>
          <w:szCs w:val="20"/>
          <w:lang w:val="es-CR"/>
        </w:rPr>
      </w:pPr>
      <w:r w:rsidRPr="002134FE">
        <w:rPr>
          <w:rFonts w:ascii="Verdana" w:hAnsi="Verdana" w:cs="Verdana"/>
          <w:sz w:val="20"/>
          <w:szCs w:val="20"/>
          <w:lang w:val="es-CR"/>
        </w:rPr>
        <w:t xml:space="preserve">En el punto dispositivo décimo </w:t>
      </w:r>
      <w:r w:rsidR="005F2113" w:rsidRPr="002134FE">
        <w:rPr>
          <w:rFonts w:ascii="Verdana" w:hAnsi="Verdana" w:cs="Verdana"/>
          <w:sz w:val="20"/>
          <w:szCs w:val="20"/>
          <w:lang w:val="es-CR"/>
        </w:rPr>
        <w:t>tercero</w:t>
      </w:r>
      <w:r w:rsidRPr="002134FE">
        <w:rPr>
          <w:rFonts w:ascii="Verdana" w:hAnsi="Verdana" w:cs="Verdana"/>
          <w:sz w:val="20"/>
          <w:szCs w:val="20"/>
          <w:lang w:val="es-CR"/>
        </w:rPr>
        <w:t xml:space="preserve"> y en </w:t>
      </w:r>
      <w:r w:rsidR="00C93A31" w:rsidRPr="002134FE">
        <w:rPr>
          <w:rFonts w:ascii="Verdana" w:hAnsi="Verdana" w:cs="Verdana"/>
          <w:sz w:val="20"/>
          <w:szCs w:val="20"/>
          <w:lang w:val="es-CR"/>
        </w:rPr>
        <w:t xml:space="preserve">los párrafos </w:t>
      </w:r>
      <w:r w:rsidRPr="002134FE">
        <w:rPr>
          <w:rFonts w:ascii="Verdana" w:hAnsi="Verdana" w:cs="Verdana"/>
          <w:sz w:val="20"/>
          <w:szCs w:val="20"/>
          <w:lang w:val="es-CR"/>
        </w:rPr>
        <w:t>19</w:t>
      </w:r>
      <w:r w:rsidR="00C93A31" w:rsidRPr="002134FE">
        <w:rPr>
          <w:rFonts w:ascii="Verdana" w:hAnsi="Verdana" w:cs="Verdana"/>
          <w:sz w:val="20"/>
          <w:szCs w:val="20"/>
          <w:lang w:val="es-CR"/>
        </w:rPr>
        <w:t>5 a 202</w:t>
      </w:r>
      <w:r w:rsidR="009A24CA" w:rsidRPr="009A24CA">
        <w:rPr>
          <w:rFonts w:ascii="Verdana" w:hAnsi="Verdana" w:cs="Verdana"/>
          <w:sz w:val="20"/>
          <w:szCs w:val="20"/>
          <w:lang w:val="es-CR"/>
        </w:rPr>
        <w:t xml:space="preserve"> </w:t>
      </w:r>
      <w:r w:rsidR="009A24CA" w:rsidRPr="002134FE">
        <w:rPr>
          <w:rFonts w:ascii="Verdana" w:hAnsi="Verdana" w:cs="Verdana"/>
          <w:sz w:val="20"/>
          <w:szCs w:val="20"/>
          <w:lang w:val="es-CR"/>
        </w:rPr>
        <w:t>de la Sentencia</w:t>
      </w:r>
      <w:r w:rsidRPr="002134FE">
        <w:rPr>
          <w:rFonts w:ascii="Verdana" w:hAnsi="Verdana" w:cs="Verdana"/>
          <w:sz w:val="20"/>
          <w:szCs w:val="20"/>
          <w:lang w:val="es-CR"/>
        </w:rPr>
        <w:t xml:space="preserve">, la Corte dispuso </w:t>
      </w:r>
      <w:r w:rsidR="009442C4" w:rsidRPr="002134FE">
        <w:rPr>
          <w:rFonts w:ascii="Verdana" w:hAnsi="Verdana" w:cs="Verdana"/>
          <w:sz w:val="20"/>
          <w:szCs w:val="20"/>
          <w:lang w:val="es-CR"/>
        </w:rPr>
        <w:t>que el Estado</w:t>
      </w:r>
      <w:r w:rsidR="000329E1">
        <w:rPr>
          <w:rFonts w:ascii="Verdana" w:hAnsi="Verdana" w:cs="Verdana"/>
          <w:sz w:val="20"/>
          <w:szCs w:val="20"/>
          <w:lang w:val="es-CR"/>
        </w:rPr>
        <w:t xml:space="preserve"> debía “</w:t>
      </w:r>
      <w:r w:rsidR="000329E1" w:rsidRPr="000329E1">
        <w:rPr>
          <w:rFonts w:ascii="Verdana" w:hAnsi="Verdana" w:cs="Verdana"/>
          <w:sz w:val="20"/>
          <w:szCs w:val="20"/>
          <w:lang w:val="es-CR"/>
        </w:rPr>
        <w:t xml:space="preserve">brindar </w:t>
      </w:r>
      <w:r w:rsidR="00E678A4">
        <w:rPr>
          <w:rFonts w:ascii="Verdana" w:hAnsi="Verdana" w:cs="Verdana"/>
          <w:sz w:val="20"/>
          <w:szCs w:val="20"/>
          <w:lang w:val="es-CR"/>
        </w:rPr>
        <w:t xml:space="preserve">[…] </w:t>
      </w:r>
      <w:r w:rsidR="000329E1" w:rsidRPr="000329E1">
        <w:rPr>
          <w:rFonts w:ascii="Verdana" w:hAnsi="Verdana" w:cs="Verdana"/>
          <w:sz w:val="20"/>
          <w:szCs w:val="20"/>
          <w:lang w:val="es-CR"/>
        </w:rPr>
        <w:t>el tratamiento médico y psicológico requerido por los familiares declarados víctimas”, y “</w:t>
      </w:r>
      <w:r w:rsidR="009442C4" w:rsidRPr="002134FE">
        <w:rPr>
          <w:rFonts w:ascii="Verdana" w:hAnsi="Verdana" w:cs="Verdana"/>
          <w:sz w:val="20"/>
          <w:szCs w:val="20"/>
          <w:lang w:val="es-CR"/>
        </w:rPr>
        <w:t xml:space="preserve">posibilitar la continuación, por el tiempo que sea necesario, del tratamiento psicológico en las condiciones en que </w:t>
      </w:r>
      <w:r w:rsidR="009A24CA">
        <w:rPr>
          <w:rFonts w:ascii="Verdana" w:hAnsi="Verdana" w:cs="Verdana"/>
          <w:sz w:val="20"/>
          <w:szCs w:val="20"/>
          <w:lang w:val="es-CR"/>
        </w:rPr>
        <w:t>[lo]</w:t>
      </w:r>
      <w:r w:rsidR="009442C4" w:rsidRPr="002134FE">
        <w:rPr>
          <w:rFonts w:ascii="Verdana" w:hAnsi="Verdana" w:cs="Verdana"/>
          <w:sz w:val="20"/>
          <w:szCs w:val="20"/>
          <w:lang w:val="es-CR"/>
        </w:rPr>
        <w:t xml:space="preserve"> están recibiendo Vanessa y Brenda Cantoral Contreras</w:t>
      </w:r>
      <w:r w:rsidR="000329E1">
        <w:rPr>
          <w:rFonts w:ascii="Verdana" w:hAnsi="Verdana" w:cs="Verdana"/>
          <w:sz w:val="20"/>
          <w:szCs w:val="20"/>
          <w:lang w:val="es-CR"/>
        </w:rPr>
        <w:t>”</w:t>
      </w:r>
      <w:r w:rsidR="00FB781F">
        <w:rPr>
          <w:rStyle w:val="Refdenotaalpie"/>
          <w:rFonts w:ascii="Verdana" w:hAnsi="Verdana" w:cs="Verdana"/>
          <w:sz w:val="20"/>
          <w:szCs w:val="20"/>
          <w:lang w:val="es-CR"/>
        </w:rPr>
        <w:footnoteReference w:id="79"/>
      </w:r>
      <w:r w:rsidR="002C174F" w:rsidRPr="002134FE">
        <w:rPr>
          <w:rFonts w:ascii="Verdana" w:hAnsi="Verdana" w:cs="Verdana"/>
          <w:sz w:val="20"/>
          <w:szCs w:val="20"/>
          <w:lang w:val="es-CR"/>
        </w:rPr>
        <w:t>. El Tribunal determinó que “[e]</w:t>
      </w:r>
      <w:r w:rsidR="009442C4" w:rsidRPr="002134FE">
        <w:rPr>
          <w:rFonts w:ascii="Verdana" w:hAnsi="Verdana" w:cs="Verdana"/>
          <w:sz w:val="20"/>
          <w:szCs w:val="20"/>
          <w:lang w:val="es-CR"/>
        </w:rPr>
        <w:t>l tratamiento médico de salud física debe brindarse por personal e instituciones especializadas en la atención de los problemas de salud física y mental que presenten tales personas que aseguren que se proporcione el tratamiento más adecuado y efectivo</w:t>
      </w:r>
      <w:r w:rsidR="002C174F" w:rsidRPr="002134FE">
        <w:rPr>
          <w:rFonts w:ascii="Verdana" w:hAnsi="Verdana" w:cs="Verdana"/>
          <w:sz w:val="20"/>
          <w:szCs w:val="20"/>
          <w:lang w:val="es-CR"/>
        </w:rPr>
        <w:t>”</w:t>
      </w:r>
      <w:r w:rsidR="009442C4" w:rsidRPr="002134FE">
        <w:rPr>
          <w:rFonts w:ascii="Verdana" w:hAnsi="Verdana" w:cs="Verdana"/>
          <w:sz w:val="20"/>
          <w:szCs w:val="20"/>
          <w:lang w:val="es-CR"/>
        </w:rPr>
        <w:t xml:space="preserve">. </w:t>
      </w:r>
      <w:r w:rsidR="002C174F" w:rsidRPr="002134FE">
        <w:rPr>
          <w:rFonts w:ascii="Verdana" w:hAnsi="Verdana" w:cs="Verdana"/>
          <w:sz w:val="20"/>
          <w:szCs w:val="20"/>
          <w:lang w:val="es-CR"/>
        </w:rPr>
        <w:t>Respecto a</w:t>
      </w:r>
      <w:r w:rsidR="009442C4" w:rsidRPr="002134FE">
        <w:rPr>
          <w:rFonts w:ascii="Verdana" w:hAnsi="Verdana" w:cs="Verdana"/>
          <w:sz w:val="20"/>
          <w:szCs w:val="20"/>
          <w:lang w:val="es-CR"/>
        </w:rPr>
        <w:t xml:space="preserve">l </w:t>
      </w:r>
      <w:r w:rsidR="002C174F" w:rsidRPr="002134FE">
        <w:rPr>
          <w:rFonts w:ascii="Verdana" w:hAnsi="Verdana" w:cs="Verdana"/>
          <w:sz w:val="20"/>
          <w:szCs w:val="20"/>
          <w:lang w:val="es-CR"/>
        </w:rPr>
        <w:t>“</w:t>
      </w:r>
      <w:r w:rsidR="009442C4" w:rsidRPr="002134FE">
        <w:rPr>
          <w:rFonts w:ascii="Verdana" w:hAnsi="Verdana" w:cs="Verdana"/>
          <w:sz w:val="20"/>
          <w:szCs w:val="20"/>
          <w:lang w:val="es-CR"/>
        </w:rPr>
        <w:t>tratamiento psicológico y/o psiquiátrico</w:t>
      </w:r>
      <w:r w:rsidR="002C174F" w:rsidRPr="002134FE">
        <w:rPr>
          <w:rFonts w:ascii="Verdana" w:hAnsi="Verdana" w:cs="Verdana"/>
          <w:sz w:val="20"/>
          <w:szCs w:val="20"/>
          <w:lang w:val="es-CR"/>
        </w:rPr>
        <w:t>”, la Corte estableció que el mismo</w:t>
      </w:r>
      <w:r w:rsidR="009442C4" w:rsidRPr="002134FE">
        <w:rPr>
          <w:rFonts w:ascii="Verdana" w:hAnsi="Verdana" w:cs="Verdana"/>
          <w:sz w:val="20"/>
          <w:szCs w:val="20"/>
          <w:lang w:val="es-CR"/>
        </w:rPr>
        <w:t xml:space="preserve"> </w:t>
      </w:r>
      <w:r w:rsidR="002C174F" w:rsidRPr="002134FE">
        <w:rPr>
          <w:rFonts w:ascii="Verdana" w:hAnsi="Verdana" w:cs="Verdana"/>
          <w:sz w:val="20"/>
          <w:szCs w:val="20"/>
          <w:lang w:val="es-CR"/>
        </w:rPr>
        <w:t>“</w:t>
      </w:r>
      <w:r w:rsidR="009442C4" w:rsidRPr="002134FE">
        <w:rPr>
          <w:rFonts w:ascii="Verdana" w:hAnsi="Verdana" w:cs="Verdana"/>
          <w:sz w:val="20"/>
          <w:szCs w:val="20"/>
          <w:lang w:val="es-CR"/>
        </w:rPr>
        <w:t>debe brindarse por personal e instituciones especializadas en la atención de víctimas de hechos de violencia como los ocurridos en el presente caso</w:t>
      </w:r>
      <w:r w:rsidR="002134FE" w:rsidRPr="002134FE">
        <w:rPr>
          <w:rFonts w:ascii="Verdana" w:hAnsi="Verdana" w:cs="Verdana"/>
          <w:sz w:val="20"/>
          <w:szCs w:val="20"/>
          <w:lang w:val="es-CR"/>
        </w:rPr>
        <w:t>”</w:t>
      </w:r>
      <w:r w:rsidR="00EE2FF2">
        <w:rPr>
          <w:rFonts w:ascii="Verdana" w:hAnsi="Verdana" w:cs="Verdana"/>
          <w:sz w:val="20"/>
          <w:szCs w:val="20"/>
          <w:lang w:val="es-CR"/>
        </w:rPr>
        <w:t xml:space="preserve"> y</w:t>
      </w:r>
      <w:r w:rsidR="009442C4" w:rsidRPr="002134FE">
        <w:rPr>
          <w:rFonts w:ascii="Verdana" w:hAnsi="Verdana" w:cs="Verdana"/>
          <w:sz w:val="20"/>
          <w:szCs w:val="20"/>
          <w:lang w:val="es-CR"/>
        </w:rPr>
        <w:t xml:space="preserve"> </w:t>
      </w:r>
      <w:r w:rsidR="002134FE" w:rsidRPr="002134FE">
        <w:rPr>
          <w:rFonts w:ascii="Verdana" w:hAnsi="Verdana" w:cs="Verdana"/>
          <w:sz w:val="20"/>
          <w:szCs w:val="20"/>
          <w:lang w:val="es-CR"/>
        </w:rPr>
        <w:t>“</w:t>
      </w:r>
      <w:r w:rsidR="009442C4" w:rsidRPr="002134FE">
        <w:rPr>
          <w:rFonts w:ascii="Verdana" w:hAnsi="Verdana" w:cs="Verdana"/>
          <w:sz w:val="20"/>
          <w:szCs w:val="20"/>
          <w:lang w:val="es-CR"/>
        </w:rPr>
        <w:t xml:space="preserve">deberá ser prestado por el tiempo que sea necesario, incluir el suministro de los medicamentos que se requieran, y tomar en consideración los </w:t>
      </w:r>
      <w:r w:rsidR="009442C4" w:rsidRPr="00DA63F6">
        <w:rPr>
          <w:rFonts w:ascii="Verdana" w:hAnsi="Verdana" w:cs="Verdana"/>
          <w:sz w:val="20"/>
          <w:szCs w:val="20"/>
          <w:lang w:val="es-CR"/>
        </w:rPr>
        <w:t>padecimientos de cada uno de ellos después de una evaluación individual”</w:t>
      </w:r>
      <w:r w:rsidR="002134FE" w:rsidRPr="00DA63F6">
        <w:rPr>
          <w:rStyle w:val="Refdenotaalpie"/>
          <w:rFonts w:ascii="Verdana" w:hAnsi="Verdana" w:cs="Verdana"/>
          <w:sz w:val="20"/>
          <w:szCs w:val="20"/>
          <w:lang w:val="es-CR"/>
        </w:rPr>
        <w:footnoteReference w:id="80"/>
      </w:r>
      <w:r w:rsidR="009442C4" w:rsidRPr="00DA63F6">
        <w:rPr>
          <w:rFonts w:ascii="Verdana" w:hAnsi="Verdana" w:cs="Verdana"/>
          <w:sz w:val="20"/>
          <w:szCs w:val="20"/>
          <w:lang w:val="es-CR"/>
        </w:rPr>
        <w:t xml:space="preserve">. </w:t>
      </w:r>
    </w:p>
    <w:p w:rsidR="002C70F6" w:rsidRPr="00534268" w:rsidRDefault="002C70F6" w:rsidP="002C70F6">
      <w:pPr>
        <w:autoSpaceDE w:val="0"/>
        <w:autoSpaceDN w:val="0"/>
        <w:adjustRightInd w:val="0"/>
        <w:spacing w:after="0" w:line="240" w:lineRule="auto"/>
        <w:jc w:val="both"/>
        <w:rPr>
          <w:rFonts w:ascii="Verdana" w:hAnsi="Verdana" w:cs="Verdana"/>
          <w:sz w:val="10"/>
          <w:szCs w:val="10"/>
          <w:lang w:val="es-CR"/>
        </w:rPr>
      </w:pPr>
    </w:p>
    <w:p w:rsidR="00B835D0" w:rsidRPr="00B835D0" w:rsidRDefault="00724970" w:rsidP="00C8662E">
      <w:pPr>
        <w:numPr>
          <w:ilvl w:val="0"/>
          <w:numId w:val="28"/>
        </w:numPr>
        <w:autoSpaceDE w:val="0"/>
        <w:autoSpaceDN w:val="0"/>
        <w:adjustRightInd w:val="0"/>
        <w:spacing w:after="0" w:line="240" w:lineRule="auto"/>
        <w:ind w:left="0" w:firstLine="0"/>
        <w:jc w:val="both"/>
        <w:rPr>
          <w:rFonts w:ascii="Verdana" w:hAnsi="Verdana"/>
          <w:sz w:val="20"/>
          <w:lang w:val="es-MX"/>
        </w:rPr>
      </w:pPr>
      <w:r w:rsidRPr="00DA63F6">
        <w:rPr>
          <w:rFonts w:ascii="Verdana" w:hAnsi="Verdana"/>
          <w:sz w:val="20"/>
          <w:lang w:val="es-MX"/>
        </w:rPr>
        <w:t xml:space="preserve">En </w:t>
      </w:r>
      <w:r w:rsidRPr="00DA63F6">
        <w:rPr>
          <w:rFonts w:ascii="Verdana" w:hAnsi="Verdana"/>
          <w:sz w:val="20"/>
          <w:szCs w:val="20"/>
          <w:lang w:val="es-MX"/>
        </w:rPr>
        <w:t>la Resolución de supervisión de cumplimiento de abril de 2009</w:t>
      </w:r>
      <w:r w:rsidRPr="00DA63F6">
        <w:rPr>
          <w:rStyle w:val="Refdenotaalpie"/>
          <w:rFonts w:ascii="Verdana" w:hAnsi="Verdana"/>
          <w:sz w:val="20"/>
          <w:szCs w:val="20"/>
          <w:lang w:val="es-MX"/>
        </w:rPr>
        <w:footnoteReference w:id="81"/>
      </w:r>
      <w:r w:rsidRPr="00DA63F6">
        <w:rPr>
          <w:rFonts w:ascii="Verdana" w:hAnsi="Verdana"/>
          <w:sz w:val="20"/>
          <w:szCs w:val="20"/>
          <w:lang w:val="es-MX"/>
        </w:rPr>
        <w:t>, la Corte constató</w:t>
      </w:r>
      <w:r w:rsidRPr="003F08A8">
        <w:rPr>
          <w:rFonts w:ascii="Verdana" w:hAnsi="Verdana"/>
          <w:sz w:val="20"/>
          <w:szCs w:val="20"/>
          <w:lang w:val="es-MX"/>
        </w:rPr>
        <w:t xml:space="preserve"> que el Estado no había remitido información sobre avances en el cumplimiento de la presente medida. </w:t>
      </w:r>
      <w:r w:rsidRPr="003F08A8">
        <w:rPr>
          <w:rFonts w:ascii="Verdana" w:hAnsi="Verdana" w:cs="Verdana"/>
          <w:sz w:val="20"/>
          <w:szCs w:val="20"/>
          <w:lang w:val="es-CR"/>
        </w:rPr>
        <w:t xml:space="preserve">En la Resolución de </w:t>
      </w:r>
      <w:r>
        <w:rPr>
          <w:rFonts w:ascii="Verdana" w:hAnsi="Verdana"/>
          <w:sz w:val="20"/>
          <w:lang w:val="es-MX"/>
        </w:rPr>
        <w:t>septiembre de 2009</w:t>
      </w:r>
      <w:r>
        <w:rPr>
          <w:rStyle w:val="Refdenotaalpie"/>
          <w:rFonts w:ascii="Verdana" w:hAnsi="Verdana"/>
          <w:sz w:val="20"/>
          <w:lang w:val="es-MX"/>
        </w:rPr>
        <w:footnoteReference w:id="82"/>
      </w:r>
      <w:r>
        <w:rPr>
          <w:rFonts w:ascii="Verdana" w:hAnsi="Verdana"/>
          <w:sz w:val="20"/>
          <w:lang w:val="es-MX"/>
        </w:rPr>
        <w:t>, e</w:t>
      </w:r>
      <w:r>
        <w:rPr>
          <w:lang w:val="es-CR"/>
        </w:rPr>
        <w:t xml:space="preserve">l </w:t>
      </w:r>
      <w:r w:rsidRPr="00E74286">
        <w:rPr>
          <w:rFonts w:ascii="Verdana" w:hAnsi="Verdana"/>
          <w:sz w:val="20"/>
          <w:lang w:val="es-MX"/>
        </w:rPr>
        <w:t>Tribunal</w:t>
      </w:r>
      <w:r w:rsidR="00E74286" w:rsidRPr="00E74286">
        <w:rPr>
          <w:rFonts w:ascii="Verdana" w:hAnsi="Verdana"/>
          <w:sz w:val="20"/>
          <w:lang w:val="es-MX"/>
        </w:rPr>
        <w:t>: i)</w:t>
      </w:r>
      <w:r w:rsidRPr="00E74286">
        <w:rPr>
          <w:rFonts w:ascii="Verdana" w:hAnsi="Verdana"/>
          <w:sz w:val="20"/>
          <w:lang w:val="es-MX"/>
        </w:rPr>
        <w:t xml:space="preserve"> valoró positivamente las medidas adelantadas por el Estado para la ejecución de esta obligación, particularmente las reuniones con los beneficiarios y las comunicaciones preparatorias d</w:t>
      </w:r>
      <w:r w:rsidR="00E74286" w:rsidRPr="00E74286">
        <w:rPr>
          <w:rFonts w:ascii="Verdana" w:hAnsi="Verdana"/>
          <w:sz w:val="20"/>
          <w:lang w:val="es-MX"/>
        </w:rPr>
        <w:t xml:space="preserve">irigidas al Ministerio de Salud; ii) constató que Vanessa y Brenda Cantoral Contreras, </w:t>
      </w:r>
      <w:r w:rsidR="001C5446">
        <w:rPr>
          <w:rFonts w:ascii="Verdana" w:hAnsi="Verdana"/>
          <w:sz w:val="20"/>
          <w:lang w:val="es-MX"/>
        </w:rPr>
        <w:t>“</w:t>
      </w:r>
      <w:r w:rsidR="00E74286" w:rsidRPr="00E74286">
        <w:rPr>
          <w:rFonts w:ascii="Verdana" w:hAnsi="Verdana"/>
          <w:sz w:val="20"/>
          <w:lang w:val="es-MX"/>
        </w:rPr>
        <w:t xml:space="preserve">quienes </w:t>
      </w:r>
      <w:r w:rsidR="001C5446">
        <w:rPr>
          <w:rFonts w:ascii="Verdana" w:hAnsi="Verdana"/>
          <w:sz w:val="20"/>
          <w:lang w:val="es-MX"/>
        </w:rPr>
        <w:t xml:space="preserve">[al momento de emisión de la Sentencia] </w:t>
      </w:r>
      <w:r w:rsidR="00E74286" w:rsidRPr="00E74286">
        <w:rPr>
          <w:rFonts w:ascii="Verdana" w:hAnsi="Verdana"/>
          <w:sz w:val="20"/>
          <w:lang w:val="es-MX"/>
        </w:rPr>
        <w:t xml:space="preserve">habían recibido atención psicológica por parte del </w:t>
      </w:r>
      <w:r w:rsidR="001C5446">
        <w:rPr>
          <w:rFonts w:ascii="Verdana" w:hAnsi="Verdana"/>
          <w:sz w:val="20"/>
          <w:lang w:val="es-MX"/>
        </w:rPr>
        <w:t>[</w:t>
      </w:r>
      <w:r w:rsidR="00E74286" w:rsidRPr="00E74286">
        <w:rPr>
          <w:rFonts w:ascii="Verdana" w:hAnsi="Verdana"/>
          <w:sz w:val="20"/>
          <w:lang w:val="es-MX"/>
        </w:rPr>
        <w:t>Centro de Atención Psicosocial</w:t>
      </w:r>
      <w:r w:rsidR="001C5446">
        <w:rPr>
          <w:rFonts w:ascii="Verdana" w:hAnsi="Verdana"/>
          <w:sz w:val="20"/>
          <w:lang w:val="es-MX"/>
        </w:rPr>
        <w:t>]”</w:t>
      </w:r>
      <w:r w:rsidR="00E74286" w:rsidRPr="00E74286">
        <w:rPr>
          <w:rFonts w:ascii="Verdana" w:hAnsi="Verdana"/>
          <w:sz w:val="20"/>
          <w:lang w:val="es-MX"/>
        </w:rPr>
        <w:t xml:space="preserve">, </w:t>
      </w:r>
      <w:r w:rsidR="001C5446">
        <w:rPr>
          <w:rFonts w:ascii="Verdana" w:hAnsi="Verdana"/>
          <w:sz w:val="20"/>
          <w:lang w:val="es-MX"/>
        </w:rPr>
        <w:t xml:space="preserve">en el 2009 </w:t>
      </w:r>
      <w:r w:rsidR="00E74286" w:rsidRPr="00E74286">
        <w:rPr>
          <w:rFonts w:ascii="Verdana" w:hAnsi="Verdana"/>
          <w:sz w:val="20"/>
          <w:lang w:val="es-MX"/>
        </w:rPr>
        <w:t xml:space="preserve">la estaban recibiendo por parte de </w:t>
      </w:r>
      <w:r w:rsidR="001C5446">
        <w:rPr>
          <w:rFonts w:ascii="Verdana" w:hAnsi="Verdana"/>
          <w:sz w:val="20"/>
          <w:lang w:val="es-MX"/>
        </w:rPr>
        <w:t xml:space="preserve">un </w:t>
      </w:r>
      <w:r w:rsidR="00E74286" w:rsidRPr="00E74286">
        <w:rPr>
          <w:rFonts w:ascii="Verdana" w:hAnsi="Verdana"/>
          <w:sz w:val="20"/>
          <w:lang w:val="es-MX"/>
        </w:rPr>
        <w:t>especialista particular</w:t>
      </w:r>
      <w:r w:rsidR="001C5446">
        <w:rPr>
          <w:rFonts w:ascii="Verdana" w:hAnsi="Verdana"/>
          <w:sz w:val="20"/>
          <w:lang w:val="es-MX"/>
        </w:rPr>
        <w:t>, si bien</w:t>
      </w:r>
      <w:r w:rsidR="00E74286" w:rsidRPr="00E74286">
        <w:rPr>
          <w:rFonts w:ascii="Verdana" w:hAnsi="Verdana"/>
          <w:sz w:val="20"/>
          <w:lang w:val="es-MX"/>
        </w:rPr>
        <w:t xml:space="preserve"> </w:t>
      </w:r>
      <w:r w:rsidR="001C5446">
        <w:rPr>
          <w:rFonts w:ascii="Verdana" w:hAnsi="Verdana"/>
          <w:sz w:val="20"/>
          <w:lang w:val="es-MX"/>
        </w:rPr>
        <w:t>“</w:t>
      </w:r>
      <w:r w:rsidR="00E74286" w:rsidRPr="00E74286">
        <w:rPr>
          <w:rFonts w:ascii="Verdana" w:hAnsi="Verdana"/>
          <w:sz w:val="20"/>
          <w:lang w:val="es-MX"/>
        </w:rPr>
        <w:t>ambas manifestaron al Estado que deseaban continuar recibiéndola por el referido centro</w:t>
      </w:r>
      <w:r w:rsidR="001C5446">
        <w:rPr>
          <w:rFonts w:ascii="Verdana" w:hAnsi="Verdana"/>
          <w:sz w:val="20"/>
          <w:lang w:val="es-MX"/>
        </w:rPr>
        <w:t>”</w:t>
      </w:r>
      <w:r w:rsidR="00E74286" w:rsidRPr="00E74286">
        <w:rPr>
          <w:rFonts w:ascii="Verdana" w:hAnsi="Verdana"/>
          <w:sz w:val="20"/>
          <w:lang w:val="es-MX"/>
        </w:rPr>
        <w:t xml:space="preserve">; iii) verificó que los familiares </w:t>
      </w:r>
      <w:r w:rsidR="001C5446">
        <w:rPr>
          <w:rFonts w:ascii="Verdana" w:hAnsi="Verdana"/>
          <w:sz w:val="20"/>
          <w:lang w:val="es-MX"/>
        </w:rPr>
        <w:t>declarados víctimas</w:t>
      </w:r>
      <w:r w:rsidR="00E74286" w:rsidRPr="00E74286">
        <w:rPr>
          <w:rFonts w:ascii="Verdana" w:hAnsi="Verdana"/>
          <w:sz w:val="20"/>
          <w:lang w:val="es-MX"/>
        </w:rPr>
        <w:t xml:space="preserve"> solicitaron su afiliación al Seguro Integral de Salud (SIS), a efectos de recibir el tratamiento médico</w:t>
      </w:r>
      <w:r w:rsidR="00DA63F6">
        <w:rPr>
          <w:rFonts w:ascii="Verdana" w:hAnsi="Verdana"/>
          <w:sz w:val="20"/>
          <w:lang w:val="es-MX"/>
        </w:rPr>
        <w:t>, y iv) requi</w:t>
      </w:r>
      <w:r w:rsidR="00E74286" w:rsidRPr="00E74286">
        <w:rPr>
          <w:rFonts w:ascii="Verdana" w:hAnsi="Verdana"/>
          <w:sz w:val="20"/>
          <w:lang w:val="es-MX"/>
        </w:rPr>
        <w:t>r</w:t>
      </w:r>
      <w:r w:rsidR="00DA63F6">
        <w:rPr>
          <w:rFonts w:ascii="Verdana" w:hAnsi="Verdana"/>
          <w:sz w:val="20"/>
          <w:lang w:val="es-MX"/>
        </w:rPr>
        <w:t>ió</w:t>
      </w:r>
      <w:r w:rsidR="00E74286" w:rsidRPr="00E74286">
        <w:rPr>
          <w:rFonts w:ascii="Verdana" w:hAnsi="Verdana"/>
          <w:sz w:val="20"/>
          <w:lang w:val="es-MX"/>
        </w:rPr>
        <w:t xml:space="preserve"> </w:t>
      </w:r>
      <w:r w:rsidR="00DA63F6">
        <w:rPr>
          <w:rFonts w:ascii="Verdana" w:hAnsi="Verdana"/>
          <w:sz w:val="20"/>
          <w:lang w:val="es-MX"/>
        </w:rPr>
        <w:t>al Estado aportar</w:t>
      </w:r>
      <w:r w:rsidR="00E74286" w:rsidRPr="00E74286">
        <w:rPr>
          <w:rFonts w:ascii="Verdana" w:hAnsi="Verdana"/>
          <w:sz w:val="20"/>
          <w:lang w:val="es-MX"/>
        </w:rPr>
        <w:t xml:space="preserve"> información actualizada ace</w:t>
      </w:r>
      <w:r w:rsidR="00DA63F6">
        <w:rPr>
          <w:rFonts w:ascii="Verdana" w:hAnsi="Verdana"/>
          <w:sz w:val="20"/>
          <w:lang w:val="es-MX"/>
        </w:rPr>
        <w:t xml:space="preserve">rca de la realización de </w:t>
      </w:r>
      <w:r w:rsidR="00E74286" w:rsidRPr="00E74286">
        <w:rPr>
          <w:rFonts w:ascii="Verdana" w:hAnsi="Verdana"/>
          <w:sz w:val="20"/>
          <w:lang w:val="es-MX"/>
        </w:rPr>
        <w:t>gestiones</w:t>
      </w:r>
      <w:r w:rsidR="00DA63F6">
        <w:rPr>
          <w:rFonts w:ascii="Verdana" w:hAnsi="Verdana"/>
          <w:sz w:val="20"/>
          <w:lang w:val="es-MX"/>
        </w:rPr>
        <w:t xml:space="preserve"> para el cumplimiento de la medida</w:t>
      </w:r>
      <w:r w:rsidR="00E74286" w:rsidRPr="00E74286">
        <w:rPr>
          <w:rFonts w:ascii="Verdana" w:hAnsi="Verdana"/>
          <w:sz w:val="20"/>
          <w:lang w:val="es-MX"/>
        </w:rPr>
        <w:t>.</w:t>
      </w:r>
      <w:r w:rsidR="00E74286">
        <w:rPr>
          <w:rFonts w:ascii="Verdana" w:hAnsi="Verdana"/>
          <w:sz w:val="20"/>
          <w:lang w:val="es-MX"/>
        </w:rPr>
        <w:t xml:space="preserve"> </w:t>
      </w:r>
      <w:r w:rsidR="004A0F49" w:rsidRPr="00B835D0">
        <w:rPr>
          <w:rFonts w:ascii="Verdana" w:hAnsi="Verdana"/>
          <w:sz w:val="20"/>
          <w:lang w:val="es-MX"/>
        </w:rPr>
        <w:t xml:space="preserve">En </w:t>
      </w:r>
      <w:r w:rsidR="00884F22">
        <w:rPr>
          <w:rFonts w:ascii="Verdana" w:hAnsi="Verdana"/>
          <w:sz w:val="20"/>
          <w:lang w:val="es-MX"/>
        </w:rPr>
        <w:t xml:space="preserve">la </w:t>
      </w:r>
      <w:r w:rsidR="004A0F49" w:rsidRPr="00B835D0">
        <w:rPr>
          <w:rFonts w:ascii="Verdana" w:hAnsi="Verdana"/>
          <w:sz w:val="20"/>
          <w:lang w:val="es-MX"/>
        </w:rPr>
        <w:t>Resolución de supervisión de febrero de 2011</w:t>
      </w:r>
      <w:r w:rsidR="00DA63F6" w:rsidRPr="00B835D0">
        <w:rPr>
          <w:rStyle w:val="Refdenotaalpie"/>
          <w:rFonts w:ascii="Verdana" w:hAnsi="Verdana" w:cs="Verdana"/>
          <w:sz w:val="20"/>
          <w:szCs w:val="20"/>
          <w:lang w:val="es-CR"/>
        </w:rPr>
        <w:footnoteReference w:id="83"/>
      </w:r>
      <w:r w:rsidR="004A0F49" w:rsidRPr="00B835D0">
        <w:rPr>
          <w:rFonts w:ascii="Verdana" w:hAnsi="Verdana"/>
          <w:sz w:val="20"/>
          <w:lang w:val="es-MX"/>
        </w:rPr>
        <w:t xml:space="preserve">, </w:t>
      </w:r>
      <w:r w:rsidR="00DA63F6" w:rsidRPr="00B835D0">
        <w:rPr>
          <w:rFonts w:ascii="Verdana" w:hAnsi="Verdana"/>
          <w:sz w:val="20"/>
          <w:lang w:val="es-MX"/>
        </w:rPr>
        <w:t>la Corte determinó que requería información actualizada del Estado para verificar el cumplimiento de “la continuación del tratamiento psicológico que recibían Vanessa y Brenda Cantoral Contreras, en las condiciones en que lo estaban haciendo al momento de la emisión de la Sentencia”</w:t>
      </w:r>
      <w:r w:rsidR="00F924BF">
        <w:rPr>
          <w:rFonts w:ascii="Verdana" w:hAnsi="Verdana"/>
          <w:sz w:val="20"/>
          <w:lang w:val="es-MX"/>
        </w:rPr>
        <w:t xml:space="preserve"> y</w:t>
      </w:r>
      <w:r w:rsidR="00DA63F6" w:rsidRPr="00B835D0">
        <w:rPr>
          <w:rFonts w:ascii="Verdana" w:hAnsi="Verdana"/>
          <w:sz w:val="20"/>
          <w:lang w:val="es-MX"/>
        </w:rPr>
        <w:t xml:space="preserve"> la “solicitud de afiliación de […] beneficiarios al Seguro Integral de Salud (SIS)” y los familiares que contaban con un “seguro otorgado por el Estado a través de ESSALUD</w:t>
      </w:r>
      <w:r w:rsidR="00884F22">
        <w:rPr>
          <w:rFonts w:ascii="Verdana" w:hAnsi="Verdana"/>
          <w:sz w:val="20"/>
          <w:lang w:val="es-MX"/>
        </w:rPr>
        <w:t>”.</w:t>
      </w:r>
    </w:p>
    <w:p w:rsidR="00B835D0" w:rsidRPr="00383D27" w:rsidRDefault="00B835D0" w:rsidP="00B835D0">
      <w:pPr>
        <w:autoSpaceDE w:val="0"/>
        <w:autoSpaceDN w:val="0"/>
        <w:adjustRightInd w:val="0"/>
        <w:spacing w:after="0" w:line="240" w:lineRule="auto"/>
        <w:jc w:val="both"/>
        <w:rPr>
          <w:rFonts w:ascii="Verdana" w:hAnsi="Verdana"/>
          <w:sz w:val="14"/>
          <w:szCs w:val="14"/>
          <w:lang w:val="es-MX"/>
        </w:rPr>
      </w:pPr>
    </w:p>
    <w:p w:rsidR="00C8103B" w:rsidRPr="00383D27" w:rsidRDefault="00C8103B" w:rsidP="004B6FAC">
      <w:pPr>
        <w:pStyle w:val="Listavistosa-nfasis1"/>
        <w:spacing w:after="0" w:line="240" w:lineRule="auto"/>
        <w:contextualSpacing w:val="0"/>
        <w:jc w:val="both"/>
        <w:rPr>
          <w:rFonts w:ascii="Verdana" w:hAnsi="Verdana"/>
          <w:i/>
          <w:sz w:val="20"/>
          <w:lang w:val="es-MX"/>
        </w:rPr>
      </w:pPr>
      <w:r w:rsidRPr="00383D27">
        <w:rPr>
          <w:rFonts w:ascii="Verdana" w:hAnsi="Verdana"/>
          <w:i/>
          <w:sz w:val="20"/>
          <w:lang w:val="es-MX"/>
        </w:rPr>
        <w:t xml:space="preserve">E.2. </w:t>
      </w:r>
      <w:r w:rsidR="0084323B" w:rsidRPr="00383D27">
        <w:rPr>
          <w:rFonts w:ascii="Verdana" w:hAnsi="Verdana"/>
          <w:i/>
          <w:sz w:val="20"/>
          <w:lang w:val="es-MX"/>
        </w:rPr>
        <w:t>Consideraciones de la Corte</w:t>
      </w:r>
      <w:r w:rsidRPr="00383D27">
        <w:rPr>
          <w:rFonts w:ascii="Verdana" w:hAnsi="Verdana"/>
          <w:i/>
          <w:sz w:val="20"/>
          <w:lang w:val="es-MX"/>
        </w:rPr>
        <w:t xml:space="preserve"> </w:t>
      </w:r>
    </w:p>
    <w:p w:rsidR="002C70F6" w:rsidRPr="0064586F" w:rsidRDefault="002C70F6" w:rsidP="002C70F6">
      <w:pPr>
        <w:autoSpaceDE w:val="0"/>
        <w:autoSpaceDN w:val="0"/>
        <w:adjustRightInd w:val="0"/>
        <w:spacing w:after="0" w:line="240" w:lineRule="auto"/>
        <w:jc w:val="both"/>
        <w:rPr>
          <w:rFonts w:ascii="Verdana" w:hAnsi="Verdana"/>
          <w:sz w:val="14"/>
          <w:szCs w:val="14"/>
          <w:lang w:val="es-CR"/>
        </w:rPr>
      </w:pPr>
    </w:p>
    <w:p w:rsidR="00CF7557" w:rsidRDefault="00F81FAF" w:rsidP="00C8662E">
      <w:pPr>
        <w:numPr>
          <w:ilvl w:val="0"/>
          <w:numId w:val="28"/>
        </w:numPr>
        <w:autoSpaceDE w:val="0"/>
        <w:autoSpaceDN w:val="0"/>
        <w:adjustRightInd w:val="0"/>
        <w:spacing w:after="0" w:line="240" w:lineRule="auto"/>
        <w:ind w:left="0" w:firstLine="0"/>
        <w:jc w:val="both"/>
        <w:rPr>
          <w:rFonts w:ascii="Verdana" w:hAnsi="Verdana" w:cs="Verdana"/>
          <w:sz w:val="20"/>
          <w:szCs w:val="20"/>
          <w:lang w:val="es-CR"/>
        </w:rPr>
      </w:pPr>
      <w:r w:rsidRPr="00DD05E0">
        <w:rPr>
          <w:rFonts w:ascii="Verdana" w:hAnsi="Verdana" w:cs="Verdana"/>
          <w:sz w:val="20"/>
          <w:szCs w:val="20"/>
          <w:lang w:val="es-CR"/>
        </w:rPr>
        <w:t xml:space="preserve">Respecto a la presente medida, </w:t>
      </w:r>
      <w:r w:rsidR="006B10B9">
        <w:rPr>
          <w:rFonts w:ascii="Verdana" w:hAnsi="Verdana" w:cs="Verdana"/>
          <w:sz w:val="20"/>
          <w:szCs w:val="20"/>
          <w:lang w:val="es-CR"/>
        </w:rPr>
        <w:t>e</w:t>
      </w:r>
      <w:r w:rsidRPr="00DD05E0">
        <w:rPr>
          <w:rFonts w:ascii="Verdana" w:hAnsi="Verdana" w:cs="Verdana"/>
          <w:sz w:val="20"/>
          <w:szCs w:val="20"/>
          <w:lang w:val="es-CR"/>
        </w:rPr>
        <w:t xml:space="preserve">n </w:t>
      </w:r>
      <w:r w:rsidR="00AD0199">
        <w:rPr>
          <w:rFonts w:ascii="Verdana" w:hAnsi="Verdana" w:cs="Verdana"/>
          <w:sz w:val="20"/>
          <w:szCs w:val="20"/>
          <w:lang w:val="es-CR"/>
        </w:rPr>
        <w:t>octubre de 2012</w:t>
      </w:r>
      <w:r w:rsidR="002D640D" w:rsidRPr="00DD05E0">
        <w:rPr>
          <w:rFonts w:ascii="Verdana" w:hAnsi="Verdana" w:cs="Verdana"/>
          <w:sz w:val="20"/>
          <w:szCs w:val="20"/>
          <w:lang w:val="es-CR"/>
        </w:rPr>
        <w:t xml:space="preserve"> el </w:t>
      </w:r>
      <w:r w:rsidR="00621F88" w:rsidRPr="00DD05E0">
        <w:rPr>
          <w:rFonts w:ascii="Verdana" w:hAnsi="Verdana" w:cs="Verdana"/>
          <w:sz w:val="20"/>
          <w:szCs w:val="20"/>
          <w:lang w:val="es-CR"/>
        </w:rPr>
        <w:t>Perú</w:t>
      </w:r>
      <w:r w:rsidR="002D640D" w:rsidRPr="00DD05E0">
        <w:rPr>
          <w:rFonts w:ascii="Verdana" w:hAnsi="Verdana" w:cs="Verdana"/>
          <w:sz w:val="20"/>
          <w:szCs w:val="20"/>
          <w:lang w:val="es-CR"/>
        </w:rPr>
        <w:t xml:space="preserve"> afirmó que</w:t>
      </w:r>
      <w:r w:rsidR="00924CCD" w:rsidRPr="00DD05E0">
        <w:rPr>
          <w:rFonts w:ascii="Verdana" w:hAnsi="Verdana" w:cs="Verdana"/>
          <w:sz w:val="20"/>
          <w:szCs w:val="20"/>
          <w:lang w:val="es-CR"/>
        </w:rPr>
        <w:t>, de</w:t>
      </w:r>
      <w:r w:rsidR="002D640D" w:rsidRPr="00DD05E0">
        <w:rPr>
          <w:rFonts w:ascii="Verdana" w:hAnsi="Verdana" w:cs="Verdana"/>
          <w:sz w:val="20"/>
          <w:szCs w:val="20"/>
          <w:lang w:val="es-CR"/>
        </w:rPr>
        <w:t xml:space="preserve"> las 17 víctimas que </w:t>
      </w:r>
      <w:r w:rsidR="00D72D95" w:rsidRPr="00DD05E0">
        <w:rPr>
          <w:rFonts w:ascii="Verdana" w:hAnsi="Verdana" w:cs="Verdana"/>
          <w:sz w:val="20"/>
          <w:szCs w:val="20"/>
          <w:lang w:val="es-CR"/>
        </w:rPr>
        <w:t>son</w:t>
      </w:r>
      <w:r w:rsidR="002D640D" w:rsidRPr="00DD05E0">
        <w:rPr>
          <w:rFonts w:ascii="Verdana" w:hAnsi="Verdana" w:cs="Verdana"/>
          <w:sz w:val="20"/>
          <w:szCs w:val="20"/>
          <w:lang w:val="es-CR"/>
        </w:rPr>
        <w:t xml:space="preserve"> beneficiarias de la presente medida de reparación</w:t>
      </w:r>
      <w:r w:rsidR="00924CCD" w:rsidRPr="00DD05E0">
        <w:rPr>
          <w:rFonts w:ascii="Verdana" w:hAnsi="Verdana" w:cs="Verdana"/>
          <w:sz w:val="20"/>
          <w:szCs w:val="20"/>
          <w:lang w:val="es-CR"/>
        </w:rPr>
        <w:t>, 13 víctimas “goza</w:t>
      </w:r>
      <w:r w:rsidR="00D72D95" w:rsidRPr="00DD05E0">
        <w:rPr>
          <w:rFonts w:ascii="Verdana" w:hAnsi="Verdana" w:cs="Verdana"/>
          <w:sz w:val="20"/>
          <w:szCs w:val="20"/>
          <w:lang w:val="es-CR"/>
        </w:rPr>
        <w:t>[n]</w:t>
      </w:r>
      <w:r w:rsidR="00924CCD" w:rsidRPr="00DD05E0">
        <w:rPr>
          <w:rFonts w:ascii="Verdana" w:hAnsi="Verdana" w:cs="Verdana"/>
          <w:sz w:val="20"/>
          <w:szCs w:val="20"/>
          <w:lang w:val="es-CR"/>
        </w:rPr>
        <w:t xml:space="preserve"> de prestaciones de salud otorgadas por</w:t>
      </w:r>
      <w:r w:rsidR="0018606C" w:rsidRPr="00DD05E0">
        <w:rPr>
          <w:rFonts w:ascii="Verdana" w:hAnsi="Verdana" w:cs="Verdana"/>
          <w:sz w:val="20"/>
          <w:szCs w:val="20"/>
          <w:lang w:val="es-CR"/>
        </w:rPr>
        <w:t xml:space="preserve"> [el seguro estatal]</w:t>
      </w:r>
      <w:r w:rsidR="00924CCD" w:rsidRPr="00DD05E0">
        <w:rPr>
          <w:rFonts w:ascii="Verdana" w:hAnsi="Verdana" w:cs="Verdana"/>
          <w:sz w:val="20"/>
          <w:szCs w:val="20"/>
          <w:lang w:val="es-CR"/>
        </w:rPr>
        <w:t xml:space="preserve"> ESSALUD”, mientras que 4 víctimas “goza</w:t>
      </w:r>
      <w:r w:rsidR="00D72D95" w:rsidRPr="00DD05E0">
        <w:rPr>
          <w:rFonts w:ascii="Verdana" w:hAnsi="Verdana" w:cs="Verdana"/>
          <w:sz w:val="20"/>
          <w:szCs w:val="20"/>
          <w:lang w:val="es-CR"/>
        </w:rPr>
        <w:t>[n]</w:t>
      </w:r>
      <w:r w:rsidR="00924CCD" w:rsidRPr="00DD05E0">
        <w:rPr>
          <w:rFonts w:ascii="Verdana" w:hAnsi="Verdana" w:cs="Verdana"/>
          <w:sz w:val="20"/>
          <w:szCs w:val="20"/>
          <w:lang w:val="es-CR"/>
        </w:rPr>
        <w:t xml:space="preserve"> de prestaciones de salud otorgadas por […] el </w:t>
      </w:r>
      <w:r w:rsidR="00C83BFB" w:rsidRPr="00DD05E0">
        <w:rPr>
          <w:rFonts w:ascii="Verdana" w:hAnsi="Verdana" w:cs="Verdana"/>
          <w:sz w:val="20"/>
          <w:szCs w:val="20"/>
          <w:lang w:val="es-CR"/>
        </w:rPr>
        <w:t xml:space="preserve">[Sistema Integral de Salud] </w:t>
      </w:r>
      <w:r w:rsidR="00924CCD" w:rsidRPr="00DD05E0">
        <w:rPr>
          <w:rFonts w:ascii="Verdana" w:hAnsi="Verdana" w:cs="Verdana"/>
          <w:sz w:val="20"/>
          <w:szCs w:val="20"/>
          <w:lang w:val="es-CR"/>
        </w:rPr>
        <w:t>SIS”</w:t>
      </w:r>
      <w:r w:rsidR="001E0FFB" w:rsidRPr="001E0FFB">
        <w:rPr>
          <w:rStyle w:val="Refdenotaalpie"/>
          <w:rFonts w:ascii="Verdana" w:hAnsi="Verdana" w:cs="Verdana"/>
          <w:sz w:val="20"/>
          <w:szCs w:val="20"/>
          <w:lang w:val="es-CR"/>
        </w:rPr>
        <w:t xml:space="preserve"> </w:t>
      </w:r>
      <w:r w:rsidR="001E0FFB">
        <w:rPr>
          <w:rStyle w:val="Refdenotaalpie"/>
          <w:rFonts w:ascii="Verdana" w:hAnsi="Verdana" w:cs="Verdana"/>
          <w:sz w:val="20"/>
          <w:szCs w:val="20"/>
          <w:lang w:val="es-CR"/>
        </w:rPr>
        <w:footnoteReference w:id="84"/>
      </w:r>
      <w:r w:rsidR="0018606C" w:rsidRPr="00DD05E0">
        <w:rPr>
          <w:rFonts w:ascii="Verdana" w:hAnsi="Verdana" w:cs="Verdana"/>
          <w:sz w:val="20"/>
          <w:szCs w:val="20"/>
          <w:lang w:val="es-CR"/>
        </w:rPr>
        <w:t>.</w:t>
      </w:r>
      <w:r w:rsidR="0064586F" w:rsidRPr="00DD05E0">
        <w:rPr>
          <w:rFonts w:ascii="Verdana" w:hAnsi="Verdana" w:cs="Verdana"/>
          <w:sz w:val="20"/>
          <w:szCs w:val="20"/>
          <w:lang w:val="es-CR"/>
        </w:rPr>
        <w:t xml:space="preserve"> El Perú no presentó comprobantes relativos a la referida afirmación. </w:t>
      </w:r>
      <w:r w:rsidR="006B10B9">
        <w:rPr>
          <w:rFonts w:ascii="Verdana" w:hAnsi="Verdana" w:cs="Verdana"/>
          <w:sz w:val="20"/>
          <w:szCs w:val="20"/>
          <w:lang w:val="es-CR"/>
        </w:rPr>
        <w:t xml:space="preserve">Adicionalmente, </w:t>
      </w:r>
      <w:r w:rsidR="006B10B9" w:rsidRPr="00DD05E0">
        <w:rPr>
          <w:rFonts w:ascii="Verdana" w:hAnsi="Verdana" w:cs="Verdana"/>
          <w:sz w:val="20"/>
          <w:szCs w:val="20"/>
          <w:lang w:val="es-CR"/>
        </w:rPr>
        <w:t>afirmó que “las personas que cuentan con [s]eguro de ESSALUD activo y vigente no pueden contar con la cobertura del SIS”.</w:t>
      </w:r>
      <w:r w:rsidR="0064586F" w:rsidRPr="00DD05E0">
        <w:rPr>
          <w:rFonts w:ascii="Verdana" w:hAnsi="Verdana" w:cs="Verdana"/>
          <w:sz w:val="20"/>
          <w:szCs w:val="20"/>
          <w:lang w:val="es-CR"/>
        </w:rPr>
        <w:t xml:space="preserve"> </w:t>
      </w:r>
      <w:r w:rsidR="00AD0199">
        <w:rPr>
          <w:rFonts w:ascii="Verdana" w:hAnsi="Verdana" w:cs="Verdana"/>
          <w:sz w:val="20"/>
          <w:szCs w:val="20"/>
          <w:lang w:val="es-CR"/>
        </w:rPr>
        <w:t>L</w:t>
      </w:r>
      <w:r w:rsidR="0064586F" w:rsidRPr="00DD05E0">
        <w:rPr>
          <w:rFonts w:ascii="Verdana" w:hAnsi="Verdana" w:cs="Verdana"/>
          <w:sz w:val="20"/>
          <w:szCs w:val="20"/>
          <w:lang w:val="es-CR"/>
        </w:rPr>
        <w:t xml:space="preserve">a Corte observa que si bien el Perú señaló que las víctimas Vanessa Cantoral Contreras y Brenda Cantoral Contreras estaban recibiendo sus “reparaciones en salud” a través del SIS, en el mismo informe reportó que la víctima Vanessa Cantoral </w:t>
      </w:r>
      <w:r w:rsidR="00077084" w:rsidRPr="00DD05E0">
        <w:rPr>
          <w:rFonts w:ascii="Verdana" w:hAnsi="Verdana" w:cs="Verdana"/>
          <w:sz w:val="20"/>
          <w:szCs w:val="20"/>
          <w:lang w:val="es-CR"/>
        </w:rPr>
        <w:t>era</w:t>
      </w:r>
      <w:r w:rsidR="0064586F" w:rsidRPr="00DD05E0">
        <w:rPr>
          <w:rFonts w:ascii="Verdana" w:hAnsi="Verdana" w:cs="Verdana"/>
          <w:sz w:val="20"/>
          <w:szCs w:val="20"/>
          <w:lang w:val="es-CR"/>
        </w:rPr>
        <w:t xml:space="preserve"> asegurada de ESSALUD lo cual, como el mismo Estado afirmó, entonces le impediría ser beneficiaria de la cobertura del SIS.</w:t>
      </w:r>
      <w:r w:rsidR="00364091">
        <w:rPr>
          <w:rFonts w:ascii="Verdana" w:hAnsi="Verdana" w:cs="Verdana"/>
          <w:b/>
          <w:sz w:val="20"/>
          <w:szCs w:val="20"/>
          <w:lang w:val="es-CR"/>
        </w:rPr>
        <w:t xml:space="preserve"> </w:t>
      </w:r>
      <w:r w:rsidR="00FC433E" w:rsidRPr="00DD05E0">
        <w:rPr>
          <w:rFonts w:ascii="Verdana" w:hAnsi="Verdana" w:cs="Verdana"/>
          <w:sz w:val="20"/>
          <w:szCs w:val="20"/>
          <w:lang w:val="es-CR"/>
        </w:rPr>
        <w:t>Al respecto, los representantes de las víctimas señalaron en noviembre de 2012 que</w:t>
      </w:r>
      <w:r w:rsidR="00CF7557">
        <w:rPr>
          <w:rFonts w:ascii="Verdana" w:hAnsi="Verdana" w:cs="Verdana"/>
          <w:sz w:val="20"/>
          <w:szCs w:val="20"/>
          <w:lang w:val="es-CR"/>
        </w:rPr>
        <w:t>,</w:t>
      </w:r>
      <w:r w:rsidR="00FC433E" w:rsidRPr="00DD05E0">
        <w:rPr>
          <w:rFonts w:ascii="Verdana" w:hAnsi="Verdana" w:cs="Verdana"/>
          <w:sz w:val="20"/>
          <w:szCs w:val="20"/>
          <w:lang w:val="es-CR"/>
        </w:rPr>
        <w:t xml:space="preserve"> aun cuando el Estado afirma que “todas las víctimas de la violencia polític</w:t>
      </w:r>
      <w:r w:rsidR="0064030E">
        <w:rPr>
          <w:rFonts w:ascii="Verdana" w:hAnsi="Verdana" w:cs="Verdana"/>
          <w:sz w:val="20"/>
          <w:szCs w:val="20"/>
          <w:lang w:val="es-CR"/>
        </w:rPr>
        <w:t>[</w:t>
      </w:r>
      <w:r w:rsidR="00FC433E" w:rsidRPr="00DD05E0">
        <w:rPr>
          <w:rFonts w:ascii="Verdana" w:hAnsi="Verdana" w:cs="Verdana"/>
          <w:sz w:val="20"/>
          <w:szCs w:val="20"/>
          <w:lang w:val="es-CR"/>
        </w:rPr>
        <w:t>a</w:t>
      </w:r>
      <w:r w:rsidR="0064030E">
        <w:rPr>
          <w:rFonts w:ascii="Verdana" w:hAnsi="Verdana" w:cs="Verdana"/>
          <w:sz w:val="20"/>
          <w:szCs w:val="20"/>
          <w:lang w:val="es-CR"/>
        </w:rPr>
        <w:t>]</w:t>
      </w:r>
      <w:r w:rsidR="00FC433E" w:rsidRPr="00DD05E0">
        <w:rPr>
          <w:rFonts w:ascii="Verdana" w:hAnsi="Verdana" w:cs="Verdana"/>
          <w:sz w:val="20"/>
          <w:szCs w:val="20"/>
          <w:lang w:val="es-CR"/>
        </w:rPr>
        <w:t xml:space="preserve"> cuentan con los beneficios del SIS y con los beneficios del aseguramiento universal de la salud[, …] inf[ieren] que la afiliación a ESSALUD constituye el mecanismo por el cual se cumple con la presente obligación o es un obstáculo para su cumplimiento, situación que afecta a casi la totalidad de familiares de las víctimas”</w:t>
      </w:r>
      <w:r w:rsidR="001E0FFB">
        <w:rPr>
          <w:rStyle w:val="Refdenotaalpie"/>
          <w:rFonts w:ascii="Verdana" w:hAnsi="Verdana" w:cs="Verdana"/>
          <w:sz w:val="20"/>
          <w:szCs w:val="20"/>
          <w:lang w:val="es-CR"/>
        </w:rPr>
        <w:footnoteReference w:id="85"/>
      </w:r>
      <w:r w:rsidR="00FC433E" w:rsidRPr="00DD05E0">
        <w:rPr>
          <w:rFonts w:ascii="Verdana" w:hAnsi="Verdana" w:cs="Verdana"/>
          <w:sz w:val="20"/>
          <w:szCs w:val="20"/>
          <w:lang w:val="es-CR"/>
        </w:rPr>
        <w:t xml:space="preserve">. </w:t>
      </w:r>
      <w:r w:rsidR="00AD0199">
        <w:rPr>
          <w:rFonts w:ascii="Verdana" w:hAnsi="Verdana" w:cs="Verdana"/>
          <w:sz w:val="20"/>
          <w:szCs w:val="20"/>
          <w:lang w:val="es-CR"/>
        </w:rPr>
        <w:t>Los representantes también</w:t>
      </w:r>
      <w:r w:rsidR="00FC433E" w:rsidRPr="00DD05E0">
        <w:rPr>
          <w:rFonts w:ascii="Verdana" w:hAnsi="Verdana" w:cs="Verdana"/>
          <w:sz w:val="20"/>
          <w:szCs w:val="20"/>
          <w:lang w:val="es-CR"/>
        </w:rPr>
        <w:t xml:space="preserve"> indicaron </w:t>
      </w:r>
      <w:r w:rsidR="00325965" w:rsidRPr="00DD05E0">
        <w:rPr>
          <w:rFonts w:ascii="Verdana" w:hAnsi="Verdana" w:cs="Verdana"/>
          <w:sz w:val="20"/>
          <w:szCs w:val="20"/>
          <w:lang w:val="es-CR"/>
        </w:rPr>
        <w:t>que “en el caso de los pocos familiares de las víctimas afiliados al SIS, la sola afiliación no garantiza el cumplimiento efecti</w:t>
      </w:r>
      <w:r w:rsidR="00DD05E0" w:rsidRPr="00DD05E0">
        <w:rPr>
          <w:rFonts w:ascii="Verdana" w:hAnsi="Verdana" w:cs="Verdana"/>
          <w:sz w:val="20"/>
          <w:szCs w:val="20"/>
          <w:lang w:val="es-CR"/>
        </w:rPr>
        <w:t>v</w:t>
      </w:r>
      <w:r w:rsidR="00325965" w:rsidRPr="00DD05E0">
        <w:rPr>
          <w:rFonts w:ascii="Verdana" w:hAnsi="Verdana" w:cs="Verdana"/>
          <w:sz w:val="20"/>
          <w:szCs w:val="20"/>
          <w:lang w:val="es-CR"/>
        </w:rPr>
        <w:t>o de la presente medida de reparación[, … la cual] no puede ser confundida con pr</w:t>
      </w:r>
      <w:r w:rsidR="00DD05E0" w:rsidRPr="00DD05E0">
        <w:rPr>
          <w:rFonts w:ascii="Verdana" w:hAnsi="Verdana" w:cs="Verdana"/>
          <w:sz w:val="20"/>
          <w:szCs w:val="20"/>
          <w:lang w:val="es-CR"/>
        </w:rPr>
        <w:t>o</w:t>
      </w:r>
      <w:r w:rsidR="00325965" w:rsidRPr="00DD05E0">
        <w:rPr>
          <w:rFonts w:ascii="Verdana" w:hAnsi="Verdana" w:cs="Verdana"/>
          <w:sz w:val="20"/>
          <w:szCs w:val="20"/>
          <w:lang w:val="es-CR"/>
        </w:rPr>
        <w:t>gramas sociales que brinda el Estado, a favor de personas de escasos recursos”</w:t>
      </w:r>
      <w:r w:rsidR="00325965">
        <w:rPr>
          <w:rStyle w:val="Refdenotaalpie"/>
          <w:rFonts w:ascii="Verdana" w:hAnsi="Verdana" w:cs="Verdana"/>
          <w:sz w:val="20"/>
          <w:szCs w:val="20"/>
          <w:lang w:val="es-CR"/>
        </w:rPr>
        <w:footnoteReference w:id="86"/>
      </w:r>
      <w:r w:rsidR="00325965" w:rsidRPr="00DD05E0">
        <w:rPr>
          <w:rFonts w:ascii="Verdana" w:hAnsi="Verdana" w:cs="Verdana"/>
          <w:sz w:val="20"/>
          <w:szCs w:val="20"/>
          <w:lang w:val="es-CR"/>
        </w:rPr>
        <w:t>.</w:t>
      </w:r>
      <w:r w:rsidR="00FC433E" w:rsidRPr="00DD05E0">
        <w:rPr>
          <w:rFonts w:ascii="Verdana" w:hAnsi="Verdana" w:cs="Verdana"/>
          <w:sz w:val="20"/>
          <w:szCs w:val="20"/>
          <w:lang w:val="es-CR"/>
        </w:rPr>
        <w:t xml:space="preserve"> </w:t>
      </w:r>
    </w:p>
    <w:p w:rsidR="00CF7557" w:rsidRDefault="00CF7557" w:rsidP="00117900">
      <w:pPr>
        <w:autoSpaceDE w:val="0"/>
        <w:autoSpaceDN w:val="0"/>
        <w:adjustRightInd w:val="0"/>
        <w:spacing w:after="0" w:line="240" w:lineRule="auto"/>
        <w:jc w:val="both"/>
        <w:rPr>
          <w:rFonts w:ascii="Verdana" w:hAnsi="Verdana" w:cs="Verdana"/>
          <w:sz w:val="20"/>
          <w:szCs w:val="20"/>
          <w:lang w:val="es-CR"/>
        </w:rPr>
      </w:pPr>
    </w:p>
    <w:p w:rsidR="00FC433E" w:rsidRPr="0062612D" w:rsidRDefault="00A2540C" w:rsidP="00792C28">
      <w:pPr>
        <w:numPr>
          <w:ilvl w:val="0"/>
          <w:numId w:val="28"/>
        </w:numPr>
        <w:autoSpaceDE w:val="0"/>
        <w:autoSpaceDN w:val="0"/>
        <w:adjustRightInd w:val="0"/>
        <w:spacing w:after="120" w:line="240" w:lineRule="auto"/>
        <w:ind w:left="0" w:firstLine="0"/>
        <w:jc w:val="both"/>
        <w:rPr>
          <w:rFonts w:ascii="Verdana" w:hAnsi="Verdana" w:cs="Verdana"/>
          <w:sz w:val="20"/>
          <w:szCs w:val="20"/>
          <w:lang w:val="es-CR"/>
        </w:rPr>
      </w:pPr>
      <w:r w:rsidRPr="00DD05E0">
        <w:rPr>
          <w:rFonts w:ascii="Verdana" w:hAnsi="Verdana" w:cs="Verdana"/>
          <w:sz w:val="20"/>
          <w:szCs w:val="20"/>
          <w:lang w:val="es-CR"/>
        </w:rPr>
        <w:t>Con posterioridad a dich</w:t>
      </w:r>
      <w:r w:rsidR="00D140E1">
        <w:rPr>
          <w:rFonts w:ascii="Verdana" w:hAnsi="Verdana" w:cs="Verdana"/>
          <w:sz w:val="20"/>
          <w:szCs w:val="20"/>
          <w:lang w:val="es-CR"/>
        </w:rPr>
        <w:t>as objeciones</w:t>
      </w:r>
      <w:r w:rsidRPr="00DD05E0">
        <w:rPr>
          <w:rFonts w:ascii="Verdana" w:hAnsi="Verdana" w:cs="Verdana"/>
          <w:sz w:val="20"/>
          <w:szCs w:val="20"/>
          <w:lang w:val="es-CR"/>
        </w:rPr>
        <w:t>, el Perú únicamente remitió comprobantes respecto al estado del seguro de salud de 5 víctimas</w:t>
      </w:r>
      <w:r w:rsidR="00D140E1">
        <w:rPr>
          <w:rStyle w:val="Refdenotaalpie"/>
          <w:rFonts w:ascii="Verdana" w:hAnsi="Verdana" w:cs="Verdana"/>
          <w:sz w:val="20"/>
          <w:szCs w:val="20"/>
          <w:lang w:val="es-CR"/>
        </w:rPr>
        <w:footnoteReference w:id="87"/>
      </w:r>
      <w:r w:rsidRPr="00DD05E0">
        <w:rPr>
          <w:rFonts w:ascii="Verdana" w:hAnsi="Verdana" w:cs="Verdana"/>
          <w:sz w:val="20"/>
          <w:szCs w:val="20"/>
          <w:lang w:val="es-CR"/>
        </w:rPr>
        <w:t xml:space="preserve"> </w:t>
      </w:r>
      <w:r w:rsidR="00D140E1">
        <w:rPr>
          <w:rFonts w:ascii="Verdana" w:hAnsi="Verdana" w:cs="Verdana"/>
          <w:sz w:val="20"/>
          <w:szCs w:val="20"/>
          <w:lang w:val="es-CR"/>
        </w:rPr>
        <w:t xml:space="preserve">y </w:t>
      </w:r>
      <w:r w:rsidR="00FC433E" w:rsidRPr="00DD05E0">
        <w:rPr>
          <w:rFonts w:ascii="Verdana" w:hAnsi="Verdana" w:cs="Verdana"/>
          <w:sz w:val="20"/>
          <w:szCs w:val="20"/>
          <w:lang w:val="es-CR"/>
        </w:rPr>
        <w:t>no brind</w:t>
      </w:r>
      <w:r w:rsidR="00DD05E0">
        <w:rPr>
          <w:rFonts w:ascii="Verdana" w:hAnsi="Verdana" w:cs="Verdana"/>
          <w:sz w:val="20"/>
          <w:szCs w:val="20"/>
          <w:lang w:val="es-CR"/>
        </w:rPr>
        <w:t>ó</w:t>
      </w:r>
      <w:r w:rsidR="00FC433E" w:rsidRPr="00DD05E0">
        <w:rPr>
          <w:rFonts w:ascii="Verdana" w:hAnsi="Verdana" w:cs="Verdana"/>
          <w:sz w:val="20"/>
          <w:szCs w:val="20"/>
          <w:lang w:val="es-CR"/>
        </w:rPr>
        <w:t xml:space="preserve"> explicaciones respec</w:t>
      </w:r>
      <w:r w:rsidR="00DD05E0">
        <w:rPr>
          <w:rFonts w:ascii="Verdana" w:hAnsi="Verdana" w:cs="Verdana"/>
          <w:sz w:val="20"/>
          <w:szCs w:val="20"/>
          <w:lang w:val="es-CR"/>
        </w:rPr>
        <w:t>to a</w:t>
      </w:r>
      <w:r w:rsidR="00D140E1">
        <w:rPr>
          <w:rFonts w:ascii="Verdana" w:hAnsi="Verdana" w:cs="Verdana"/>
          <w:sz w:val="20"/>
          <w:szCs w:val="20"/>
          <w:lang w:val="es-CR"/>
        </w:rPr>
        <w:t>: i)</w:t>
      </w:r>
      <w:r w:rsidR="00DD05E0">
        <w:rPr>
          <w:rFonts w:ascii="Verdana" w:hAnsi="Verdana" w:cs="Verdana"/>
          <w:sz w:val="20"/>
          <w:szCs w:val="20"/>
          <w:lang w:val="es-CR"/>
        </w:rPr>
        <w:t xml:space="preserve"> las diferencias entre los seguros SIS y ESSALUD</w:t>
      </w:r>
      <w:r w:rsidR="00FC433E">
        <w:rPr>
          <w:rStyle w:val="Refdenotaalpie"/>
          <w:rFonts w:ascii="Verdana" w:hAnsi="Verdana" w:cs="Verdana"/>
          <w:sz w:val="20"/>
          <w:szCs w:val="20"/>
          <w:lang w:val="es-CR"/>
        </w:rPr>
        <w:footnoteReference w:id="88"/>
      </w:r>
      <w:r w:rsidR="00D140E1">
        <w:rPr>
          <w:rFonts w:ascii="Verdana" w:hAnsi="Verdana" w:cs="Verdana"/>
          <w:sz w:val="20"/>
          <w:szCs w:val="20"/>
          <w:lang w:val="es-CR"/>
        </w:rPr>
        <w:t>; ii)</w:t>
      </w:r>
      <w:r w:rsidR="00DD05E0">
        <w:rPr>
          <w:rFonts w:ascii="Verdana" w:hAnsi="Verdana" w:cs="Verdana"/>
          <w:sz w:val="20"/>
          <w:szCs w:val="20"/>
          <w:lang w:val="es-CR"/>
        </w:rPr>
        <w:t xml:space="preserve"> por qué algunos beneficiarios reciben un tipo de seguro </w:t>
      </w:r>
      <w:r w:rsidR="00D140E1">
        <w:rPr>
          <w:rFonts w:ascii="Verdana" w:hAnsi="Verdana" w:cs="Verdana"/>
          <w:sz w:val="20"/>
          <w:szCs w:val="20"/>
          <w:lang w:val="es-CR"/>
        </w:rPr>
        <w:t>y no otro, y iii)</w:t>
      </w:r>
      <w:r w:rsidR="00DD05E0">
        <w:rPr>
          <w:rFonts w:ascii="Verdana" w:hAnsi="Verdana" w:cs="Verdana"/>
          <w:sz w:val="20"/>
          <w:szCs w:val="20"/>
          <w:lang w:val="es-CR"/>
        </w:rPr>
        <w:t xml:space="preserve"> </w:t>
      </w:r>
      <w:r w:rsidR="00FC433E" w:rsidRPr="00DD05E0">
        <w:rPr>
          <w:rFonts w:ascii="Verdana" w:hAnsi="Verdana" w:cs="Verdana"/>
          <w:sz w:val="20"/>
          <w:szCs w:val="20"/>
          <w:lang w:val="es-CR"/>
        </w:rPr>
        <w:t xml:space="preserve">cómo ambos cumplen con los estándares establecidos por la Corte respecto a la </w:t>
      </w:r>
      <w:r w:rsidR="00FC433E" w:rsidRPr="0062612D">
        <w:rPr>
          <w:rFonts w:ascii="Verdana" w:hAnsi="Verdana" w:cs="Verdana"/>
          <w:sz w:val="20"/>
          <w:szCs w:val="20"/>
          <w:lang w:val="es-CR"/>
        </w:rPr>
        <w:t>presente medida (</w:t>
      </w:r>
      <w:r w:rsidR="00FC433E" w:rsidRPr="0062612D">
        <w:rPr>
          <w:rFonts w:ascii="Verdana" w:hAnsi="Verdana" w:cs="Verdana"/>
          <w:i/>
          <w:sz w:val="20"/>
          <w:szCs w:val="20"/>
          <w:lang w:val="es-CR"/>
        </w:rPr>
        <w:t xml:space="preserve">supra </w:t>
      </w:r>
      <w:r w:rsidR="00FC433E" w:rsidRPr="0062612D">
        <w:rPr>
          <w:rFonts w:ascii="Verdana" w:hAnsi="Verdana" w:cs="Verdana"/>
          <w:sz w:val="20"/>
          <w:szCs w:val="20"/>
          <w:lang w:val="es-CR"/>
        </w:rPr>
        <w:t xml:space="preserve">Considerando </w:t>
      </w:r>
      <w:r w:rsidR="00B81978">
        <w:rPr>
          <w:rFonts w:ascii="Verdana" w:hAnsi="Verdana" w:cs="Verdana"/>
          <w:sz w:val="20"/>
          <w:szCs w:val="20"/>
          <w:lang w:val="es-CR"/>
        </w:rPr>
        <w:t>36</w:t>
      </w:r>
      <w:r w:rsidR="00FC433E" w:rsidRPr="0062612D">
        <w:rPr>
          <w:rFonts w:ascii="Verdana" w:hAnsi="Verdana" w:cs="Verdana"/>
          <w:sz w:val="20"/>
          <w:szCs w:val="20"/>
          <w:lang w:val="es-CR"/>
        </w:rPr>
        <w:t>).</w:t>
      </w:r>
      <w:r w:rsidR="00B81978" w:rsidRPr="00676F6F">
        <w:rPr>
          <w:rFonts w:ascii="Verdana" w:hAnsi="Verdana" w:cs="Verdana"/>
          <w:sz w:val="20"/>
          <w:szCs w:val="20"/>
          <w:lang w:val="es-CR"/>
        </w:rPr>
        <w:t xml:space="preserve"> </w:t>
      </w:r>
      <w:r w:rsidR="00FC433E" w:rsidRPr="0062612D">
        <w:rPr>
          <w:rFonts w:ascii="Verdana" w:hAnsi="Verdana" w:cs="Verdana"/>
          <w:sz w:val="20"/>
          <w:szCs w:val="20"/>
          <w:lang w:val="es-CR"/>
        </w:rPr>
        <w:t xml:space="preserve">En razón de lo anterior, </w:t>
      </w:r>
      <w:r w:rsidR="00474EB9">
        <w:rPr>
          <w:rFonts w:ascii="Verdana" w:hAnsi="Verdana" w:cs="Verdana"/>
          <w:sz w:val="20"/>
          <w:szCs w:val="20"/>
          <w:lang w:val="es-CR"/>
        </w:rPr>
        <w:t>aun</w:t>
      </w:r>
      <w:r w:rsidR="00504E3E">
        <w:rPr>
          <w:rFonts w:ascii="Verdana" w:hAnsi="Verdana" w:cs="Verdana"/>
          <w:sz w:val="20"/>
          <w:szCs w:val="20"/>
          <w:lang w:val="es-CR"/>
        </w:rPr>
        <w:t xml:space="preserve"> cuando el Tribunal valora que el Estado haya asegurado a cinco de las víctimas, </w:t>
      </w:r>
      <w:r w:rsidR="00300475" w:rsidRPr="0062612D">
        <w:rPr>
          <w:rFonts w:ascii="Verdana" w:hAnsi="Verdana" w:cs="Verdana"/>
          <w:sz w:val="20"/>
          <w:szCs w:val="20"/>
          <w:lang w:val="es-CR"/>
        </w:rPr>
        <w:t>no cuenta con información</w:t>
      </w:r>
      <w:r w:rsidR="006B10B9" w:rsidRPr="0062612D">
        <w:rPr>
          <w:rFonts w:ascii="Verdana" w:hAnsi="Verdana" w:cs="Verdana"/>
          <w:sz w:val="20"/>
          <w:szCs w:val="20"/>
          <w:lang w:val="es-CR"/>
        </w:rPr>
        <w:t xml:space="preserve"> clara ni</w:t>
      </w:r>
      <w:r w:rsidR="00300475" w:rsidRPr="0062612D">
        <w:rPr>
          <w:rFonts w:ascii="Verdana" w:hAnsi="Verdana" w:cs="Verdana"/>
          <w:sz w:val="20"/>
          <w:szCs w:val="20"/>
          <w:lang w:val="es-CR"/>
        </w:rPr>
        <w:t xml:space="preserve"> actualizada que permita verificar </w:t>
      </w:r>
      <w:r w:rsidR="00C453B4" w:rsidRPr="0062612D">
        <w:rPr>
          <w:rFonts w:ascii="Verdana" w:hAnsi="Verdana" w:cs="Verdana"/>
          <w:sz w:val="20"/>
          <w:szCs w:val="20"/>
          <w:lang w:val="es-CR"/>
        </w:rPr>
        <w:t xml:space="preserve">el grado de </w:t>
      </w:r>
      <w:r w:rsidR="00FC433E" w:rsidRPr="0062612D">
        <w:rPr>
          <w:rFonts w:ascii="Verdana" w:hAnsi="Verdana" w:cs="Verdana"/>
          <w:sz w:val="20"/>
          <w:szCs w:val="20"/>
          <w:lang w:val="es-CR"/>
        </w:rPr>
        <w:t>cumplimiento de la presente medida</w:t>
      </w:r>
      <w:r w:rsidR="00504E3E">
        <w:rPr>
          <w:rFonts w:ascii="Verdana" w:hAnsi="Verdana" w:cs="Verdana"/>
          <w:sz w:val="20"/>
          <w:szCs w:val="20"/>
          <w:lang w:val="es-CR"/>
        </w:rPr>
        <w:t xml:space="preserve"> tomando en cuenta las objeciones efectuadas por los representantes de las víctimas</w:t>
      </w:r>
      <w:r w:rsidR="00300475" w:rsidRPr="0062612D">
        <w:rPr>
          <w:rFonts w:ascii="Verdana" w:hAnsi="Verdana" w:cs="Verdana"/>
          <w:sz w:val="20"/>
          <w:szCs w:val="20"/>
          <w:lang w:val="es-CR"/>
        </w:rPr>
        <w:t>.</w:t>
      </w:r>
    </w:p>
    <w:p w:rsidR="00FC433E" w:rsidRPr="0062612D" w:rsidRDefault="00FC433E" w:rsidP="00792C28">
      <w:pPr>
        <w:autoSpaceDE w:val="0"/>
        <w:autoSpaceDN w:val="0"/>
        <w:adjustRightInd w:val="0"/>
        <w:spacing w:after="120" w:line="240" w:lineRule="auto"/>
        <w:jc w:val="both"/>
        <w:rPr>
          <w:rFonts w:ascii="Verdana" w:hAnsi="Verdana" w:cs="Verdana"/>
          <w:sz w:val="20"/>
          <w:szCs w:val="20"/>
          <w:lang w:val="es-CR"/>
        </w:rPr>
      </w:pPr>
    </w:p>
    <w:p w:rsidR="00092F40" w:rsidRPr="00877B7C" w:rsidRDefault="00FC433E" w:rsidP="00792C28">
      <w:pPr>
        <w:numPr>
          <w:ilvl w:val="0"/>
          <w:numId w:val="28"/>
        </w:numPr>
        <w:autoSpaceDE w:val="0"/>
        <w:autoSpaceDN w:val="0"/>
        <w:adjustRightInd w:val="0"/>
        <w:spacing w:after="120" w:line="240" w:lineRule="auto"/>
        <w:ind w:left="0" w:firstLine="0"/>
        <w:jc w:val="both"/>
        <w:rPr>
          <w:rFonts w:ascii="Verdana" w:hAnsi="Verdana" w:cs="Verdana"/>
          <w:sz w:val="20"/>
          <w:szCs w:val="20"/>
          <w:lang w:val="es-CR"/>
        </w:rPr>
      </w:pPr>
      <w:r w:rsidRPr="00623717">
        <w:rPr>
          <w:rFonts w:ascii="Verdana" w:hAnsi="Verdana" w:cs="Verdana"/>
          <w:sz w:val="20"/>
          <w:szCs w:val="20"/>
          <w:lang w:val="es-CR"/>
        </w:rPr>
        <w:t>Adicionalmente, esta Corte observa</w:t>
      </w:r>
      <w:r w:rsidR="0062612D" w:rsidRPr="00623717">
        <w:rPr>
          <w:rFonts w:ascii="Verdana" w:hAnsi="Verdana" w:cs="Verdana"/>
          <w:sz w:val="20"/>
          <w:szCs w:val="20"/>
          <w:lang w:val="es-CR"/>
        </w:rPr>
        <w:t xml:space="preserve"> </w:t>
      </w:r>
      <w:r w:rsidRPr="00623717">
        <w:rPr>
          <w:rFonts w:ascii="Verdana" w:hAnsi="Verdana" w:cs="Verdana"/>
          <w:sz w:val="20"/>
          <w:szCs w:val="20"/>
          <w:lang w:val="es-CR"/>
        </w:rPr>
        <w:t xml:space="preserve">que el Perú no ha brindado información específica sobre </w:t>
      </w:r>
      <w:r w:rsidR="00513877" w:rsidRPr="00623717">
        <w:rPr>
          <w:rFonts w:ascii="Verdana" w:hAnsi="Verdana" w:cs="Verdana"/>
          <w:sz w:val="20"/>
          <w:szCs w:val="20"/>
          <w:lang w:val="es-CR"/>
        </w:rPr>
        <w:t xml:space="preserve">las </w:t>
      </w:r>
      <w:r w:rsidRPr="00623717">
        <w:rPr>
          <w:rFonts w:ascii="Verdana" w:hAnsi="Verdana" w:cs="Verdana"/>
          <w:sz w:val="20"/>
          <w:szCs w:val="20"/>
          <w:lang w:val="es-CR"/>
        </w:rPr>
        <w:t>“gestiones para continuar con el tratamiento psicológico que recibían Vanessa y Brenda Cantoral Contreras al momento de la emisión de la Sentencia”</w:t>
      </w:r>
      <w:r w:rsidRPr="00623717">
        <w:rPr>
          <w:rStyle w:val="Refdenotaalpie"/>
          <w:rFonts w:ascii="Verdana" w:hAnsi="Verdana" w:cs="Verdana"/>
          <w:sz w:val="20"/>
          <w:szCs w:val="20"/>
          <w:lang w:val="es-CR"/>
        </w:rPr>
        <w:footnoteReference w:id="89"/>
      </w:r>
      <w:r w:rsidR="00623717" w:rsidRPr="00623717">
        <w:rPr>
          <w:rFonts w:ascii="Verdana" w:hAnsi="Verdana" w:cs="Verdana"/>
          <w:sz w:val="20"/>
          <w:szCs w:val="20"/>
          <w:lang w:val="es-CR"/>
        </w:rPr>
        <w:t xml:space="preserve"> (</w:t>
      </w:r>
      <w:r w:rsidR="00623717" w:rsidRPr="00623717">
        <w:rPr>
          <w:rFonts w:ascii="Verdana" w:hAnsi="Verdana" w:cs="Verdana"/>
          <w:i/>
          <w:sz w:val="20"/>
          <w:szCs w:val="20"/>
          <w:lang w:val="es-CR"/>
        </w:rPr>
        <w:t xml:space="preserve">supra </w:t>
      </w:r>
      <w:r w:rsidR="00623717" w:rsidRPr="00623717">
        <w:rPr>
          <w:rFonts w:ascii="Verdana" w:hAnsi="Verdana" w:cs="Verdana"/>
          <w:sz w:val="20"/>
          <w:szCs w:val="20"/>
          <w:lang w:val="es-CR"/>
        </w:rPr>
        <w:t xml:space="preserve">Considerando </w:t>
      </w:r>
      <w:r w:rsidR="00D15092">
        <w:rPr>
          <w:rFonts w:ascii="Verdana" w:hAnsi="Verdana" w:cs="Verdana"/>
          <w:sz w:val="20"/>
          <w:szCs w:val="20"/>
          <w:lang w:val="es-CR"/>
        </w:rPr>
        <w:t>36</w:t>
      </w:r>
      <w:r w:rsidR="00623717" w:rsidRPr="00623717">
        <w:rPr>
          <w:rFonts w:ascii="Verdana" w:hAnsi="Verdana" w:cs="Verdana"/>
          <w:sz w:val="20"/>
          <w:szCs w:val="20"/>
          <w:lang w:val="es-CR"/>
        </w:rPr>
        <w:t>), lo c</w:t>
      </w:r>
      <w:r w:rsidR="00676F6F">
        <w:rPr>
          <w:rFonts w:ascii="Verdana" w:hAnsi="Verdana" w:cs="Verdana"/>
          <w:sz w:val="20"/>
          <w:szCs w:val="20"/>
          <w:lang w:val="es-CR"/>
        </w:rPr>
        <w:t>ual a 11 de años de emitido el F</w:t>
      </w:r>
      <w:r w:rsidR="00623717" w:rsidRPr="00623717">
        <w:rPr>
          <w:rFonts w:ascii="Verdana" w:hAnsi="Verdana" w:cs="Verdana"/>
          <w:sz w:val="20"/>
          <w:szCs w:val="20"/>
          <w:lang w:val="es-CR"/>
        </w:rPr>
        <w:t>allo resulta preocupante. En particular considerando que el Tribunal ordenó esta medida respecto a ambas víctimas por la atención psicológica que entonces estaban recibiendo, así como “</w:t>
      </w:r>
      <w:r w:rsidR="00623717" w:rsidRPr="00623717">
        <w:rPr>
          <w:rFonts w:ascii="Verdana" w:hAnsi="Verdana"/>
          <w:sz w:val="20"/>
          <w:szCs w:val="20"/>
          <w:lang w:val="es-CR"/>
        </w:rPr>
        <w:t xml:space="preserve">toma[ndo] en cuenta la particular naturaleza de la atención psicológica, la cual implica el establecimiento de una relación de confianza entre el psicólogo y el paciente, cuya ruptura brusca podría afectar el tratamiento y resultar </w:t>
      </w:r>
      <w:r w:rsidR="00623717" w:rsidRPr="00877B7C">
        <w:rPr>
          <w:rFonts w:ascii="Verdana" w:hAnsi="Verdana"/>
          <w:sz w:val="20"/>
          <w:szCs w:val="20"/>
          <w:lang w:val="es-CR"/>
        </w:rPr>
        <w:t>desfavorable a este último”</w:t>
      </w:r>
      <w:r w:rsidR="00676F6F">
        <w:rPr>
          <w:rStyle w:val="Refdenotaalpie"/>
          <w:rFonts w:ascii="Verdana" w:hAnsi="Verdana"/>
          <w:sz w:val="20"/>
          <w:szCs w:val="20"/>
          <w:lang w:val="es-CR"/>
        </w:rPr>
        <w:footnoteReference w:id="90"/>
      </w:r>
      <w:r w:rsidRPr="00877B7C">
        <w:rPr>
          <w:rFonts w:ascii="Verdana" w:hAnsi="Verdana" w:cs="Verdana"/>
          <w:sz w:val="20"/>
          <w:szCs w:val="20"/>
          <w:lang w:val="es-CR"/>
        </w:rPr>
        <w:t xml:space="preserve">. </w:t>
      </w:r>
    </w:p>
    <w:p w:rsidR="002C70F6" w:rsidRPr="00877B7C" w:rsidRDefault="002C70F6" w:rsidP="00792C28">
      <w:pPr>
        <w:autoSpaceDE w:val="0"/>
        <w:autoSpaceDN w:val="0"/>
        <w:adjustRightInd w:val="0"/>
        <w:spacing w:after="120" w:line="240" w:lineRule="auto"/>
        <w:jc w:val="both"/>
        <w:rPr>
          <w:rFonts w:ascii="Verdana" w:hAnsi="Verdana"/>
          <w:sz w:val="20"/>
          <w:szCs w:val="20"/>
          <w:lang w:val="es-MX"/>
        </w:rPr>
      </w:pPr>
    </w:p>
    <w:p w:rsidR="00195B71" w:rsidRPr="00877B7C" w:rsidRDefault="008B5002" w:rsidP="00792C28">
      <w:pPr>
        <w:numPr>
          <w:ilvl w:val="0"/>
          <w:numId w:val="28"/>
        </w:numPr>
        <w:autoSpaceDE w:val="0"/>
        <w:autoSpaceDN w:val="0"/>
        <w:adjustRightInd w:val="0"/>
        <w:spacing w:after="120" w:line="240" w:lineRule="auto"/>
        <w:ind w:left="0" w:firstLine="0"/>
        <w:jc w:val="both"/>
        <w:rPr>
          <w:rFonts w:ascii="Verdana" w:hAnsi="Verdana"/>
          <w:sz w:val="20"/>
          <w:szCs w:val="20"/>
          <w:lang w:val="es-MX"/>
        </w:rPr>
      </w:pPr>
      <w:r w:rsidRPr="00877B7C">
        <w:rPr>
          <w:rFonts w:ascii="Verdana" w:hAnsi="Verdana" w:cs="Verdana"/>
          <w:sz w:val="20"/>
          <w:szCs w:val="20"/>
          <w:lang w:val="es-CR"/>
        </w:rPr>
        <w:t>Al respecto, el Tribunal recuerda que</w:t>
      </w:r>
      <w:r w:rsidR="00F851CD">
        <w:rPr>
          <w:rFonts w:ascii="Verdana" w:hAnsi="Verdana" w:cs="Verdana"/>
          <w:sz w:val="20"/>
          <w:szCs w:val="20"/>
          <w:lang w:val="es-CR"/>
        </w:rPr>
        <w:t>,</w:t>
      </w:r>
      <w:r w:rsidRPr="00877B7C">
        <w:rPr>
          <w:rFonts w:ascii="Verdana" w:hAnsi="Verdana" w:cs="Verdana"/>
          <w:sz w:val="20"/>
          <w:szCs w:val="20"/>
          <w:lang w:val="es-CR"/>
        </w:rPr>
        <w:t xml:space="preserve"> de conformidad con su jurisprudencia constante, el cumplimiento de esta medida de reparación</w:t>
      </w:r>
      <w:r w:rsidRPr="00877B7C">
        <w:rPr>
          <w:rFonts w:ascii="Verdana" w:hAnsi="Verdana" w:cs="Verdana"/>
          <w:sz w:val="19"/>
          <w:szCs w:val="19"/>
          <w:lang w:val="es-CR"/>
        </w:rPr>
        <w:t xml:space="preserve"> </w:t>
      </w:r>
      <w:r w:rsidRPr="00877B7C">
        <w:rPr>
          <w:rFonts w:ascii="Verdana" w:hAnsi="Verdana" w:cs="Verdana"/>
          <w:sz w:val="20"/>
          <w:szCs w:val="19"/>
          <w:lang w:val="es-CR"/>
        </w:rPr>
        <w:t>no se agota con la sola inscripción de los familiares de las víctimas en el Sistema Integral de Salud</w:t>
      </w:r>
      <w:r w:rsidRPr="00877B7C">
        <w:rPr>
          <w:rStyle w:val="Refdenotaalpie"/>
          <w:rFonts w:ascii="Verdana" w:hAnsi="Verdana" w:cs="Verdana"/>
          <w:sz w:val="20"/>
          <w:szCs w:val="19"/>
          <w:lang w:val="es-CR"/>
        </w:rPr>
        <w:footnoteReference w:id="91"/>
      </w:r>
      <w:r w:rsidR="008949DC">
        <w:rPr>
          <w:rFonts w:ascii="Verdana" w:hAnsi="Verdana" w:cs="Verdana"/>
          <w:sz w:val="20"/>
          <w:szCs w:val="19"/>
          <w:lang w:val="es-CR"/>
        </w:rPr>
        <w:t>, de manera que las víctimas deben recibir un tratamiento diferenciado</w:t>
      </w:r>
      <w:r w:rsidR="00E463BC">
        <w:rPr>
          <w:rFonts w:ascii="Verdana" w:hAnsi="Verdana" w:cs="Verdana"/>
          <w:sz w:val="20"/>
          <w:szCs w:val="19"/>
          <w:lang w:val="es-CR"/>
        </w:rPr>
        <w:t>, por su carácter de víctimas,</w:t>
      </w:r>
      <w:r w:rsidR="008949DC">
        <w:rPr>
          <w:rFonts w:ascii="Verdana" w:hAnsi="Verdana" w:cs="Verdana"/>
          <w:sz w:val="20"/>
          <w:szCs w:val="19"/>
          <w:lang w:val="es-CR"/>
        </w:rPr>
        <w:t xml:space="preserve"> en relación con el trámite y procedimiento que deben realizar para ser atendidos a través de las instituciones del Estado</w:t>
      </w:r>
      <w:r w:rsidR="00E463BC">
        <w:rPr>
          <w:rStyle w:val="Refdenotaalpie"/>
          <w:rFonts w:ascii="Verdana" w:hAnsi="Verdana" w:cs="Verdana"/>
          <w:sz w:val="20"/>
          <w:szCs w:val="19"/>
          <w:lang w:val="es-CR"/>
        </w:rPr>
        <w:footnoteReference w:id="92"/>
      </w:r>
      <w:r w:rsidRPr="00877B7C">
        <w:rPr>
          <w:rFonts w:ascii="Verdana" w:hAnsi="Verdana" w:cs="Verdana"/>
          <w:sz w:val="20"/>
          <w:szCs w:val="19"/>
          <w:lang w:val="es-CR"/>
        </w:rPr>
        <w:t>.</w:t>
      </w:r>
      <w:r w:rsidR="00C57450" w:rsidRPr="00877B7C">
        <w:rPr>
          <w:rFonts w:ascii="Verdana" w:hAnsi="Verdana" w:cs="Verdana"/>
          <w:sz w:val="20"/>
          <w:szCs w:val="19"/>
          <w:lang w:val="es-CR"/>
        </w:rPr>
        <w:t xml:space="preserve"> </w:t>
      </w:r>
      <w:r w:rsidR="00195B71" w:rsidRPr="00877B7C">
        <w:rPr>
          <w:rFonts w:ascii="Verdana" w:hAnsi="Verdana" w:cs="Verdana"/>
          <w:sz w:val="20"/>
          <w:szCs w:val="19"/>
          <w:lang w:val="es-CR"/>
        </w:rPr>
        <w:t xml:space="preserve">Asimismo, si bien </w:t>
      </w:r>
      <w:r w:rsidR="00195B71" w:rsidRPr="00877B7C">
        <w:rPr>
          <w:rFonts w:ascii="Verdana" w:hAnsi="Verdana"/>
          <w:sz w:val="20"/>
          <w:szCs w:val="20"/>
          <w:lang w:val="es-MX"/>
        </w:rPr>
        <w:t>el Tribunal valora las iniciativas estatales de carácter general relacionadas con los sistemas de la salud, debe recordar que,</w:t>
      </w:r>
      <w:r w:rsidR="00195B71" w:rsidRPr="00877B7C">
        <w:rPr>
          <w:rFonts w:ascii="Verdana" w:hAnsi="Verdana"/>
          <w:sz w:val="20"/>
          <w:szCs w:val="20"/>
          <w:lang w:val="es-CR"/>
        </w:rPr>
        <w:t xml:space="preserve"> además de las medidas que adopte en el marco del sistema general de salud, es necesario que el Estado otorgue una atención</w:t>
      </w:r>
      <w:r w:rsidR="0093489C">
        <w:rPr>
          <w:rFonts w:ascii="Verdana" w:hAnsi="Verdana"/>
          <w:sz w:val="20"/>
          <w:szCs w:val="20"/>
          <w:lang w:val="es-CR"/>
        </w:rPr>
        <w:t xml:space="preserve"> gratuita, inmediata</w:t>
      </w:r>
      <w:r w:rsidR="0093489C" w:rsidRPr="0093489C">
        <w:rPr>
          <w:rFonts w:ascii="Verdana" w:hAnsi="Verdana"/>
          <w:sz w:val="20"/>
          <w:szCs w:val="20"/>
          <w:lang w:val="es-CR"/>
        </w:rPr>
        <w:t xml:space="preserve"> </w:t>
      </w:r>
      <w:r w:rsidR="0093489C">
        <w:rPr>
          <w:rFonts w:ascii="Verdana" w:hAnsi="Verdana"/>
          <w:sz w:val="20"/>
          <w:szCs w:val="20"/>
          <w:lang w:val="es-CR"/>
        </w:rPr>
        <w:t>y</w:t>
      </w:r>
      <w:r w:rsidR="0093489C" w:rsidRPr="00877B7C">
        <w:rPr>
          <w:rFonts w:ascii="Verdana" w:hAnsi="Verdana"/>
          <w:sz w:val="20"/>
          <w:szCs w:val="20"/>
          <w:lang w:val="es-CR"/>
        </w:rPr>
        <w:t xml:space="preserve"> </w:t>
      </w:r>
      <w:r w:rsidR="008949DC">
        <w:rPr>
          <w:rFonts w:ascii="Verdana" w:hAnsi="Verdana"/>
          <w:sz w:val="20"/>
          <w:szCs w:val="20"/>
          <w:lang w:val="es-CR"/>
        </w:rPr>
        <w:t>diferenciada</w:t>
      </w:r>
      <w:r w:rsidR="0093489C" w:rsidRPr="00877B7C">
        <w:rPr>
          <w:rFonts w:ascii="Verdana" w:hAnsi="Verdana"/>
          <w:sz w:val="20"/>
          <w:szCs w:val="20"/>
          <w:lang w:val="es-CR"/>
        </w:rPr>
        <w:t xml:space="preserve"> a las víctimas</w:t>
      </w:r>
      <w:r w:rsidR="0093489C">
        <w:rPr>
          <w:rFonts w:ascii="Verdana" w:hAnsi="Verdana"/>
          <w:sz w:val="20"/>
          <w:szCs w:val="20"/>
          <w:lang w:val="es-CR"/>
        </w:rPr>
        <w:t>, por parte de personal e instituciones especializadas, proporcionando el tratamiento más adecuado y efectivo</w:t>
      </w:r>
      <w:r w:rsidR="00195B71" w:rsidRPr="00877B7C">
        <w:rPr>
          <w:rStyle w:val="Refdenotaalpie"/>
          <w:rFonts w:ascii="Verdana" w:hAnsi="Verdana"/>
          <w:sz w:val="20"/>
          <w:szCs w:val="20"/>
          <w:lang w:val="es-CR"/>
        </w:rPr>
        <w:footnoteReference w:id="93"/>
      </w:r>
      <w:r w:rsidR="00195B71" w:rsidRPr="00877B7C">
        <w:rPr>
          <w:rFonts w:ascii="Verdana" w:hAnsi="Verdana"/>
          <w:sz w:val="20"/>
          <w:szCs w:val="20"/>
          <w:lang w:val="es-CR"/>
        </w:rPr>
        <w:t>.</w:t>
      </w:r>
      <w:r w:rsidR="00877B7C" w:rsidRPr="00877B7C">
        <w:rPr>
          <w:rFonts w:ascii="Verdana" w:hAnsi="Verdana"/>
          <w:sz w:val="20"/>
          <w:szCs w:val="20"/>
          <w:lang w:val="es-CR"/>
        </w:rPr>
        <w:t xml:space="preserve"> </w:t>
      </w:r>
      <w:r w:rsidR="00877B7C" w:rsidRPr="00877B7C">
        <w:rPr>
          <w:rFonts w:ascii="Verdana" w:hAnsi="Verdana" w:cs="Verdana"/>
          <w:sz w:val="20"/>
          <w:szCs w:val="20"/>
          <w:lang w:val="es-CR"/>
        </w:rPr>
        <w:t xml:space="preserve">Por tanto, la Corte </w:t>
      </w:r>
      <w:r w:rsidR="00877B7C" w:rsidRPr="00877B7C">
        <w:rPr>
          <w:rFonts w:ascii="Verdana" w:hAnsi="Verdana"/>
          <w:sz w:val="20"/>
          <w:lang w:val="es-MX"/>
        </w:rPr>
        <w:t xml:space="preserve">requiere al Estado que, en el plazo indicado en el punto resolutivo </w:t>
      </w:r>
      <w:r w:rsidR="00D661D2">
        <w:rPr>
          <w:rFonts w:ascii="Verdana" w:hAnsi="Verdana"/>
          <w:sz w:val="20"/>
          <w:lang w:val="es-MX"/>
        </w:rPr>
        <w:t>4</w:t>
      </w:r>
      <w:r w:rsidR="00877B7C" w:rsidRPr="00877B7C">
        <w:rPr>
          <w:rFonts w:ascii="Verdana" w:hAnsi="Verdana"/>
          <w:sz w:val="20"/>
          <w:lang w:val="es-MX"/>
        </w:rPr>
        <w:t xml:space="preserve"> de la presente Resolución, remita información detallada y actualizada sobre: </w:t>
      </w:r>
      <w:r w:rsidR="00877B7C" w:rsidRPr="00877B7C">
        <w:rPr>
          <w:rFonts w:ascii="Verdana" w:hAnsi="Verdana" w:cs="Verdana"/>
          <w:sz w:val="20"/>
          <w:szCs w:val="20"/>
          <w:lang w:val="es-CR"/>
        </w:rPr>
        <w:t>i) la distinción de servicios que brinda, por un lado el SIS, y por otro lado ESSALUD, así como los criterios para incorporar a las víctimas a cada uno de dichos seguros; ii) cómo dichos seguros cumplen con los estándares establecidos por el Tribunal respecto al otorgam</w:t>
      </w:r>
      <w:r w:rsidR="00232151">
        <w:rPr>
          <w:rFonts w:ascii="Verdana" w:hAnsi="Verdana" w:cs="Verdana"/>
          <w:sz w:val="20"/>
          <w:szCs w:val="20"/>
          <w:lang w:val="es-CR"/>
        </w:rPr>
        <w:t>iento de esta medida</w:t>
      </w:r>
      <w:r w:rsidR="00877B7C" w:rsidRPr="00877B7C">
        <w:rPr>
          <w:rFonts w:ascii="Verdana" w:hAnsi="Verdana" w:cs="Verdana"/>
          <w:sz w:val="20"/>
          <w:szCs w:val="20"/>
          <w:lang w:val="es-CR"/>
        </w:rPr>
        <w:t>,</w:t>
      </w:r>
      <w:r w:rsidR="004A4928">
        <w:rPr>
          <w:rFonts w:ascii="Verdana" w:hAnsi="Verdana" w:cs="Verdana"/>
          <w:sz w:val="20"/>
          <w:szCs w:val="20"/>
          <w:lang w:val="es-CR"/>
        </w:rPr>
        <w:t xml:space="preserve"> en particular respecto de la atención diferenciada por su carácter de víctimas,</w:t>
      </w:r>
      <w:r w:rsidR="00877B7C" w:rsidRPr="00877B7C">
        <w:rPr>
          <w:rFonts w:ascii="Verdana" w:hAnsi="Verdana" w:cs="Verdana"/>
          <w:sz w:val="20"/>
          <w:szCs w:val="20"/>
          <w:lang w:val="es-CR"/>
        </w:rPr>
        <w:t xml:space="preserve"> y iii) las acciones tomadas para asegurar la continuación de los tratamientos psicológicos de Vanessa y Brenda Cantoral Contreras, de ac</w:t>
      </w:r>
      <w:r w:rsidR="00232151">
        <w:rPr>
          <w:rFonts w:ascii="Verdana" w:hAnsi="Verdana" w:cs="Verdana"/>
          <w:sz w:val="20"/>
          <w:szCs w:val="20"/>
          <w:lang w:val="es-CR"/>
        </w:rPr>
        <w:t>uerdo con lo establecido en el F</w:t>
      </w:r>
      <w:r w:rsidR="00877B7C" w:rsidRPr="00877B7C">
        <w:rPr>
          <w:rFonts w:ascii="Verdana" w:hAnsi="Verdana" w:cs="Verdana"/>
          <w:sz w:val="20"/>
          <w:szCs w:val="20"/>
          <w:lang w:val="es-CR"/>
        </w:rPr>
        <w:t xml:space="preserve">allo del presente caso. </w:t>
      </w:r>
    </w:p>
    <w:p w:rsidR="002C70F6" w:rsidRDefault="002C70F6" w:rsidP="002C70F6">
      <w:pPr>
        <w:autoSpaceDE w:val="0"/>
        <w:autoSpaceDN w:val="0"/>
        <w:adjustRightInd w:val="0"/>
        <w:spacing w:after="0" w:line="240" w:lineRule="auto"/>
        <w:jc w:val="both"/>
        <w:rPr>
          <w:rFonts w:ascii="Verdana" w:hAnsi="Verdana"/>
          <w:sz w:val="10"/>
          <w:szCs w:val="10"/>
          <w:lang w:val="es-MX"/>
        </w:rPr>
      </w:pPr>
    </w:p>
    <w:p w:rsidR="004C6BAE" w:rsidRPr="001E0FFB" w:rsidRDefault="00EB5BB0" w:rsidP="00792C28">
      <w:pPr>
        <w:numPr>
          <w:ilvl w:val="0"/>
          <w:numId w:val="28"/>
        </w:numPr>
        <w:autoSpaceDE w:val="0"/>
        <w:autoSpaceDN w:val="0"/>
        <w:adjustRightInd w:val="0"/>
        <w:spacing w:after="120" w:line="240" w:lineRule="auto"/>
        <w:ind w:left="0" w:firstLine="0"/>
        <w:jc w:val="both"/>
        <w:rPr>
          <w:rFonts w:ascii="Verdana" w:hAnsi="Verdana" w:cs="Verdana"/>
          <w:sz w:val="20"/>
          <w:szCs w:val="20"/>
          <w:lang w:val="es-CR"/>
        </w:rPr>
      </w:pPr>
      <w:r w:rsidRPr="00FC6473">
        <w:rPr>
          <w:rFonts w:ascii="Verdana" w:hAnsi="Verdana" w:cs="Verdana"/>
          <w:sz w:val="20"/>
          <w:szCs w:val="20"/>
          <w:lang w:val="es-CR"/>
        </w:rPr>
        <w:t xml:space="preserve">Por todo lo anterior, la Corte considera que </w:t>
      </w:r>
      <w:r w:rsidR="0013369F">
        <w:rPr>
          <w:rFonts w:ascii="Verdana" w:hAnsi="Verdana" w:cs="Verdana"/>
          <w:sz w:val="20"/>
          <w:szCs w:val="20"/>
          <w:lang w:val="es-CR"/>
        </w:rPr>
        <w:t xml:space="preserve">se encuentra pendiente de cumplimiento </w:t>
      </w:r>
      <w:r w:rsidRPr="00FC6473">
        <w:rPr>
          <w:rFonts w:ascii="Verdana" w:hAnsi="Verdana" w:cs="Verdana"/>
          <w:sz w:val="20"/>
          <w:szCs w:val="20"/>
          <w:lang w:val="es-CR"/>
        </w:rPr>
        <w:t xml:space="preserve">la medida de reparación relativa a </w:t>
      </w:r>
      <w:r w:rsidR="00FC6473" w:rsidRPr="00FC6473">
        <w:rPr>
          <w:rFonts w:ascii="Verdana" w:hAnsi="Verdana" w:cs="Verdana"/>
          <w:sz w:val="20"/>
          <w:szCs w:val="20"/>
          <w:lang w:val="es-CR"/>
        </w:rPr>
        <w:t>posibilitar la continuación, por el tiempo que sea necesario, del tratamiento psicológico en las condiciones en que las que estaban recibiendo Vanessa y Brenda Cantoral Contreras al momento de emisión de la Sentencia, y brindar gratuitamente, de forma inmediata y por el tiempo que sea necesario, el tratamiento psicológico y médico requerido por los demás familiares declarados víctimas</w:t>
      </w:r>
      <w:r w:rsidRPr="00FC6473">
        <w:rPr>
          <w:rFonts w:ascii="Verdana" w:hAnsi="Verdana" w:cs="Verdana"/>
          <w:sz w:val="20"/>
          <w:szCs w:val="20"/>
          <w:lang w:val="es-CR"/>
        </w:rPr>
        <w:t xml:space="preserve">, según fue ordenada en el punto dispositivo décimo </w:t>
      </w:r>
      <w:r w:rsidRPr="001E0FFB">
        <w:rPr>
          <w:rFonts w:ascii="Verdana" w:hAnsi="Verdana" w:cs="Verdana"/>
          <w:sz w:val="20"/>
          <w:szCs w:val="20"/>
          <w:lang w:val="es-CR"/>
        </w:rPr>
        <w:t xml:space="preserve">tercero de la Sentencia. </w:t>
      </w:r>
    </w:p>
    <w:p w:rsidR="002C70F6" w:rsidRPr="00C54D7F" w:rsidRDefault="002C70F6" w:rsidP="00792C28">
      <w:pPr>
        <w:autoSpaceDE w:val="0"/>
        <w:autoSpaceDN w:val="0"/>
        <w:adjustRightInd w:val="0"/>
        <w:spacing w:after="120" w:line="240" w:lineRule="auto"/>
        <w:jc w:val="both"/>
        <w:rPr>
          <w:rFonts w:ascii="Verdana" w:hAnsi="Verdana"/>
          <w:sz w:val="14"/>
          <w:szCs w:val="14"/>
          <w:lang w:val="es-CR"/>
        </w:rPr>
      </w:pPr>
    </w:p>
    <w:p w:rsidR="001052AB" w:rsidRPr="00C54D7F" w:rsidRDefault="001052AB" w:rsidP="00792C28">
      <w:pPr>
        <w:pStyle w:val="Listavistosa-nfasis1"/>
        <w:numPr>
          <w:ilvl w:val="0"/>
          <w:numId w:val="7"/>
        </w:numPr>
        <w:spacing w:after="120" w:line="240" w:lineRule="auto"/>
        <w:contextualSpacing w:val="0"/>
        <w:jc w:val="both"/>
        <w:outlineLvl w:val="0"/>
        <w:rPr>
          <w:rFonts w:ascii="Verdana" w:hAnsi="Verdana"/>
          <w:b/>
          <w:i/>
          <w:sz w:val="20"/>
          <w:lang w:val="es-MX"/>
        </w:rPr>
      </w:pPr>
      <w:bookmarkStart w:id="10" w:name="_Toc495655662"/>
      <w:bookmarkStart w:id="11" w:name="_Toc5465086"/>
      <w:r w:rsidRPr="00C54D7F">
        <w:rPr>
          <w:rFonts w:ascii="Verdana" w:hAnsi="Verdana"/>
          <w:b/>
          <w:i/>
          <w:sz w:val="20"/>
          <w:lang w:val="es-MX"/>
        </w:rPr>
        <w:t>Pago de indemnizaciones por concepto de daño</w:t>
      </w:r>
      <w:r w:rsidR="00316A39" w:rsidRPr="00C54D7F">
        <w:rPr>
          <w:rFonts w:ascii="Verdana" w:hAnsi="Verdana"/>
          <w:b/>
          <w:i/>
          <w:sz w:val="20"/>
          <w:lang w:val="es-MX"/>
        </w:rPr>
        <w:t>s</w:t>
      </w:r>
      <w:r w:rsidRPr="00C54D7F">
        <w:rPr>
          <w:rFonts w:ascii="Verdana" w:hAnsi="Verdana"/>
          <w:b/>
          <w:i/>
          <w:sz w:val="20"/>
          <w:lang w:val="es-MX"/>
        </w:rPr>
        <w:t xml:space="preserve"> material</w:t>
      </w:r>
      <w:r w:rsidR="00316A39" w:rsidRPr="00C54D7F">
        <w:rPr>
          <w:rFonts w:ascii="Verdana" w:hAnsi="Verdana"/>
          <w:b/>
          <w:i/>
          <w:sz w:val="20"/>
          <w:lang w:val="es-MX"/>
        </w:rPr>
        <w:t>es</w:t>
      </w:r>
      <w:r w:rsidRPr="00C54D7F">
        <w:rPr>
          <w:rFonts w:ascii="Verdana" w:hAnsi="Verdana"/>
          <w:b/>
          <w:i/>
          <w:sz w:val="20"/>
          <w:lang w:val="es-MX"/>
        </w:rPr>
        <w:t xml:space="preserve"> e inmaterial</w:t>
      </w:r>
      <w:r w:rsidR="00316A39" w:rsidRPr="00C54D7F">
        <w:rPr>
          <w:rFonts w:ascii="Verdana" w:hAnsi="Verdana"/>
          <w:b/>
          <w:i/>
          <w:sz w:val="20"/>
          <w:lang w:val="es-MX"/>
        </w:rPr>
        <w:t>es</w:t>
      </w:r>
      <w:bookmarkEnd w:id="11"/>
      <w:r w:rsidRPr="00C54D7F">
        <w:rPr>
          <w:rFonts w:ascii="Verdana" w:hAnsi="Verdana"/>
          <w:b/>
          <w:i/>
          <w:sz w:val="20"/>
          <w:lang w:val="es-MX"/>
        </w:rPr>
        <w:t xml:space="preserve"> </w:t>
      </w:r>
      <w:bookmarkEnd w:id="10"/>
      <w:r w:rsidR="00E678A4">
        <w:rPr>
          <w:rFonts w:ascii="Verdana" w:hAnsi="Verdana"/>
          <w:b/>
          <w:i/>
          <w:sz w:val="20"/>
          <w:lang w:val="es-MX"/>
        </w:rPr>
        <w:t>y reintegro de costas y gastos</w:t>
      </w:r>
    </w:p>
    <w:p w:rsidR="00800D7D" w:rsidRPr="00C54D7F" w:rsidRDefault="00800D7D" w:rsidP="00792C28">
      <w:pPr>
        <w:pStyle w:val="Listavistosa-nfasis1"/>
        <w:spacing w:after="120" w:line="240" w:lineRule="auto"/>
        <w:ind w:left="0"/>
        <w:contextualSpacing w:val="0"/>
        <w:jc w:val="both"/>
        <w:outlineLvl w:val="0"/>
        <w:rPr>
          <w:rFonts w:ascii="Verdana" w:hAnsi="Verdana"/>
          <w:sz w:val="14"/>
          <w:szCs w:val="14"/>
          <w:lang w:val="es-MX"/>
        </w:rPr>
      </w:pPr>
    </w:p>
    <w:p w:rsidR="005F2113" w:rsidRPr="00C54D7F" w:rsidRDefault="005F2113" w:rsidP="00792C28">
      <w:pPr>
        <w:pStyle w:val="Listavistosa-nfasis1"/>
        <w:spacing w:after="120" w:line="240" w:lineRule="auto"/>
        <w:ind w:left="450"/>
        <w:contextualSpacing w:val="0"/>
        <w:jc w:val="both"/>
        <w:rPr>
          <w:rFonts w:ascii="Verdana" w:hAnsi="Verdana"/>
          <w:i/>
          <w:sz w:val="20"/>
          <w:szCs w:val="20"/>
          <w:lang w:val="es-MX"/>
        </w:rPr>
      </w:pPr>
      <w:r w:rsidRPr="00C54D7F">
        <w:rPr>
          <w:rFonts w:ascii="Verdana" w:hAnsi="Verdana"/>
          <w:i/>
          <w:sz w:val="20"/>
          <w:szCs w:val="20"/>
          <w:lang w:val="es-MX"/>
        </w:rPr>
        <w:t>F.1 Medida</w:t>
      </w:r>
      <w:r w:rsidR="0046663E">
        <w:rPr>
          <w:rFonts w:ascii="Verdana" w:hAnsi="Verdana"/>
          <w:i/>
          <w:sz w:val="20"/>
          <w:szCs w:val="20"/>
          <w:lang w:val="es-MX"/>
        </w:rPr>
        <w:t>s</w:t>
      </w:r>
      <w:r w:rsidRPr="00C54D7F">
        <w:rPr>
          <w:rFonts w:ascii="Verdana" w:hAnsi="Verdana"/>
          <w:i/>
          <w:sz w:val="20"/>
          <w:szCs w:val="20"/>
          <w:lang w:val="es-MX"/>
        </w:rPr>
        <w:t xml:space="preserve"> ordenada</w:t>
      </w:r>
      <w:r w:rsidR="0046663E">
        <w:rPr>
          <w:rFonts w:ascii="Verdana" w:hAnsi="Verdana"/>
          <w:i/>
          <w:sz w:val="20"/>
          <w:szCs w:val="20"/>
          <w:lang w:val="es-MX"/>
        </w:rPr>
        <w:t>s</w:t>
      </w:r>
      <w:r w:rsidRPr="00C54D7F">
        <w:rPr>
          <w:rFonts w:ascii="Verdana" w:hAnsi="Verdana"/>
          <w:i/>
          <w:sz w:val="20"/>
          <w:szCs w:val="20"/>
          <w:lang w:val="es-MX"/>
        </w:rPr>
        <w:t xml:space="preserve"> por la Corte y supervisión reali</w:t>
      </w:r>
      <w:r w:rsidR="002C70F6" w:rsidRPr="00C54D7F">
        <w:rPr>
          <w:rFonts w:ascii="Verdana" w:hAnsi="Verdana"/>
          <w:i/>
          <w:sz w:val="20"/>
          <w:szCs w:val="20"/>
          <w:lang w:val="es-MX"/>
        </w:rPr>
        <w:t>zada en resoluciones anteriores</w:t>
      </w:r>
    </w:p>
    <w:p w:rsidR="002C70F6" w:rsidRPr="00C54D7F" w:rsidRDefault="002C70F6" w:rsidP="00792C28">
      <w:pPr>
        <w:pStyle w:val="Listavistosa-nfasis1"/>
        <w:spacing w:after="120" w:line="240" w:lineRule="auto"/>
        <w:ind w:left="0"/>
        <w:contextualSpacing w:val="0"/>
        <w:jc w:val="both"/>
        <w:rPr>
          <w:rFonts w:ascii="Verdana" w:hAnsi="Verdana"/>
          <w:sz w:val="14"/>
          <w:szCs w:val="14"/>
          <w:lang w:val="es-MX"/>
        </w:rPr>
      </w:pPr>
    </w:p>
    <w:p w:rsidR="00FA7C94" w:rsidRDefault="001E0FFB" w:rsidP="00792C28">
      <w:pPr>
        <w:numPr>
          <w:ilvl w:val="0"/>
          <w:numId w:val="28"/>
        </w:numPr>
        <w:autoSpaceDE w:val="0"/>
        <w:autoSpaceDN w:val="0"/>
        <w:adjustRightInd w:val="0"/>
        <w:spacing w:after="120" w:line="240" w:lineRule="auto"/>
        <w:ind w:left="0" w:firstLine="0"/>
        <w:jc w:val="both"/>
        <w:rPr>
          <w:rFonts w:ascii="Verdana" w:hAnsi="Verdana"/>
          <w:sz w:val="20"/>
          <w:szCs w:val="20"/>
          <w:lang w:val="es-MX"/>
        </w:rPr>
      </w:pPr>
      <w:r w:rsidRPr="00C54D7F">
        <w:rPr>
          <w:rFonts w:ascii="Verdana" w:hAnsi="Verdana" w:cs="Verdana"/>
          <w:sz w:val="20"/>
          <w:szCs w:val="20"/>
          <w:lang w:val="es-CR"/>
        </w:rPr>
        <w:t xml:space="preserve">En el punto dispositivo décimo cuarto y en los </w:t>
      </w:r>
      <w:r w:rsidRPr="00E678A4">
        <w:rPr>
          <w:rFonts w:ascii="Verdana" w:hAnsi="Verdana" w:cs="Verdana"/>
          <w:sz w:val="20"/>
          <w:szCs w:val="20"/>
          <w:lang w:val="es-CR"/>
        </w:rPr>
        <w:t xml:space="preserve">párrafos </w:t>
      </w:r>
      <w:r w:rsidR="006702AA" w:rsidRPr="00E678A4">
        <w:rPr>
          <w:rFonts w:ascii="Verdana" w:hAnsi="Verdana" w:cs="Verdana"/>
          <w:sz w:val="20"/>
          <w:szCs w:val="20"/>
          <w:lang w:val="es-CR"/>
        </w:rPr>
        <w:t xml:space="preserve">159 a </w:t>
      </w:r>
      <w:r w:rsidRPr="00E678A4">
        <w:rPr>
          <w:rFonts w:ascii="Verdana" w:hAnsi="Verdana" w:cs="Verdana"/>
          <w:sz w:val="20"/>
          <w:szCs w:val="20"/>
          <w:lang w:val="es-CR"/>
        </w:rPr>
        <w:t>161</w:t>
      </w:r>
      <w:r w:rsidR="00847073" w:rsidRPr="00E678A4">
        <w:rPr>
          <w:rFonts w:ascii="Verdana" w:hAnsi="Verdana" w:cs="Verdana"/>
          <w:sz w:val="20"/>
          <w:szCs w:val="20"/>
          <w:lang w:val="es-CR"/>
        </w:rPr>
        <w:t>, 171, 172, 174, 177, 180 a 183 y 205 a</w:t>
      </w:r>
      <w:r w:rsidRPr="00E678A4">
        <w:rPr>
          <w:rFonts w:ascii="Verdana" w:hAnsi="Verdana" w:cs="Verdana"/>
          <w:sz w:val="20"/>
          <w:szCs w:val="20"/>
          <w:lang w:val="es-CR"/>
        </w:rPr>
        <w:t xml:space="preserve"> 209</w:t>
      </w:r>
      <w:r w:rsidR="006702AA" w:rsidRPr="00E678A4">
        <w:rPr>
          <w:rFonts w:ascii="Verdana" w:hAnsi="Verdana" w:cs="Verdana"/>
          <w:sz w:val="20"/>
          <w:szCs w:val="20"/>
          <w:lang w:val="es-CR"/>
        </w:rPr>
        <w:t xml:space="preserve"> de la Sentencia</w:t>
      </w:r>
      <w:r w:rsidRPr="00E678A4">
        <w:rPr>
          <w:rFonts w:ascii="Verdana" w:hAnsi="Verdana" w:cs="Verdana"/>
          <w:sz w:val="20"/>
          <w:szCs w:val="20"/>
          <w:lang w:val="es-CR"/>
        </w:rPr>
        <w:t>, la Corte dispuso que</w:t>
      </w:r>
      <w:r w:rsidRPr="00C54D7F">
        <w:rPr>
          <w:rFonts w:ascii="Verdana" w:hAnsi="Verdana" w:cs="Verdana"/>
          <w:sz w:val="20"/>
          <w:szCs w:val="20"/>
          <w:lang w:val="es-CR"/>
        </w:rPr>
        <w:t xml:space="preserve"> el Estado debe realizar los pagos </w:t>
      </w:r>
      <w:r w:rsidR="006702AA" w:rsidRPr="00C54D7F">
        <w:rPr>
          <w:rFonts w:ascii="Verdana" w:hAnsi="Verdana"/>
          <w:sz w:val="20"/>
          <w:szCs w:val="20"/>
          <w:lang w:val="es-CR"/>
        </w:rPr>
        <w:t xml:space="preserve">de las cantidades establecidas </w:t>
      </w:r>
      <w:r w:rsidRPr="00C54D7F">
        <w:rPr>
          <w:rFonts w:ascii="Verdana" w:hAnsi="Verdana" w:cs="Verdana"/>
          <w:sz w:val="20"/>
          <w:szCs w:val="20"/>
          <w:lang w:val="es-CR"/>
        </w:rPr>
        <w:t>por concepto de daños materiales, daños inmateriales y reintegro de costas y gastos</w:t>
      </w:r>
      <w:r w:rsidRPr="00C54D7F">
        <w:rPr>
          <w:rStyle w:val="Refdenotaalpie"/>
          <w:rFonts w:ascii="Verdana" w:hAnsi="Verdana" w:cs="Verdana"/>
          <w:sz w:val="20"/>
          <w:szCs w:val="20"/>
          <w:lang w:val="es-CR"/>
        </w:rPr>
        <w:footnoteReference w:id="94"/>
      </w:r>
      <w:r w:rsidRPr="00C54D7F">
        <w:rPr>
          <w:rFonts w:ascii="Verdana" w:hAnsi="Verdana" w:cs="Verdana"/>
          <w:sz w:val="20"/>
          <w:szCs w:val="20"/>
          <w:lang w:val="es-CR"/>
        </w:rPr>
        <w:t>. La Corte dispuso el plazo de un año para la realización de los pagos y determinó que, en caso de mora, el Estado debería pagar un interés sobre la cantidad adeudada, correspondiente al interés bancario moratorio en el Perú.</w:t>
      </w:r>
    </w:p>
    <w:p w:rsidR="00FA7C94" w:rsidRPr="00FA7C94" w:rsidRDefault="00FA7C94" w:rsidP="00792C28">
      <w:pPr>
        <w:autoSpaceDE w:val="0"/>
        <w:autoSpaceDN w:val="0"/>
        <w:adjustRightInd w:val="0"/>
        <w:spacing w:after="120" w:line="240" w:lineRule="auto"/>
        <w:jc w:val="both"/>
        <w:rPr>
          <w:rFonts w:ascii="Verdana" w:hAnsi="Verdana"/>
          <w:sz w:val="10"/>
          <w:szCs w:val="10"/>
          <w:lang w:val="es-MX"/>
        </w:rPr>
      </w:pPr>
    </w:p>
    <w:p w:rsidR="001E0FFB" w:rsidRPr="00FA7C94" w:rsidRDefault="00FA7C94" w:rsidP="00792C28">
      <w:pPr>
        <w:numPr>
          <w:ilvl w:val="0"/>
          <w:numId w:val="28"/>
        </w:numPr>
        <w:autoSpaceDE w:val="0"/>
        <w:autoSpaceDN w:val="0"/>
        <w:adjustRightInd w:val="0"/>
        <w:spacing w:after="120" w:line="240" w:lineRule="auto"/>
        <w:ind w:left="0" w:firstLine="0"/>
        <w:jc w:val="both"/>
        <w:rPr>
          <w:rFonts w:ascii="Verdana" w:hAnsi="Verdana"/>
          <w:sz w:val="20"/>
          <w:szCs w:val="20"/>
          <w:lang w:val="es-MX"/>
        </w:rPr>
      </w:pPr>
      <w:r>
        <w:rPr>
          <w:rFonts w:ascii="Verdana" w:hAnsi="Verdana"/>
          <w:sz w:val="20"/>
          <w:szCs w:val="20"/>
          <w:lang w:val="es-CR"/>
        </w:rPr>
        <w:t>Asimismo, e</w:t>
      </w:r>
      <w:r w:rsidRPr="00FA7C94">
        <w:rPr>
          <w:rFonts w:ascii="Verdana" w:hAnsi="Verdana"/>
          <w:sz w:val="20"/>
          <w:szCs w:val="20"/>
          <w:lang w:val="es-CR"/>
        </w:rPr>
        <w:t xml:space="preserve">n el párrafo 187 de la Sentencia, la Corte dispuso que se </w:t>
      </w:r>
      <w:r>
        <w:rPr>
          <w:rFonts w:ascii="Verdana" w:hAnsi="Verdana"/>
          <w:sz w:val="20"/>
          <w:szCs w:val="20"/>
          <w:lang w:val="es-CR"/>
        </w:rPr>
        <w:t>debía restituir</w:t>
      </w:r>
      <w:r w:rsidRPr="00FA7C94">
        <w:rPr>
          <w:rFonts w:ascii="Verdana" w:hAnsi="Verdana"/>
          <w:sz w:val="20"/>
          <w:szCs w:val="20"/>
          <w:lang w:val="es-CR"/>
        </w:rPr>
        <w:t xml:space="preserve"> a la señora Pelagia Mélida Contreras Montoya la suma de US</w:t>
      </w:r>
      <w:r w:rsidR="00273357">
        <w:rPr>
          <w:rFonts w:ascii="Verdana" w:hAnsi="Verdana"/>
          <w:sz w:val="20"/>
          <w:szCs w:val="20"/>
          <w:lang w:val="es-CR"/>
        </w:rPr>
        <w:t>D</w:t>
      </w:r>
      <w:r w:rsidRPr="00FA7C94">
        <w:rPr>
          <w:rFonts w:ascii="Verdana" w:hAnsi="Verdana"/>
          <w:sz w:val="20"/>
          <w:szCs w:val="20"/>
          <w:lang w:val="es-CR"/>
        </w:rPr>
        <w:t>$ 7.500,00 (siete mil quinientos dólares de los Estados Unidos de América), monto que fue incautado por las autoridades a cargo de la investigación del señor Cantoral Huamaní</w:t>
      </w:r>
      <w:r w:rsidR="002217E9">
        <w:rPr>
          <w:rStyle w:val="Refdenotaalpie"/>
          <w:rFonts w:ascii="Verdana" w:hAnsi="Verdana"/>
          <w:sz w:val="20"/>
          <w:szCs w:val="20"/>
          <w:lang w:val="es-CR"/>
        </w:rPr>
        <w:footnoteReference w:id="95"/>
      </w:r>
      <w:r w:rsidRPr="00FA7C94">
        <w:rPr>
          <w:rFonts w:ascii="Verdana" w:hAnsi="Verdana"/>
          <w:sz w:val="20"/>
          <w:szCs w:val="20"/>
          <w:lang w:val="es-CR"/>
        </w:rPr>
        <w:t>.</w:t>
      </w:r>
    </w:p>
    <w:p w:rsidR="00FA7C94" w:rsidRPr="00FA7C94" w:rsidRDefault="00FA7C94" w:rsidP="00792C28">
      <w:pPr>
        <w:autoSpaceDE w:val="0"/>
        <w:autoSpaceDN w:val="0"/>
        <w:adjustRightInd w:val="0"/>
        <w:spacing w:after="120" w:line="240" w:lineRule="auto"/>
        <w:jc w:val="both"/>
        <w:rPr>
          <w:rFonts w:ascii="Verdana" w:hAnsi="Verdana"/>
          <w:sz w:val="10"/>
          <w:szCs w:val="10"/>
          <w:lang w:val="es-MX"/>
        </w:rPr>
      </w:pPr>
    </w:p>
    <w:p w:rsidR="00C50000" w:rsidRDefault="003C67A9" w:rsidP="00792C28">
      <w:pPr>
        <w:numPr>
          <w:ilvl w:val="0"/>
          <w:numId w:val="28"/>
        </w:numPr>
        <w:autoSpaceDE w:val="0"/>
        <w:autoSpaceDN w:val="0"/>
        <w:adjustRightInd w:val="0"/>
        <w:spacing w:after="120" w:line="240" w:lineRule="auto"/>
        <w:ind w:left="0" w:firstLine="0"/>
        <w:jc w:val="both"/>
        <w:rPr>
          <w:rFonts w:ascii="Verdana" w:hAnsi="Verdana" w:cs="Verdana"/>
          <w:sz w:val="20"/>
          <w:szCs w:val="20"/>
          <w:lang w:val="es-CR"/>
        </w:rPr>
      </w:pPr>
      <w:r w:rsidRPr="0048307D">
        <w:rPr>
          <w:rFonts w:ascii="Verdana" w:hAnsi="Verdana"/>
          <w:sz w:val="20"/>
          <w:lang w:val="es-MX"/>
        </w:rPr>
        <w:t>En las Resoluciones de supervisión de cumplimiento de abril</w:t>
      </w:r>
      <w:r w:rsidRPr="0048307D">
        <w:rPr>
          <w:rStyle w:val="Refdenotaalpie"/>
          <w:rFonts w:ascii="Verdana" w:hAnsi="Verdana"/>
          <w:sz w:val="20"/>
          <w:lang w:val="es-MX"/>
        </w:rPr>
        <w:footnoteReference w:id="96"/>
      </w:r>
      <w:r w:rsidRPr="0048307D">
        <w:rPr>
          <w:rFonts w:ascii="Verdana" w:hAnsi="Verdana"/>
          <w:sz w:val="20"/>
          <w:lang w:val="es-MX"/>
        </w:rPr>
        <w:t xml:space="preserve"> y septiembre de 2009</w:t>
      </w:r>
      <w:r w:rsidRPr="0048307D">
        <w:rPr>
          <w:rStyle w:val="Refdenotaalpie"/>
          <w:rFonts w:ascii="Verdana" w:hAnsi="Verdana"/>
          <w:sz w:val="20"/>
          <w:lang w:val="es-MX"/>
        </w:rPr>
        <w:footnoteReference w:id="97"/>
      </w:r>
      <w:r w:rsidRPr="0048307D">
        <w:rPr>
          <w:rFonts w:ascii="Verdana" w:hAnsi="Verdana"/>
          <w:sz w:val="20"/>
          <w:lang w:val="es-MX"/>
        </w:rPr>
        <w:t xml:space="preserve">, la Corte constató que el Estado no había remitido información sobre el cumplimiento de la presente medida. </w:t>
      </w:r>
      <w:r w:rsidR="0063311A">
        <w:rPr>
          <w:rFonts w:ascii="Verdana" w:hAnsi="Verdana"/>
          <w:sz w:val="20"/>
          <w:lang w:val="es-MX"/>
        </w:rPr>
        <w:t>E</w:t>
      </w:r>
      <w:r w:rsidRPr="0048307D">
        <w:rPr>
          <w:rFonts w:ascii="Verdana" w:hAnsi="Verdana"/>
          <w:sz w:val="20"/>
          <w:lang w:val="es-MX"/>
        </w:rPr>
        <w:t>n la Resolución de febrero de 2011</w:t>
      </w:r>
      <w:r w:rsidRPr="0048307D">
        <w:rPr>
          <w:rStyle w:val="Refdenotaalpie"/>
          <w:rFonts w:ascii="Verdana" w:hAnsi="Verdana"/>
          <w:sz w:val="20"/>
          <w:lang w:val="es-MX"/>
        </w:rPr>
        <w:footnoteReference w:id="98"/>
      </w:r>
      <w:r w:rsidRPr="0048307D">
        <w:rPr>
          <w:rFonts w:ascii="Verdana" w:hAnsi="Verdana"/>
          <w:sz w:val="20"/>
          <w:lang w:val="es-MX"/>
        </w:rPr>
        <w:t xml:space="preserve">, el </w:t>
      </w:r>
      <w:r w:rsidR="001E0FFB" w:rsidRPr="0048307D">
        <w:rPr>
          <w:rFonts w:ascii="Verdana" w:hAnsi="Verdana" w:cs="Verdana"/>
          <w:sz w:val="20"/>
          <w:szCs w:val="20"/>
          <w:lang w:val="es-CR"/>
        </w:rPr>
        <w:t xml:space="preserve">Tribunal determinó que </w:t>
      </w:r>
      <w:r w:rsidR="0048307D" w:rsidRPr="0048307D">
        <w:rPr>
          <w:rFonts w:ascii="Verdana" w:hAnsi="Verdana" w:cs="Verdana"/>
          <w:sz w:val="20"/>
          <w:szCs w:val="20"/>
          <w:lang w:val="es-CR"/>
        </w:rPr>
        <w:t xml:space="preserve">“el Estado realizó determinados pagos a 14 beneficiarios del presente caso, por un total de </w:t>
      </w:r>
      <w:r w:rsidR="00BF73F9">
        <w:rPr>
          <w:rFonts w:ascii="Verdana" w:hAnsi="Verdana" w:cs="Verdana"/>
          <w:sz w:val="20"/>
          <w:szCs w:val="20"/>
          <w:lang w:val="es-CR"/>
        </w:rPr>
        <w:t xml:space="preserve">[…] </w:t>
      </w:r>
      <w:r w:rsidR="0048307D" w:rsidRPr="0048307D">
        <w:rPr>
          <w:rFonts w:ascii="Verdana" w:hAnsi="Verdana" w:cs="Verdana"/>
          <w:sz w:val="20"/>
          <w:szCs w:val="20"/>
          <w:lang w:val="es-CR"/>
        </w:rPr>
        <w:t>US</w:t>
      </w:r>
      <w:r w:rsidR="00273357">
        <w:rPr>
          <w:rFonts w:ascii="Verdana" w:hAnsi="Verdana" w:cs="Verdana"/>
          <w:sz w:val="20"/>
          <w:szCs w:val="20"/>
          <w:lang w:val="es-CR"/>
        </w:rPr>
        <w:t>D</w:t>
      </w:r>
      <w:r w:rsidR="0048307D" w:rsidRPr="0048307D">
        <w:rPr>
          <w:rFonts w:ascii="Verdana" w:hAnsi="Verdana" w:cs="Verdana"/>
          <w:sz w:val="20"/>
          <w:szCs w:val="20"/>
          <w:lang w:val="es-CR"/>
        </w:rPr>
        <w:t>$</w:t>
      </w:r>
      <w:r w:rsidR="003B5A19">
        <w:rPr>
          <w:rFonts w:ascii="Verdana" w:hAnsi="Verdana" w:cs="Verdana"/>
          <w:sz w:val="20"/>
          <w:szCs w:val="20"/>
          <w:lang w:val="es-CR"/>
        </w:rPr>
        <w:t xml:space="preserve"> </w:t>
      </w:r>
      <w:r w:rsidR="0048307D" w:rsidRPr="0048307D">
        <w:rPr>
          <w:rFonts w:ascii="Verdana" w:hAnsi="Verdana" w:cs="Verdana"/>
          <w:sz w:val="20"/>
          <w:szCs w:val="20"/>
          <w:lang w:val="es-CR"/>
        </w:rPr>
        <w:t>132.000,00</w:t>
      </w:r>
      <w:r w:rsidR="00BF73F9">
        <w:rPr>
          <w:rFonts w:ascii="Verdana" w:hAnsi="Verdana" w:cs="Verdana"/>
          <w:sz w:val="20"/>
          <w:szCs w:val="20"/>
          <w:lang w:val="es-CR"/>
        </w:rPr>
        <w:t xml:space="preserve"> [</w:t>
      </w:r>
      <w:r w:rsidR="00BF73F9" w:rsidRPr="0048307D">
        <w:rPr>
          <w:rFonts w:ascii="Verdana" w:hAnsi="Verdana" w:cs="Verdana"/>
          <w:sz w:val="20"/>
          <w:szCs w:val="20"/>
          <w:lang w:val="es-CR"/>
        </w:rPr>
        <w:t>ciento treinta y dos mil dólares de</w:t>
      </w:r>
      <w:r w:rsidR="00BF73F9">
        <w:rPr>
          <w:rFonts w:ascii="Verdana" w:hAnsi="Verdana" w:cs="Verdana"/>
          <w:sz w:val="20"/>
          <w:szCs w:val="20"/>
          <w:lang w:val="es-CR"/>
        </w:rPr>
        <w:t xml:space="preserve"> los Estados Unidos de América]</w:t>
      </w:r>
      <w:r w:rsidR="0048307D" w:rsidRPr="0048307D">
        <w:rPr>
          <w:rFonts w:ascii="Verdana" w:hAnsi="Verdana" w:cs="Verdana"/>
          <w:sz w:val="20"/>
          <w:szCs w:val="20"/>
          <w:lang w:val="es-CR"/>
        </w:rPr>
        <w:t>”, así como que “[l]os pagos dispuestos a favor de cinco de esos beneficiarios han sido totales”. La Corte también estableció en dicha Resolución que “el Estado cumplió con los pagos correspondientes a costas y gastos”.</w:t>
      </w:r>
      <w:r w:rsidR="001E0FFB" w:rsidRPr="0048307D">
        <w:rPr>
          <w:rFonts w:ascii="Verdana" w:hAnsi="Verdana" w:cs="Verdana"/>
          <w:sz w:val="20"/>
          <w:szCs w:val="20"/>
          <w:lang w:val="es-CR"/>
        </w:rPr>
        <w:t xml:space="preserve"> No obstante, la Corte determinó que, en virtud de que los pagos se realizaron fuera del plazo establecido, el Estado adeuda</w:t>
      </w:r>
      <w:r w:rsidR="0063311A">
        <w:rPr>
          <w:rFonts w:ascii="Verdana" w:hAnsi="Verdana" w:cs="Verdana"/>
          <w:sz w:val="20"/>
          <w:szCs w:val="20"/>
          <w:lang w:val="es-CR"/>
        </w:rPr>
        <w:t>ba</w:t>
      </w:r>
      <w:r w:rsidR="001E0FFB" w:rsidRPr="0048307D">
        <w:rPr>
          <w:rFonts w:ascii="Verdana" w:hAnsi="Verdana" w:cs="Verdana"/>
          <w:sz w:val="20"/>
          <w:szCs w:val="20"/>
          <w:lang w:val="es-CR"/>
        </w:rPr>
        <w:t xml:space="preserve"> los intereses moratorios correspondientes</w:t>
      </w:r>
      <w:r w:rsidR="0048307D" w:rsidRPr="0048307D">
        <w:rPr>
          <w:rFonts w:ascii="Verdana" w:hAnsi="Verdana" w:cs="Verdana"/>
          <w:sz w:val="20"/>
          <w:szCs w:val="20"/>
          <w:lang w:val="es-CR"/>
        </w:rPr>
        <w:t xml:space="preserve">. </w:t>
      </w:r>
      <w:r w:rsidR="00C50000" w:rsidRPr="0048307D">
        <w:rPr>
          <w:rFonts w:ascii="Verdana" w:hAnsi="Verdana" w:cs="Verdana"/>
          <w:sz w:val="20"/>
          <w:szCs w:val="20"/>
          <w:lang w:val="es-CR"/>
        </w:rPr>
        <w:t>En virtud de lo anterior, el Tribunal consideró que el Estado ha</w:t>
      </w:r>
      <w:r w:rsidR="00C50000">
        <w:rPr>
          <w:rFonts w:ascii="Verdana" w:hAnsi="Verdana" w:cs="Verdana"/>
          <w:sz w:val="20"/>
          <w:szCs w:val="20"/>
          <w:lang w:val="es-CR"/>
        </w:rPr>
        <w:t>bía</w:t>
      </w:r>
      <w:r w:rsidR="00C50000" w:rsidRPr="0048307D">
        <w:rPr>
          <w:rFonts w:ascii="Verdana" w:hAnsi="Verdana" w:cs="Verdana"/>
          <w:sz w:val="20"/>
          <w:szCs w:val="20"/>
          <w:lang w:val="es-CR"/>
        </w:rPr>
        <w:t xml:space="preserve"> dado cumpli</w:t>
      </w:r>
      <w:r w:rsidR="00C50000">
        <w:rPr>
          <w:rFonts w:ascii="Verdana" w:hAnsi="Verdana" w:cs="Verdana"/>
          <w:sz w:val="20"/>
          <w:szCs w:val="20"/>
          <w:lang w:val="es-CR"/>
        </w:rPr>
        <w:t>miento parcial a esta reparación</w:t>
      </w:r>
      <w:r w:rsidR="00C50000" w:rsidRPr="0048307D">
        <w:rPr>
          <w:rFonts w:ascii="Verdana" w:hAnsi="Verdana" w:cs="Verdana"/>
          <w:sz w:val="20"/>
          <w:szCs w:val="20"/>
          <w:lang w:val="es-CR"/>
        </w:rPr>
        <w:t>.</w:t>
      </w:r>
    </w:p>
    <w:p w:rsidR="00C50000" w:rsidRDefault="00C50000" w:rsidP="00117900">
      <w:pPr>
        <w:autoSpaceDE w:val="0"/>
        <w:autoSpaceDN w:val="0"/>
        <w:adjustRightInd w:val="0"/>
        <w:spacing w:after="0" w:line="240" w:lineRule="auto"/>
        <w:jc w:val="both"/>
        <w:rPr>
          <w:rFonts w:ascii="Verdana" w:hAnsi="Verdana" w:cs="Verdana"/>
          <w:sz w:val="20"/>
          <w:szCs w:val="20"/>
          <w:lang w:val="es-CR"/>
        </w:rPr>
      </w:pPr>
    </w:p>
    <w:p w:rsidR="001E0FFB" w:rsidRPr="0048307D" w:rsidRDefault="0048307D" w:rsidP="00C8662E">
      <w:pPr>
        <w:numPr>
          <w:ilvl w:val="0"/>
          <w:numId w:val="28"/>
        </w:numPr>
        <w:autoSpaceDE w:val="0"/>
        <w:autoSpaceDN w:val="0"/>
        <w:adjustRightInd w:val="0"/>
        <w:spacing w:after="0" w:line="240" w:lineRule="auto"/>
        <w:ind w:left="0" w:firstLine="0"/>
        <w:jc w:val="both"/>
        <w:rPr>
          <w:rFonts w:ascii="Verdana" w:hAnsi="Verdana" w:cs="Verdana"/>
          <w:sz w:val="20"/>
          <w:szCs w:val="20"/>
          <w:lang w:val="es-CR"/>
        </w:rPr>
      </w:pPr>
      <w:r w:rsidRPr="0048307D">
        <w:rPr>
          <w:rFonts w:ascii="Verdana" w:hAnsi="Verdana" w:cs="Verdana"/>
          <w:sz w:val="20"/>
          <w:szCs w:val="20"/>
          <w:lang w:val="es-CR"/>
        </w:rPr>
        <w:t>Por otra parte, en relación con la obligación de restituir la cantidad de</w:t>
      </w:r>
      <w:r w:rsidR="007E6215">
        <w:rPr>
          <w:rFonts w:ascii="Verdana" w:hAnsi="Verdana" w:cs="Verdana"/>
          <w:sz w:val="20"/>
          <w:szCs w:val="20"/>
          <w:lang w:val="es-CR"/>
        </w:rPr>
        <w:t xml:space="preserve"> </w:t>
      </w:r>
      <w:r w:rsidR="007E6215" w:rsidRPr="0048307D">
        <w:rPr>
          <w:rFonts w:ascii="Verdana" w:hAnsi="Verdana" w:cs="Verdana"/>
          <w:sz w:val="20"/>
          <w:szCs w:val="20"/>
          <w:lang w:val="es-CR"/>
        </w:rPr>
        <w:t>US</w:t>
      </w:r>
      <w:r w:rsidR="007E6215">
        <w:rPr>
          <w:rFonts w:ascii="Verdana" w:hAnsi="Verdana" w:cs="Verdana"/>
          <w:sz w:val="20"/>
          <w:szCs w:val="20"/>
          <w:lang w:val="es-CR"/>
        </w:rPr>
        <w:t>D</w:t>
      </w:r>
      <w:r w:rsidR="007E6215" w:rsidRPr="0048307D">
        <w:rPr>
          <w:rFonts w:ascii="Verdana" w:hAnsi="Verdana" w:cs="Verdana"/>
          <w:sz w:val="20"/>
          <w:szCs w:val="20"/>
          <w:lang w:val="es-CR"/>
        </w:rPr>
        <w:t>$ 7.500,00</w:t>
      </w:r>
      <w:r w:rsidRPr="0048307D">
        <w:rPr>
          <w:rFonts w:ascii="Verdana" w:hAnsi="Verdana" w:cs="Verdana"/>
          <w:sz w:val="20"/>
          <w:szCs w:val="20"/>
          <w:lang w:val="es-CR"/>
        </w:rPr>
        <w:t xml:space="preserve"> </w:t>
      </w:r>
      <w:r w:rsidR="007E6215">
        <w:rPr>
          <w:rFonts w:ascii="Verdana" w:hAnsi="Verdana" w:cs="Verdana"/>
          <w:sz w:val="20"/>
          <w:szCs w:val="20"/>
          <w:lang w:val="es-CR"/>
        </w:rPr>
        <w:t>(</w:t>
      </w:r>
      <w:r w:rsidRPr="0048307D">
        <w:rPr>
          <w:rFonts w:ascii="Verdana" w:hAnsi="Verdana" w:cs="Verdana"/>
          <w:sz w:val="20"/>
          <w:szCs w:val="20"/>
          <w:lang w:val="es-CR"/>
        </w:rPr>
        <w:t xml:space="preserve">siete mil quinientos dólares de los Estados Unidos de América) a Pelagia Mélida Contreras Montoya, la Corte observó </w:t>
      </w:r>
      <w:r w:rsidR="000674AB">
        <w:rPr>
          <w:rFonts w:ascii="Verdana" w:hAnsi="Verdana"/>
          <w:sz w:val="20"/>
          <w:lang w:val="es-MX"/>
        </w:rPr>
        <w:t>e</w:t>
      </w:r>
      <w:r w:rsidR="000674AB" w:rsidRPr="0048307D">
        <w:rPr>
          <w:rFonts w:ascii="Verdana" w:hAnsi="Verdana"/>
          <w:sz w:val="20"/>
          <w:lang w:val="es-MX"/>
        </w:rPr>
        <w:t>n las Resoluciones de supervisión de cumplimiento de septiembre de 2009</w:t>
      </w:r>
      <w:r w:rsidR="000674AB" w:rsidRPr="0048307D">
        <w:rPr>
          <w:rStyle w:val="Refdenotaalpie"/>
          <w:rFonts w:ascii="Verdana" w:hAnsi="Verdana"/>
          <w:sz w:val="20"/>
          <w:lang w:val="es-MX"/>
        </w:rPr>
        <w:footnoteReference w:id="99"/>
      </w:r>
      <w:r w:rsidR="000674AB">
        <w:rPr>
          <w:rFonts w:ascii="Verdana" w:hAnsi="Verdana"/>
          <w:sz w:val="20"/>
          <w:lang w:val="es-MX"/>
        </w:rPr>
        <w:t xml:space="preserve"> y </w:t>
      </w:r>
      <w:r w:rsidR="000674AB" w:rsidRPr="0048307D">
        <w:rPr>
          <w:rFonts w:ascii="Verdana" w:hAnsi="Verdana"/>
          <w:sz w:val="20"/>
          <w:lang w:val="es-MX"/>
        </w:rPr>
        <w:t>febrero de 2011</w:t>
      </w:r>
      <w:r w:rsidR="000674AB" w:rsidRPr="0048307D">
        <w:rPr>
          <w:rStyle w:val="Refdenotaalpie"/>
          <w:rFonts w:ascii="Verdana" w:hAnsi="Verdana"/>
          <w:sz w:val="20"/>
          <w:lang w:val="es-MX"/>
        </w:rPr>
        <w:footnoteReference w:id="100"/>
      </w:r>
      <w:r w:rsidR="000674AB">
        <w:rPr>
          <w:rFonts w:ascii="Verdana" w:hAnsi="Verdana"/>
          <w:sz w:val="20"/>
          <w:lang w:val="es-MX"/>
        </w:rPr>
        <w:t xml:space="preserve"> </w:t>
      </w:r>
      <w:r w:rsidRPr="0048307D">
        <w:rPr>
          <w:rFonts w:ascii="Verdana" w:hAnsi="Verdana" w:cs="Verdana"/>
          <w:sz w:val="20"/>
          <w:szCs w:val="20"/>
          <w:lang w:val="es-CR"/>
        </w:rPr>
        <w:t xml:space="preserve">que el </w:t>
      </w:r>
      <w:r w:rsidR="00464D3B">
        <w:rPr>
          <w:rFonts w:ascii="Verdana" w:hAnsi="Verdana" w:cs="Verdana"/>
          <w:sz w:val="20"/>
          <w:szCs w:val="20"/>
          <w:lang w:val="es-CR"/>
        </w:rPr>
        <w:t>Perú</w:t>
      </w:r>
      <w:r w:rsidRPr="0048307D">
        <w:rPr>
          <w:rFonts w:ascii="Verdana" w:hAnsi="Verdana" w:cs="Verdana"/>
          <w:sz w:val="20"/>
          <w:szCs w:val="20"/>
          <w:lang w:val="es-CR"/>
        </w:rPr>
        <w:t xml:space="preserve"> no había brindado información sobre este punto. </w:t>
      </w:r>
    </w:p>
    <w:p w:rsidR="001E0FFB" w:rsidRPr="00970863" w:rsidRDefault="001E0FFB" w:rsidP="00792C28">
      <w:pPr>
        <w:autoSpaceDE w:val="0"/>
        <w:autoSpaceDN w:val="0"/>
        <w:adjustRightInd w:val="0"/>
        <w:spacing w:after="120" w:line="240" w:lineRule="auto"/>
        <w:jc w:val="both"/>
        <w:rPr>
          <w:rFonts w:ascii="Verdana" w:hAnsi="Verdana"/>
          <w:sz w:val="14"/>
          <w:szCs w:val="14"/>
          <w:lang w:val="es-CR"/>
        </w:rPr>
      </w:pPr>
    </w:p>
    <w:p w:rsidR="001E0FFB" w:rsidRPr="00FA7C94" w:rsidRDefault="001E0FFB" w:rsidP="00792C28">
      <w:pPr>
        <w:pStyle w:val="Listavistosa-nfasis1"/>
        <w:spacing w:after="120" w:line="240" w:lineRule="auto"/>
        <w:ind w:left="810"/>
        <w:contextualSpacing w:val="0"/>
        <w:jc w:val="both"/>
        <w:rPr>
          <w:rFonts w:ascii="Verdana" w:hAnsi="Verdana"/>
          <w:i/>
          <w:sz w:val="20"/>
          <w:szCs w:val="20"/>
          <w:lang w:val="es-MX"/>
        </w:rPr>
      </w:pPr>
      <w:r w:rsidRPr="00FA7C94">
        <w:rPr>
          <w:rFonts w:ascii="Verdana" w:hAnsi="Verdana"/>
          <w:i/>
          <w:sz w:val="20"/>
          <w:szCs w:val="20"/>
          <w:lang w:val="es-MX"/>
        </w:rPr>
        <w:t xml:space="preserve">F.2. </w:t>
      </w:r>
      <w:r w:rsidR="00284E87" w:rsidRPr="00FA7C94">
        <w:rPr>
          <w:rFonts w:ascii="Verdana" w:hAnsi="Verdana"/>
          <w:i/>
          <w:sz w:val="20"/>
          <w:szCs w:val="20"/>
          <w:lang w:val="es-MX"/>
        </w:rPr>
        <w:t>Consideraciones de la Corte</w:t>
      </w:r>
    </w:p>
    <w:p w:rsidR="001E0FFB" w:rsidRPr="00970863" w:rsidRDefault="001E0FFB" w:rsidP="00792C28">
      <w:pPr>
        <w:pStyle w:val="Listavistosa-nfasis1"/>
        <w:spacing w:after="120" w:line="240" w:lineRule="auto"/>
        <w:ind w:left="0"/>
        <w:contextualSpacing w:val="0"/>
        <w:jc w:val="both"/>
        <w:rPr>
          <w:rFonts w:ascii="Verdana" w:hAnsi="Verdana"/>
          <w:sz w:val="14"/>
          <w:szCs w:val="14"/>
          <w:lang w:val="es-MX"/>
        </w:rPr>
      </w:pPr>
    </w:p>
    <w:p w:rsidR="00284E87" w:rsidRPr="00F347DA" w:rsidRDefault="00284E87" w:rsidP="00792C28">
      <w:pPr>
        <w:numPr>
          <w:ilvl w:val="0"/>
          <w:numId w:val="28"/>
        </w:numPr>
        <w:autoSpaceDE w:val="0"/>
        <w:autoSpaceDN w:val="0"/>
        <w:adjustRightInd w:val="0"/>
        <w:spacing w:after="120" w:line="240" w:lineRule="auto"/>
        <w:ind w:left="0" w:firstLine="0"/>
        <w:jc w:val="both"/>
        <w:rPr>
          <w:rFonts w:ascii="Verdana" w:hAnsi="Verdana"/>
          <w:b/>
          <w:sz w:val="20"/>
          <w:szCs w:val="20"/>
          <w:lang w:val="es-CR"/>
        </w:rPr>
      </w:pPr>
      <w:r w:rsidRPr="00970863">
        <w:rPr>
          <w:rFonts w:ascii="Verdana" w:hAnsi="Verdana"/>
          <w:sz w:val="20"/>
          <w:szCs w:val="20"/>
          <w:lang w:val="es-CR"/>
        </w:rPr>
        <w:t xml:space="preserve">Con base en los comprobantes remitidos por el </w:t>
      </w:r>
      <w:r w:rsidR="00970863">
        <w:rPr>
          <w:rFonts w:ascii="Verdana" w:hAnsi="Verdana"/>
          <w:sz w:val="20"/>
          <w:szCs w:val="20"/>
          <w:lang w:val="es-CR"/>
        </w:rPr>
        <w:t>Perú</w:t>
      </w:r>
      <w:r w:rsidR="0046663E">
        <w:rPr>
          <w:rFonts w:ascii="Verdana" w:hAnsi="Verdana"/>
          <w:sz w:val="20"/>
          <w:szCs w:val="20"/>
          <w:lang w:val="es-CR"/>
        </w:rPr>
        <w:t xml:space="preserve"> y lo indicado por los representantes de las víctimas</w:t>
      </w:r>
      <w:r w:rsidRPr="00970863">
        <w:rPr>
          <w:rFonts w:ascii="Verdana" w:hAnsi="Verdana"/>
          <w:sz w:val="20"/>
          <w:szCs w:val="20"/>
          <w:lang w:val="es-CR"/>
        </w:rPr>
        <w:t xml:space="preserve">, la Corte constata que </w:t>
      </w:r>
      <w:r w:rsidR="005F4A2C" w:rsidRPr="00970863">
        <w:rPr>
          <w:rFonts w:ascii="Verdana" w:hAnsi="Verdana"/>
          <w:sz w:val="20"/>
          <w:szCs w:val="20"/>
          <w:lang w:val="es-CR"/>
        </w:rPr>
        <w:t>en</w:t>
      </w:r>
      <w:r w:rsidR="00CA7323" w:rsidRPr="00970863">
        <w:rPr>
          <w:rFonts w:ascii="Verdana" w:hAnsi="Verdana"/>
          <w:sz w:val="20"/>
          <w:szCs w:val="20"/>
          <w:lang w:val="es-CR"/>
        </w:rPr>
        <w:t xml:space="preserve"> enero y diciembre de 2015 e</w:t>
      </w:r>
      <w:r w:rsidRPr="00970863">
        <w:rPr>
          <w:rFonts w:ascii="Verdana" w:hAnsi="Verdana"/>
          <w:sz w:val="20"/>
          <w:szCs w:val="20"/>
          <w:lang w:val="es-CR"/>
        </w:rPr>
        <w:t xml:space="preserve">l Estado </w:t>
      </w:r>
      <w:r w:rsidR="006F5EED" w:rsidRPr="00970863">
        <w:rPr>
          <w:rFonts w:ascii="Verdana" w:hAnsi="Verdana"/>
          <w:sz w:val="20"/>
          <w:szCs w:val="20"/>
          <w:lang w:val="es-CR"/>
        </w:rPr>
        <w:t>realizó el pago</w:t>
      </w:r>
      <w:r w:rsidR="005F4A2C" w:rsidRPr="00970863">
        <w:rPr>
          <w:rFonts w:ascii="Verdana" w:hAnsi="Verdana"/>
          <w:sz w:val="20"/>
          <w:szCs w:val="20"/>
          <w:lang w:val="es-CR"/>
        </w:rPr>
        <w:t xml:space="preserve"> de indemnizaciones pecuniarias pendientes a</w:t>
      </w:r>
      <w:r w:rsidR="006F5EED" w:rsidRPr="00970863">
        <w:rPr>
          <w:rFonts w:ascii="Verdana" w:hAnsi="Verdana"/>
          <w:sz w:val="20"/>
          <w:szCs w:val="20"/>
          <w:lang w:val="es-CR"/>
        </w:rPr>
        <w:t xml:space="preserve"> </w:t>
      </w:r>
      <w:r w:rsidR="005F4A2C" w:rsidRPr="00970863">
        <w:rPr>
          <w:rFonts w:ascii="Verdana" w:hAnsi="Verdana"/>
          <w:sz w:val="20"/>
          <w:szCs w:val="20"/>
          <w:lang w:val="es-CR"/>
        </w:rPr>
        <w:t xml:space="preserve">favor de </w:t>
      </w:r>
      <w:r w:rsidR="00A067A3">
        <w:rPr>
          <w:rFonts w:ascii="Verdana" w:hAnsi="Verdana"/>
          <w:sz w:val="20"/>
          <w:szCs w:val="20"/>
          <w:lang w:val="es-CR"/>
        </w:rPr>
        <w:t xml:space="preserve">todas </w:t>
      </w:r>
      <w:r w:rsidR="0046663E">
        <w:rPr>
          <w:rFonts w:ascii="Verdana" w:hAnsi="Verdana"/>
          <w:sz w:val="20"/>
          <w:szCs w:val="20"/>
          <w:lang w:val="es-CR"/>
        </w:rPr>
        <w:t>las víctimas</w:t>
      </w:r>
      <w:r w:rsidR="005F4A2C" w:rsidRPr="00970863">
        <w:rPr>
          <w:rStyle w:val="Refdenotaalpie"/>
          <w:rFonts w:ascii="Verdana" w:hAnsi="Verdana"/>
          <w:sz w:val="20"/>
          <w:szCs w:val="20"/>
          <w:lang w:val="es-CR"/>
        </w:rPr>
        <w:footnoteReference w:id="101"/>
      </w:r>
      <w:r w:rsidR="00234C19" w:rsidRPr="00970863">
        <w:rPr>
          <w:rFonts w:ascii="Verdana" w:hAnsi="Verdana"/>
          <w:sz w:val="20"/>
          <w:szCs w:val="20"/>
          <w:lang w:val="es-CR"/>
        </w:rPr>
        <w:t>.</w:t>
      </w:r>
      <w:r w:rsidR="000324F9" w:rsidRPr="00970863">
        <w:rPr>
          <w:rFonts w:ascii="Verdana" w:hAnsi="Verdana"/>
          <w:sz w:val="20"/>
          <w:szCs w:val="20"/>
          <w:lang w:val="es-CR"/>
        </w:rPr>
        <w:t xml:space="preserve"> </w:t>
      </w:r>
      <w:r w:rsidR="00165278">
        <w:rPr>
          <w:rFonts w:ascii="Verdana" w:hAnsi="Verdana"/>
          <w:sz w:val="20"/>
          <w:szCs w:val="20"/>
          <w:lang w:val="es-CR"/>
        </w:rPr>
        <w:t xml:space="preserve">El Estado </w:t>
      </w:r>
      <w:r w:rsidR="000324F9" w:rsidRPr="00970863">
        <w:rPr>
          <w:rFonts w:ascii="Verdana" w:hAnsi="Verdana"/>
          <w:sz w:val="20"/>
          <w:szCs w:val="20"/>
          <w:lang w:val="es-CR"/>
        </w:rPr>
        <w:t xml:space="preserve">solicitó </w:t>
      </w:r>
      <w:r w:rsidR="00234C19" w:rsidRPr="00970863">
        <w:rPr>
          <w:rFonts w:ascii="Verdana" w:hAnsi="Verdana"/>
          <w:sz w:val="20"/>
          <w:szCs w:val="20"/>
          <w:lang w:val="es-CR"/>
        </w:rPr>
        <w:t xml:space="preserve">en diciembre de 2016 </w:t>
      </w:r>
      <w:r w:rsidR="000324F9" w:rsidRPr="00970863">
        <w:rPr>
          <w:rFonts w:ascii="Verdana" w:hAnsi="Verdana"/>
          <w:sz w:val="20"/>
          <w:szCs w:val="20"/>
          <w:lang w:val="es-CR"/>
        </w:rPr>
        <w:t xml:space="preserve">que la presente medida “sea considerada cumplida”. </w:t>
      </w:r>
      <w:r w:rsidR="00635196" w:rsidRPr="00970863">
        <w:rPr>
          <w:rFonts w:ascii="Verdana" w:hAnsi="Verdana"/>
          <w:sz w:val="20"/>
          <w:szCs w:val="20"/>
          <w:lang w:val="es-CR"/>
        </w:rPr>
        <w:t>No obstante</w:t>
      </w:r>
      <w:r w:rsidR="00FC4B49">
        <w:rPr>
          <w:rFonts w:ascii="Verdana" w:hAnsi="Verdana"/>
          <w:sz w:val="20"/>
          <w:szCs w:val="20"/>
          <w:lang w:val="es-CR"/>
        </w:rPr>
        <w:t xml:space="preserve"> lo anterior</w:t>
      </w:r>
      <w:r w:rsidR="00635196" w:rsidRPr="00970863">
        <w:rPr>
          <w:rFonts w:ascii="Verdana" w:hAnsi="Verdana"/>
          <w:sz w:val="20"/>
          <w:szCs w:val="20"/>
          <w:lang w:val="es-CR"/>
        </w:rPr>
        <w:t>, los representantes de las víctimas y la Comisión Interamericana resaltaron, respectivamente en enero y abril de 2017, que “estarían pendientes de pago los intereses moratorios”</w:t>
      </w:r>
      <w:r w:rsidR="00383328">
        <w:rPr>
          <w:rFonts w:ascii="Verdana" w:hAnsi="Verdana"/>
          <w:sz w:val="20"/>
          <w:szCs w:val="20"/>
          <w:lang w:val="es-CR"/>
        </w:rPr>
        <w:t>, así como “el pago a favor de la señora Pelagia Mélida Contreras” respecto a la suma que debe serle restituida</w:t>
      </w:r>
      <w:r w:rsidR="00497085" w:rsidRPr="00970863">
        <w:rPr>
          <w:rStyle w:val="Refdenotaalpie"/>
          <w:rFonts w:ascii="Verdana" w:hAnsi="Verdana"/>
          <w:sz w:val="20"/>
          <w:szCs w:val="20"/>
          <w:lang w:val="es-CR"/>
        </w:rPr>
        <w:footnoteReference w:id="102"/>
      </w:r>
      <w:r w:rsidR="00F347DA">
        <w:rPr>
          <w:rFonts w:ascii="Verdana" w:hAnsi="Verdana"/>
          <w:sz w:val="20"/>
          <w:szCs w:val="20"/>
          <w:lang w:val="es-CR"/>
        </w:rPr>
        <w:t>.</w:t>
      </w:r>
    </w:p>
    <w:p w:rsidR="00F347DA" w:rsidRPr="00B74664" w:rsidRDefault="00F347DA" w:rsidP="00792C28">
      <w:pPr>
        <w:autoSpaceDE w:val="0"/>
        <w:autoSpaceDN w:val="0"/>
        <w:adjustRightInd w:val="0"/>
        <w:spacing w:after="120" w:line="240" w:lineRule="auto"/>
        <w:jc w:val="both"/>
        <w:rPr>
          <w:rFonts w:ascii="Verdana" w:hAnsi="Verdana"/>
          <w:b/>
          <w:sz w:val="10"/>
          <w:szCs w:val="10"/>
          <w:lang w:val="es-CR"/>
        </w:rPr>
      </w:pPr>
    </w:p>
    <w:p w:rsidR="00D323FC" w:rsidRPr="009F08CC" w:rsidRDefault="00F347DA" w:rsidP="00792C28">
      <w:pPr>
        <w:numPr>
          <w:ilvl w:val="0"/>
          <w:numId w:val="28"/>
        </w:numPr>
        <w:autoSpaceDE w:val="0"/>
        <w:autoSpaceDN w:val="0"/>
        <w:adjustRightInd w:val="0"/>
        <w:spacing w:after="120" w:line="240" w:lineRule="auto"/>
        <w:ind w:left="0" w:firstLine="0"/>
        <w:jc w:val="both"/>
        <w:rPr>
          <w:rFonts w:ascii="Verdana" w:hAnsi="Verdana"/>
          <w:b/>
          <w:sz w:val="20"/>
          <w:szCs w:val="20"/>
          <w:lang w:val="es-CR"/>
        </w:rPr>
      </w:pPr>
      <w:r>
        <w:rPr>
          <w:rFonts w:ascii="Verdana" w:hAnsi="Verdana"/>
          <w:sz w:val="20"/>
          <w:szCs w:val="20"/>
          <w:lang w:val="es-CR"/>
        </w:rPr>
        <w:t xml:space="preserve">Al respecto, este Tribunal </w:t>
      </w:r>
      <w:r w:rsidR="00762359">
        <w:rPr>
          <w:rFonts w:ascii="Verdana" w:hAnsi="Verdana"/>
          <w:sz w:val="20"/>
          <w:szCs w:val="20"/>
          <w:lang w:val="es-CR"/>
        </w:rPr>
        <w:t>valora positivamente que</w:t>
      </w:r>
      <w:r w:rsidR="00D323FC">
        <w:rPr>
          <w:rFonts w:ascii="Verdana" w:hAnsi="Verdana"/>
          <w:sz w:val="20"/>
          <w:szCs w:val="20"/>
          <w:lang w:val="es-CR"/>
        </w:rPr>
        <w:t xml:space="preserve"> el Estado cumplió con pagar las cantidades ordenadas en la Sentencia a favor de las víctimas</w:t>
      </w:r>
      <w:r w:rsidR="00762359">
        <w:rPr>
          <w:rFonts w:ascii="Verdana" w:hAnsi="Verdana"/>
          <w:sz w:val="20"/>
          <w:szCs w:val="20"/>
          <w:lang w:val="es-CR"/>
        </w:rPr>
        <w:t xml:space="preserve">. No obstante, </w:t>
      </w:r>
      <w:r w:rsidR="00762359" w:rsidRPr="00762359">
        <w:rPr>
          <w:rFonts w:ascii="Verdana" w:hAnsi="Verdana"/>
          <w:sz w:val="20"/>
          <w:szCs w:val="20"/>
          <w:lang w:val="es-CR"/>
        </w:rPr>
        <w:t xml:space="preserve">según lo dispuesto en el párrafo </w:t>
      </w:r>
      <w:r w:rsidR="00762359">
        <w:rPr>
          <w:rFonts w:ascii="Verdana" w:hAnsi="Verdana"/>
          <w:sz w:val="20"/>
          <w:szCs w:val="20"/>
          <w:lang w:val="es-CR"/>
        </w:rPr>
        <w:t>209</w:t>
      </w:r>
      <w:r w:rsidR="00762359" w:rsidRPr="00762359">
        <w:rPr>
          <w:rFonts w:ascii="Verdana" w:hAnsi="Verdana"/>
          <w:sz w:val="20"/>
          <w:szCs w:val="20"/>
          <w:lang w:val="es-CR"/>
        </w:rPr>
        <w:t xml:space="preserve"> de la Sentencia, si el Estado incurre en mora en el cumplimiento de los pagos ordenados en la Sentencia, debe pagar el interés moratorio correspondiente</w:t>
      </w:r>
      <w:r w:rsidR="00762359">
        <w:rPr>
          <w:rFonts w:ascii="Verdana" w:hAnsi="Verdana"/>
          <w:sz w:val="20"/>
          <w:szCs w:val="20"/>
          <w:lang w:val="es-CR"/>
        </w:rPr>
        <w:t xml:space="preserve"> </w:t>
      </w:r>
      <w:r w:rsidR="00762359" w:rsidRPr="00762359">
        <w:rPr>
          <w:rFonts w:ascii="Verdana" w:hAnsi="Verdana"/>
          <w:sz w:val="20"/>
          <w:szCs w:val="20"/>
          <w:lang w:val="es-CR"/>
        </w:rPr>
        <w:t>(</w:t>
      </w:r>
      <w:r w:rsidR="00762359" w:rsidRPr="00762359">
        <w:rPr>
          <w:rFonts w:ascii="Verdana" w:hAnsi="Verdana"/>
          <w:i/>
          <w:sz w:val="20"/>
          <w:szCs w:val="20"/>
          <w:lang w:val="es-CR"/>
        </w:rPr>
        <w:t>supra</w:t>
      </w:r>
      <w:r w:rsidR="00762359" w:rsidRPr="00762359">
        <w:rPr>
          <w:rFonts w:ascii="Verdana" w:hAnsi="Verdana"/>
          <w:sz w:val="20"/>
          <w:szCs w:val="20"/>
          <w:lang w:val="es-CR"/>
        </w:rPr>
        <w:t xml:space="preserve"> Considerando </w:t>
      </w:r>
      <w:r w:rsidR="007A4AAA">
        <w:rPr>
          <w:rFonts w:ascii="Verdana" w:hAnsi="Verdana"/>
          <w:sz w:val="20"/>
          <w:szCs w:val="20"/>
          <w:lang w:val="es-CR"/>
        </w:rPr>
        <w:t>43</w:t>
      </w:r>
      <w:r w:rsidR="00762359" w:rsidRPr="00762359">
        <w:rPr>
          <w:rFonts w:ascii="Verdana" w:hAnsi="Verdana"/>
          <w:sz w:val="20"/>
          <w:szCs w:val="20"/>
          <w:lang w:val="es-CR"/>
        </w:rPr>
        <w:t xml:space="preserve">). En consecuencia, en el presente caso el Estado debe pagar a las víctimas los intereses moratorios que les correspondan por el retraso </w:t>
      </w:r>
      <w:r w:rsidR="00762359">
        <w:rPr>
          <w:rFonts w:ascii="Verdana" w:hAnsi="Verdana"/>
          <w:sz w:val="20"/>
          <w:szCs w:val="20"/>
          <w:lang w:val="es-CR"/>
        </w:rPr>
        <w:t>en los referidos pagos. En este sentido, este Tribunal resalta que e</w:t>
      </w:r>
      <w:r w:rsidR="0087252B">
        <w:rPr>
          <w:rFonts w:ascii="Verdana" w:hAnsi="Verdana"/>
          <w:sz w:val="20"/>
          <w:szCs w:val="20"/>
          <w:lang w:val="es-CR"/>
        </w:rPr>
        <w:t>l Perú</w:t>
      </w:r>
      <w:r>
        <w:rPr>
          <w:rFonts w:ascii="Verdana" w:hAnsi="Verdana"/>
          <w:sz w:val="20"/>
          <w:szCs w:val="20"/>
          <w:lang w:val="es-CR"/>
        </w:rPr>
        <w:t xml:space="preserve"> no se </w:t>
      </w:r>
      <w:r w:rsidR="00D323FC">
        <w:rPr>
          <w:rFonts w:ascii="Verdana" w:hAnsi="Verdana"/>
          <w:sz w:val="20"/>
          <w:szCs w:val="20"/>
          <w:lang w:val="es-CR"/>
        </w:rPr>
        <w:t xml:space="preserve">ha </w:t>
      </w:r>
      <w:r>
        <w:rPr>
          <w:rFonts w:ascii="Verdana" w:hAnsi="Verdana"/>
          <w:sz w:val="20"/>
          <w:szCs w:val="20"/>
          <w:lang w:val="es-CR"/>
        </w:rPr>
        <w:t>referido a</w:t>
      </w:r>
      <w:r w:rsidR="00694DC6">
        <w:rPr>
          <w:rFonts w:ascii="Verdana" w:hAnsi="Verdana"/>
          <w:sz w:val="20"/>
          <w:szCs w:val="20"/>
          <w:lang w:val="es-CR"/>
        </w:rPr>
        <w:t xml:space="preserve"> </w:t>
      </w:r>
      <w:r>
        <w:rPr>
          <w:rFonts w:ascii="Verdana" w:hAnsi="Verdana"/>
          <w:sz w:val="20"/>
          <w:szCs w:val="20"/>
          <w:lang w:val="es-CR"/>
        </w:rPr>
        <w:t>l</w:t>
      </w:r>
      <w:r w:rsidR="00694DC6">
        <w:rPr>
          <w:rFonts w:ascii="Verdana" w:hAnsi="Verdana"/>
          <w:sz w:val="20"/>
          <w:szCs w:val="20"/>
          <w:lang w:val="es-CR"/>
        </w:rPr>
        <w:t>a</w:t>
      </w:r>
      <w:r>
        <w:rPr>
          <w:rFonts w:ascii="Verdana" w:hAnsi="Verdana"/>
          <w:sz w:val="20"/>
          <w:szCs w:val="20"/>
          <w:lang w:val="es-CR"/>
        </w:rPr>
        <w:t xml:space="preserve"> </w:t>
      </w:r>
      <w:r w:rsidR="00694DC6">
        <w:rPr>
          <w:rFonts w:ascii="Verdana" w:hAnsi="Verdana"/>
          <w:sz w:val="20"/>
          <w:szCs w:val="20"/>
          <w:lang w:val="es-CR"/>
        </w:rPr>
        <w:t>cancelación</w:t>
      </w:r>
      <w:r>
        <w:rPr>
          <w:rFonts w:ascii="Verdana" w:hAnsi="Verdana"/>
          <w:sz w:val="20"/>
          <w:szCs w:val="20"/>
          <w:lang w:val="es-CR"/>
        </w:rPr>
        <w:t xml:space="preserve"> de los intereses moratorios generados por </w:t>
      </w:r>
      <w:r w:rsidR="00D22103">
        <w:rPr>
          <w:rFonts w:ascii="Verdana" w:hAnsi="Verdana"/>
          <w:sz w:val="20"/>
          <w:szCs w:val="20"/>
          <w:lang w:val="es-CR"/>
        </w:rPr>
        <w:t>dicho retraso</w:t>
      </w:r>
      <w:r w:rsidR="004919F6">
        <w:rPr>
          <w:rFonts w:ascii="Verdana" w:hAnsi="Verdana"/>
          <w:sz w:val="20"/>
          <w:szCs w:val="20"/>
          <w:lang w:val="es-CR"/>
        </w:rPr>
        <w:t xml:space="preserve"> </w:t>
      </w:r>
      <w:r w:rsidR="00011991">
        <w:rPr>
          <w:rFonts w:ascii="Verdana" w:hAnsi="Verdana"/>
          <w:sz w:val="20"/>
          <w:szCs w:val="20"/>
          <w:lang w:val="es-CR"/>
        </w:rPr>
        <w:t>en</w:t>
      </w:r>
      <w:r w:rsidR="004919F6">
        <w:rPr>
          <w:rFonts w:ascii="Verdana" w:hAnsi="Verdana"/>
          <w:sz w:val="20"/>
          <w:szCs w:val="20"/>
          <w:lang w:val="es-CR"/>
        </w:rPr>
        <w:t xml:space="preserve"> </w:t>
      </w:r>
      <w:r w:rsidR="00011991">
        <w:rPr>
          <w:rFonts w:ascii="Verdana" w:hAnsi="Verdana"/>
          <w:sz w:val="20"/>
          <w:szCs w:val="20"/>
          <w:lang w:val="es-CR"/>
        </w:rPr>
        <w:t>e</w:t>
      </w:r>
      <w:r w:rsidR="004919F6">
        <w:rPr>
          <w:rFonts w:ascii="Verdana" w:hAnsi="Verdana"/>
          <w:sz w:val="20"/>
          <w:szCs w:val="20"/>
          <w:lang w:val="es-CR"/>
        </w:rPr>
        <w:t xml:space="preserve">l pago de las indemnizaciones por concepto de </w:t>
      </w:r>
      <w:r w:rsidR="004919F6" w:rsidRPr="00C54D7F">
        <w:rPr>
          <w:rFonts w:ascii="Verdana" w:hAnsi="Verdana" w:cs="Verdana"/>
          <w:sz w:val="20"/>
          <w:szCs w:val="20"/>
          <w:lang w:val="es-CR"/>
        </w:rPr>
        <w:t>daños materiales, daños inmateriales y reintegro de costas y gastos</w:t>
      </w:r>
      <w:r>
        <w:rPr>
          <w:rFonts w:ascii="Verdana" w:hAnsi="Verdana"/>
          <w:sz w:val="20"/>
          <w:szCs w:val="20"/>
          <w:lang w:val="es-CR"/>
        </w:rPr>
        <w:t xml:space="preserve">, </w:t>
      </w:r>
      <w:r w:rsidRPr="00970863">
        <w:rPr>
          <w:rFonts w:ascii="Verdana" w:hAnsi="Verdana"/>
          <w:sz w:val="20"/>
          <w:szCs w:val="20"/>
          <w:lang w:val="es-CR"/>
        </w:rPr>
        <w:t xml:space="preserve">tal como </w:t>
      </w:r>
      <w:r>
        <w:rPr>
          <w:rFonts w:ascii="Verdana" w:hAnsi="Verdana"/>
          <w:sz w:val="20"/>
          <w:szCs w:val="20"/>
          <w:lang w:val="es-CR"/>
        </w:rPr>
        <w:t xml:space="preserve">ya </w:t>
      </w:r>
      <w:r w:rsidRPr="00970863">
        <w:rPr>
          <w:rFonts w:ascii="Verdana" w:hAnsi="Verdana"/>
          <w:sz w:val="20"/>
          <w:szCs w:val="20"/>
          <w:lang w:val="es-CR"/>
        </w:rPr>
        <w:t xml:space="preserve">había sido advertido </w:t>
      </w:r>
      <w:r>
        <w:rPr>
          <w:rFonts w:ascii="Verdana" w:hAnsi="Verdana"/>
          <w:sz w:val="20"/>
          <w:szCs w:val="20"/>
          <w:lang w:val="es-CR"/>
        </w:rPr>
        <w:t xml:space="preserve">por la Corte </w:t>
      </w:r>
      <w:r w:rsidRPr="00970863">
        <w:rPr>
          <w:rFonts w:ascii="Verdana" w:hAnsi="Verdana"/>
          <w:sz w:val="20"/>
          <w:szCs w:val="20"/>
          <w:lang w:val="es-CR"/>
        </w:rPr>
        <w:t>en la Resolución de</w:t>
      </w:r>
      <w:r w:rsidR="002F5BB9">
        <w:rPr>
          <w:rFonts w:ascii="Verdana" w:hAnsi="Verdana"/>
          <w:sz w:val="20"/>
          <w:szCs w:val="20"/>
          <w:lang w:val="es-CR"/>
        </w:rPr>
        <w:t xml:space="preserve"> febrero</w:t>
      </w:r>
      <w:r w:rsidRPr="00970863">
        <w:rPr>
          <w:rFonts w:ascii="Verdana" w:hAnsi="Verdana"/>
          <w:sz w:val="20"/>
          <w:szCs w:val="20"/>
          <w:lang w:val="es-CR"/>
        </w:rPr>
        <w:t xml:space="preserve"> 2011 (</w:t>
      </w:r>
      <w:r w:rsidRPr="00970863">
        <w:rPr>
          <w:rFonts w:ascii="Verdana" w:hAnsi="Verdana"/>
          <w:i/>
          <w:sz w:val="20"/>
          <w:szCs w:val="20"/>
          <w:lang w:val="es-CR"/>
        </w:rPr>
        <w:t xml:space="preserve">supra </w:t>
      </w:r>
      <w:r w:rsidRPr="00970863">
        <w:rPr>
          <w:rFonts w:ascii="Verdana" w:hAnsi="Verdana"/>
          <w:sz w:val="20"/>
          <w:szCs w:val="20"/>
          <w:lang w:val="es-CR"/>
        </w:rPr>
        <w:t xml:space="preserve">Considerando </w:t>
      </w:r>
      <w:r w:rsidR="007A4AAA">
        <w:rPr>
          <w:rFonts w:ascii="Verdana" w:hAnsi="Verdana"/>
          <w:sz w:val="20"/>
          <w:szCs w:val="20"/>
          <w:lang w:val="es-CR"/>
        </w:rPr>
        <w:t>45</w:t>
      </w:r>
      <w:r w:rsidRPr="00970863">
        <w:rPr>
          <w:rFonts w:ascii="Verdana" w:hAnsi="Verdana"/>
          <w:sz w:val="20"/>
          <w:szCs w:val="20"/>
          <w:lang w:val="es-CR"/>
        </w:rPr>
        <w:t>)</w:t>
      </w:r>
      <w:r w:rsidR="00383328">
        <w:rPr>
          <w:rFonts w:ascii="Verdana" w:hAnsi="Verdana"/>
          <w:sz w:val="20"/>
          <w:szCs w:val="20"/>
          <w:lang w:val="es-CR"/>
        </w:rPr>
        <w:t xml:space="preserve">. </w:t>
      </w:r>
    </w:p>
    <w:p w:rsidR="00D323FC" w:rsidRPr="00762359" w:rsidRDefault="00D323FC" w:rsidP="00792C28">
      <w:pPr>
        <w:autoSpaceDE w:val="0"/>
        <w:autoSpaceDN w:val="0"/>
        <w:adjustRightInd w:val="0"/>
        <w:spacing w:after="120" w:line="240" w:lineRule="auto"/>
        <w:jc w:val="both"/>
        <w:rPr>
          <w:rFonts w:ascii="Verdana" w:hAnsi="Verdana"/>
          <w:sz w:val="10"/>
          <w:szCs w:val="10"/>
          <w:lang w:val="es-CR"/>
        </w:rPr>
      </w:pPr>
    </w:p>
    <w:p w:rsidR="00B74664" w:rsidRPr="002217E9" w:rsidRDefault="00383328" w:rsidP="00792C28">
      <w:pPr>
        <w:numPr>
          <w:ilvl w:val="0"/>
          <w:numId w:val="28"/>
        </w:numPr>
        <w:autoSpaceDE w:val="0"/>
        <w:autoSpaceDN w:val="0"/>
        <w:adjustRightInd w:val="0"/>
        <w:spacing w:after="120" w:line="240" w:lineRule="auto"/>
        <w:ind w:left="0" w:firstLine="0"/>
        <w:jc w:val="both"/>
        <w:rPr>
          <w:rFonts w:ascii="Verdana" w:hAnsi="Verdana"/>
          <w:b/>
          <w:sz w:val="20"/>
          <w:szCs w:val="20"/>
          <w:lang w:val="es-CR"/>
        </w:rPr>
      </w:pPr>
      <w:r>
        <w:rPr>
          <w:rFonts w:ascii="Verdana" w:hAnsi="Verdana"/>
          <w:sz w:val="20"/>
          <w:szCs w:val="20"/>
          <w:lang w:val="es-CR"/>
        </w:rPr>
        <w:t xml:space="preserve">Por otra parte, el Tribunal también </w:t>
      </w:r>
      <w:r w:rsidR="0087252B">
        <w:rPr>
          <w:rFonts w:ascii="Verdana" w:hAnsi="Verdana"/>
          <w:sz w:val="20"/>
          <w:szCs w:val="20"/>
          <w:lang w:val="es-CR"/>
        </w:rPr>
        <w:t>observa</w:t>
      </w:r>
      <w:r>
        <w:rPr>
          <w:rFonts w:ascii="Verdana" w:hAnsi="Verdana"/>
          <w:sz w:val="20"/>
          <w:szCs w:val="20"/>
          <w:lang w:val="es-CR"/>
        </w:rPr>
        <w:t xml:space="preserve"> que el Perú únicamente señaló en octubre de 2012 que venía “realizando las gestiones pertinentes con la finalidad de dar cumplimiento” a la obligación relativa a restituir la cantidad indicada en la Sentencia a la señora Pelagia Mélida Contreras </w:t>
      </w:r>
      <w:r w:rsidRPr="002217E9">
        <w:rPr>
          <w:rFonts w:ascii="Verdana" w:hAnsi="Verdana"/>
          <w:sz w:val="20"/>
          <w:szCs w:val="20"/>
          <w:lang w:val="es-CR"/>
        </w:rPr>
        <w:t>Montoya</w:t>
      </w:r>
      <w:r w:rsidR="002F5BB9">
        <w:rPr>
          <w:rFonts w:ascii="Verdana" w:hAnsi="Verdana"/>
          <w:sz w:val="20"/>
          <w:szCs w:val="20"/>
          <w:lang w:val="es-CR"/>
        </w:rPr>
        <w:t xml:space="preserve"> (</w:t>
      </w:r>
      <w:r w:rsidR="002F5BB9">
        <w:rPr>
          <w:rFonts w:ascii="Verdana" w:hAnsi="Verdana"/>
          <w:i/>
          <w:sz w:val="20"/>
          <w:szCs w:val="20"/>
          <w:lang w:val="es-CR"/>
        </w:rPr>
        <w:t xml:space="preserve">supra </w:t>
      </w:r>
      <w:r w:rsidR="002F5BB9">
        <w:rPr>
          <w:rFonts w:ascii="Verdana" w:hAnsi="Verdana"/>
          <w:sz w:val="20"/>
          <w:szCs w:val="20"/>
          <w:lang w:val="es-CR"/>
        </w:rPr>
        <w:t>Considerando 44)</w:t>
      </w:r>
      <w:r w:rsidR="00A73EDE">
        <w:rPr>
          <w:rFonts w:ascii="Verdana" w:hAnsi="Verdana"/>
          <w:sz w:val="20"/>
          <w:szCs w:val="20"/>
          <w:lang w:val="es-CR"/>
        </w:rPr>
        <w:t>, sin que desde entonces se refiriera a dicho pago</w:t>
      </w:r>
      <w:r w:rsidRPr="002217E9">
        <w:rPr>
          <w:rFonts w:ascii="Verdana" w:hAnsi="Verdana"/>
          <w:sz w:val="20"/>
          <w:szCs w:val="20"/>
          <w:lang w:val="es-CR"/>
        </w:rPr>
        <w:t xml:space="preserve">. </w:t>
      </w:r>
      <w:r w:rsidR="00B74664" w:rsidRPr="002217E9">
        <w:rPr>
          <w:rFonts w:ascii="Verdana" w:hAnsi="Verdana"/>
          <w:sz w:val="20"/>
          <w:szCs w:val="20"/>
          <w:lang w:val="es-CR"/>
        </w:rPr>
        <w:t xml:space="preserve">Por lo tanto, </w:t>
      </w:r>
      <w:r w:rsidR="00B74664" w:rsidRPr="002217E9">
        <w:rPr>
          <w:rFonts w:ascii="Verdana" w:hAnsi="Verdana" w:cs="Verdana"/>
          <w:sz w:val="20"/>
          <w:szCs w:val="20"/>
          <w:lang w:val="es-CR"/>
        </w:rPr>
        <w:t xml:space="preserve">la Corte </w:t>
      </w:r>
      <w:r w:rsidR="00B74664" w:rsidRPr="002217E9">
        <w:rPr>
          <w:rFonts w:ascii="Verdana" w:hAnsi="Verdana"/>
          <w:sz w:val="20"/>
          <w:lang w:val="es-MX"/>
        </w:rPr>
        <w:t xml:space="preserve">requiere al Estado que, en el plazo indicado en el punto resolutivo </w:t>
      </w:r>
      <w:r w:rsidR="007A4AAA">
        <w:rPr>
          <w:rFonts w:ascii="Verdana" w:hAnsi="Verdana"/>
          <w:sz w:val="20"/>
          <w:lang w:val="es-MX"/>
        </w:rPr>
        <w:t>4</w:t>
      </w:r>
      <w:r w:rsidR="00B74664" w:rsidRPr="002217E9">
        <w:rPr>
          <w:rFonts w:ascii="Verdana" w:hAnsi="Verdana"/>
          <w:sz w:val="20"/>
          <w:lang w:val="es-MX"/>
        </w:rPr>
        <w:t xml:space="preserve"> de la presente Resolución, remita información actualizada sobre las gestiones realizadas para realizar el pago de los intereses moratorios debidos</w:t>
      </w:r>
      <w:r w:rsidR="001A6D2A">
        <w:rPr>
          <w:rFonts w:ascii="Verdana" w:hAnsi="Verdana"/>
          <w:sz w:val="20"/>
          <w:lang w:val="es-MX"/>
        </w:rPr>
        <w:t xml:space="preserve"> (</w:t>
      </w:r>
      <w:r w:rsidR="001A6D2A">
        <w:rPr>
          <w:rFonts w:ascii="Verdana" w:hAnsi="Verdana"/>
          <w:i/>
          <w:sz w:val="20"/>
          <w:lang w:val="es-MX"/>
        </w:rPr>
        <w:t xml:space="preserve">supra </w:t>
      </w:r>
      <w:r w:rsidR="001A6D2A">
        <w:rPr>
          <w:rFonts w:ascii="Verdana" w:hAnsi="Verdana"/>
          <w:sz w:val="20"/>
          <w:lang w:val="es-MX"/>
        </w:rPr>
        <w:t>Considerando 48)</w:t>
      </w:r>
      <w:r w:rsidR="00B74664" w:rsidRPr="002217E9">
        <w:rPr>
          <w:rFonts w:ascii="Verdana" w:hAnsi="Verdana"/>
          <w:sz w:val="20"/>
          <w:lang w:val="es-MX"/>
        </w:rPr>
        <w:t xml:space="preserve">, así como la restitución de la suma de </w:t>
      </w:r>
      <w:r w:rsidR="007A4AAA" w:rsidRPr="0048307D">
        <w:rPr>
          <w:rFonts w:ascii="Verdana" w:hAnsi="Verdana" w:cs="Verdana"/>
          <w:sz w:val="20"/>
          <w:szCs w:val="20"/>
          <w:lang w:val="es-CR"/>
        </w:rPr>
        <w:t>US</w:t>
      </w:r>
      <w:r w:rsidR="007A4AAA">
        <w:rPr>
          <w:rFonts w:ascii="Verdana" w:hAnsi="Verdana" w:cs="Verdana"/>
          <w:sz w:val="20"/>
          <w:szCs w:val="20"/>
          <w:lang w:val="es-CR"/>
        </w:rPr>
        <w:t>D</w:t>
      </w:r>
      <w:r w:rsidR="007A4AAA" w:rsidRPr="0048307D">
        <w:rPr>
          <w:rFonts w:ascii="Verdana" w:hAnsi="Verdana" w:cs="Verdana"/>
          <w:sz w:val="20"/>
          <w:szCs w:val="20"/>
          <w:lang w:val="es-CR"/>
        </w:rPr>
        <w:t xml:space="preserve">$ 7.500,00 </w:t>
      </w:r>
      <w:r w:rsidR="007A4AAA">
        <w:rPr>
          <w:rFonts w:ascii="Verdana" w:hAnsi="Verdana" w:cs="Verdana"/>
          <w:sz w:val="20"/>
          <w:szCs w:val="20"/>
          <w:lang w:val="es-CR"/>
        </w:rPr>
        <w:t>(</w:t>
      </w:r>
      <w:r w:rsidR="007A4AAA" w:rsidRPr="0048307D">
        <w:rPr>
          <w:rFonts w:ascii="Verdana" w:hAnsi="Verdana" w:cs="Verdana"/>
          <w:sz w:val="20"/>
          <w:szCs w:val="20"/>
          <w:lang w:val="es-CR"/>
        </w:rPr>
        <w:t xml:space="preserve">siete mil quinientos dólares de los Estados Unidos de América) </w:t>
      </w:r>
      <w:r w:rsidR="00B74664" w:rsidRPr="002217E9">
        <w:rPr>
          <w:rFonts w:ascii="Verdana" w:hAnsi="Verdana" w:cs="Verdana"/>
          <w:sz w:val="20"/>
          <w:szCs w:val="20"/>
          <w:lang w:val="es-CR"/>
        </w:rPr>
        <w:t>a Pelagia Mélida Contreras Montoya.</w:t>
      </w:r>
    </w:p>
    <w:p w:rsidR="00B74664" w:rsidRPr="002217E9" w:rsidRDefault="00B74664" w:rsidP="00792C28">
      <w:pPr>
        <w:autoSpaceDE w:val="0"/>
        <w:autoSpaceDN w:val="0"/>
        <w:adjustRightInd w:val="0"/>
        <w:spacing w:after="120" w:line="240" w:lineRule="auto"/>
        <w:jc w:val="both"/>
        <w:rPr>
          <w:rFonts w:ascii="Verdana" w:hAnsi="Verdana"/>
          <w:b/>
          <w:sz w:val="10"/>
          <w:szCs w:val="10"/>
          <w:lang w:val="es-CR"/>
        </w:rPr>
      </w:pPr>
    </w:p>
    <w:p w:rsidR="001E0FFB" w:rsidRPr="002217E9" w:rsidRDefault="001E0FFB" w:rsidP="00792C28">
      <w:pPr>
        <w:widowControl w:val="0"/>
        <w:numPr>
          <w:ilvl w:val="0"/>
          <w:numId w:val="28"/>
        </w:numPr>
        <w:autoSpaceDE w:val="0"/>
        <w:autoSpaceDN w:val="0"/>
        <w:adjustRightInd w:val="0"/>
        <w:spacing w:after="120" w:line="240" w:lineRule="auto"/>
        <w:ind w:left="0" w:firstLine="0"/>
        <w:jc w:val="both"/>
        <w:rPr>
          <w:rFonts w:ascii="Verdana" w:hAnsi="Verdana" w:cs="Verdana"/>
          <w:sz w:val="20"/>
          <w:szCs w:val="20"/>
          <w:lang w:val="es-CR"/>
        </w:rPr>
      </w:pPr>
      <w:r w:rsidRPr="002217E9">
        <w:rPr>
          <w:rFonts w:ascii="Verdana" w:hAnsi="Verdana" w:cs="Verdana"/>
          <w:sz w:val="20"/>
          <w:szCs w:val="20"/>
          <w:lang w:val="es-MX"/>
        </w:rPr>
        <w:t>En razón de lo anterior, la Corte considera que el Estado ha</w:t>
      </w:r>
      <w:r w:rsidR="00B74664" w:rsidRPr="002217E9">
        <w:rPr>
          <w:rFonts w:ascii="Verdana" w:hAnsi="Verdana" w:cs="Verdana"/>
          <w:sz w:val="20"/>
          <w:szCs w:val="20"/>
          <w:lang w:val="es-MX"/>
        </w:rPr>
        <w:t xml:space="preserve"> dado cumplimiento parcial a las</w:t>
      </w:r>
      <w:r w:rsidRPr="002217E9">
        <w:rPr>
          <w:rFonts w:ascii="Verdana" w:hAnsi="Verdana" w:cs="Verdana"/>
          <w:sz w:val="20"/>
          <w:szCs w:val="20"/>
          <w:lang w:val="es-MX"/>
        </w:rPr>
        <w:t xml:space="preserve"> medida</w:t>
      </w:r>
      <w:r w:rsidR="00B74664" w:rsidRPr="002217E9">
        <w:rPr>
          <w:rFonts w:ascii="Verdana" w:hAnsi="Verdana" w:cs="Verdana"/>
          <w:sz w:val="20"/>
          <w:szCs w:val="20"/>
          <w:lang w:val="es-MX"/>
        </w:rPr>
        <w:t>s</w:t>
      </w:r>
      <w:r w:rsidRPr="002217E9">
        <w:rPr>
          <w:rFonts w:ascii="Verdana" w:hAnsi="Verdana" w:cs="Verdana"/>
          <w:sz w:val="20"/>
          <w:szCs w:val="20"/>
          <w:lang w:val="es-MX"/>
        </w:rPr>
        <w:t xml:space="preserve"> de reparación relativa</w:t>
      </w:r>
      <w:r w:rsidR="00B74664" w:rsidRPr="002217E9">
        <w:rPr>
          <w:rFonts w:ascii="Verdana" w:hAnsi="Verdana" w:cs="Verdana"/>
          <w:sz w:val="20"/>
          <w:szCs w:val="20"/>
          <w:lang w:val="es-MX"/>
        </w:rPr>
        <w:t>s</w:t>
      </w:r>
      <w:r w:rsidRPr="002217E9">
        <w:rPr>
          <w:rFonts w:ascii="Verdana" w:hAnsi="Verdana" w:cs="Verdana"/>
          <w:sz w:val="20"/>
          <w:szCs w:val="20"/>
          <w:lang w:val="es-MX"/>
        </w:rPr>
        <w:t xml:space="preserve"> a </w:t>
      </w:r>
      <w:r w:rsidRPr="002217E9">
        <w:rPr>
          <w:rFonts w:ascii="Verdana" w:hAnsi="Verdana" w:cs="Verdana"/>
          <w:sz w:val="20"/>
          <w:szCs w:val="20"/>
          <w:lang w:val="es-CR"/>
        </w:rPr>
        <w:t>realizar los pagos de las cantidades establecidas en la Sentencia p</w:t>
      </w:r>
      <w:r w:rsidR="00E646CB" w:rsidRPr="002217E9">
        <w:rPr>
          <w:rFonts w:ascii="Verdana" w:hAnsi="Verdana" w:cs="Verdana"/>
          <w:sz w:val="20"/>
          <w:szCs w:val="20"/>
          <w:lang w:val="es-CR"/>
        </w:rPr>
        <w:t>or concepto de daños materiales</w:t>
      </w:r>
      <w:r w:rsidR="004E62CB">
        <w:rPr>
          <w:rFonts w:ascii="Verdana" w:hAnsi="Verdana" w:cs="Verdana"/>
          <w:sz w:val="20"/>
          <w:szCs w:val="20"/>
          <w:lang w:val="es-CR"/>
        </w:rPr>
        <w:t>,</w:t>
      </w:r>
      <w:r w:rsidRPr="002217E9">
        <w:rPr>
          <w:rFonts w:ascii="Verdana" w:hAnsi="Verdana" w:cs="Verdana"/>
          <w:sz w:val="20"/>
          <w:szCs w:val="20"/>
          <w:lang w:val="es-CR"/>
        </w:rPr>
        <w:t xml:space="preserve"> daños inmateriales</w:t>
      </w:r>
      <w:r w:rsidR="004E62CB">
        <w:rPr>
          <w:rFonts w:ascii="Verdana" w:hAnsi="Verdana" w:cs="Verdana"/>
          <w:sz w:val="20"/>
          <w:szCs w:val="20"/>
          <w:lang w:val="es-CR"/>
        </w:rPr>
        <w:t xml:space="preserve"> y reintegro de costas y gastos</w:t>
      </w:r>
      <w:r w:rsidRPr="002217E9">
        <w:rPr>
          <w:rFonts w:ascii="Verdana" w:hAnsi="Verdana" w:cs="Verdana"/>
          <w:sz w:val="20"/>
          <w:szCs w:val="20"/>
          <w:lang w:val="es-CR"/>
        </w:rPr>
        <w:t>,</w:t>
      </w:r>
      <w:r w:rsidR="00D71D51">
        <w:rPr>
          <w:rFonts w:ascii="Verdana" w:hAnsi="Verdana" w:cs="Verdana"/>
          <w:sz w:val="20"/>
          <w:szCs w:val="20"/>
          <w:lang w:val="es-CR"/>
        </w:rPr>
        <w:t xml:space="preserve"> quedando pendiente el pago de los correspondientes intereses moratorios, según fue</w:t>
      </w:r>
      <w:r w:rsidRPr="002217E9">
        <w:rPr>
          <w:rFonts w:ascii="Verdana" w:hAnsi="Verdana" w:cs="Verdana"/>
          <w:sz w:val="20"/>
          <w:szCs w:val="20"/>
          <w:lang w:val="es-CR"/>
        </w:rPr>
        <w:t xml:space="preserve"> </w:t>
      </w:r>
      <w:r w:rsidR="00D71D51">
        <w:rPr>
          <w:rFonts w:ascii="Verdana" w:hAnsi="Verdana" w:cs="Verdana"/>
          <w:sz w:val="20"/>
          <w:szCs w:val="20"/>
          <w:lang w:val="es-MX"/>
        </w:rPr>
        <w:t>ordenad</w:t>
      </w:r>
      <w:r w:rsidR="004E62CB">
        <w:rPr>
          <w:rFonts w:ascii="Verdana" w:hAnsi="Verdana" w:cs="Verdana"/>
          <w:sz w:val="20"/>
          <w:szCs w:val="20"/>
          <w:lang w:val="es-MX"/>
        </w:rPr>
        <w:t>o</w:t>
      </w:r>
      <w:r w:rsidRPr="002217E9">
        <w:rPr>
          <w:rFonts w:ascii="Verdana" w:hAnsi="Verdana" w:cs="Verdana"/>
          <w:sz w:val="20"/>
          <w:szCs w:val="20"/>
          <w:lang w:val="es-MX"/>
        </w:rPr>
        <w:t xml:space="preserve"> en el punto dispositivo décimo cuarto de la misma.</w:t>
      </w:r>
      <w:r w:rsidR="00E646CB" w:rsidRPr="002217E9">
        <w:rPr>
          <w:rFonts w:ascii="Verdana" w:hAnsi="Verdana" w:cs="Verdana"/>
          <w:sz w:val="20"/>
          <w:szCs w:val="20"/>
          <w:lang w:val="es-MX"/>
        </w:rPr>
        <w:t xml:space="preserve"> Asimismo, el Tribunal </w:t>
      </w:r>
      <w:r w:rsidR="001A6D2A">
        <w:rPr>
          <w:rFonts w:ascii="Verdana" w:hAnsi="Verdana" w:cs="Verdana"/>
          <w:sz w:val="20"/>
          <w:szCs w:val="20"/>
          <w:lang w:val="es-MX"/>
        </w:rPr>
        <w:t>considera</w:t>
      </w:r>
      <w:r w:rsidR="00E646CB" w:rsidRPr="002217E9">
        <w:rPr>
          <w:rFonts w:ascii="Verdana" w:hAnsi="Verdana" w:cs="Verdana"/>
          <w:sz w:val="20"/>
          <w:szCs w:val="20"/>
          <w:lang w:val="es-MX"/>
        </w:rPr>
        <w:t xml:space="preserve"> que se encuentra pendiente de cumplimiento </w:t>
      </w:r>
      <w:r w:rsidR="00E646CB" w:rsidRPr="002217E9">
        <w:rPr>
          <w:rFonts w:ascii="Verdana" w:hAnsi="Verdana" w:cs="Verdana"/>
          <w:sz w:val="20"/>
          <w:szCs w:val="20"/>
          <w:lang w:val="es-CR"/>
        </w:rPr>
        <w:t xml:space="preserve">la restitución de la cantidad de </w:t>
      </w:r>
      <w:r w:rsidR="00C12249" w:rsidRPr="0048307D">
        <w:rPr>
          <w:rFonts w:ascii="Verdana" w:hAnsi="Verdana" w:cs="Verdana"/>
          <w:sz w:val="20"/>
          <w:szCs w:val="20"/>
          <w:lang w:val="es-CR"/>
        </w:rPr>
        <w:t>US</w:t>
      </w:r>
      <w:r w:rsidR="00C12249">
        <w:rPr>
          <w:rFonts w:ascii="Verdana" w:hAnsi="Verdana" w:cs="Verdana"/>
          <w:sz w:val="20"/>
          <w:szCs w:val="20"/>
          <w:lang w:val="es-CR"/>
        </w:rPr>
        <w:t>D</w:t>
      </w:r>
      <w:r w:rsidR="00C12249" w:rsidRPr="0048307D">
        <w:rPr>
          <w:rFonts w:ascii="Verdana" w:hAnsi="Verdana" w:cs="Verdana"/>
          <w:sz w:val="20"/>
          <w:szCs w:val="20"/>
          <w:lang w:val="es-CR"/>
        </w:rPr>
        <w:t xml:space="preserve">$ 7.500,00 </w:t>
      </w:r>
      <w:r w:rsidR="00C12249">
        <w:rPr>
          <w:rFonts w:ascii="Verdana" w:hAnsi="Verdana" w:cs="Verdana"/>
          <w:sz w:val="20"/>
          <w:szCs w:val="20"/>
          <w:lang w:val="es-CR"/>
        </w:rPr>
        <w:t>(</w:t>
      </w:r>
      <w:r w:rsidR="00C12249" w:rsidRPr="0048307D">
        <w:rPr>
          <w:rFonts w:ascii="Verdana" w:hAnsi="Verdana" w:cs="Verdana"/>
          <w:sz w:val="20"/>
          <w:szCs w:val="20"/>
          <w:lang w:val="es-CR"/>
        </w:rPr>
        <w:t xml:space="preserve">siete mil quinientos dólares de los Estados Unidos de América) </w:t>
      </w:r>
      <w:r w:rsidR="00E646CB" w:rsidRPr="002217E9">
        <w:rPr>
          <w:rFonts w:ascii="Verdana" w:hAnsi="Verdana" w:cs="Verdana"/>
          <w:sz w:val="20"/>
          <w:szCs w:val="20"/>
          <w:lang w:val="es-CR"/>
        </w:rPr>
        <w:t>a Pelagia Mélida Contreras Montoya, según fue ordenado en el párrafo 187 de la Sentencia.</w:t>
      </w:r>
    </w:p>
    <w:p w:rsidR="003370CB" w:rsidRPr="002217E9" w:rsidRDefault="003370CB" w:rsidP="00792C28">
      <w:pPr>
        <w:widowControl w:val="0"/>
        <w:autoSpaceDE w:val="0"/>
        <w:autoSpaceDN w:val="0"/>
        <w:adjustRightInd w:val="0"/>
        <w:spacing w:after="120" w:line="240" w:lineRule="auto"/>
        <w:jc w:val="both"/>
        <w:rPr>
          <w:rFonts w:ascii="Verdana" w:hAnsi="Verdana" w:cs="Verdana"/>
          <w:b/>
          <w:bCs/>
          <w:iCs/>
          <w:sz w:val="14"/>
          <w:szCs w:val="14"/>
          <w:lang w:val="es-MX"/>
        </w:rPr>
      </w:pPr>
    </w:p>
    <w:p w:rsidR="009F78E3" w:rsidRPr="002217E9" w:rsidRDefault="009F78E3" w:rsidP="00792C28">
      <w:pPr>
        <w:tabs>
          <w:tab w:val="left" w:pos="680"/>
        </w:tabs>
        <w:spacing w:after="120" w:line="240" w:lineRule="auto"/>
        <w:jc w:val="both"/>
        <w:rPr>
          <w:rFonts w:ascii="Verdana" w:hAnsi="Verdana"/>
          <w:b/>
          <w:sz w:val="20"/>
          <w:szCs w:val="20"/>
          <w:lang w:val="es-MX"/>
        </w:rPr>
      </w:pPr>
      <w:r w:rsidRPr="002217E9">
        <w:rPr>
          <w:rFonts w:ascii="Verdana" w:hAnsi="Verdana"/>
          <w:b/>
          <w:sz w:val="20"/>
          <w:szCs w:val="20"/>
          <w:lang w:val="es-MX"/>
        </w:rPr>
        <w:t>POR TANTO:</w:t>
      </w:r>
    </w:p>
    <w:p w:rsidR="009F78E3" w:rsidRPr="002217E9" w:rsidRDefault="009F78E3" w:rsidP="00792C28">
      <w:pPr>
        <w:pStyle w:val="Textoindependiente"/>
        <w:tabs>
          <w:tab w:val="left" w:pos="360"/>
          <w:tab w:val="left" w:pos="567"/>
        </w:tabs>
        <w:spacing w:line="240" w:lineRule="auto"/>
        <w:jc w:val="both"/>
        <w:rPr>
          <w:rFonts w:ascii="Verdana" w:hAnsi="Verdana"/>
          <w:b/>
          <w:sz w:val="10"/>
          <w:szCs w:val="10"/>
          <w:lang w:val="es-CR"/>
        </w:rPr>
      </w:pPr>
    </w:p>
    <w:p w:rsidR="009F78E3" w:rsidRPr="002217E9" w:rsidRDefault="009F78E3" w:rsidP="00792C28">
      <w:pPr>
        <w:pStyle w:val="Textoindependiente"/>
        <w:tabs>
          <w:tab w:val="left" w:pos="360"/>
          <w:tab w:val="left" w:pos="567"/>
        </w:tabs>
        <w:spacing w:line="240" w:lineRule="auto"/>
        <w:jc w:val="both"/>
        <w:rPr>
          <w:rFonts w:ascii="Verdana" w:hAnsi="Verdana"/>
          <w:b/>
          <w:sz w:val="20"/>
          <w:lang w:val="es-CR"/>
        </w:rPr>
      </w:pPr>
      <w:r w:rsidRPr="002217E9">
        <w:rPr>
          <w:rFonts w:ascii="Verdana" w:hAnsi="Verdana"/>
          <w:b/>
          <w:sz w:val="20"/>
          <w:lang w:val="es-CR"/>
        </w:rPr>
        <w:t>LA CORTE INTERAMERICANA DE DERECHOS HUMANOS,</w:t>
      </w:r>
    </w:p>
    <w:p w:rsidR="002C70F6" w:rsidRPr="002217E9" w:rsidRDefault="002C70F6" w:rsidP="00792C28">
      <w:pPr>
        <w:pStyle w:val="Textoindependiente"/>
        <w:tabs>
          <w:tab w:val="left" w:pos="360"/>
          <w:tab w:val="left" w:pos="567"/>
        </w:tabs>
        <w:spacing w:line="240" w:lineRule="auto"/>
        <w:jc w:val="both"/>
        <w:rPr>
          <w:rFonts w:ascii="Verdana" w:hAnsi="Verdana"/>
          <w:b/>
          <w:sz w:val="14"/>
          <w:szCs w:val="14"/>
          <w:lang w:val="es-CR"/>
        </w:rPr>
      </w:pPr>
    </w:p>
    <w:p w:rsidR="009F78E3" w:rsidRPr="002217E9" w:rsidRDefault="009F78E3" w:rsidP="00792C28">
      <w:pPr>
        <w:tabs>
          <w:tab w:val="left" w:pos="567"/>
        </w:tabs>
        <w:spacing w:after="120" w:line="240" w:lineRule="auto"/>
        <w:jc w:val="both"/>
        <w:rPr>
          <w:rFonts w:ascii="Verdana" w:hAnsi="Verdana"/>
          <w:sz w:val="20"/>
          <w:lang w:val="es-CR"/>
        </w:rPr>
      </w:pPr>
      <w:r w:rsidRPr="002217E9">
        <w:rPr>
          <w:rFonts w:ascii="Verdana" w:hAnsi="Verdana"/>
          <w:sz w:val="20"/>
          <w:lang w:val="es-CR"/>
        </w:rPr>
        <w:t>en el ejercicio de sus atribuciones de supervisión del cumplimiento de sus decisiones, de conformidad con los artículos 33, 62.1, 62.3, 65, 67 y 68.1 de la Convención Americana sobre Derechos Humanos, 24, 25 y 30 del Estatuto, y 31.2 y 69 de su Reglamento,</w:t>
      </w:r>
    </w:p>
    <w:p w:rsidR="00B26EB9" w:rsidRPr="002217E9" w:rsidRDefault="00B26EB9" w:rsidP="00792C28">
      <w:pPr>
        <w:tabs>
          <w:tab w:val="left" w:pos="567"/>
        </w:tabs>
        <w:spacing w:after="120" w:line="240" w:lineRule="auto"/>
        <w:jc w:val="both"/>
        <w:rPr>
          <w:rFonts w:ascii="Verdana" w:hAnsi="Verdana"/>
          <w:sz w:val="14"/>
          <w:szCs w:val="14"/>
          <w:lang w:val="es-CR"/>
        </w:rPr>
      </w:pPr>
    </w:p>
    <w:p w:rsidR="006F0AF8" w:rsidRPr="002217E9" w:rsidRDefault="009F78E3" w:rsidP="00792C28">
      <w:pPr>
        <w:tabs>
          <w:tab w:val="left" w:pos="567"/>
        </w:tabs>
        <w:spacing w:after="120" w:line="240" w:lineRule="auto"/>
        <w:ind w:right="22"/>
        <w:jc w:val="both"/>
        <w:rPr>
          <w:rFonts w:ascii="Verdana" w:hAnsi="Verdana"/>
          <w:b/>
          <w:sz w:val="20"/>
          <w:lang w:val="es-CR"/>
        </w:rPr>
      </w:pPr>
      <w:r w:rsidRPr="002217E9">
        <w:rPr>
          <w:rFonts w:ascii="Verdana" w:hAnsi="Verdana"/>
          <w:b/>
          <w:sz w:val="20"/>
          <w:lang w:val="es-CR"/>
        </w:rPr>
        <w:t>RESUELVE:</w:t>
      </w:r>
      <w:r w:rsidR="006F0AF8" w:rsidRPr="002217E9">
        <w:rPr>
          <w:rFonts w:ascii="Verdana" w:hAnsi="Verdana"/>
          <w:b/>
          <w:sz w:val="20"/>
          <w:lang w:val="es-CR"/>
        </w:rPr>
        <w:t xml:space="preserve"> </w:t>
      </w:r>
    </w:p>
    <w:p w:rsidR="002C70F6" w:rsidRPr="002217E9" w:rsidRDefault="002C70F6" w:rsidP="00792C28">
      <w:pPr>
        <w:tabs>
          <w:tab w:val="left" w:pos="567"/>
        </w:tabs>
        <w:spacing w:after="120" w:line="240" w:lineRule="auto"/>
        <w:ind w:right="22"/>
        <w:jc w:val="both"/>
        <w:rPr>
          <w:rFonts w:ascii="Verdana" w:hAnsi="Verdana"/>
          <w:b/>
          <w:sz w:val="20"/>
          <w:lang w:val="es-CR"/>
        </w:rPr>
      </w:pPr>
    </w:p>
    <w:p w:rsidR="009929D5" w:rsidRDefault="009929D5" w:rsidP="00792C28">
      <w:pPr>
        <w:numPr>
          <w:ilvl w:val="0"/>
          <w:numId w:val="2"/>
        </w:numPr>
        <w:tabs>
          <w:tab w:val="left" w:pos="567"/>
        </w:tabs>
        <w:spacing w:after="120" w:line="240" w:lineRule="auto"/>
        <w:ind w:left="0" w:firstLine="0"/>
        <w:jc w:val="both"/>
        <w:rPr>
          <w:rFonts w:ascii="Verdana" w:hAnsi="Verdana"/>
          <w:sz w:val="20"/>
          <w:szCs w:val="20"/>
          <w:lang w:val="es-CR"/>
        </w:rPr>
      </w:pPr>
      <w:r w:rsidRPr="002217E9">
        <w:rPr>
          <w:rFonts w:ascii="Verdana" w:hAnsi="Verdana"/>
          <w:sz w:val="20"/>
          <w:szCs w:val="20"/>
          <w:lang w:val="es-CR"/>
        </w:rPr>
        <w:t>Declarar, de conformidad con lo señalado en los</w:t>
      </w:r>
      <w:r>
        <w:rPr>
          <w:rFonts w:ascii="Verdana" w:hAnsi="Verdana"/>
          <w:sz w:val="20"/>
          <w:szCs w:val="20"/>
          <w:lang w:val="es-CR"/>
        </w:rPr>
        <w:t xml:space="preserve"> Considerandos </w:t>
      </w:r>
      <w:r w:rsidR="00C8662E">
        <w:rPr>
          <w:rFonts w:ascii="Verdana" w:hAnsi="Verdana"/>
          <w:sz w:val="20"/>
          <w:szCs w:val="20"/>
          <w:lang w:val="es-CR"/>
        </w:rPr>
        <w:t>18</w:t>
      </w:r>
      <w:r w:rsidR="00C96FC0">
        <w:rPr>
          <w:rFonts w:ascii="Verdana" w:hAnsi="Verdana"/>
          <w:sz w:val="20"/>
          <w:szCs w:val="20"/>
          <w:lang w:val="es-CR"/>
        </w:rPr>
        <w:t xml:space="preserve"> </w:t>
      </w:r>
      <w:r w:rsidR="007B58B0">
        <w:rPr>
          <w:rFonts w:ascii="Verdana" w:hAnsi="Verdana"/>
          <w:sz w:val="20"/>
          <w:szCs w:val="20"/>
          <w:lang w:val="es-CR"/>
        </w:rPr>
        <w:t>y</w:t>
      </w:r>
      <w:r w:rsidR="00C96FC0">
        <w:rPr>
          <w:rFonts w:ascii="Verdana" w:hAnsi="Verdana"/>
          <w:sz w:val="20"/>
          <w:szCs w:val="20"/>
          <w:lang w:val="es-CR"/>
        </w:rPr>
        <w:t xml:space="preserve"> </w:t>
      </w:r>
      <w:r w:rsidR="00C8662E">
        <w:rPr>
          <w:rFonts w:ascii="Verdana" w:hAnsi="Verdana"/>
          <w:sz w:val="20"/>
          <w:szCs w:val="20"/>
          <w:lang w:val="es-CR"/>
        </w:rPr>
        <w:t>19</w:t>
      </w:r>
      <w:r w:rsidR="00C96FC0">
        <w:rPr>
          <w:rFonts w:ascii="Verdana" w:hAnsi="Verdana"/>
          <w:sz w:val="20"/>
          <w:szCs w:val="20"/>
          <w:lang w:val="es-CR"/>
        </w:rPr>
        <w:t xml:space="preserve"> y </w:t>
      </w:r>
      <w:r w:rsidR="00C8662E">
        <w:rPr>
          <w:rFonts w:ascii="Verdana" w:hAnsi="Verdana"/>
          <w:sz w:val="20"/>
          <w:szCs w:val="20"/>
          <w:lang w:val="es-CR"/>
        </w:rPr>
        <w:t>22</w:t>
      </w:r>
      <w:r w:rsidR="00C96FC0">
        <w:rPr>
          <w:rFonts w:ascii="Verdana" w:hAnsi="Verdana"/>
          <w:sz w:val="20"/>
          <w:szCs w:val="20"/>
          <w:lang w:val="es-CR"/>
        </w:rPr>
        <w:t xml:space="preserve"> a </w:t>
      </w:r>
      <w:r w:rsidR="00C8662E">
        <w:rPr>
          <w:rFonts w:ascii="Verdana" w:hAnsi="Verdana"/>
          <w:sz w:val="20"/>
          <w:szCs w:val="20"/>
          <w:lang w:val="es-CR"/>
        </w:rPr>
        <w:t>24</w:t>
      </w:r>
      <w:r>
        <w:rPr>
          <w:rFonts w:ascii="Verdana" w:hAnsi="Verdana"/>
          <w:sz w:val="20"/>
          <w:szCs w:val="20"/>
          <w:lang w:val="es-CR"/>
        </w:rPr>
        <w:t xml:space="preserve"> de la presente Resolución, que el Estado ha dado cumplimiento </w:t>
      </w:r>
      <w:r w:rsidR="00ED5C1C">
        <w:rPr>
          <w:rFonts w:ascii="Verdana" w:hAnsi="Verdana"/>
          <w:sz w:val="20"/>
          <w:szCs w:val="20"/>
          <w:lang w:val="es-CR"/>
        </w:rPr>
        <w:t>total</w:t>
      </w:r>
      <w:r>
        <w:rPr>
          <w:rFonts w:ascii="Verdana" w:hAnsi="Verdana"/>
          <w:sz w:val="20"/>
          <w:szCs w:val="20"/>
          <w:lang w:val="es-CR"/>
        </w:rPr>
        <w:t xml:space="preserve"> a la</w:t>
      </w:r>
      <w:r w:rsidR="00DD6DF1">
        <w:rPr>
          <w:rFonts w:ascii="Verdana" w:hAnsi="Verdana"/>
          <w:sz w:val="20"/>
          <w:szCs w:val="20"/>
          <w:lang w:val="es-CR"/>
        </w:rPr>
        <w:t xml:space="preserve">s siguientes medidas: </w:t>
      </w:r>
    </w:p>
    <w:p w:rsidR="0024035B" w:rsidRPr="0024035B" w:rsidRDefault="0024035B" w:rsidP="00792C28">
      <w:pPr>
        <w:autoSpaceDE w:val="0"/>
        <w:autoSpaceDN w:val="0"/>
        <w:adjustRightInd w:val="0"/>
        <w:spacing w:after="120" w:line="240" w:lineRule="auto"/>
        <w:ind w:left="720"/>
        <w:jc w:val="both"/>
        <w:rPr>
          <w:rFonts w:ascii="Verdana" w:hAnsi="Verdana"/>
          <w:sz w:val="10"/>
          <w:szCs w:val="10"/>
          <w:lang w:val="es-CR"/>
        </w:rPr>
      </w:pPr>
    </w:p>
    <w:p w:rsidR="002C70F6" w:rsidRDefault="00D236A5" w:rsidP="00792C28">
      <w:pPr>
        <w:numPr>
          <w:ilvl w:val="0"/>
          <w:numId w:val="9"/>
        </w:numPr>
        <w:autoSpaceDE w:val="0"/>
        <w:autoSpaceDN w:val="0"/>
        <w:adjustRightInd w:val="0"/>
        <w:spacing w:after="120" w:line="240" w:lineRule="auto"/>
        <w:jc w:val="both"/>
        <w:rPr>
          <w:rFonts w:ascii="Verdana" w:hAnsi="Verdana"/>
          <w:sz w:val="20"/>
          <w:szCs w:val="20"/>
          <w:lang w:val="es-CR"/>
        </w:rPr>
      </w:pPr>
      <w:r>
        <w:rPr>
          <w:rFonts w:ascii="Verdana" w:hAnsi="Verdana"/>
          <w:sz w:val="20"/>
          <w:lang w:val="es-MX"/>
        </w:rPr>
        <w:t>publicar</w:t>
      </w:r>
      <w:r w:rsidR="002B373D" w:rsidRPr="00695A82">
        <w:rPr>
          <w:rFonts w:ascii="Verdana" w:hAnsi="Verdana"/>
          <w:sz w:val="20"/>
          <w:lang w:val="es-MX"/>
        </w:rPr>
        <w:t xml:space="preserve"> en el Diario Oficial y en otro diario de amplia circulación nacional los capítulos VII a X de la presente Sentencia, sin las notas al pie de página correspondientes, y los puntos resolutivos de la misma</w:t>
      </w:r>
      <w:r w:rsidR="002B373D" w:rsidRPr="00DD6DF1">
        <w:rPr>
          <w:rFonts w:ascii="Verdana" w:hAnsi="Verdana" w:cs="Verdana"/>
          <w:sz w:val="20"/>
          <w:szCs w:val="20"/>
          <w:lang w:val="es-CR"/>
        </w:rPr>
        <w:t xml:space="preserve"> </w:t>
      </w:r>
      <w:r w:rsidR="00DD6DF1" w:rsidRPr="00DD6DF1">
        <w:rPr>
          <w:rFonts w:ascii="Verdana" w:hAnsi="Verdana" w:cs="Verdana"/>
          <w:sz w:val="20"/>
          <w:szCs w:val="20"/>
          <w:lang w:val="es-CR"/>
        </w:rPr>
        <w:t>(</w:t>
      </w:r>
      <w:r w:rsidR="00DD6DF1" w:rsidRPr="00DD6DF1">
        <w:rPr>
          <w:rFonts w:ascii="Verdana" w:hAnsi="Verdana" w:cs="Verdana"/>
          <w:i/>
          <w:sz w:val="20"/>
          <w:szCs w:val="20"/>
          <w:lang w:val="es-CR"/>
        </w:rPr>
        <w:t xml:space="preserve">punto </w:t>
      </w:r>
      <w:r w:rsidR="002B373D">
        <w:rPr>
          <w:rFonts w:ascii="Verdana" w:hAnsi="Verdana" w:cs="Verdana"/>
          <w:i/>
          <w:sz w:val="20"/>
          <w:szCs w:val="20"/>
          <w:lang w:val="es-CR"/>
        </w:rPr>
        <w:t>dispositivo</w:t>
      </w:r>
      <w:r w:rsidR="00DD6DF1" w:rsidRPr="00DD6DF1">
        <w:rPr>
          <w:rFonts w:ascii="Verdana" w:hAnsi="Verdana" w:cs="Verdana"/>
          <w:i/>
          <w:sz w:val="20"/>
          <w:szCs w:val="20"/>
          <w:lang w:val="es-CR"/>
        </w:rPr>
        <w:t xml:space="preserve"> décimo de la Sentencia)</w:t>
      </w:r>
      <w:r w:rsidR="003A061C">
        <w:rPr>
          <w:rFonts w:ascii="Verdana" w:hAnsi="Verdana" w:cs="Verdana"/>
          <w:sz w:val="20"/>
          <w:szCs w:val="20"/>
          <w:lang w:val="es-CR"/>
        </w:rPr>
        <w:t xml:space="preserve">, y </w:t>
      </w:r>
    </w:p>
    <w:p w:rsidR="002B373D" w:rsidRDefault="00045A07" w:rsidP="00792C28">
      <w:pPr>
        <w:numPr>
          <w:ilvl w:val="0"/>
          <w:numId w:val="9"/>
        </w:numPr>
        <w:autoSpaceDE w:val="0"/>
        <w:autoSpaceDN w:val="0"/>
        <w:adjustRightInd w:val="0"/>
        <w:spacing w:after="120" w:line="240" w:lineRule="auto"/>
        <w:jc w:val="both"/>
        <w:rPr>
          <w:rFonts w:ascii="Verdana" w:hAnsi="Verdana"/>
          <w:sz w:val="20"/>
          <w:szCs w:val="20"/>
          <w:lang w:val="es-CR"/>
        </w:rPr>
      </w:pPr>
      <w:r w:rsidRPr="00045A07">
        <w:rPr>
          <w:rFonts w:ascii="Verdana" w:hAnsi="Verdana"/>
          <w:sz w:val="20"/>
          <w:szCs w:val="20"/>
          <w:lang w:val="es-CR"/>
        </w:rPr>
        <w:t xml:space="preserve">realizar un acto público de reconocimiento de su responsabilidad internacional en relación con las violaciones declaradas en </w:t>
      </w:r>
      <w:r w:rsidR="007B58B0">
        <w:rPr>
          <w:rFonts w:ascii="Verdana" w:hAnsi="Verdana"/>
          <w:sz w:val="20"/>
          <w:szCs w:val="20"/>
          <w:lang w:val="es-CR"/>
        </w:rPr>
        <w:t>la</w:t>
      </w:r>
      <w:r w:rsidRPr="00045A07">
        <w:rPr>
          <w:rFonts w:ascii="Verdana" w:hAnsi="Verdana"/>
          <w:sz w:val="20"/>
          <w:szCs w:val="20"/>
          <w:lang w:val="es-CR"/>
        </w:rPr>
        <w:t xml:space="preserve"> Sentencia en desagravio a las víctimas y para satisfacción de sus familiares, en una ceremonia pública, con la presencia de autoridades que representen el Estado y de los familiares declarados víctimas en la Sentencia, y difundir dicho acto a través de los medios de comunicación</w:t>
      </w:r>
      <w:r w:rsidRPr="002C70F6">
        <w:rPr>
          <w:rFonts w:ascii="Verdana" w:hAnsi="Verdana"/>
          <w:sz w:val="20"/>
          <w:szCs w:val="20"/>
          <w:lang w:val="es-CR"/>
        </w:rPr>
        <w:t xml:space="preserve"> </w:t>
      </w:r>
      <w:r w:rsidR="002B373D" w:rsidRPr="002C70F6">
        <w:rPr>
          <w:rFonts w:ascii="Verdana" w:hAnsi="Verdana"/>
          <w:sz w:val="20"/>
          <w:szCs w:val="20"/>
          <w:lang w:val="es-CR"/>
        </w:rPr>
        <w:t>(</w:t>
      </w:r>
      <w:r>
        <w:rPr>
          <w:rFonts w:ascii="Verdana" w:hAnsi="Verdana"/>
          <w:i/>
          <w:sz w:val="20"/>
          <w:szCs w:val="20"/>
          <w:lang w:val="es-CR"/>
        </w:rPr>
        <w:t>punto dispositivo</w:t>
      </w:r>
      <w:r w:rsidR="002B373D" w:rsidRPr="002C70F6">
        <w:rPr>
          <w:rFonts w:ascii="Verdana" w:hAnsi="Verdana"/>
          <w:i/>
          <w:sz w:val="20"/>
          <w:szCs w:val="20"/>
          <w:lang w:val="es-CR"/>
        </w:rPr>
        <w:t xml:space="preserve"> décimo primero de la Sentencia</w:t>
      </w:r>
      <w:r w:rsidR="002B373D" w:rsidRPr="002C70F6">
        <w:rPr>
          <w:rFonts w:ascii="Verdana" w:hAnsi="Verdana"/>
          <w:sz w:val="20"/>
          <w:szCs w:val="20"/>
          <w:lang w:val="es-CR"/>
        </w:rPr>
        <w:t>)</w:t>
      </w:r>
      <w:r w:rsidR="007B58B0">
        <w:rPr>
          <w:rFonts w:ascii="Verdana" w:hAnsi="Verdana"/>
          <w:sz w:val="20"/>
          <w:szCs w:val="20"/>
          <w:lang w:val="es-CR"/>
        </w:rPr>
        <w:t>.</w:t>
      </w:r>
    </w:p>
    <w:p w:rsidR="002C70F6" w:rsidRPr="00C96FC0" w:rsidRDefault="002C70F6" w:rsidP="00792C28">
      <w:pPr>
        <w:autoSpaceDE w:val="0"/>
        <w:autoSpaceDN w:val="0"/>
        <w:adjustRightInd w:val="0"/>
        <w:spacing w:after="120" w:line="240" w:lineRule="auto"/>
        <w:ind w:left="720"/>
        <w:jc w:val="both"/>
        <w:rPr>
          <w:rFonts w:ascii="Verdana" w:hAnsi="Verdana"/>
          <w:sz w:val="10"/>
          <w:szCs w:val="10"/>
          <w:lang w:val="es-CR"/>
        </w:rPr>
      </w:pPr>
    </w:p>
    <w:p w:rsidR="00D71D51" w:rsidRPr="00011991" w:rsidRDefault="00ED5C1C" w:rsidP="00792C28">
      <w:pPr>
        <w:numPr>
          <w:ilvl w:val="0"/>
          <w:numId w:val="2"/>
        </w:numPr>
        <w:tabs>
          <w:tab w:val="left" w:pos="567"/>
        </w:tabs>
        <w:spacing w:after="120" w:line="240" w:lineRule="auto"/>
        <w:ind w:left="0" w:firstLine="0"/>
        <w:jc w:val="both"/>
        <w:rPr>
          <w:rFonts w:ascii="Verdana" w:hAnsi="Verdana"/>
          <w:sz w:val="20"/>
          <w:szCs w:val="20"/>
          <w:lang w:val="es-CR"/>
        </w:rPr>
      </w:pPr>
      <w:r w:rsidRPr="002217E9">
        <w:rPr>
          <w:rFonts w:ascii="Verdana" w:hAnsi="Verdana"/>
          <w:sz w:val="20"/>
          <w:szCs w:val="20"/>
          <w:lang w:val="es-CR"/>
        </w:rPr>
        <w:t>Declarar, de conformidad con lo señalado en los</w:t>
      </w:r>
      <w:r>
        <w:rPr>
          <w:rFonts w:ascii="Verdana" w:hAnsi="Verdana"/>
          <w:sz w:val="20"/>
          <w:szCs w:val="20"/>
          <w:lang w:val="es-CR"/>
        </w:rPr>
        <w:t xml:space="preserve"> Considerandos </w:t>
      </w:r>
      <w:r w:rsidR="00C8662E">
        <w:rPr>
          <w:rFonts w:ascii="Verdana" w:hAnsi="Verdana"/>
          <w:sz w:val="20"/>
          <w:szCs w:val="20"/>
          <w:lang w:val="es-CR"/>
        </w:rPr>
        <w:t>47</w:t>
      </w:r>
      <w:r w:rsidR="00935A10">
        <w:rPr>
          <w:rFonts w:ascii="Verdana" w:hAnsi="Verdana"/>
          <w:sz w:val="20"/>
          <w:szCs w:val="20"/>
          <w:lang w:val="es-CR"/>
        </w:rPr>
        <w:t xml:space="preserve"> a </w:t>
      </w:r>
      <w:r w:rsidR="00C8662E">
        <w:rPr>
          <w:rFonts w:ascii="Verdana" w:hAnsi="Verdana"/>
          <w:sz w:val="20"/>
          <w:szCs w:val="20"/>
          <w:lang w:val="es-CR"/>
        </w:rPr>
        <w:t>50</w:t>
      </w:r>
      <w:r w:rsidR="00935A10">
        <w:rPr>
          <w:rFonts w:ascii="Verdana" w:hAnsi="Verdana"/>
          <w:sz w:val="20"/>
          <w:szCs w:val="20"/>
          <w:lang w:val="es-CR"/>
        </w:rPr>
        <w:t xml:space="preserve"> </w:t>
      </w:r>
      <w:r>
        <w:rPr>
          <w:rFonts w:ascii="Verdana" w:hAnsi="Verdana"/>
          <w:sz w:val="20"/>
          <w:szCs w:val="20"/>
          <w:lang w:val="es-CR"/>
        </w:rPr>
        <w:t>de la presente Resolución, que el Estado ha dado cumplimiento</w:t>
      </w:r>
      <w:r w:rsidR="00011991">
        <w:rPr>
          <w:rFonts w:ascii="Verdana" w:hAnsi="Verdana"/>
          <w:sz w:val="20"/>
          <w:szCs w:val="20"/>
          <w:lang w:val="es-CR"/>
        </w:rPr>
        <w:t xml:space="preserve"> parcial a la medida relativa a </w:t>
      </w:r>
      <w:r w:rsidR="00D3626F" w:rsidRPr="00011991">
        <w:rPr>
          <w:rFonts w:ascii="Verdana" w:hAnsi="Verdana"/>
          <w:sz w:val="20"/>
          <w:szCs w:val="20"/>
          <w:lang w:val="es-CR"/>
        </w:rPr>
        <w:t xml:space="preserve">pagar las cantidades ordenadas en la Sentencia </w:t>
      </w:r>
      <w:r w:rsidR="00D71D51" w:rsidRPr="00011991">
        <w:rPr>
          <w:rFonts w:ascii="Verdana" w:hAnsi="Verdana"/>
          <w:sz w:val="20"/>
          <w:szCs w:val="20"/>
          <w:lang w:val="es-CR"/>
        </w:rPr>
        <w:t xml:space="preserve">por concepto de indemnización por daños </w:t>
      </w:r>
      <w:r w:rsidR="00D3626F" w:rsidRPr="00011991">
        <w:rPr>
          <w:rFonts w:ascii="Verdana" w:hAnsi="Verdana"/>
          <w:sz w:val="20"/>
          <w:szCs w:val="20"/>
          <w:lang w:val="es-CR"/>
        </w:rPr>
        <w:t>materiales y</w:t>
      </w:r>
      <w:r w:rsidR="00D71D51" w:rsidRPr="00011991">
        <w:rPr>
          <w:rFonts w:ascii="Verdana" w:hAnsi="Verdana"/>
          <w:sz w:val="20"/>
          <w:szCs w:val="20"/>
          <w:lang w:val="es-CR"/>
        </w:rPr>
        <w:t xml:space="preserve"> daños inmateriales</w:t>
      </w:r>
      <w:r w:rsidR="00011991">
        <w:rPr>
          <w:rFonts w:ascii="Verdana" w:hAnsi="Verdana"/>
          <w:sz w:val="20"/>
          <w:szCs w:val="20"/>
          <w:lang w:val="es-CR"/>
        </w:rPr>
        <w:t xml:space="preserve"> y reintegro de costas y gastos, quedando únicamente pendiente el pago de intereses moratorios y la restitución de</w:t>
      </w:r>
      <w:r w:rsidR="00D71D51" w:rsidRPr="00011991">
        <w:rPr>
          <w:rFonts w:ascii="Verdana" w:hAnsi="Verdana"/>
          <w:sz w:val="20"/>
          <w:szCs w:val="20"/>
          <w:lang w:val="es-CR"/>
        </w:rPr>
        <w:t xml:space="preserve"> </w:t>
      </w:r>
      <w:r w:rsidR="00011991">
        <w:rPr>
          <w:rFonts w:ascii="Verdana" w:hAnsi="Verdana"/>
          <w:sz w:val="20"/>
          <w:szCs w:val="20"/>
          <w:lang w:val="es-CR"/>
        </w:rPr>
        <w:t xml:space="preserve">la cantidad de </w:t>
      </w:r>
      <w:r w:rsidR="00011991" w:rsidRPr="0048307D">
        <w:rPr>
          <w:rFonts w:ascii="Verdana" w:hAnsi="Verdana" w:cs="Verdana"/>
          <w:sz w:val="20"/>
          <w:szCs w:val="20"/>
          <w:lang w:val="es-CR"/>
        </w:rPr>
        <w:t>US</w:t>
      </w:r>
      <w:r w:rsidR="00011991">
        <w:rPr>
          <w:rFonts w:ascii="Verdana" w:hAnsi="Verdana" w:cs="Verdana"/>
          <w:sz w:val="20"/>
          <w:szCs w:val="20"/>
          <w:lang w:val="es-CR"/>
        </w:rPr>
        <w:t>D</w:t>
      </w:r>
      <w:r w:rsidR="00011991" w:rsidRPr="0048307D">
        <w:rPr>
          <w:rFonts w:ascii="Verdana" w:hAnsi="Verdana" w:cs="Verdana"/>
          <w:sz w:val="20"/>
          <w:szCs w:val="20"/>
          <w:lang w:val="es-CR"/>
        </w:rPr>
        <w:t xml:space="preserve">$ 7.500,00 </w:t>
      </w:r>
      <w:r w:rsidR="00011991">
        <w:rPr>
          <w:rFonts w:ascii="Verdana" w:hAnsi="Verdana" w:cs="Verdana"/>
          <w:sz w:val="20"/>
          <w:szCs w:val="20"/>
          <w:lang w:val="es-CR"/>
        </w:rPr>
        <w:t>(</w:t>
      </w:r>
      <w:r w:rsidR="00011991" w:rsidRPr="0048307D">
        <w:rPr>
          <w:rFonts w:ascii="Verdana" w:hAnsi="Verdana" w:cs="Verdana"/>
          <w:sz w:val="20"/>
          <w:szCs w:val="20"/>
          <w:lang w:val="es-CR"/>
        </w:rPr>
        <w:t xml:space="preserve">siete mil quinientos dólares de los Estados Unidos de América) </w:t>
      </w:r>
      <w:r w:rsidR="00011991">
        <w:rPr>
          <w:rFonts w:ascii="Verdana" w:hAnsi="Verdana"/>
          <w:sz w:val="20"/>
          <w:szCs w:val="20"/>
          <w:lang w:val="es-CR"/>
        </w:rPr>
        <w:t>a Pelagia Mélida Contreras Montoya de Cantoral</w:t>
      </w:r>
      <w:r w:rsidR="00011991" w:rsidRPr="009929D5">
        <w:rPr>
          <w:rFonts w:ascii="Verdana" w:hAnsi="Verdana"/>
          <w:sz w:val="20"/>
          <w:szCs w:val="20"/>
          <w:lang w:val="es-CR"/>
        </w:rPr>
        <w:t xml:space="preserve"> </w:t>
      </w:r>
      <w:r w:rsidR="00D71D51" w:rsidRPr="00011991">
        <w:rPr>
          <w:rFonts w:ascii="Verdana" w:hAnsi="Verdana"/>
          <w:sz w:val="20"/>
          <w:szCs w:val="20"/>
          <w:lang w:val="es-CR"/>
        </w:rPr>
        <w:t>(</w:t>
      </w:r>
      <w:r w:rsidR="00D71D51" w:rsidRPr="00011991">
        <w:rPr>
          <w:rFonts w:ascii="Verdana" w:hAnsi="Verdana"/>
          <w:i/>
          <w:sz w:val="20"/>
          <w:szCs w:val="20"/>
          <w:lang w:val="es-CR"/>
        </w:rPr>
        <w:t>punto resolutivo décimo cuarto</w:t>
      </w:r>
      <w:r w:rsidR="00011991">
        <w:rPr>
          <w:rFonts w:ascii="Verdana" w:hAnsi="Verdana"/>
          <w:i/>
          <w:sz w:val="20"/>
          <w:szCs w:val="20"/>
          <w:lang w:val="es-CR"/>
        </w:rPr>
        <w:t xml:space="preserve"> y párrafo 187</w:t>
      </w:r>
      <w:r w:rsidR="00D71D51" w:rsidRPr="00011991">
        <w:rPr>
          <w:rFonts w:ascii="Verdana" w:hAnsi="Verdana"/>
          <w:i/>
          <w:sz w:val="20"/>
          <w:szCs w:val="20"/>
          <w:lang w:val="es-CR"/>
        </w:rPr>
        <w:t xml:space="preserve"> de la Sentencia</w:t>
      </w:r>
      <w:r w:rsidR="00D71D51" w:rsidRPr="00011991">
        <w:rPr>
          <w:rFonts w:ascii="Verdana" w:hAnsi="Verdana"/>
          <w:sz w:val="20"/>
          <w:szCs w:val="20"/>
          <w:lang w:val="es-CR"/>
        </w:rPr>
        <w:t>).</w:t>
      </w:r>
    </w:p>
    <w:p w:rsidR="003115A1" w:rsidRPr="00C96FC0" w:rsidRDefault="003115A1" w:rsidP="00792C28">
      <w:pPr>
        <w:tabs>
          <w:tab w:val="left" w:pos="567"/>
        </w:tabs>
        <w:spacing w:after="120" w:line="240" w:lineRule="auto"/>
        <w:jc w:val="both"/>
        <w:rPr>
          <w:rFonts w:ascii="Verdana" w:hAnsi="Verdana"/>
          <w:sz w:val="10"/>
          <w:szCs w:val="10"/>
          <w:lang w:val="es-CR"/>
        </w:rPr>
      </w:pPr>
    </w:p>
    <w:p w:rsidR="009929D5" w:rsidRDefault="009F78E3" w:rsidP="00792C28">
      <w:pPr>
        <w:numPr>
          <w:ilvl w:val="0"/>
          <w:numId w:val="2"/>
        </w:numPr>
        <w:tabs>
          <w:tab w:val="left" w:pos="567"/>
        </w:tabs>
        <w:spacing w:after="120" w:line="240" w:lineRule="auto"/>
        <w:ind w:left="0" w:firstLine="0"/>
        <w:jc w:val="both"/>
        <w:rPr>
          <w:rFonts w:ascii="Verdana" w:hAnsi="Verdana"/>
          <w:sz w:val="20"/>
          <w:szCs w:val="20"/>
          <w:lang w:val="es-CR"/>
        </w:rPr>
      </w:pPr>
      <w:r w:rsidRPr="009F78E3">
        <w:rPr>
          <w:rFonts w:ascii="Verdana" w:hAnsi="Verdana"/>
          <w:sz w:val="20"/>
          <w:szCs w:val="20"/>
          <w:lang w:val="es-CR"/>
        </w:rPr>
        <w:t>Mantener abierto el procedimiento de supervisión de cumplimiento respecto de la</w:t>
      </w:r>
      <w:r w:rsidR="00103F32">
        <w:rPr>
          <w:rFonts w:ascii="Verdana" w:hAnsi="Verdana"/>
          <w:sz w:val="20"/>
          <w:szCs w:val="20"/>
          <w:lang w:val="es-CR"/>
        </w:rPr>
        <w:t>s</w:t>
      </w:r>
      <w:r w:rsidRPr="009F78E3">
        <w:rPr>
          <w:rFonts w:ascii="Verdana" w:hAnsi="Verdana"/>
          <w:sz w:val="20"/>
          <w:szCs w:val="20"/>
          <w:lang w:val="es-CR"/>
        </w:rPr>
        <w:t xml:space="preserve"> medida</w:t>
      </w:r>
      <w:r w:rsidR="00103F32">
        <w:rPr>
          <w:rFonts w:ascii="Verdana" w:hAnsi="Verdana"/>
          <w:sz w:val="20"/>
          <w:szCs w:val="20"/>
          <w:lang w:val="es-CR"/>
        </w:rPr>
        <w:t>s</w:t>
      </w:r>
      <w:r w:rsidR="00D15376">
        <w:rPr>
          <w:rFonts w:ascii="Verdana" w:hAnsi="Verdana"/>
          <w:sz w:val="20"/>
          <w:szCs w:val="20"/>
          <w:lang w:val="es-CR"/>
        </w:rPr>
        <w:t xml:space="preserve"> de reparación </w:t>
      </w:r>
      <w:r w:rsidRPr="009F78E3">
        <w:rPr>
          <w:rFonts w:ascii="Verdana" w:hAnsi="Verdana"/>
          <w:sz w:val="20"/>
          <w:szCs w:val="20"/>
          <w:lang w:val="es-CR"/>
        </w:rPr>
        <w:t>que</w:t>
      </w:r>
      <w:r w:rsidR="00D15376">
        <w:rPr>
          <w:rFonts w:ascii="Verdana" w:hAnsi="Verdana"/>
          <w:sz w:val="20"/>
          <w:szCs w:val="20"/>
          <w:lang w:val="es-CR"/>
        </w:rPr>
        <w:t>,</w:t>
      </w:r>
      <w:r w:rsidRPr="009F78E3">
        <w:rPr>
          <w:rFonts w:ascii="Verdana" w:hAnsi="Verdana"/>
          <w:sz w:val="20"/>
          <w:szCs w:val="20"/>
          <w:lang w:val="es-CR"/>
        </w:rPr>
        <w:t xml:space="preserve"> de conformidad con los Considerandos </w:t>
      </w:r>
      <w:r w:rsidR="00C8662E">
        <w:rPr>
          <w:rFonts w:ascii="Verdana" w:hAnsi="Verdana"/>
          <w:sz w:val="20"/>
          <w:szCs w:val="20"/>
          <w:lang w:val="es-CR"/>
        </w:rPr>
        <w:t>6</w:t>
      </w:r>
      <w:r w:rsidR="0059292A">
        <w:rPr>
          <w:rFonts w:ascii="Verdana" w:hAnsi="Verdana"/>
          <w:sz w:val="20"/>
          <w:szCs w:val="20"/>
          <w:lang w:val="es-CR"/>
        </w:rPr>
        <w:t xml:space="preserve"> a </w:t>
      </w:r>
      <w:r w:rsidR="00C8662E">
        <w:rPr>
          <w:rFonts w:ascii="Verdana" w:hAnsi="Verdana"/>
          <w:sz w:val="20"/>
          <w:szCs w:val="20"/>
          <w:lang w:val="es-CR"/>
        </w:rPr>
        <w:t>15</w:t>
      </w:r>
      <w:r w:rsidR="0059292A">
        <w:rPr>
          <w:rFonts w:ascii="Verdana" w:hAnsi="Verdana"/>
          <w:sz w:val="20"/>
          <w:szCs w:val="20"/>
          <w:lang w:val="es-CR"/>
        </w:rPr>
        <w:t xml:space="preserve">, </w:t>
      </w:r>
      <w:r w:rsidR="00C8662E">
        <w:rPr>
          <w:rFonts w:ascii="Verdana" w:hAnsi="Verdana"/>
          <w:sz w:val="20"/>
          <w:szCs w:val="20"/>
          <w:lang w:val="es-CR"/>
        </w:rPr>
        <w:t>27</w:t>
      </w:r>
      <w:r w:rsidR="0059292A">
        <w:rPr>
          <w:rFonts w:ascii="Verdana" w:hAnsi="Verdana"/>
          <w:sz w:val="20"/>
          <w:szCs w:val="20"/>
          <w:lang w:val="es-CR"/>
        </w:rPr>
        <w:t xml:space="preserve"> a </w:t>
      </w:r>
      <w:r w:rsidR="00C8662E">
        <w:rPr>
          <w:rFonts w:ascii="Verdana" w:hAnsi="Verdana"/>
          <w:sz w:val="20"/>
          <w:szCs w:val="20"/>
          <w:lang w:val="es-CR"/>
        </w:rPr>
        <w:t>35, 38 a 42 y 47 a</w:t>
      </w:r>
      <w:r w:rsidR="0059292A">
        <w:rPr>
          <w:rFonts w:ascii="Verdana" w:hAnsi="Verdana"/>
          <w:sz w:val="20"/>
          <w:szCs w:val="20"/>
          <w:lang w:val="es-CR"/>
        </w:rPr>
        <w:t xml:space="preserve"> </w:t>
      </w:r>
      <w:r w:rsidR="00C8662E">
        <w:rPr>
          <w:rFonts w:ascii="Verdana" w:hAnsi="Verdana"/>
          <w:sz w:val="20"/>
          <w:szCs w:val="20"/>
          <w:lang w:val="es-CR"/>
        </w:rPr>
        <w:t>50</w:t>
      </w:r>
      <w:r w:rsidR="00103F32">
        <w:rPr>
          <w:rFonts w:ascii="Verdana" w:hAnsi="Verdana"/>
          <w:sz w:val="20"/>
          <w:szCs w:val="20"/>
          <w:lang w:val="es-CR"/>
        </w:rPr>
        <w:t xml:space="preserve"> </w:t>
      </w:r>
      <w:r w:rsidRPr="009F78E3">
        <w:rPr>
          <w:rFonts w:ascii="Verdana" w:hAnsi="Verdana"/>
          <w:sz w:val="20"/>
          <w:szCs w:val="20"/>
          <w:lang w:val="es-CR"/>
        </w:rPr>
        <w:t>de la presente Resolución, se encuen</w:t>
      </w:r>
      <w:r w:rsidR="002C70F6">
        <w:rPr>
          <w:rFonts w:ascii="Verdana" w:hAnsi="Verdana"/>
          <w:sz w:val="20"/>
          <w:szCs w:val="20"/>
          <w:lang w:val="es-CR"/>
        </w:rPr>
        <w:t>tran pendientes de acatamiento:</w:t>
      </w:r>
    </w:p>
    <w:p w:rsidR="0024035B" w:rsidRPr="0024035B" w:rsidRDefault="0024035B" w:rsidP="00792C28">
      <w:pPr>
        <w:tabs>
          <w:tab w:val="left" w:pos="567"/>
        </w:tabs>
        <w:spacing w:after="120" w:line="240" w:lineRule="auto"/>
        <w:jc w:val="both"/>
        <w:rPr>
          <w:rFonts w:ascii="Verdana" w:hAnsi="Verdana"/>
          <w:sz w:val="10"/>
          <w:szCs w:val="10"/>
          <w:lang w:val="es-CR"/>
        </w:rPr>
      </w:pPr>
    </w:p>
    <w:p w:rsidR="009929D5" w:rsidRDefault="001A6D2A" w:rsidP="00792C28">
      <w:pPr>
        <w:numPr>
          <w:ilvl w:val="0"/>
          <w:numId w:val="5"/>
        </w:numPr>
        <w:tabs>
          <w:tab w:val="left" w:pos="567"/>
        </w:tabs>
        <w:spacing w:after="120" w:line="240" w:lineRule="auto"/>
        <w:jc w:val="both"/>
        <w:rPr>
          <w:rFonts w:ascii="Verdana" w:hAnsi="Verdana"/>
          <w:sz w:val="20"/>
          <w:szCs w:val="20"/>
          <w:lang w:val="es-CR"/>
        </w:rPr>
      </w:pPr>
      <w:r w:rsidRPr="009E04D5">
        <w:rPr>
          <w:rFonts w:ascii="Verdana" w:hAnsi="Verdana"/>
          <w:sz w:val="20"/>
          <w:szCs w:val="20"/>
          <w:lang w:val="es-MX"/>
        </w:rPr>
        <w:t>investigar inmediatamente los hechos que generaron las violaciones del presente caso, e identificar, juzgar, y en su caso, sancionar a los responsables</w:t>
      </w:r>
      <w:r w:rsidR="00103F32">
        <w:rPr>
          <w:rFonts w:ascii="Verdana" w:hAnsi="Verdana"/>
          <w:sz w:val="20"/>
          <w:szCs w:val="20"/>
          <w:lang w:val="es-CR"/>
        </w:rPr>
        <w:t>, en los términos de los párrafos 189</w:t>
      </w:r>
      <w:r w:rsidR="00DE1870">
        <w:rPr>
          <w:rFonts w:ascii="Verdana" w:hAnsi="Verdana"/>
          <w:sz w:val="20"/>
          <w:szCs w:val="20"/>
          <w:lang w:val="es-CR"/>
        </w:rPr>
        <w:t xml:space="preserve"> a </w:t>
      </w:r>
      <w:r w:rsidR="00103F32">
        <w:rPr>
          <w:rFonts w:ascii="Verdana" w:hAnsi="Verdana"/>
          <w:sz w:val="20"/>
          <w:szCs w:val="20"/>
          <w:lang w:val="es-CR"/>
        </w:rPr>
        <w:t>191 de la Sentencia</w:t>
      </w:r>
      <w:r w:rsidR="009929D5" w:rsidRPr="009929D5">
        <w:rPr>
          <w:rFonts w:ascii="Verdana" w:hAnsi="Verdana"/>
          <w:sz w:val="20"/>
          <w:szCs w:val="20"/>
          <w:lang w:val="es-CR"/>
        </w:rPr>
        <w:t xml:space="preserve"> </w:t>
      </w:r>
      <w:r w:rsidR="009929D5" w:rsidRPr="00103F32">
        <w:rPr>
          <w:rFonts w:ascii="Verdana" w:hAnsi="Verdana"/>
          <w:i/>
          <w:sz w:val="20"/>
          <w:szCs w:val="20"/>
          <w:lang w:val="es-CR"/>
        </w:rPr>
        <w:t xml:space="preserve">(punto resolutivo </w:t>
      </w:r>
      <w:r w:rsidR="00103F32" w:rsidRPr="00103F32">
        <w:rPr>
          <w:rFonts w:ascii="Verdana" w:hAnsi="Verdana"/>
          <w:i/>
          <w:sz w:val="20"/>
          <w:szCs w:val="20"/>
          <w:lang w:val="es-CR"/>
        </w:rPr>
        <w:t>noveno</w:t>
      </w:r>
      <w:r w:rsidR="009929D5" w:rsidRPr="00103F32">
        <w:rPr>
          <w:rFonts w:ascii="Verdana" w:hAnsi="Verdana"/>
          <w:i/>
          <w:sz w:val="20"/>
          <w:szCs w:val="20"/>
          <w:lang w:val="es-CR"/>
        </w:rPr>
        <w:t xml:space="preserve"> de la Sentencia)</w:t>
      </w:r>
      <w:r w:rsidR="005940EB">
        <w:rPr>
          <w:rFonts w:ascii="Verdana" w:hAnsi="Verdana"/>
          <w:sz w:val="20"/>
          <w:szCs w:val="20"/>
          <w:lang w:val="es-CR"/>
        </w:rPr>
        <w:t>;</w:t>
      </w:r>
      <w:r w:rsidR="00103F32">
        <w:rPr>
          <w:rFonts w:ascii="Verdana" w:hAnsi="Verdana"/>
          <w:sz w:val="20"/>
          <w:szCs w:val="20"/>
          <w:lang w:val="es-CR"/>
        </w:rPr>
        <w:t xml:space="preserve"> </w:t>
      </w:r>
    </w:p>
    <w:p w:rsidR="00103F32" w:rsidRDefault="00F960ED" w:rsidP="00792C28">
      <w:pPr>
        <w:numPr>
          <w:ilvl w:val="0"/>
          <w:numId w:val="5"/>
        </w:numPr>
        <w:tabs>
          <w:tab w:val="left" w:pos="567"/>
        </w:tabs>
        <w:spacing w:after="120" w:line="240" w:lineRule="auto"/>
        <w:jc w:val="both"/>
        <w:rPr>
          <w:rFonts w:ascii="Verdana" w:hAnsi="Verdana"/>
          <w:sz w:val="20"/>
          <w:szCs w:val="20"/>
          <w:lang w:val="es-CR"/>
        </w:rPr>
      </w:pPr>
      <w:r w:rsidRPr="00120836">
        <w:rPr>
          <w:rFonts w:ascii="Verdana" w:hAnsi="Verdana" w:cs="Verdana"/>
          <w:sz w:val="20"/>
          <w:szCs w:val="20"/>
          <w:lang w:val="es-CR"/>
        </w:rPr>
        <w:t xml:space="preserve">otorgar una beca </w:t>
      </w:r>
      <w:r>
        <w:rPr>
          <w:rFonts w:ascii="Verdana" w:hAnsi="Verdana" w:cs="Verdana"/>
          <w:sz w:val="20"/>
          <w:szCs w:val="20"/>
          <w:lang w:val="es-CR"/>
        </w:rPr>
        <w:t xml:space="preserve">para </w:t>
      </w:r>
      <w:r w:rsidRPr="00120836">
        <w:rPr>
          <w:rFonts w:ascii="Verdana" w:hAnsi="Verdana" w:cs="Verdana"/>
          <w:sz w:val="20"/>
          <w:szCs w:val="20"/>
          <w:lang w:val="es-CR"/>
        </w:rPr>
        <w:t>estudios superiores</w:t>
      </w:r>
      <w:r>
        <w:rPr>
          <w:rFonts w:ascii="Verdana" w:hAnsi="Verdana" w:cs="Verdana"/>
          <w:sz w:val="20"/>
          <w:szCs w:val="20"/>
          <w:lang w:val="es-CR"/>
        </w:rPr>
        <w:t xml:space="preserve"> o estudios </w:t>
      </w:r>
      <w:r w:rsidRPr="00120836">
        <w:rPr>
          <w:rFonts w:ascii="Verdana" w:hAnsi="Verdana" w:cs="Verdana"/>
          <w:sz w:val="20"/>
          <w:szCs w:val="20"/>
          <w:lang w:val="es-CR"/>
        </w:rPr>
        <w:t>de capacitación o actualización</w:t>
      </w:r>
      <w:r>
        <w:rPr>
          <w:rFonts w:ascii="Verdana" w:hAnsi="Verdana" w:cs="Verdana"/>
          <w:sz w:val="20"/>
          <w:szCs w:val="20"/>
          <w:lang w:val="es-CR"/>
        </w:rPr>
        <w:t xml:space="preserve"> profesional </w:t>
      </w:r>
      <w:r w:rsidRPr="00120836">
        <w:rPr>
          <w:rFonts w:ascii="Verdana" w:hAnsi="Verdana" w:cs="Verdana"/>
          <w:sz w:val="20"/>
          <w:szCs w:val="20"/>
          <w:lang w:val="es-CR"/>
        </w:rPr>
        <w:t>en beneficio de P</w:t>
      </w:r>
      <w:r>
        <w:rPr>
          <w:rFonts w:ascii="Verdana" w:hAnsi="Verdana" w:cs="Verdana"/>
          <w:sz w:val="20"/>
          <w:szCs w:val="20"/>
          <w:lang w:val="es-CR"/>
        </w:rPr>
        <w:t xml:space="preserve">elagia Mélida Contreras Montoya, </w:t>
      </w:r>
      <w:r w:rsidRPr="00BF084A">
        <w:rPr>
          <w:rFonts w:ascii="Verdana" w:hAnsi="Verdana" w:cs="Verdana"/>
          <w:sz w:val="20"/>
          <w:szCs w:val="20"/>
          <w:lang w:val="es-CR"/>
        </w:rPr>
        <w:t>Brenda Cantoral Contreras</w:t>
      </w:r>
      <w:r>
        <w:rPr>
          <w:rFonts w:ascii="Verdana" w:hAnsi="Verdana" w:cs="Verdana"/>
          <w:sz w:val="20"/>
          <w:szCs w:val="20"/>
          <w:lang w:val="es-CR"/>
        </w:rPr>
        <w:t xml:space="preserve">, Marco Antonio Cantoral Lozano, Vanessa Cantoral Contreras, Rony Cantoral Contreras y </w:t>
      </w:r>
      <w:r w:rsidRPr="00120836">
        <w:rPr>
          <w:rFonts w:ascii="Verdana" w:hAnsi="Verdana" w:cs="Verdana"/>
          <w:sz w:val="20"/>
          <w:szCs w:val="20"/>
          <w:lang w:val="es-CR"/>
        </w:rPr>
        <w:t>Ulises Cantoral Huamaní</w:t>
      </w:r>
      <w:r w:rsidRPr="002C70F6">
        <w:rPr>
          <w:rFonts w:ascii="Verdana" w:hAnsi="Verdana"/>
          <w:sz w:val="20"/>
          <w:szCs w:val="20"/>
          <w:lang w:val="es-CR"/>
        </w:rPr>
        <w:t xml:space="preserve"> </w:t>
      </w:r>
      <w:r w:rsidR="005940EB" w:rsidRPr="002C70F6">
        <w:rPr>
          <w:rFonts w:ascii="Verdana" w:hAnsi="Verdana"/>
          <w:sz w:val="20"/>
          <w:szCs w:val="20"/>
          <w:lang w:val="es-CR"/>
        </w:rPr>
        <w:t>(</w:t>
      </w:r>
      <w:r w:rsidR="005940EB" w:rsidRPr="002C70F6">
        <w:rPr>
          <w:rFonts w:ascii="Verdana" w:hAnsi="Verdana"/>
          <w:i/>
          <w:sz w:val="20"/>
          <w:szCs w:val="20"/>
          <w:lang w:val="es-CR"/>
        </w:rPr>
        <w:t>punto resolutivo décimo segundo de la Sentencia</w:t>
      </w:r>
      <w:r w:rsidR="005940EB" w:rsidRPr="002C70F6">
        <w:rPr>
          <w:rFonts w:ascii="Verdana" w:hAnsi="Verdana"/>
          <w:sz w:val="20"/>
          <w:szCs w:val="20"/>
          <w:lang w:val="es-CR"/>
        </w:rPr>
        <w:t>)</w:t>
      </w:r>
      <w:r w:rsidR="005940EB">
        <w:rPr>
          <w:rFonts w:ascii="Verdana" w:hAnsi="Verdana"/>
          <w:sz w:val="20"/>
          <w:szCs w:val="20"/>
          <w:lang w:val="es-CR"/>
        </w:rPr>
        <w:t>;</w:t>
      </w:r>
    </w:p>
    <w:p w:rsidR="00103F32" w:rsidRDefault="00103F32" w:rsidP="00792C28">
      <w:pPr>
        <w:numPr>
          <w:ilvl w:val="0"/>
          <w:numId w:val="5"/>
        </w:numPr>
        <w:tabs>
          <w:tab w:val="left" w:pos="720"/>
        </w:tabs>
        <w:spacing w:after="120" w:line="240" w:lineRule="auto"/>
        <w:jc w:val="both"/>
        <w:rPr>
          <w:rFonts w:ascii="Verdana" w:hAnsi="Verdana"/>
          <w:sz w:val="20"/>
          <w:szCs w:val="20"/>
          <w:lang w:val="es-CR"/>
        </w:rPr>
      </w:pPr>
      <w:r>
        <w:rPr>
          <w:rFonts w:ascii="Verdana" w:hAnsi="Verdana"/>
          <w:sz w:val="20"/>
          <w:szCs w:val="20"/>
          <w:lang w:val="es-CR"/>
        </w:rPr>
        <w:t xml:space="preserve">posibilitar la continuación del tratamiento psicológico en las condiciones en que lo están recibiendo Vanessa y Brenda Cantoral Contreras y brindar gratuitamente el tratamiento psicológico y medico requerido por los demás </w:t>
      </w:r>
      <w:r w:rsidR="001B1B7E">
        <w:rPr>
          <w:rFonts w:ascii="Verdana" w:hAnsi="Verdana"/>
          <w:sz w:val="20"/>
          <w:szCs w:val="20"/>
          <w:lang w:val="es-CR"/>
        </w:rPr>
        <w:t xml:space="preserve">familiares declarados víctimas </w:t>
      </w:r>
      <w:r>
        <w:rPr>
          <w:rFonts w:ascii="Verdana" w:hAnsi="Verdana"/>
          <w:sz w:val="20"/>
          <w:szCs w:val="20"/>
          <w:lang w:val="es-CR"/>
        </w:rPr>
        <w:t>(</w:t>
      </w:r>
      <w:r>
        <w:rPr>
          <w:rFonts w:ascii="Verdana" w:hAnsi="Verdana"/>
          <w:i/>
          <w:sz w:val="20"/>
          <w:szCs w:val="20"/>
          <w:lang w:val="es-CR"/>
        </w:rPr>
        <w:t>punto resolutivo décimo tercero de la Sentencia</w:t>
      </w:r>
      <w:r w:rsidR="001B1B7E">
        <w:rPr>
          <w:rFonts w:ascii="Verdana" w:hAnsi="Verdana"/>
          <w:sz w:val="20"/>
          <w:szCs w:val="20"/>
          <w:lang w:val="es-CR"/>
        </w:rPr>
        <w:t>);</w:t>
      </w:r>
      <w:r>
        <w:rPr>
          <w:rFonts w:ascii="Verdana" w:hAnsi="Verdana"/>
          <w:sz w:val="20"/>
          <w:szCs w:val="20"/>
          <w:lang w:val="es-CR"/>
        </w:rPr>
        <w:t xml:space="preserve"> </w:t>
      </w:r>
    </w:p>
    <w:p w:rsidR="00103F32" w:rsidRPr="00103F32" w:rsidRDefault="001B1B7E" w:rsidP="00792C28">
      <w:pPr>
        <w:numPr>
          <w:ilvl w:val="0"/>
          <w:numId w:val="5"/>
        </w:numPr>
        <w:autoSpaceDE w:val="0"/>
        <w:autoSpaceDN w:val="0"/>
        <w:adjustRightInd w:val="0"/>
        <w:spacing w:after="120" w:line="240" w:lineRule="auto"/>
        <w:jc w:val="both"/>
        <w:rPr>
          <w:rFonts w:ascii="Verdana" w:hAnsi="Verdana"/>
          <w:sz w:val="20"/>
          <w:szCs w:val="20"/>
          <w:lang w:val="es-CR"/>
        </w:rPr>
      </w:pPr>
      <w:r>
        <w:rPr>
          <w:rFonts w:ascii="Verdana" w:hAnsi="Verdana" w:cs="Verdana"/>
          <w:sz w:val="20"/>
          <w:szCs w:val="20"/>
          <w:lang w:val="es-CR"/>
        </w:rPr>
        <w:t xml:space="preserve">pagar los correspondientes intereses moratorios </w:t>
      </w:r>
      <w:r>
        <w:rPr>
          <w:rFonts w:ascii="Verdana" w:hAnsi="Verdana"/>
          <w:sz w:val="20"/>
          <w:szCs w:val="20"/>
          <w:lang w:val="es-CR"/>
        </w:rPr>
        <w:t>de l</w:t>
      </w:r>
      <w:r w:rsidRPr="002C70F6">
        <w:rPr>
          <w:rFonts w:ascii="Verdana" w:hAnsi="Verdana"/>
          <w:sz w:val="20"/>
          <w:szCs w:val="20"/>
          <w:lang w:val="es-CR"/>
        </w:rPr>
        <w:t>as cantidades fijadas por concepto de indemnización por daño</w:t>
      </w:r>
      <w:r>
        <w:rPr>
          <w:rFonts w:ascii="Verdana" w:hAnsi="Verdana"/>
          <w:sz w:val="20"/>
          <w:szCs w:val="20"/>
          <w:lang w:val="es-CR"/>
        </w:rPr>
        <w:t>s</w:t>
      </w:r>
      <w:r w:rsidRPr="002C70F6">
        <w:rPr>
          <w:rFonts w:ascii="Verdana" w:hAnsi="Verdana"/>
          <w:sz w:val="20"/>
          <w:szCs w:val="20"/>
          <w:lang w:val="es-CR"/>
        </w:rPr>
        <w:t xml:space="preserve"> </w:t>
      </w:r>
      <w:r>
        <w:rPr>
          <w:rFonts w:ascii="Verdana" w:hAnsi="Verdana"/>
          <w:sz w:val="20"/>
          <w:szCs w:val="20"/>
          <w:lang w:val="es-CR"/>
        </w:rPr>
        <w:t>materiales, daños inmateriales y reintegro de costas y gastos</w:t>
      </w:r>
      <w:r w:rsidRPr="00103F32">
        <w:rPr>
          <w:rFonts w:ascii="Verdana" w:hAnsi="Verdana"/>
          <w:sz w:val="20"/>
          <w:szCs w:val="20"/>
          <w:lang w:val="es-CR"/>
        </w:rPr>
        <w:t xml:space="preserve"> </w:t>
      </w:r>
      <w:r w:rsidR="00103F32" w:rsidRPr="00103F32">
        <w:rPr>
          <w:rFonts w:ascii="Verdana" w:hAnsi="Verdana"/>
          <w:sz w:val="20"/>
          <w:szCs w:val="20"/>
          <w:lang w:val="es-CR"/>
        </w:rPr>
        <w:t>(</w:t>
      </w:r>
      <w:r w:rsidR="00103F32" w:rsidRPr="00103F32">
        <w:rPr>
          <w:rFonts w:ascii="Verdana" w:hAnsi="Verdana"/>
          <w:i/>
          <w:sz w:val="20"/>
          <w:szCs w:val="20"/>
          <w:lang w:val="es-CR"/>
        </w:rPr>
        <w:t>punto resolutivo décimo cuarto de la Sentencia</w:t>
      </w:r>
      <w:r w:rsidR="00103F32" w:rsidRPr="00103F32">
        <w:rPr>
          <w:rFonts w:ascii="Verdana" w:hAnsi="Verdana"/>
          <w:sz w:val="20"/>
          <w:szCs w:val="20"/>
          <w:lang w:val="es-CR"/>
        </w:rPr>
        <w:t xml:space="preserve">) y, </w:t>
      </w:r>
    </w:p>
    <w:p w:rsidR="0099578D" w:rsidRPr="009929D5" w:rsidRDefault="001B1B7E" w:rsidP="00792C28">
      <w:pPr>
        <w:numPr>
          <w:ilvl w:val="0"/>
          <w:numId w:val="5"/>
        </w:numPr>
        <w:tabs>
          <w:tab w:val="left" w:pos="567"/>
        </w:tabs>
        <w:spacing w:after="120" w:line="240" w:lineRule="auto"/>
        <w:jc w:val="both"/>
        <w:rPr>
          <w:rFonts w:ascii="Verdana" w:hAnsi="Verdana"/>
          <w:sz w:val="20"/>
          <w:szCs w:val="20"/>
          <w:lang w:val="es-CR"/>
        </w:rPr>
      </w:pPr>
      <w:r>
        <w:rPr>
          <w:rFonts w:ascii="Verdana" w:hAnsi="Verdana"/>
          <w:sz w:val="20"/>
          <w:szCs w:val="20"/>
          <w:lang w:val="es-CR"/>
        </w:rPr>
        <w:t>r</w:t>
      </w:r>
      <w:r w:rsidR="00103F32">
        <w:rPr>
          <w:rFonts w:ascii="Verdana" w:hAnsi="Verdana"/>
          <w:sz w:val="20"/>
          <w:szCs w:val="20"/>
          <w:lang w:val="es-CR"/>
        </w:rPr>
        <w:t xml:space="preserve">estituir la cantidad de </w:t>
      </w:r>
      <w:r w:rsidR="00772D42" w:rsidRPr="0048307D">
        <w:rPr>
          <w:rFonts w:ascii="Verdana" w:hAnsi="Verdana" w:cs="Verdana"/>
          <w:sz w:val="20"/>
          <w:szCs w:val="20"/>
          <w:lang w:val="es-CR"/>
        </w:rPr>
        <w:t>US</w:t>
      </w:r>
      <w:r w:rsidR="00772D42">
        <w:rPr>
          <w:rFonts w:ascii="Verdana" w:hAnsi="Verdana" w:cs="Verdana"/>
          <w:sz w:val="20"/>
          <w:szCs w:val="20"/>
          <w:lang w:val="es-CR"/>
        </w:rPr>
        <w:t>D</w:t>
      </w:r>
      <w:r w:rsidR="00772D42" w:rsidRPr="0048307D">
        <w:rPr>
          <w:rFonts w:ascii="Verdana" w:hAnsi="Verdana" w:cs="Verdana"/>
          <w:sz w:val="20"/>
          <w:szCs w:val="20"/>
          <w:lang w:val="es-CR"/>
        </w:rPr>
        <w:t xml:space="preserve">$ 7.500,00 </w:t>
      </w:r>
      <w:r w:rsidR="00772D42">
        <w:rPr>
          <w:rFonts w:ascii="Verdana" w:hAnsi="Verdana" w:cs="Verdana"/>
          <w:sz w:val="20"/>
          <w:szCs w:val="20"/>
          <w:lang w:val="es-CR"/>
        </w:rPr>
        <w:t>(</w:t>
      </w:r>
      <w:r w:rsidR="00772D42" w:rsidRPr="0048307D">
        <w:rPr>
          <w:rFonts w:ascii="Verdana" w:hAnsi="Verdana" w:cs="Verdana"/>
          <w:sz w:val="20"/>
          <w:szCs w:val="20"/>
          <w:lang w:val="es-CR"/>
        </w:rPr>
        <w:t xml:space="preserve">siete mil quinientos dólares de los Estados Unidos de América) </w:t>
      </w:r>
      <w:r w:rsidR="00103F32">
        <w:rPr>
          <w:rFonts w:ascii="Verdana" w:hAnsi="Verdana"/>
          <w:sz w:val="20"/>
          <w:szCs w:val="20"/>
          <w:lang w:val="es-CR"/>
        </w:rPr>
        <w:t>a Pelagia Mélida Contreras Montoya de Cantoral</w:t>
      </w:r>
      <w:r w:rsidR="009929D5" w:rsidRPr="009929D5">
        <w:rPr>
          <w:rFonts w:ascii="Verdana" w:hAnsi="Verdana"/>
          <w:sz w:val="20"/>
          <w:szCs w:val="20"/>
          <w:lang w:val="es-CR"/>
        </w:rPr>
        <w:t xml:space="preserve"> (</w:t>
      </w:r>
      <w:r w:rsidR="00103F32" w:rsidRPr="00103F32">
        <w:rPr>
          <w:rFonts w:ascii="Verdana" w:hAnsi="Verdana"/>
          <w:i/>
          <w:sz w:val="20"/>
          <w:szCs w:val="20"/>
          <w:lang w:val="es-CR"/>
        </w:rPr>
        <w:t>párrafo 187 de la Sentencia</w:t>
      </w:r>
      <w:r w:rsidR="009929D5" w:rsidRPr="009929D5">
        <w:rPr>
          <w:rFonts w:ascii="Verdana" w:hAnsi="Verdana"/>
          <w:sz w:val="20"/>
          <w:szCs w:val="20"/>
          <w:lang w:val="es-CR"/>
        </w:rPr>
        <w:t>).</w:t>
      </w:r>
    </w:p>
    <w:p w:rsidR="009929D5" w:rsidRPr="00C96FC0" w:rsidRDefault="009929D5" w:rsidP="00792C28">
      <w:pPr>
        <w:pStyle w:val="Listavistosa-nfasis1"/>
        <w:tabs>
          <w:tab w:val="left" w:pos="709"/>
        </w:tabs>
        <w:spacing w:after="120" w:line="240" w:lineRule="auto"/>
        <w:ind w:left="0"/>
        <w:jc w:val="both"/>
        <w:rPr>
          <w:rFonts w:ascii="Verdana" w:hAnsi="Verdana"/>
          <w:sz w:val="10"/>
          <w:szCs w:val="10"/>
          <w:lang w:val="es-CR"/>
        </w:rPr>
      </w:pPr>
    </w:p>
    <w:p w:rsidR="009F78E3" w:rsidRPr="002C70F6" w:rsidRDefault="009F78E3" w:rsidP="00792C28">
      <w:pPr>
        <w:numPr>
          <w:ilvl w:val="0"/>
          <w:numId w:val="2"/>
        </w:numPr>
        <w:tabs>
          <w:tab w:val="left" w:pos="567"/>
        </w:tabs>
        <w:spacing w:after="120" w:line="240" w:lineRule="auto"/>
        <w:ind w:left="0" w:hanging="11"/>
        <w:jc w:val="both"/>
        <w:rPr>
          <w:rFonts w:ascii="Verdana" w:hAnsi="Verdana"/>
          <w:sz w:val="20"/>
          <w:lang w:val="es-CR"/>
        </w:rPr>
      </w:pPr>
      <w:r w:rsidRPr="009F78E3">
        <w:rPr>
          <w:rFonts w:ascii="Verdana" w:hAnsi="Verdana"/>
          <w:sz w:val="20"/>
          <w:szCs w:val="20"/>
          <w:lang w:val="es-CR"/>
        </w:rPr>
        <w:t xml:space="preserve">Disponer que el Estado presente a la Corte Interamericana de Derechos Humanos, a más tardar el </w:t>
      </w:r>
      <w:r w:rsidR="00526D68">
        <w:rPr>
          <w:rFonts w:ascii="Verdana" w:hAnsi="Verdana"/>
          <w:sz w:val="20"/>
          <w:szCs w:val="20"/>
          <w:lang w:val="es-CR"/>
        </w:rPr>
        <w:t>21</w:t>
      </w:r>
      <w:r w:rsidR="0092723E">
        <w:rPr>
          <w:rFonts w:ascii="Verdana" w:hAnsi="Verdana"/>
          <w:sz w:val="20"/>
          <w:szCs w:val="20"/>
          <w:lang w:val="es-CR"/>
        </w:rPr>
        <w:t xml:space="preserve"> de </w:t>
      </w:r>
      <w:r w:rsidR="007E6CAD">
        <w:rPr>
          <w:rFonts w:ascii="Verdana" w:hAnsi="Verdana"/>
          <w:sz w:val="20"/>
          <w:szCs w:val="20"/>
          <w:lang w:val="es-CR"/>
        </w:rPr>
        <w:t>octubre</w:t>
      </w:r>
      <w:r w:rsidR="0092723E">
        <w:rPr>
          <w:rFonts w:ascii="Verdana" w:hAnsi="Verdana"/>
          <w:sz w:val="20"/>
          <w:szCs w:val="20"/>
          <w:lang w:val="es-CR"/>
        </w:rPr>
        <w:t xml:space="preserve"> de 2019</w:t>
      </w:r>
      <w:r w:rsidR="00526D68">
        <w:rPr>
          <w:rFonts w:ascii="Verdana" w:hAnsi="Verdana"/>
          <w:sz w:val="20"/>
          <w:szCs w:val="20"/>
          <w:lang w:val="es-CR"/>
        </w:rPr>
        <w:t>,</w:t>
      </w:r>
      <w:r w:rsidR="0092723E">
        <w:rPr>
          <w:rFonts w:ascii="Verdana" w:hAnsi="Verdana"/>
          <w:sz w:val="20"/>
          <w:szCs w:val="20"/>
          <w:lang w:val="es-CR"/>
        </w:rPr>
        <w:t xml:space="preserve"> </w:t>
      </w:r>
      <w:r w:rsidRPr="009F78E3">
        <w:rPr>
          <w:rFonts w:ascii="Verdana" w:hAnsi="Verdana"/>
          <w:sz w:val="20"/>
          <w:szCs w:val="20"/>
          <w:lang w:val="es-CR"/>
        </w:rPr>
        <w:t xml:space="preserve">un </w:t>
      </w:r>
      <w:r w:rsidRPr="0099578D">
        <w:rPr>
          <w:rFonts w:ascii="Verdana" w:hAnsi="Verdana"/>
          <w:sz w:val="20"/>
          <w:szCs w:val="20"/>
          <w:lang w:val="es-CR"/>
        </w:rPr>
        <w:t>informe sobre el cumplimiento de la</w:t>
      </w:r>
      <w:r w:rsidR="00F9143D" w:rsidRPr="0099578D">
        <w:rPr>
          <w:rFonts w:ascii="Verdana" w:hAnsi="Verdana"/>
          <w:sz w:val="20"/>
          <w:szCs w:val="20"/>
          <w:lang w:val="es-CR"/>
        </w:rPr>
        <w:t>s reparaciones</w:t>
      </w:r>
      <w:r w:rsidRPr="0099578D">
        <w:rPr>
          <w:rFonts w:ascii="Verdana" w:hAnsi="Verdana"/>
          <w:sz w:val="20"/>
          <w:szCs w:val="20"/>
          <w:lang w:val="es-CR"/>
        </w:rPr>
        <w:t xml:space="preserve"> </w:t>
      </w:r>
      <w:r w:rsidR="007E6CAD">
        <w:rPr>
          <w:rFonts w:ascii="Verdana" w:hAnsi="Verdana"/>
          <w:sz w:val="20"/>
          <w:szCs w:val="20"/>
          <w:lang w:val="es-CR"/>
        </w:rPr>
        <w:t xml:space="preserve">referidas en el punto resolutivo 3 </w:t>
      </w:r>
      <w:r w:rsidR="00526D68">
        <w:rPr>
          <w:rFonts w:ascii="Verdana" w:hAnsi="Verdana"/>
          <w:sz w:val="20"/>
          <w:szCs w:val="20"/>
          <w:lang w:val="es-CR"/>
        </w:rPr>
        <w:t xml:space="preserve">de la presente Resolución, </w:t>
      </w:r>
      <w:r w:rsidRPr="0099578D">
        <w:rPr>
          <w:rFonts w:ascii="Verdana" w:hAnsi="Verdana"/>
          <w:sz w:val="20"/>
          <w:szCs w:val="20"/>
          <w:lang w:val="es-CR"/>
        </w:rPr>
        <w:t>ordenada</w:t>
      </w:r>
      <w:r w:rsidR="00FA5F62" w:rsidRPr="0099578D">
        <w:rPr>
          <w:rFonts w:ascii="Verdana" w:hAnsi="Verdana"/>
          <w:sz w:val="20"/>
          <w:szCs w:val="20"/>
          <w:lang w:val="es-CR"/>
        </w:rPr>
        <w:t>s</w:t>
      </w:r>
      <w:r w:rsidRPr="0099578D">
        <w:rPr>
          <w:rFonts w:ascii="Verdana" w:hAnsi="Verdana"/>
          <w:sz w:val="20"/>
          <w:szCs w:val="20"/>
          <w:lang w:val="es-CR"/>
        </w:rPr>
        <w:t xml:space="preserve"> en</w:t>
      </w:r>
      <w:r w:rsidR="00F9143D" w:rsidRPr="0099578D">
        <w:rPr>
          <w:rFonts w:ascii="Verdana" w:hAnsi="Verdana"/>
          <w:sz w:val="20"/>
          <w:szCs w:val="20"/>
          <w:lang w:val="es-CR"/>
        </w:rPr>
        <w:t xml:space="preserve"> los</w:t>
      </w:r>
      <w:r w:rsidRPr="0099578D">
        <w:rPr>
          <w:rFonts w:ascii="Verdana" w:hAnsi="Verdana"/>
          <w:sz w:val="20"/>
          <w:szCs w:val="20"/>
          <w:lang w:val="es-CR"/>
        </w:rPr>
        <w:t xml:space="preserve"> punto</w:t>
      </w:r>
      <w:r w:rsidR="00FA5F62" w:rsidRPr="0099578D">
        <w:rPr>
          <w:rFonts w:ascii="Verdana" w:hAnsi="Verdana"/>
          <w:sz w:val="20"/>
          <w:szCs w:val="20"/>
          <w:lang w:val="es-CR"/>
        </w:rPr>
        <w:t>s</w:t>
      </w:r>
      <w:r w:rsidRPr="0099578D">
        <w:rPr>
          <w:rFonts w:ascii="Verdana" w:hAnsi="Verdana"/>
          <w:sz w:val="20"/>
          <w:szCs w:val="20"/>
          <w:lang w:val="es-CR"/>
        </w:rPr>
        <w:t xml:space="preserve"> </w:t>
      </w:r>
      <w:r w:rsidR="009929D5">
        <w:rPr>
          <w:rFonts w:ascii="Verdana" w:hAnsi="Verdana"/>
          <w:sz w:val="20"/>
          <w:szCs w:val="20"/>
          <w:lang w:val="es-CR"/>
        </w:rPr>
        <w:t>resolutivos</w:t>
      </w:r>
      <w:r w:rsidR="00F9143D" w:rsidRPr="0099578D">
        <w:rPr>
          <w:rFonts w:ascii="Verdana" w:hAnsi="Verdana"/>
          <w:sz w:val="20"/>
          <w:szCs w:val="20"/>
          <w:lang w:val="es-CR"/>
        </w:rPr>
        <w:t xml:space="preserve"> </w:t>
      </w:r>
      <w:r w:rsidR="00985E8C">
        <w:rPr>
          <w:rFonts w:ascii="Verdana" w:hAnsi="Verdana"/>
          <w:sz w:val="20"/>
          <w:szCs w:val="20"/>
          <w:lang w:val="es-CR"/>
        </w:rPr>
        <w:t xml:space="preserve">noveno, décimo segundo, décimo tercero, décimo cuarto y párrafo </w:t>
      </w:r>
      <w:r w:rsidR="007E6CAD">
        <w:rPr>
          <w:rFonts w:ascii="Verdana" w:hAnsi="Verdana"/>
          <w:sz w:val="20"/>
          <w:szCs w:val="20"/>
          <w:lang w:val="es-CR"/>
        </w:rPr>
        <w:t>1</w:t>
      </w:r>
      <w:r w:rsidR="00985E8C">
        <w:rPr>
          <w:rFonts w:ascii="Verdana" w:hAnsi="Verdana"/>
          <w:sz w:val="20"/>
          <w:szCs w:val="20"/>
          <w:lang w:val="es-CR"/>
        </w:rPr>
        <w:t>87</w:t>
      </w:r>
      <w:r w:rsidRPr="0099578D">
        <w:rPr>
          <w:rFonts w:ascii="Verdana" w:hAnsi="Verdana"/>
          <w:sz w:val="20"/>
          <w:szCs w:val="20"/>
          <w:lang w:val="es-CR"/>
        </w:rPr>
        <w:t xml:space="preserve"> de la Sentencia, de conformidad con lo indicado en los Considerando</w:t>
      </w:r>
      <w:r w:rsidR="00C062F5" w:rsidRPr="0099578D">
        <w:rPr>
          <w:rFonts w:ascii="Verdana" w:hAnsi="Verdana"/>
          <w:sz w:val="20"/>
          <w:szCs w:val="20"/>
          <w:lang w:val="es-CR"/>
        </w:rPr>
        <w:t>s</w:t>
      </w:r>
      <w:r w:rsidRPr="0099578D">
        <w:rPr>
          <w:rFonts w:ascii="Verdana" w:hAnsi="Verdana"/>
          <w:sz w:val="20"/>
          <w:szCs w:val="20"/>
          <w:lang w:val="es-CR"/>
        </w:rPr>
        <w:t xml:space="preserve"> </w:t>
      </w:r>
      <w:r w:rsidR="007E6CAD">
        <w:rPr>
          <w:rFonts w:ascii="Verdana" w:hAnsi="Verdana"/>
          <w:sz w:val="20"/>
          <w:szCs w:val="20"/>
          <w:lang w:val="es-CR"/>
        </w:rPr>
        <w:t>6 a 15, 27 a 35, 38 a 42 y 47 a 50</w:t>
      </w:r>
      <w:r w:rsidR="009929D5">
        <w:rPr>
          <w:rFonts w:ascii="Verdana" w:hAnsi="Verdana"/>
          <w:sz w:val="20"/>
          <w:szCs w:val="20"/>
          <w:lang w:val="es-CR"/>
        </w:rPr>
        <w:t xml:space="preserve"> </w:t>
      </w:r>
      <w:r w:rsidRPr="0099578D">
        <w:rPr>
          <w:rFonts w:ascii="Verdana" w:hAnsi="Verdana"/>
          <w:sz w:val="20"/>
          <w:szCs w:val="20"/>
          <w:lang w:val="es-CR"/>
        </w:rPr>
        <w:t xml:space="preserve">de la presente Resolución. </w:t>
      </w:r>
    </w:p>
    <w:p w:rsidR="002C70F6" w:rsidRPr="00C96FC0" w:rsidRDefault="002C70F6" w:rsidP="00792C28">
      <w:pPr>
        <w:tabs>
          <w:tab w:val="left" w:pos="630"/>
        </w:tabs>
        <w:spacing w:after="120" w:line="240" w:lineRule="auto"/>
        <w:jc w:val="both"/>
        <w:rPr>
          <w:rFonts w:ascii="Verdana" w:hAnsi="Verdana"/>
          <w:sz w:val="10"/>
          <w:szCs w:val="10"/>
          <w:lang w:val="es-CR"/>
        </w:rPr>
      </w:pPr>
    </w:p>
    <w:p w:rsidR="009F78E3" w:rsidRDefault="009F78E3" w:rsidP="00792C28">
      <w:pPr>
        <w:numPr>
          <w:ilvl w:val="0"/>
          <w:numId w:val="2"/>
        </w:numPr>
        <w:tabs>
          <w:tab w:val="left" w:pos="567"/>
        </w:tabs>
        <w:spacing w:after="120" w:line="240" w:lineRule="auto"/>
        <w:ind w:left="0" w:firstLine="0"/>
        <w:jc w:val="both"/>
        <w:rPr>
          <w:rFonts w:ascii="Verdana" w:hAnsi="Verdana"/>
          <w:sz w:val="20"/>
          <w:lang w:val="es-CR"/>
        </w:rPr>
      </w:pPr>
      <w:r w:rsidRPr="0099578D">
        <w:rPr>
          <w:rFonts w:ascii="Verdana" w:hAnsi="Verdana"/>
          <w:sz w:val="20"/>
          <w:lang w:val="es-CR"/>
        </w:rPr>
        <w:t xml:space="preserve">Disponer que </w:t>
      </w:r>
      <w:r w:rsidR="00EC667A">
        <w:rPr>
          <w:rFonts w:ascii="Verdana" w:hAnsi="Verdana"/>
          <w:sz w:val="20"/>
          <w:lang w:val="es-CR"/>
        </w:rPr>
        <w:t>los</w:t>
      </w:r>
      <w:r w:rsidRPr="0099578D">
        <w:rPr>
          <w:rFonts w:ascii="Verdana" w:hAnsi="Verdana"/>
          <w:sz w:val="20"/>
          <w:lang w:val="es-CR"/>
        </w:rPr>
        <w:t xml:space="preserve"> representante</w:t>
      </w:r>
      <w:r w:rsidR="00EC667A">
        <w:rPr>
          <w:rFonts w:ascii="Verdana" w:hAnsi="Verdana"/>
          <w:sz w:val="20"/>
          <w:lang w:val="es-CR"/>
        </w:rPr>
        <w:t>s</w:t>
      </w:r>
      <w:r w:rsidRPr="0099578D">
        <w:rPr>
          <w:rFonts w:ascii="Verdana" w:hAnsi="Verdana"/>
          <w:sz w:val="20"/>
          <w:lang w:val="es-CR"/>
        </w:rPr>
        <w:t xml:space="preserve"> de la</w:t>
      </w:r>
      <w:r w:rsidR="00EC667A">
        <w:rPr>
          <w:rFonts w:ascii="Verdana" w:hAnsi="Verdana"/>
          <w:sz w:val="20"/>
          <w:lang w:val="es-CR"/>
        </w:rPr>
        <w:t>s</w:t>
      </w:r>
      <w:r w:rsidRPr="0099578D">
        <w:rPr>
          <w:rFonts w:ascii="Verdana" w:hAnsi="Verdana"/>
          <w:sz w:val="20"/>
          <w:lang w:val="es-CR"/>
        </w:rPr>
        <w:t xml:space="preserve"> víctima</w:t>
      </w:r>
      <w:r w:rsidR="00EC667A">
        <w:rPr>
          <w:rFonts w:ascii="Verdana" w:hAnsi="Verdana"/>
          <w:sz w:val="20"/>
          <w:lang w:val="es-CR"/>
        </w:rPr>
        <w:t>s</w:t>
      </w:r>
      <w:r w:rsidRPr="0099578D">
        <w:rPr>
          <w:rFonts w:ascii="Verdana" w:hAnsi="Verdana"/>
          <w:sz w:val="20"/>
          <w:lang w:val="es-CR"/>
        </w:rPr>
        <w:t xml:space="preserve"> y la Comisión Interamericana de Derechos Humanos presenten observaciones al informe del Estado mencionado</w:t>
      </w:r>
      <w:r w:rsidRPr="009F78E3">
        <w:rPr>
          <w:rFonts w:ascii="Verdana" w:hAnsi="Verdana"/>
          <w:sz w:val="20"/>
          <w:lang w:val="es-CR"/>
        </w:rPr>
        <w:t xml:space="preserve"> en el punto resolutivo anterior, en los plazos de cuatro y seis semanas, respectivamente, contados a partir de la recepción del informe.</w:t>
      </w:r>
    </w:p>
    <w:p w:rsidR="002C70F6" w:rsidRPr="00C96FC0" w:rsidRDefault="002C70F6" w:rsidP="00792C28">
      <w:pPr>
        <w:tabs>
          <w:tab w:val="left" w:pos="567"/>
        </w:tabs>
        <w:spacing w:after="120" w:line="240" w:lineRule="auto"/>
        <w:jc w:val="both"/>
        <w:rPr>
          <w:rFonts w:ascii="Verdana" w:hAnsi="Verdana"/>
          <w:sz w:val="10"/>
          <w:szCs w:val="10"/>
          <w:lang w:val="es-CR"/>
        </w:rPr>
      </w:pPr>
    </w:p>
    <w:p w:rsidR="009F78E3" w:rsidRDefault="009F78E3" w:rsidP="00792C28">
      <w:pPr>
        <w:numPr>
          <w:ilvl w:val="0"/>
          <w:numId w:val="2"/>
        </w:numPr>
        <w:tabs>
          <w:tab w:val="left" w:pos="567"/>
        </w:tabs>
        <w:spacing w:after="120" w:line="240" w:lineRule="auto"/>
        <w:ind w:left="0" w:firstLine="0"/>
        <w:jc w:val="both"/>
        <w:rPr>
          <w:rFonts w:ascii="Verdana" w:hAnsi="Verdana"/>
          <w:sz w:val="20"/>
          <w:lang w:val="es-CR"/>
        </w:rPr>
      </w:pPr>
      <w:r w:rsidRPr="009F78E3">
        <w:rPr>
          <w:rFonts w:ascii="Verdana" w:hAnsi="Verdana"/>
          <w:sz w:val="20"/>
          <w:lang w:val="es-CR"/>
        </w:rPr>
        <w:t>Disponer que la Secretaría de la Corte notifique la presente Resolución al Estado, a los representantes de la</w:t>
      </w:r>
      <w:r w:rsidR="00526D68">
        <w:rPr>
          <w:rFonts w:ascii="Verdana" w:hAnsi="Verdana"/>
          <w:sz w:val="20"/>
          <w:lang w:val="es-CR"/>
        </w:rPr>
        <w:t>s</w:t>
      </w:r>
      <w:r w:rsidRPr="009F78E3">
        <w:rPr>
          <w:rFonts w:ascii="Verdana" w:hAnsi="Verdana"/>
          <w:sz w:val="20"/>
          <w:lang w:val="es-CR"/>
        </w:rPr>
        <w:t xml:space="preserve"> víctima</w:t>
      </w:r>
      <w:r w:rsidR="00526D68">
        <w:rPr>
          <w:rFonts w:ascii="Verdana" w:hAnsi="Verdana"/>
          <w:sz w:val="20"/>
          <w:lang w:val="es-CR"/>
        </w:rPr>
        <w:t>s</w:t>
      </w:r>
      <w:r w:rsidRPr="009F78E3">
        <w:rPr>
          <w:rFonts w:ascii="Verdana" w:hAnsi="Verdana"/>
          <w:sz w:val="20"/>
          <w:lang w:val="es-CR"/>
        </w:rPr>
        <w:t xml:space="preserve"> y a la Comisión Interamericana de Derechos Humanos.</w:t>
      </w:r>
    </w:p>
    <w:p w:rsidR="00CF0138" w:rsidRDefault="00CF0138" w:rsidP="009F08CC">
      <w:pPr>
        <w:tabs>
          <w:tab w:val="left" w:pos="540"/>
        </w:tabs>
        <w:spacing w:after="0" w:line="240" w:lineRule="auto"/>
        <w:jc w:val="both"/>
        <w:rPr>
          <w:rFonts w:ascii="Verdana" w:hAnsi="Verdana"/>
          <w:sz w:val="20"/>
          <w:szCs w:val="20"/>
          <w:lang w:val="es-CR"/>
        </w:rPr>
      </w:pPr>
    </w:p>
    <w:p w:rsidR="005D1F98" w:rsidRDefault="005D1F98" w:rsidP="009F08CC">
      <w:pPr>
        <w:tabs>
          <w:tab w:val="left" w:pos="540"/>
        </w:tabs>
        <w:spacing w:after="0" w:line="240" w:lineRule="auto"/>
        <w:jc w:val="both"/>
        <w:rPr>
          <w:rFonts w:ascii="Verdana" w:hAnsi="Verdana"/>
          <w:sz w:val="20"/>
          <w:szCs w:val="20"/>
          <w:lang w:val="es-CR"/>
        </w:rPr>
      </w:pPr>
    </w:p>
    <w:p w:rsidR="005D1F98" w:rsidRDefault="005D1F98" w:rsidP="009F08CC">
      <w:pPr>
        <w:tabs>
          <w:tab w:val="left" w:pos="540"/>
        </w:tabs>
        <w:spacing w:after="0" w:line="240" w:lineRule="auto"/>
        <w:jc w:val="both"/>
        <w:rPr>
          <w:rFonts w:ascii="Verdana" w:hAnsi="Verdana"/>
          <w:sz w:val="20"/>
          <w:szCs w:val="20"/>
          <w:lang w:val="es-CR"/>
        </w:rPr>
      </w:pPr>
    </w:p>
    <w:p w:rsidR="005D1F98" w:rsidRDefault="005D1F98" w:rsidP="009F08CC">
      <w:pPr>
        <w:tabs>
          <w:tab w:val="left" w:pos="540"/>
        </w:tabs>
        <w:spacing w:after="0" w:line="240" w:lineRule="auto"/>
        <w:jc w:val="both"/>
        <w:rPr>
          <w:rFonts w:ascii="Verdana" w:hAnsi="Verdana"/>
          <w:sz w:val="20"/>
          <w:szCs w:val="20"/>
          <w:lang w:val="es-CR"/>
        </w:rPr>
      </w:pPr>
    </w:p>
    <w:p w:rsidR="005D1F98" w:rsidRDefault="005D1F98" w:rsidP="009F08CC">
      <w:pPr>
        <w:tabs>
          <w:tab w:val="left" w:pos="540"/>
        </w:tabs>
        <w:spacing w:after="0" w:line="240" w:lineRule="auto"/>
        <w:jc w:val="both"/>
        <w:rPr>
          <w:rFonts w:ascii="Verdana" w:hAnsi="Verdana"/>
          <w:sz w:val="20"/>
          <w:szCs w:val="20"/>
          <w:lang w:val="es-CR"/>
        </w:rPr>
      </w:pPr>
    </w:p>
    <w:p w:rsidR="005D1F98" w:rsidRDefault="005D1F98" w:rsidP="009F08CC">
      <w:pPr>
        <w:tabs>
          <w:tab w:val="left" w:pos="540"/>
        </w:tabs>
        <w:spacing w:after="0" w:line="240" w:lineRule="auto"/>
        <w:jc w:val="both"/>
        <w:rPr>
          <w:rFonts w:ascii="Verdana" w:hAnsi="Verdana"/>
          <w:sz w:val="20"/>
          <w:szCs w:val="20"/>
          <w:lang w:val="es-CR"/>
        </w:rPr>
      </w:pPr>
    </w:p>
    <w:p w:rsidR="005D1F98" w:rsidRPr="00847B73" w:rsidRDefault="005D1F98" w:rsidP="005D1F98">
      <w:pPr>
        <w:keepNext/>
        <w:jc w:val="both"/>
        <w:outlineLvl w:val="0"/>
        <w:rPr>
          <w:rFonts w:ascii="Verdana" w:hAnsi="Verdana" w:cs="Verdana"/>
          <w:b/>
          <w:bCs/>
          <w:sz w:val="20"/>
          <w:lang w:val="es-ES"/>
        </w:rPr>
      </w:pPr>
      <w:r>
        <w:rPr>
          <w:rFonts w:ascii="Verdana" w:hAnsi="Verdana" w:cs="Courier New"/>
          <w:noProof/>
          <w:sz w:val="20"/>
          <w:lang w:val="es-AR"/>
        </w:rPr>
        <w:t xml:space="preserve">Corte IDH. </w:t>
      </w:r>
      <w:r w:rsidRPr="00417EAC">
        <w:rPr>
          <w:rFonts w:ascii="Verdana" w:hAnsi="Verdana"/>
          <w:bCs/>
          <w:i/>
          <w:sz w:val="20"/>
          <w:lang w:val="es-CR"/>
        </w:rPr>
        <w:t xml:space="preserve">Caso Cantoral Huamaní y García Santa Cruz </w:t>
      </w:r>
      <w:r w:rsidRPr="00341158">
        <w:rPr>
          <w:rFonts w:ascii="Verdana" w:hAnsi="Verdana"/>
          <w:bCs/>
          <w:i/>
          <w:sz w:val="20"/>
          <w:lang w:val="es-CR"/>
        </w:rPr>
        <w:t>Vs. Perú</w:t>
      </w:r>
      <w:r w:rsidRPr="00847B73">
        <w:rPr>
          <w:rFonts w:ascii="Verdana" w:hAnsi="Verdana"/>
          <w:i/>
          <w:sz w:val="20"/>
          <w:lang w:val="es-ES"/>
        </w:rPr>
        <w:t>.</w:t>
      </w:r>
      <w:r w:rsidRPr="00847B73">
        <w:rPr>
          <w:rFonts w:ascii="Verdana" w:hAnsi="Verdana" w:cs="Arial"/>
          <w:i/>
          <w:sz w:val="20"/>
          <w:lang w:val="es-CR"/>
        </w:rPr>
        <w:t xml:space="preserve"> </w:t>
      </w:r>
      <w:r>
        <w:rPr>
          <w:rFonts w:ascii="Verdana" w:hAnsi="Verdana"/>
          <w:sz w:val="20"/>
          <w:lang w:val="es-CR"/>
        </w:rPr>
        <w:t xml:space="preserve">Supervisión de cumplimiento de sentencia. </w:t>
      </w:r>
      <w:r w:rsidRPr="00B32051">
        <w:rPr>
          <w:rFonts w:ascii="Verdana" w:hAnsi="Verdana"/>
          <w:bCs/>
          <w:sz w:val="20"/>
          <w:lang w:val="es-CR"/>
        </w:rPr>
        <w:t xml:space="preserve">Resolución de la Corte Interamericana de Derechos Humanos de </w:t>
      </w:r>
      <w:r>
        <w:rPr>
          <w:rFonts w:ascii="Verdana" w:hAnsi="Verdana"/>
          <w:bCs/>
          <w:sz w:val="20"/>
          <w:lang w:val="es-CR"/>
        </w:rPr>
        <w:t>1</w:t>
      </w:r>
      <w:r w:rsidRPr="006D2159">
        <w:rPr>
          <w:rFonts w:ascii="Verdana" w:hAnsi="Verdana"/>
          <w:sz w:val="20"/>
          <w:lang w:val="es-ES"/>
        </w:rPr>
        <w:t>4 de ma</w:t>
      </w:r>
      <w:r>
        <w:rPr>
          <w:rFonts w:ascii="Verdana" w:hAnsi="Verdana"/>
          <w:sz w:val="20"/>
          <w:lang w:val="es-ES"/>
        </w:rPr>
        <w:t>y</w:t>
      </w:r>
      <w:r w:rsidRPr="006D2159">
        <w:rPr>
          <w:rFonts w:ascii="Verdana" w:hAnsi="Verdana"/>
          <w:sz w:val="20"/>
          <w:lang w:val="es-ES"/>
        </w:rPr>
        <w:t>o de 2019</w:t>
      </w:r>
      <w:r w:rsidRPr="00847B73">
        <w:rPr>
          <w:rFonts w:ascii="Verdana" w:hAnsi="Verdana"/>
          <w:sz w:val="20"/>
          <w:lang w:val="es-ES"/>
        </w:rPr>
        <w:t xml:space="preserve">. </w:t>
      </w:r>
    </w:p>
    <w:p w:rsidR="005D1F98" w:rsidRPr="00847B73" w:rsidRDefault="005D1F98" w:rsidP="005D1F98">
      <w:pPr>
        <w:rPr>
          <w:rFonts w:ascii="Verdana" w:hAnsi="Verdana"/>
          <w:sz w:val="20"/>
          <w:lang w:val="es-ES"/>
        </w:rPr>
      </w:pPr>
    </w:p>
    <w:p w:rsidR="005D1F98" w:rsidRPr="00847B73" w:rsidRDefault="005D1F98" w:rsidP="005D1F98">
      <w:pPr>
        <w:jc w:val="center"/>
        <w:rPr>
          <w:rFonts w:ascii="Verdana" w:hAnsi="Verdana"/>
          <w:sz w:val="20"/>
          <w:lang w:val="pt-BR"/>
        </w:rPr>
      </w:pPr>
      <w:r w:rsidRPr="00847B73">
        <w:rPr>
          <w:rFonts w:ascii="Verdana" w:hAnsi="Verdana"/>
          <w:sz w:val="20"/>
          <w:lang w:val="pt-BR"/>
        </w:rPr>
        <w:t xml:space="preserve">Eduardo Ferrer Mac-Gregor Poisot </w:t>
      </w:r>
    </w:p>
    <w:p w:rsidR="005D1F98" w:rsidRDefault="005D1F98" w:rsidP="005D1F98">
      <w:pPr>
        <w:jc w:val="center"/>
        <w:rPr>
          <w:rFonts w:ascii="Verdana" w:hAnsi="Verdana"/>
          <w:sz w:val="20"/>
          <w:lang w:val="pt-BR"/>
        </w:rPr>
      </w:pPr>
      <w:r w:rsidRPr="00847B73">
        <w:rPr>
          <w:rFonts w:ascii="Verdana" w:hAnsi="Verdana"/>
          <w:sz w:val="20"/>
          <w:lang w:val="pt-BR"/>
        </w:rPr>
        <w:t>Presidente</w:t>
      </w:r>
    </w:p>
    <w:p w:rsidR="005D1F98" w:rsidRPr="00847B73" w:rsidRDefault="005D1F98" w:rsidP="005D1F98">
      <w:pPr>
        <w:jc w:val="both"/>
        <w:rPr>
          <w:rFonts w:ascii="Verdana" w:hAnsi="Verdana"/>
          <w:sz w:val="20"/>
          <w:lang w:val="pt-BR"/>
        </w:rPr>
      </w:pPr>
    </w:p>
    <w:p w:rsidR="005D1F98" w:rsidRDefault="005D1F98" w:rsidP="005D1F98">
      <w:pPr>
        <w:rPr>
          <w:rFonts w:ascii="Verdana" w:hAnsi="Verdana"/>
          <w:sz w:val="20"/>
          <w:lang w:val="pt-BR"/>
        </w:rPr>
      </w:pPr>
      <w:r w:rsidRPr="00847B73">
        <w:rPr>
          <w:rFonts w:ascii="Verdana" w:hAnsi="Verdana"/>
          <w:sz w:val="20"/>
          <w:lang w:val="pt-BR"/>
        </w:rPr>
        <w:t>Eduardo Vio Grossi</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H</w:t>
      </w:r>
      <w:r>
        <w:rPr>
          <w:rFonts w:ascii="Verdana" w:hAnsi="Verdana"/>
          <w:sz w:val="20"/>
          <w:lang w:val="pt-BR"/>
        </w:rPr>
        <w:t>umberto Antonio Sierra Porto</w:t>
      </w:r>
    </w:p>
    <w:p w:rsidR="005D1F98" w:rsidRDefault="005D1F98" w:rsidP="005D1F98">
      <w:pPr>
        <w:rPr>
          <w:rFonts w:ascii="Verdana" w:hAnsi="Verdana"/>
          <w:sz w:val="20"/>
          <w:lang w:val="pt-BR"/>
        </w:rPr>
      </w:pPr>
    </w:p>
    <w:p w:rsidR="005D1F98" w:rsidRPr="00847B73" w:rsidRDefault="005D1F98" w:rsidP="005D1F98">
      <w:pPr>
        <w:jc w:val="both"/>
        <w:rPr>
          <w:rFonts w:ascii="Verdana" w:hAnsi="Verdana"/>
          <w:sz w:val="20"/>
          <w:lang w:val="pt-BR"/>
        </w:rPr>
      </w:pPr>
    </w:p>
    <w:p w:rsidR="005D1F98" w:rsidRDefault="005D1F98" w:rsidP="005D1F98">
      <w:pPr>
        <w:rPr>
          <w:rFonts w:ascii="Verdana" w:hAnsi="Verdana"/>
          <w:sz w:val="20"/>
          <w:lang w:val="pt-BR"/>
        </w:rPr>
      </w:pPr>
      <w:r w:rsidRPr="00847B73">
        <w:rPr>
          <w:rFonts w:ascii="Verdana" w:hAnsi="Verdana"/>
          <w:sz w:val="20"/>
          <w:lang w:val="pt-BR"/>
        </w:rPr>
        <w:t xml:space="preserve">Elizabeth Odio Benito </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 xml:space="preserve">  Eugenio Raúl Zaffaroni </w:t>
      </w:r>
    </w:p>
    <w:p w:rsidR="005D1F98" w:rsidRPr="00847B73" w:rsidRDefault="005D1F98" w:rsidP="005D1F98">
      <w:pPr>
        <w:rPr>
          <w:rFonts w:ascii="Verdana" w:hAnsi="Verdana"/>
          <w:sz w:val="20"/>
          <w:lang w:val="pt-BR"/>
        </w:rPr>
      </w:pPr>
    </w:p>
    <w:p w:rsidR="005D1F98" w:rsidRPr="00847B73" w:rsidRDefault="005D1F98" w:rsidP="005D1F98">
      <w:pPr>
        <w:rPr>
          <w:rFonts w:ascii="Verdana" w:hAnsi="Verdana"/>
          <w:sz w:val="20"/>
          <w:lang w:val="es-CR"/>
        </w:rPr>
      </w:pPr>
      <w:r w:rsidRPr="00CC275C">
        <w:rPr>
          <w:rFonts w:ascii="Verdana" w:hAnsi="Verdana"/>
          <w:sz w:val="20"/>
          <w:lang w:val="pt-BR"/>
        </w:rPr>
        <w:t>L. Patricio Pazmiño Freire</w:t>
      </w:r>
      <w:r w:rsidRPr="00847B73">
        <w:rPr>
          <w:rFonts w:ascii="Verdana" w:hAnsi="Verdana"/>
          <w:sz w:val="20"/>
          <w:lang w:val="es-CR"/>
        </w:rPr>
        <w:t xml:space="preserve"> </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w:t>
      </w:r>
      <w:r w:rsidRPr="00847B73">
        <w:rPr>
          <w:rFonts w:ascii="Verdana" w:hAnsi="Verdana"/>
          <w:sz w:val="20"/>
          <w:lang w:val="es-CR"/>
        </w:rPr>
        <w:t>Ricardo C. Pérez Manrique</w:t>
      </w:r>
    </w:p>
    <w:p w:rsidR="005D1F98" w:rsidRDefault="005D1F98" w:rsidP="005D1F98">
      <w:pPr>
        <w:jc w:val="both"/>
        <w:rPr>
          <w:rFonts w:ascii="Verdana" w:hAnsi="Verdana"/>
          <w:sz w:val="20"/>
          <w:lang w:val="es-CR"/>
        </w:rPr>
      </w:pPr>
    </w:p>
    <w:p w:rsidR="005D1F98" w:rsidRPr="00847B73" w:rsidRDefault="005D1F98" w:rsidP="005D1F98">
      <w:pPr>
        <w:jc w:val="both"/>
        <w:rPr>
          <w:rFonts w:ascii="Verdana" w:hAnsi="Verdana"/>
          <w:sz w:val="20"/>
          <w:lang w:val="pt-BR"/>
        </w:rPr>
      </w:pPr>
    </w:p>
    <w:p w:rsidR="005D1F98" w:rsidRPr="00847B73" w:rsidRDefault="005D1F98" w:rsidP="005D1F98">
      <w:pPr>
        <w:jc w:val="center"/>
        <w:rPr>
          <w:rFonts w:ascii="Verdana" w:hAnsi="Verdana"/>
          <w:sz w:val="20"/>
          <w:lang w:val="pt-BR"/>
        </w:rPr>
      </w:pPr>
      <w:r w:rsidRPr="00847B73">
        <w:rPr>
          <w:rFonts w:ascii="Verdana" w:hAnsi="Verdana"/>
          <w:sz w:val="20"/>
          <w:lang w:val="pt-BR"/>
        </w:rPr>
        <w:t>Pablo Saavedra Alessandri</w:t>
      </w:r>
    </w:p>
    <w:p w:rsidR="005D1F98" w:rsidRPr="00847B73" w:rsidRDefault="005D1F98" w:rsidP="005D1F98">
      <w:pPr>
        <w:jc w:val="center"/>
        <w:rPr>
          <w:rFonts w:ascii="Verdana" w:hAnsi="Verdana"/>
          <w:sz w:val="20"/>
          <w:lang w:val="pt-BR"/>
        </w:rPr>
      </w:pPr>
      <w:r w:rsidRPr="00847B73">
        <w:rPr>
          <w:rFonts w:ascii="Verdana" w:hAnsi="Verdana"/>
          <w:sz w:val="20"/>
          <w:lang w:val="pt-BR"/>
        </w:rPr>
        <w:t>Secretario</w:t>
      </w:r>
    </w:p>
    <w:p w:rsidR="005D1F98" w:rsidRPr="00847B73" w:rsidRDefault="005D1F98" w:rsidP="005D1F98">
      <w:pPr>
        <w:pStyle w:val="Textonotapie"/>
        <w:rPr>
          <w:lang w:val="pt-BR"/>
        </w:rPr>
      </w:pPr>
    </w:p>
    <w:p w:rsidR="005D1F98" w:rsidRPr="00847B73" w:rsidRDefault="005D1F98" w:rsidP="005D1F98">
      <w:pPr>
        <w:jc w:val="both"/>
        <w:rPr>
          <w:rFonts w:ascii="Verdana" w:hAnsi="Verdana"/>
          <w:sz w:val="20"/>
          <w:lang w:val="pt-BR"/>
        </w:rPr>
      </w:pPr>
      <w:r w:rsidRPr="00847B73">
        <w:rPr>
          <w:rFonts w:ascii="Verdana" w:hAnsi="Verdana"/>
          <w:sz w:val="20"/>
          <w:lang w:val="pt-BR"/>
        </w:rPr>
        <w:t>Comuníquese y ejecútese,</w:t>
      </w:r>
    </w:p>
    <w:p w:rsidR="005D1F98" w:rsidRPr="00847B73" w:rsidRDefault="005D1F98" w:rsidP="005D1F98">
      <w:pPr>
        <w:jc w:val="both"/>
        <w:rPr>
          <w:rFonts w:ascii="Verdana" w:hAnsi="Verdana"/>
          <w:sz w:val="20"/>
          <w:lang w:val="pt-BR"/>
        </w:rPr>
      </w:pPr>
    </w:p>
    <w:p w:rsidR="005D1F98" w:rsidRPr="00847B73" w:rsidRDefault="005D1F98" w:rsidP="005D1F98">
      <w:pPr>
        <w:jc w:val="both"/>
        <w:rPr>
          <w:rFonts w:ascii="Verdana" w:hAnsi="Verdana"/>
          <w:sz w:val="20"/>
          <w:lang w:val="pt-BR"/>
        </w:rPr>
      </w:pPr>
    </w:p>
    <w:p w:rsidR="005D1F98" w:rsidRPr="00847B73" w:rsidRDefault="005D1F98" w:rsidP="005D1F98">
      <w:pPr>
        <w:ind w:left="4956"/>
        <w:jc w:val="center"/>
        <w:rPr>
          <w:rFonts w:ascii="Verdana" w:hAnsi="Verdana"/>
          <w:sz w:val="20"/>
          <w:lang w:val="pt-BR"/>
        </w:rPr>
      </w:pPr>
      <w:r w:rsidRPr="00847B73">
        <w:rPr>
          <w:rFonts w:ascii="Verdana" w:hAnsi="Verdana"/>
          <w:sz w:val="20"/>
          <w:lang w:val="pt-BR"/>
        </w:rPr>
        <w:t xml:space="preserve">Eduardo Ferrer Mac-Gregor Poisot </w:t>
      </w:r>
    </w:p>
    <w:p w:rsidR="005D1F98" w:rsidRPr="00847B73" w:rsidRDefault="005D1F98" w:rsidP="005D1F98">
      <w:pPr>
        <w:ind w:left="4956"/>
        <w:jc w:val="center"/>
        <w:rPr>
          <w:rFonts w:ascii="Verdana" w:hAnsi="Verdana"/>
          <w:sz w:val="20"/>
          <w:lang w:val="pt-BR"/>
        </w:rPr>
      </w:pPr>
      <w:r w:rsidRPr="00847B73">
        <w:rPr>
          <w:rFonts w:ascii="Verdana" w:hAnsi="Verdana"/>
          <w:sz w:val="20"/>
          <w:lang w:val="pt-BR"/>
        </w:rPr>
        <w:t>Presidente</w:t>
      </w:r>
    </w:p>
    <w:p w:rsidR="005D1F98" w:rsidRPr="00847B73" w:rsidRDefault="005D1F98" w:rsidP="005D1F98">
      <w:pPr>
        <w:jc w:val="both"/>
        <w:rPr>
          <w:rFonts w:ascii="Verdana" w:hAnsi="Verdana"/>
          <w:sz w:val="20"/>
          <w:lang w:val="pt-BR"/>
        </w:rPr>
      </w:pPr>
    </w:p>
    <w:p w:rsidR="005D1F98" w:rsidRPr="00847B73" w:rsidRDefault="005D1F98" w:rsidP="005D1F98">
      <w:pPr>
        <w:jc w:val="both"/>
        <w:rPr>
          <w:rFonts w:ascii="Verdana" w:hAnsi="Verdana"/>
          <w:sz w:val="20"/>
          <w:lang w:val="es-ES"/>
        </w:rPr>
      </w:pPr>
      <w:r w:rsidRPr="00847B73">
        <w:rPr>
          <w:rFonts w:ascii="Verdana" w:hAnsi="Verdana"/>
          <w:sz w:val="20"/>
          <w:lang w:val="es-ES"/>
        </w:rPr>
        <w:t>Pablo Saavedra Alessandri</w:t>
      </w:r>
    </w:p>
    <w:p w:rsidR="005D1F98" w:rsidRPr="00847B73" w:rsidRDefault="005D1F98" w:rsidP="005D1F98">
      <w:pPr>
        <w:rPr>
          <w:rFonts w:ascii="Verdana" w:hAnsi="Verdana"/>
          <w:sz w:val="20"/>
          <w:lang w:val="es-CR"/>
        </w:rPr>
      </w:pPr>
      <w:r w:rsidRPr="00847B73">
        <w:rPr>
          <w:rFonts w:ascii="Verdana" w:hAnsi="Verdana"/>
          <w:sz w:val="20"/>
          <w:lang w:val="es-ES"/>
        </w:rPr>
        <w:tab/>
      </w:r>
      <w:r w:rsidRPr="00847B73">
        <w:rPr>
          <w:rFonts w:ascii="Verdana" w:hAnsi="Verdana"/>
          <w:sz w:val="20"/>
          <w:lang w:val="es-CR"/>
        </w:rPr>
        <w:t>Secretario</w:t>
      </w:r>
    </w:p>
    <w:p w:rsidR="005D1F98" w:rsidRPr="00C96FC0" w:rsidRDefault="005D1F98" w:rsidP="009F08CC">
      <w:pPr>
        <w:tabs>
          <w:tab w:val="left" w:pos="540"/>
        </w:tabs>
        <w:spacing w:after="0" w:line="240" w:lineRule="auto"/>
        <w:jc w:val="both"/>
        <w:rPr>
          <w:rFonts w:ascii="Verdana" w:hAnsi="Verdana"/>
          <w:sz w:val="20"/>
          <w:szCs w:val="20"/>
          <w:lang w:val="es-CR"/>
        </w:rPr>
      </w:pPr>
    </w:p>
    <w:sectPr w:rsidR="005D1F98" w:rsidRPr="00C96FC0" w:rsidSect="000C7304">
      <w:headerReference w:type="default" r:id="rId8"/>
      <w:footerReference w:type="default" r:id="rId9"/>
      <w:headerReference w:type="first" r:id="rId10"/>
      <w:pgSz w:w="12240" w:h="15840" w:code="1"/>
      <w:pgMar w:top="1440" w:right="1440" w:bottom="1440" w:left="1440" w:header="720" w:footer="720" w:gutter="0"/>
      <w:paperSrc w:first="4"/>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ED7" w:rsidRDefault="00C60ED7" w:rsidP="005A1B3D">
      <w:pPr>
        <w:spacing w:after="0" w:line="240" w:lineRule="auto"/>
      </w:pPr>
      <w:r>
        <w:separator/>
      </w:r>
    </w:p>
  </w:endnote>
  <w:endnote w:type="continuationSeparator" w:id="0">
    <w:p w:rsidR="00C60ED7" w:rsidRDefault="00C60ED7" w:rsidP="005A1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FF2" w:rsidRDefault="00EE2FF2" w:rsidP="0006620E">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ED7" w:rsidRDefault="00C60ED7" w:rsidP="005A1B3D">
      <w:pPr>
        <w:spacing w:after="0" w:line="240" w:lineRule="auto"/>
      </w:pPr>
      <w:r>
        <w:separator/>
      </w:r>
    </w:p>
  </w:footnote>
  <w:footnote w:type="continuationSeparator" w:id="0">
    <w:p w:rsidR="00C60ED7" w:rsidRDefault="00C60ED7" w:rsidP="005A1B3D">
      <w:pPr>
        <w:spacing w:after="0" w:line="240" w:lineRule="auto"/>
      </w:pPr>
      <w:r>
        <w:continuationSeparator/>
      </w:r>
    </w:p>
  </w:footnote>
  <w:footnote w:id="1">
    <w:p w:rsidR="00EE2FF2" w:rsidRPr="00E43450" w:rsidRDefault="00EE2FF2" w:rsidP="00472B42">
      <w:pPr>
        <w:pStyle w:val="Textonotapie"/>
        <w:tabs>
          <w:tab w:val="left" w:pos="540"/>
          <w:tab w:val="left" w:pos="720"/>
        </w:tabs>
        <w:jc w:val="both"/>
        <w:rPr>
          <w:b/>
          <w:color w:val="000000"/>
          <w:szCs w:val="16"/>
          <w:lang w:val="es-CR"/>
        </w:rPr>
      </w:pPr>
      <w:r w:rsidRPr="00472B42">
        <w:rPr>
          <w:rStyle w:val="Refdenotaalpie"/>
          <w:color w:val="000000"/>
          <w:szCs w:val="16"/>
        </w:rPr>
        <w:footnoteRef/>
      </w:r>
      <w:r w:rsidRPr="00472B42">
        <w:rPr>
          <w:color w:val="000000"/>
          <w:szCs w:val="16"/>
          <w:lang w:val="es-CR"/>
        </w:rPr>
        <w:t xml:space="preserve"> </w:t>
      </w:r>
      <w:r w:rsidRPr="00472B42">
        <w:rPr>
          <w:color w:val="000000"/>
          <w:szCs w:val="16"/>
          <w:lang w:val="es-CR"/>
        </w:rPr>
        <w:tab/>
      </w:r>
      <w:r w:rsidRPr="00472B42">
        <w:rPr>
          <w:i/>
          <w:color w:val="000000"/>
          <w:szCs w:val="16"/>
          <w:lang w:val="es-CR"/>
        </w:rPr>
        <w:t xml:space="preserve">Cfr. </w:t>
      </w:r>
      <w:r w:rsidRPr="00472B42">
        <w:rPr>
          <w:bCs/>
          <w:i/>
          <w:color w:val="000000"/>
          <w:szCs w:val="16"/>
          <w:lang w:val="es-CR"/>
        </w:rPr>
        <w:t>Caso Cantoral Huamaní y García Santa Cruz Vs. Perú.</w:t>
      </w:r>
      <w:r w:rsidRPr="00472B42">
        <w:rPr>
          <w:bCs/>
          <w:color w:val="000000"/>
          <w:szCs w:val="16"/>
          <w:lang w:val="es-CR"/>
        </w:rPr>
        <w:t xml:space="preserve"> </w:t>
      </w:r>
      <w:r w:rsidRPr="0033501D">
        <w:rPr>
          <w:bCs/>
          <w:i/>
          <w:color w:val="000000"/>
          <w:szCs w:val="16"/>
          <w:lang w:val="es-CR"/>
        </w:rPr>
        <w:t>Excepción Preliminar, Fondo, Reparaciones y Costas</w:t>
      </w:r>
      <w:r w:rsidRPr="00E43450">
        <w:rPr>
          <w:bCs/>
          <w:color w:val="000000"/>
          <w:szCs w:val="16"/>
          <w:lang w:val="es-CR"/>
        </w:rPr>
        <w:t>. Sentencia de 10 de julio de 2007. Serie C No. 167.</w:t>
      </w:r>
      <w:r w:rsidRPr="00E43450">
        <w:rPr>
          <w:b/>
          <w:bCs/>
          <w:i/>
          <w:color w:val="000000"/>
          <w:szCs w:val="16"/>
          <w:lang w:val="es-CR"/>
        </w:rPr>
        <w:t xml:space="preserve"> </w:t>
      </w:r>
      <w:r w:rsidRPr="00E43450">
        <w:rPr>
          <w:color w:val="000000"/>
          <w:szCs w:val="16"/>
          <w:lang w:val="es-CR"/>
        </w:rPr>
        <w:t>El texto íntegro de la Sentencia se encuentra disponible en:</w:t>
      </w:r>
      <w:r w:rsidRPr="00E43450">
        <w:rPr>
          <w:szCs w:val="16"/>
          <w:lang w:val="es-CR"/>
        </w:rPr>
        <w:t xml:space="preserve"> </w:t>
      </w:r>
      <w:hyperlink r:id="rId1" w:history="1">
        <w:r w:rsidRPr="00E43450">
          <w:rPr>
            <w:rStyle w:val="Hipervnculo"/>
            <w:szCs w:val="16"/>
            <w:lang w:val="es-CR"/>
          </w:rPr>
          <w:t>http://www.corteidh.or.cr/docs/casos/articulos/seriec_167_esp.pdf</w:t>
        </w:r>
      </w:hyperlink>
      <w:r w:rsidRPr="00E43450">
        <w:rPr>
          <w:color w:val="000000"/>
          <w:szCs w:val="16"/>
          <w:lang w:val="es-CR"/>
        </w:rPr>
        <w:t>. La Sentencia fue notificada al Estado el 3 de agosto de 2007.</w:t>
      </w:r>
    </w:p>
  </w:footnote>
  <w:footnote w:id="2">
    <w:p w:rsidR="00EE2FF2" w:rsidRPr="0033501D" w:rsidRDefault="00EE2FF2" w:rsidP="00E43450">
      <w:pPr>
        <w:pStyle w:val="Textonotapie"/>
        <w:tabs>
          <w:tab w:val="left" w:pos="540"/>
          <w:tab w:val="left" w:pos="720"/>
        </w:tabs>
        <w:jc w:val="both"/>
        <w:rPr>
          <w:b/>
          <w:szCs w:val="16"/>
          <w:lang w:val="es-CR"/>
        </w:rPr>
      </w:pPr>
      <w:r w:rsidRPr="00E43450">
        <w:rPr>
          <w:rStyle w:val="Refdenotaalpie"/>
          <w:szCs w:val="16"/>
        </w:rPr>
        <w:footnoteRef/>
      </w:r>
      <w:r w:rsidRPr="00E43450">
        <w:rPr>
          <w:szCs w:val="16"/>
          <w:lang w:val="es-CR"/>
        </w:rPr>
        <w:t xml:space="preserve"> </w:t>
      </w:r>
      <w:r w:rsidRPr="00E43450">
        <w:rPr>
          <w:szCs w:val="16"/>
          <w:lang w:val="es-ES_tradnl"/>
        </w:rPr>
        <w:tab/>
        <w:t xml:space="preserve">En perjuicio de: i) la esposa, cuatro hijos, la madre, el padre y cinco hermanos del señor </w:t>
      </w:r>
      <w:r w:rsidRPr="00E43450">
        <w:rPr>
          <w:szCs w:val="16"/>
          <w:lang w:val="es-CR"/>
        </w:rPr>
        <w:t xml:space="preserve">Saúl Cantoral Huamaní, y ii) </w:t>
      </w:r>
      <w:r w:rsidRPr="00431F2D">
        <w:rPr>
          <w:szCs w:val="16"/>
          <w:lang w:val="es-ES_tradnl"/>
        </w:rPr>
        <w:t xml:space="preserve">la madre, el padre y seis hermanos de la señora </w:t>
      </w:r>
      <w:r w:rsidRPr="00431F2D">
        <w:rPr>
          <w:szCs w:val="16"/>
          <w:lang w:val="es-CR"/>
        </w:rPr>
        <w:t>Consuelo García Santa Cruz.</w:t>
      </w:r>
    </w:p>
  </w:footnote>
  <w:footnote w:id="3">
    <w:p w:rsidR="00EE2FF2" w:rsidRPr="00E001E4" w:rsidRDefault="00EE2FF2" w:rsidP="00E43450">
      <w:pPr>
        <w:pStyle w:val="Textonotapie"/>
        <w:tabs>
          <w:tab w:val="left" w:pos="426"/>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color w:val="000000"/>
          <w:szCs w:val="16"/>
          <w:lang w:val="es-CR"/>
        </w:rPr>
        <w:t xml:space="preserve">Cfr. </w:t>
      </w:r>
      <w:r w:rsidRPr="00E43450">
        <w:rPr>
          <w:i/>
          <w:szCs w:val="16"/>
          <w:lang w:val="es-CR"/>
        </w:rPr>
        <w:t>Caso Cantoral Huamaní y García Santa Cruz V</w:t>
      </w:r>
      <w:r w:rsidRPr="00431F2D">
        <w:rPr>
          <w:i/>
          <w:szCs w:val="16"/>
          <w:lang w:val="es-CR"/>
        </w:rPr>
        <w:t>s. Perú. Interpretación de la Sentencia de Excepción Prelimin</w:t>
      </w:r>
      <w:r w:rsidRPr="0033501D">
        <w:rPr>
          <w:i/>
          <w:szCs w:val="16"/>
          <w:lang w:val="es-CR"/>
        </w:rPr>
        <w:t>ar, Fondo, Reparaciones y Costas.</w:t>
      </w:r>
      <w:r w:rsidRPr="0033501D">
        <w:rPr>
          <w:szCs w:val="16"/>
          <w:lang w:val="es-CR"/>
        </w:rPr>
        <w:t xml:space="preserve"> Sentencia de 28 de enero de 2008</w:t>
      </w:r>
      <w:r w:rsidRPr="0033501D">
        <w:rPr>
          <w:rStyle w:val="Textoennegrita"/>
          <w:b w:val="0"/>
          <w:i/>
          <w:color w:val="000000"/>
          <w:szCs w:val="16"/>
          <w:lang w:val="es-CR"/>
        </w:rPr>
        <w:t xml:space="preserve">, </w:t>
      </w:r>
      <w:r w:rsidRPr="00E001E4">
        <w:rPr>
          <w:rStyle w:val="Textoennegrita"/>
          <w:b w:val="0"/>
          <w:color w:val="000000"/>
          <w:szCs w:val="16"/>
          <w:lang w:val="es-CR"/>
        </w:rPr>
        <w:t xml:space="preserve">disponible en: </w:t>
      </w:r>
      <w:hyperlink r:id="rId2" w:history="1">
        <w:r w:rsidRPr="00E001E4">
          <w:rPr>
            <w:rStyle w:val="Hipervnculo"/>
            <w:szCs w:val="16"/>
            <w:lang w:val="es-CR"/>
          </w:rPr>
          <w:t>http://www.corteidh.or.cr/docs/casos/articulos/seriec_176_esp.pdf</w:t>
        </w:r>
      </w:hyperlink>
      <w:r w:rsidRPr="00E001E4">
        <w:rPr>
          <w:rStyle w:val="Textoennegrita"/>
          <w:b w:val="0"/>
          <w:color w:val="000000"/>
          <w:szCs w:val="16"/>
          <w:lang w:val="es-CR"/>
        </w:rPr>
        <w:t xml:space="preserve"> .</w:t>
      </w:r>
    </w:p>
  </w:footnote>
  <w:footnote w:id="4">
    <w:p w:rsidR="00EE2FF2" w:rsidRPr="00E43450" w:rsidRDefault="00EE2FF2" w:rsidP="00E43450">
      <w:pPr>
        <w:pStyle w:val="Textonotapie"/>
        <w:tabs>
          <w:tab w:val="left" w:pos="540"/>
          <w:tab w:val="left" w:pos="720"/>
        </w:tabs>
        <w:jc w:val="both"/>
        <w:rPr>
          <w:szCs w:val="16"/>
          <w:lang w:val="es-CR"/>
        </w:rPr>
      </w:pPr>
      <w:r w:rsidRPr="00E43450">
        <w:rPr>
          <w:rStyle w:val="Refdenotaalpie"/>
          <w:szCs w:val="16"/>
        </w:rPr>
        <w:footnoteRef/>
      </w:r>
      <w:r w:rsidRPr="00E43450">
        <w:rPr>
          <w:rStyle w:val="Refdenotaalpie"/>
          <w:szCs w:val="16"/>
          <w:lang w:val="es-CR"/>
        </w:rPr>
        <w:t xml:space="preserve"> </w:t>
      </w:r>
      <w:r w:rsidRPr="00E43450">
        <w:rPr>
          <w:szCs w:val="16"/>
          <w:lang w:val="es-CR"/>
        </w:rPr>
        <w:tab/>
        <w:t xml:space="preserve">Dichas Resoluciones se encuentran disponibles en los siguientes enlaces: </w:t>
      </w:r>
      <w:hyperlink r:id="rId3" w:history="1">
        <w:r w:rsidRPr="00E43450">
          <w:rPr>
            <w:rStyle w:val="Hipervnculo"/>
            <w:szCs w:val="16"/>
            <w:lang w:val="es-CR"/>
          </w:rPr>
          <w:t>http://www.corteidh.or.cr/docs/supervisiones/cantoral_28_04_09.pdf</w:t>
        </w:r>
      </w:hyperlink>
      <w:r w:rsidRPr="00E43450">
        <w:rPr>
          <w:rStyle w:val="Textoennegrita"/>
          <w:b w:val="0"/>
          <w:color w:val="000000"/>
          <w:szCs w:val="16"/>
          <w:lang w:val="es-CR"/>
        </w:rPr>
        <w:t xml:space="preserve"> </w:t>
      </w:r>
      <w:hyperlink r:id="rId4" w:history="1">
        <w:r w:rsidRPr="00E43450">
          <w:rPr>
            <w:rStyle w:val="Hipervnculo"/>
            <w:szCs w:val="16"/>
            <w:lang w:val="es-CR"/>
          </w:rPr>
          <w:t>http://www.corteidh.or.cr/docs/supervisiones/cantoral_21_09_09.pd</w:t>
        </w:r>
      </w:hyperlink>
      <w:r w:rsidRPr="00E43450">
        <w:rPr>
          <w:rStyle w:val="Textoennegrita"/>
          <w:b w:val="0"/>
          <w:color w:val="000000"/>
          <w:szCs w:val="16"/>
          <w:lang w:val="es-CR"/>
        </w:rPr>
        <w:t xml:space="preserve"> </w:t>
      </w:r>
      <w:hyperlink r:id="rId5" w:history="1">
        <w:r w:rsidRPr="00E43450">
          <w:rPr>
            <w:rStyle w:val="Hipervnculo"/>
            <w:szCs w:val="16"/>
            <w:lang w:val="es-CR"/>
          </w:rPr>
          <w:t>http://www.corteidh.or.cr/docs/supervisiones/cantoral_22_02_11.pdf</w:t>
        </w:r>
      </w:hyperlink>
      <w:r w:rsidRPr="00E43450">
        <w:rPr>
          <w:rStyle w:val="Textoennegrita"/>
          <w:b w:val="0"/>
          <w:color w:val="000000"/>
          <w:szCs w:val="16"/>
          <w:lang w:val="es-CR"/>
        </w:rPr>
        <w:t xml:space="preserve"> </w:t>
      </w:r>
    </w:p>
  </w:footnote>
  <w:footnote w:id="5">
    <w:p w:rsidR="00EE2FF2" w:rsidRPr="00E43450" w:rsidRDefault="00EE2FF2" w:rsidP="00E43450">
      <w:pPr>
        <w:pStyle w:val="Textonotapie"/>
        <w:tabs>
          <w:tab w:val="left" w:pos="426"/>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t>Las víctimas del presente caso son representadas por la Asociación Pro Derechos Humanos (APRODEH).</w:t>
      </w:r>
    </w:p>
  </w:footnote>
  <w:footnote w:id="6">
    <w:p w:rsidR="00EE2FF2" w:rsidRPr="00431F2D" w:rsidRDefault="00EE2FF2" w:rsidP="00E43450">
      <w:pPr>
        <w:pStyle w:val="Textonotapie"/>
        <w:tabs>
          <w:tab w:val="left" w:pos="426"/>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t xml:space="preserve">Facultad que además </w:t>
      </w:r>
      <w:r w:rsidRPr="00E43450">
        <w:rPr>
          <w:szCs w:val="16"/>
          <w:lang w:val="es-ES"/>
        </w:rPr>
        <w:t xml:space="preserve">se desprende de lo dispuesto en los artículos 33, 62.1, 62.3 y 65 de la Convención Americana y </w:t>
      </w:r>
      <w:r w:rsidRPr="00E43450">
        <w:rPr>
          <w:szCs w:val="16"/>
          <w:lang w:val="es-CR"/>
        </w:rPr>
        <w:t xml:space="preserve">30 de su Estatuto y se encuentra regulada en </w:t>
      </w:r>
      <w:r w:rsidRPr="00431F2D">
        <w:rPr>
          <w:szCs w:val="16"/>
          <w:lang w:val="es-CR"/>
        </w:rPr>
        <w:t>el artículo 69 de su Reglamento.</w:t>
      </w:r>
    </w:p>
  </w:footnote>
  <w:footnote w:id="7">
    <w:p w:rsidR="00EE2FF2" w:rsidRPr="0033501D" w:rsidRDefault="00EE2FF2" w:rsidP="00E43450">
      <w:pPr>
        <w:pStyle w:val="Textonotapie"/>
        <w:tabs>
          <w:tab w:val="left" w:pos="426"/>
          <w:tab w:val="left" w:pos="540"/>
          <w:tab w:val="left" w:pos="720"/>
        </w:tabs>
        <w:jc w:val="both"/>
        <w:rPr>
          <w:i/>
          <w:szCs w:val="16"/>
          <w:lang w:val="es-CR"/>
        </w:rPr>
      </w:pPr>
      <w:r w:rsidRPr="00E43450">
        <w:rPr>
          <w:rStyle w:val="Refdenotaalpie"/>
          <w:szCs w:val="16"/>
        </w:rPr>
        <w:footnoteRef/>
      </w:r>
      <w:r w:rsidRPr="00E43450">
        <w:rPr>
          <w:szCs w:val="16"/>
          <w:lang w:val="es-CR"/>
        </w:rPr>
        <w:t xml:space="preserve"> </w:t>
      </w:r>
      <w:r w:rsidRPr="00E43450">
        <w:rPr>
          <w:szCs w:val="16"/>
          <w:lang w:val="es-CR"/>
        </w:rPr>
        <w:tab/>
        <w:t xml:space="preserve">En las Resoluciones de supervisión de cumplimiento de 21 de septiembre de 2009 (Considerandos 32 a 38 y puntos declarativos 1, 2.f y 2.g) y 22 de febrero de 2011 (Considerandos </w:t>
      </w:r>
      <w:r w:rsidRPr="00431F2D">
        <w:rPr>
          <w:szCs w:val="16"/>
          <w:lang w:val="es-CR"/>
        </w:rPr>
        <w:t>20 a 25 y puntos declarativos 1, 2.f y 2.g)</w:t>
      </w:r>
      <w:r w:rsidR="003B5A19">
        <w:rPr>
          <w:szCs w:val="16"/>
          <w:lang w:val="es-CR"/>
        </w:rPr>
        <w:t>,</w:t>
      </w:r>
      <w:r w:rsidRPr="00431F2D">
        <w:rPr>
          <w:szCs w:val="16"/>
          <w:lang w:val="es-CR"/>
        </w:rPr>
        <w:t xml:space="preserve"> la Corte constató que el Estado había realizado algunos de los pagos indemnizatorios así como el reintegro de costas y gastos. No obstante dichos avances, el Tribunal indicó en la referida Resolución de 2011 que el Perú debía “adopt[ar] las medidas neces</w:t>
      </w:r>
      <w:r w:rsidRPr="0033501D">
        <w:rPr>
          <w:szCs w:val="16"/>
          <w:lang w:val="es-CR"/>
        </w:rPr>
        <w:t>arias para garantizar el pago oportuno de los montos adeudados y de los intereses [moratorios] debidos”, así como la restitución de la cantidad de US</w:t>
      </w:r>
      <w:r w:rsidR="00273357" w:rsidRPr="0033501D">
        <w:rPr>
          <w:szCs w:val="16"/>
          <w:lang w:val="es-CR"/>
        </w:rPr>
        <w:t>D</w:t>
      </w:r>
      <w:r w:rsidRPr="0033501D">
        <w:rPr>
          <w:szCs w:val="16"/>
          <w:lang w:val="es-CR"/>
        </w:rPr>
        <w:t xml:space="preserve">$ 7.500,00 (siete mil quinientos dólares de los Estados Unidos de América) a Pelagia Mélida Contreras Montoya. </w:t>
      </w:r>
    </w:p>
  </w:footnote>
  <w:footnote w:id="8">
    <w:p w:rsidR="00EE2FF2" w:rsidRPr="0033501D" w:rsidRDefault="00EE2FF2" w:rsidP="00431F2D">
      <w:pPr>
        <w:pStyle w:val="Textonotapie"/>
        <w:tabs>
          <w:tab w:val="left" w:pos="426"/>
          <w:tab w:val="left" w:pos="540"/>
          <w:tab w:val="left" w:pos="720"/>
        </w:tabs>
        <w:ind w:right="4"/>
        <w:jc w:val="both"/>
        <w:rPr>
          <w:b/>
          <w:color w:val="000000"/>
          <w:szCs w:val="16"/>
          <w:lang w:val="es-CR"/>
        </w:rPr>
      </w:pPr>
      <w:r w:rsidRPr="00E43450">
        <w:rPr>
          <w:rStyle w:val="Refdenotaalpie"/>
          <w:szCs w:val="16"/>
        </w:rPr>
        <w:footnoteRef/>
      </w:r>
      <w:r w:rsidRPr="00E43450">
        <w:rPr>
          <w:i/>
          <w:color w:val="000000"/>
          <w:szCs w:val="16"/>
          <w:lang w:val="es-AR"/>
        </w:rPr>
        <w:tab/>
        <w:t xml:space="preserve">Cfr. Caso Cinco Pensionistas Vs. Perú. Supervisión de cumplimiento de Sentencia. </w:t>
      </w:r>
      <w:r w:rsidRPr="00E43450">
        <w:rPr>
          <w:color w:val="000000"/>
          <w:szCs w:val="16"/>
          <w:lang w:val="es-AR"/>
        </w:rPr>
        <w:t xml:space="preserve">Resolución de la Corte </w:t>
      </w:r>
      <w:r w:rsidRPr="00431F2D">
        <w:rPr>
          <w:color w:val="000000"/>
          <w:szCs w:val="16"/>
          <w:lang w:val="es-AR"/>
        </w:rPr>
        <w:t xml:space="preserve">Interamericana de Derechos Humanos de 17 de noviembre de 2004, Considerando 5, y </w:t>
      </w:r>
      <w:r w:rsidRPr="00431F2D">
        <w:rPr>
          <w:rStyle w:val="Textoennegrita"/>
          <w:b w:val="0"/>
          <w:color w:val="000000"/>
          <w:szCs w:val="16"/>
          <w:shd w:val="clear" w:color="auto" w:fill="FFFFFF"/>
          <w:lang w:val="es-CR"/>
        </w:rPr>
        <w:t>C</w:t>
      </w:r>
      <w:r w:rsidRPr="00431F2D">
        <w:rPr>
          <w:rStyle w:val="Textoennegrita"/>
          <w:b w:val="0"/>
          <w:i/>
          <w:color w:val="000000"/>
          <w:szCs w:val="16"/>
          <w:shd w:val="clear" w:color="auto" w:fill="FFFFFF"/>
          <w:lang w:val="es-CR"/>
        </w:rPr>
        <w:t xml:space="preserve">aso Molina Theissen Vs. Guatemala. Supervisión de </w:t>
      </w:r>
      <w:r w:rsidRPr="0033501D">
        <w:rPr>
          <w:rStyle w:val="Textoennegrita"/>
          <w:b w:val="0"/>
          <w:i/>
          <w:color w:val="000000"/>
          <w:szCs w:val="16"/>
          <w:shd w:val="clear" w:color="auto" w:fill="FFFFFF"/>
          <w:lang w:val="es-CR"/>
        </w:rPr>
        <w:t>Cumplimiento de Sentencia</w:t>
      </w:r>
      <w:r w:rsidRPr="0033501D">
        <w:rPr>
          <w:rStyle w:val="Textoennegrita"/>
          <w:b w:val="0"/>
          <w:color w:val="000000"/>
          <w:szCs w:val="16"/>
          <w:shd w:val="clear" w:color="auto" w:fill="FFFFFF"/>
          <w:lang w:val="es-CR"/>
        </w:rPr>
        <w:t>. Resolución de la Corte Interamericana de Derechos Humanos de 14 de marzo de 2019</w:t>
      </w:r>
      <w:r w:rsidRPr="0033501D">
        <w:rPr>
          <w:color w:val="000000"/>
          <w:szCs w:val="16"/>
          <w:lang w:val="es-AR"/>
        </w:rPr>
        <w:t>, Considerando 2</w:t>
      </w:r>
      <w:r w:rsidRPr="0033501D">
        <w:rPr>
          <w:rStyle w:val="Textoennegrita"/>
          <w:b w:val="0"/>
          <w:color w:val="000000"/>
          <w:szCs w:val="16"/>
          <w:shd w:val="clear" w:color="auto" w:fill="FFFFFF"/>
          <w:lang w:val="es-CR"/>
        </w:rPr>
        <w:t>.</w:t>
      </w:r>
    </w:p>
  </w:footnote>
  <w:footnote w:id="9">
    <w:p w:rsidR="00EE2FF2" w:rsidRPr="0033501D" w:rsidRDefault="00EE2FF2" w:rsidP="00431F2D">
      <w:pPr>
        <w:pStyle w:val="Textonotapie"/>
        <w:tabs>
          <w:tab w:val="left" w:pos="426"/>
          <w:tab w:val="left" w:pos="540"/>
          <w:tab w:val="left" w:pos="720"/>
        </w:tabs>
        <w:ind w:right="4"/>
        <w:jc w:val="both"/>
        <w:rPr>
          <w:b/>
          <w:color w:val="000000"/>
          <w:szCs w:val="16"/>
          <w:lang w:val="es-CR"/>
        </w:rPr>
      </w:pPr>
      <w:r w:rsidRPr="00E43450">
        <w:rPr>
          <w:rStyle w:val="Refdenotaalpie"/>
          <w:szCs w:val="16"/>
        </w:rPr>
        <w:footnoteRef/>
      </w:r>
      <w:r w:rsidRPr="00E43450">
        <w:rPr>
          <w:szCs w:val="16"/>
          <w:lang w:val="es-CR"/>
        </w:rPr>
        <w:tab/>
      </w:r>
      <w:r w:rsidRPr="00E43450">
        <w:rPr>
          <w:i/>
          <w:szCs w:val="16"/>
          <w:lang w:val="es-CR"/>
        </w:rPr>
        <w:t>Cfr. Caso Ivcher Bronstein Vs. Perú. Competencia</w:t>
      </w:r>
      <w:r w:rsidRPr="00E43450">
        <w:rPr>
          <w:szCs w:val="16"/>
          <w:lang w:val="es-CR"/>
        </w:rPr>
        <w:t>. Sentencia de la Corte Interamericana de Derechos Humanos de 24 de septiembre de</w:t>
      </w:r>
      <w:r w:rsidRPr="00431F2D">
        <w:rPr>
          <w:szCs w:val="16"/>
          <w:lang w:val="es-CR"/>
        </w:rPr>
        <w:t xml:space="preserve"> 1999. Serie C No. 54, párr. 37, y</w:t>
      </w:r>
      <w:r w:rsidRPr="00431F2D">
        <w:rPr>
          <w:i/>
          <w:color w:val="000000"/>
          <w:szCs w:val="16"/>
          <w:lang w:val="es-AR"/>
        </w:rPr>
        <w:t xml:space="preserve"> </w:t>
      </w:r>
      <w:r w:rsidRPr="00431F2D">
        <w:rPr>
          <w:rStyle w:val="Textoennegrita"/>
          <w:b w:val="0"/>
          <w:color w:val="000000"/>
          <w:szCs w:val="16"/>
          <w:shd w:val="clear" w:color="auto" w:fill="FFFFFF"/>
          <w:lang w:val="es-CR"/>
        </w:rPr>
        <w:t>C</w:t>
      </w:r>
      <w:r w:rsidRPr="00431F2D">
        <w:rPr>
          <w:rStyle w:val="Textoennegrita"/>
          <w:b w:val="0"/>
          <w:i/>
          <w:color w:val="000000"/>
          <w:szCs w:val="16"/>
          <w:shd w:val="clear" w:color="auto" w:fill="FFFFFF"/>
          <w:lang w:val="es-CR"/>
        </w:rPr>
        <w:t>aso Molina Theissen Vs. Guatemala</w:t>
      </w:r>
      <w:r w:rsidRPr="0033501D">
        <w:rPr>
          <w:i/>
          <w:color w:val="000000"/>
          <w:szCs w:val="16"/>
          <w:lang w:val="es-AR"/>
        </w:rPr>
        <w:t xml:space="preserve">, supra </w:t>
      </w:r>
      <w:r w:rsidRPr="0033501D">
        <w:rPr>
          <w:color w:val="000000"/>
          <w:szCs w:val="16"/>
          <w:lang w:val="es-AR"/>
        </w:rPr>
        <w:t>nota 8, Considerando 2</w:t>
      </w:r>
      <w:r w:rsidRPr="0033501D">
        <w:rPr>
          <w:rStyle w:val="Textoennegrita"/>
          <w:b w:val="0"/>
          <w:color w:val="000000"/>
          <w:szCs w:val="16"/>
          <w:shd w:val="clear" w:color="auto" w:fill="FFFFFF"/>
          <w:lang w:val="es-CR"/>
        </w:rPr>
        <w:t xml:space="preserve">. </w:t>
      </w:r>
    </w:p>
  </w:footnote>
  <w:footnote w:id="10">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33501D">
        <w:rPr>
          <w:i/>
          <w:szCs w:val="16"/>
          <w:lang w:val="es-CR"/>
        </w:rPr>
        <w:t xml:space="preserve">Cfr. </w:t>
      </w:r>
      <w:r w:rsidR="00E95FC8" w:rsidRPr="00E95FC8">
        <w:rPr>
          <w:i/>
          <w:szCs w:val="16"/>
          <w:lang w:val="es-CR"/>
        </w:rPr>
        <w:t xml:space="preserve">Caso Cantoral Huamaní y García Santa Cruz Vs. Perú. Supervisión de Cumplimiento de Sentencia. </w:t>
      </w:r>
      <w:r w:rsidR="00E95FC8" w:rsidRPr="00E95FC8">
        <w:rPr>
          <w:szCs w:val="16"/>
          <w:lang w:val="es-CR"/>
        </w:rPr>
        <w:t>Resolución de la Corte Interamericana de Derechos Humanos de 28 de abril de 2009</w:t>
      </w:r>
      <w:r w:rsidR="00E95FC8">
        <w:rPr>
          <w:szCs w:val="16"/>
          <w:lang w:val="es-CR"/>
        </w:rPr>
        <w:t>,</w:t>
      </w:r>
      <w:r w:rsidRPr="00E43450">
        <w:rPr>
          <w:szCs w:val="16"/>
          <w:lang w:val="es-CR"/>
        </w:rPr>
        <w:t xml:space="preserve"> Considerando 11.</w:t>
      </w:r>
    </w:p>
  </w:footnote>
  <w:footnote w:id="11">
    <w:p w:rsidR="00EE2FF2" w:rsidRPr="00431F2D"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Cfr.</w:t>
      </w:r>
      <w:r w:rsidR="00E1222E" w:rsidRPr="00E1222E">
        <w:rPr>
          <w:lang w:val="es-CR"/>
        </w:rPr>
        <w:t xml:space="preserve"> </w:t>
      </w:r>
      <w:r w:rsidR="00E1222E" w:rsidRPr="00E1222E">
        <w:rPr>
          <w:i/>
          <w:szCs w:val="16"/>
          <w:lang w:val="es-CR"/>
        </w:rPr>
        <w:t xml:space="preserve">Caso Cantoral Huamaní y García Santa Cruz Vs. Perú. Supervisión de Cumplimiento de Sentencia. </w:t>
      </w:r>
      <w:r w:rsidR="00E1222E" w:rsidRPr="00E1222E">
        <w:rPr>
          <w:szCs w:val="16"/>
          <w:lang w:val="es-CR"/>
        </w:rPr>
        <w:t>Resolución de la Corte Interamericana de Derechos Humanos de 21 de sep</w:t>
      </w:r>
      <w:r w:rsidR="00E1222E">
        <w:rPr>
          <w:szCs w:val="16"/>
          <w:lang w:val="es-CR"/>
        </w:rPr>
        <w:t>tiembre de 2009</w:t>
      </w:r>
      <w:r w:rsidRPr="00E1222E">
        <w:rPr>
          <w:szCs w:val="16"/>
          <w:lang w:val="es-CR"/>
        </w:rPr>
        <w:t>,</w:t>
      </w:r>
      <w:r w:rsidRPr="00E43450">
        <w:rPr>
          <w:szCs w:val="16"/>
          <w:lang w:val="es-CR"/>
        </w:rPr>
        <w:t xml:space="preserve"> Considerando 11.</w:t>
      </w:r>
    </w:p>
  </w:footnote>
  <w:footnote w:id="12">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00E1222E" w:rsidRPr="00E1222E">
        <w:rPr>
          <w:i/>
          <w:szCs w:val="16"/>
          <w:lang w:val="es-CR"/>
        </w:rPr>
        <w:t xml:space="preserve">Caso Cantoral Huamaní y García Santa Cruz Vs. Perú. Supervisión de Cumplimiento de Sentencia. </w:t>
      </w:r>
      <w:r w:rsidR="00E1222E" w:rsidRPr="00E1222E">
        <w:rPr>
          <w:szCs w:val="16"/>
          <w:lang w:val="es-CR"/>
        </w:rPr>
        <w:t>Resolución de la Corte Interamericana de Derechos Humanos de 22 de febrero de 2011,</w:t>
      </w:r>
      <w:r w:rsidR="00E1222E">
        <w:rPr>
          <w:i/>
          <w:szCs w:val="16"/>
          <w:lang w:val="es-CR"/>
        </w:rPr>
        <w:t xml:space="preserve"> </w:t>
      </w:r>
      <w:r w:rsidRPr="00E43450">
        <w:rPr>
          <w:szCs w:val="16"/>
          <w:lang w:val="es-CR"/>
        </w:rPr>
        <w:t>Considerandos 8 y 12.</w:t>
      </w:r>
    </w:p>
  </w:footnote>
  <w:footnote w:id="13">
    <w:p w:rsidR="00EE2FF2" w:rsidRPr="00431F2D"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Cfr. Caso Cantoral Huamaní y García Santa Cruz Vs. Perú, supra</w:t>
      </w:r>
      <w:r w:rsidRPr="00E43450">
        <w:rPr>
          <w:szCs w:val="16"/>
          <w:lang w:val="es-CR"/>
        </w:rPr>
        <w:t xml:space="preserve"> nota </w:t>
      </w:r>
      <w:r w:rsidR="00096557">
        <w:rPr>
          <w:szCs w:val="16"/>
          <w:lang w:val="es-CR"/>
        </w:rPr>
        <w:t>11</w:t>
      </w:r>
      <w:r w:rsidRPr="00E43450">
        <w:rPr>
          <w:szCs w:val="16"/>
          <w:lang w:val="es-CR"/>
        </w:rPr>
        <w:t>, Considerando</w:t>
      </w:r>
      <w:r w:rsidRPr="00431F2D">
        <w:rPr>
          <w:szCs w:val="16"/>
          <w:lang w:val="es-CR"/>
        </w:rPr>
        <w:t xml:space="preserve"> 12.</w:t>
      </w:r>
    </w:p>
  </w:footnote>
  <w:footnote w:id="14">
    <w:p w:rsidR="00EE2FF2" w:rsidRPr="00431F2D"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ab/>
      </w:r>
      <w:r w:rsidRPr="00E43450">
        <w:rPr>
          <w:i/>
          <w:szCs w:val="16"/>
          <w:lang w:val="es-CR"/>
        </w:rPr>
        <w:t>Cfr. Caso Cantoral Huamaní y García Santa Cruz Vs. Perú, supra</w:t>
      </w:r>
      <w:r w:rsidRPr="00E43450">
        <w:rPr>
          <w:szCs w:val="16"/>
          <w:lang w:val="es-CR"/>
        </w:rPr>
        <w:t xml:space="preserve"> nota </w:t>
      </w:r>
      <w:r w:rsidR="00096557">
        <w:rPr>
          <w:szCs w:val="16"/>
          <w:lang w:val="es-CR"/>
        </w:rPr>
        <w:t>12</w:t>
      </w:r>
      <w:r w:rsidRPr="00E43450">
        <w:rPr>
          <w:szCs w:val="16"/>
          <w:lang w:val="es-CR"/>
        </w:rPr>
        <w:t>, Considerandos 9 y 12.</w:t>
      </w:r>
    </w:p>
  </w:footnote>
  <w:footnote w:id="15">
    <w:p w:rsidR="00EE2FF2" w:rsidRPr="00431F2D"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Informes estatales de 9 de agosto de 2011, 16 de octubre de 2012, 14 de septiembre de 2015 y 15 de diciembre de 2016, así como escritos de observa</w:t>
      </w:r>
      <w:r w:rsidRPr="00431F2D">
        <w:rPr>
          <w:szCs w:val="16"/>
          <w:lang w:val="es-CR"/>
        </w:rPr>
        <w:t>ciones de los representantes de las víctimas de 17 de noviembre de 2011, 16 de noviembre de 2012 y 20 de enero de 2017.</w:t>
      </w:r>
    </w:p>
  </w:footnote>
  <w:footnote w:id="16">
    <w:p w:rsidR="00EE2FF2" w:rsidRPr="0033501D" w:rsidRDefault="00EE2FF2" w:rsidP="0033501D">
      <w:pPr>
        <w:pStyle w:val="Textonotapie"/>
        <w:tabs>
          <w:tab w:val="left" w:pos="540"/>
          <w:tab w:val="left" w:pos="720"/>
        </w:tabs>
        <w:jc w:val="both"/>
        <w:rPr>
          <w:b/>
          <w:szCs w:val="16"/>
          <w:lang w:val="es-CR"/>
        </w:rPr>
      </w:pPr>
      <w:r w:rsidRPr="00E43450">
        <w:rPr>
          <w:rStyle w:val="Refdenotaalpie"/>
          <w:szCs w:val="16"/>
        </w:rPr>
        <w:footnoteRef/>
      </w:r>
      <w:r w:rsidRPr="00E43450">
        <w:rPr>
          <w:szCs w:val="16"/>
          <w:lang w:val="es-CR"/>
        </w:rPr>
        <w:t xml:space="preserve"> </w:t>
      </w:r>
      <w:r w:rsidRPr="00E43450">
        <w:rPr>
          <w:szCs w:val="16"/>
          <w:lang w:val="es-CR"/>
        </w:rPr>
        <w:tab/>
        <w:t>Dicho proceso penal también incluye acusaciones contra otros ocho imputados por los delitos de “secuestro y homicidio calificado</w:t>
      </w:r>
      <w:r w:rsidRPr="00431F2D">
        <w:rPr>
          <w:szCs w:val="16"/>
          <w:lang w:val="es-CR"/>
        </w:rPr>
        <w:t xml:space="preserve"> (con gran crueldad)” en perjuicio de otras tres personas. </w:t>
      </w:r>
      <w:r w:rsidRPr="00431F2D">
        <w:rPr>
          <w:i/>
          <w:szCs w:val="16"/>
          <w:lang w:val="es-CR"/>
        </w:rPr>
        <w:t xml:space="preserve">Cfr. </w:t>
      </w:r>
      <w:r w:rsidRPr="0033501D">
        <w:rPr>
          <w:szCs w:val="16"/>
          <w:lang w:val="es-CR"/>
        </w:rPr>
        <w:t>Resolución de 5 de abril de 2013 emitida por la Sala Penal Nacional (anexo al escrito de los representantes de las víctimas de 20 de enero de 2017).</w:t>
      </w:r>
    </w:p>
  </w:footnote>
  <w:footnote w:id="17">
    <w:p w:rsidR="00EE2FF2" w:rsidRPr="00096557"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t>De conformidad con lo establecido en el dictamen fiscal, se trataría de dos personas que “habrían secuestrado en las inmediaciones del Parque Universitario (centro de Lima)” al señor Cantoral Huamaní y la señora García Santa Cruz. Uno de ellos fungía como el “jefe operativo” del “</w:t>
      </w:r>
      <w:r w:rsidRPr="00431F2D">
        <w:rPr>
          <w:szCs w:val="16"/>
          <w:lang w:val="es-CR"/>
        </w:rPr>
        <w:t xml:space="preserve">Comando Rodrigo Franco”. </w:t>
      </w:r>
      <w:r w:rsidRPr="00431F2D">
        <w:rPr>
          <w:i/>
          <w:szCs w:val="16"/>
          <w:lang w:val="es-CR"/>
        </w:rPr>
        <w:t xml:space="preserve">Cfr. </w:t>
      </w:r>
      <w:r w:rsidRPr="0033501D">
        <w:rPr>
          <w:szCs w:val="16"/>
          <w:lang w:val="es-CR"/>
        </w:rPr>
        <w:t>Dictamen fiscal de 7 de junio de 2012 emitido por la Tercera Fiscalía Superior Pena</w:t>
      </w:r>
      <w:r w:rsidR="006C05A4" w:rsidRPr="0033501D">
        <w:rPr>
          <w:szCs w:val="16"/>
          <w:lang w:val="es-CR"/>
        </w:rPr>
        <w:t>l Nacional</w:t>
      </w:r>
      <w:r w:rsidRPr="0033501D">
        <w:rPr>
          <w:szCs w:val="16"/>
          <w:lang w:val="es-CR"/>
        </w:rPr>
        <w:t xml:space="preserve"> (anexo al escrito de observaciones de los representantes de las víctimas de 16 de noviembre de </w:t>
      </w:r>
      <w:r w:rsidRPr="00096557">
        <w:rPr>
          <w:szCs w:val="16"/>
          <w:lang w:val="es-CR"/>
        </w:rPr>
        <w:t>2012).</w:t>
      </w:r>
    </w:p>
  </w:footnote>
  <w:footnote w:id="18">
    <w:p w:rsidR="00EE2FF2" w:rsidRPr="0033501D"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t xml:space="preserve">De conformidad con lo establecido en el dictamen fiscal, se trataría de la persona que entonces fungía como “Ministro del Interior” y “dirig[ía]” al “Comando Rodrigo Franco”. </w:t>
      </w:r>
      <w:r w:rsidRPr="00431F2D">
        <w:rPr>
          <w:i/>
          <w:szCs w:val="16"/>
          <w:lang w:val="es-CR"/>
        </w:rPr>
        <w:t xml:space="preserve">Cfr. </w:t>
      </w:r>
      <w:r w:rsidRPr="00431F2D">
        <w:rPr>
          <w:szCs w:val="16"/>
          <w:lang w:val="es-CR"/>
        </w:rPr>
        <w:t>Dictamen fiscal de 7 d</w:t>
      </w:r>
      <w:r w:rsidRPr="0033501D">
        <w:rPr>
          <w:szCs w:val="16"/>
          <w:lang w:val="es-CR"/>
        </w:rPr>
        <w:t xml:space="preserve">e junio de 2012, </w:t>
      </w:r>
      <w:r w:rsidRPr="0033501D">
        <w:rPr>
          <w:i/>
          <w:szCs w:val="16"/>
          <w:lang w:val="es-CR"/>
        </w:rPr>
        <w:t xml:space="preserve">supra </w:t>
      </w:r>
      <w:r w:rsidRPr="0033501D">
        <w:rPr>
          <w:szCs w:val="16"/>
          <w:lang w:val="es-CR"/>
        </w:rPr>
        <w:t xml:space="preserve">nota </w:t>
      </w:r>
      <w:r w:rsidR="00F549BB" w:rsidRPr="0033501D">
        <w:rPr>
          <w:szCs w:val="16"/>
          <w:lang w:val="es-CR"/>
        </w:rPr>
        <w:t>17</w:t>
      </w:r>
      <w:r w:rsidRPr="0033501D">
        <w:rPr>
          <w:szCs w:val="16"/>
          <w:lang w:val="es-CR"/>
        </w:rPr>
        <w:t>.</w:t>
      </w:r>
    </w:p>
  </w:footnote>
  <w:footnote w:id="19">
    <w:p w:rsidR="00EE2FF2" w:rsidRPr="00431F2D" w:rsidRDefault="00EE2FF2" w:rsidP="00096557">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Resoluciones del Tribunal Constitucional de 4 de abril de 2011 y 5 de diciembre de 2013 (anexos al informe estatal de 15 de diciembre de</w:t>
      </w:r>
      <w:r w:rsidRPr="00431F2D">
        <w:rPr>
          <w:szCs w:val="16"/>
          <w:lang w:val="es-CR"/>
        </w:rPr>
        <w:t xml:space="preserve"> 2016).</w:t>
      </w:r>
    </w:p>
  </w:footnote>
  <w:footnote w:id="20">
    <w:p w:rsidR="00096557" w:rsidRPr="00096557" w:rsidRDefault="00096557" w:rsidP="004B17E2">
      <w:pPr>
        <w:pStyle w:val="Textonotapie"/>
        <w:tabs>
          <w:tab w:val="left" w:pos="547"/>
          <w:tab w:val="left" w:pos="720"/>
        </w:tabs>
        <w:jc w:val="both"/>
        <w:rPr>
          <w:lang w:val="es-CR"/>
        </w:rPr>
      </w:pPr>
      <w:r>
        <w:rPr>
          <w:rStyle w:val="Refdenotaalpie"/>
        </w:rPr>
        <w:footnoteRef/>
      </w:r>
      <w:r w:rsidRPr="00096557">
        <w:rPr>
          <w:lang w:val="es-CR"/>
        </w:rPr>
        <w:t xml:space="preserve"> </w:t>
      </w:r>
      <w:r>
        <w:rPr>
          <w:lang w:val="es-CR"/>
        </w:rPr>
        <w:tab/>
      </w:r>
      <w:r w:rsidRPr="00E43450">
        <w:rPr>
          <w:i/>
          <w:szCs w:val="16"/>
          <w:lang w:val="es-CR"/>
        </w:rPr>
        <w:t>Cfr.</w:t>
      </w:r>
      <w:r w:rsidRPr="00E43450">
        <w:rPr>
          <w:szCs w:val="16"/>
          <w:lang w:val="es-CR"/>
        </w:rPr>
        <w:t xml:space="preserve"> </w:t>
      </w:r>
      <w:r w:rsidRPr="00E43450">
        <w:rPr>
          <w:i/>
          <w:szCs w:val="16"/>
          <w:lang w:val="es-CR"/>
        </w:rPr>
        <w:t>Caso Gelman Vs. Uruguay. Supervisión de Cumplimiento de Sentencia</w:t>
      </w:r>
      <w:r w:rsidRPr="00431F2D">
        <w:rPr>
          <w:szCs w:val="16"/>
          <w:lang w:val="es-CR"/>
        </w:rPr>
        <w:t xml:space="preserve">. Resolución de la Corte Interamericana de Derechos Humanos 20 de marzo de 2013, Considerandos 65 a 68; </w:t>
      </w:r>
      <w:r w:rsidRPr="0033501D">
        <w:rPr>
          <w:i/>
          <w:szCs w:val="16"/>
          <w:lang w:val="es-CR"/>
        </w:rPr>
        <w:t>Caso Artavia Murillo y otros ("Fecundación In Vitro") Vs. Costa Rica. Supervisión de Cumplimiento de Sentencia</w:t>
      </w:r>
      <w:r w:rsidRPr="0033501D">
        <w:rPr>
          <w:szCs w:val="16"/>
          <w:lang w:val="es-CR"/>
        </w:rPr>
        <w:t xml:space="preserve">. Resolución de la Corte Interamericana de Derechos Humanos de 26 de febrero de 2016, Considerando 12; </w:t>
      </w:r>
      <w:r w:rsidRPr="0033501D">
        <w:rPr>
          <w:i/>
          <w:szCs w:val="16"/>
          <w:lang w:val="es-CR"/>
        </w:rPr>
        <w:t xml:space="preserve">Caso 19 Comerciantes Vs. Colombia. Supervisión de Cumplimiento de Sentencia. </w:t>
      </w:r>
      <w:r w:rsidRPr="0033501D">
        <w:rPr>
          <w:szCs w:val="16"/>
          <w:lang w:val="es-ES_tradnl"/>
        </w:rPr>
        <w:t xml:space="preserve">Resolución de la Corte Interamericana de Derechos Humanos de 23 de junio de 2016, </w:t>
      </w:r>
      <w:r w:rsidRPr="0033501D">
        <w:rPr>
          <w:szCs w:val="16"/>
          <w:lang w:val="es-CR"/>
        </w:rPr>
        <w:t xml:space="preserve">Considerando 10, y </w:t>
      </w:r>
      <w:r w:rsidRPr="0033501D">
        <w:rPr>
          <w:i/>
          <w:szCs w:val="16"/>
          <w:lang w:val="es-CR"/>
        </w:rPr>
        <w:t>Caso Masacre de Santo Domingo Vs. Colombia. Supervisión de Cumplimiento de Sentencia</w:t>
      </w:r>
      <w:r w:rsidRPr="0033501D">
        <w:rPr>
          <w:szCs w:val="16"/>
          <w:lang w:val="es-CR"/>
        </w:rPr>
        <w:t>. Resolución de la Corte Interamericana de Derechos Humanos de 22 de noviembre de 2018, Considerando 8.</w:t>
      </w:r>
    </w:p>
  </w:footnote>
  <w:footnote w:id="21">
    <w:p w:rsidR="00EE2FF2" w:rsidRPr="00096557"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00096557">
        <w:rPr>
          <w:i/>
          <w:szCs w:val="16"/>
          <w:lang w:val="es-CR"/>
        </w:rPr>
        <w:t>Supra</w:t>
      </w:r>
      <w:r w:rsidR="00096557">
        <w:rPr>
          <w:szCs w:val="16"/>
          <w:lang w:val="es-CR"/>
        </w:rPr>
        <w:t xml:space="preserve"> nota 20.</w:t>
      </w:r>
    </w:p>
  </w:footnote>
  <w:footnote w:id="22">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 xml:space="preserve">Escritos de observaciones de los representantes de las víctimas de 17 de noviembre de 2011, 16 de noviembre de 2012 y 20 de enero de 2017. </w:t>
      </w:r>
    </w:p>
  </w:footnote>
  <w:footnote w:id="23">
    <w:p w:rsidR="00EE2FF2" w:rsidRPr="0033501D" w:rsidRDefault="00EE2FF2" w:rsidP="00E43450">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t xml:space="preserve">Es el </w:t>
      </w:r>
      <w:r w:rsidRPr="00E43450">
        <w:rPr>
          <w:szCs w:val="16"/>
          <w:lang w:val="es-MX"/>
        </w:rPr>
        <w:t xml:space="preserve">“[ó]rgano de [g]obierno” judicial del cual “dependen administrativamente” la “Sala Penal Nacional y los Juzgados Penales Nacionales”. </w:t>
      </w:r>
      <w:r w:rsidRPr="00431F2D">
        <w:rPr>
          <w:i/>
          <w:szCs w:val="16"/>
          <w:lang w:val="es-CR"/>
        </w:rPr>
        <w:t xml:space="preserve">Cfr. </w:t>
      </w:r>
      <w:r w:rsidRPr="00431F2D">
        <w:rPr>
          <w:szCs w:val="16"/>
          <w:lang w:val="es-CR"/>
        </w:rPr>
        <w:t xml:space="preserve">Resolución administrativa N° 103-2014-CE-PJ publicada en el Diario Oficial “El Peruano” de 2 de abril de 2014 (anexo al escrito de observaciones de los representantes de las víctimas de 20 </w:t>
      </w:r>
      <w:r w:rsidR="00E203E6">
        <w:rPr>
          <w:szCs w:val="16"/>
          <w:lang w:val="es-CR"/>
        </w:rPr>
        <w:t xml:space="preserve">de </w:t>
      </w:r>
      <w:r w:rsidRPr="00431F2D">
        <w:rPr>
          <w:szCs w:val="16"/>
          <w:lang w:val="es-CR"/>
        </w:rPr>
        <w:t xml:space="preserve">enero </w:t>
      </w:r>
      <w:r w:rsidR="00E203E6">
        <w:rPr>
          <w:szCs w:val="16"/>
          <w:lang w:val="es-CR"/>
        </w:rPr>
        <w:t xml:space="preserve">de </w:t>
      </w:r>
      <w:r w:rsidRPr="00431F2D">
        <w:rPr>
          <w:szCs w:val="16"/>
          <w:lang w:val="es-CR"/>
        </w:rPr>
        <w:t>2017).</w:t>
      </w:r>
    </w:p>
  </w:footnote>
  <w:footnote w:id="24">
    <w:p w:rsidR="00EE2FF2" w:rsidRPr="0033501D" w:rsidRDefault="00EE2FF2" w:rsidP="00E43450">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 xml:space="preserve">Resolución de 7 de enero de 2015 emitida por la Sala Penal Nacional (anexo al escrito de observaciones de los representantes de las víctimas de 20 </w:t>
      </w:r>
      <w:r w:rsidR="00E203E6">
        <w:rPr>
          <w:szCs w:val="16"/>
          <w:lang w:val="es-CR"/>
        </w:rPr>
        <w:t xml:space="preserve">de </w:t>
      </w:r>
      <w:r w:rsidRPr="00E43450">
        <w:rPr>
          <w:szCs w:val="16"/>
          <w:lang w:val="es-CR"/>
        </w:rPr>
        <w:t xml:space="preserve">enero </w:t>
      </w:r>
      <w:r w:rsidR="00E203E6">
        <w:rPr>
          <w:szCs w:val="16"/>
          <w:lang w:val="es-CR"/>
        </w:rPr>
        <w:t xml:space="preserve">de </w:t>
      </w:r>
      <w:r w:rsidRPr="00E43450">
        <w:rPr>
          <w:szCs w:val="16"/>
          <w:lang w:val="es-CR"/>
        </w:rPr>
        <w:t xml:space="preserve">2017). </w:t>
      </w:r>
      <w:r w:rsidRPr="0033501D">
        <w:rPr>
          <w:szCs w:val="16"/>
          <w:lang w:val="es-CR"/>
        </w:rPr>
        <w:t>Cuando en marzo de 2014 el Consejo Ejecutivo del Poder Judicial dio por concluidas las designaciones de determinados magistrados (</w:t>
      </w:r>
      <w:r w:rsidRPr="0033501D">
        <w:rPr>
          <w:i/>
          <w:szCs w:val="16"/>
          <w:lang w:val="es-CR"/>
        </w:rPr>
        <w:t xml:space="preserve">supra </w:t>
      </w:r>
      <w:r w:rsidRPr="0033501D">
        <w:rPr>
          <w:szCs w:val="16"/>
          <w:lang w:val="es-CR"/>
        </w:rPr>
        <w:t xml:space="preserve">Considerando </w:t>
      </w:r>
      <w:r w:rsidR="00671F37">
        <w:rPr>
          <w:szCs w:val="16"/>
          <w:lang w:val="es-CR"/>
        </w:rPr>
        <w:t>10</w:t>
      </w:r>
      <w:r w:rsidRPr="00E43450">
        <w:rPr>
          <w:szCs w:val="16"/>
          <w:lang w:val="es-CR"/>
        </w:rPr>
        <w:t>), ello tuvo como consecuencia una “carga excesiva” para quienes continuaron en sus puestos, generando “retrasos y reprogramaciones” en las audiencias, llegando incluso a provocarse el “qu</w:t>
      </w:r>
      <w:r w:rsidRPr="00431F2D">
        <w:rPr>
          <w:szCs w:val="16"/>
          <w:lang w:val="es-CR"/>
        </w:rPr>
        <w:t xml:space="preserve">iebre” del juicio oral en octubre de 2014. </w:t>
      </w:r>
      <w:r w:rsidRPr="0033501D">
        <w:rPr>
          <w:i/>
          <w:szCs w:val="16"/>
          <w:lang w:val="es-CR"/>
        </w:rPr>
        <w:t xml:space="preserve">Cfr. </w:t>
      </w:r>
      <w:r w:rsidRPr="0033501D">
        <w:rPr>
          <w:szCs w:val="16"/>
          <w:lang w:val="es-CR"/>
        </w:rPr>
        <w:t>Escrito de observaciones de los representantes de las víctimas de 20 de enero de 2017.</w:t>
      </w:r>
    </w:p>
  </w:footnote>
  <w:footnote w:id="25">
    <w:p w:rsidR="00EE2FF2" w:rsidRPr="00E43450" w:rsidRDefault="00EE2FF2" w:rsidP="00E43450">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Escrito de observaciones de los representantes de las víctimas de 20 de enero de 2017</w:t>
      </w:r>
      <w:r w:rsidR="00671F37">
        <w:rPr>
          <w:szCs w:val="16"/>
          <w:lang w:val="es-CR"/>
        </w:rPr>
        <w:t>.</w:t>
      </w:r>
    </w:p>
  </w:footnote>
  <w:footnote w:id="26">
    <w:p w:rsidR="00EE2FF2" w:rsidRPr="00431F2D" w:rsidRDefault="00EE2FF2" w:rsidP="00E43450">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 xml:space="preserve">Resolución de 7 de enero de 2015 emitida por la Sala Penal Nacional (anexo al escrito de observaciones de los representantes de las víctimas de 20 </w:t>
      </w:r>
      <w:r w:rsidR="00E203E6">
        <w:rPr>
          <w:szCs w:val="16"/>
          <w:lang w:val="es-CR"/>
        </w:rPr>
        <w:t xml:space="preserve">de </w:t>
      </w:r>
      <w:r w:rsidRPr="00E43450">
        <w:rPr>
          <w:szCs w:val="16"/>
          <w:lang w:val="es-CR"/>
        </w:rPr>
        <w:t xml:space="preserve">enero </w:t>
      </w:r>
      <w:r w:rsidR="00E203E6">
        <w:rPr>
          <w:szCs w:val="16"/>
          <w:lang w:val="es-CR"/>
        </w:rPr>
        <w:t xml:space="preserve">de </w:t>
      </w:r>
      <w:r w:rsidRPr="00E43450">
        <w:rPr>
          <w:szCs w:val="16"/>
          <w:lang w:val="es-CR"/>
        </w:rPr>
        <w:t>2017).</w:t>
      </w:r>
    </w:p>
  </w:footnote>
  <w:footnote w:id="27">
    <w:p w:rsidR="00EE2FF2" w:rsidRPr="0033501D" w:rsidRDefault="00EE2FF2" w:rsidP="00E43450">
      <w:pPr>
        <w:pStyle w:val="Textonotapie"/>
        <w:tabs>
          <w:tab w:val="left" w:pos="540"/>
          <w:tab w:val="left" w:pos="720"/>
        </w:tabs>
        <w:jc w:val="both"/>
        <w:rPr>
          <w:b/>
          <w:szCs w:val="16"/>
          <w:lang w:val="es-CR"/>
        </w:rPr>
      </w:pPr>
      <w:r w:rsidRPr="00E43450">
        <w:rPr>
          <w:rStyle w:val="Refdenotaalpie"/>
          <w:szCs w:val="16"/>
        </w:rPr>
        <w:footnoteRef/>
      </w:r>
      <w:r w:rsidRPr="00E43450">
        <w:rPr>
          <w:szCs w:val="16"/>
          <w:lang w:val="es-CR"/>
        </w:rPr>
        <w:t xml:space="preserve"> </w:t>
      </w:r>
      <w:r w:rsidRPr="00E43450">
        <w:rPr>
          <w:szCs w:val="16"/>
          <w:lang w:val="es-CR"/>
        </w:rPr>
        <w:tab/>
        <w:t>El Colegiado “B” resaltó que su “carga laboral se ha incrementado al asumir la que tenía el Colegiado ‘A’”, así como que “por razón de impedimento de alguno de sus integrantes […] se debe llamar a magistrados de otras especialidades que tienen su propia carga laboral igualmente compleja”. Asimismo, La Sala Penal Nacional incluso instó al Consejo Ejecu</w:t>
      </w:r>
      <w:r w:rsidRPr="00431F2D">
        <w:rPr>
          <w:szCs w:val="16"/>
          <w:lang w:val="es-CR"/>
        </w:rPr>
        <w:t xml:space="preserve">tivo del Poder Judicial “dot[ar] a [la] Sala Penal Nacional de un número suficiente de jueces de la especialidad en Derechos Humanos”. </w:t>
      </w:r>
      <w:r w:rsidRPr="0033501D">
        <w:rPr>
          <w:i/>
          <w:szCs w:val="16"/>
          <w:lang w:val="es-CR"/>
        </w:rPr>
        <w:t xml:space="preserve">Cfr. </w:t>
      </w:r>
      <w:r w:rsidRPr="0033501D">
        <w:rPr>
          <w:szCs w:val="16"/>
          <w:lang w:val="es-CR"/>
        </w:rPr>
        <w:t>Resolución de 7 de enero de 2015 emitida por la Sala Penal Nacional (anexo al escrito de observaciones de los representantes de las víctimas de 20</w:t>
      </w:r>
      <w:r w:rsidR="00E203E6">
        <w:rPr>
          <w:szCs w:val="16"/>
          <w:lang w:val="es-CR"/>
        </w:rPr>
        <w:t xml:space="preserve"> de</w:t>
      </w:r>
      <w:r w:rsidRPr="0033501D">
        <w:rPr>
          <w:szCs w:val="16"/>
          <w:lang w:val="es-CR"/>
        </w:rPr>
        <w:t xml:space="preserve"> enero</w:t>
      </w:r>
      <w:r w:rsidR="00E203E6">
        <w:rPr>
          <w:szCs w:val="16"/>
          <w:lang w:val="es-CR"/>
        </w:rPr>
        <w:t xml:space="preserve"> de</w:t>
      </w:r>
      <w:r w:rsidRPr="0033501D">
        <w:rPr>
          <w:szCs w:val="16"/>
          <w:lang w:val="es-CR"/>
        </w:rPr>
        <w:t xml:space="preserve"> 2017).</w:t>
      </w:r>
    </w:p>
  </w:footnote>
  <w:footnote w:id="28">
    <w:p w:rsidR="00EE2FF2" w:rsidRPr="0033501D" w:rsidRDefault="00EE2FF2" w:rsidP="00431F2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00BF6071" w:rsidRPr="00BF6071">
        <w:rPr>
          <w:i/>
          <w:szCs w:val="16"/>
          <w:lang w:val="es-CR"/>
        </w:rPr>
        <w:t>Cfr.</w:t>
      </w:r>
      <w:r w:rsidR="00BF6071">
        <w:rPr>
          <w:szCs w:val="16"/>
          <w:lang w:val="es-CR"/>
        </w:rPr>
        <w:t xml:space="preserve"> Oficio 179-2014/DP de 29 de abril de 2014 suscrito por el Defensor del Pueblo (anexo al </w:t>
      </w:r>
      <w:r w:rsidR="00BF6071" w:rsidRPr="0033501D">
        <w:rPr>
          <w:szCs w:val="16"/>
          <w:lang w:val="es-CR"/>
        </w:rPr>
        <w:t xml:space="preserve">escrito de observaciones de los representantes de las víctimas de 20 </w:t>
      </w:r>
      <w:r w:rsidR="00BF6071">
        <w:rPr>
          <w:szCs w:val="16"/>
          <w:lang w:val="es-CR"/>
        </w:rPr>
        <w:t xml:space="preserve">de </w:t>
      </w:r>
      <w:r w:rsidR="00BF6071" w:rsidRPr="0033501D">
        <w:rPr>
          <w:szCs w:val="16"/>
          <w:lang w:val="es-CR"/>
        </w:rPr>
        <w:t xml:space="preserve">enero </w:t>
      </w:r>
      <w:r w:rsidR="00BF6071">
        <w:rPr>
          <w:szCs w:val="16"/>
          <w:lang w:val="es-CR"/>
        </w:rPr>
        <w:t xml:space="preserve">de </w:t>
      </w:r>
      <w:r w:rsidR="00BF6071" w:rsidRPr="0033501D">
        <w:rPr>
          <w:szCs w:val="16"/>
          <w:lang w:val="es-CR"/>
        </w:rPr>
        <w:t>2017)</w:t>
      </w:r>
      <w:r w:rsidR="00BF6071">
        <w:rPr>
          <w:szCs w:val="16"/>
          <w:lang w:val="es-CR"/>
        </w:rPr>
        <w:t xml:space="preserve">. </w:t>
      </w:r>
      <w:r w:rsidRPr="00E43450">
        <w:rPr>
          <w:szCs w:val="16"/>
          <w:lang w:val="es-CR"/>
        </w:rPr>
        <w:t xml:space="preserve">Esta situación también fue advertida en julio de 2014 por los representantes de las víctimas al referido Presidente del Consejo Ejecutivo del Poder Judicial. </w:t>
      </w:r>
      <w:r w:rsidRPr="00431F2D">
        <w:rPr>
          <w:i/>
          <w:szCs w:val="16"/>
          <w:lang w:val="es-CR"/>
        </w:rPr>
        <w:t xml:space="preserve">Cfr. </w:t>
      </w:r>
      <w:r w:rsidRPr="00431F2D">
        <w:rPr>
          <w:szCs w:val="16"/>
          <w:lang w:val="es-CR"/>
        </w:rPr>
        <w:t xml:space="preserve">Nota de 8 de julio de 2014 suscrita </w:t>
      </w:r>
      <w:r w:rsidRPr="0033501D">
        <w:rPr>
          <w:szCs w:val="16"/>
          <w:lang w:val="es-CR"/>
        </w:rPr>
        <w:t xml:space="preserve">por la Directora Ejecutiva de APRODEH y dirigida al Presidente del Consejo Ejecutivo del Poder Judicial (anexo al escrito de observaciones de los representantes de las víctimas de 20 </w:t>
      </w:r>
      <w:r w:rsidR="00E203E6">
        <w:rPr>
          <w:szCs w:val="16"/>
          <w:lang w:val="es-CR"/>
        </w:rPr>
        <w:t xml:space="preserve">de </w:t>
      </w:r>
      <w:r w:rsidRPr="0033501D">
        <w:rPr>
          <w:szCs w:val="16"/>
          <w:lang w:val="es-CR"/>
        </w:rPr>
        <w:t xml:space="preserve">enero </w:t>
      </w:r>
      <w:r w:rsidR="00E203E6">
        <w:rPr>
          <w:szCs w:val="16"/>
          <w:lang w:val="es-CR"/>
        </w:rPr>
        <w:t xml:space="preserve">de </w:t>
      </w:r>
      <w:r w:rsidRPr="0033501D">
        <w:rPr>
          <w:szCs w:val="16"/>
          <w:lang w:val="es-CR"/>
        </w:rPr>
        <w:t>2017).</w:t>
      </w:r>
    </w:p>
  </w:footnote>
  <w:footnote w:id="29">
    <w:p w:rsidR="00EE2FF2" w:rsidRPr="00E43450" w:rsidRDefault="00EE2FF2" w:rsidP="0033501D">
      <w:pPr>
        <w:pStyle w:val="Textonotapie"/>
        <w:tabs>
          <w:tab w:val="left" w:pos="540"/>
          <w:tab w:val="left" w:pos="720"/>
          <w:tab w:val="left" w:pos="108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Informe estatal de 15 de diciembre de 2016.</w:t>
      </w:r>
    </w:p>
  </w:footnote>
  <w:footnote w:id="30">
    <w:p w:rsidR="00EE2FF2" w:rsidRPr="0033501D"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color w:val="000000"/>
          <w:szCs w:val="16"/>
          <w:lang w:val="es-CR"/>
        </w:rPr>
        <w:t xml:space="preserve">Cfr. </w:t>
      </w:r>
      <w:r w:rsidRPr="00E43450">
        <w:rPr>
          <w:bCs/>
          <w:i/>
          <w:color w:val="000000"/>
          <w:szCs w:val="16"/>
          <w:lang w:val="es-CR"/>
        </w:rPr>
        <w:t>Caso Cantoral Huamaní y García Santa Cruz Vs. Perú</w:t>
      </w:r>
      <w:r w:rsidR="00C51505">
        <w:rPr>
          <w:bCs/>
          <w:i/>
          <w:color w:val="000000"/>
          <w:szCs w:val="16"/>
          <w:lang w:val="es-CR"/>
        </w:rPr>
        <w:t xml:space="preserve">, supra </w:t>
      </w:r>
      <w:r w:rsidR="00C51505">
        <w:rPr>
          <w:bCs/>
          <w:color w:val="000000"/>
          <w:szCs w:val="16"/>
          <w:lang w:val="es-CR"/>
        </w:rPr>
        <w:t>nota 1</w:t>
      </w:r>
      <w:r w:rsidRPr="00C51505">
        <w:rPr>
          <w:bCs/>
          <w:color w:val="000000"/>
          <w:szCs w:val="16"/>
          <w:lang w:val="es-CR"/>
        </w:rPr>
        <w:t>,</w:t>
      </w:r>
      <w:r w:rsidRPr="00431F2D">
        <w:rPr>
          <w:bCs/>
          <w:color w:val="000000"/>
          <w:szCs w:val="16"/>
          <w:lang w:val="es-CR"/>
        </w:rPr>
        <w:t xml:space="preserve"> párr. 190. Ver también escritos de observaciones de la Comisión Interamericana de 6 de octu</w:t>
      </w:r>
      <w:r w:rsidRPr="0033501D">
        <w:rPr>
          <w:bCs/>
          <w:color w:val="000000"/>
          <w:szCs w:val="16"/>
          <w:lang w:val="es-CR"/>
        </w:rPr>
        <w:t>bre de 2011 y 28 de diciembre de 2012.</w:t>
      </w:r>
    </w:p>
  </w:footnote>
  <w:footnote w:id="31">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Resoluciones de 7 de enero, 26 de enero, 17 de abril y 5 de junio de 2015 emitidas por la Sala Penal Nacional (anexos al escrito de observaciones de los representantes de las víctimas de 20</w:t>
      </w:r>
      <w:r w:rsidR="00E203E6">
        <w:rPr>
          <w:szCs w:val="16"/>
          <w:lang w:val="es-CR"/>
        </w:rPr>
        <w:t xml:space="preserve"> de </w:t>
      </w:r>
      <w:r w:rsidRPr="00E43450">
        <w:rPr>
          <w:szCs w:val="16"/>
          <w:lang w:val="es-CR"/>
        </w:rPr>
        <w:t xml:space="preserve">enero </w:t>
      </w:r>
      <w:r w:rsidR="00E203E6">
        <w:rPr>
          <w:szCs w:val="16"/>
          <w:lang w:val="es-CR"/>
        </w:rPr>
        <w:t xml:space="preserve">de </w:t>
      </w:r>
      <w:r w:rsidRPr="00E43450">
        <w:rPr>
          <w:szCs w:val="16"/>
          <w:lang w:val="es-CR"/>
        </w:rPr>
        <w:t>2017).</w:t>
      </w:r>
    </w:p>
  </w:footnote>
  <w:footnote w:id="32">
    <w:p w:rsidR="00F82B44" w:rsidRPr="00F82B44" w:rsidRDefault="00F82B44" w:rsidP="00F82B44">
      <w:pPr>
        <w:pStyle w:val="Textonotapie"/>
        <w:tabs>
          <w:tab w:val="left" w:pos="540"/>
        </w:tabs>
        <w:rPr>
          <w:lang w:val="es-CR"/>
        </w:rPr>
      </w:pPr>
      <w:r>
        <w:rPr>
          <w:rStyle w:val="Refdenotaalpie"/>
        </w:rPr>
        <w:footnoteRef/>
      </w:r>
      <w:r w:rsidRPr="00F82B44">
        <w:rPr>
          <w:lang w:val="es-CR"/>
        </w:rPr>
        <w:t xml:space="preserve"> </w:t>
      </w:r>
      <w:r>
        <w:rPr>
          <w:lang w:val="es-CR"/>
        </w:rPr>
        <w:tab/>
      </w:r>
      <w:r w:rsidRPr="00F82B44">
        <w:rPr>
          <w:i/>
          <w:lang w:val="es-CR"/>
        </w:rPr>
        <w:t>Cfr</w:t>
      </w:r>
      <w:r>
        <w:rPr>
          <w:lang w:val="es-CR"/>
        </w:rPr>
        <w:t xml:space="preserve">. </w:t>
      </w:r>
      <w:r>
        <w:rPr>
          <w:szCs w:val="16"/>
          <w:lang w:val="es-CR"/>
        </w:rPr>
        <w:t>E</w:t>
      </w:r>
      <w:r w:rsidRPr="0033501D">
        <w:rPr>
          <w:szCs w:val="16"/>
          <w:lang w:val="es-CR"/>
        </w:rPr>
        <w:t xml:space="preserve">scrito de observaciones de los representantes de las víctimas de 20 </w:t>
      </w:r>
      <w:r>
        <w:rPr>
          <w:szCs w:val="16"/>
          <w:lang w:val="es-CR"/>
        </w:rPr>
        <w:t xml:space="preserve">de </w:t>
      </w:r>
      <w:r w:rsidRPr="0033501D">
        <w:rPr>
          <w:szCs w:val="16"/>
          <w:lang w:val="es-CR"/>
        </w:rPr>
        <w:t xml:space="preserve">enero </w:t>
      </w:r>
      <w:r>
        <w:rPr>
          <w:szCs w:val="16"/>
          <w:lang w:val="es-CR"/>
        </w:rPr>
        <w:t xml:space="preserve">de </w:t>
      </w:r>
      <w:r w:rsidRPr="0033501D">
        <w:rPr>
          <w:szCs w:val="16"/>
          <w:lang w:val="es-CR"/>
        </w:rPr>
        <w:t>2017</w:t>
      </w:r>
      <w:r>
        <w:rPr>
          <w:szCs w:val="16"/>
          <w:lang w:val="es-CR"/>
        </w:rPr>
        <w:t>.</w:t>
      </w:r>
    </w:p>
  </w:footnote>
  <w:footnote w:id="33">
    <w:p w:rsidR="00EE2FF2" w:rsidRPr="0033501D" w:rsidRDefault="00EE2FF2" w:rsidP="0033501D">
      <w:pPr>
        <w:pStyle w:val="Textonotapie"/>
        <w:tabs>
          <w:tab w:val="left" w:pos="540"/>
          <w:tab w:val="left" w:pos="720"/>
        </w:tabs>
        <w:jc w:val="both"/>
        <w:rPr>
          <w:b/>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00054435" w:rsidRPr="00F82B44">
        <w:rPr>
          <w:i/>
          <w:lang w:val="es-CR"/>
        </w:rPr>
        <w:t>Cfr</w:t>
      </w:r>
      <w:r w:rsidR="00054435">
        <w:rPr>
          <w:lang w:val="es-CR"/>
        </w:rPr>
        <w:t xml:space="preserve">. </w:t>
      </w:r>
      <w:r w:rsidR="00054435">
        <w:rPr>
          <w:szCs w:val="16"/>
          <w:lang w:val="es-CR"/>
        </w:rPr>
        <w:t>E</w:t>
      </w:r>
      <w:r w:rsidR="00054435" w:rsidRPr="0033501D">
        <w:rPr>
          <w:szCs w:val="16"/>
          <w:lang w:val="es-CR"/>
        </w:rPr>
        <w:t xml:space="preserve">scrito de observaciones de los representantes de las víctimas de 20 </w:t>
      </w:r>
      <w:r w:rsidR="00054435">
        <w:rPr>
          <w:szCs w:val="16"/>
          <w:lang w:val="es-CR"/>
        </w:rPr>
        <w:t xml:space="preserve">de </w:t>
      </w:r>
      <w:r w:rsidR="00054435" w:rsidRPr="0033501D">
        <w:rPr>
          <w:szCs w:val="16"/>
          <w:lang w:val="es-CR"/>
        </w:rPr>
        <w:t xml:space="preserve">enero </w:t>
      </w:r>
      <w:r w:rsidR="00054435">
        <w:rPr>
          <w:szCs w:val="16"/>
          <w:lang w:val="es-CR"/>
        </w:rPr>
        <w:t xml:space="preserve">de </w:t>
      </w:r>
      <w:r w:rsidR="00054435" w:rsidRPr="0033501D">
        <w:rPr>
          <w:szCs w:val="16"/>
          <w:lang w:val="es-CR"/>
        </w:rPr>
        <w:t>2017</w:t>
      </w:r>
      <w:r w:rsidR="00054435">
        <w:rPr>
          <w:szCs w:val="16"/>
          <w:lang w:val="es-CR"/>
        </w:rPr>
        <w:t>.</w:t>
      </w:r>
    </w:p>
  </w:footnote>
  <w:footnote w:id="34">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00F86D4A" w:rsidRPr="003424FD">
        <w:rPr>
          <w:i/>
          <w:szCs w:val="16"/>
          <w:lang w:val="es-CR"/>
        </w:rPr>
        <w:t>Cfr. Caso Cantoral Huamaní y García Santa Cruz Vs. Perú, supra</w:t>
      </w:r>
      <w:r w:rsidR="00F86D4A" w:rsidRPr="003424FD">
        <w:rPr>
          <w:szCs w:val="16"/>
          <w:lang w:val="es-CR"/>
        </w:rPr>
        <w:t xml:space="preserve"> nota </w:t>
      </w:r>
      <w:r w:rsidR="00CD35F4">
        <w:rPr>
          <w:szCs w:val="16"/>
          <w:lang w:val="es-CR"/>
        </w:rPr>
        <w:t>10</w:t>
      </w:r>
      <w:r w:rsidR="00F86D4A" w:rsidRPr="003424FD">
        <w:rPr>
          <w:szCs w:val="16"/>
          <w:lang w:val="es-CR"/>
        </w:rPr>
        <w:t xml:space="preserve">, </w:t>
      </w:r>
      <w:r w:rsidRPr="00E43450">
        <w:rPr>
          <w:szCs w:val="16"/>
          <w:lang w:val="es-CR"/>
        </w:rPr>
        <w:t>Considerando 11.</w:t>
      </w:r>
    </w:p>
  </w:footnote>
  <w:footnote w:id="35">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00F86D4A" w:rsidRPr="003424FD">
        <w:rPr>
          <w:i/>
          <w:szCs w:val="16"/>
          <w:lang w:val="es-CR"/>
        </w:rPr>
        <w:t>Cfr. Caso Cantoral Huamaní y García Santa Cruz Vs. Perú, supra</w:t>
      </w:r>
      <w:r w:rsidR="00CD35F4">
        <w:rPr>
          <w:szCs w:val="16"/>
          <w:lang w:val="es-CR"/>
        </w:rPr>
        <w:t xml:space="preserve"> nota 11</w:t>
      </w:r>
      <w:r w:rsidR="00F86D4A" w:rsidRPr="003424FD">
        <w:rPr>
          <w:szCs w:val="16"/>
          <w:lang w:val="es-CR"/>
        </w:rPr>
        <w:t xml:space="preserve">, </w:t>
      </w:r>
      <w:r w:rsidRPr="00E43450">
        <w:rPr>
          <w:szCs w:val="16"/>
          <w:lang w:val="es-CR"/>
        </w:rPr>
        <w:t>Considerando 17.</w:t>
      </w:r>
    </w:p>
  </w:footnote>
  <w:footnote w:id="36">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00F86D4A" w:rsidRPr="003424FD">
        <w:rPr>
          <w:i/>
          <w:szCs w:val="16"/>
          <w:lang w:val="es-CR"/>
        </w:rPr>
        <w:t>Cfr. Caso Cantoral Huamaní y García Santa Cruz Vs. Perú, supra</w:t>
      </w:r>
      <w:r w:rsidR="00F86D4A" w:rsidRPr="003424FD">
        <w:rPr>
          <w:szCs w:val="16"/>
          <w:lang w:val="es-CR"/>
        </w:rPr>
        <w:t xml:space="preserve"> nota </w:t>
      </w:r>
      <w:r w:rsidR="00CD35F4">
        <w:rPr>
          <w:szCs w:val="16"/>
          <w:lang w:val="es-CR"/>
        </w:rPr>
        <w:t>12</w:t>
      </w:r>
      <w:r w:rsidR="00F86D4A" w:rsidRPr="003424FD">
        <w:rPr>
          <w:szCs w:val="16"/>
          <w:lang w:val="es-CR"/>
        </w:rPr>
        <w:t xml:space="preserve">, </w:t>
      </w:r>
      <w:r w:rsidRPr="00E43450">
        <w:rPr>
          <w:szCs w:val="16"/>
          <w:lang w:val="es-CR"/>
        </w:rPr>
        <w:t>Considerando 24.</w:t>
      </w:r>
    </w:p>
  </w:footnote>
  <w:footnote w:id="37">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00F86D4A" w:rsidRPr="003424FD">
        <w:rPr>
          <w:i/>
          <w:szCs w:val="16"/>
          <w:lang w:val="es-CR"/>
        </w:rPr>
        <w:t>Cfr. Caso Cantoral Huamaní y García Santa Cruz Vs. Perú, supra</w:t>
      </w:r>
      <w:r w:rsidR="00CD35F4">
        <w:rPr>
          <w:szCs w:val="16"/>
          <w:lang w:val="es-CR"/>
        </w:rPr>
        <w:t xml:space="preserve"> nota 12</w:t>
      </w:r>
      <w:r w:rsidR="00F86D4A" w:rsidRPr="003424FD">
        <w:rPr>
          <w:szCs w:val="16"/>
          <w:lang w:val="es-CR"/>
        </w:rPr>
        <w:t xml:space="preserve">, </w:t>
      </w:r>
      <w:r w:rsidRPr="00E43450">
        <w:rPr>
          <w:szCs w:val="16"/>
          <w:lang w:val="es-CR"/>
        </w:rPr>
        <w:t>Considerando 23</w:t>
      </w:r>
      <w:r w:rsidRPr="00E43450">
        <w:rPr>
          <w:bCs/>
          <w:szCs w:val="16"/>
          <w:lang w:val="es-CR"/>
        </w:rPr>
        <w:t>.</w:t>
      </w:r>
    </w:p>
  </w:footnote>
  <w:footnote w:id="38">
    <w:p w:rsidR="00EE2FF2" w:rsidRPr="0033501D"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Cfr.</w:t>
      </w:r>
      <w:r w:rsidRPr="00E43450">
        <w:rPr>
          <w:szCs w:val="16"/>
          <w:lang w:val="es-CR"/>
        </w:rPr>
        <w:t xml:space="preserve"> Copia de la publicación realizada en el “Diario Expreso” de 26 de abril de 2010 (anexo a informes estatales de 20 de junio de 2012 y 15 de diciembre de 2016) y </w:t>
      </w:r>
      <w:r w:rsidRPr="0033501D">
        <w:rPr>
          <w:szCs w:val="16"/>
          <w:lang w:val="es-CR"/>
        </w:rPr>
        <w:t>copia de la publicación realizada en el Diario Oficial “El Peruano” de 4 de abril de 2018, págs. 2 a 5 (anexo al informe estatal de 23 de agosto de 2018).</w:t>
      </w:r>
    </w:p>
  </w:footnote>
  <w:footnote w:id="39">
    <w:p w:rsidR="00EE2FF2" w:rsidRPr="0033501D" w:rsidRDefault="00EE2FF2" w:rsidP="0033501D">
      <w:pPr>
        <w:pStyle w:val="Textonotapie"/>
        <w:tabs>
          <w:tab w:val="left" w:pos="450"/>
          <w:tab w:val="left" w:pos="540"/>
          <w:tab w:val="left" w:pos="720"/>
        </w:tabs>
        <w:jc w:val="both"/>
        <w:rPr>
          <w:b/>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Cfr.</w:t>
      </w:r>
      <w:r w:rsidRPr="00E43450">
        <w:rPr>
          <w:szCs w:val="16"/>
          <w:lang w:val="es-CR"/>
        </w:rPr>
        <w:t xml:space="preserve"> Mediante los escritos de observaciones de los representantes de las víctimas de 16 de noviembre de 2012 </w:t>
      </w:r>
      <w:r w:rsidRPr="0033501D">
        <w:rPr>
          <w:szCs w:val="16"/>
          <w:lang w:val="es-CR"/>
        </w:rPr>
        <w:t>y 20 de enero de 2017, los representantes indicaron que únicamente se encontraba pendiente de cumplimiento la publicación respectiva en el Diario Oficial. No obstante, con posterioridad al</w:t>
      </w:r>
      <w:r w:rsidRPr="0033501D">
        <w:rPr>
          <w:b/>
          <w:szCs w:val="16"/>
          <w:lang w:val="es-CR"/>
        </w:rPr>
        <w:t xml:space="preserve"> </w:t>
      </w:r>
      <w:r w:rsidRPr="0033501D">
        <w:rPr>
          <w:szCs w:val="16"/>
          <w:lang w:val="es-CR"/>
        </w:rPr>
        <w:t>informe estatal de 23 de agosto de 2018, mediante el cual el Estado remitió la copia de la publicación realizada en el Diario Oficial “El Peruano”, los representantes no presentaron sus observaciones al respecto, pese al recordatorio realizado mediante nota de Secretaría de la Corte de 13 de diciembre de 2018.</w:t>
      </w:r>
    </w:p>
  </w:footnote>
  <w:footnote w:id="40">
    <w:p w:rsidR="00EE2FF2" w:rsidRPr="0033501D" w:rsidRDefault="00EE2FF2" w:rsidP="0033501D">
      <w:pPr>
        <w:pStyle w:val="Textonotapie"/>
        <w:tabs>
          <w:tab w:val="left" w:pos="450"/>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Cfr.</w:t>
      </w:r>
      <w:r w:rsidRPr="00E43450">
        <w:rPr>
          <w:szCs w:val="16"/>
          <w:lang w:val="es-CR"/>
        </w:rPr>
        <w:t xml:space="preserve"> Escrito de observaciones de la Comisión de 5 de diciembre de 2018.</w:t>
      </w:r>
    </w:p>
  </w:footnote>
  <w:footnote w:id="41">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00642B48" w:rsidRPr="003424FD">
        <w:rPr>
          <w:i/>
          <w:szCs w:val="16"/>
          <w:lang w:val="es-CR"/>
        </w:rPr>
        <w:t>Cfr. Caso Cantoral Huamaní y García Santa Cruz Vs. Perú, supra</w:t>
      </w:r>
      <w:r w:rsidR="00642B48" w:rsidRPr="003424FD">
        <w:rPr>
          <w:szCs w:val="16"/>
          <w:lang w:val="es-CR"/>
        </w:rPr>
        <w:t xml:space="preserve"> nota </w:t>
      </w:r>
      <w:r w:rsidR="00955254">
        <w:rPr>
          <w:szCs w:val="16"/>
          <w:lang w:val="es-CR"/>
        </w:rPr>
        <w:t>10</w:t>
      </w:r>
      <w:r w:rsidR="00642B48" w:rsidRPr="003424FD">
        <w:rPr>
          <w:szCs w:val="16"/>
          <w:lang w:val="es-CR"/>
        </w:rPr>
        <w:t xml:space="preserve">, </w:t>
      </w:r>
      <w:r w:rsidRPr="00E43450">
        <w:rPr>
          <w:szCs w:val="16"/>
          <w:lang w:val="es-CR"/>
        </w:rPr>
        <w:t>Considerando 11.</w:t>
      </w:r>
    </w:p>
  </w:footnote>
  <w:footnote w:id="42">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00642B48" w:rsidRPr="003424FD">
        <w:rPr>
          <w:i/>
          <w:szCs w:val="16"/>
          <w:lang w:val="es-CR"/>
        </w:rPr>
        <w:t>Cfr. Caso Cantoral Huamaní y García Santa Cruz Vs. Perú, supra</w:t>
      </w:r>
      <w:r w:rsidR="00955254">
        <w:rPr>
          <w:szCs w:val="16"/>
          <w:lang w:val="es-CR"/>
        </w:rPr>
        <w:t xml:space="preserve"> nota 11</w:t>
      </w:r>
      <w:r w:rsidR="00642B48" w:rsidRPr="003424FD">
        <w:rPr>
          <w:szCs w:val="16"/>
          <w:lang w:val="es-CR"/>
        </w:rPr>
        <w:t xml:space="preserve">, </w:t>
      </w:r>
      <w:r w:rsidRPr="00E43450">
        <w:rPr>
          <w:szCs w:val="16"/>
          <w:lang w:val="es-CR"/>
        </w:rPr>
        <w:t>Considerando 18.</w:t>
      </w:r>
    </w:p>
  </w:footnote>
  <w:footnote w:id="43">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00642B48" w:rsidRPr="003424FD">
        <w:rPr>
          <w:i/>
          <w:szCs w:val="16"/>
          <w:lang w:val="es-CR"/>
        </w:rPr>
        <w:t>Cfr. Caso Cantoral Huamaní y García Santa Cruz Vs. Perú, supra</w:t>
      </w:r>
      <w:r w:rsidR="00955254">
        <w:rPr>
          <w:szCs w:val="16"/>
          <w:lang w:val="es-CR"/>
        </w:rPr>
        <w:t xml:space="preserve"> nota 12</w:t>
      </w:r>
      <w:r w:rsidR="00642B48" w:rsidRPr="003424FD">
        <w:rPr>
          <w:szCs w:val="16"/>
          <w:lang w:val="es-CR"/>
        </w:rPr>
        <w:t xml:space="preserve">, </w:t>
      </w:r>
      <w:r w:rsidRPr="00E43450">
        <w:rPr>
          <w:szCs w:val="16"/>
          <w:lang w:val="es-CR"/>
        </w:rPr>
        <w:t>Considerando 12.</w:t>
      </w:r>
    </w:p>
  </w:footnote>
  <w:footnote w:id="44">
    <w:p w:rsidR="00EE2FF2" w:rsidRPr="00E43450" w:rsidRDefault="00EE2FF2" w:rsidP="0033501D">
      <w:pPr>
        <w:pStyle w:val="Textonotapie"/>
        <w:tabs>
          <w:tab w:val="left" w:pos="540"/>
          <w:tab w:val="left" w:pos="720"/>
        </w:tabs>
        <w:jc w:val="both"/>
        <w:rPr>
          <w:szCs w:val="16"/>
          <w:lang w:val="pt-BR"/>
        </w:rPr>
      </w:pPr>
      <w:r w:rsidRPr="00E43450">
        <w:rPr>
          <w:rStyle w:val="Refdenotaalpie"/>
          <w:szCs w:val="16"/>
        </w:rPr>
        <w:footnoteRef/>
      </w:r>
      <w:r w:rsidRPr="00E43450">
        <w:rPr>
          <w:szCs w:val="16"/>
          <w:lang w:val="pt-BR"/>
        </w:rPr>
        <w:t xml:space="preserve"> </w:t>
      </w:r>
      <w:r w:rsidRPr="00E43450">
        <w:rPr>
          <w:szCs w:val="16"/>
          <w:lang w:val="pt-BR"/>
        </w:rPr>
        <w:tab/>
      </w:r>
      <w:r w:rsidRPr="00E43450">
        <w:rPr>
          <w:i/>
          <w:szCs w:val="16"/>
          <w:lang w:val="pt-BR"/>
        </w:rPr>
        <w:t xml:space="preserve">Cfr. </w:t>
      </w:r>
      <w:r w:rsidRPr="00E43450">
        <w:rPr>
          <w:szCs w:val="16"/>
          <w:lang w:val="pt-BR"/>
        </w:rPr>
        <w:t>Informe estatal de 13 de agosto de 2013.</w:t>
      </w:r>
    </w:p>
  </w:footnote>
  <w:footnote w:id="45">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 xml:space="preserve">Escrito de observaciones de los representantes de las víctimas de 23 de septiembre de 2013. </w:t>
      </w:r>
    </w:p>
  </w:footnote>
  <w:footnote w:id="46">
    <w:p w:rsidR="00EE2FF2" w:rsidRPr="00431F2D" w:rsidRDefault="00EE2FF2" w:rsidP="0033501D">
      <w:pPr>
        <w:pStyle w:val="Textonotapie"/>
        <w:tabs>
          <w:tab w:val="left" w:pos="540"/>
          <w:tab w:val="left" w:pos="720"/>
        </w:tabs>
        <w:jc w:val="both"/>
        <w:rPr>
          <w:b/>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 xml:space="preserve">Video de acto de disculpas públicas de 23 de julio de 2013 (anexo al escrito de observaciones de los representantes de las víctimas de 23 de septiembre de 2013). </w:t>
      </w:r>
    </w:p>
  </w:footnote>
  <w:footnote w:id="47">
    <w:p w:rsidR="00EE2FF2" w:rsidRPr="0033501D"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t>Entre otras: i) nota de prensa publicada en el diario "La República" el 24 de julio de 2013, titulada "Estado ofrece disculpas públicas por casos de violaciones de DDHH"; ii) nota de prensa publicada en el diario "La Primera" el 24 de julio de 2013, titulada "El Estado pide perdón a familias de desaparecidos”; iii) nota de prens</w:t>
      </w:r>
      <w:r w:rsidRPr="00431F2D">
        <w:rPr>
          <w:szCs w:val="16"/>
          <w:lang w:val="es-CR"/>
        </w:rPr>
        <w:t>a publicada en el diario oficial "El Peruano" el 24 de julio de 2013, titulada "Jiménez: El Ejecutivo busca la reconciliación nacional", y iv) nota de prensa publicada en el "Diario 16" el 24 de julio de 2013, titulada "Estado ofrece disculpas a familiares</w:t>
      </w:r>
      <w:r w:rsidRPr="0033501D">
        <w:rPr>
          <w:szCs w:val="16"/>
          <w:lang w:val="es-CR"/>
        </w:rPr>
        <w:t xml:space="preserve"> de víctimas del grupo Rodrigo Franco y el SIE montesinista" (anexos al informe estatal de 13 de agosto de 2013).</w:t>
      </w:r>
    </w:p>
  </w:footnote>
  <w:footnote w:id="48">
    <w:p w:rsidR="00EE2FF2" w:rsidRPr="00E43450" w:rsidRDefault="00EE2FF2" w:rsidP="0033501D">
      <w:pPr>
        <w:pStyle w:val="Textonotapie"/>
        <w:tabs>
          <w:tab w:val="left" w:pos="540"/>
          <w:tab w:val="left" w:pos="720"/>
        </w:tabs>
        <w:jc w:val="both"/>
        <w:rPr>
          <w:b/>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 xml:space="preserve">Video de acto de disculpas públicas de 23 de julio de 2013 (anexo al escrito de observaciones de los representantes de </w:t>
      </w:r>
      <w:r w:rsidRPr="00431F2D">
        <w:rPr>
          <w:szCs w:val="16"/>
          <w:lang w:val="es-CR"/>
        </w:rPr>
        <w:t>las víctimas de 23 de septiembre de 2013). Asimismo, los representantes indicaron en dicho escrito de septiembre de 2013 que al iniciar el acto “30 minutos antes” de lo acordado con el Estado, “algunos familiares de Saúl Cantoral Huamaní no estuvier[o]n pr</w:t>
      </w:r>
      <w:r w:rsidRPr="0033501D">
        <w:rPr>
          <w:szCs w:val="16"/>
          <w:lang w:val="es-CR"/>
        </w:rPr>
        <w:t>esentes” en dicho acto, lo cual “generó malestar en los familiares de la víctima”.</w:t>
      </w:r>
      <w:r w:rsidR="004E0F3D">
        <w:rPr>
          <w:szCs w:val="16"/>
          <w:lang w:val="es-CR"/>
        </w:rPr>
        <w:t xml:space="preserve"> Escrito de observaciones de los representantes de 23 de septiembre de 2013.</w:t>
      </w:r>
    </w:p>
  </w:footnote>
  <w:footnote w:id="49">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 xml:space="preserve">Informe estatal de 14 de septiembre de 2015. </w:t>
      </w:r>
    </w:p>
  </w:footnote>
  <w:footnote w:id="50">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 xml:space="preserve">Escrito de observaciones de los representantes de 23 de septiembre de 2013. </w:t>
      </w:r>
    </w:p>
  </w:footnote>
  <w:footnote w:id="51">
    <w:p w:rsidR="00EE2FF2" w:rsidRPr="0033501D"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t xml:space="preserve">Los cuatro hijos del señor Cantoral Huamaní beneficiarios de la presente medida son: Marco Antonio Cantoral Lozano, Vanessa Cantoral Contreras, Brenda Cantoral Contreras y Rony Cantoral Contreras. </w:t>
      </w:r>
      <w:r w:rsidRPr="00431F2D">
        <w:rPr>
          <w:i/>
          <w:szCs w:val="16"/>
          <w:lang w:val="es-CR"/>
        </w:rPr>
        <w:t xml:space="preserve">Cfr. </w:t>
      </w:r>
      <w:r w:rsidRPr="0033501D">
        <w:rPr>
          <w:bCs/>
          <w:i/>
          <w:color w:val="000000"/>
          <w:szCs w:val="16"/>
          <w:lang w:val="es-CR"/>
        </w:rPr>
        <w:t xml:space="preserve">Caso Cantoral Huamaní y García Santa Cruz Vs. Perú, supra </w:t>
      </w:r>
      <w:r w:rsidRPr="0033501D">
        <w:rPr>
          <w:bCs/>
          <w:color w:val="000000"/>
          <w:szCs w:val="16"/>
          <w:lang w:val="es-CR"/>
        </w:rPr>
        <w:t>nota 1</w:t>
      </w:r>
      <w:r w:rsidRPr="0033501D">
        <w:rPr>
          <w:szCs w:val="16"/>
          <w:lang w:val="es-CR"/>
        </w:rPr>
        <w:t>, párrs. 160 y 194.</w:t>
      </w:r>
    </w:p>
  </w:footnote>
  <w:footnote w:id="52">
    <w:p w:rsidR="00EE2FF2" w:rsidRPr="00E43450" w:rsidRDefault="00EE2FF2" w:rsidP="001C2559">
      <w:pPr>
        <w:pStyle w:val="Textonotapie"/>
        <w:tabs>
          <w:tab w:val="left" w:pos="540"/>
          <w:tab w:val="left" w:pos="720"/>
          <w:tab w:val="left" w:pos="900"/>
        </w:tabs>
        <w:ind w:left="540" w:hanging="540"/>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t xml:space="preserve">Pelagia Mélida Contreras Montoya. </w:t>
      </w:r>
      <w:r w:rsidRPr="00E43450">
        <w:rPr>
          <w:i/>
          <w:szCs w:val="16"/>
          <w:lang w:val="es-CR"/>
        </w:rPr>
        <w:t>Cfr.</w:t>
      </w:r>
      <w:r w:rsidR="001C2559" w:rsidRPr="00431F2D">
        <w:rPr>
          <w:i/>
          <w:szCs w:val="16"/>
          <w:lang w:val="es-CR"/>
        </w:rPr>
        <w:t xml:space="preserve"> </w:t>
      </w:r>
      <w:r w:rsidR="001C2559" w:rsidRPr="00E43450">
        <w:rPr>
          <w:i/>
          <w:szCs w:val="16"/>
          <w:lang w:val="es-CR"/>
        </w:rPr>
        <w:t xml:space="preserve">Supra </w:t>
      </w:r>
      <w:r w:rsidR="001C2559" w:rsidRPr="00E43450">
        <w:rPr>
          <w:szCs w:val="16"/>
          <w:lang w:val="es-CR"/>
        </w:rPr>
        <w:t xml:space="preserve">nota </w:t>
      </w:r>
      <w:r w:rsidR="001C2559">
        <w:rPr>
          <w:szCs w:val="16"/>
          <w:lang w:val="es-CR"/>
        </w:rPr>
        <w:t>51</w:t>
      </w:r>
      <w:r w:rsidR="001C2559" w:rsidRPr="00E43450">
        <w:rPr>
          <w:szCs w:val="16"/>
          <w:lang w:val="es-CR"/>
        </w:rPr>
        <w:t>.</w:t>
      </w:r>
    </w:p>
  </w:footnote>
  <w:footnote w:id="53">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t xml:space="preserve">Ulises Cantoral Huamaní. </w:t>
      </w:r>
      <w:r w:rsidRPr="00E43450">
        <w:rPr>
          <w:i/>
          <w:szCs w:val="16"/>
          <w:lang w:val="es-CR"/>
        </w:rPr>
        <w:t xml:space="preserve">Cfr. Supra </w:t>
      </w:r>
      <w:r w:rsidRPr="00E43450">
        <w:rPr>
          <w:szCs w:val="16"/>
          <w:lang w:val="es-CR"/>
        </w:rPr>
        <w:t xml:space="preserve">nota </w:t>
      </w:r>
      <w:r w:rsidR="001C2559">
        <w:rPr>
          <w:szCs w:val="16"/>
          <w:lang w:val="es-CR"/>
        </w:rPr>
        <w:t>51</w:t>
      </w:r>
      <w:r w:rsidRPr="00E43450">
        <w:rPr>
          <w:szCs w:val="16"/>
          <w:lang w:val="es-CR"/>
        </w:rPr>
        <w:t>.</w:t>
      </w:r>
    </w:p>
  </w:footnote>
  <w:footnote w:id="54">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00C50172" w:rsidRPr="003424FD">
        <w:rPr>
          <w:i/>
          <w:szCs w:val="16"/>
          <w:lang w:val="es-CR"/>
        </w:rPr>
        <w:t>Cfr. Caso Cantoral Huamaní y García Santa Cruz Vs. Perú, supra</w:t>
      </w:r>
      <w:r w:rsidR="00C50172" w:rsidRPr="003424FD">
        <w:rPr>
          <w:szCs w:val="16"/>
          <w:lang w:val="es-CR"/>
        </w:rPr>
        <w:t xml:space="preserve"> nota </w:t>
      </w:r>
      <w:r w:rsidR="001C2559">
        <w:rPr>
          <w:szCs w:val="16"/>
          <w:lang w:val="es-CR"/>
        </w:rPr>
        <w:t>10</w:t>
      </w:r>
      <w:r w:rsidR="00C50172" w:rsidRPr="003424FD">
        <w:rPr>
          <w:szCs w:val="16"/>
          <w:lang w:val="es-CR"/>
        </w:rPr>
        <w:t xml:space="preserve">, </w:t>
      </w:r>
      <w:r w:rsidRPr="00E43450">
        <w:rPr>
          <w:szCs w:val="16"/>
          <w:lang w:val="es-CR"/>
        </w:rPr>
        <w:t>Considerando 11.</w:t>
      </w:r>
    </w:p>
  </w:footnote>
  <w:footnote w:id="55">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00C50172" w:rsidRPr="003424FD">
        <w:rPr>
          <w:i/>
          <w:szCs w:val="16"/>
          <w:lang w:val="es-CR"/>
        </w:rPr>
        <w:t>Cfr. Caso Cantoral Huamaní y García Santa Cruz Vs. Perú, supra</w:t>
      </w:r>
      <w:r w:rsidR="001C2559">
        <w:rPr>
          <w:szCs w:val="16"/>
          <w:lang w:val="es-CR"/>
        </w:rPr>
        <w:t xml:space="preserve"> nota 11</w:t>
      </w:r>
      <w:r w:rsidR="00C50172" w:rsidRPr="003424FD">
        <w:rPr>
          <w:szCs w:val="16"/>
          <w:lang w:val="es-CR"/>
        </w:rPr>
        <w:t xml:space="preserve">, </w:t>
      </w:r>
      <w:r w:rsidRPr="00E43450">
        <w:rPr>
          <w:szCs w:val="16"/>
          <w:lang w:val="es-CR"/>
        </w:rPr>
        <w:t>Considerando 24.</w:t>
      </w:r>
    </w:p>
  </w:footnote>
  <w:footnote w:id="56">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00C50172" w:rsidRPr="003424FD">
        <w:rPr>
          <w:i/>
          <w:szCs w:val="16"/>
          <w:lang w:val="es-CR"/>
        </w:rPr>
        <w:t>Cfr. Caso Cantoral Huamaní y García Santa Cruz Vs. Perú, supra</w:t>
      </w:r>
      <w:r w:rsidR="001C2559">
        <w:rPr>
          <w:szCs w:val="16"/>
          <w:lang w:val="es-CR"/>
        </w:rPr>
        <w:t xml:space="preserve"> nota 12</w:t>
      </w:r>
      <w:r w:rsidR="00C50172" w:rsidRPr="003424FD">
        <w:rPr>
          <w:szCs w:val="16"/>
          <w:lang w:val="es-CR"/>
        </w:rPr>
        <w:t xml:space="preserve">, </w:t>
      </w:r>
      <w:r w:rsidRPr="00E43450">
        <w:rPr>
          <w:szCs w:val="16"/>
          <w:lang w:val="es-CR"/>
        </w:rPr>
        <w:t>Considerandos 17 y 18.</w:t>
      </w:r>
    </w:p>
  </w:footnote>
  <w:footnote w:id="57">
    <w:p w:rsidR="00EE2FF2" w:rsidRPr="00431F2D"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00C50172" w:rsidRPr="003424FD">
        <w:rPr>
          <w:i/>
          <w:szCs w:val="16"/>
          <w:lang w:val="es-CR"/>
        </w:rPr>
        <w:t>Cfr. Caso Cantoral Huamaní y García Santa Cruz Vs. Perú, supra</w:t>
      </w:r>
      <w:r w:rsidR="00C50172" w:rsidRPr="003424FD">
        <w:rPr>
          <w:szCs w:val="16"/>
          <w:lang w:val="es-CR"/>
        </w:rPr>
        <w:t xml:space="preserve"> nota</w:t>
      </w:r>
      <w:r w:rsidR="001C2559">
        <w:rPr>
          <w:szCs w:val="16"/>
          <w:lang w:val="es-CR"/>
        </w:rPr>
        <w:t>s</w:t>
      </w:r>
      <w:r w:rsidR="00C50172" w:rsidRPr="003424FD">
        <w:rPr>
          <w:szCs w:val="16"/>
          <w:lang w:val="es-CR"/>
        </w:rPr>
        <w:t xml:space="preserve"> </w:t>
      </w:r>
      <w:r w:rsidR="001C2559">
        <w:rPr>
          <w:szCs w:val="16"/>
          <w:lang w:val="es-CR"/>
        </w:rPr>
        <w:t>11 y 12</w:t>
      </w:r>
      <w:r w:rsidR="00C50172" w:rsidRPr="003424FD">
        <w:rPr>
          <w:szCs w:val="16"/>
          <w:lang w:val="es-CR"/>
        </w:rPr>
        <w:t xml:space="preserve">, </w:t>
      </w:r>
      <w:r w:rsidR="00C50172">
        <w:rPr>
          <w:szCs w:val="16"/>
          <w:lang w:val="es-CR"/>
        </w:rPr>
        <w:t>Considerandos 25 y 19, respectivamente</w:t>
      </w:r>
      <w:r w:rsidRPr="00431F2D">
        <w:rPr>
          <w:szCs w:val="16"/>
          <w:lang w:val="es-CR"/>
        </w:rPr>
        <w:t>.</w:t>
      </w:r>
    </w:p>
  </w:footnote>
  <w:footnote w:id="58">
    <w:p w:rsidR="00EE2FF2" w:rsidRPr="00431F2D" w:rsidRDefault="00EE2FF2" w:rsidP="0033501D">
      <w:pPr>
        <w:pStyle w:val="Textonotapie"/>
        <w:tabs>
          <w:tab w:val="left" w:pos="540"/>
          <w:tab w:val="left" w:pos="720"/>
        </w:tabs>
        <w:jc w:val="both"/>
        <w:rPr>
          <w:szCs w:val="16"/>
          <w:highlight w:val="green"/>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 xml:space="preserve">Informes estatales de 9 de agosto de 2011, 16 de octubre de 2012 y 15 de diciembre de 2016, así como escritos de observaciones de los representantes de las víctimas de 17 de noviembre de 2011, 16 de noviembre de 2012 y 20 de enero de 2017. </w:t>
      </w:r>
    </w:p>
  </w:footnote>
  <w:footnote w:id="59">
    <w:p w:rsidR="00EE2FF2" w:rsidRPr="0033501D"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Comprobante de “grado o título” registrado a nombre de Brenda Cantoral Contreras del “Registro nacional de grados académicos y títulos profesionales” de la “Superintendencia Nacional de Educación Superior Universitaria” del Ministerio de Educación de la República del P</w:t>
      </w:r>
      <w:r w:rsidRPr="00431F2D">
        <w:rPr>
          <w:szCs w:val="16"/>
          <w:lang w:val="es-CR"/>
        </w:rPr>
        <w:t>erú (anexo al informe estatal de 15 de diciembre de 2016).</w:t>
      </w:r>
    </w:p>
  </w:footnote>
  <w:footnote w:id="60">
    <w:p w:rsidR="00EE2FF2" w:rsidRPr="00431F2D"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Comprobante</w:t>
      </w:r>
      <w:r w:rsidR="00621A84">
        <w:rPr>
          <w:szCs w:val="16"/>
          <w:lang w:val="es-CR"/>
        </w:rPr>
        <w:t xml:space="preserve"> de “grado o título” registrado</w:t>
      </w:r>
      <w:r w:rsidRPr="00E43450">
        <w:rPr>
          <w:szCs w:val="16"/>
          <w:lang w:val="es-CR"/>
        </w:rPr>
        <w:t xml:space="preserve"> a nombre de Pelagia Mélida Contreras Montoya del “Registro nacional de grados académicos y títulos profesionales”, </w:t>
      </w:r>
      <w:r w:rsidRPr="00E43450">
        <w:rPr>
          <w:i/>
          <w:szCs w:val="16"/>
          <w:lang w:val="es-CR"/>
        </w:rPr>
        <w:t xml:space="preserve">supra </w:t>
      </w:r>
      <w:r w:rsidRPr="00431F2D">
        <w:rPr>
          <w:szCs w:val="16"/>
          <w:lang w:val="es-CR"/>
        </w:rPr>
        <w:t xml:space="preserve">nota </w:t>
      </w:r>
      <w:r w:rsidR="00B9732B">
        <w:rPr>
          <w:szCs w:val="16"/>
          <w:lang w:val="es-CR"/>
        </w:rPr>
        <w:t>5</w:t>
      </w:r>
      <w:r w:rsidR="00621A84">
        <w:rPr>
          <w:szCs w:val="16"/>
          <w:lang w:val="es-CR"/>
        </w:rPr>
        <w:t>9</w:t>
      </w:r>
      <w:r w:rsidRPr="00E43450">
        <w:rPr>
          <w:szCs w:val="16"/>
          <w:lang w:val="es-CR"/>
        </w:rPr>
        <w:t>.</w:t>
      </w:r>
    </w:p>
  </w:footnote>
  <w:footnote w:id="61">
    <w:p w:rsidR="00EE2FF2" w:rsidRPr="00431F2D" w:rsidRDefault="00EE2FF2" w:rsidP="0033501D">
      <w:pPr>
        <w:pStyle w:val="Textonotapie"/>
        <w:tabs>
          <w:tab w:val="left" w:pos="540"/>
          <w:tab w:val="left" w:pos="720"/>
        </w:tabs>
        <w:jc w:val="both"/>
        <w:rPr>
          <w:i/>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Oficio de 14 de junio de 2011 suscrito por el Jefe de la Oficina de Apoyo a la Administración de la Educación (anexo al informe estatal de 9 de agosto de 2011), informe estatal de 15 de diciembre de 2016, así como escrito de observaciones de</w:t>
      </w:r>
      <w:r w:rsidRPr="00431F2D">
        <w:rPr>
          <w:szCs w:val="16"/>
          <w:lang w:val="es-CR"/>
        </w:rPr>
        <w:t xml:space="preserve"> los representantes de las víctimas 20 de enero de 2017.</w:t>
      </w:r>
    </w:p>
  </w:footnote>
  <w:footnote w:id="62">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Escritos de los representantes de las víctimas de 16 de noviembre de 2012 y 20 de enero de 2017.</w:t>
      </w:r>
    </w:p>
  </w:footnote>
  <w:footnote w:id="63">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Informe estatal de 15 de diciembre de 2016 y escritos de los representantes de las víctimas de 16 de noviembre de 2012 y 20 de enero de 2017.</w:t>
      </w:r>
    </w:p>
  </w:footnote>
  <w:footnote w:id="64">
    <w:p w:rsidR="007C269F" w:rsidRPr="007C269F" w:rsidRDefault="007C269F" w:rsidP="007C269F">
      <w:pPr>
        <w:pStyle w:val="Textonotapie"/>
        <w:tabs>
          <w:tab w:val="left" w:pos="540"/>
        </w:tabs>
        <w:rPr>
          <w:lang w:val="es-CR"/>
        </w:rPr>
      </w:pPr>
      <w:r>
        <w:rPr>
          <w:rStyle w:val="Refdenotaalpie"/>
        </w:rPr>
        <w:footnoteRef/>
      </w:r>
      <w:r w:rsidRPr="007C269F">
        <w:rPr>
          <w:lang w:val="es-CR"/>
        </w:rPr>
        <w:t xml:space="preserve"> </w:t>
      </w:r>
      <w:r>
        <w:rPr>
          <w:lang w:val="es-CR"/>
        </w:rPr>
        <w:tab/>
      </w:r>
      <w:r w:rsidRPr="00E43450">
        <w:rPr>
          <w:i/>
          <w:szCs w:val="16"/>
          <w:lang w:val="es-CR"/>
        </w:rPr>
        <w:t xml:space="preserve">Cfr. </w:t>
      </w:r>
      <w:r w:rsidRPr="00E43450">
        <w:rPr>
          <w:szCs w:val="16"/>
          <w:lang w:val="es-CR"/>
        </w:rPr>
        <w:t>Escrito de observaciones de los representantes de las víctimas de 20 de enero de 2017.</w:t>
      </w:r>
    </w:p>
  </w:footnote>
  <w:footnote w:id="65">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Escrito de observaciones de los representantes de las víctimas de 20 de enero de 2017.</w:t>
      </w:r>
    </w:p>
  </w:footnote>
  <w:footnote w:id="66">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Escrito</w:t>
      </w:r>
      <w:r w:rsidR="00535053">
        <w:rPr>
          <w:szCs w:val="16"/>
          <w:lang w:val="es-CR"/>
        </w:rPr>
        <w:t>s</w:t>
      </w:r>
      <w:r w:rsidRPr="00E43450">
        <w:rPr>
          <w:szCs w:val="16"/>
          <w:lang w:val="es-CR"/>
        </w:rPr>
        <w:t xml:space="preserve"> de observaciones de los representantes de las víctimas de 17 de noviembre de 2011 y 16 de noviembre de 2012.</w:t>
      </w:r>
    </w:p>
  </w:footnote>
  <w:footnote w:id="67">
    <w:p w:rsidR="00EE2FF2" w:rsidRPr="00431F2D"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Informes estatales de 9 de agosto de 2011, 16 de octubre de 2012 y 15 de diciembre de 2016.</w:t>
      </w:r>
    </w:p>
  </w:footnote>
  <w:footnote w:id="68">
    <w:p w:rsidR="00EE2FF2" w:rsidRPr="0033501D" w:rsidRDefault="00EE2FF2" w:rsidP="00E43450">
      <w:pPr>
        <w:pStyle w:val="Textonotapie"/>
        <w:tabs>
          <w:tab w:val="left" w:pos="540"/>
          <w:tab w:val="left" w:pos="720"/>
        </w:tabs>
        <w:jc w:val="both"/>
        <w:rPr>
          <w:b/>
          <w:szCs w:val="16"/>
          <w:lang w:val="es-CR"/>
        </w:rPr>
      </w:pPr>
      <w:r w:rsidRPr="00E43450">
        <w:rPr>
          <w:rStyle w:val="Refdenotaalpie"/>
          <w:szCs w:val="16"/>
        </w:rPr>
        <w:footnoteRef/>
      </w:r>
      <w:r w:rsidRPr="00E43450">
        <w:rPr>
          <w:szCs w:val="16"/>
          <w:lang w:val="es-CR"/>
        </w:rPr>
        <w:t xml:space="preserve"> </w:t>
      </w:r>
      <w:r w:rsidRPr="00E43450">
        <w:rPr>
          <w:szCs w:val="16"/>
          <w:lang w:val="es-CR"/>
        </w:rPr>
        <w:tab/>
        <w:t>El Estado indicó que “Brenda Cantoral Contreras […] solicitó acceder al Curso de actualización profesional de la Escuela Académica P</w:t>
      </w:r>
      <w:r w:rsidRPr="00431F2D">
        <w:rPr>
          <w:szCs w:val="16"/>
          <w:lang w:val="es-CR"/>
        </w:rPr>
        <w:t>rofesional de Antropología de la Facultad de Ciencias Sociales de la Universidad Nacional Mayor de San Marcos para obtener el título profesional de Licenciada en Antropología”, gestión que “se realizó directamente ante dicha universidad obteniéndose el ped</w:t>
      </w:r>
      <w:r w:rsidRPr="0033501D">
        <w:rPr>
          <w:szCs w:val="16"/>
          <w:lang w:val="es-CR"/>
        </w:rPr>
        <w:t xml:space="preserve">ido solicitado”. Respecto a Pelagia Mélida Contreras Montoya, el Perú señaló que “solicit[ó] la exoneración de los pagos para el trámite de obtención del título de Administración de Empresas en la Universidad San Luis Gonzaga de Ica, gestión que se realizó directamente, obteniéndose el pedido solicitado”. </w:t>
      </w:r>
      <w:r w:rsidRPr="0033501D">
        <w:rPr>
          <w:i/>
          <w:szCs w:val="16"/>
          <w:lang w:val="es-CR"/>
        </w:rPr>
        <w:t xml:space="preserve">Cfr. </w:t>
      </w:r>
      <w:r w:rsidRPr="0033501D">
        <w:rPr>
          <w:szCs w:val="16"/>
          <w:lang w:val="es-CR"/>
        </w:rPr>
        <w:t>Informe estatal de 16 de octubre de 2012.</w:t>
      </w:r>
    </w:p>
  </w:footnote>
  <w:footnote w:id="69">
    <w:p w:rsidR="00621A84" w:rsidRPr="00621A84" w:rsidRDefault="00621A84" w:rsidP="00621A84">
      <w:pPr>
        <w:pStyle w:val="Textonotapie"/>
        <w:tabs>
          <w:tab w:val="left" w:pos="547"/>
          <w:tab w:val="left" w:pos="630"/>
        </w:tabs>
        <w:rPr>
          <w:lang w:val="es-CR"/>
        </w:rPr>
      </w:pPr>
      <w:r>
        <w:rPr>
          <w:rStyle w:val="Refdenotaalpie"/>
        </w:rPr>
        <w:footnoteRef/>
      </w:r>
      <w:r w:rsidRPr="00621A84">
        <w:rPr>
          <w:lang w:val="es-CR"/>
        </w:rPr>
        <w:t xml:space="preserve"> </w:t>
      </w:r>
      <w:r>
        <w:rPr>
          <w:lang w:val="es-CR"/>
        </w:rPr>
        <w:tab/>
      </w:r>
      <w:r w:rsidRPr="00E43450">
        <w:rPr>
          <w:i/>
          <w:szCs w:val="16"/>
          <w:lang w:val="es-CR"/>
        </w:rPr>
        <w:t xml:space="preserve">Cfr. </w:t>
      </w:r>
      <w:r w:rsidRPr="00E43450">
        <w:rPr>
          <w:szCs w:val="16"/>
          <w:lang w:val="es-CR"/>
        </w:rPr>
        <w:t xml:space="preserve">Escrito de observaciones de los representantes de las </w:t>
      </w:r>
      <w:r w:rsidRPr="00621A84">
        <w:rPr>
          <w:szCs w:val="16"/>
          <w:lang w:val="es-CR"/>
        </w:rPr>
        <w:t xml:space="preserve">víctimas de </w:t>
      </w:r>
      <w:r w:rsidRPr="00621A84">
        <w:rPr>
          <w:szCs w:val="16"/>
          <w:lang w:val="es-ES"/>
        </w:rPr>
        <w:t>16 de noviembre 2012</w:t>
      </w:r>
      <w:r w:rsidRPr="00621A84">
        <w:rPr>
          <w:szCs w:val="16"/>
          <w:lang w:val="es-CR"/>
        </w:rPr>
        <w:t>.</w:t>
      </w:r>
    </w:p>
  </w:footnote>
  <w:footnote w:id="70">
    <w:p w:rsidR="00EE2FF2" w:rsidRPr="00E43450" w:rsidRDefault="00EE2FF2" w:rsidP="00E43450">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 xml:space="preserve">Escrito de observaciones de los representantes de las víctimas de 20 de enero de 2017. </w:t>
      </w:r>
    </w:p>
  </w:footnote>
  <w:footnote w:id="71">
    <w:p w:rsidR="00792D97" w:rsidRPr="00792D97" w:rsidRDefault="00792D97" w:rsidP="00792D97">
      <w:pPr>
        <w:pStyle w:val="Textonotapie"/>
        <w:tabs>
          <w:tab w:val="left" w:pos="547"/>
          <w:tab w:val="left" w:pos="720"/>
        </w:tabs>
        <w:rPr>
          <w:lang w:val="es-CR"/>
        </w:rPr>
      </w:pPr>
      <w:r>
        <w:rPr>
          <w:rStyle w:val="Refdenotaalpie"/>
        </w:rPr>
        <w:footnoteRef/>
      </w:r>
      <w:r w:rsidRPr="00792D97">
        <w:rPr>
          <w:lang w:val="es-CR"/>
        </w:rPr>
        <w:t xml:space="preserve"> </w:t>
      </w:r>
      <w:r>
        <w:rPr>
          <w:lang w:val="es-CR"/>
        </w:rPr>
        <w:tab/>
      </w:r>
      <w:r w:rsidRPr="00E43450">
        <w:rPr>
          <w:i/>
          <w:szCs w:val="16"/>
          <w:lang w:val="es-CR"/>
        </w:rPr>
        <w:t xml:space="preserve">Cfr. </w:t>
      </w:r>
      <w:r w:rsidRPr="00E43450">
        <w:rPr>
          <w:szCs w:val="16"/>
          <w:lang w:val="es-CR"/>
        </w:rPr>
        <w:t>Escrito de observaciones de los representantes de las víctimas de 20 de enero de 2017.</w:t>
      </w:r>
    </w:p>
  </w:footnote>
  <w:footnote w:id="72">
    <w:p w:rsidR="00EE2FF2" w:rsidRPr="00E43450" w:rsidRDefault="00EE2FF2" w:rsidP="00E43450">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t xml:space="preserve">El único informe estatal presentado con posterioridad al escrito de los representantes de enero de 2017 </w:t>
      </w:r>
      <w:r w:rsidR="00460197">
        <w:rPr>
          <w:szCs w:val="16"/>
          <w:lang w:val="es-CR"/>
        </w:rPr>
        <w:t xml:space="preserve">se </w:t>
      </w:r>
      <w:r w:rsidRPr="00E43450">
        <w:rPr>
          <w:szCs w:val="16"/>
          <w:lang w:val="es-CR"/>
        </w:rPr>
        <w:t>refiere a la</w:t>
      </w:r>
      <w:r w:rsidR="00152E1C">
        <w:rPr>
          <w:szCs w:val="16"/>
          <w:lang w:val="es-CR"/>
        </w:rPr>
        <w:t>s</w:t>
      </w:r>
      <w:r w:rsidRPr="00E43450">
        <w:rPr>
          <w:szCs w:val="16"/>
          <w:lang w:val="es-CR"/>
        </w:rPr>
        <w:t xml:space="preserve"> medida</w:t>
      </w:r>
      <w:r w:rsidR="00152E1C">
        <w:rPr>
          <w:szCs w:val="16"/>
          <w:lang w:val="es-CR"/>
        </w:rPr>
        <w:t>s</w:t>
      </w:r>
      <w:r w:rsidRPr="00E43450">
        <w:rPr>
          <w:szCs w:val="16"/>
          <w:lang w:val="es-CR"/>
        </w:rPr>
        <w:t xml:space="preserve"> relativa</w:t>
      </w:r>
      <w:r w:rsidR="00152E1C">
        <w:rPr>
          <w:szCs w:val="16"/>
          <w:lang w:val="es-CR"/>
        </w:rPr>
        <w:t>s</w:t>
      </w:r>
      <w:r w:rsidRPr="00E43450">
        <w:rPr>
          <w:szCs w:val="16"/>
          <w:lang w:val="es-CR"/>
        </w:rPr>
        <w:t xml:space="preserve"> a la publicación</w:t>
      </w:r>
      <w:r w:rsidR="00152E1C">
        <w:rPr>
          <w:szCs w:val="16"/>
          <w:lang w:val="es-CR"/>
        </w:rPr>
        <w:t xml:space="preserve"> y difusión</w:t>
      </w:r>
      <w:r w:rsidRPr="00E43450">
        <w:rPr>
          <w:szCs w:val="16"/>
          <w:lang w:val="es-CR"/>
        </w:rPr>
        <w:t xml:space="preserve"> de la Sentencia. </w:t>
      </w:r>
      <w:r w:rsidRPr="00E43450">
        <w:rPr>
          <w:i/>
          <w:szCs w:val="16"/>
          <w:lang w:val="es-CR"/>
        </w:rPr>
        <w:t xml:space="preserve">Cfr. </w:t>
      </w:r>
      <w:r w:rsidRPr="00E43450">
        <w:rPr>
          <w:szCs w:val="16"/>
          <w:lang w:val="es-CR"/>
        </w:rPr>
        <w:t xml:space="preserve">Informe estatal de 23 de agosto de 2018. </w:t>
      </w:r>
    </w:p>
  </w:footnote>
  <w:footnote w:id="73">
    <w:p w:rsidR="00EE2FF2" w:rsidRPr="00E43450" w:rsidRDefault="00EE2FF2" w:rsidP="00E43450">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t>Considerando 25 de la Resolución de supervisión de cumplimiento de septiembre de 2009 y considerando 19 de la Resolución de supervisión de cumplimiento de febrero de 2011.</w:t>
      </w:r>
    </w:p>
  </w:footnote>
  <w:footnote w:id="74">
    <w:p w:rsidR="00EE2FF2" w:rsidRPr="00E43450" w:rsidRDefault="00EE2FF2" w:rsidP="00E43450">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Escrito de observaciones de los representantes de las víctimas de 20 de enero de 2017.</w:t>
      </w:r>
    </w:p>
  </w:footnote>
  <w:footnote w:id="75">
    <w:p w:rsidR="00EE2FF2" w:rsidRPr="00E43450" w:rsidRDefault="00EE2FF2" w:rsidP="00431F2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Copia del carné universitario de Rony Cantoral Contreras y copia del recibo de 4 de enero de 2017 emitido por la Universidad Inca Garcilaso de la Vega a nombre de la referida víctima (anexo al escrito de los representantes de las víctimas de 20 de enero de 2017).</w:t>
      </w:r>
    </w:p>
  </w:footnote>
  <w:footnote w:id="76">
    <w:p w:rsidR="00EE2FF2" w:rsidRPr="00431F2D"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t>El único informe estatal presentado con posterioridad al escrito de los representantes de enero de 2017 refiere a la</w:t>
      </w:r>
      <w:r w:rsidR="00152E1C">
        <w:rPr>
          <w:szCs w:val="16"/>
          <w:lang w:val="es-CR"/>
        </w:rPr>
        <w:t>s</w:t>
      </w:r>
      <w:r w:rsidRPr="00E43450">
        <w:rPr>
          <w:szCs w:val="16"/>
          <w:lang w:val="es-CR"/>
        </w:rPr>
        <w:t xml:space="preserve"> medida</w:t>
      </w:r>
      <w:r w:rsidR="00152E1C">
        <w:rPr>
          <w:szCs w:val="16"/>
          <w:lang w:val="es-CR"/>
        </w:rPr>
        <w:t>s</w:t>
      </w:r>
      <w:r w:rsidRPr="00E43450">
        <w:rPr>
          <w:szCs w:val="16"/>
          <w:lang w:val="es-CR"/>
        </w:rPr>
        <w:t xml:space="preserve"> relativa</w:t>
      </w:r>
      <w:r w:rsidR="00152E1C">
        <w:rPr>
          <w:szCs w:val="16"/>
          <w:lang w:val="es-CR"/>
        </w:rPr>
        <w:t>s</w:t>
      </w:r>
      <w:r w:rsidRPr="00E43450">
        <w:rPr>
          <w:szCs w:val="16"/>
          <w:lang w:val="es-CR"/>
        </w:rPr>
        <w:t xml:space="preserve"> a la publicación </w:t>
      </w:r>
      <w:r w:rsidR="007055A3">
        <w:rPr>
          <w:szCs w:val="16"/>
          <w:lang w:val="es-CR"/>
        </w:rPr>
        <w:t xml:space="preserve">y difusión </w:t>
      </w:r>
      <w:r w:rsidRPr="00E43450">
        <w:rPr>
          <w:szCs w:val="16"/>
          <w:lang w:val="es-CR"/>
        </w:rPr>
        <w:t xml:space="preserve">de la Sentencia. </w:t>
      </w:r>
      <w:r w:rsidRPr="00431F2D">
        <w:rPr>
          <w:i/>
          <w:szCs w:val="16"/>
          <w:lang w:val="es-CR"/>
        </w:rPr>
        <w:t xml:space="preserve">Cfr. </w:t>
      </w:r>
      <w:r w:rsidRPr="00431F2D">
        <w:rPr>
          <w:szCs w:val="16"/>
          <w:lang w:val="es-CR"/>
        </w:rPr>
        <w:t xml:space="preserve">Informe estatal de 23 de agosto de 2018. </w:t>
      </w:r>
    </w:p>
  </w:footnote>
  <w:footnote w:id="77">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Escrito</w:t>
      </w:r>
      <w:r w:rsidR="00ED399C">
        <w:rPr>
          <w:szCs w:val="16"/>
          <w:lang w:val="es-CR"/>
        </w:rPr>
        <w:t>s</w:t>
      </w:r>
      <w:r w:rsidRPr="00E43450">
        <w:rPr>
          <w:szCs w:val="16"/>
          <w:lang w:val="es-CR"/>
        </w:rPr>
        <w:t xml:space="preserve"> de observaciones de los representantes de las víctimas de 16 de noviembre de 2012 y 20 de enero de 2017, así como informe estatal de 15 de diciembre de 2016.</w:t>
      </w:r>
    </w:p>
  </w:footnote>
  <w:footnote w:id="78">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Escritos de observaciones de los representantes de las víctimas de 20 de enero de 2017 y de la Comisión Interamericana de 4 de abril de 2017.</w:t>
      </w:r>
    </w:p>
  </w:footnote>
  <w:footnote w:id="79">
    <w:p w:rsidR="00EE2FF2" w:rsidRPr="001952AA" w:rsidRDefault="00EE2FF2" w:rsidP="001952AA">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t>Los familiares de Saúl Cantoral Huamaní declarados víctimas y que serían beneficiarios de la presente medida son: Pelagia Mélida Contreras Montoya de Cantoral (esposa); Marco Antonio Cantoral Lozano, Vanes</w:t>
      </w:r>
      <w:r w:rsidRPr="00431F2D">
        <w:rPr>
          <w:szCs w:val="16"/>
          <w:lang w:val="es-CR"/>
        </w:rPr>
        <w:t>sa Cantoral Contreras, Brenda Cantoral Contreras y Rony Cantoral Contreras (hijos); Juan Cantoral Huamaní, Ulises Cantoral Huamaní, Eloy Cantoral Huamaní, Gertrudis Victoria Cantoral Huamaní, Angélica Cantoral Huamaní (hermanos). Los familiares de Consuelo</w:t>
      </w:r>
      <w:r w:rsidRPr="0033501D">
        <w:rPr>
          <w:szCs w:val="16"/>
          <w:lang w:val="es-CR"/>
        </w:rPr>
        <w:t xml:space="preserve"> García Santa Cruz declarados víctimas y que serían beneficiarios de la presente medida son: Amelia Beatriz Santa Cruz Portocarrero (madre); Rosa Amelia García Santa Cruz, Manuel Fernando García Santa Cruz, María Elena García Santa Cruz, Walter Ernesto García Santa Cruz, Mercedes Grimaneza García Santa Cruz y Jesús Enrique García Santa Cruz (hermanos). </w:t>
      </w:r>
      <w:r w:rsidRPr="0033501D">
        <w:rPr>
          <w:i/>
          <w:szCs w:val="16"/>
          <w:lang w:val="es-CR"/>
        </w:rPr>
        <w:t xml:space="preserve">Cfr. </w:t>
      </w:r>
      <w:r w:rsidRPr="0033501D">
        <w:rPr>
          <w:bCs/>
          <w:i/>
          <w:color w:val="000000"/>
          <w:szCs w:val="16"/>
          <w:lang w:val="es-CR"/>
        </w:rPr>
        <w:t xml:space="preserve">Caso Cantoral Huamaní y García Santa Cruz Vs. Perú, supra </w:t>
      </w:r>
      <w:r w:rsidRPr="0033501D">
        <w:rPr>
          <w:bCs/>
          <w:color w:val="000000"/>
          <w:szCs w:val="16"/>
          <w:lang w:val="es-CR"/>
        </w:rPr>
        <w:t>nota 1</w:t>
      </w:r>
      <w:r w:rsidRPr="0033501D">
        <w:rPr>
          <w:szCs w:val="16"/>
          <w:lang w:val="es-CR"/>
        </w:rPr>
        <w:t xml:space="preserve">, párrs. 160 y </w:t>
      </w:r>
      <w:r w:rsidRPr="001952AA">
        <w:rPr>
          <w:szCs w:val="16"/>
          <w:lang w:val="es-CR"/>
        </w:rPr>
        <w:t>200.</w:t>
      </w:r>
    </w:p>
  </w:footnote>
  <w:footnote w:id="80">
    <w:p w:rsidR="00EE2FF2" w:rsidRPr="0033501D" w:rsidRDefault="00EE2FF2" w:rsidP="00E43450">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t xml:space="preserve">Respecto a Vanessa Cantoral y Brenda Cantoral Contreras, la Corte consideró que, en caso que “fuere el deseo” de dichas víctimas, el Estado debía “posibilitar la continuación del tratamiento psicológico en las condiciones en que lo están recibiendo a la fecha de emisión de </w:t>
      </w:r>
      <w:r w:rsidR="001952AA">
        <w:rPr>
          <w:szCs w:val="16"/>
          <w:lang w:val="es-CR"/>
        </w:rPr>
        <w:t>[la]</w:t>
      </w:r>
      <w:r w:rsidRPr="00E43450">
        <w:rPr>
          <w:szCs w:val="16"/>
          <w:lang w:val="es-CR"/>
        </w:rPr>
        <w:t xml:space="preserve"> Sentencia, por el tiempo que resulte necesario. En la eventualidad que éstas manifestaren lo contrario, deberá ponerse a su disposición el tratamiento psicológico que será brindado a los demás familiares”. </w:t>
      </w:r>
      <w:r w:rsidRPr="00431F2D">
        <w:rPr>
          <w:i/>
          <w:color w:val="000000"/>
          <w:szCs w:val="16"/>
          <w:lang w:val="es-CR"/>
        </w:rPr>
        <w:t xml:space="preserve">Cfr. </w:t>
      </w:r>
      <w:r w:rsidRPr="00431F2D">
        <w:rPr>
          <w:bCs/>
          <w:i/>
          <w:color w:val="000000"/>
          <w:szCs w:val="16"/>
          <w:lang w:val="es-CR"/>
        </w:rPr>
        <w:t>Caso Cantoral Huamaní y García Santa Cruz Vs. Perú, supra</w:t>
      </w:r>
      <w:r w:rsidRPr="0033501D">
        <w:rPr>
          <w:bCs/>
          <w:color w:val="000000"/>
          <w:szCs w:val="16"/>
          <w:lang w:val="es-CR"/>
        </w:rPr>
        <w:t xml:space="preserve"> nota 1, párr. 202.</w:t>
      </w:r>
    </w:p>
  </w:footnote>
  <w:footnote w:id="81">
    <w:p w:rsidR="00EE2FF2" w:rsidRPr="00E43450" w:rsidRDefault="00EE2FF2" w:rsidP="00E43450">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00D53E6A" w:rsidRPr="003424FD">
        <w:rPr>
          <w:i/>
          <w:szCs w:val="16"/>
          <w:lang w:val="es-CR"/>
        </w:rPr>
        <w:t>Cfr. Caso Cantoral Huamaní y García Santa Cruz Vs. Perú, supra</w:t>
      </w:r>
      <w:r w:rsidR="00D53E6A" w:rsidRPr="003424FD">
        <w:rPr>
          <w:szCs w:val="16"/>
          <w:lang w:val="es-CR"/>
        </w:rPr>
        <w:t xml:space="preserve"> nota </w:t>
      </w:r>
      <w:r w:rsidR="00AD0199">
        <w:rPr>
          <w:szCs w:val="16"/>
          <w:lang w:val="es-CR"/>
        </w:rPr>
        <w:t>10</w:t>
      </w:r>
      <w:r w:rsidR="00D53E6A" w:rsidRPr="003424FD">
        <w:rPr>
          <w:szCs w:val="16"/>
          <w:lang w:val="es-CR"/>
        </w:rPr>
        <w:t xml:space="preserve">, </w:t>
      </w:r>
      <w:r w:rsidRPr="00E43450">
        <w:rPr>
          <w:szCs w:val="16"/>
          <w:lang w:val="es-CR"/>
        </w:rPr>
        <w:t>Considerando 11.</w:t>
      </w:r>
    </w:p>
  </w:footnote>
  <w:footnote w:id="82">
    <w:p w:rsidR="00EE2FF2" w:rsidRPr="00E43450" w:rsidRDefault="00EE2FF2" w:rsidP="00E43450">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00D53E6A" w:rsidRPr="003424FD">
        <w:rPr>
          <w:i/>
          <w:szCs w:val="16"/>
          <w:lang w:val="es-CR"/>
        </w:rPr>
        <w:t>Cfr. Caso Cantoral Huamaní y García Santa Cruz Vs. Perú, supra</w:t>
      </w:r>
      <w:r w:rsidR="00AD0199">
        <w:rPr>
          <w:szCs w:val="16"/>
          <w:lang w:val="es-CR"/>
        </w:rPr>
        <w:t xml:space="preserve"> nota 11</w:t>
      </w:r>
      <w:r w:rsidR="00D53E6A" w:rsidRPr="003424FD">
        <w:rPr>
          <w:szCs w:val="16"/>
          <w:lang w:val="es-CR"/>
        </w:rPr>
        <w:t xml:space="preserve">, </w:t>
      </w:r>
      <w:r w:rsidRPr="00E43450">
        <w:rPr>
          <w:szCs w:val="16"/>
          <w:lang w:val="es-CR"/>
        </w:rPr>
        <w:t>Considerandos 29 a 31.</w:t>
      </w:r>
    </w:p>
  </w:footnote>
  <w:footnote w:id="83">
    <w:p w:rsidR="00EE2FF2" w:rsidRPr="00E43450" w:rsidRDefault="00EE2FF2" w:rsidP="00E43450">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00D53E6A" w:rsidRPr="003424FD">
        <w:rPr>
          <w:i/>
          <w:szCs w:val="16"/>
          <w:lang w:val="es-CR"/>
        </w:rPr>
        <w:t>Cfr. Caso Cantoral Huamaní y García Santa Cruz Vs. Perú, supra</w:t>
      </w:r>
      <w:r w:rsidR="00AD0199">
        <w:rPr>
          <w:szCs w:val="16"/>
          <w:lang w:val="es-CR"/>
        </w:rPr>
        <w:t xml:space="preserve"> nota 12</w:t>
      </w:r>
      <w:r w:rsidR="00D53E6A" w:rsidRPr="003424FD">
        <w:rPr>
          <w:szCs w:val="16"/>
          <w:lang w:val="es-CR"/>
        </w:rPr>
        <w:t xml:space="preserve">, </w:t>
      </w:r>
      <w:r w:rsidRPr="00E43450">
        <w:rPr>
          <w:szCs w:val="16"/>
          <w:lang w:val="es-CR"/>
        </w:rPr>
        <w:t>Considerandos 28 y 29.</w:t>
      </w:r>
    </w:p>
  </w:footnote>
  <w:footnote w:id="84">
    <w:p w:rsidR="00EE2FF2" w:rsidRPr="0033501D" w:rsidRDefault="00EE2FF2" w:rsidP="00431F2D">
      <w:pPr>
        <w:pStyle w:val="Textonotapie"/>
        <w:tabs>
          <w:tab w:val="left" w:pos="540"/>
          <w:tab w:val="left" w:pos="720"/>
        </w:tabs>
        <w:jc w:val="both"/>
        <w:rPr>
          <w:b/>
          <w:szCs w:val="16"/>
          <w:lang w:val="es-CR"/>
        </w:rPr>
      </w:pPr>
      <w:r w:rsidRPr="00E43450">
        <w:rPr>
          <w:rStyle w:val="Refdenotaalpie"/>
          <w:szCs w:val="16"/>
        </w:rPr>
        <w:footnoteRef/>
      </w:r>
      <w:r w:rsidRPr="00E43450">
        <w:rPr>
          <w:szCs w:val="16"/>
          <w:lang w:val="es-CR"/>
        </w:rPr>
        <w:t xml:space="preserve"> </w:t>
      </w:r>
      <w:r w:rsidRPr="00E43450">
        <w:rPr>
          <w:szCs w:val="16"/>
          <w:lang w:val="es-CR"/>
        </w:rPr>
        <w:tab/>
        <w:t>Según lo afirmado por el Estado, “[l]as personas adscritas al SIS pueden acceder a las prestaciones de salud física y mental a las que tienen derecho. En el caso de salud mental la cobertura a la que tienen derecho cubre el diagnó</w:t>
      </w:r>
      <w:r w:rsidRPr="00431F2D">
        <w:rPr>
          <w:szCs w:val="16"/>
          <w:lang w:val="es-CR"/>
        </w:rPr>
        <w:t>stico, tratamiento y seguimiento de Depresión, Ansiedad y Esquizofrenia y Alcoholismo […</w:t>
      </w:r>
      <w:r w:rsidR="0032766C">
        <w:rPr>
          <w:szCs w:val="16"/>
          <w:lang w:val="es-CR"/>
        </w:rPr>
        <w:t xml:space="preserve"> y</w:t>
      </w:r>
      <w:r w:rsidRPr="00431F2D">
        <w:rPr>
          <w:szCs w:val="16"/>
          <w:lang w:val="es-CR"/>
        </w:rPr>
        <w:t>] pueden acceder a la atención de salud que requieran en el centro de salud de su preferencia adscrito a su domicilio […], y de ser el caso podrán ser referidas a un es</w:t>
      </w:r>
      <w:r w:rsidRPr="0033501D">
        <w:rPr>
          <w:szCs w:val="16"/>
          <w:lang w:val="es-CR"/>
        </w:rPr>
        <w:t xml:space="preserve">tablecimiento de mayor complejidad. De requerir alguna emergencia, </w:t>
      </w:r>
      <w:r w:rsidR="0032766C">
        <w:rPr>
          <w:szCs w:val="16"/>
          <w:lang w:val="es-CR"/>
        </w:rPr>
        <w:t>[…]</w:t>
      </w:r>
      <w:r w:rsidRPr="0033501D">
        <w:rPr>
          <w:szCs w:val="16"/>
          <w:lang w:val="es-CR"/>
        </w:rPr>
        <w:t xml:space="preserve">pueden recibir la atención correspondiente con la cobertura del SIS y la Seguridad Social […] en cualquier establecimiento de salud del Ministerio de Salud y del Ministerio de Trabajo/ESSALUD”. </w:t>
      </w:r>
      <w:r w:rsidRPr="0033501D">
        <w:rPr>
          <w:i/>
          <w:szCs w:val="16"/>
          <w:lang w:val="es-CR"/>
        </w:rPr>
        <w:t xml:space="preserve">Cfr. </w:t>
      </w:r>
      <w:r w:rsidRPr="0033501D">
        <w:rPr>
          <w:szCs w:val="16"/>
          <w:lang w:val="es-CR"/>
        </w:rPr>
        <w:t>Informe estatal de 16 de octubre de 2012.</w:t>
      </w:r>
    </w:p>
  </w:footnote>
  <w:footnote w:id="85">
    <w:p w:rsidR="00EE2FF2" w:rsidRPr="0033501D" w:rsidRDefault="00EE2FF2" w:rsidP="00431F2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Escrito de observaciones de los representantes de las víctimas de 16 de noviembre de 2012. Al respecto, el Estado únic</w:t>
      </w:r>
      <w:r w:rsidRPr="00431F2D">
        <w:rPr>
          <w:rFonts w:cs="Verdana"/>
          <w:szCs w:val="16"/>
          <w:lang w:val="es-CR"/>
        </w:rPr>
        <w:t>amente refirió que “</w:t>
      </w:r>
      <w:r w:rsidR="00BB0D3A">
        <w:rPr>
          <w:rFonts w:cs="Verdana"/>
          <w:szCs w:val="16"/>
          <w:lang w:val="es-CR"/>
        </w:rPr>
        <w:t>[</w:t>
      </w:r>
      <w:r w:rsidRPr="00E43450">
        <w:rPr>
          <w:rFonts w:cs="Verdana"/>
          <w:szCs w:val="16"/>
          <w:lang w:val="es-CR"/>
        </w:rPr>
        <w:t>m</w:t>
      </w:r>
      <w:r w:rsidR="00BB0D3A">
        <w:rPr>
          <w:rFonts w:cs="Verdana"/>
          <w:szCs w:val="16"/>
          <w:lang w:val="es-CR"/>
        </w:rPr>
        <w:t>]</w:t>
      </w:r>
      <w:r w:rsidRPr="00E43450">
        <w:rPr>
          <w:rFonts w:cs="Verdana"/>
          <w:szCs w:val="16"/>
          <w:lang w:val="es-CR"/>
        </w:rPr>
        <w:t>ediante [el] Decreto Supremo N° 006-2206-S.A se ampli[ó] la prestación de salud al Seguro Integral de Salud a las víctimas de la violencia política […], así como a las víctimas de violación de derechos humanos contemplados en las sentencias de la Corte Interamericana”, de manera que se “disp</w:t>
      </w:r>
      <w:r w:rsidRPr="00431F2D">
        <w:rPr>
          <w:rFonts w:cs="Verdana"/>
          <w:szCs w:val="16"/>
          <w:lang w:val="es-CR"/>
        </w:rPr>
        <w:t>[uso] la afiliación a las víctimas y familiares como grupo focalizado".</w:t>
      </w:r>
      <w:r w:rsidRPr="00431F2D">
        <w:rPr>
          <w:szCs w:val="16"/>
          <w:lang w:val="es-CR"/>
        </w:rPr>
        <w:t xml:space="preserve"> </w:t>
      </w:r>
      <w:r w:rsidRPr="0033501D">
        <w:rPr>
          <w:i/>
          <w:szCs w:val="16"/>
          <w:lang w:val="es-CR"/>
        </w:rPr>
        <w:t xml:space="preserve">Cfr. </w:t>
      </w:r>
      <w:r w:rsidRPr="0033501D">
        <w:rPr>
          <w:szCs w:val="16"/>
          <w:lang w:val="es-CR"/>
        </w:rPr>
        <w:t xml:space="preserve">Informe estatal de 16 de octubre de 2012. </w:t>
      </w:r>
    </w:p>
  </w:footnote>
  <w:footnote w:id="86">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 xml:space="preserve">Escrito de observaciones de los representantes de las víctimas de 16 de noviembre de 2012. </w:t>
      </w:r>
    </w:p>
  </w:footnote>
  <w:footnote w:id="87">
    <w:p w:rsidR="00EE2FF2" w:rsidRPr="0033501D"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Comprobantes de “Con</w:t>
      </w:r>
      <w:r w:rsidRPr="00431F2D">
        <w:rPr>
          <w:szCs w:val="16"/>
          <w:lang w:val="es-CR"/>
        </w:rPr>
        <w:t>sultas en Línea” del “Sistema Integral de Salud” respecto de: i) Pelagia Contreras Montoya, afiliada a ESSALUD con tipo de seguro “Regular”;</w:t>
      </w:r>
      <w:r w:rsidR="0032766C">
        <w:rPr>
          <w:szCs w:val="16"/>
          <w:lang w:val="es-CR"/>
        </w:rPr>
        <w:t xml:space="preserve"> ii)</w:t>
      </w:r>
      <w:r w:rsidRPr="00431F2D">
        <w:rPr>
          <w:szCs w:val="16"/>
          <w:lang w:val="es-CR"/>
        </w:rPr>
        <w:t xml:space="preserve"> </w:t>
      </w:r>
      <w:r w:rsidRPr="0033501D">
        <w:rPr>
          <w:szCs w:val="16"/>
          <w:lang w:val="es-CR"/>
        </w:rPr>
        <w:t>Ulises Cantoral Huamaní, afiliado a ESSALUD con tipo de seguro “Pensionista o cesante”;</w:t>
      </w:r>
      <w:r w:rsidR="0032766C">
        <w:rPr>
          <w:szCs w:val="16"/>
          <w:lang w:val="es-CR"/>
        </w:rPr>
        <w:t xml:space="preserve"> iii)</w:t>
      </w:r>
      <w:r w:rsidRPr="0033501D">
        <w:rPr>
          <w:szCs w:val="16"/>
          <w:lang w:val="es-CR"/>
        </w:rPr>
        <w:t xml:space="preserve"> Marco Cantoral Lozano, afiliado a ESSALUD con tipo de seguro “</w:t>
      </w:r>
      <w:r w:rsidR="0032766C">
        <w:rPr>
          <w:szCs w:val="16"/>
          <w:lang w:val="es-CR"/>
        </w:rPr>
        <w:t>Regular”;</w:t>
      </w:r>
      <w:r w:rsidRPr="0033501D">
        <w:rPr>
          <w:szCs w:val="16"/>
          <w:lang w:val="es-CR"/>
        </w:rPr>
        <w:t xml:space="preserve"> </w:t>
      </w:r>
      <w:r w:rsidR="0032766C">
        <w:rPr>
          <w:szCs w:val="16"/>
          <w:lang w:val="es-CR"/>
        </w:rPr>
        <w:t xml:space="preserve">iv) </w:t>
      </w:r>
      <w:r w:rsidRPr="0033501D">
        <w:rPr>
          <w:szCs w:val="16"/>
          <w:lang w:val="es-CR"/>
        </w:rPr>
        <w:t>Vanessa Cantoral Contreras, afiliada a ESSAL</w:t>
      </w:r>
      <w:r w:rsidR="0032766C">
        <w:rPr>
          <w:szCs w:val="16"/>
          <w:lang w:val="es-CR"/>
        </w:rPr>
        <w:t>UD con tipo de seguro “Regular”, y</w:t>
      </w:r>
      <w:r w:rsidRPr="0033501D">
        <w:rPr>
          <w:szCs w:val="16"/>
          <w:lang w:val="es-CR"/>
        </w:rPr>
        <w:t xml:space="preserve"> </w:t>
      </w:r>
      <w:r w:rsidR="0032766C">
        <w:rPr>
          <w:szCs w:val="16"/>
          <w:lang w:val="es-CR"/>
        </w:rPr>
        <w:t xml:space="preserve">v) </w:t>
      </w:r>
      <w:r w:rsidRPr="0033501D">
        <w:rPr>
          <w:szCs w:val="16"/>
          <w:lang w:val="es-CR"/>
        </w:rPr>
        <w:t>Brenda Cantoral Contreras, afiliada a ESSALUD con tipo de seguro “Regular” (anexos a informes estatales de 14 de septiembre de 2015 y 15 de diciembre de 2016).</w:t>
      </w:r>
    </w:p>
  </w:footnote>
  <w:footnote w:id="88">
    <w:p w:rsidR="00EE2FF2" w:rsidRPr="00431F2D" w:rsidRDefault="00EE2FF2" w:rsidP="0033501D">
      <w:pPr>
        <w:tabs>
          <w:tab w:val="left" w:pos="540"/>
          <w:tab w:val="left" w:pos="720"/>
        </w:tabs>
        <w:autoSpaceDE w:val="0"/>
        <w:autoSpaceDN w:val="0"/>
        <w:adjustRightInd w:val="0"/>
        <w:spacing w:after="0" w:line="240" w:lineRule="auto"/>
        <w:jc w:val="both"/>
        <w:rPr>
          <w:rFonts w:ascii="Verdana" w:hAnsi="Verdana"/>
          <w:b/>
          <w:sz w:val="16"/>
          <w:szCs w:val="16"/>
          <w:lang w:val="es-CR"/>
        </w:rPr>
      </w:pPr>
      <w:r w:rsidRPr="00E43450">
        <w:rPr>
          <w:rStyle w:val="Refdenotaalpie"/>
          <w:rFonts w:ascii="Verdana" w:hAnsi="Verdana"/>
          <w:sz w:val="16"/>
          <w:szCs w:val="16"/>
        </w:rPr>
        <w:footnoteRef/>
      </w:r>
      <w:r w:rsidRPr="00E43450">
        <w:rPr>
          <w:rFonts w:ascii="Verdana" w:hAnsi="Verdana"/>
          <w:sz w:val="16"/>
          <w:szCs w:val="16"/>
          <w:lang w:val="es-CR"/>
        </w:rPr>
        <w:t xml:space="preserve"> </w:t>
      </w:r>
      <w:r w:rsidRPr="00E43450">
        <w:rPr>
          <w:rFonts w:ascii="Verdana" w:hAnsi="Verdana"/>
          <w:sz w:val="16"/>
          <w:szCs w:val="16"/>
          <w:lang w:val="es-CR"/>
        </w:rPr>
        <w:tab/>
        <w:t>En este sentido, ver el escrito de observaciones de la Comisión IDH de 28 de diciembre de 2012.</w:t>
      </w:r>
    </w:p>
  </w:footnote>
  <w:footnote w:id="89">
    <w:p w:rsidR="00EE2FF2" w:rsidRPr="0033501D" w:rsidRDefault="00EE2FF2" w:rsidP="0033501D">
      <w:pPr>
        <w:pStyle w:val="Textonotapie"/>
        <w:tabs>
          <w:tab w:val="left" w:pos="540"/>
          <w:tab w:val="left" w:pos="720"/>
        </w:tabs>
        <w:jc w:val="both"/>
        <w:rPr>
          <w:b/>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Escrito de observaciones de los representant</w:t>
      </w:r>
      <w:r w:rsidRPr="00431F2D">
        <w:rPr>
          <w:szCs w:val="16"/>
          <w:lang w:val="es-CR"/>
        </w:rPr>
        <w:t>es de las víctimas de 16 de noviembre de 2012 y 20 de enero de 2017.</w:t>
      </w:r>
    </w:p>
  </w:footnote>
  <w:footnote w:id="90">
    <w:p w:rsidR="00676F6F" w:rsidRPr="00676F6F" w:rsidRDefault="00676F6F" w:rsidP="001647B9">
      <w:pPr>
        <w:pStyle w:val="Textonotapie"/>
        <w:tabs>
          <w:tab w:val="left" w:pos="547"/>
          <w:tab w:val="left" w:pos="630"/>
        </w:tabs>
        <w:rPr>
          <w:lang w:val="es-CR"/>
        </w:rPr>
      </w:pPr>
      <w:r>
        <w:rPr>
          <w:rStyle w:val="Refdenotaalpie"/>
        </w:rPr>
        <w:footnoteRef/>
      </w:r>
      <w:r w:rsidRPr="00676F6F">
        <w:rPr>
          <w:lang w:val="es-CR"/>
        </w:rPr>
        <w:t xml:space="preserve"> </w:t>
      </w:r>
      <w:r>
        <w:rPr>
          <w:lang w:val="es-CR"/>
        </w:rPr>
        <w:tab/>
      </w:r>
      <w:r w:rsidRPr="003424FD">
        <w:rPr>
          <w:i/>
          <w:szCs w:val="16"/>
          <w:lang w:val="es-CR"/>
        </w:rPr>
        <w:t>Cfr. Caso Cantoral Huamaní y García Santa Cruz Vs. Perú, supra</w:t>
      </w:r>
      <w:r>
        <w:rPr>
          <w:szCs w:val="16"/>
          <w:lang w:val="es-CR"/>
        </w:rPr>
        <w:t xml:space="preserve"> nota 1</w:t>
      </w:r>
      <w:r w:rsidRPr="003424FD">
        <w:rPr>
          <w:szCs w:val="16"/>
          <w:lang w:val="es-CR"/>
        </w:rPr>
        <w:t xml:space="preserve">, </w:t>
      </w:r>
      <w:r>
        <w:rPr>
          <w:szCs w:val="16"/>
          <w:lang w:val="es-CR"/>
        </w:rPr>
        <w:t>párr. 202</w:t>
      </w:r>
      <w:r w:rsidRPr="00E43450">
        <w:rPr>
          <w:szCs w:val="16"/>
          <w:lang w:val="es-CR"/>
        </w:rPr>
        <w:t>.</w:t>
      </w:r>
    </w:p>
  </w:footnote>
  <w:footnote w:id="91">
    <w:p w:rsidR="00EE2FF2" w:rsidRPr="0033501D"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bCs/>
          <w:i/>
          <w:szCs w:val="16"/>
          <w:lang w:val="es-CR"/>
        </w:rPr>
        <w:t xml:space="preserve">Caso Gómez Palomino Vs. Perú. </w:t>
      </w:r>
      <w:r w:rsidRPr="00847073">
        <w:rPr>
          <w:bCs/>
          <w:i/>
          <w:szCs w:val="16"/>
          <w:lang w:val="es-CR"/>
        </w:rPr>
        <w:t xml:space="preserve">Supervisión de Cumplimiento de Sentencia. </w:t>
      </w:r>
      <w:r w:rsidRPr="00E43450">
        <w:rPr>
          <w:bCs/>
          <w:szCs w:val="16"/>
          <w:lang w:val="es-CR"/>
        </w:rPr>
        <w:t xml:space="preserve">Resolución de la Corte Interamericana de Derechos </w:t>
      </w:r>
      <w:r w:rsidR="00847073">
        <w:rPr>
          <w:bCs/>
          <w:szCs w:val="16"/>
          <w:lang w:val="es-CR"/>
        </w:rPr>
        <w:t>Humanos de 5 de julio de 2011, C</w:t>
      </w:r>
      <w:r w:rsidRPr="00E43450">
        <w:rPr>
          <w:bCs/>
          <w:szCs w:val="16"/>
          <w:lang w:val="es-CR"/>
        </w:rPr>
        <w:t>onsideran</w:t>
      </w:r>
      <w:r w:rsidRPr="00431F2D">
        <w:rPr>
          <w:bCs/>
          <w:szCs w:val="16"/>
          <w:lang w:val="es-CR"/>
        </w:rPr>
        <w:t xml:space="preserve">do 24 y </w:t>
      </w:r>
      <w:r w:rsidR="007C2A01">
        <w:rPr>
          <w:i/>
          <w:szCs w:val="16"/>
          <w:lang w:val="es-CR"/>
        </w:rPr>
        <w:t xml:space="preserve">Caso del Penal Miguel Castro Castro Vs. Perú. Supervisión de Cumplimiento de Sentencia. </w:t>
      </w:r>
      <w:r w:rsidR="007C2A01">
        <w:rPr>
          <w:szCs w:val="16"/>
          <w:lang w:val="es-CR"/>
        </w:rPr>
        <w:t>Resolución de la Corte Interamericana de Derechos Humanos de 17 de abril de 2015, Considerando 13.</w:t>
      </w:r>
    </w:p>
  </w:footnote>
  <w:footnote w:id="92">
    <w:p w:rsidR="00EE2FF2" w:rsidRPr="0033501D"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Inter alia</w:t>
      </w:r>
      <w:r w:rsidRPr="00E43450">
        <w:rPr>
          <w:szCs w:val="16"/>
          <w:lang w:val="es-CR"/>
        </w:rPr>
        <w:t xml:space="preserve">: </w:t>
      </w:r>
      <w:r w:rsidRPr="00E43450">
        <w:rPr>
          <w:bCs/>
          <w:i/>
          <w:szCs w:val="16"/>
          <w:lang w:val="es-CR"/>
        </w:rPr>
        <w:t>Caso del Penal Miguel Castro Castro Vs. Perú. Supervisión de Cumplimiento de Sentencia</w:t>
      </w:r>
      <w:r w:rsidRPr="00431F2D">
        <w:rPr>
          <w:bCs/>
          <w:szCs w:val="16"/>
          <w:lang w:val="es-CR"/>
        </w:rPr>
        <w:t>. Resolución de la Corte Interamericana de Der</w:t>
      </w:r>
      <w:r w:rsidRPr="0033501D">
        <w:rPr>
          <w:bCs/>
          <w:szCs w:val="16"/>
          <w:lang w:val="es-CR"/>
        </w:rPr>
        <w:t xml:space="preserve">echos Humanos de 31 de marzo de 2014, Considerando 46; </w:t>
      </w:r>
      <w:r w:rsidRPr="0033501D">
        <w:rPr>
          <w:bCs/>
          <w:i/>
          <w:szCs w:val="16"/>
          <w:lang w:val="es-CR"/>
        </w:rPr>
        <w:t>Caso Contreras y otros Vs. El Salvador. Supervisión de Cumplimiento de Sentencia</w:t>
      </w:r>
      <w:r w:rsidRPr="0033501D">
        <w:rPr>
          <w:bCs/>
          <w:szCs w:val="16"/>
          <w:lang w:val="es-CR"/>
        </w:rPr>
        <w:t xml:space="preserve">. Resolución de la Corte Interamericana de Derechos Humanos de 1 de septiembre de 2016, Considerando 21 y </w:t>
      </w:r>
      <w:r w:rsidRPr="0033501D">
        <w:rPr>
          <w:bCs/>
          <w:i/>
          <w:szCs w:val="16"/>
          <w:lang w:val="es-CR"/>
        </w:rPr>
        <w:t>Caso de las Hermanas Serrano Cruz Vs. El Salvador. Supervisión de Cumplimiento de Sentencia</w:t>
      </w:r>
      <w:r w:rsidRPr="0033501D">
        <w:rPr>
          <w:bCs/>
          <w:szCs w:val="16"/>
          <w:lang w:val="es-CR"/>
        </w:rPr>
        <w:t>. Resolución de la Corte Interamericana de Derechos Humanos de 1 de septiembre de 2016, Considerando</w:t>
      </w:r>
      <w:r w:rsidRPr="0033501D">
        <w:rPr>
          <w:szCs w:val="16"/>
          <w:lang w:val="es-CR"/>
        </w:rPr>
        <w:t xml:space="preserve"> 17.</w:t>
      </w:r>
    </w:p>
  </w:footnote>
  <w:footnote w:id="93">
    <w:p w:rsidR="00EE2FF2" w:rsidRPr="00431F2D"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Cfr.</w:t>
      </w:r>
      <w:r w:rsidRPr="00E43450">
        <w:rPr>
          <w:szCs w:val="16"/>
          <w:lang w:val="es-CR"/>
        </w:rPr>
        <w:t xml:space="preserve"> </w:t>
      </w:r>
      <w:r w:rsidRPr="00E43450">
        <w:rPr>
          <w:i/>
          <w:szCs w:val="16"/>
          <w:lang w:val="es-CR"/>
        </w:rPr>
        <w:t xml:space="preserve">Cantoral Huamaní y García Santa Cruz, supra </w:t>
      </w:r>
      <w:r w:rsidRPr="00431F2D">
        <w:rPr>
          <w:szCs w:val="16"/>
          <w:lang w:val="es-CR"/>
        </w:rPr>
        <w:t xml:space="preserve">nota 1, párr. 200. </w:t>
      </w:r>
    </w:p>
  </w:footnote>
  <w:footnote w:id="94">
    <w:p w:rsidR="00EE2FF2" w:rsidRPr="0033501D" w:rsidRDefault="00EE2FF2" w:rsidP="0033501D">
      <w:pPr>
        <w:pStyle w:val="Textonotapie"/>
        <w:tabs>
          <w:tab w:val="left" w:pos="540"/>
          <w:tab w:val="left" w:pos="720"/>
        </w:tabs>
        <w:jc w:val="both"/>
        <w:rPr>
          <w:szCs w:val="16"/>
          <w:lang w:val="es-CR"/>
        </w:rPr>
      </w:pPr>
      <w:r w:rsidRPr="00E43450">
        <w:rPr>
          <w:rStyle w:val="Refdenotaalpie"/>
          <w:szCs w:val="16"/>
          <w:lang w:val="es-CR"/>
        </w:rPr>
        <w:footnoteRef/>
      </w:r>
      <w:r w:rsidRPr="00E43450">
        <w:rPr>
          <w:szCs w:val="16"/>
          <w:lang w:val="es-CR"/>
        </w:rPr>
        <w:t xml:space="preserve"> </w:t>
      </w:r>
      <w:r w:rsidRPr="00E43450">
        <w:rPr>
          <w:szCs w:val="16"/>
          <w:lang w:val="es-CR"/>
        </w:rPr>
        <w:tab/>
        <w:t>La Corte determinó los siguientes montos: US</w:t>
      </w:r>
      <w:r w:rsidR="00273357" w:rsidRPr="00E43450">
        <w:rPr>
          <w:szCs w:val="16"/>
          <w:lang w:val="es-CR"/>
        </w:rPr>
        <w:t>D</w:t>
      </w:r>
      <w:r w:rsidRPr="00E43450">
        <w:rPr>
          <w:szCs w:val="16"/>
          <w:lang w:val="es-CR"/>
        </w:rPr>
        <w:t>$ 72.500,00 en favor de Saúl Isaac Cantoral Huamaní, US</w:t>
      </w:r>
      <w:r w:rsidR="00273357" w:rsidRPr="00431F2D">
        <w:rPr>
          <w:szCs w:val="16"/>
          <w:lang w:val="es-CR"/>
        </w:rPr>
        <w:t>D</w:t>
      </w:r>
      <w:r w:rsidRPr="00431F2D">
        <w:rPr>
          <w:szCs w:val="16"/>
          <w:lang w:val="es-CR"/>
        </w:rPr>
        <w:t>$ 68.000,00 en favor de Consuelo Trinidad García Santa Cruz, US</w:t>
      </w:r>
      <w:r w:rsidR="00273357" w:rsidRPr="0033501D">
        <w:rPr>
          <w:szCs w:val="16"/>
          <w:lang w:val="es-CR"/>
        </w:rPr>
        <w:t>D</w:t>
      </w:r>
      <w:r w:rsidRPr="0033501D">
        <w:rPr>
          <w:szCs w:val="16"/>
          <w:lang w:val="es-CR"/>
        </w:rPr>
        <w:t>$ 31.000,00 en favor de Pelagia Mélida Contreras Montoya de Cantoral, US</w:t>
      </w:r>
      <w:r w:rsidR="00273357" w:rsidRPr="0033501D">
        <w:rPr>
          <w:szCs w:val="16"/>
          <w:lang w:val="es-CR"/>
        </w:rPr>
        <w:t>D</w:t>
      </w:r>
      <w:r w:rsidRPr="0033501D">
        <w:rPr>
          <w:szCs w:val="16"/>
          <w:lang w:val="es-CR"/>
        </w:rPr>
        <w:t>$ 20.000,00 en favor de Elisa Huamaní Infanzón, US</w:t>
      </w:r>
      <w:r w:rsidR="00273357" w:rsidRPr="0033501D">
        <w:rPr>
          <w:szCs w:val="16"/>
          <w:lang w:val="es-CR"/>
        </w:rPr>
        <w:t>D</w:t>
      </w:r>
      <w:r w:rsidRPr="0033501D">
        <w:rPr>
          <w:szCs w:val="16"/>
          <w:lang w:val="es-CR"/>
        </w:rPr>
        <w:t>$ 20.000,00 en favor de Patrocinio Cantoral Contreras, US</w:t>
      </w:r>
      <w:r w:rsidR="00273357" w:rsidRPr="0033501D">
        <w:rPr>
          <w:szCs w:val="16"/>
          <w:lang w:val="es-CR"/>
        </w:rPr>
        <w:t>D</w:t>
      </w:r>
      <w:r w:rsidRPr="0033501D">
        <w:rPr>
          <w:szCs w:val="16"/>
          <w:lang w:val="es-CR"/>
        </w:rPr>
        <w:t>$ 20.000,00 en favor de Marco Antonio Cantoral Lozano, US</w:t>
      </w:r>
      <w:r w:rsidR="00273357" w:rsidRPr="0033501D">
        <w:rPr>
          <w:szCs w:val="16"/>
          <w:lang w:val="es-CR"/>
        </w:rPr>
        <w:t>D</w:t>
      </w:r>
      <w:r w:rsidRPr="0033501D">
        <w:rPr>
          <w:szCs w:val="16"/>
          <w:lang w:val="es-CR"/>
        </w:rPr>
        <w:t>$ 20.000,00 en favor de Vanessa Cantoral Contreras, US</w:t>
      </w:r>
      <w:r w:rsidR="00273357" w:rsidRPr="0033501D">
        <w:rPr>
          <w:szCs w:val="16"/>
          <w:lang w:val="es-CR"/>
        </w:rPr>
        <w:t>D</w:t>
      </w:r>
      <w:r w:rsidRPr="0033501D">
        <w:rPr>
          <w:szCs w:val="16"/>
          <w:lang w:val="es-CR"/>
        </w:rPr>
        <w:t>$ 20.000,00 en favor de Brenda Cantoral Contreras, US</w:t>
      </w:r>
      <w:r w:rsidR="00273357" w:rsidRPr="0033501D">
        <w:rPr>
          <w:szCs w:val="16"/>
          <w:lang w:val="es-CR"/>
        </w:rPr>
        <w:t>D</w:t>
      </w:r>
      <w:r w:rsidRPr="0033501D">
        <w:rPr>
          <w:szCs w:val="16"/>
          <w:lang w:val="es-CR"/>
        </w:rPr>
        <w:t>$ 20.000,00 en favor de Rony Cantoral Contreras, US</w:t>
      </w:r>
      <w:r w:rsidR="00273357" w:rsidRPr="0033501D">
        <w:rPr>
          <w:szCs w:val="16"/>
          <w:lang w:val="es-CR"/>
        </w:rPr>
        <w:t>D</w:t>
      </w:r>
      <w:r w:rsidRPr="0033501D">
        <w:rPr>
          <w:szCs w:val="16"/>
          <w:lang w:val="es-CR"/>
        </w:rPr>
        <w:t>$ 5.000,00 en favor de Juan Cantoral Huamaní, US</w:t>
      </w:r>
      <w:r w:rsidR="00273357" w:rsidRPr="0033501D">
        <w:rPr>
          <w:szCs w:val="16"/>
          <w:lang w:val="es-CR"/>
        </w:rPr>
        <w:t>D</w:t>
      </w:r>
      <w:r w:rsidRPr="0033501D">
        <w:rPr>
          <w:szCs w:val="16"/>
          <w:lang w:val="es-CR"/>
        </w:rPr>
        <w:t>$ 10.000,00 en favor de Ulises Cantoral Huamaní, US</w:t>
      </w:r>
      <w:r w:rsidR="00273357" w:rsidRPr="0033501D">
        <w:rPr>
          <w:szCs w:val="16"/>
          <w:lang w:val="es-CR"/>
        </w:rPr>
        <w:t>D</w:t>
      </w:r>
      <w:r w:rsidRPr="0033501D">
        <w:rPr>
          <w:szCs w:val="16"/>
          <w:lang w:val="es-CR"/>
        </w:rPr>
        <w:t>$ 10.000,00 en favor de Eloy Cantoral Huamaní, US</w:t>
      </w:r>
      <w:r w:rsidR="00273357" w:rsidRPr="0033501D">
        <w:rPr>
          <w:szCs w:val="16"/>
          <w:lang w:val="es-CR"/>
        </w:rPr>
        <w:t>D</w:t>
      </w:r>
      <w:r w:rsidRPr="0033501D">
        <w:rPr>
          <w:szCs w:val="16"/>
          <w:lang w:val="es-CR"/>
        </w:rPr>
        <w:t>$ 10.000,00 en favor de Gertrudis Victoria Cantoral Huamaní, US</w:t>
      </w:r>
      <w:r w:rsidR="00273357" w:rsidRPr="0033501D">
        <w:rPr>
          <w:szCs w:val="16"/>
          <w:lang w:val="es-CR"/>
        </w:rPr>
        <w:t>D</w:t>
      </w:r>
      <w:r w:rsidRPr="0033501D">
        <w:rPr>
          <w:szCs w:val="16"/>
          <w:lang w:val="es-CR"/>
        </w:rPr>
        <w:t>$ 5.000,00 en favor de Angélica Cantoral Huamaní, US</w:t>
      </w:r>
      <w:r w:rsidR="00273357" w:rsidRPr="0033501D">
        <w:rPr>
          <w:szCs w:val="16"/>
          <w:lang w:val="es-CR"/>
        </w:rPr>
        <w:t>D</w:t>
      </w:r>
      <w:r w:rsidRPr="0033501D">
        <w:rPr>
          <w:szCs w:val="16"/>
          <w:lang w:val="es-CR"/>
        </w:rPr>
        <w:t>$ 21.000,00 en favor de Amelia Beatriz Santa Cruz Portocarrero, US</w:t>
      </w:r>
      <w:r w:rsidR="00273357" w:rsidRPr="0033501D">
        <w:rPr>
          <w:szCs w:val="16"/>
          <w:lang w:val="es-CR"/>
        </w:rPr>
        <w:t>D</w:t>
      </w:r>
      <w:r w:rsidRPr="0033501D">
        <w:rPr>
          <w:szCs w:val="16"/>
          <w:lang w:val="es-CR"/>
        </w:rPr>
        <w:t>$ 20.000,00 en favor de Alfonso García Rada, US</w:t>
      </w:r>
      <w:r w:rsidR="00273357" w:rsidRPr="0033501D">
        <w:rPr>
          <w:szCs w:val="16"/>
          <w:lang w:val="es-CR"/>
        </w:rPr>
        <w:t>D</w:t>
      </w:r>
      <w:r w:rsidRPr="0033501D">
        <w:rPr>
          <w:szCs w:val="16"/>
          <w:lang w:val="es-CR"/>
        </w:rPr>
        <w:t>$ 5.000,00 en favor de Rosa Amelia García Santa Cruz, US</w:t>
      </w:r>
      <w:r w:rsidR="00273357" w:rsidRPr="0033501D">
        <w:rPr>
          <w:szCs w:val="16"/>
          <w:lang w:val="es-CR"/>
        </w:rPr>
        <w:t>D</w:t>
      </w:r>
      <w:r w:rsidRPr="0033501D">
        <w:rPr>
          <w:szCs w:val="16"/>
          <w:lang w:val="es-CR"/>
        </w:rPr>
        <w:t>$ 5.000,00 en favor de Manuel Fernando García Santa Cruz, US</w:t>
      </w:r>
      <w:r w:rsidR="00273357" w:rsidRPr="0033501D">
        <w:rPr>
          <w:szCs w:val="16"/>
          <w:lang w:val="es-CR"/>
        </w:rPr>
        <w:t>D</w:t>
      </w:r>
      <w:r w:rsidRPr="0033501D">
        <w:rPr>
          <w:szCs w:val="16"/>
          <w:lang w:val="es-CR"/>
        </w:rPr>
        <w:t>$ 5.000,00 en favor de María Elena García Santa Cruz, US</w:t>
      </w:r>
      <w:r w:rsidR="00273357" w:rsidRPr="0033501D">
        <w:rPr>
          <w:szCs w:val="16"/>
          <w:lang w:val="es-CR"/>
        </w:rPr>
        <w:t>D</w:t>
      </w:r>
      <w:r w:rsidRPr="0033501D">
        <w:rPr>
          <w:szCs w:val="16"/>
          <w:lang w:val="es-CR"/>
        </w:rPr>
        <w:t>$ 5.000,00 en favor de Walter Ernesto García Santa Cruz, US</w:t>
      </w:r>
      <w:r w:rsidR="00273357" w:rsidRPr="0033501D">
        <w:rPr>
          <w:szCs w:val="16"/>
          <w:lang w:val="es-CR"/>
        </w:rPr>
        <w:t>D</w:t>
      </w:r>
      <w:r w:rsidRPr="0033501D">
        <w:rPr>
          <w:szCs w:val="16"/>
          <w:lang w:val="es-CR"/>
        </w:rPr>
        <w:t>$ 5.000,00 en favor de Mercedes Grimaneza García Santa Cruz y US</w:t>
      </w:r>
      <w:r w:rsidR="00273357" w:rsidRPr="0033501D">
        <w:rPr>
          <w:szCs w:val="16"/>
          <w:lang w:val="es-CR"/>
        </w:rPr>
        <w:t>D</w:t>
      </w:r>
      <w:r w:rsidRPr="0033501D">
        <w:rPr>
          <w:szCs w:val="16"/>
          <w:lang w:val="es-CR"/>
        </w:rPr>
        <w:t>$ 5.000,00 en favor de Jesús Enrique García Santa Cruz.</w:t>
      </w:r>
    </w:p>
  </w:footnote>
  <w:footnote w:id="95">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t xml:space="preserve">En la Sentencia de interpretación de </w:t>
      </w:r>
      <w:r w:rsidR="009C60FD">
        <w:rPr>
          <w:szCs w:val="16"/>
          <w:lang w:val="es-CR"/>
        </w:rPr>
        <w:t>28 de enero de 2008</w:t>
      </w:r>
      <w:r w:rsidRPr="00E43450">
        <w:rPr>
          <w:szCs w:val="16"/>
          <w:lang w:val="es-CR"/>
        </w:rPr>
        <w:t xml:space="preserve"> la Corte determinó el sentido y el alcance de lo dispuesto en el párrafo 187 de la Sentencia. Señaló que “consideró probado que la suma entregada</w:t>
      </w:r>
      <w:r w:rsidRPr="00431F2D">
        <w:rPr>
          <w:szCs w:val="16"/>
          <w:lang w:val="es-CR"/>
        </w:rPr>
        <w:t xml:space="preserve"> por la Federación Minera a Saúl Cantoral Huamaní fue extraviada u objeto de hurto mientras se encontraba bajo custodia del Estado, y que por eso debía ser restituida. Dado que ese monto se encontraba en poder de Saúl Cantoral Huamaní al momento de su ejec</w:t>
      </w:r>
      <w:r w:rsidRPr="0033501D">
        <w:rPr>
          <w:szCs w:val="16"/>
          <w:lang w:val="es-CR"/>
        </w:rPr>
        <w:t xml:space="preserve">ución, el Tribunal dispuso que la señora Pelagia Mélida Contreras Montoya viuda de Cantoral, quien es parte en el presente proceso, y no una entidad ajena al mismo como la Federación Minera, recibiría dicha suma para luego “disponer de la misma para los efectos que estim[ara] pertinentes”. </w:t>
      </w:r>
      <w:r w:rsidRPr="0033501D">
        <w:rPr>
          <w:i/>
          <w:szCs w:val="16"/>
          <w:lang w:val="es-CR"/>
        </w:rPr>
        <w:t xml:space="preserve">Cfr. Caso Cantoral Huamaní y García Santa Cruz vs. Perú, supra </w:t>
      </w:r>
      <w:r w:rsidRPr="0033501D">
        <w:rPr>
          <w:szCs w:val="16"/>
          <w:lang w:val="es-CR"/>
        </w:rPr>
        <w:t xml:space="preserve">nota </w:t>
      </w:r>
      <w:r w:rsidR="009C60FD">
        <w:rPr>
          <w:szCs w:val="16"/>
          <w:lang w:val="es-CR"/>
        </w:rPr>
        <w:t>3</w:t>
      </w:r>
      <w:r w:rsidRPr="00E43450">
        <w:rPr>
          <w:szCs w:val="16"/>
          <w:lang w:val="es-CR"/>
        </w:rPr>
        <w:t>,</w:t>
      </w:r>
      <w:r w:rsidRPr="00E43450">
        <w:rPr>
          <w:i/>
          <w:szCs w:val="16"/>
          <w:lang w:val="es-CR"/>
        </w:rPr>
        <w:t xml:space="preserve"> </w:t>
      </w:r>
      <w:r w:rsidRPr="00E43450">
        <w:rPr>
          <w:szCs w:val="16"/>
          <w:lang w:val="es-CR"/>
        </w:rPr>
        <w:t xml:space="preserve">párrs. 22 y 23. </w:t>
      </w:r>
    </w:p>
  </w:footnote>
  <w:footnote w:id="96">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009C60FD" w:rsidRPr="003424FD">
        <w:rPr>
          <w:i/>
          <w:szCs w:val="16"/>
          <w:lang w:val="es-CR"/>
        </w:rPr>
        <w:t>Cfr. Caso Cantoral Huamaní y García Santa Cruz Vs. Perú, supra</w:t>
      </w:r>
      <w:r w:rsidR="009C60FD" w:rsidRPr="003424FD">
        <w:rPr>
          <w:szCs w:val="16"/>
          <w:lang w:val="es-CR"/>
        </w:rPr>
        <w:t xml:space="preserve"> nota </w:t>
      </w:r>
      <w:r w:rsidR="000674AB">
        <w:rPr>
          <w:szCs w:val="16"/>
          <w:lang w:val="es-CR"/>
        </w:rPr>
        <w:t>10</w:t>
      </w:r>
      <w:r w:rsidR="009C60FD" w:rsidRPr="003424FD">
        <w:rPr>
          <w:szCs w:val="16"/>
          <w:lang w:val="es-CR"/>
        </w:rPr>
        <w:t xml:space="preserve">, </w:t>
      </w:r>
      <w:r w:rsidRPr="00E43450">
        <w:rPr>
          <w:szCs w:val="16"/>
          <w:lang w:val="es-CR"/>
        </w:rPr>
        <w:t>Considerando 11.</w:t>
      </w:r>
    </w:p>
  </w:footnote>
  <w:footnote w:id="97">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009C60FD" w:rsidRPr="003424FD">
        <w:rPr>
          <w:i/>
          <w:szCs w:val="16"/>
          <w:lang w:val="es-CR"/>
        </w:rPr>
        <w:t>Cfr. Caso Cantoral Huamaní y García Santa Cruz Vs. Perú, supra</w:t>
      </w:r>
      <w:r w:rsidR="000674AB">
        <w:rPr>
          <w:szCs w:val="16"/>
          <w:lang w:val="es-CR"/>
        </w:rPr>
        <w:t xml:space="preserve"> nota 11</w:t>
      </w:r>
      <w:r w:rsidR="009C60FD" w:rsidRPr="003424FD">
        <w:rPr>
          <w:szCs w:val="16"/>
          <w:lang w:val="es-CR"/>
        </w:rPr>
        <w:t xml:space="preserve">, </w:t>
      </w:r>
      <w:r w:rsidRPr="00E43450">
        <w:rPr>
          <w:szCs w:val="16"/>
          <w:lang w:val="es-CR"/>
        </w:rPr>
        <w:t>Considerandos 36 a 38.</w:t>
      </w:r>
    </w:p>
  </w:footnote>
  <w:footnote w:id="98">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009C60FD" w:rsidRPr="003424FD">
        <w:rPr>
          <w:i/>
          <w:szCs w:val="16"/>
          <w:lang w:val="es-CR"/>
        </w:rPr>
        <w:t>Cfr. Caso Cantoral Huamaní y García Santa Cruz Vs. Perú, supra</w:t>
      </w:r>
      <w:r w:rsidR="000674AB">
        <w:rPr>
          <w:szCs w:val="16"/>
          <w:lang w:val="es-CR"/>
        </w:rPr>
        <w:t xml:space="preserve"> nota 12</w:t>
      </w:r>
      <w:r w:rsidR="009C60FD" w:rsidRPr="003424FD">
        <w:rPr>
          <w:szCs w:val="16"/>
          <w:lang w:val="es-CR"/>
        </w:rPr>
        <w:t xml:space="preserve">, </w:t>
      </w:r>
      <w:r w:rsidRPr="00E43450">
        <w:rPr>
          <w:szCs w:val="16"/>
          <w:lang w:val="es-CR"/>
        </w:rPr>
        <w:t>Considerandos 33 y 34.</w:t>
      </w:r>
    </w:p>
  </w:footnote>
  <w:footnote w:id="99">
    <w:p w:rsidR="000674AB" w:rsidRPr="00E43450" w:rsidRDefault="000674AB" w:rsidP="000674AB">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3424FD">
        <w:rPr>
          <w:i/>
          <w:szCs w:val="16"/>
          <w:lang w:val="es-CR"/>
        </w:rPr>
        <w:t>Cfr. Caso Cantoral Huamaní y García Santa Cruz Vs. Perú, supra</w:t>
      </w:r>
      <w:r w:rsidRPr="003424FD">
        <w:rPr>
          <w:szCs w:val="16"/>
          <w:lang w:val="es-CR"/>
        </w:rPr>
        <w:t xml:space="preserve"> nota </w:t>
      </w:r>
      <w:r>
        <w:rPr>
          <w:szCs w:val="16"/>
          <w:lang w:val="es-CR"/>
        </w:rPr>
        <w:t>11</w:t>
      </w:r>
      <w:r w:rsidRPr="003424FD">
        <w:rPr>
          <w:szCs w:val="16"/>
          <w:lang w:val="es-CR"/>
        </w:rPr>
        <w:t xml:space="preserve">, </w:t>
      </w:r>
      <w:r>
        <w:rPr>
          <w:szCs w:val="16"/>
          <w:lang w:val="es-CR"/>
        </w:rPr>
        <w:t>Considerando</w:t>
      </w:r>
      <w:r w:rsidRPr="00E43450">
        <w:rPr>
          <w:szCs w:val="16"/>
          <w:lang w:val="es-CR"/>
        </w:rPr>
        <w:t xml:space="preserve"> 3</w:t>
      </w:r>
      <w:r>
        <w:rPr>
          <w:szCs w:val="16"/>
          <w:lang w:val="es-CR"/>
        </w:rPr>
        <w:t>7</w:t>
      </w:r>
      <w:r w:rsidRPr="00E43450">
        <w:rPr>
          <w:szCs w:val="16"/>
          <w:lang w:val="es-CR"/>
        </w:rPr>
        <w:t>.</w:t>
      </w:r>
    </w:p>
  </w:footnote>
  <w:footnote w:id="100">
    <w:p w:rsidR="000674AB" w:rsidRPr="00E43450" w:rsidRDefault="000674AB" w:rsidP="000674AB">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3424FD">
        <w:rPr>
          <w:i/>
          <w:szCs w:val="16"/>
          <w:lang w:val="es-CR"/>
        </w:rPr>
        <w:t>Cfr. Caso Cantoral Huamaní y García Santa Cruz Vs. Perú, supra</w:t>
      </w:r>
      <w:r w:rsidRPr="003424FD">
        <w:rPr>
          <w:szCs w:val="16"/>
          <w:lang w:val="es-CR"/>
        </w:rPr>
        <w:t xml:space="preserve"> nota </w:t>
      </w:r>
      <w:r>
        <w:rPr>
          <w:szCs w:val="16"/>
          <w:lang w:val="es-CR"/>
        </w:rPr>
        <w:t>12</w:t>
      </w:r>
      <w:r w:rsidRPr="003424FD">
        <w:rPr>
          <w:szCs w:val="16"/>
          <w:lang w:val="es-CR"/>
        </w:rPr>
        <w:t xml:space="preserve">, </w:t>
      </w:r>
      <w:r>
        <w:rPr>
          <w:szCs w:val="16"/>
          <w:lang w:val="es-CR"/>
        </w:rPr>
        <w:t>Considerando</w:t>
      </w:r>
      <w:r w:rsidRPr="00E43450">
        <w:rPr>
          <w:szCs w:val="16"/>
          <w:lang w:val="es-CR"/>
        </w:rPr>
        <w:t xml:space="preserve"> 34.</w:t>
      </w:r>
    </w:p>
  </w:footnote>
  <w:footnote w:id="101">
    <w:p w:rsidR="00EE2FF2" w:rsidRPr="0033501D"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t xml:space="preserve">El Estado aportó comprobantes de pago emitidos en enero y diciembre de 2015 a favor de: i) Ladislao </w:t>
      </w:r>
      <w:r w:rsidRPr="00431F2D">
        <w:rPr>
          <w:szCs w:val="16"/>
          <w:lang w:val="es-CR"/>
        </w:rPr>
        <w:t>Alfonso García Santa Cruz; ii) Alberto García Santa Cruz; iii) Jesús Enrique García Santa Cruz; iv) Mercedes Grimaneza García Santa Cruz de Negrón; v) Walter Ernesto García Santa Cruz; vi) María Elena García Santa Cruz; vii) Manuel Fernando García Santa Cr</w:t>
      </w:r>
      <w:r w:rsidRPr="0033501D">
        <w:rPr>
          <w:szCs w:val="16"/>
          <w:lang w:val="es-CR"/>
        </w:rPr>
        <w:t>uz; viii) Angélica Cantoral Huamaní; ix) Gertrudis Victoria Cantoral Huamaní; x) Eloy Urso Cantoral Huamaní; xi) Ulises Cantoral Huamaní; xii) Juan Cantoral Huamaní; xiii) Rony Cantoral Contreras; xiv) Brenda Cantoral Contreras; xv) Vanessa Cantoral Contreras; xvi) Marco Antonio Cantoral Lozano, y xvii) Pelagia Melida Contreras Montoya</w:t>
      </w:r>
      <w:r w:rsidR="00A067A3">
        <w:rPr>
          <w:szCs w:val="16"/>
          <w:lang w:val="es-CR"/>
        </w:rPr>
        <w:t>. Cfr.</w:t>
      </w:r>
      <w:r w:rsidRPr="0033501D">
        <w:rPr>
          <w:szCs w:val="16"/>
          <w:lang w:val="es-CR"/>
        </w:rPr>
        <w:t xml:space="preserve"> </w:t>
      </w:r>
      <w:r w:rsidR="00A067A3">
        <w:rPr>
          <w:szCs w:val="16"/>
          <w:lang w:val="es-CR"/>
        </w:rPr>
        <w:t xml:space="preserve">Comprobantes </w:t>
      </w:r>
      <w:r w:rsidRPr="0033501D">
        <w:rPr>
          <w:szCs w:val="16"/>
          <w:lang w:val="es-CR"/>
        </w:rPr>
        <w:t>anexos a los informes estatales de 14 de septiembre de 2015 y 15 de di</w:t>
      </w:r>
      <w:r w:rsidR="00A067A3">
        <w:rPr>
          <w:szCs w:val="16"/>
          <w:lang w:val="es-CR"/>
        </w:rPr>
        <w:t>ciembre de 2016 y e</w:t>
      </w:r>
      <w:r w:rsidR="00A067A3" w:rsidRPr="00E43450">
        <w:rPr>
          <w:szCs w:val="16"/>
          <w:lang w:val="es-CR"/>
        </w:rPr>
        <w:t>scrito de observaciones de los representantes de las víctimas de 20 de enero de 2017.</w:t>
      </w:r>
    </w:p>
  </w:footnote>
  <w:footnote w:id="102">
    <w:p w:rsidR="00EE2FF2" w:rsidRPr="00E43450" w:rsidRDefault="00EE2FF2" w:rsidP="0033501D">
      <w:pPr>
        <w:pStyle w:val="Textonotapie"/>
        <w:tabs>
          <w:tab w:val="left" w:pos="540"/>
          <w:tab w:val="left" w:pos="720"/>
        </w:tabs>
        <w:jc w:val="both"/>
        <w:rPr>
          <w:szCs w:val="16"/>
          <w:lang w:val="es-CR"/>
        </w:rPr>
      </w:pPr>
      <w:r w:rsidRPr="00E43450">
        <w:rPr>
          <w:rStyle w:val="Refdenotaalpie"/>
          <w:szCs w:val="16"/>
        </w:rPr>
        <w:footnoteRef/>
      </w:r>
      <w:r w:rsidRPr="00E43450">
        <w:rPr>
          <w:szCs w:val="16"/>
          <w:lang w:val="es-CR"/>
        </w:rPr>
        <w:t xml:space="preserve"> </w:t>
      </w:r>
      <w:r w:rsidRPr="00E43450">
        <w:rPr>
          <w:szCs w:val="16"/>
          <w:lang w:val="es-CR"/>
        </w:rPr>
        <w:tab/>
      </w:r>
      <w:r w:rsidRPr="00E43450">
        <w:rPr>
          <w:i/>
          <w:szCs w:val="16"/>
          <w:lang w:val="es-CR"/>
        </w:rPr>
        <w:t xml:space="preserve">Cfr. </w:t>
      </w:r>
      <w:r w:rsidRPr="00E43450">
        <w:rPr>
          <w:szCs w:val="16"/>
          <w:lang w:val="es-CR"/>
        </w:rPr>
        <w:t>Escritos de observaciones de los representantes de las víctimas</w:t>
      </w:r>
      <w:r w:rsidR="00A067A3">
        <w:rPr>
          <w:szCs w:val="16"/>
          <w:lang w:val="es-CR"/>
        </w:rPr>
        <w:t xml:space="preserve"> y de la Comisión Interamericana</w:t>
      </w:r>
      <w:r w:rsidRPr="00E43450">
        <w:rPr>
          <w:szCs w:val="16"/>
          <w:lang w:val="es-CR"/>
        </w:rPr>
        <w:t xml:space="preserve"> de 20 de enero y 4 de abril de 2017</w:t>
      </w:r>
      <w:r w:rsidR="00A067A3">
        <w:rPr>
          <w:szCs w:val="16"/>
          <w:lang w:val="es-CR"/>
        </w:rPr>
        <w:t>, respectivamente</w:t>
      </w:r>
      <w:r w:rsidRPr="00E43450">
        <w:rPr>
          <w:szCs w:val="16"/>
          <w:lang w:val="es-CR"/>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FF2" w:rsidRPr="00117900" w:rsidRDefault="00EE2FF2" w:rsidP="0002220E">
    <w:pPr>
      <w:pStyle w:val="Encabezado"/>
      <w:jc w:val="center"/>
      <w:rPr>
        <w:rFonts w:ascii="Verdana" w:hAnsi="Verdana"/>
        <w:sz w:val="20"/>
        <w:szCs w:val="20"/>
        <w:lang w:val="es-CR"/>
      </w:rPr>
    </w:pPr>
  </w:p>
  <w:p w:rsidR="00EE2FF2" w:rsidRDefault="00EE2FF2" w:rsidP="0002220E">
    <w:pPr>
      <w:pStyle w:val="Encabezado"/>
      <w:jc w:val="center"/>
      <w:rPr>
        <w:rFonts w:ascii="Verdana" w:hAnsi="Verdana"/>
        <w:sz w:val="20"/>
        <w:szCs w:val="20"/>
      </w:rPr>
    </w:pPr>
    <w:r w:rsidRPr="00671120">
      <w:rPr>
        <w:rFonts w:ascii="Verdana" w:hAnsi="Verdana"/>
        <w:sz w:val="20"/>
        <w:szCs w:val="20"/>
      </w:rPr>
      <w:t>-</w:t>
    </w:r>
    <w:r w:rsidRPr="00671120">
      <w:rPr>
        <w:rFonts w:ascii="Verdana" w:hAnsi="Verdana"/>
        <w:sz w:val="20"/>
        <w:szCs w:val="20"/>
      </w:rPr>
      <w:fldChar w:fldCharType="begin"/>
    </w:r>
    <w:r w:rsidRPr="00671120">
      <w:rPr>
        <w:rFonts w:ascii="Verdana" w:hAnsi="Verdana"/>
        <w:sz w:val="20"/>
        <w:szCs w:val="20"/>
      </w:rPr>
      <w:instrText>PAGE   \* MERGEFORMAT</w:instrText>
    </w:r>
    <w:r w:rsidRPr="00671120">
      <w:rPr>
        <w:rFonts w:ascii="Verdana" w:hAnsi="Verdana"/>
        <w:sz w:val="20"/>
        <w:szCs w:val="20"/>
      </w:rPr>
      <w:fldChar w:fldCharType="separate"/>
    </w:r>
    <w:r w:rsidR="00FB6513" w:rsidRPr="00FB6513">
      <w:rPr>
        <w:rFonts w:ascii="Verdana" w:hAnsi="Verdana"/>
        <w:noProof/>
        <w:sz w:val="20"/>
        <w:szCs w:val="20"/>
        <w:lang w:val="es-ES"/>
      </w:rPr>
      <w:t>20</w:t>
    </w:r>
    <w:r w:rsidRPr="00671120">
      <w:rPr>
        <w:rFonts w:ascii="Verdana" w:hAnsi="Verdana"/>
        <w:sz w:val="20"/>
        <w:szCs w:val="20"/>
      </w:rPr>
      <w:fldChar w:fldCharType="end"/>
    </w:r>
    <w:r w:rsidRPr="00671120">
      <w:rPr>
        <w:rFonts w:ascii="Verdana" w:hAnsi="Verdana"/>
        <w:sz w:val="20"/>
        <w:szCs w:val="20"/>
      </w:rPr>
      <w:t>-</w:t>
    </w:r>
  </w:p>
  <w:p w:rsidR="00EE2FF2" w:rsidRPr="0002220E" w:rsidRDefault="00EE2FF2" w:rsidP="0002220E">
    <w:pPr>
      <w:pStyle w:val="Encabezado"/>
      <w:jc w:val="center"/>
      <w:rPr>
        <w:rFonts w:ascii="Verdana" w:hAnsi="Verdana"/>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FF2" w:rsidRPr="0034046E" w:rsidRDefault="00EE2FF2">
    <w:pPr>
      <w:rPr>
        <w:lang w:val="es-C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FB0CC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97214"/>
    <w:multiLevelType w:val="hybridMultilevel"/>
    <w:tmpl w:val="987C44CC"/>
    <w:lvl w:ilvl="0" w:tplc="247E4A34">
      <w:start w:val="25"/>
      <w:numFmt w:val="decimal"/>
      <w:lvlText w:val="%1."/>
      <w:lvlJc w:val="left"/>
      <w:pPr>
        <w:ind w:left="81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55B45"/>
    <w:multiLevelType w:val="hybridMultilevel"/>
    <w:tmpl w:val="A2E00B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A63CC"/>
    <w:multiLevelType w:val="hybridMultilevel"/>
    <w:tmpl w:val="C5B0764E"/>
    <w:lvl w:ilvl="0" w:tplc="771E357A">
      <w:start w:val="28"/>
      <w:numFmt w:val="decimal"/>
      <w:lvlText w:val="%1."/>
      <w:lvlJc w:val="left"/>
      <w:pPr>
        <w:ind w:left="810"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E242228"/>
    <w:multiLevelType w:val="hybridMultilevel"/>
    <w:tmpl w:val="3E6899A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F1C5B94"/>
    <w:multiLevelType w:val="hybridMultilevel"/>
    <w:tmpl w:val="0172F564"/>
    <w:lvl w:ilvl="0" w:tplc="A654814E">
      <w:start w:val="4"/>
      <w:numFmt w:val="decimal"/>
      <w:lvlText w:val="%1."/>
      <w:lvlJc w:val="left"/>
      <w:pPr>
        <w:ind w:left="810" w:hanging="360"/>
      </w:pPr>
      <w:rPr>
        <w:rFonts w:ascii="Verdana" w:hAnsi="Verdana"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553459"/>
    <w:multiLevelType w:val="hybridMultilevel"/>
    <w:tmpl w:val="A2E00B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860703"/>
    <w:multiLevelType w:val="hybridMultilevel"/>
    <w:tmpl w:val="7AC2008E"/>
    <w:lvl w:ilvl="0" w:tplc="140A0017">
      <w:start w:val="1"/>
      <w:numFmt w:val="lowerLetter"/>
      <w:lvlText w:val="%1)"/>
      <w:lvlJc w:val="left"/>
      <w:pPr>
        <w:ind w:left="791" w:hanging="360"/>
      </w:pPr>
    </w:lvl>
    <w:lvl w:ilvl="1" w:tplc="140A0019" w:tentative="1">
      <w:start w:val="1"/>
      <w:numFmt w:val="lowerLetter"/>
      <w:lvlText w:val="%2."/>
      <w:lvlJc w:val="left"/>
      <w:pPr>
        <w:ind w:left="1511" w:hanging="360"/>
      </w:pPr>
    </w:lvl>
    <w:lvl w:ilvl="2" w:tplc="140A001B" w:tentative="1">
      <w:start w:val="1"/>
      <w:numFmt w:val="lowerRoman"/>
      <w:lvlText w:val="%3."/>
      <w:lvlJc w:val="right"/>
      <w:pPr>
        <w:ind w:left="2231" w:hanging="180"/>
      </w:pPr>
    </w:lvl>
    <w:lvl w:ilvl="3" w:tplc="140A000F" w:tentative="1">
      <w:start w:val="1"/>
      <w:numFmt w:val="decimal"/>
      <w:lvlText w:val="%4."/>
      <w:lvlJc w:val="left"/>
      <w:pPr>
        <w:ind w:left="2951" w:hanging="360"/>
      </w:pPr>
    </w:lvl>
    <w:lvl w:ilvl="4" w:tplc="140A0019" w:tentative="1">
      <w:start w:val="1"/>
      <w:numFmt w:val="lowerLetter"/>
      <w:lvlText w:val="%5."/>
      <w:lvlJc w:val="left"/>
      <w:pPr>
        <w:ind w:left="3671" w:hanging="360"/>
      </w:pPr>
    </w:lvl>
    <w:lvl w:ilvl="5" w:tplc="140A001B" w:tentative="1">
      <w:start w:val="1"/>
      <w:numFmt w:val="lowerRoman"/>
      <w:lvlText w:val="%6."/>
      <w:lvlJc w:val="right"/>
      <w:pPr>
        <w:ind w:left="4391" w:hanging="180"/>
      </w:pPr>
    </w:lvl>
    <w:lvl w:ilvl="6" w:tplc="140A000F" w:tentative="1">
      <w:start w:val="1"/>
      <w:numFmt w:val="decimal"/>
      <w:lvlText w:val="%7."/>
      <w:lvlJc w:val="left"/>
      <w:pPr>
        <w:ind w:left="5111" w:hanging="360"/>
      </w:pPr>
    </w:lvl>
    <w:lvl w:ilvl="7" w:tplc="140A0019" w:tentative="1">
      <w:start w:val="1"/>
      <w:numFmt w:val="lowerLetter"/>
      <w:lvlText w:val="%8."/>
      <w:lvlJc w:val="left"/>
      <w:pPr>
        <w:ind w:left="5831" w:hanging="360"/>
      </w:pPr>
    </w:lvl>
    <w:lvl w:ilvl="8" w:tplc="140A001B" w:tentative="1">
      <w:start w:val="1"/>
      <w:numFmt w:val="lowerRoman"/>
      <w:lvlText w:val="%9."/>
      <w:lvlJc w:val="right"/>
      <w:pPr>
        <w:ind w:left="6551" w:hanging="180"/>
      </w:pPr>
    </w:lvl>
  </w:abstractNum>
  <w:abstractNum w:abstractNumId="8" w15:restartNumberingAfterBreak="0">
    <w:nsid w:val="20C973F9"/>
    <w:multiLevelType w:val="hybridMultilevel"/>
    <w:tmpl w:val="D3F024B4"/>
    <w:lvl w:ilvl="0" w:tplc="04090015">
      <w:start w:val="1"/>
      <w:numFmt w:val="upp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21310A36"/>
    <w:multiLevelType w:val="hybridMultilevel"/>
    <w:tmpl w:val="3BEEADDA"/>
    <w:lvl w:ilvl="0" w:tplc="07746D3E">
      <w:start w:val="12"/>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4F1F02"/>
    <w:multiLevelType w:val="hybridMultilevel"/>
    <w:tmpl w:val="9A4E079A"/>
    <w:lvl w:ilvl="0" w:tplc="B10C97CE">
      <w:start w:val="3"/>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93502AD"/>
    <w:multiLevelType w:val="hybridMultilevel"/>
    <w:tmpl w:val="BAE09C6A"/>
    <w:lvl w:ilvl="0" w:tplc="9D30B65A">
      <w:start w:val="19"/>
      <w:numFmt w:val="decimal"/>
      <w:lvlText w:val="%1."/>
      <w:lvlJc w:val="left"/>
      <w:pPr>
        <w:ind w:left="810"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E7C7F8F"/>
    <w:multiLevelType w:val="hybridMultilevel"/>
    <w:tmpl w:val="511ACDE0"/>
    <w:lvl w:ilvl="0" w:tplc="8BFE3276">
      <w:start w:val="1"/>
      <w:numFmt w:val="decimal"/>
      <w:lvlText w:val="%1."/>
      <w:lvlJc w:val="left"/>
      <w:pPr>
        <w:ind w:left="36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93014FD"/>
    <w:multiLevelType w:val="hybridMultilevel"/>
    <w:tmpl w:val="5B1E1BD4"/>
    <w:lvl w:ilvl="0" w:tplc="140A000F">
      <w:start w:val="1"/>
      <w:numFmt w:val="decimal"/>
      <w:lvlText w:val="%1."/>
      <w:lvlJc w:val="left"/>
      <w:pPr>
        <w:ind w:left="36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C1C3142"/>
    <w:multiLevelType w:val="hybridMultilevel"/>
    <w:tmpl w:val="BA722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C30DF4"/>
    <w:multiLevelType w:val="hybridMultilevel"/>
    <w:tmpl w:val="A2E00B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BE0E90"/>
    <w:multiLevelType w:val="hybridMultilevel"/>
    <w:tmpl w:val="68A4D502"/>
    <w:lvl w:ilvl="0" w:tplc="838AAB90">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6857562"/>
    <w:multiLevelType w:val="hybridMultilevel"/>
    <w:tmpl w:val="057603DA"/>
    <w:lvl w:ilvl="0" w:tplc="262A9CBE">
      <w:start w:val="1"/>
      <w:numFmt w:val="decimal"/>
      <w:lvlText w:val="%1."/>
      <w:lvlJc w:val="left"/>
      <w:pPr>
        <w:ind w:left="360" w:hanging="360"/>
      </w:pPr>
      <w:rPr>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572613EE"/>
    <w:multiLevelType w:val="hybridMultilevel"/>
    <w:tmpl w:val="823EE628"/>
    <w:lvl w:ilvl="0" w:tplc="04090015">
      <w:start w:val="1"/>
      <w:numFmt w:val="upp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592C38A9"/>
    <w:multiLevelType w:val="hybridMultilevel"/>
    <w:tmpl w:val="B316E78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B562918"/>
    <w:multiLevelType w:val="hybridMultilevel"/>
    <w:tmpl w:val="706ECE90"/>
    <w:lvl w:ilvl="0" w:tplc="477A7B68">
      <w:start w:val="25"/>
      <w:numFmt w:val="decimal"/>
      <w:lvlText w:val="%1."/>
      <w:lvlJc w:val="left"/>
      <w:pPr>
        <w:ind w:left="720" w:hanging="360"/>
      </w:pPr>
      <w:rPr>
        <w:rFonts w:ascii="Verdana" w:hAnsi="Verdana"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3B023B6"/>
    <w:multiLevelType w:val="hybridMultilevel"/>
    <w:tmpl w:val="5E3CC286"/>
    <w:lvl w:ilvl="0" w:tplc="3F46D60C">
      <w:start w:val="6"/>
      <w:numFmt w:val="decimal"/>
      <w:lvlText w:val="%1."/>
      <w:lvlJc w:val="left"/>
      <w:pPr>
        <w:ind w:left="720" w:hanging="360"/>
      </w:pPr>
      <w:rPr>
        <w:rFonts w:ascii="Verdana" w:hAnsi="Verdana"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5607065"/>
    <w:multiLevelType w:val="hybridMultilevel"/>
    <w:tmpl w:val="48D68AE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6AAD3C9F"/>
    <w:multiLevelType w:val="hybridMultilevel"/>
    <w:tmpl w:val="B7B649D6"/>
    <w:lvl w:ilvl="0" w:tplc="910E32BC">
      <w:start w:val="3"/>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567387D"/>
    <w:multiLevelType w:val="hybridMultilevel"/>
    <w:tmpl w:val="414A3AD2"/>
    <w:lvl w:ilvl="0" w:tplc="17B6E536">
      <w:start w:val="16"/>
      <w:numFmt w:val="decimal"/>
      <w:lvlText w:val="%1."/>
      <w:lvlJc w:val="left"/>
      <w:pPr>
        <w:ind w:left="81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DE4A5F"/>
    <w:multiLevelType w:val="hybridMultilevel"/>
    <w:tmpl w:val="AEB849CA"/>
    <w:lvl w:ilvl="0" w:tplc="EABEF920">
      <w:start w:val="2825"/>
      <w:numFmt w:val="decimal"/>
      <w:lvlText w:val="%1."/>
      <w:lvlJc w:val="left"/>
      <w:pPr>
        <w:ind w:left="810"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7983635B"/>
    <w:multiLevelType w:val="hybridMultilevel"/>
    <w:tmpl w:val="6908DD66"/>
    <w:lvl w:ilvl="0" w:tplc="C1B49366">
      <w:start w:val="1"/>
      <w:numFmt w:val="decimal"/>
      <w:lvlText w:val="%1."/>
      <w:lvlJc w:val="left"/>
      <w:pPr>
        <w:ind w:left="567" w:hanging="360"/>
      </w:pPr>
      <w:rPr>
        <w:rFonts w:ascii="Verdana" w:hAnsi="Verdana" w:hint="default"/>
        <w:b w:val="0"/>
        <w:i w:val="0"/>
        <w:color w:val="auto"/>
        <w:sz w:val="20"/>
        <w:szCs w:val="20"/>
      </w:rPr>
    </w:lvl>
    <w:lvl w:ilvl="1" w:tplc="140A0019">
      <w:start w:val="1"/>
      <w:numFmt w:val="lowerLetter"/>
      <w:lvlText w:val="%2."/>
      <w:lvlJc w:val="left"/>
      <w:pPr>
        <w:ind w:left="1287" w:hanging="360"/>
      </w:pPr>
    </w:lvl>
    <w:lvl w:ilvl="2" w:tplc="140A001B" w:tentative="1">
      <w:start w:val="1"/>
      <w:numFmt w:val="lowerRoman"/>
      <w:lvlText w:val="%3."/>
      <w:lvlJc w:val="right"/>
      <w:pPr>
        <w:ind w:left="2007" w:hanging="180"/>
      </w:pPr>
    </w:lvl>
    <w:lvl w:ilvl="3" w:tplc="140A000F" w:tentative="1">
      <w:start w:val="1"/>
      <w:numFmt w:val="decimal"/>
      <w:lvlText w:val="%4."/>
      <w:lvlJc w:val="left"/>
      <w:pPr>
        <w:ind w:left="2727" w:hanging="360"/>
      </w:pPr>
    </w:lvl>
    <w:lvl w:ilvl="4" w:tplc="140A0019" w:tentative="1">
      <w:start w:val="1"/>
      <w:numFmt w:val="lowerLetter"/>
      <w:lvlText w:val="%5."/>
      <w:lvlJc w:val="left"/>
      <w:pPr>
        <w:ind w:left="3447" w:hanging="360"/>
      </w:pPr>
    </w:lvl>
    <w:lvl w:ilvl="5" w:tplc="140A001B" w:tentative="1">
      <w:start w:val="1"/>
      <w:numFmt w:val="lowerRoman"/>
      <w:lvlText w:val="%6."/>
      <w:lvlJc w:val="right"/>
      <w:pPr>
        <w:ind w:left="4167" w:hanging="180"/>
      </w:pPr>
    </w:lvl>
    <w:lvl w:ilvl="6" w:tplc="140A000F" w:tentative="1">
      <w:start w:val="1"/>
      <w:numFmt w:val="decimal"/>
      <w:lvlText w:val="%7."/>
      <w:lvlJc w:val="left"/>
      <w:pPr>
        <w:ind w:left="4887" w:hanging="360"/>
      </w:pPr>
    </w:lvl>
    <w:lvl w:ilvl="7" w:tplc="140A0019" w:tentative="1">
      <w:start w:val="1"/>
      <w:numFmt w:val="lowerLetter"/>
      <w:lvlText w:val="%8."/>
      <w:lvlJc w:val="left"/>
      <w:pPr>
        <w:ind w:left="5607" w:hanging="360"/>
      </w:pPr>
    </w:lvl>
    <w:lvl w:ilvl="8" w:tplc="140A001B" w:tentative="1">
      <w:start w:val="1"/>
      <w:numFmt w:val="lowerRoman"/>
      <w:lvlText w:val="%9."/>
      <w:lvlJc w:val="right"/>
      <w:pPr>
        <w:ind w:left="6327" w:hanging="180"/>
      </w:pPr>
    </w:lvl>
  </w:abstractNum>
  <w:abstractNum w:abstractNumId="27" w15:restartNumberingAfterBreak="0">
    <w:nsid w:val="7ADE6978"/>
    <w:multiLevelType w:val="hybridMultilevel"/>
    <w:tmpl w:val="C10A3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3"/>
  </w:num>
  <w:num w:numId="3">
    <w:abstractNumId w:val="21"/>
  </w:num>
  <w:num w:numId="4">
    <w:abstractNumId w:val="23"/>
  </w:num>
  <w:num w:numId="5">
    <w:abstractNumId w:val="19"/>
  </w:num>
  <w:num w:numId="6">
    <w:abstractNumId w:val="12"/>
  </w:num>
  <w:num w:numId="7">
    <w:abstractNumId w:val="18"/>
  </w:num>
  <w:num w:numId="8">
    <w:abstractNumId w:val="9"/>
  </w:num>
  <w:num w:numId="9">
    <w:abstractNumId w:val="2"/>
  </w:num>
  <w:num w:numId="10">
    <w:abstractNumId w:val="15"/>
  </w:num>
  <w:num w:numId="11">
    <w:abstractNumId w:val="6"/>
  </w:num>
  <w:num w:numId="12">
    <w:abstractNumId w:val="27"/>
  </w:num>
  <w:num w:numId="13">
    <w:abstractNumId w:val="14"/>
  </w:num>
  <w:num w:numId="14">
    <w:abstractNumId w:val="4"/>
  </w:num>
  <w:num w:numId="15">
    <w:abstractNumId w:val="16"/>
  </w:num>
  <w:num w:numId="16">
    <w:abstractNumId w:val="8"/>
  </w:num>
  <w:num w:numId="17">
    <w:abstractNumId w:val="10"/>
  </w:num>
  <w:num w:numId="18">
    <w:abstractNumId w:val="7"/>
  </w:num>
  <w:num w:numId="19">
    <w:abstractNumId w:val="26"/>
  </w:num>
  <w:num w:numId="20">
    <w:abstractNumId w:val="22"/>
  </w:num>
  <w:num w:numId="21">
    <w:abstractNumId w:val="11"/>
  </w:num>
  <w:num w:numId="22">
    <w:abstractNumId w:val="20"/>
  </w:num>
  <w:num w:numId="23">
    <w:abstractNumId w:val="25"/>
  </w:num>
  <w:num w:numId="24">
    <w:abstractNumId w:val="3"/>
  </w:num>
  <w:num w:numId="25">
    <w:abstractNumId w:val="0"/>
  </w:num>
  <w:num w:numId="26">
    <w:abstractNumId w:val="5"/>
  </w:num>
  <w:num w:numId="27">
    <w:abstractNumId w:val="24"/>
  </w:num>
  <w:num w:numId="2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CR" w:vendorID="64" w:dllVersion="131078" w:nlCheck="1" w:checkStyle="0"/>
  <w:activeWritingStyle w:appName="MSWord" w:lang="es-CO" w:vendorID="64" w:dllVersion="131078" w:nlCheck="1" w:checkStyle="0"/>
  <w:activeWritingStyle w:appName="MSWord" w:lang="es-ES_tradnl" w:vendorID="64" w:dllVersion="131078" w:nlCheck="1" w:checkStyle="0"/>
  <w:activeWritingStyle w:appName="MSWord" w:lang="es-MX" w:vendorID="64" w:dllVersion="131078" w:nlCheck="1" w:checkStyle="0"/>
  <w:activeWritingStyle w:appName="MSWord" w:lang="en-US" w:vendorID="64" w:dllVersion="131078" w:nlCheck="1" w:checkStyle="0"/>
  <w:activeWritingStyle w:appName="MSWord" w:lang="es-AR" w:vendorID="64" w:dllVersion="131078" w:nlCheck="1" w:checkStyle="0"/>
  <w:activeWritingStyle w:appName="MSWord" w:lang="es-CR" w:vendorID="64" w:dllVersion="4096" w:nlCheck="1" w:checkStyle="0"/>
  <w:activeWritingStyle w:appName="MSWord" w:lang="es-CO"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AR"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ES" w:vendorID="64" w:dllVersion="131078" w:nlCheck="1" w:checkStyle="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D4F"/>
    <w:rsid w:val="000005C3"/>
    <w:rsid w:val="0000617D"/>
    <w:rsid w:val="00006DB9"/>
    <w:rsid w:val="00010063"/>
    <w:rsid w:val="00010BF7"/>
    <w:rsid w:val="00011991"/>
    <w:rsid w:val="00011D34"/>
    <w:rsid w:val="000121ED"/>
    <w:rsid w:val="000131AA"/>
    <w:rsid w:val="000142A3"/>
    <w:rsid w:val="00014366"/>
    <w:rsid w:val="00015432"/>
    <w:rsid w:val="00015578"/>
    <w:rsid w:val="000159FF"/>
    <w:rsid w:val="00017A74"/>
    <w:rsid w:val="00017E73"/>
    <w:rsid w:val="00020F1A"/>
    <w:rsid w:val="0002220E"/>
    <w:rsid w:val="00024718"/>
    <w:rsid w:val="00024A8B"/>
    <w:rsid w:val="000264F8"/>
    <w:rsid w:val="0002719D"/>
    <w:rsid w:val="00032244"/>
    <w:rsid w:val="000324F9"/>
    <w:rsid w:val="000329E1"/>
    <w:rsid w:val="00032A4E"/>
    <w:rsid w:val="00035113"/>
    <w:rsid w:val="00035307"/>
    <w:rsid w:val="00036781"/>
    <w:rsid w:val="000368A4"/>
    <w:rsid w:val="00036946"/>
    <w:rsid w:val="00037483"/>
    <w:rsid w:val="00040684"/>
    <w:rsid w:val="00041E2E"/>
    <w:rsid w:val="00043B6F"/>
    <w:rsid w:val="000444EB"/>
    <w:rsid w:val="000457D4"/>
    <w:rsid w:val="00045A07"/>
    <w:rsid w:val="00046F7E"/>
    <w:rsid w:val="00047288"/>
    <w:rsid w:val="000477CE"/>
    <w:rsid w:val="000534CE"/>
    <w:rsid w:val="00054435"/>
    <w:rsid w:val="000547FB"/>
    <w:rsid w:val="00055FA5"/>
    <w:rsid w:val="000568D5"/>
    <w:rsid w:val="0006095B"/>
    <w:rsid w:val="00060D08"/>
    <w:rsid w:val="00061045"/>
    <w:rsid w:val="00061686"/>
    <w:rsid w:val="00062679"/>
    <w:rsid w:val="00064748"/>
    <w:rsid w:val="00065360"/>
    <w:rsid w:val="00065564"/>
    <w:rsid w:val="00065B58"/>
    <w:rsid w:val="0006620E"/>
    <w:rsid w:val="00066E12"/>
    <w:rsid w:val="000674AB"/>
    <w:rsid w:val="00070F93"/>
    <w:rsid w:val="00072210"/>
    <w:rsid w:val="000734F1"/>
    <w:rsid w:val="0007528C"/>
    <w:rsid w:val="00076512"/>
    <w:rsid w:val="00077084"/>
    <w:rsid w:val="00077139"/>
    <w:rsid w:val="00077D44"/>
    <w:rsid w:val="0008321A"/>
    <w:rsid w:val="000843EB"/>
    <w:rsid w:val="00084C87"/>
    <w:rsid w:val="00086AAE"/>
    <w:rsid w:val="0009166C"/>
    <w:rsid w:val="00092F40"/>
    <w:rsid w:val="0009517F"/>
    <w:rsid w:val="00096557"/>
    <w:rsid w:val="00096CE4"/>
    <w:rsid w:val="000A0585"/>
    <w:rsid w:val="000A2B57"/>
    <w:rsid w:val="000A3A1E"/>
    <w:rsid w:val="000A4229"/>
    <w:rsid w:val="000A52F1"/>
    <w:rsid w:val="000A552E"/>
    <w:rsid w:val="000A735B"/>
    <w:rsid w:val="000B01FF"/>
    <w:rsid w:val="000B0702"/>
    <w:rsid w:val="000B17C8"/>
    <w:rsid w:val="000B39B4"/>
    <w:rsid w:val="000B3A07"/>
    <w:rsid w:val="000B5603"/>
    <w:rsid w:val="000C042D"/>
    <w:rsid w:val="000C609F"/>
    <w:rsid w:val="000C7304"/>
    <w:rsid w:val="000D23E2"/>
    <w:rsid w:val="000D5673"/>
    <w:rsid w:val="000D5FAC"/>
    <w:rsid w:val="000D7802"/>
    <w:rsid w:val="000E08DB"/>
    <w:rsid w:val="000E1063"/>
    <w:rsid w:val="000E197E"/>
    <w:rsid w:val="000E20B7"/>
    <w:rsid w:val="000E2D62"/>
    <w:rsid w:val="000E3909"/>
    <w:rsid w:val="000E50D8"/>
    <w:rsid w:val="000E591B"/>
    <w:rsid w:val="000E59FE"/>
    <w:rsid w:val="000E71A9"/>
    <w:rsid w:val="000E7572"/>
    <w:rsid w:val="000F0C43"/>
    <w:rsid w:val="000F1CF4"/>
    <w:rsid w:val="000F1DE0"/>
    <w:rsid w:val="000F29C9"/>
    <w:rsid w:val="000F6413"/>
    <w:rsid w:val="00102481"/>
    <w:rsid w:val="00103F32"/>
    <w:rsid w:val="00104788"/>
    <w:rsid w:val="00104861"/>
    <w:rsid w:val="001052AB"/>
    <w:rsid w:val="00106618"/>
    <w:rsid w:val="00106CFE"/>
    <w:rsid w:val="00110791"/>
    <w:rsid w:val="00110AA5"/>
    <w:rsid w:val="001141EE"/>
    <w:rsid w:val="00114CDB"/>
    <w:rsid w:val="00117900"/>
    <w:rsid w:val="00120836"/>
    <w:rsid w:val="00120C2D"/>
    <w:rsid w:val="00121288"/>
    <w:rsid w:val="001235EA"/>
    <w:rsid w:val="00127E72"/>
    <w:rsid w:val="001303A2"/>
    <w:rsid w:val="00132974"/>
    <w:rsid w:val="00132F50"/>
    <w:rsid w:val="0013369F"/>
    <w:rsid w:val="001343F9"/>
    <w:rsid w:val="00136053"/>
    <w:rsid w:val="00136725"/>
    <w:rsid w:val="001409EA"/>
    <w:rsid w:val="00141C87"/>
    <w:rsid w:val="00142AA9"/>
    <w:rsid w:val="001434DF"/>
    <w:rsid w:val="00145EA9"/>
    <w:rsid w:val="001504C1"/>
    <w:rsid w:val="00150C79"/>
    <w:rsid w:val="001519CD"/>
    <w:rsid w:val="001520F9"/>
    <w:rsid w:val="001527CB"/>
    <w:rsid w:val="00152E1C"/>
    <w:rsid w:val="001540F7"/>
    <w:rsid w:val="001551B2"/>
    <w:rsid w:val="00156E17"/>
    <w:rsid w:val="00157974"/>
    <w:rsid w:val="00160398"/>
    <w:rsid w:val="001633AC"/>
    <w:rsid w:val="00163598"/>
    <w:rsid w:val="00163C46"/>
    <w:rsid w:val="001647B9"/>
    <w:rsid w:val="001647F6"/>
    <w:rsid w:val="00164AAB"/>
    <w:rsid w:val="00165278"/>
    <w:rsid w:val="00165CB6"/>
    <w:rsid w:val="00165D3F"/>
    <w:rsid w:val="00170510"/>
    <w:rsid w:val="00172722"/>
    <w:rsid w:val="00173B86"/>
    <w:rsid w:val="00173D74"/>
    <w:rsid w:val="0017535E"/>
    <w:rsid w:val="001759FF"/>
    <w:rsid w:val="00177775"/>
    <w:rsid w:val="001804FA"/>
    <w:rsid w:val="00180992"/>
    <w:rsid w:val="00182A2F"/>
    <w:rsid w:val="0018479F"/>
    <w:rsid w:val="0018606C"/>
    <w:rsid w:val="00187008"/>
    <w:rsid w:val="00187580"/>
    <w:rsid w:val="001916B5"/>
    <w:rsid w:val="00191815"/>
    <w:rsid w:val="001919A4"/>
    <w:rsid w:val="00193CD3"/>
    <w:rsid w:val="001952AA"/>
    <w:rsid w:val="00195B71"/>
    <w:rsid w:val="00196256"/>
    <w:rsid w:val="001978EC"/>
    <w:rsid w:val="00197F8D"/>
    <w:rsid w:val="001A0A01"/>
    <w:rsid w:val="001A0AC7"/>
    <w:rsid w:val="001A0FCF"/>
    <w:rsid w:val="001A23A8"/>
    <w:rsid w:val="001A3510"/>
    <w:rsid w:val="001A526E"/>
    <w:rsid w:val="001A6685"/>
    <w:rsid w:val="001A674F"/>
    <w:rsid w:val="001A6D2A"/>
    <w:rsid w:val="001B004F"/>
    <w:rsid w:val="001B0651"/>
    <w:rsid w:val="001B0BB6"/>
    <w:rsid w:val="001B1B7E"/>
    <w:rsid w:val="001B501F"/>
    <w:rsid w:val="001B5547"/>
    <w:rsid w:val="001B64AD"/>
    <w:rsid w:val="001C048B"/>
    <w:rsid w:val="001C0DED"/>
    <w:rsid w:val="001C1572"/>
    <w:rsid w:val="001C247F"/>
    <w:rsid w:val="001C2559"/>
    <w:rsid w:val="001C2A96"/>
    <w:rsid w:val="001C3AB5"/>
    <w:rsid w:val="001C3BEE"/>
    <w:rsid w:val="001C483E"/>
    <w:rsid w:val="001C4984"/>
    <w:rsid w:val="001C5446"/>
    <w:rsid w:val="001C5870"/>
    <w:rsid w:val="001C5E0F"/>
    <w:rsid w:val="001C6CA2"/>
    <w:rsid w:val="001C6F50"/>
    <w:rsid w:val="001C70A4"/>
    <w:rsid w:val="001D4307"/>
    <w:rsid w:val="001D4878"/>
    <w:rsid w:val="001D4F99"/>
    <w:rsid w:val="001D5D29"/>
    <w:rsid w:val="001D776E"/>
    <w:rsid w:val="001D7BC5"/>
    <w:rsid w:val="001E0FFB"/>
    <w:rsid w:val="001E19A3"/>
    <w:rsid w:val="001E23A6"/>
    <w:rsid w:val="001E37B0"/>
    <w:rsid w:val="001E39A1"/>
    <w:rsid w:val="001E4180"/>
    <w:rsid w:val="001E43A2"/>
    <w:rsid w:val="001E557C"/>
    <w:rsid w:val="001E64A7"/>
    <w:rsid w:val="001F019B"/>
    <w:rsid w:val="001F15BB"/>
    <w:rsid w:val="001F62D3"/>
    <w:rsid w:val="001F6932"/>
    <w:rsid w:val="00201CA9"/>
    <w:rsid w:val="00202DF4"/>
    <w:rsid w:val="00202E30"/>
    <w:rsid w:val="00204F09"/>
    <w:rsid w:val="002134FE"/>
    <w:rsid w:val="002174A2"/>
    <w:rsid w:val="00220A97"/>
    <w:rsid w:val="002217E9"/>
    <w:rsid w:val="002243E4"/>
    <w:rsid w:val="002249E9"/>
    <w:rsid w:val="002306B6"/>
    <w:rsid w:val="00230C1B"/>
    <w:rsid w:val="00231E69"/>
    <w:rsid w:val="00232151"/>
    <w:rsid w:val="0023290D"/>
    <w:rsid w:val="00234C19"/>
    <w:rsid w:val="0023520D"/>
    <w:rsid w:val="00235FA5"/>
    <w:rsid w:val="00236856"/>
    <w:rsid w:val="00236C4D"/>
    <w:rsid w:val="0024035B"/>
    <w:rsid w:val="0024307D"/>
    <w:rsid w:val="002439D0"/>
    <w:rsid w:val="00243B67"/>
    <w:rsid w:val="00244281"/>
    <w:rsid w:val="002446E6"/>
    <w:rsid w:val="00244715"/>
    <w:rsid w:val="00246221"/>
    <w:rsid w:val="00247B4B"/>
    <w:rsid w:val="0025143F"/>
    <w:rsid w:val="00251DB6"/>
    <w:rsid w:val="00252520"/>
    <w:rsid w:val="00253240"/>
    <w:rsid w:val="0025384C"/>
    <w:rsid w:val="00255B9F"/>
    <w:rsid w:val="00260551"/>
    <w:rsid w:val="00264887"/>
    <w:rsid w:val="00265EBD"/>
    <w:rsid w:val="0026611F"/>
    <w:rsid w:val="00267DF3"/>
    <w:rsid w:val="00270013"/>
    <w:rsid w:val="00271DC5"/>
    <w:rsid w:val="002728B0"/>
    <w:rsid w:val="00273357"/>
    <w:rsid w:val="002733A0"/>
    <w:rsid w:val="0027470D"/>
    <w:rsid w:val="002750CC"/>
    <w:rsid w:val="002751B7"/>
    <w:rsid w:val="00276A9C"/>
    <w:rsid w:val="00276D5B"/>
    <w:rsid w:val="00277370"/>
    <w:rsid w:val="002776A8"/>
    <w:rsid w:val="00280883"/>
    <w:rsid w:val="0028181B"/>
    <w:rsid w:val="00282B6A"/>
    <w:rsid w:val="002835BA"/>
    <w:rsid w:val="00284B91"/>
    <w:rsid w:val="00284E87"/>
    <w:rsid w:val="00287108"/>
    <w:rsid w:val="00290176"/>
    <w:rsid w:val="00290A1E"/>
    <w:rsid w:val="002911F3"/>
    <w:rsid w:val="00291D37"/>
    <w:rsid w:val="00296D92"/>
    <w:rsid w:val="002A0F4D"/>
    <w:rsid w:val="002A4405"/>
    <w:rsid w:val="002A4433"/>
    <w:rsid w:val="002A727E"/>
    <w:rsid w:val="002A7A66"/>
    <w:rsid w:val="002B373D"/>
    <w:rsid w:val="002B4690"/>
    <w:rsid w:val="002B604E"/>
    <w:rsid w:val="002B625E"/>
    <w:rsid w:val="002B79C6"/>
    <w:rsid w:val="002C174F"/>
    <w:rsid w:val="002C2D79"/>
    <w:rsid w:val="002C316F"/>
    <w:rsid w:val="002C33E5"/>
    <w:rsid w:val="002C5590"/>
    <w:rsid w:val="002C70F6"/>
    <w:rsid w:val="002D018B"/>
    <w:rsid w:val="002D13B7"/>
    <w:rsid w:val="002D3468"/>
    <w:rsid w:val="002D5D44"/>
    <w:rsid w:val="002D640D"/>
    <w:rsid w:val="002D7C72"/>
    <w:rsid w:val="002D7DA5"/>
    <w:rsid w:val="002E038E"/>
    <w:rsid w:val="002E0B40"/>
    <w:rsid w:val="002E1101"/>
    <w:rsid w:val="002E1EEC"/>
    <w:rsid w:val="002E305D"/>
    <w:rsid w:val="002E484D"/>
    <w:rsid w:val="002E6550"/>
    <w:rsid w:val="002F006C"/>
    <w:rsid w:val="002F50F0"/>
    <w:rsid w:val="002F5BB9"/>
    <w:rsid w:val="002F65B1"/>
    <w:rsid w:val="002F704F"/>
    <w:rsid w:val="00300475"/>
    <w:rsid w:val="00300D02"/>
    <w:rsid w:val="00301964"/>
    <w:rsid w:val="00302AB0"/>
    <w:rsid w:val="00302DAA"/>
    <w:rsid w:val="00303D83"/>
    <w:rsid w:val="00303E4C"/>
    <w:rsid w:val="0030486D"/>
    <w:rsid w:val="0030529E"/>
    <w:rsid w:val="00306011"/>
    <w:rsid w:val="00307FCA"/>
    <w:rsid w:val="00310E36"/>
    <w:rsid w:val="003115A1"/>
    <w:rsid w:val="003139CB"/>
    <w:rsid w:val="00314A94"/>
    <w:rsid w:val="003151C8"/>
    <w:rsid w:val="0031539E"/>
    <w:rsid w:val="00316149"/>
    <w:rsid w:val="00316A39"/>
    <w:rsid w:val="00317144"/>
    <w:rsid w:val="0031749C"/>
    <w:rsid w:val="00317822"/>
    <w:rsid w:val="00317DB3"/>
    <w:rsid w:val="00317ED6"/>
    <w:rsid w:val="003202D8"/>
    <w:rsid w:val="00322612"/>
    <w:rsid w:val="0032570B"/>
    <w:rsid w:val="00325965"/>
    <w:rsid w:val="0032766C"/>
    <w:rsid w:val="00330CE2"/>
    <w:rsid w:val="003320E3"/>
    <w:rsid w:val="00332C88"/>
    <w:rsid w:val="00333C2E"/>
    <w:rsid w:val="0033501D"/>
    <w:rsid w:val="003355A2"/>
    <w:rsid w:val="003370B3"/>
    <w:rsid w:val="003370CB"/>
    <w:rsid w:val="0033725D"/>
    <w:rsid w:val="00337FAA"/>
    <w:rsid w:val="003400C1"/>
    <w:rsid w:val="0034046E"/>
    <w:rsid w:val="00341D99"/>
    <w:rsid w:val="00342BD7"/>
    <w:rsid w:val="00342CE4"/>
    <w:rsid w:val="00343FC2"/>
    <w:rsid w:val="00344B3F"/>
    <w:rsid w:val="003453C7"/>
    <w:rsid w:val="003453F7"/>
    <w:rsid w:val="0035396C"/>
    <w:rsid w:val="00353B1C"/>
    <w:rsid w:val="003552B5"/>
    <w:rsid w:val="003563C4"/>
    <w:rsid w:val="00357F47"/>
    <w:rsid w:val="003615CB"/>
    <w:rsid w:val="0036260B"/>
    <w:rsid w:val="003628A6"/>
    <w:rsid w:val="003631F8"/>
    <w:rsid w:val="00364091"/>
    <w:rsid w:val="003642A9"/>
    <w:rsid w:val="00364459"/>
    <w:rsid w:val="00365FDE"/>
    <w:rsid w:val="0036774A"/>
    <w:rsid w:val="00367E71"/>
    <w:rsid w:val="00372198"/>
    <w:rsid w:val="00372ED8"/>
    <w:rsid w:val="00373956"/>
    <w:rsid w:val="00374AB2"/>
    <w:rsid w:val="00374BE9"/>
    <w:rsid w:val="00375E7C"/>
    <w:rsid w:val="00380604"/>
    <w:rsid w:val="00381002"/>
    <w:rsid w:val="00382381"/>
    <w:rsid w:val="00383078"/>
    <w:rsid w:val="00383328"/>
    <w:rsid w:val="003833CC"/>
    <w:rsid w:val="0038360F"/>
    <w:rsid w:val="00383D27"/>
    <w:rsid w:val="003840A3"/>
    <w:rsid w:val="00384D60"/>
    <w:rsid w:val="00384F4E"/>
    <w:rsid w:val="00385396"/>
    <w:rsid w:val="0038562F"/>
    <w:rsid w:val="003878CA"/>
    <w:rsid w:val="003904A1"/>
    <w:rsid w:val="00390D23"/>
    <w:rsid w:val="003919C7"/>
    <w:rsid w:val="00392FA8"/>
    <w:rsid w:val="00393991"/>
    <w:rsid w:val="003A023E"/>
    <w:rsid w:val="003A061C"/>
    <w:rsid w:val="003B49A5"/>
    <w:rsid w:val="003B4EBF"/>
    <w:rsid w:val="003B5A19"/>
    <w:rsid w:val="003B7AD2"/>
    <w:rsid w:val="003C11A2"/>
    <w:rsid w:val="003C1505"/>
    <w:rsid w:val="003C16AE"/>
    <w:rsid w:val="003C5369"/>
    <w:rsid w:val="003C67A9"/>
    <w:rsid w:val="003D0047"/>
    <w:rsid w:val="003D2021"/>
    <w:rsid w:val="003D30E0"/>
    <w:rsid w:val="003D4B93"/>
    <w:rsid w:val="003D7FCF"/>
    <w:rsid w:val="003E00DA"/>
    <w:rsid w:val="003E08A9"/>
    <w:rsid w:val="003E423E"/>
    <w:rsid w:val="003E4608"/>
    <w:rsid w:val="003E4CF5"/>
    <w:rsid w:val="003E70D1"/>
    <w:rsid w:val="003E759D"/>
    <w:rsid w:val="003E7F34"/>
    <w:rsid w:val="003F08A8"/>
    <w:rsid w:val="003F32BF"/>
    <w:rsid w:val="003F493D"/>
    <w:rsid w:val="003F511E"/>
    <w:rsid w:val="003F5288"/>
    <w:rsid w:val="003F5F46"/>
    <w:rsid w:val="003F6201"/>
    <w:rsid w:val="003F77E0"/>
    <w:rsid w:val="003F7EAA"/>
    <w:rsid w:val="00401C06"/>
    <w:rsid w:val="004026E5"/>
    <w:rsid w:val="004057FF"/>
    <w:rsid w:val="00405B38"/>
    <w:rsid w:val="004063E0"/>
    <w:rsid w:val="00407329"/>
    <w:rsid w:val="00407CBE"/>
    <w:rsid w:val="00412BE6"/>
    <w:rsid w:val="00413495"/>
    <w:rsid w:val="00413873"/>
    <w:rsid w:val="00416E20"/>
    <w:rsid w:val="00417478"/>
    <w:rsid w:val="004203C4"/>
    <w:rsid w:val="00422EFD"/>
    <w:rsid w:val="00423684"/>
    <w:rsid w:val="00425C79"/>
    <w:rsid w:val="004267A7"/>
    <w:rsid w:val="004267A8"/>
    <w:rsid w:val="00426BB6"/>
    <w:rsid w:val="00427378"/>
    <w:rsid w:val="0042771F"/>
    <w:rsid w:val="00431733"/>
    <w:rsid w:val="00431F2D"/>
    <w:rsid w:val="00432D4E"/>
    <w:rsid w:val="0043334B"/>
    <w:rsid w:val="00435933"/>
    <w:rsid w:val="0043620A"/>
    <w:rsid w:val="00436301"/>
    <w:rsid w:val="004372CF"/>
    <w:rsid w:val="00441DB4"/>
    <w:rsid w:val="00444BC9"/>
    <w:rsid w:val="004453FF"/>
    <w:rsid w:val="004466D0"/>
    <w:rsid w:val="00450D75"/>
    <w:rsid w:val="004517B4"/>
    <w:rsid w:val="00452C6A"/>
    <w:rsid w:val="00453865"/>
    <w:rsid w:val="00455579"/>
    <w:rsid w:val="00456387"/>
    <w:rsid w:val="00456633"/>
    <w:rsid w:val="004566C1"/>
    <w:rsid w:val="00457485"/>
    <w:rsid w:val="0045756A"/>
    <w:rsid w:val="00460197"/>
    <w:rsid w:val="004633A4"/>
    <w:rsid w:val="004639B6"/>
    <w:rsid w:val="004647F2"/>
    <w:rsid w:val="00464D3B"/>
    <w:rsid w:val="00465C31"/>
    <w:rsid w:val="0046663E"/>
    <w:rsid w:val="00467AED"/>
    <w:rsid w:val="00467C1D"/>
    <w:rsid w:val="00470338"/>
    <w:rsid w:val="00471329"/>
    <w:rsid w:val="00471923"/>
    <w:rsid w:val="0047217D"/>
    <w:rsid w:val="0047228E"/>
    <w:rsid w:val="0047235E"/>
    <w:rsid w:val="00472B42"/>
    <w:rsid w:val="00474222"/>
    <w:rsid w:val="00474E86"/>
    <w:rsid w:val="00474EB9"/>
    <w:rsid w:val="00475416"/>
    <w:rsid w:val="00475A3E"/>
    <w:rsid w:val="0047662E"/>
    <w:rsid w:val="00477A2B"/>
    <w:rsid w:val="00480252"/>
    <w:rsid w:val="00480AFF"/>
    <w:rsid w:val="00480B28"/>
    <w:rsid w:val="00482F09"/>
    <w:rsid w:val="0048307D"/>
    <w:rsid w:val="00484BD0"/>
    <w:rsid w:val="00485674"/>
    <w:rsid w:val="004861DE"/>
    <w:rsid w:val="004919F6"/>
    <w:rsid w:val="00492EAF"/>
    <w:rsid w:val="00493331"/>
    <w:rsid w:val="0049395E"/>
    <w:rsid w:val="00493CD4"/>
    <w:rsid w:val="00497085"/>
    <w:rsid w:val="004971B8"/>
    <w:rsid w:val="00497B7C"/>
    <w:rsid w:val="004A0F49"/>
    <w:rsid w:val="004A171B"/>
    <w:rsid w:val="004A176F"/>
    <w:rsid w:val="004A31B5"/>
    <w:rsid w:val="004A3773"/>
    <w:rsid w:val="004A4928"/>
    <w:rsid w:val="004A578A"/>
    <w:rsid w:val="004A5E20"/>
    <w:rsid w:val="004A6627"/>
    <w:rsid w:val="004A6A22"/>
    <w:rsid w:val="004B17E2"/>
    <w:rsid w:val="004B1F06"/>
    <w:rsid w:val="004B53AF"/>
    <w:rsid w:val="004B6FAC"/>
    <w:rsid w:val="004B7887"/>
    <w:rsid w:val="004C04C4"/>
    <w:rsid w:val="004C33FB"/>
    <w:rsid w:val="004C41A4"/>
    <w:rsid w:val="004C430A"/>
    <w:rsid w:val="004C5062"/>
    <w:rsid w:val="004C6BAE"/>
    <w:rsid w:val="004C7B35"/>
    <w:rsid w:val="004C7E5C"/>
    <w:rsid w:val="004D0659"/>
    <w:rsid w:val="004D3129"/>
    <w:rsid w:val="004D3929"/>
    <w:rsid w:val="004D3A23"/>
    <w:rsid w:val="004D40FA"/>
    <w:rsid w:val="004D45F9"/>
    <w:rsid w:val="004D4C34"/>
    <w:rsid w:val="004D50B3"/>
    <w:rsid w:val="004D5876"/>
    <w:rsid w:val="004D6330"/>
    <w:rsid w:val="004D6607"/>
    <w:rsid w:val="004D6643"/>
    <w:rsid w:val="004D764E"/>
    <w:rsid w:val="004E06F3"/>
    <w:rsid w:val="004E0F3D"/>
    <w:rsid w:val="004E1037"/>
    <w:rsid w:val="004E18DB"/>
    <w:rsid w:val="004E252C"/>
    <w:rsid w:val="004E3181"/>
    <w:rsid w:val="004E3998"/>
    <w:rsid w:val="004E442E"/>
    <w:rsid w:val="004E62CB"/>
    <w:rsid w:val="004E6320"/>
    <w:rsid w:val="004E7702"/>
    <w:rsid w:val="004E7BCB"/>
    <w:rsid w:val="004F1A4B"/>
    <w:rsid w:val="004F427D"/>
    <w:rsid w:val="004F4293"/>
    <w:rsid w:val="004F4B79"/>
    <w:rsid w:val="004F6647"/>
    <w:rsid w:val="005004F7"/>
    <w:rsid w:val="005012E3"/>
    <w:rsid w:val="00503374"/>
    <w:rsid w:val="005034A8"/>
    <w:rsid w:val="005034CA"/>
    <w:rsid w:val="00504E3E"/>
    <w:rsid w:val="00505829"/>
    <w:rsid w:val="00513877"/>
    <w:rsid w:val="0051635A"/>
    <w:rsid w:val="00517244"/>
    <w:rsid w:val="00520034"/>
    <w:rsid w:val="00520424"/>
    <w:rsid w:val="00520868"/>
    <w:rsid w:val="00521176"/>
    <w:rsid w:val="00523004"/>
    <w:rsid w:val="005230DD"/>
    <w:rsid w:val="005237EB"/>
    <w:rsid w:val="00523D58"/>
    <w:rsid w:val="00526D68"/>
    <w:rsid w:val="00530289"/>
    <w:rsid w:val="005307DB"/>
    <w:rsid w:val="005326B7"/>
    <w:rsid w:val="00533307"/>
    <w:rsid w:val="00534268"/>
    <w:rsid w:val="00535053"/>
    <w:rsid w:val="005371D6"/>
    <w:rsid w:val="00540471"/>
    <w:rsid w:val="00541208"/>
    <w:rsid w:val="005439B2"/>
    <w:rsid w:val="00545B44"/>
    <w:rsid w:val="005460D3"/>
    <w:rsid w:val="005550CD"/>
    <w:rsid w:val="00555371"/>
    <w:rsid w:val="00560313"/>
    <w:rsid w:val="00560316"/>
    <w:rsid w:val="00563E3A"/>
    <w:rsid w:val="00565F2A"/>
    <w:rsid w:val="00566F3C"/>
    <w:rsid w:val="00566FBC"/>
    <w:rsid w:val="00567043"/>
    <w:rsid w:val="00567FD7"/>
    <w:rsid w:val="00570BC8"/>
    <w:rsid w:val="0057155D"/>
    <w:rsid w:val="00571888"/>
    <w:rsid w:val="005719C6"/>
    <w:rsid w:val="0057609C"/>
    <w:rsid w:val="00576156"/>
    <w:rsid w:val="005809F6"/>
    <w:rsid w:val="00582FFB"/>
    <w:rsid w:val="0058401A"/>
    <w:rsid w:val="005842F7"/>
    <w:rsid w:val="00585FB4"/>
    <w:rsid w:val="00586DBE"/>
    <w:rsid w:val="00591089"/>
    <w:rsid w:val="005910EA"/>
    <w:rsid w:val="00592164"/>
    <w:rsid w:val="005921C0"/>
    <w:rsid w:val="005923F4"/>
    <w:rsid w:val="0059292A"/>
    <w:rsid w:val="0059338E"/>
    <w:rsid w:val="00593569"/>
    <w:rsid w:val="005940EB"/>
    <w:rsid w:val="005952CF"/>
    <w:rsid w:val="0059605C"/>
    <w:rsid w:val="00596584"/>
    <w:rsid w:val="00596D5E"/>
    <w:rsid w:val="005A1B3D"/>
    <w:rsid w:val="005A29F3"/>
    <w:rsid w:val="005A2E32"/>
    <w:rsid w:val="005A3FC4"/>
    <w:rsid w:val="005A5B84"/>
    <w:rsid w:val="005A63F9"/>
    <w:rsid w:val="005A7CBF"/>
    <w:rsid w:val="005B3B1C"/>
    <w:rsid w:val="005B4A61"/>
    <w:rsid w:val="005B5CF2"/>
    <w:rsid w:val="005B68CC"/>
    <w:rsid w:val="005B6BE9"/>
    <w:rsid w:val="005C025D"/>
    <w:rsid w:val="005C0DF5"/>
    <w:rsid w:val="005C0F4B"/>
    <w:rsid w:val="005C2E66"/>
    <w:rsid w:val="005C2F80"/>
    <w:rsid w:val="005C3529"/>
    <w:rsid w:val="005C4A78"/>
    <w:rsid w:val="005C6019"/>
    <w:rsid w:val="005C6DD3"/>
    <w:rsid w:val="005C7FEC"/>
    <w:rsid w:val="005D02AD"/>
    <w:rsid w:val="005D0BFA"/>
    <w:rsid w:val="005D1F98"/>
    <w:rsid w:val="005D26C7"/>
    <w:rsid w:val="005D28A2"/>
    <w:rsid w:val="005D6159"/>
    <w:rsid w:val="005D6740"/>
    <w:rsid w:val="005D68FE"/>
    <w:rsid w:val="005D6A03"/>
    <w:rsid w:val="005E1062"/>
    <w:rsid w:val="005E1BAC"/>
    <w:rsid w:val="005E3278"/>
    <w:rsid w:val="005E3AA2"/>
    <w:rsid w:val="005E3F1C"/>
    <w:rsid w:val="005F19AA"/>
    <w:rsid w:val="005F2113"/>
    <w:rsid w:val="005F402B"/>
    <w:rsid w:val="005F4A2C"/>
    <w:rsid w:val="005F564E"/>
    <w:rsid w:val="005F5FCA"/>
    <w:rsid w:val="005F7A2E"/>
    <w:rsid w:val="005F7C9B"/>
    <w:rsid w:val="0060189A"/>
    <w:rsid w:val="006021E3"/>
    <w:rsid w:val="0060361E"/>
    <w:rsid w:val="00604CCA"/>
    <w:rsid w:val="00605722"/>
    <w:rsid w:val="00605FC0"/>
    <w:rsid w:val="006063C0"/>
    <w:rsid w:val="006063D6"/>
    <w:rsid w:val="00606C37"/>
    <w:rsid w:val="00610AA0"/>
    <w:rsid w:val="00611911"/>
    <w:rsid w:val="00612458"/>
    <w:rsid w:val="006126A8"/>
    <w:rsid w:val="00612F08"/>
    <w:rsid w:val="00613151"/>
    <w:rsid w:val="00613B0B"/>
    <w:rsid w:val="00615471"/>
    <w:rsid w:val="006162F0"/>
    <w:rsid w:val="006170B8"/>
    <w:rsid w:val="00617A05"/>
    <w:rsid w:val="006209FB"/>
    <w:rsid w:val="00621A84"/>
    <w:rsid w:val="00621F88"/>
    <w:rsid w:val="00621FD7"/>
    <w:rsid w:val="006230A5"/>
    <w:rsid w:val="006232CA"/>
    <w:rsid w:val="00623717"/>
    <w:rsid w:val="00624BAD"/>
    <w:rsid w:val="0062612D"/>
    <w:rsid w:val="00627CF8"/>
    <w:rsid w:val="00632930"/>
    <w:rsid w:val="0063311A"/>
    <w:rsid w:val="00633DC9"/>
    <w:rsid w:val="00633F7C"/>
    <w:rsid w:val="00633FE2"/>
    <w:rsid w:val="00634041"/>
    <w:rsid w:val="006347AA"/>
    <w:rsid w:val="00635196"/>
    <w:rsid w:val="0063541E"/>
    <w:rsid w:val="00637414"/>
    <w:rsid w:val="00637E9D"/>
    <w:rsid w:val="0064028A"/>
    <w:rsid w:val="006402BF"/>
    <w:rsid w:val="0064030E"/>
    <w:rsid w:val="0064101E"/>
    <w:rsid w:val="00641915"/>
    <w:rsid w:val="00641F79"/>
    <w:rsid w:val="00642B48"/>
    <w:rsid w:val="006430B8"/>
    <w:rsid w:val="00643491"/>
    <w:rsid w:val="00644240"/>
    <w:rsid w:val="00644DAC"/>
    <w:rsid w:val="0064586F"/>
    <w:rsid w:val="0064650D"/>
    <w:rsid w:val="00646AE7"/>
    <w:rsid w:val="00651322"/>
    <w:rsid w:val="00655EA9"/>
    <w:rsid w:val="0065675A"/>
    <w:rsid w:val="00656B92"/>
    <w:rsid w:val="00657109"/>
    <w:rsid w:val="0065734F"/>
    <w:rsid w:val="00657427"/>
    <w:rsid w:val="006607C7"/>
    <w:rsid w:val="0066254C"/>
    <w:rsid w:val="0066670D"/>
    <w:rsid w:val="00667CB1"/>
    <w:rsid w:val="006702AA"/>
    <w:rsid w:val="00671120"/>
    <w:rsid w:val="00671F37"/>
    <w:rsid w:val="006744E5"/>
    <w:rsid w:val="00675265"/>
    <w:rsid w:val="00676F6F"/>
    <w:rsid w:val="00677344"/>
    <w:rsid w:val="00680283"/>
    <w:rsid w:val="00681861"/>
    <w:rsid w:val="006818D3"/>
    <w:rsid w:val="00684C4D"/>
    <w:rsid w:val="00691A77"/>
    <w:rsid w:val="00692070"/>
    <w:rsid w:val="006921EA"/>
    <w:rsid w:val="006946C8"/>
    <w:rsid w:val="00694DC6"/>
    <w:rsid w:val="00694EF7"/>
    <w:rsid w:val="00695A82"/>
    <w:rsid w:val="00695D03"/>
    <w:rsid w:val="006A08FC"/>
    <w:rsid w:val="006A1C78"/>
    <w:rsid w:val="006A1E2A"/>
    <w:rsid w:val="006A44E3"/>
    <w:rsid w:val="006A66FC"/>
    <w:rsid w:val="006A7AD2"/>
    <w:rsid w:val="006B10B9"/>
    <w:rsid w:val="006B208B"/>
    <w:rsid w:val="006B37CF"/>
    <w:rsid w:val="006B43FC"/>
    <w:rsid w:val="006B6029"/>
    <w:rsid w:val="006B6526"/>
    <w:rsid w:val="006B6721"/>
    <w:rsid w:val="006B695D"/>
    <w:rsid w:val="006C05A4"/>
    <w:rsid w:val="006C093A"/>
    <w:rsid w:val="006C0E7B"/>
    <w:rsid w:val="006C1F06"/>
    <w:rsid w:val="006C2E2D"/>
    <w:rsid w:val="006C42FF"/>
    <w:rsid w:val="006D08D9"/>
    <w:rsid w:val="006D19D6"/>
    <w:rsid w:val="006D46CD"/>
    <w:rsid w:val="006D46DA"/>
    <w:rsid w:val="006D52AB"/>
    <w:rsid w:val="006D5A7B"/>
    <w:rsid w:val="006D65CD"/>
    <w:rsid w:val="006D7E83"/>
    <w:rsid w:val="006E08EF"/>
    <w:rsid w:val="006E0FC6"/>
    <w:rsid w:val="006E2CEE"/>
    <w:rsid w:val="006E46F7"/>
    <w:rsid w:val="006E63CF"/>
    <w:rsid w:val="006F0AF8"/>
    <w:rsid w:val="006F2F58"/>
    <w:rsid w:val="006F4AF1"/>
    <w:rsid w:val="006F4DDF"/>
    <w:rsid w:val="006F4E0F"/>
    <w:rsid w:val="006F5EED"/>
    <w:rsid w:val="006F6910"/>
    <w:rsid w:val="00703903"/>
    <w:rsid w:val="00704DDA"/>
    <w:rsid w:val="0070545A"/>
    <w:rsid w:val="007055A3"/>
    <w:rsid w:val="00705683"/>
    <w:rsid w:val="00705D08"/>
    <w:rsid w:val="007068AB"/>
    <w:rsid w:val="00707C50"/>
    <w:rsid w:val="00707F54"/>
    <w:rsid w:val="007101FC"/>
    <w:rsid w:val="00710938"/>
    <w:rsid w:val="00711795"/>
    <w:rsid w:val="00712B38"/>
    <w:rsid w:val="00715182"/>
    <w:rsid w:val="00715C62"/>
    <w:rsid w:val="007168C3"/>
    <w:rsid w:val="0071707B"/>
    <w:rsid w:val="00720225"/>
    <w:rsid w:val="00720785"/>
    <w:rsid w:val="0072229C"/>
    <w:rsid w:val="007231F2"/>
    <w:rsid w:val="00724970"/>
    <w:rsid w:val="007249FC"/>
    <w:rsid w:val="0072546D"/>
    <w:rsid w:val="007277CE"/>
    <w:rsid w:val="00731CED"/>
    <w:rsid w:val="00734610"/>
    <w:rsid w:val="007360FF"/>
    <w:rsid w:val="00740706"/>
    <w:rsid w:val="00740F3F"/>
    <w:rsid w:val="00741C6F"/>
    <w:rsid w:val="007424D6"/>
    <w:rsid w:val="00743E42"/>
    <w:rsid w:val="00743E84"/>
    <w:rsid w:val="007454AB"/>
    <w:rsid w:val="007455AB"/>
    <w:rsid w:val="00745AE4"/>
    <w:rsid w:val="00752EA6"/>
    <w:rsid w:val="00753A39"/>
    <w:rsid w:val="00754C71"/>
    <w:rsid w:val="00757F87"/>
    <w:rsid w:val="00760F6D"/>
    <w:rsid w:val="00762359"/>
    <w:rsid w:val="007636AF"/>
    <w:rsid w:val="00766423"/>
    <w:rsid w:val="00766755"/>
    <w:rsid w:val="00766B20"/>
    <w:rsid w:val="007703C8"/>
    <w:rsid w:val="00772D42"/>
    <w:rsid w:val="00772E56"/>
    <w:rsid w:val="007747E9"/>
    <w:rsid w:val="00774C04"/>
    <w:rsid w:val="00775879"/>
    <w:rsid w:val="007769DB"/>
    <w:rsid w:val="00776A05"/>
    <w:rsid w:val="0078205C"/>
    <w:rsid w:val="00782730"/>
    <w:rsid w:val="00782BE4"/>
    <w:rsid w:val="00783B44"/>
    <w:rsid w:val="00785A12"/>
    <w:rsid w:val="007874D5"/>
    <w:rsid w:val="007875A5"/>
    <w:rsid w:val="00790114"/>
    <w:rsid w:val="00792C28"/>
    <w:rsid w:val="00792D97"/>
    <w:rsid w:val="00796039"/>
    <w:rsid w:val="007962F8"/>
    <w:rsid w:val="007A0767"/>
    <w:rsid w:val="007A0BE5"/>
    <w:rsid w:val="007A284E"/>
    <w:rsid w:val="007A398C"/>
    <w:rsid w:val="007A4AAA"/>
    <w:rsid w:val="007A4EC7"/>
    <w:rsid w:val="007B080C"/>
    <w:rsid w:val="007B1643"/>
    <w:rsid w:val="007B1D26"/>
    <w:rsid w:val="007B1D29"/>
    <w:rsid w:val="007B1ECB"/>
    <w:rsid w:val="007B364E"/>
    <w:rsid w:val="007B5310"/>
    <w:rsid w:val="007B58B0"/>
    <w:rsid w:val="007B6E99"/>
    <w:rsid w:val="007C060B"/>
    <w:rsid w:val="007C19E3"/>
    <w:rsid w:val="007C1D49"/>
    <w:rsid w:val="007C269F"/>
    <w:rsid w:val="007C2A01"/>
    <w:rsid w:val="007C3913"/>
    <w:rsid w:val="007C6007"/>
    <w:rsid w:val="007C6865"/>
    <w:rsid w:val="007C72BB"/>
    <w:rsid w:val="007D03BF"/>
    <w:rsid w:val="007D0C27"/>
    <w:rsid w:val="007D14D6"/>
    <w:rsid w:val="007D1592"/>
    <w:rsid w:val="007D3690"/>
    <w:rsid w:val="007D38ED"/>
    <w:rsid w:val="007D5727"/>
    <w:rsid w:val="007D7855"/>
    <w:rsid w:val="007E0648"/>
    <w:rsid w:val="007E0A0B"/>
    <w:rsid w:val="007E114A"/>
    <w:rsid w:val="007E1B45"/>
    <w:rsid w:val="007E2794"/>
    <w:rsid w:val="007E3D6E"/>
    <w:rsid w:val="007E6215"/>
    <w:rsid w:val="007E6918"/>
    <w:rsid w:val="007E6CAD"/>
    <w:rsid w:val="007F0BB2"/>
    <w:rsid w:val="007F0BDA"/>
    <w:rsid w:val="007F242D"/>
    <w:rsid w:val="007F24F7"/>
    <w:rsid w:val="007F28AB"/>
    <w:rsid w:val="007F3106"/>
    <w:rsid w:val="007F3C4A"/>
    <w:rsid w:val="007F4BC5"/>
    <w:rsid w:val="007F567C"/>
    <w:rsid w:val="00800210"/>
    <w:rsid w:val="00800D7D"/>
    <w:rsid w:val="00801F0E"/>
    <w:rsid w:val="00805778"/>
    <w:rsid w:val="00806EB0"/>
    <w:rsid w:val="0081231A"/>
    <w:rsid w:val="00814063"/>
    <w:rsid w:val="00814445"/>
    <w:rsid w:val="00817967"/>
    <w:rsid w:val="00820A15"/>
    <w:rsid w:val="00821C49"/>
    <w:rsid w:val="008262F7"/>
    <w:rsid w:val="0082668D"/>
    <w:rsid w:val="00832540"/>
    <w:rsid w:val="0083327D"/>
    <w:rsid w:val="00834D5C"/>
    <w:rsid w:val="0084194B"/>
    <w:rsid w:val="0084196C"/>
    <w:rsid w:val="008428A9"/>
    <w:rsid w:val="00842CAC"/>
    <w:rsid w:val="0084323B"/>
    <w:rsid w:val="00844436"/>
    <w:rsid w:val="00846413"/>
    <w:rsid w:val="00847073"/>
    <w:rsid w:val="0085029B"/>
    <w:rsid w:val="00850DEB"/>
    <w:rsid w:val="00853B05"/>
    <w:rsid w:val="00853B22"/>
    <w:rsid w:val="008545CD"/>
    <w:rsid w:val="0085511F"/>
    <w:rsid w:val="008564A5"/>
    <w:rsid w:val="0085654B"/>
    <w:rsid w:val="00856EB3"/>
    <w:rsid w:val="00860D69"/>
    <w:rsid w:val="00861D6F"/>
    <w:rsid w:val="00862D86"/>
    <w:rsid w:val="00863257"/>
    <w:rsid w:val="00863C90"/>
    <w:rsid w:val="008648F7"/>
    <w:rsid w:val="00865839"/>
    <w:rsid w:val="0087252B"/>
    <w:rsid w:val="008729E6"/>
    <w:rsid w:val="00872A34"/>
    <w:rsid w:val="008749E4"/>
    <w:rsid w:val="00875DCD"/>
    <w:rsid w:val="00877B7C"/>
    <w:rsid w:val="00877F95"/>
    <w:rsid w:val="00881D4D"/>
    <w:rsid w:val="00884D02"/>
    <w:rsid w:val="00884DDA"/>
    <w:rsid w:val="00884F22"/>
    <w:rsid w:val="00885581"/>
    <w:rsid w:val="00886837"/>
    <w:rsid w:val="00890897"/>
    <w:rsid w:val="008935B3"/>
    <w:rsid w:val="00893BCB"/>
    <w:rsid w:val="0089424C"/>
    <w:rsid w:val="00894883"/>
    <w:rsid w:val="008949DC"/>
    <w:rsid w:val="00894C04"/>
    <w:rsid w:val="008951A2"/>
    <w:rsid w:val="008968EA"/>
    <w:rsid w:val="00896AA2"/>
    <w:rsid w:val="008A205B"/>
    <w:rsid w:val="008A24C2"/>
    <w:rsid w:val="008A625C"/>
    <w:rsid w:val="008B5002"/>
    <w:rsid w:val="008B5244"/>
    <w:rsid w:val="008C0E58"/>
    <w:rsid w:val="008C2089"/>
    <w:rsid w:val="008C2ADD"/>
    <w:rsid w:val="008C2CC6"/>
    <w:rsid w:val="008C315B"/>
    <w:rsid w:val="008C43C5"/>
    <w:rsid w:val="008C4663"/>
    <w:rsid w:val="008C57AB"/>
    <w:rsid w:val="008C5F98"/>
    <w:rsid w:val="008D039A"/>
    <w:rsid w:val="008D0655"/>
    <w:rsid w:val="008D1D36"/>
    <w:rsid w:val="008D2300"/>
    <w:rsid w:val="008D24C3"/>
    <w:rsid w:val="008D2D5F"/>
    <w:rsid w:val="008D512C"/>
    <w:rsid w:val="008D5265"/>
    <w:rsid w:val="008D5DFE"/>
    <w:rsid w:val="008D5FB0"/>
    <w:rsid w:val="008D7702"/>
    <w:rsid w:val="008E01EF"/>
    <w:rsid w:val="008E283B"/>
    <w:rsid w:val="008E70A8"/>
    <w:rsid w:val="008F0922"/>
    <w:rsid w:val="008F1ADF"/>
    <w:rsid w:val="008F2187"/>
    <w:rsid w:val="008F2F7B"/>
    <w:rsid w:val="008F3B2B"/>
    <w:rsid w:val="008F47E2"/>
    <w:rsid w:val="008F542A"/>
    <w:rsid w:val="008F5FD0"/>
    <w:rsid w:val="008F7462"/>
    <w:rsid w:val="008F7933"/>
    <w:rsid w:val="00900E61"/>
    <w:rsid w:val="00901C7A"/>
    <w:rsid w:val="00903BEC"/>
    <w:rsid w:val="009044CD"/>
    <w:rsid w:val="00910390"/>
    <w:rsid w:val="00913E5A"/>
    <w:rsid w:val="00914764"/>
    <w:rsid w:val="00914867"/>
    <w:rsid w:val="00914969"/>
    <w:rsid w:val="0091532B"/>
    <w:rsid w:val="009215B5"/>
    <w:rsid w:val="00921764"/>
    <w:rsid w:val="009243FB"/>
    <w:rsid w:val="00924736"/>
    <w:rsid w:val="00924907"/>
    <w:rsid w:val="00924CCD"/>
    <w:rsid w:val="00924FC3"/>
    <w:rsid w:val="00926CE7"/>
    <w:rsid w:val="0092723E"/>
    <w:rsid w:val="009272B6"/>
    <w:rsid w:val="0093233E"/>
    <w:rsid w:val="009323FF"/>
    <w:rsid w:val="0093294F"/>
    <w:rsid w:val="00933FE7"/>
    <w:rsid w:val="0093489C"/>
    <w:rsid w:val="009350E3"/>
    <w:rsid w:val="0093543D"/>
    <w:rsid w:val="00935A10"/>
    <w:rsid w:val="00935E0A"/>
    <w:rsid w:val="0093789A"/>
    <w:rsid w:val="00937CBE"/>
    <w:rsid w:val="009400E5"/>
    <w:rsid w:val="00940C1C"/>
    <w:rsid w:val="00941769"/>
    <w:rsid w:val="009436E9"/>
    <w:rsid w:val="00943C43"/>
    <w:rsid w:val="009442C4"/>
    <w:rsid w:val="009455D3"/>
    <w:rsid w:val="009468E5"/>
    <w:rsid w:val="00947054"/>
    <w:rsid w:val="00950263"/>
    <w:rsid w:val="00950A74"/>
    <w:rsid w:val="0095111F"/>
    <w:rsid w:val="009534EC"/>
    <w:rsid w:val="0095489F"/>
    <w:rsid w:val="00955254"/>
    <w:rsid w:val="00956100"/>
    <w:rsid w:val="009577BD"/>
    <w:rsid w:val="00957FD1"/>
    <w:rsid w:val="009603D6"/>
    <w:rsid w:val="0096164F"/>
    <w:rsid w:val="00962005"/>
    <w:rsid w:val="00964D84"/>
    <w:rsid w:val="00965335"/>
    <w:rsid w:val="00967037"/>
    <w:rsid w:val="00967544"/>
    <w:rsid w:val="00970863"/>
    <w:rsid w:val="009717D2"/>
    <w:rsid w:val="0097275F"/>
    <w:rsid w:val="00972C38"/>
    <w:rsid w:val="00974081"/>
    <w:rsid w:val="00975365"/>
    <w:rsid w:val="00975397"/>
    <w:rsid w:val="00975B02"/>
    <w:rsid w:val="009770BC"/>
    <w:rsid w:val="00977F0D"/>
    <w:rsid w:val="00982779"/>
    <w:rsid w:val="00984195"/>
    <w:rsid w:val="009851A6"/>
    <w:rsid w:val="00985211"/>
    <w:rsid w:val="00985A39"/>
    <w:rsid w:val="00985E8C"/>
    <w:rsid w:val="00986257"/>
    <w:rsid w:val="009867B7"/>
    <w:rsid w:val="00987E8F"/>
    <w:rsid w:val="009919DB"/>
    <w:rsid w:val="00992186"/>
    <w:rsid w:val="009929D5"/>
    <w:rsid w:val="00992F79"/>
    <w:rsid w:val="00993038"/>
    <w:rsid w:val="00993515"/>
    <w:rsid w:val="00993FE3"/>
    <w:rsid w:val="009950E5"/>
    <w:rsid w:val="0099578D"/>
    <w:rsid w:val="00995E7C"/>
    <w:rsid w:val="009A04EC"/>
    <w:rsid w:val="009A24CA"/>
    <w:rsid w:val="009A2D68"/>
    <w:rsid w:val="009A47C6"/>
    <w:rsid w:val="009A59D0"/>
    <w:rsid w:val="009A6379"/>
    <w:rsid w:val="009A6D02"/>
    <w:rsid w:val="009A77B3"/>
    <w:rsid w:val="009A7871"/>
    <w:rsid w:val="009B00E5"/>
    <w:rsid w:val="009B29CA"/>
    <w:rsid w:val="009B2AEB"/>
    <w:rsid w:val="009B3D5B"/>
    <w:rsid w:val="009B4B9D"/>
    <w:rsid w:val="009B591D"/>
    <w:rsid w:val="009B66C6"/>
    <w:rsid w:val="009C1694"/>
    <w:rsid w:val="009C22FD"/>
    <w:rsid w:val="009C36DE"/>
    <w:rsid w:val="009C5D40"/>
    <w:rsid w:val="009C60FD"/>
    <w:rsid w:val="009C7A15"/>
    <w:rsid w:val="009D0674"/>
    <w:rsid w:val="009D0ABE"/>
    <w:rsid w:val="009D0C28"/>
    <w:rsid w:val="009D15F8"/>
    <w:rsid w:val="009D4381"/>
    <w:rsid w:val="009D5421"/>
    <w:rsid w:val="009D58FD"/>
    <w:rsid w:val="009D5A20"/>
    <w:rsid w:val="009E007E"/>
    <w:rsid w:val="009E04D5"/>
    <w:rsid w:val="009E1F71"/>
    <w:rsid w:val="009E258A"/>
    <w:rsid w:val="009E3502"/>
    <w:rsid w:val="009E41CE"/>
    <w:rsid w:val="009E61E9"/>
    <w:rsid w:val="009E6E02"/>
    <w:rsid w:val="009E7C6F"/>
    <w:rsid w:val="009F0325"/>
    <w:rsid w:val="009F08CC"/>
    <w:rsid w:val="009F0F3E"/>
    <w:rsid w:val="009F18AA"/>
    <w:rsid w:val="009F215D"/>
    <w:rsid w:val="009F2D15"/>
    <w:rsid w:val="009F5CEC"/>
    <w:rsid w:val="009F6389"/>
    <w:rsid w:val="009F78E3"/>
    <w:rsid w:val="00A00132"/>
    <w:rsid w:val="00A0422D"/>
    <w:rsid w:val="00A067A3"/>
    <w:rsid w:val="00A0685F"/>
    <w:rsid w:val="00A109FC"/>
    <w:rsid w:val="00A123FF"/>
    <w:rsid w:val="00A12DF2"/>
    <w:rsid w:val="00A1508A"/>
    <w:rsid w:val="00A16606"/>
    <w:rsid w:val="00A167F9"/>
    <w:rsid w:val="00A168C5"/>
    <w:rsid w:val="00A17306"/>
    <w:rsid w:val="00A1762F"/>
    <w:rsid w:val="00A20175"/>
    <w:rsid w:val="00A203FC"/>
    <w:rsid w:val="00A22859"/>
    <w:rsid w:val="00A23C67"/>
    <w:rsid w:val="00A23F9B"/>
    <w:rsid w:val="00A244D1"/>
    <w:rsid w:val="00A2540C"/>
    <w:rsid w:val="00A25961"/>
    <w:rsid w:val="00A308D7"/>
    <w:rsid w:val="00A31FEA"/>
    <w:rsid w:val="00A32C77"/>
    <w:rsid w:val="00A35387"/>
    <w:rsid w:val="00A3553C"/>
    <w:rsid w:val="00A37CD9"/>
    <w:rsid w:val="00A44DA6"/>
    <w:rsid w:val="00A47337"/>
    <w:rsid w:val="00A4796F"/>
    <w:rsid w:val="00A5175D"/>
    <w:rsid w:val="00A52F18"/>
    <w:rsid w:val="00A57230"/>
    <w:rsid w:val="00A616FC"/>
    <w:rsid w:val="00A63ABA"/>
    <w:rsid w:val="00A653EB"/>
    <w:rsid w:val="00A66616"/>
    <w:rsid w:val="00A7090A"/>
    <w:rsid w:val="00A71A83"/>
    <w:rsid w:val="00A72DF6"/>
    <w:rsid w:val="00A7334B"/>
    <w:rsid w:val="00A73EDE"/>
    <w:rsid w:val="00A74A2C"/>
    <w:rsid w:val="00A75FA4"/>
    <w:rsid w:val="00A7610D"/>
    <w:rsid w:val="00A761EC"/>
    <w:rsid w:val="00A76391"/>
    <w:rsid w:val="00A76E6F"/>
    <w:rsid w:val="00A77F1D"/>
    <w:rsid w:val="00A80A22"/>
    <w:rsid w:val="00A81046"/>
    <w:rsid w:val="00A812DC"/>
    <w:rsid w:val="00A81AB4"/>
    <w:rsid w:val="00A8278E"/>
    <w:rsid w:val="00A82A2A"/>
    <w:rsid w:val="00A82CF5"/>
    <w:rsid w:val="00A84E90"/>
    <w:rsid w:val="00A86F17"/>
    <w:rsid w:val="00A870DF"/>
    <w:rsid w:val="00A8728D"/>
    <w:rsid w:val="00A918BD"/>
    <w:rsid w:val="00A919B4"/>
    <w:rsid w:val="00A93D4F"/>
    <w:rsid w:val="00A94984"/>
    <w:rsid w:val="00A94ABD"/>
    <w:rsid w:val="00A95EF8"/>
    <w:rsid w:val="00A96B72"/>
    <w:rsid w:val="00A970D6"/>
    <w:rsid w:val="00AA1E55"/>
    <w:rsid w:val="00AA3B4C"/>
    <w:rsid w:val="00AA535D"/>
    <w:rsid w:val="00AA639A"/>
    <w:rsid w:val="00AA6956"/>
    <w:rsid w:val="00AB0AC4"/>
    <w:rsid w:val="00AB0B52"/>
    <w:rsid w:val="00AB3C1D"/>
    <w:rsid w:val="00AB43F3"/>
    <w:rsid w:val="00AB5CB9"/>
    <w:rsid w:val="00AB66DD"/>
    <w:rsid w:val="00AC2872"/>
    <w:rsid w:val="00AC28BB"/>
    <w:rsid w:val="00AC5F1D"/>
    <w:rsid w:val="00AD00FC"/>
    <w:rsid w:val="00AD0199"/>
    <w:rsid w:val="00AD186A"/>
    <w:rsid w:val="00AD202D"/>
    <w:rsid w:val="00AD277C"/>
    <w:rsid w:val="00AD38E8"/>
    <w:rsid w:val="00AD4012"/>
    <w:rsid w:val="00AD4184"/>
    <w:rsid w:val="00AD49D3"/>
    <w:rsid w:val="00AD6417"/>
    <w:rsid w:val="00AE115F"/>
    <w:rsid w:val="00AE2BC4"/>
    <w:rsid w:val="00AE338B"/>
    <w:rsid w:val="00AE36A3"/>
    <w:rsid w:val="00AE4356"/>
    <w:rsid w:val="00AE5941"/>
    <w:rsid w:val="00AE5E44"/>
    <w:rsid w:val="00AE72B1"/>
    <w:rsid w:val="00AE791E"/>
    <w:rsid w:val="00AF100B"/>
    <w:rsid w:val="00AF1D4D"/>
    <w:rsid w:val="00AF216A"/>
    <w:rsid w:val="00AF33ED"/>
    <w:rsid w:val="00AF49CA"/>
    <w:rsid w:val="00AF556E"/>
    <w:rsid w:val="00AF5600"/>
    <w:rsid w:val="00AF718F"/>
    <w:rsid w:val="00B00248"/>
    <w:rsid w:val="00B02D14"/>
    <w:rsid w:val="00B045AF"/>
    <w:rsid w:val="00B04F2C"/>
    <w:rsid w:val="00B065D7"/>
    <w:rsid w:val="00B12851"/>
    <w:rsid w:val="00B12C2E"/>
    <w:rsid w:val="00B14D68"/>
    <w:rsid w:val="00B14F2D"/>
    <w:rsid w:val="00B16C6B"/>
    <w:rsid w:val="00B17524"/>
    <w:rsid w:val="00B211AF"/>
    <w:rsid w:val="00B212FC"/>
    <w:rsid w:val="00B214E0"/>
    <w:rsid w:val="00B22D17"/>
    <w:rsid w:val="00B243BE"/>
    <w:rsid w:val="00B26EB9"/>
    <w:rsid w:val="00B2714A"/>
    <w:rsid w:val="00B27C16"/>
    <w:rsid w:val="00B32467"/>
    <w:rsid w:val="00B33ABF"/>
    <w:rsid w:val="00B346CE"/>
    <w:rsid w:val="00B36822"/>
    <w:rsid w:val="00B37F2C"/>
    <w:rsid w:val="00B401FA"/>
    <w:rsid w:val="00B4033F"/>
    <w:rsid w:val="00B426FD"/>
    <w:rsid w:val="00B42E49"/>
    <w:rsid w:val="00B44372"/>
    <w:rsid w:val="00B4505D"/>
    <w:rsid w:val="00B453BC"/>
    <w:rsid w:val="00B47A3F"/>
    <w:rsid w:val="00B517E1"/>
    <w:rsid w:val="00B518AE"/>
    <w:rsid w:val="00B52A94"/>
    <w:rsid w:val="00B53B05"/>
    <w:rsid w:val="00B5659F"/>
    <w:rsid w:val="00B56D98"/>
    <w:rsid w:val="00B57C37"/>
    <w:rsid w:val="00B605E1"/>
    <w:rsid w:val="00B6102A"/>
    <w:rsid w:val="00B62A84"/>
    <w:rsid w:val="00B62E7F"/>
    <w:rsid w:val="00B71171"/>
    <w:rsid w:val="00B7144A"/>
    <w:rsid w:val="00B71BB4"/>
    <w:rsid w:val="00B71C60"/>
    <w:rsid w:val="00B72232"/>
    <w:rsid w:val="00B72976"/>
    <w:rsid w:val="00B72BAF"/>
    <w:rsid w:val="00B73520"/>
    <w:rsid w:val="00B73E59"/>
    <w:rsid w:val="00B74664"/>
    <w:rsid w:val="00B74D23"/>
    <w:rsid w:val="00B75CD4"/>
    <w:rsid w:val="00B76500"/>
    <w:rsid w:val="00B80E3F"/>
    <w:rsid w:val="00B81978"/>
    <w:rsid w:val="00B82998"/>
    <w:rsid w:val="00B835D0"/>
    <w:rsid w:val="00B85F57"/>
    <w:rsid w:val="00B86026"/>
    <w:rsid w:val="00B864CE"/>
    <w:rsid w:val="00B91655"/>
    <w:rsid w:val="00B94831"/>
    <w:rsid w:val="00B94ED3"/>
    <w:rsid w:val="00B96D8B"/>
    <w:rsid w:val="00B971F9"/>
    <w:rsid w:val="00B9732B"/>
    <w:rsid w:val="00BA2EEF"/>
    <w:rsid w:val="00BA4AD2"/>
    <w:rsid w:val="00BA618E"/>
    <w:rsid w:val="00BA6D2A"/>
    <w:rsid w:val="00BA6F53"/>
    <w:rsid w:val="00BA7C80"/>
    <w:rsid w:val="00BB0D3A"/>
    <w:rsid w:val="00BB2262"/>
    <w:rsid w:val="00BB25CB"/>
    <w:rsid w:val="00BB3A65"/>
    <w:rsid w:val="00BB5E6E"/>
    <w:rsid w:val="00BB6034"/>
    <w:rsid w:val="00BB65D3"/>
    <w:rsid w:val="00BB78C5"/>
    <w:rsid w:val="00BC126B"/>
    <w:rsid w:val="00BC17FD"/>
    <w:rsid w:val="00BC2F52"/>
    <w:rsid w:val="00BC6662"/>
    <w:rsid w:val="00BC6974"/>
    <w:rsid w:val="00BD22E6"/>
    <w:rsid w:val="00BD2F9C"/>
    <w:rsid w:val="00BD3694"/>
    <w:rsid w:val="00BD55FC"/>
    <w:rsid w:val="00BD6195"/>
    <w:rsid w:val="00BD66D0"/>
    <w:rsid w:val="00BD66E0"/>
    <w:rsid w:val="00BD6F58"/>
    <w:rsid w:val="00BE0838"/>
    <w:rsid w:val="00BE0A71"/>
    <w:rsid w:val="00BE27F8"/>
    <w:rsid w:val="00BE75B3"/>
    <w:rsid w:val="00BE77A7"/>
    <w:rsid w:val="00BE7A47"/>
    <w:rsid w:val="00BF084A"/>
    <w:rsid w:val="00BF0DE7"/>
    <w:rsid w:val="00BF0E49"/>
    <w:rsid w:val="00BF3405"/>
    <w:rsid w:val="00BF3F30"/>
    <w:rsid w:val="00BF42A7"/>
    <w:rsid w:val="00BF4CDD"/>
    <w:rsid w:val="00BF6071"/>
    <w:rsid w:val="00BF6F58"/>
    <w:rsid w:val="00BF73F9"/>
    <w:rsid w:val="00C03332"/>
    <w:rsid w:val="00C03640"/>
    <w:rsid w:val="00C03D9F"/>
    <w:rsid w:val="00C05DD2"/>
    <w:rsid w:val="00C062F5"/>
    <w:rsid w:val="00C064CE"/>
    <w:rsid w:val="00C07F55"/>
    <w:rsid w:val="00C10923"/>
    <w:rsid w:val="00C12249"/>
    <w:rsid w:val="00C1243A"/>
    <w:rsid w:val="00C12457"/>
    <w:rsid w:val="00C13905"/>
    <w:rsid w:val="00C13CE5"/>
    <w:rsid w:val="00C16D23"/>
    <w:rsid w:val="00C1710D"/>
    <w:rsid w:val="00C17D1D"/>
    <w:rsid w:val="00C223CF"/>
    <w:rsid w:val="00C22CE6"/>
    <w:rsid w:val="00C234DD"/>
    <w:rsid w:val="00C23779"/>
    <w:rsid w:val="00C26D11"/>
    <w:rsid w:val="00C27A78"/>
    <w:rsid w:val="00C30870"/>
    <w:rsid w:val="00C31439"/>
    <w:rsid w:val="00C31835"/>
    <w:rsid w:val="00C350B1"/>
    <w:rsid w:val="00C36C69"/>
    <w:rsid w:val="00C40404"/>
    <w:rsid w:val="00C40C3B"/>
    <w:rsid w:val="00C42B83"/>
    <w:rsid w:val="00C42EE4"/>
    <w:rsid w:val="00C43E38"/>
    <w:rsid w:val="00C44CD6"/>
    <w:rsid w:val="00C453B4"/>
    <w:rsid w:val="00C50000"/>
    <w:rsid w:val="00C50172"/>
    <w:rsid w:val="00C511A5"/>
    <w:rsid w:val="00C51505"/>
    <w:rsid w:val="00C517D6"/>
    <w:rsid w:val="00C52368"/>
    <w:rsid w:val="00C52796"/>
    <w:rsid w:val="00C54C9C"/>
    <w:rsid w:val="00C54D7F"/>
    <w:rsid w:val="00C56C08"/>
    <w:rsid w:val="00C57450"/>
    <w:rsid w:val="00C578E8"/>
    <w:rsid w:val="00C60ED7"/>
    <w:rsid w:val="00C6228B"/>
    <w:rsid w:val="00C62877"/>
    <w:rsid w:val="00C6463C"/>
    <w:rsid w:val="00C64C26"/>
    <w:rsid w:val="00C673D6"/>
    <w:rsid w:val="00C70927"/>
    <w:rsid w:val="00C710AE"/>
    <w:rsid w:val="00C71288"/>
    <w:rsid w:val="00C71D27"/>
    <w:rsid w:val="00C71F38"/>
    <w:rsid w:val="00C7213E"/>
    <w:rsid w:val="00C72AC7"/>
    <w:rsid w:val="00C72E11"/>
    <w:rsid w:val="00C737DB"/>
    <w:rsid w:val="00C75D67"/>
    <w:rsid w:val="00C77CCE"/>
    <w:rsid w:val="00C8103B"/>
    <w:rsid w:val="00C81C4C"/>
    <w:rsid w:val="00C82A1C"/>
    <w:rsid w:val="00C83BFB"/>
    <w:rsid w:val="00C8434A"/>
    <w:rsid w:val="00C8470D"/>
    <w:rsid w:val="00C85130"/>
    <w:rsid w:val="00C8662E"/>
    <w:rsid w:val="00C869E0"/>
    <w:rsid w:val="00C878BB"/>
    <w:rsid w:val="00C91444"/>
    <w:rsid w:val="00C9214B"/>
    <w:rsid w:val="00C9257D"/>
    <w:rsid w:val="00C92E77"/>
    <w:rsid w:val="00C93475"/>
    <w:rsid w:val="00C9373D"/>
    <w:rsid w:val="00C93A31"/>
    <w:rsid w:val="00C96FC0"/>
    <w:rsid w:val="00C97E74"/>
    <w:rsid w:val="00CA3FD6"/>
    <w:rsid w:val="00CA5E38"/>
    <w:rsid w:val="00CA6F53"/>
    <w:rsid w:val="00CA7323"/>
    <w:rsid w:val="00CB027F"/>
    <w:rsid w:val="00CB51F2"/>
    <w:rsid w:val="00CB5365"/>
    <w:rsid w:val="00CB6980"/>
    <w:rsid w:val="00CB6FDA"/>
    <w:rsid w:val="00CB7CE5"/>
    <w:rsid w:val="00CC07CB"/>
    <w:rsid w:val="00CC0B2F"/>
    <w:rsid w:val="00CC1D2C"/>
    <w:rsid w:val="00CC2534"/>
    <w:rsid w:val="00CC3B44"/>
    <w:rsid w:val="00CC5B7C"/>
    <w:rsid w:val="00CD131C"/>
    <w:rsid w:val="00CD1AD9"/>
    <w:rsid w:val="00CD2BD7"/>
    <w:rsid w:val="00CD35F4"/>
    <w:rsid w:val="00CD44FE"/>
    <w:rsid w:val="00CD4637"/>
    <w:rsid w:val="00CD4DDE"/>
    <w:rsid w:val="00CD5CB8"/>
    <w:rsid w:val="00CD60EF"/>
    <w:rsid w:val="00CD79C6"/>
    <w:rsid w:val="00CE1D20"/>
    <w:rsid w:val="00CE269E"/>
    <w:rsid w:val="00CE2C33"/>
    <w:rsid w:val="00CE4C51"/>
    <w:rsid w:val="00CE5636"/>
    <w:rsid w:val="00CF0138"/>
    <w:rsid w:val="00CF0524"/>
    <w:rsid w:val="00CF4882"/>
    <w:rsid w:val="00CF7557"/>
    <w:rsid w:val="00CF7B40"/>
    <w:rsid w:val="00CF7F8A"/>
    <w:rsid w:val="00D00417"/>
    <w:rsid w:val="00D009BD"/>
    <w:rsid w:val="00D00BB1"/>
    <w:rsid w:val="00D01897"/>
    <w:rsid w:val="00D01DE8"/>
    <w:rsid w:val="00D0218C"/>
    <w:rsid w:val="00D03615"/>
    <w:rsid w:val="00D04F6E"/>
    <w:rsid w:val="00D05489"/>
    <w:rsid w:val="00D140E1"/>
    <w:rsid w:val="00D15092"/>
    <w:rsid w:val="00D15376"/>
    <w:rsid w:val="00D15961"/>
    <w:rsid w:val="00D205E8"/>
    <w:rsid w:val="00D2090E"/>
    <w:rsid w:val="00D20E9B"/>
    <w:rsid w:val="00D22103"/>
    <w:rsid w:val="00D224C1"/>
    <w:rsid w:val="00D236A5"/>
    <w:rsid w:val="00D2463E"/>
    <w:rsid w:val="00D24E80"/>
    <w:rsid w:val="00D251BB"/>
    <w:rsid w:val="00D2578C"/>
    <w:rsid w:val="00D25A1A"/>
    <w:rsid w:val="00D2775B"/>
    <w:rsid w:val="00D318A0"/>
    <w:rsid w:val="00D323FC"/>
    <w:rsid w:val="00D33BB6"/>
    <w:rsid w:val="00D35885"/>
    <w:rsid w:val="00D35DF8"/>
    <w:rsid w:val="00D3626F"/>
    <w:rsid w:val="00D37085"/>
    <w:rsid w:val="00D37730"/>
    <w:rsid w:val="00D40B36"/>
    <w:rsid w:val="00D42487"/>
    <w:rsid w:val="00D42842"/>
    <w:rsid w:val="00D438FE"/>
    <w:rsid w:val="00D45C36"/>
    <w:rsid w:val="00D50462"/>
    <w:rsid w:val="00D529B7"/>
    <w:rsid w:val="00D53E6A"/>
    <w:rsid w:val="00D54751"/>
    <w:rsid w:val="00D56236"/>
    <w:rsid w:val="00D56924"/>
    <w:rsid w:val="00D572F8"/>
    <w:rsid w:val="00D573DE"/>
    <w:rsid w:val="00D57B97"/>
    <w:rsid w:val="00D60707"/>
    <w:rsid w:val="00D60AB6"/>
    <w:rsid w:val="00D61283"/>
    <w:rsid w:val="00D620F7"/>
    <w:rsid w:val="00D65D71"/>
    <w:rsid w:val="00D661D2"/>
    <w:rsid w:val="00D665C7"/>
    <w:rsid w:val="00D668CF"/>
    <w:rsid w:val="00D66DEA"/>
    <w:rsid w:val="00D67306"/>
    <w:rsid w:val="00D67524"/>
    <w:rsid w:val="00D70F1E"/>
    <w:rsid w:val="00D71D51"/>
    <w:rsid w:val="00D72CFA"/>
    <w:rsid w:val="00D72D95"/>
    <w:rsid w:val="00D7381F"/>
    <w:rsid w:val="00D738AE"/>
    <w:rsid w:val="00D73B08"/>
    <w:rsid w:val="00D8057A"/>
    <w:rsid w:val="00D82689"/>
    <w:rsid w:val="00D834C3"/>
    <w:rsid w:val="00D8432E"/>
    <w:rsid w:val="00D84380"/>
    <w:rsid w:val="00D84638"/>
    <w:rsid w:val="00D84A6E"/>
    <w:rsid w:val="00D85CA3"/>
    <w:rsid w:val="00D85CC6"/>
    <w:rsid w:val="00D85E81"/>
    <w:rsid w:val="00D87BE1"/>
    <w:rsid w:val="00D9544D"/>
    <w:rsid w:val="00D95855"/>
    <w:rsid w:val="00D95916"/>
    <w:rsid w:val="00D97F5B"/>
    <w:rsid w:val="00DA31B9"/>
    <w:rsid w:val="00DA5318"/>
    <w:rsid w:val="00DA63F6"/>
    <w:rsid w:val="00DB0EAE"/>
    <w:rsid w:val="00DB0F56"/>
    <w:rsid w:val="00DB158B"/>
    <w:rsid w:val="00DB48C4"/>
    <w:rsid w:val="00DB4A01"/>
    <w:rsid w:val="00DB6CC5"/>
    <w:rsid w:val="00DB6D03"/>
    <w:rsid w:val="00DB7116"/>
    <w:rsid w:val="00DB7D2B"/>
    <w:rsid w:val="00DC0115"/>
    <w:rsid w:val="00DC05DC"/>
    <w:rsid w:val="00DC33AC"/>
    <w:rsid w:val="00DC5D85"/>
    <w:rsid w:val="00DC6EC0"/>
    <w:rsid w:val="00DD05E0"/>
    <w:rsid w:val="00DD08A1"/>
    <w:rsid w:val="00DD2F02"/>
    <w:rsid w:val="00DD5F49"/>
    <w:rsid w:val="00DD6DF1"/>
    <w:rsid w:val="00DE1870"/>
    <w:rsid w:val="00DE247E"/>
    <w:rsid w:val="00DE2CC4"/>
    <w:rsid w:val="00DE45A9"/>
    <w:rsid w:val="00DE7BD4"/>
    <w:rsid w:val="00DF16B1"/>
    <w:rsid w:val="00DF37D4"/>
    <w:rsid w:val="00DF468E"/>
    <w:rsid w:val="00DF6BF8"/>
    <w:rsid w:val="00DF7107"/>
    <w:rsid w:val="00E001E4"/>
    <w:rsid w:val="00E00D18"/>
    <w:rsid w:val="00E00F25"/>
    <w:rsid w:val="00E01787"/>
    <w:rsid w:val="00E023B3"/>
    <w:rsid w:val="00E03626"/>
    <w:rsid w:val="00E03813"/>
    <w:rsid w:val="00E03A34"/>
    <w:rsid w:val="00E04113"/>
    <w:rsid w:val="00E04875"/>
    <w:rsid w:val="00E061C9"/>
    <w:rsid w:val="00E06AF7"/>
    <w:rsid w:val="00E07A61"/>
    <w:rsid w:val="00E1222E"/>
    <w:rsid w:val="00E123AA"/>
    <w:rsid w:val="00E12FF7"/>
    <w:rsid w:val="00E148F0"/>
    <w:rsid w:val="00E152DC"/>
    <w:rsid w:val="00E16810"/>
    <w:rsid w:val="00E16C3E"/>
    <w:rsid w:val="00E17101"/>
    <w:rsid w:val="00E203E6"/>
    <w:rsid w:val="00E20916"/>
    <w:rsid w:val="00E25338"/>
    <w:rsid w:val="00E2563F"/>
    <w:rsid w:val="00E259A4"/>
    <w:rsid w:val="00E25F0D"/>
    <w:rsid w:val="00E262FC"/>
    <w:rsid w:val="00E26C67"/>
    <w:rsid w:val="00E30719"/>
    <w:rsid w:val="00E30B3D"/>
    <w:rsid w:val="00E344B8"/>
    <w:rsid w:val="00E34D5D"/>
    <w:rsid w:val="00E37A65"/>
    <w:rsid w:val="00E40574"/>
    <w:rsid w:val="00E40645"/>
    <w:rsid w:val="00E408EC"/>
    <w:rsid w:val="00E410FD"/>
    <w:rsid w:val="00E4296F"/>
    <w:rsid w:val="00E43450"/>
    <w:rsid w:val="00E442DA"/>
    <w:rsid w:val="00E4588A"/>
    <w:rsid w:val="00E463BC"/>
    <w:rsid w:val="00E46C66"/>
    <w:rsid w:val="00E521E3"/>
    <w:rsid w:val="00E549DA"/>
    <w:rsid w:val="00E54B4F"/>
    <w:rsid w:val="00E550F6"/>
    <w:rsid w:val="00E55DAC"/>
    <w:rsid w:val="00E569FB"/>
    <w:rsid w:val="00E578B9"/>
    <w:rsid w:val="00E6023C"/>
    <w:rsid w:val="00E621EB"/>
    <w:rsid w:val="00E646CB"/>
    <w:rsid w:val="00E678A4"/>
    <w:rsid w:val="00E67FA3"/>
    <w:rsid w:val="00E70D78"/>
    <w:rsid w:val="00E714CB"/>
    <w:rsid w:val="00E71924"/>
    <w:rsid w:val="00E71DB0"/>
    <w:rsid w:val="00E74286"/>
    <w:rsid w:val="00E74A28"/>
    <w:rsid w:val="00E74E7B"/>
    <w:rsid w:val="00E74F37"/>
    <w:rsid w:val="00E76634"/>
    <w:rsid w:val="00E80592"/>
    <w:rsid w:val="00E80BBC"/>
    <w:rsid w:val="00E80EA6"/>
    <w:rsid w:val="00E830B6"/>
    <w:rsid w:val="00E83EB7"/>
    <w:rsid w:val="00E85F85"/>
    <w:rsid w:val="00E86EA8"/>
    <w:rsid w:val="00E878D8"/>
    <w:rsid w:val="00E9162F"/>
    <w:rsid w:val="00E91CA8"/>
    <w:rsid w:val="00E935D8"/>
    <w:rsid w:val="00E94A75"/>
    <w:rsid w:val="00E95107"/>
    <w:rsid w:val="00E95989"/>
    <w:rsid w:val="00E95FC8"/>
    <w:rsid w:val="00E96993"/>
    <w:rsid w:val="00E96F7A"/>
    <w:rsid w:val="00EA0254"/>
    <w:rsid w:val="00EA0D9F"/>
    <w:rsid w:val="00EA2304"/>
    <w:rsid w:val="00EA2506"/>
    <w:rsid w:val="00EA3394"/>
    <w:rsid w:val="00EA3445"/>
    <w:rsid w:val="00EA35E8"/>
    <w:rsid w:val="00EA495B"/>
    <w:rsid w:val="00EA6741"/>
    <w:rsid w:val="00EA6CFF"/>
    <w:rsid w:val="00EB091F"/>
    <w:rsid w:val="00EB0F87"/>
    <w:rsid w:val="00EB1599"/>
    <w:rsid w:val="00EB2584"/>
    <w:rsid w:val="00EB2B64"/>
    <w:rsid w:val="00EB3804"/>
    <w:rsid w:val="00EB401A"/>
    <w:rsid w:val="00EB5230"/>
    <w:rsid w:val="00EB55F6"/>
    <w:rsid w:val="00EB5BB0"/>
    <w:rsid w:val="00EB687C"/>
    <w:rsid w:val="00EB78B2"/>
    <w:rsid w:val="00EB7E4E"/>
    <w:rsid w:val="00EC06A7"/>
    <w:rsid w:val="00EC11BC"/>
    <w:rsid w:val="00EC1A45"/>
    <w:rsid w:val="00EC458B"/>
    <w:rsid w:val="00EC6433"/>
    <w:rsid w:val="00EC667A"/>
    <w:rsid w:val="00EC700D"/>
    <w:rsid w:val="00ED1C33"/>
    <w:rsid w:val="00ED1DDD"/>
    <w:rsid w:val="00ED399C"/>
    <w:rsid w:val="00ED5C1C"/>
    <w:rsid w:val="00ED5F3C"/>
    <w:rsid w:val="00ED6D6F"/>
    <w:rsid w:val="00ED720D"/>
    <w:rsid w:val="00EE037A"/>
    <w:rsid w:val="00EE16B6"/>
    <w:rsid w:val="00EE2FF2"/>
    <w:rsid w:val="00EE4D34"/>
    <w:rsid w:val="00EE5573"/>
    <w:rsid w:val="00EE7074"/>
    <w:rsid w:val="00EF0622"/>
    <w:rsid w:val="00EF0C01"/>
    <w:rsid w:val="00EF12A8"/>
    <w:rsid w:val="00EF248D"/>
    <w:rsid w:val="00EF2EB4"/>
    <w:rsid w:val="00EF3DB8"/>
    <w:rsid w:val="00EF41C3"/>
    <w:rsid w:val="00EF41D5"/>
    <w:rsid w:val="00EF420E"/>
    <w:rsid w:val="00EF5045"/>
    <w:rsid w:val="00EF5F08"/>
    <w:rsid w:val="00EF7930"/>
    <w:rsid w:val="00EF7996"/>
    <w:rsid w:val="00F0083F"/>
    <w:rsid w:val="00F02594"/>
    <w:rsid w:val="00F029BA"/>
    <w:rsid w:val="00F0336F"/>
    <w:rsid w:val="00F03843"/>
    <w:rsid w:val="00F05A17"/>
    <w:rsid w:val="00F1487A"/>
    <w:rsid w:val="00F16A34"/>
    <w:rsid w:val="00F20F98"/>
    <w:rsid w:val="00F2362D"/>
    <w:rsid w:val="00F252A6"/>
    <w:rsid w:val="00F2619C"/>
    <w:rsid w:val="00F2790A"/>
    <w:rsid w:val="00F305BF"/>
    <w:rsid w:val="00F30655"/>
    <w:rsid w:val="00F30CFB"/>
    <w:rsid w:val="00F325C2"/>
    <w:rsid w:val="00F32618"/>
    <w:rsid w:val="00F32DFC"/>
    <w:rsid w:val="00F33A3F"/>
    <w:rsid w:val="00F33DB4"/>
    <w:rsid w:val="00F347DA"/>
    <w:rsid w:val="00F34DAA"/>
    <w:rsid w:val="00F35D06"/>
    <w:rsid w:val="00F376E8"/>
    <w:rsid w:val="00F37F62"/>
    <w:rsid w:val="00F437CB"/>
    <w:rsid w:val="00F440AE"/>
    <w:rsid w:val="00F44EF4"/>
    <w:rsid w:val="00F4512C"/>
    <w:rsid w:val="00F454BE"/>
    <w:rsid w:val="00F46605"/>
    <w:rsid w:val="00F47AE3"/>
    <w:rsid w:val="00F51359"/>
    <w:rsid w:val="00F53A9A"/>
    <w:rsid w:val="00F549BB"/>
    <w:rsid w:val="00F55286"/>
    <w:rsid w:val="00F55F82"/>
    <w:rsid w:val="00F56ACD"/>
    <w:rsid w:val="00F57226"/>
    <w:rsid w:val="00F57856"/>
    <w:rsid w:val="00F608F5"/>
    <w:rsid w:val="00F6177C"/>
    <w:rsid w:val="00F6245B"/>
    <w:rsid w:val="00F65039"/>
    <w:rsid w:val="00F65F66"/>
    <w:rsid w:val="00F66E3F"/>
    <w:rsid w:val="00F67486"/>
    <w:rsid w:val="00F67F8E"/>
    <w:rsid w:val="00F70B39"/>
    <w:rsid w:val="00F7128B"/>
    <w:rsid w:val="00F71436"/>
    <w:rsid w:val="00F7180F"/>
    <w:rsid w:val="00F72F94"/>
    <w:rsid w:val="00F7406C"/>
    <w:rsid w:val="00F749C0"/>
    <w:rsid w:val="00F76BFB"/>
    <w:rsid w:val="00F81399"/>
    <w:rsid w:val="00F813AE"/>
    <w:rsid w:val="00F81FAF"/>
    <w:rsid w:val="00F82AE0"/>
    <w:rsid w:val="00F82B44"/>
    <w:rsid w:val="00F83AFD"/>
    <w:rsid w:val="00F84727"/>
    <w:rsid w:val="00F84F35"/>
    <w:rsid w:val="00F851CD"/>
    <w:rsid w:val="00F8539C"/>
    <w:rsid w:val="00F85D78"/>
    <w:rsid w:val="00F86D4A"/>
    <w:rsid w:val="00F86F9F"/>
    <w:rsid w:val="00F87D11"/>
    <w:rsid w:val="00F87D5C"/>
    <w:rsid w:val="00F87EFA"/>
    <w:rsid w:val="00F90AD1"/>
    <w:rsid w:val="00F9143D"/>
    <w:rsid w:val="00F924BF"/>
    <w:rsid w:val="00F927D9"/>
    <w:rsid w:val="00F93759"/>
    <w:rsid w:val="00F9579D"/>
    <w:rsid w:val="00F95817"/>
    <w:rsid w:val="00F960ED"/>
    <w:rsid w:val="00F97981"/>
    <w:rsid w:val="00FA00C1"/>
    <w:rsid w:val="00FA010E"/>
    <w:rsid w:val="00FA1BD6"/>
    <w:rsid w:val="00FA2DCE"/>
    <w:rsid w:val="00FA4FDB"/>
    <w:rsid w:val="00FA5F62"/>
    <w:rsid w:val="00FA78BA"/>
    <w:rsid w:val="00FA7C94"/>
    <w:rsid w:val="00FB05D0"/>
    <w:rsid w:val="00FB101F"/>
    <w:rsid w:val="00FB182C"/>
    <w:rsid w:val="00FB20AF"/>
    <w:rsid w:val="00FB2607"/>
    <w:rsid w:val="00FB377C"/>
    <w:rsid w:val="00FB3834"/>
    <w:rsid w:val="00FB4D85"/>
    <w:rsid w:val="00FB6513"/>
    <w:rsid w:val="00FB781F"/>
    <w:rsid w:val="00FB7C9E"/>
    <w:rsid w:val="00FC04BE"/>
    <w:rsid w:val="00FC433E"/>
    <w:rsid w:val="00FC4512"/>
    <w:rsid w:val="00FC46C7"/>
    <w:rsid w:val="00FC4B49"/>
    <w:rsid w:val="00FC5CBC"/>
    <w:rsid w:val="00FC6473"/>
    <w:rsid w:val="00FC68F3"/>
    <w:rsid w:val="00FC78C8"/>
    <w:rsid w:val="00FD21C9"/>
    <w:rsid w:val="00FD2D37"/>
    <w:rsid w:val="00FD3E62"/>
    <w:rsid w:val="00FD5005"/>
    <w:rsid w:val="00FD55ED"/>
    <w:rsid w:val="00FD7AE6"/>
    <w:rsid w:val="00FE0BB1"/>
    <w:rsid w:val="00FE2AC2"/>
    <w:rsid w:val="00FE3F6C"/>
    <w:rsid w:val="00FE6451"/>
    <w:rsid w:val="00FF04A0"/>
    <w:rsid w:val="00FF11BE"/>
    <w:rsid w:val="00FF11E7"/>
    <w:rsid w:val="00FF3551"/>
    <w:rsid w:val="00FF403D"/>
    <w:rsid w:val="00FF482C"/>
    <w:rsid w:val="00FF6308"/>
    <w:rsid w:val="00FF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386626B4-0561-42D1-8BD1-09BD933B2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Ttulo1">
    <w:name w:val="heading 1"/>
    <w:basedOn w:val="Normal"/>
    <w:next w:val="Normal"/>
    <w:link w:val="Ttulo1Car"/>
    <w:uiPriority w:val="9"/>
    <w:qFormat/>
    <w:rsid w:val="00D82689"/>
    <w:pPr>
      <w:keepNext/>
      <w:keepLines/>
      <w:spacing w:before="480" w:after="0"/>
      <w:outlineLvl w:val="0"/>
    </w:pPr>
    <w:rPr>
      <w:rFonts w:ascii="Cambria" w:eastAsia="MS Gothic" w:hAnsi="Cambria"/>
      <w:b/>
      <w:bCs/>
      <w:color w:val="365F91"/>
      <w:sz w:val="28"/>
      <w:szCs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6C2E2D"/>
    <w:pPr>
      <w:spacing w:after="0" w:line="240" w:lineRule="auto"/>
    </w:pPr>
    <w:rPr>
      <w:rFonts w:ascii="Verdana" w:hAnsi="Verdana"/>
      <w:sz w:val="16"/>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rsid w:val="006C2E2D"/>
    <w:rPr>
      <w:rFonts w:ascii="Verdana" w:hAnsi="Verdana"/>
      <w:sz w:val="16"/>
      <w:lang w:val="en-U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nhideWhenUsed/>
    <w:qFormat/>
    <w:rsid w:val="005A1B3D"/>
    <w:rPr>
      <w:vertAlign w:val="superscript"/>
    </w:rPr>
  </w:style>
  <w:style w:type="character" w:styleId="Hipervnculo">
    <w:name w:val="Hyperlink"/>
    <w:uiPriority w:val="99"/>
    <w:unhideWhenUsed/>
    <w:rsid w:val="00D665C7"/>
    <w:rPr>
      <w:color w:val="0000FF"/>
      <w:u w:val="single"/>
    </w:rPr>
  </w:style>
  <w:style w:type="paragraph" w:styleId="Listavistosa-nfasis1">
    <w:name w:val="Colorful List Accent 1"/>
    <w:aliases w:val="Footnote,Párrafo de lista1,Colorful List - Accent 11,Cuadrícula clara - Énfasis 31,Lista media 2 - Énfasis 41"/>
    <w:basedOn w:val="Normal"/>
    <w:link w:val="Listavistosa-nfasis1Car"/>
    <w:uiPriority w:val="99"/>
    <w:qFormat/>
    <w:rsid w:val="00D665C7"/>
    <w:pPr>
      <w:ind w:left="720"/>
      <w:contextualSpacing/>
    </w:pPr>
  </w:style>
  <w:style w:type="character" w:customStyle="1" w:styleId="Listavistosa-nfasis1Car">
    <w:name w:val="Lista vistosa - Énfasis 1 Car"/>
    <w:aliases w:val="Footnote Car1,Párrafo de lista1 Car1,Colorful List - Accent 11 Car,Cuadrícula clara - Énfasis 31 Car,Lista media 2 - Énfasis 41 Car"/>
    <w:link w:val="Listavistosa-nfasis1"/>
    <w:uiPriority w:val="34"/>
    <w:locked/>
    <w:rsid w:val="008F5FD0"/>
  </w:style>
  <w:style w:type="table" w:styleId="Tablaconcuadrcula">
    <w:name w:val="Table Grid"/>
    <w:basedOn w:val="Tablanormal"/>
    <w:uiPriority w:val="59"/>
    <w:rsid w:val="00F35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F0336F"/>
  </w:style>
  <w:style w:type="character" w:customStyle="1" w:styleId="apple-converted-space">
    <w:name w:val="apple-converted-space"/>
    <w:basedOn w:val="Fuentedeprrafopredeter"/>
    <w:rsid w:val="001C0DED"/>
  </w:style>
  <w:style w:type="paragraph" w:styleId="Encabezado">
    <w:name w:val="header"/>
    <w:basedOn w:val="Normal"/>
    <w:link w:val="EncabezadoCar"/>
    <w:uiPriority w:val="99"/>
    <w:unhideWhenUsed/>
    <w:rsid w:val="00F56A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6ACD"/>
  </w:style>
  <w:style w:type="paragraph" w:styleId="Piedepgina">
    <w:name w:val="footer"/>
    <w:basedOn w:val="Normal"/>
    <w:link w:val="PiedepginaCar"/>
    <w:uiPriority w:val="99"/>
    <w:unhideWhenUsed/>
    <w:rsid w:val="00F56A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6ACD"/>
  </w:style>
  <w:style w:type="paragraph" w:styleId="Textodeglobo">
    <w:name w:val="Balloon Text"/>
    <w:basedOn w:val="Normal"/>
    <w:link w:val="TextodegloboCar"/>
    <w:uiPriority w:val="99"/>
    <w:semiHidden/>
    <w:unhideWhenUsed/>
    <w:rsid w:val="00F56AC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56ACD"/>
    <w:rPr>
      <w:rFonts w:ascii="Tahoma" w:hAnsi="Tahoma" w:cs="Tahoma"/>
      <w:sz w:val="16"/>
      <w:szCs w:val="16"/>
    </w:rPr>
  </w:style>
  <w:style w:type="character" w:styleId="Textoennegrita">
    <w:name w:val="Strong"/>
    <w:uiPriority w:val="22"/>
    <w:qFormat/>
    <w:rsid w:val="005A2E32"/>
    <w:rPr>
      <w:b/>
      <w:bCs/>
    </w:rPr>
  </w:style>
  <w:style w:type="paragraph" w:styleId="Textoindependiente">
    <w:name w:val="Body Text"/>
    <w:basedOn w:val="Normal"/>
    <w:link w:val="TextoindependienteCar"/>
    <w:uiPriority w:val="99"/>
    <w:unhideWhenUsed/>
    <w:rsid w:val="009F78E3"/>
    <w:pPr>
      <w:spacing w:after="120"/>
    </w:pPr>
  </w:style>
  <w:style w:type="character" w:customStyle="1" w:styleId="TextoindependienteCar">
    <w:name w:val="Texto independiente Car"/>
    <w:link w:val="Textoindependiente"/>
    <w:uiPriority w:val="99"/>
    <w:rsid w:val="009F78E3"/>
    <w:rPr>
      <w:rFonts w:ascii="Calibri" w:eastAsia="Calibri" w:hAnsi="Calibri" w:cs="Times New Roman"/>
    </w:rPr>
  </w:style>
  <w:style w:type="character" w:styleId="Refdecomentario">
    <w:name w:val="annotation reference"/>
    <w:uiPriority w:val="99"/>
    <w:semiHidden/>
    <w:unhideWhenUsed/>
    <w:rsid w:val="005B4A61"/>
    <w:rPr>
      <w:sz w:val="16"/>
      <w:szCs w:val="16"/>
    </w:rPr>
  </w:style>
  <w:style w:type="paragraph" w:styleId="Textocomentario">
    <w:name w:val="annotation text"/>
    <w:basedOn w:val="Normal"/>
    <w:link w:val="TextocomentarioCar"/>
    <w:uiPriority w:val="99"/>
    <w:unhideWhenUsed/>
    <w:rsid w:val="005B4A61"/>
    <w:pPr>
      <w:spacing w:line="240" w:lineRule="auto"/>
    </w:pPr>
    <w:rPr>
      <w:sz w:val="20"/>
      <w:szCs w:val="20"/>
    </w:rPr>
  </w:style>
  <w:style w:type="character" w:customStyle="1" w:styleId="TextocomentarioCar">
    <w:name w:val="Texto comentario Car"/>
    <w:link w:val="Textocomentario"/>
    <w:uiPriority w:val="99"/>
    <w:rsid w:val="005B4A61"/>
    <w:rPr>
      <w:sz w:val="20"/>
      <w:szCs w:val="20"/>
    </w:rPr>
  </w:style>
  <w:style w:type="paragraph" w:styleId="Asuntodelcomentario">
    <w:name w:val="annotation subject"/>
    <w:basedOn w:val="Textocomentario"/>
    <w:next w:val="Textocomentario"/>
    <w:link w:val="AsuntodelcomentarioCar"/>
    <w:uiPriority w:val="99"/>
    <w:semiHidden/>
    <w:unhideWhenUsed/>
    <w:rsid w:val="005B4A61"/>
    <w:rPr>
      <w:b/>
      <w:bCs/>
    </w:rPr>
  </w:style>
  <w:style w:type="character" w:customStyle="1" w:styleId="AsuntodelcomentarioCar">
    <w:name w:val="Asunto del comentario Car"/>
    <w:link w:val="Asuntodelcomentario"/>
    <w:uiPriority w:val="99"/>
    <w:semiHidden/>
    <w:rsid w:val="005B4A61"/>
    <w:rPr>
      <w:b/>
      <w:bCs/>
      <w:sz w:val="20"/>
      <w:szCs w:val="20"/>
    </w:rPr>
  </w:style>
  <w:style w:type="character" w:styleId="Nmerodelnea">
    <w:name w:val="line number"/>
    <w:basedOn w:val="Fuentedeprrafopredeter"/>
    <w:uiPriority w:val="99"/>
    <w:semiHidden/>
    <w:unhideWhenUsed/>
    <w:rsid w:val="00AE338B"/>
  </w:style>
  <w:style w:type="paragraph" w:styleId="Sombreadovistoso-nfasis1">
    <w:name w:val="Colorful Shading Accent 1"/>
    <w:hidden/>
    <w:uiPriority w:val="99"/>
    <w:semiHidden/>
    <w:rsid w:val="00790114"/>
    <w:rPr>
      <w:sz w:val="22"/>
      <w:szCs w:val="22"/>
    </w:rPr>
  </w:style>
  <w:style w:type="paragraph" w:styleId="TDC1">
    <w:name w:val="toc 1"/>
    <w:basedOn w:val="Normal"/>
    <w:next w:val="Normal"/>
    <w:autoRedefine/>
    <w:uiPriority w:val="39"/>
    <w:unhideWhenUsed/>
    <w:qFormat/>
    <w:rsid w:val="001052AB"/>
    <w:pPr>
      <w:tabs>
        <w:tab w:val="left" w:pos="709"/>
        <w:tab w:val="left" w:pos="8505"/>
      </w:tabs>
      <w:spacing w:after="100"/>
      <w:ind w:left="284" w:right="996"/>
      <w:jc w:val="both"/>
    </w:pPr>
  </w:style>
  <w:style w:type="character" w:customStyle="1" w:styleId="Ttulo1Car">
    <w:name w:val="Título 1 Car"/>
    <w:link w:val="Ttulo1"/>
    <w:uiPriority w:val="9"/>
    <w:rsid w:val="00D82689"/>
    <w:rPr>
      <w:rFonts w:ascii="Cambria" w:eastAsia="MS Gothic" w:hAnsi="Cambria" w:cs="Times New Roman"/>
      <w:b/>
      <w:bCs/>
      <w:color w:val="365F91"/>
      <w:sz w:val="28"/>
      <w:szCs w:val="28"/>
    </w:rPr>
  </w:style>
  <w:style w:type="paragraph" w:customStyle="1" w:styleId="Tabladecuadrcula31">
    <w:name w:val="Tabla de cuadrícula 31"/>
    <w:basedOn w:val="Ttulo1"/>
    <w:next w:val="Normal"/>
    <w:uiPriority w:val="39"/>
    <w:semiHidden/>
    <w:unhideWhenUsed/>
    <w:qFormat/>
    <w:rsid w:val="00D82689"/>
    <w:pPr>
      <w:outlineLvl w:val="9"/>
    </w:pPr>
    <w:rPr>
      <w:lang w:val="es-CR" w:eastAsia="es-CR"/>
    </w:rPr>
  </w:style>
  <w:style w:type="paragraph" w:styleId="TDC2">
    <w:name w:val="toc 2"/>
    <w:basedOn w:val="Normal"/>
    <w:next w:val="Normal"/>
    <w:autoRedefine/>
    <w:uiPriority w:val="39"/>
    <w:semiHidden/>
    <w:unhideWhenUsed/>
    <w:qFormat/>
    <w:rsid w:val="00D82689"/>
    <w:pPr>
      <w:spacing w:after="100"/>
      <w:ind w:left="220"/>
    </w:pPr>
    <w:rPr>
      <w:rFonts w:eastAsia="MS Mincho"/>
      <w:lang w:val="es-CR" w:eastAsia="es-CR"/>
    </w:rPr>
  </w:style>
  <w:style w:type="paragraph" w:styleId="TDC3">
    <w:name w:val="toc 3"/>
    <w:basedOn w:val="Normal"/>
    <w:next w:val="Normal"/>
    <w:autoRedefine/>
    <w:uiPriority w:val="39"/>
    <w:semiHidden/>
    <w:unhideWhenUsed/>
    <w:qFormat/>
    <w:rsid w:val="00D82689"/>
    <w:pPr>
      <w:spacing w:after="100"/>
      <w:ind w:left="440"/>
    </w:pPr>
    <w:rPr>
      <w:rFonts w:eastAsia="MS Mincho"/>
      <w:lang w:val="es-CR" w:eastAsia="es-CR"/>
    </w:rPr>
  </w:style>
  <w:style w:type="character" w:customStyle="1" w:styleId="Cuadrculaclara-nfasis3Car">
    <w:name w:val="Cuadrícula clara - Énfasis 3 Car"/>
    <w:aliases w:val="Footnote Car,Párrafo de lista1 Car,Párrafo de lista Car,Lista media 2 - Énfasis 4 Car"/>
    <w:uiPriority w:val="99"/>
    <w:rsid w:val="004C33FB"/>
    <w:rPr>
      <w:rFonts w:ascii="Times" w:eastAsia="Times" w:hAnsi="Times" w:cs="Times New Roman"/>
      <w:sz w:val="24"/>
      <w:szCs w:val="20"/>
      <w:lang w:val="es-ES_tradnl"/>
    </w:rPr>
  </w:style>
  <w:style w:type="paragraph" w:styleId="NormalWeb">
    <w:name w:val="Normal (Web)"/>
    <w:basedOn w:val="Normal"/>
    <w:uiPriority w:val="99"/>
    <w:semiHidden/>
    <w:unhideWhenUsed/>
    <w:rsid w:val="0007528C"/>
    <w:pPr>
      <w:spacing w:before="100" w:beforeAutospacing="1" w:after="100" w:afterAutospacing="1" w:line="240" w:lineRule="auto"/>
    </w:pPr>
    <w:rPr>
      <w:rFonts w:ascii="Times" w:hAnsi="Times"/>
      <w:sz w:val="20"/>
      <w:szCs w:val="20"/>
    </w:rPr>
  </w:style>
  <w:style w:type="paragraph" w:styleId="Prrafodelista">
    <w:name w:val="List Paragraph"/>
    <w:basedOn w:val="Normal"/>
    <w:uiPriority w:val="99"/>
    <w:qFormat/>
    <w:rsid w:val="00CC07C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266349">
      <w:bodyDiv w:val="1"/>
      <w:marLeft w:val="0"/>
      <w:marRight w:val="0"/>
      <w:marTop w:val="0"/>
      <w:marBottom w:val="0"/>
      <w:divBdr>
        <w:top w:val="none" w:sz="0" w:space="0" w:color="auto"/>
        <w:left w:val="none" w:sz="0" w:space="0" w:color="auto"/>
        <w:bottom w:val="none" w:sz="0" w:space="0" w:color="auto"/>
        <w:right w:val="none" w:sz="0" w:space="0" w:color="auto"/>
      </w:divBdr>
    </w:div>
    <w:div w:id="414281715">
      <w:bodyDiv w:val="1"/>
      <w:marLeft w:val="0"/>
      <w:marRight w:val="0"/>
      <w:marTop w:val="0"/>
      <w:marBottom w:val="0"/>
      <w:divBdr>
        <w:top w:val="none" w:sz="0" w:space="0" w:color="auto"/>
        <w:left w:val="none" w:sz="0" w:space="0" w:color="auto"/>
        <w:bottom w:val="none" w:sz="0" w:space="0" w:color="auto"/>
        <w:right w:val="none" w:sz="0" w:space="0" w:color="auto"/>
      </w:divBdr>
    </w:div>
    <w:div w:id="730347150">
      <w:bodyDiv w:val="1"/>
      <w:marLeft w:val="0"/>
      <w:marRight w:val="0"/>
      <w:marTop w:val="0"/>
      <w:marBottom w:val="0"/>
      <w:divBdr>
        <w:top w:val="none" w:sz="0" w:space="0" w:color="auto"/>
        <w:left w:val="none" w:sz="0" w:space="0" w:color="auto"/>
        <w:bottom w:val="none" w:sz="0" w:space="0" w:color="auto"/>
        <w:right w:val="none" w:sz="0" w:space="0" w:color="auto"/>
      </w:divBdr>
      <w:divsChild>
        <w:div w:id="813523859">
          <w:marLeft w:val="0"/>
          <w:marRight w:val="0"/>
          <w:marTop w:val="0"/>
          <w:marBottom w:val="0"/>
          <w:divBdr>
            <w:top w:val="none" w:sz="0" w:space="0" w:color="auto"/>
            <w:left w:val="none" w:sz="0" w:space="0" w:color="auto"/>
            <w:bottom w:val="none" w:sz="0" w:space="0" w:color="auto"/>
            <w:right w:val="none" w:sz="0" w:space="0" w:color="auto"/>
          </w:divBdr>
          <w:divsChild>
            <w:div w:id="647436578">
              <w:marLeft w:val="0"/>
              <w:marRight w:val="0"/>
              <w:marTop w:val="0"/>
              <w:marBottom w:val="0"/>
              <w:divBdr>
                <w:top w:val="none" w:sz="0" w:space="0" w:color="auto"/>
                <w:left w:val="none" w:sz="0" w:space="0" w:color="auto"/>
                <w:bottom w:val="none" w:sz="0" w:space="0" w:color="auto"/>
                <w:right w:val="none" w:sz="0" w:space="0" w:color="auto"/>
              </w:divBdr>
              <w:divsChild>
                <w:div w:id="17030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972950">
      <w:bodyDiv w:val="1"/>
      <w:marLeft w:val="0"/>
      <w:marRight w:val="0"/>
      <w:marTop w:val="0"/>
      <w:marBottom w:val="0"/>
      <w:divBdr>
        <w:top w:val="none" w:sz="0" w:space="0" w:color="auto"/>
        <w:left w:val="none" w:sz="0" w:space="0" w:color="auto"/>
        <w:bottom w:val="none" w:sz="0" w:space="0" w:color="auto"/>
        <w:right w:val="none" w:sz="0" w:space="0" w:color="auto"/>
      </w:divBdr>
    </w:div>
    <w:div w:id="158626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supervisiones/cantoral_28_04_09.pdf" TargetMode="External"/><Relationship Id="rId2" Type="http://schemas.openxmlformats.org/officeDocument/2006/relationships/hyperlink" Target="http://www.corteidh.or.cr/docs/casos/articulos/seriec_176_esp.pdf" TargetMode="External"/><Relationship Id="rId1" Type="http://schemas.openxmlformats.org/officeDocument/2006/relationships/hyperlink" Target="http://www.corteidh.or.cr/docs/casos/articulos/seriec_167_esp.pdf" TargetMode="External"/><Relationship Id="rId5" Type="http://schemas.openxmlformats.org/officeDocument/2006/relationships/hyperlink" Target="http://www.corteidh.or.cr/docs/supervisiones/cantoral_22_02_11.pdf" TargetMode="External"/><Relationship Id="rId4" Type="http://schemas.openxmlformats.org/officeDocument/2006/relationships/hyperlink" Target="http://www.corteidh.or.cr/docs/supervisiones/cantoral_21_09_09.p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13BD2-29C4-4F29-8F31-13DFDADAF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8068</Words>
  <Characters>45993</Characters>
  <Application>Microsoft Office Word</Application>
  <DocSecurity>0</DocSecurity>
  <Lines>383</Lines>
  <Paragraphs>107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53954</CharactersWithSpaces>
  <SharedDoc>false</SharedDoc>
  <HLinks>
    <vt:vector size="66" baseType="variant">
      <vt:variant>
        <vt:i4>3014659</vt:i4>
      </vt:variant>
      <vt:variant>
        <vt:i4>32</vt:i4>
      </vt:variant>
      <vt:variant>
        <vt:i4>0</vt:i4>
      </vt:variant>
      <vt:variant>
        <vt:i4>5</vt:i4>
      </vt:variant>
      <vt:variant>
        <vt:lpwstr/>
      </vt:variant>
      <vt:variant>
        <vt:lpwstr>_Toc5465086</vt:lpwstr>
      </vt:variant>
      <vt:variant>
        <vt:i4>3014659</vt:i4>
      </vt:variant>
      <vt:variant>
        <vt:i4>26</vt:i4>
      </vt:variant>
      <vt:variant>
        <vt:i4>0</vt:i4>
      </vt:variant>
      <vt:variant>
        <vt:i4>5</vt:i4>
      </vt:variant>
      <vt:variant>
        <vt:lpwstr/>
      </vt:variant>
      <vt:variant>
        <vt:lpwstr>_Toc5465085</vt:lpwstr>
      </vt:variant>
      <vt:variant>
        <vt:i4>3014659</vt:i4>
      </vt:variant>
      <vt:variant>
        <vt:i4>20</vt:i4>
      </vt:variant>
      <vt:variant>
        <vt:i4>0</vt:i4>
      </vt:variant>
      <vt:variant>
        <vt:i4>5</vt:i4>
      </vt:variant>
      <vt:variant>
        <vt:lpwstr/>
      </vt:variant>
      <vt:variant>
        <vt:lpwstr>_Toc5465084</vt:lpwstr>
      </vt:variant>
      <vt:variant>
        <vt:i4>3014659</vt:i4>
      </vt:variant>
      <vt:variant>
        <vt:i4>14</vt:i4>
      </vt:variant>
      <vt:variant>
        <vt:i4>0</vt:i4>
      </vt:variant>
      <vt:variant>
        <vt:i4>5</vt:i4>
      </vt:variant>
      <vt:variant>
        <vt:lpwstr/>
      </vt:variant>
      <vt:variant>
        <vt:lpwstr>_Toc5465083</vt:lpwstr>
      </vt:variant>
      <vt:variant>
        <vt:i4>3014659</vt:i4>
      </vt:variant>
      <vt:variant>
        <vt:i4>8</vt:i4>
      </vt:variant>
      <vt:variant>
        <vt:i4>0</vt:i4>
      </vt:variant>
      <vt:variant>
        <vt:i4>5</vt:i4>
      </vt:variant>
      <vt:variant>
        <vt:lpwstr/>
      </vt:variant>
      <vt:variant>
        <vt:lpwstr>_Toc5465082</vt:lpwstr>
      </vt:variant>
      <vt:variant>
        <vt:i4>3014659</vt:i4>
      </vt:variant>
      <vt:variant>
        <vt:i4>2</vt:i4>
      </vt:variant>
      <vt:variant>
        <vt:i4>0</vt:i4>
      </vt:variant>
      <vt:variant>
        <vt:i4>5</vt:i4>
      </vt:variant>
      <vt:variant>
        <vt:lpwstr/>
      </vt:variant>
      <vt:variant>
        <vt:lpwstr>_Toc5465081</vt:lpwstr>
      </vt:variant>
      <vt:variant>
        <vt:i4>8192078</vt:i4>
      </vt:variant>
      <vt:variant>
        <vt:i4>12</vt:i4>
      </vt:variant>
      <vt:variant>
        <vt:i4>0</vt:i4>
      </vt:variant>
      <vt:variant>
        <vt:i4>5</vt:i4>
      </vt:variant>
      <vt:variant>
        <vt:lpwstr>http://www.corteidh.or.cr/docs/supervisiones/cantoral_22_02_11.pdf</vt:lpwstr>
      </vt:variant>
      <vt:variant>
        <vt:lpwstr/>
      </vt:variant>
      <vt:variant>
        <vt:i4>1048608</vt:i4>
      </vt:variant>
      <vt:variant>
        <vt:i4>9</vt:i4>
      </vt:variant>
      <vt:variant>
        <vt:i4>0</vt:i4>
      </vt:variant>
      <vt:variant>
        <vt:i4>5</vt:i4>
      </vt:variant>
      <vt:variant>
        <vt:lpwstr>http://www.corteidh.or.cr/docs/supervisiones/cantoral_21_09_09.pd</vt:lpwstr>
      </vt:variant>
      <vt:variant>
        <vt:lpwstr/>
      </vt:variant>
      <vt:variant>
        <vt:i4>8323145</vt:i4>
      </vt:variant>
      <vt:variant>
        <vt:i4>6</vt:i4>
      </vt:variant>
      <vt:variant>
        <vt:i4>0</vt:i4>
      </vt:variant>
      <vt:variant>
        <vt:i4>5</vt:i4>
      </vt:variant>
      <vt:variant>
        <vt:lpwstr>http://www.corteidh.or.cr/docs/supervisiones/cantoral_28_04_09.pdf</vt:lpwstr>
      </vt:variant>
      <vt:variant>
        <vt:lpwstr/>
      </vt:variant>
      <vt:variant>
        <vt:i4>5701715</vt:i4>
      </vt:variant>
      <vt:variant>
        <vt:i4>3</vt:i4>
      </vt:variant>
      <vt:variant>
        <vt:i4>0</vt:i4>
      </vt:variant>
      <vt:variant>
        <vt:i4>5</vt:i4>
      </vt:variant>
      <vt:variant>
        <vt:lpwstr>http://www.corteidh.or.cr/docs/casos/articulos/seriec_176_esp.pdf</vt:lpwstr>
      </vt:variant>
      <vt:variant>
        <vt:lpwstr/>
      </vt:variant>
      <vt:variant>
        <vt:i4>5636178</vt:i4>
      </vt:variant>
      <vt:variant>
        <vt:i4>0</vt:i4>
      </vt:variant>
      <vt:variant>
        <vt:i4>0</vt:i4>
      </vt:variant>
      <vt:variant>
        <vt:i4>5</vt:i4>
      </vt:variant>
      <vt:variant>
        <vt:lpwstr>http://www.corteidh.or.cr/docs/casos/articulos/seriec_167_esp.pdf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3</cp:revision>
  <cp:lastPrinted>2019-10-01T16:14:00Z</cp:lastPrinted>
  <dcterms:created xsi:type="dcterms:W3CDTF">2019-10-01T16:14:00Z</dcterms:created>
  <dcterms:modified xsi:type="dcterms:W3CDTF">2019-10-01T16:14:00Z</dcterms:modified>
</cp:coreProperties>
</file>