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DA8" w:rsidRDefault="00055DA8" w:rsidP="00311716">
      <w:pPr>
        <w:spacing w:line="360" w:lineRule="auto"/>
        <w:jc w:val="center"/>
        <w:rPr>
          <w:rFonts w:ascii="Verdana" w:hAnsi="Verdana"/>
          <w:b/>
          <w:sz w:val="20"/>
          <w:lang w:val="es-MX"/>
        </w:rPr>
      </w:pPr>
      <w:bookmarkStart w:id="0" w:name="_GoBack"/>
      <w:bookmarkEnd w:id="0"/>
    </w:p>
    <w:p w:rsidR="00055DA8" w:rsidRDefault="00055DA8" w:rsidP="00311716">
      <w:pPr>
        <w:spacing w:line="360" w:lineRule="auto"/>
        <w:jc w:val="center"/>
        <w:rPr>
          <w:rFonts w:ascii="Verdana" w:hAnsi="Verdana"/>
          <w:b/>
          <w:sz w:val="20"/>
          <w:lang w:val="es-MX"/>
        </w:rPr>
      </w:pPr>
    </w:p>
    <w:p w:rsidR="00055DA8" w:rsidRDefault="00055DA8" w:rsidP="00311716">
      <w:pPr>
        <w:spacing w:line="360" w:lineRule="auto"/>
        <w:jc w:val="center"/>
        <w:rPr>
          <w:rFonts w:ascii="Verdana" w:hAnsi="Verdana"/>
          <w:b/>
          <w:sz w:val="20"/>
          <w:lang w:val="es-MX"/>
        </w:rPr>
      </w:pPr>
    </w:p>
    <w:p w:rsidR="00055DA8" w:rsidRDefault="00055DA8" w:rsidP="00311716">
      <w:pPr>
        <w:spacing w:line="360" w:lineRule="auto"/>
        <w:jc w:val="center"/>
        <w:rPr>
          <w:rFonts w:ascii="Verdana" w:hAnsi="Verdana"/>
          <w:b/>
          <w:sz w:val="20"/>
          <w:lang w:val="es-MX"/>
        </w:rPr>
      </w:pPr>
    </w:p>
    <w:p w:rsidR="00FA0765" w:rsidRPr="000F1E4F" w:rsidRDefault="00FA0765" w:rsidP="00311716">
      <w:pPr>
        <w:spacing w:line="360" w:lineRule="auto"/>
        <w:jc w:val="center"/>
        <w:rPr>
          <w:rFonts w:ascii="Verdana" w:hAnsi="Verdana"/>
          <w:b/>
          <w:sz w:val="20"/>
          <w:lang w:val="es-MX"/>
        </w:rPr>
      </w:pPr>
      <w:r w:rsidRPr="000F1E4F">
        <w:rPr>
          <w:rFonts w:ascii="Verdana" w:hAnsi="Verdana"/>
          <w:b/>
          <w:sz w:val="20"/>
          <w:lang w:val="es-MX"/>
        </w:rPr>
        <w:t>RESOLUCIÓN DE LA</w:t>
      </w:r>
    </w:p>
    <w:p w:rsidR="0017363E" w:rsidRDefault="00FA0765" w:rsidP="0017363E">
      <w:pPr>
        <w:spacing w:line="360" w:lineRule="auto"/>
        <w:jc w:val="center"/>
        <w:rPr>
          <w:rFonts w:eastAsia="Calibri"/>
          <w:lang w:eastAsia="es-CR"/>
        </w:rPr>
      </w:pPr>
      <w:r w:rsidRPr="00B71CCB">
        <w:rPr>
          <w:rFonts w:ascii="Verdana" w:hAnsi="Verdana"/>
          <w:b/>
          <w:sz w:val="20"/>
          <w:lang w:val="es-MX"/>
        </w:rPr>
        <w:t xml:space="preserve">CORTE </w:t>
      </w:r>
      <w:r w:rsidRPr="0017363E">
        <w:rPr>
          <w:rFonts w:ascii="Verdana" w:hAnsi="Verdana"/>
          <w:b/>
          <w:sz w:val="20"/>
          <w:lang w:val="es-MX"/>
        </w:rPr>
        <w:t>INTERAMERICANA</w:t>
      </w:r>
      <w:r w:rsidRPr="00B71CCB">
        <w:rPr>
          <w:rFonts w:ascii="Verdana" w:hAnsi="Verdana"/>
          <w:b/>
          <w:sz w:val="20"/>
          <w:lang w:val="es-MX"/>
        </w:rPr>
        <w:t xml:space="preserve"> DE DERECHOS HUMANOS</w:t>
      </w:r>
      <w:r w:rsidR="00D10C7F" w:rsidRPr="00826239">
        <w:rPr>
          <w:rStyle w:val="Refdenotaalpie"/>
          <w:rFonts w:ascii="Verdana" w:hAnsi="Verdana"/>
          <w:b/>
          <w:smallCaps/>
          <w:sz w:val="20"/>
          <w:lang w:val="es-CO"/>
        </w:rPr>
        <w:footnoteReference w:customMarkFollows="1" w:id="1"/>
        <w:sym w:font="Symbol" w:char="F02A"/>
      </w:r>
      <w:r w:rsidR="0017363E">
        <w:rPr>
          <w:rFonts w:eastAsia="Calibri"/>
          <w:lang w:eastAsia="es-CR"/>
        </w:rPr>
        <w:t xml:space="preserve"> </w:t>
      </w:r>
    </w:p>
    <w:p w:rsidR="005763C1" w:rsidRDefault="005763C1" w:rsidP="0017363E">
      <w:pPr>
        <w:spacing w:line="360" w:lineRule="auto"/>
        <w:jc w:val="center"/>
        <w:rPr>
          <w:rFonts w:eastAsia="Calibri"/>
          <w:lang w:eastAsia="es-CR"/>
        </w:rPr>
      </w:pPr>
    </w:p>
    <w:p w:rsidR="0065520B" w:rsidRDefault="00966E85" w:rsidP="00C1325B">
      <w:pPr>
        <w:spacing w:before="60" w:line="360" w:lineRule="auto"/>
        <w:jc w:val="center"/>
        <w:rPr>
          <w:rFonts w:ascii="Verdana" w:hAnsi="Verdana"/>
          <w:b/>
          <w:smallCaps/>
          <w:sz w:val="20"/>
        </w:rPr>
      </w:pPr>
      <w:r>
        <w:rPr>
          <w:rFonts w:ascii="Verdana" w:hAnsi="Verdana"/>
          <w:b/>
          <w:smallCaps/>
          <w:sz w:val="20"/>
        </w:rPr>
        <w:t xml:space="preserve">DE </w:t>
      </w:r>
      <w:r w:rsidR="002C2188">
        <w:rPr>
          <w:rFonts w:ascii="Verdana" w:hAnsi="Verdana"/>
          <w:b/>
          <w:smallCaps/>
          <w:sz w:val="20"/>
        </w:rPr>
        <w:t>7</w:t>
      </w:r>
      <w:r w:rsidR="00B82CB7" w:rsidRPr="00AB04CC">
        <w:rPr>
          <w:rFonts w:ascii="Verdana" w:hAnsi="Verdana"/>
          <w:b/>
          <w:smallCaps/>
          <w:sz w:val="20"/>
        </w:rPr>
        <w:t xml:space="preserve"> </w:t>
      </w:r>
      <w:r w:rsidR="0065520B" w:rsidRPr="00AB04CC">
        <w:rPr>
          <w:rFonts w:ascii="Verdana" w:hAnsi="Verdana"/>
          <w:b/>
          <w:smallCaps/>
          <w:sz w:val="20"/>
        </w:rPr>
        <w:t>DE</w:t>
      </w:r>
      <w:r w:rsidR="00AF1972" w:rsidRPr="00AB04CC">
        <w:rPr>
          <w:rFonts w:ascii="Verdana" w:hAnsi="Verdana"/>
          <w:b/>
          <w:smallCaps/>
          <w:sz w:val="20"/>
        </w:rPr>
        <w:t xml:space="preserve"> </w:t>
      </w:r>
      <w:r w:rsidR="00311716">
        <w:rPr>
          <w:rFonts w:ascii="Verdana" w:hAnsi="Verdana"/>
          <w:b/>
          <w:smallCaps/>
          <w:sz w:val="20"/>
        </w:rPr>
        <w:t xml:space="preserve">OCTUBRE </w:t>
      </w:r>
      <w:r w:rsidR="00AF1972" w:rsidRPr="00AB04CC">
        <w:rPr>
          <w:rFonts w:ascii="Verdana" w:hAnsi="Verdana"/>
          <w:b/>
          <w:smallCaps/>
          <w:sz w:val="20"/>
        </w:rPr>
        <w:t xml:space="preserve">DE </w:t>
      </w:r>
      <w:r w:rsidR="0065520B" w:rsidRPr="00AB04CC">
        <w:rPr>
          <w:rFonts w:ascii="Verdana" w:hAnsi="Verdana"/>
          <w:b/>
          <w:smallCaps/>
          <w:sz w:val="20"/>
        </w:rPr>
        <w:t>201</w:t>
      </w:r>
      <w:r>
        <w:rPr>
          <w:rFonts w:ascii="Verdana" w:hAnsi="Verdana"/>
          <w:b/>
          <w:smallCaps/>
          <w:sz w:val="20"/>
        </w:rPr>
        <w:t>9</w:t>
      </w:r>
    </w:p>
    <w:p w:rsidR="005763C1" w:rsidRPr="00F10321" w:rsidRDefault="005763C1" w:rsidP="00C1325B">
      <w:pPr>
        <w:spacing w:before="60" w:line="360" w:lineRule="auto"/>
        <w:jc w:val="center"/>
        <w:rPr>
          <w:rFonts w:ascii="Verdana" w:hAnsi="Verdana"/>
          <w:b/>
          <w:smallCaps/>
          <w:sz w:val="20"/>
        </w:rPr>
      </w:pPr>
    </w:p>
    <w:p w:rsidR="0065520B" w:rsidRPr="00F10321" w:rsidRDefault="00F40386" w:rsidP="00C1325B">
      <w:pPr>
        <w:spacing w:after="120" w:line="360" w:lineRule="auto"/>
        <w:jc w:val="center"/>
        <w:rPr>
          <w:rFonts w:ascii="Verdana" w:hAnsi="Verdana"/>
          <w:b/>
          <w:smallCaps/>
          <w:sz w:val="20"/>
          <w:szCs w:val="20"/>
        </w:rPr>
      </w:pPr>
      <w:r>
        <w:rPr>
          <w:rFonts w:ascii="Verdana" w:hAnsi="Verdana"/>
          <w:b/>
          <w:smallCaps/>
          <w:sz w:val="20"/>
          <w:szCs w:val="20"/>
        </w:rPr>
        <w:t xml:space="preserve">REINTEGRO AL </w:t>
      </w:r>
      <w:r w:rsidR="0065520B" w:rsidRPr="00F10321">
        <w:rPr>
          <w:rFonts w:ascii="Verdana" w:hAnsi="Verdana"/>
          <w:b/>
          <w:smallCaps/>
          <w:sz w:val="20"/>
          <w:szCs w:val="20"/>
        </w:rPr>
        <w:t>FONDO DE ASISTENCIA LEGAL DE VÍCTIMAS</w:t>
      </w:r>
      <w:r w:rsidR="00966E85">
        <w:rPr>
          <w:rFonts w:ascii="Verdana" w:hAnsi="Verdana"/>
          <w:b/>
          <w:smallCaps/>
          <w:sz w:val="20"/>
          <w:szCs w:val="20"/>
        </w:rPr>
        <w:t xml:space="preserve"> </w:t>
      </w:r>
    </w:p>
    <w:p w:rsidR="0065520B" w:rsidRPr="00142A27" w:rsidRDefault="00966E85" w:rsidP="00C1325B">
      <w:pPr>
        <w:spacing w:before="60" w:line="360" w:lineRule="auto"/>
        <w:jc w:val="center"/>
        <w:rPr>
          <w:rFonts w:ascii="Verdana" w:hAnsi="Verdana"/>
          <w:b/>
          <w:sz w:val="20"/>
          <w:szCs w:val="20"/>
        </w:rPr>
      </w:pPr>
      <w:r w:rsidRPr="00966E85">
        <w:rPr>
          <w:rFonts w:ascii="Verdana" w:hAnsi="Verdana"/>
          <w:b/>
          <w:sz w:val="20"/>
          <w:szCs w:val="20"/>
        </w:rPr>
        <w:t xml:space="preserve">CASO </w:t>
      </w:r>
      <w:r w:rsidR="00874DE9" w:rsidRPr="00874DE9">
        <w:rPr>
          <w:rFonts w:ascii="Verdana" w:hAnsi="Verdana"/>
          <w:b/>
          <w:sz w:val="20"/>
          <w:szCs w:val="20"/>
        </w:rPr>
        <w:t>MUJERES VÍCTIMAS DE TORTURA SEXUAL EN ATENCO</w:t>
      </w:r>
      <w:r w:rsidR="00874DE9">
        <w:rPr>
          <w:rFonts w:ascii="Verdana" w:hAnsi="Verdana"/>
          <w:b/>
          <w:sz w:val="20"/>
          <w:szCs w:val="20"/>
        </w:rPr>
        <w:t xml:space="preserve"> </w:t>
      </w:r>
      <w:r w:rsidRPr="00966E85">
        <w:rPr>
          <w:rFonts w:ascii="Verdana" w:hAnsi="Verdana"/>
          <w:b/>
          <w:sz w:val="20"/>
          <w:szCs w:val="20"/>
        </w:rPr>
        <w:t xml:space="preserve">VS. </w:t>
      </w:r>
      <w:r w:rsidR="00311716">
        <w:rPr>
          <w:rFonts w:ascii="Verdana" w:hAnsi="Verdana"/>
          <w:b/>
          <w:sz w:val="20"/>
          <w:szCs w:val="20"/>
        </w:rPr>
        <w:t>MÉXICO</w:t>
      </w:r>
    </w:p>
    <w:p w:rsidR="00C1325B" w:rsidRPr="00066893" w:rsidRDefault="00C1325B" w:rsidP="00D1436E">
      <w:pPr>
        <w:jc w:val="both"/>
        <w:rPr>
          <w:rFonts w:ascii="Verdana" w:hAnsi="Verdana"/>
          <w:sz w:val="20"/>
          <w:szCs w:val="20"/>
        </w:rPr>
      </w:pPr>
    </w:p>
    <w:p w:rsidR="0065520B" w:rsidRPr="00162C69" w:rsidRDefault="00162C69" w:rsidP="0066130C">
      <w:pPr>
        <w:spacing w:after="200"/>
        <w:rPr>
          <w:rFonts w:ascii="Verdana" w:hAnsi="Verdana"/>
          <w:b/>
          <w:sz w:val="20"/>
        </w:rPr>
      </w:pPr>
      <w:r>
        <w:rPr>
          <w:rFonts w:ascii="Verdana" w:hAnsi="Verdana"/>
          <w:b/>
          <w:sz w:val="20"/>
        </w:rPr>
        <w:t>VISTO:</w:t>
      </w:r>
    </w:p>
    <w:p w:rsidR="00874DE9" w:rsidRPr="00874DE9" w:rsidRDefault="00944AD8" w:rsidP="00944AD8">
      <w:pPr>
        <w:pStyle w:val="Listavistosa-nfasis1"/>
        <w:spacing w:after="200"/>
        <w:ind w:left="0"/>
        <w:contextualSpacing/>
        <w:jc w:val="both"/>
        <w:rPr>
          <w:rFonts w:ascii="Verdana" w:hAnsi="Verdana"/>
          <w:sz w:val="20"/>
          <w:szCs w:val="20"/>
        </w:rPr>
      </w:pPr>
      <w:bookmarkStart w:id="1" w:name="_Ref536711835"/>
      <w:r>
        <w:rPr>
          <w:rFonts w:ascii="Verdana" w:eastAsia="Calibri" w:hAnsi="Verdana"/>
          <w:sz w:val="20"/>
          <w:szCs w:val="20"/>
          <w:lang w:eastAsia="en-US"/>
        </w:rPr>
        <w:t>1.</w:t>
      </w:r>
      <w:r>
        <w:rPr>
          <w:rFonts w:ascii="Verdana" w:eastAsia="Calibri" w:hAnsi="Verdana"/>
          <w:sz w:val="20"/>
          <w:szCs w:val="20"/>
          <w:lang w:eastAsia="en-US"/>
        </w:rPr>
        <w:tab/>
      </w:r>
      <w:r w:rsidR="00EE4992" w:rsidRPr="00874DE9">
        <w:rPr>
          <w:rFonts w:ascii="Verdana" w:eastAsia="Calibri" w:hAnsi="Verdana"/>
          <w:sz w:val="20"/>
          <w:szCs w:val="20"/>
          <w:lang w:eastAsia="en-US"/>
        </w:rPr>
        <w:t>La Sentencia de</w:t>
      </w:r>
      <w:r w:rsidR="00FE1438" w:rsidRPr="00874DE9">
        <w:rPr>
          <w:rFonts w:ascii="Verdana" w:eastAsia="Calibri" w:hAnsi="Verdana"/>
          <w:sz w:val="20"/>
          <w:szCs w:val="20"/>
          <w:lang w:eastAsia="en-US"/>
        </w:rPr>
        <w:t xml:space="preserve"> </w:t>
      </w:r>
      <w:r w:rsidR="00874DE9" w:rsidRPr="00874DE9">
        <w:rPr>
          <w:rFonts w:ascii="Verdana" w:eastAsia="Calibri" w:hAnsi="Verdana"/>
          <w:sz w:val="20"/>
          <w:szCs w:val="20"/>
          <w:lang w:eastAsia="en-US"/>
        </w:rPr>
        <w:t xml:space="preserve">excepciones preliminares, </w:t>
      </w:r>
      <w:r w:rsidR="00FE1438" w:rsidRPr="00874DE9">
        <w:rPr>
          <w:rFonts w:ascii="Verdana" w:eastAsia="Calibri" w:hAnsi="Verdana"/>
          <w:sz w:val="20"/>
          <w:szCs w:val="20"/>
          <w:lang w:eastAsia="en-US"/>
        </w:rPr>
        <w:t>fondo, reparaciones y costas dictada por la Corte Interamericana de Derechos Humanos (en adelante “la Corte”, “la Corte Intera</w:t>
      </w:r>
      <w:r w:rsidR="00EE4992" w:rsidRPr="00874DE9">
        <w:rPr>
          <w:rFonts w:ascii="Verdana" w:eastAsia="Calibri" w:hAnsi="Verdana"/>
          <w:sz w:val="20"/>
          <w:szCs w:val="20"/>
          <w:lang w:eastAsia="en-US"/>
        </w:rPr>
        <w:t xml:space="preserve">mericana” o “el Tribunal”) el </w:t>
      </w:r>
      <w:r w:rsidR="00311716" w:rsidRPr="00874DE9">
        <w:rPr>
          <w:rFonts w:ascii="Verdana" w:eastAsia="Calibri" w:hAnsi="Verdana"/>
          <w:sz w:val="20"/>
          <w:szCs w:val="20"/>
          <w:lang w:eastAsia="en-US"/>
        </w:rPr>
        <w:t>28</w:t>
      </w:r>
      <w:r w:rsidR="00EE4992" w:rsidRPr="00874DE9">
        <w:rPr>
          <w:rFonts w:ascii="Verdana" w:eastAsia="Calibri" w:hAnsi="Verdana"/>
          <w:sz w:val="20"/>
          <w:szCs w:val="20"/>
          <w:lang w:eastAsia="en-US"/>
        </w:rPr>
        <w:t xml:space="preserve"> de </w:t>
      </w:r>
      <w:r w:rsidR="00311716" w:rsidRPr="00874DE9">
        <w:rPr>
          <w:rFonts w:ascii="Verdana" w:eastAsia="Calibri" w:hAnsi="Verdana"/>
          <w:sz w:val="20"/>
          <w:szCs w:val="20"/>
          <w:lang w:eastAsia="en-US"/>
        </w:rPr>
        <w:t xml:space="preserve">noviembre </w:t>
      </w:r>
      <w:r w:rsidR="00EE4992" w:rsidRPr="00874DE9">
        <w:rPr>
          <w:rFonts w:ascii="Verdana" w:eastAsia="Calibri" w:hAnsi="Verdana"/>
          <w:sz w:val="20"/>
          <w:szCs w:val="20"/>
          <w:lang w:eastAsia="en-US"/>
        </w:rPr>
        <w:t>de 2018</w:t>
      </w:r>
      <w:r w:rsidR="00FE1438" w:rsidRPr="00FE1438">
        <w:rPr>
          <w:rFonts w:ascii="Verdana" w:eastAsia="Calibri" w:hAnsi="Verdana"/>
          <w:sz w:val="20"/>
          <w:szCs w:val="20"/>
          <w:vertAlign w:val="superscript"/>
          <w:lang w:eastAsia="en-US"/>
        </w:rPr>
        <w:footnoteReference w:id="2"/>
      </w:r>
      <w:r w:rsidR="00FE1438" w:rsidRPr="00874DE9">
        <w:rPr>
          <w:rFonts w:ascii="Verdana" w:eastAsia="Calibri" w:hAnsi="Verdana"/>
          <w:sz w:val="20"/>
          <w:szCs w:val="20"/>
          <w:lang w:eastAsia="en-US"/>
        </w:rPr>
        <w:t xml:space="preserve">. </w:t>
      </w:r>
      <w:bookmarkStart w:id="2" w:name="_Ref504383791"/>
      <w:bookmarkEnd w:id="1"/>
      <w:r w:rsidR="008B0E1B" w:rsidRPr="008B0E1B">
        <w:rPr>
          <w:rFonts w:ascii="Verdana" w:eastAsia="Calibri" w:hAnsi="Verdana"/>
          <w:sz w:val="20"/>
          <w:szCs w:val="20"/>
          <w:lang w:eastAsia="en-US"/>
        </w:rPr>
        <w:t>La Corte, tomando en cuenta el reconocimiento parcial de responsabilidad internacional efectuado por los Estados Unidos Mexicanos (en adelante “el Estado” o “México”), declaró su responsabilidad por las violaciones de los derechos a la integridad personal y a la vida privada, en perjuicio de once mujeres contra quienes agentes policiales utilizaron ilegítima e innecesariamente la fuerza en el marco de los operativos llevados a cabo en los municipios de San Salvador de Atenco, Texcoco y en la carretera Texcoco Lechería para reprimir las manifestaciones ocurridas en mayo de 2006. El Tribunal también concluyó que siete de ellas</w:t>
      </w:r>
      <w:r w:rsidR="008B0E1B" w:rsidRPr="008B0E1B">
        <w:rPr>
          <w:rFonts w:ascii="Verdana" w:eastAsia="Calibri" w:hAnsi="Verdana"/>
          <w:sz w:val="20"/>
          <w:szCs w:val="20"/>
          <w:vertAlign w:val="superscript"/>
          <w:lang w:eastAsia="en-US"/>
        </w:rPr>
        <w:footnoteReference w:id="3"/>
      </w:r>
      <w:r w:rsidR="008B0E1B" w:rsidRPr="008B0E1B">
        <w:rPr>
          <w:rFonts w:ascii="Verdana" w:eastAsia="Calibri" w:hAnsi="Verdana"/>
          <w:sz w:val="20"/>
          <w:szCs w:val="20"/>
          <w:lang w:eastAsia="en-US"/>
        </w:rPr>
        <w:t xml:space="preserve"> sufrieron una violación al derecho de reunión puesto que estaban participando en la manifestación cuando fueron sometidas a dicho uso de la fuerza. La Corte determinó que las once víctimas fueron golpeadas, insultadas, maltratadas y sometidas a diversas formas de violencia sexual</w:t>
      </w:r>
      <w:r w:rsidR="00351B74">
        <w:rPr>
          <w:rFonts w:ascii="Verdana" w:eastAsia="Calibri" w:hAnsi="Verdana"/>
          <w:sz w:val="20"/>
          <w:szCs w:val="20"/>
          <w:lang w:eastAsia="en-US"/>
        </w:rPr>
        <w:t>, incluyendo violación sexual en el caso de siete de ellas</w:t>
      </w:r>
      <w:r w:rsidR="00C63B1E">
        <w:rPr>
          <w:rStyle w:val="Refdenotaalpie"/>
          <w:rFonts w:ascii="Verdana" w:eastAsia="Calibri" w:hAnsi="Verdana"/>
          <w:sz w:val="20"/>
          <w:szCs w:val="20"/>
          <w:lang w:eastAsia="en-US"/>
        </w:rPr>
        <w:footnoteReference w:id="4"/>
      </w:r>
      <w:r w:rsidR="00351B74">
        <w:rPr>
          <w:rFonts w:ascii="Verdana" w:eastAsia="Calibri" w:hAnsi="Verdana"/>
          <w:sz w:val="20"/>
          <w:szCs w:val="20"/>
          <w:lang w:eastAsia="en-US"/>
        </w:rPr>
        <w:t>,</w:t>
      </w:r>
      <w:r w:rsidR="008B0E1B" w:rsidRPr="008B0E1B">
        <w:rPr>
          <w:rFonts w:ascii="Verdana" w:eastAsia="Calibri" w:hAnsi="Verdana"/>
          <w:sz w:val="20"/>
          <w:szCs w:val="20"/>
          <w:lang w:eastAsia="en-US"/>
        </w:rPr>
        <w:t xml:space="preserve"> por múltiples policías al momento de su detención, durante sus traslado</w:t>
      </w:r>
      <w:r w:rsidR="00351B74">
        <w:rPr>
          <w:rFonts w:ascii="Verdana" w:eastAsia="Calibri" w:hAnsi="Verdana"/>
          <w:sz w:val="20"/>
          <w:szCs w:val="20"/>
          <w:lang w:eastAsia="en-US"/>
        </w:rPr>
        <w:t xml:space="preserve">s al </w:t>
      </w:r>
      <w:r w:rsidR="008B0E1B" w:rsidRPr="008B0E1B">
        <w:rPr>
          <w:rFonts w:ascii="Verdana" w:eastAsia="Calibri" w:hAnsi="Verdana"/>
          <w:sz w:val="20"/>
          <w:szCs w:val="20"/>
          <w:lang w:eastAsia="en-US"/>
        </w:rPr>
        <w:t xml:space="preserve">centro penal </w:t>
      </w:r>
      <w:r w:rsidR="00351B74">
        <w:rPr>
          <w:rFonts w:ascii="Verdana" w:eastAsia="Calibri" w:hAnsi="Verdana"/>
          <w:sz w:val="20"/>
          <w:szCs w:val="20"/>
          <w:lang w:eastAsia="en-US"/>
        </w:rPr>
        <w:t>en el</w:t>
      </w:r>
      <w:r w:rsidR="00D5118B">
        <w:rPr>
          <w:rFonts w:ascii="Verdana" w:eastAsia="Calibri" w:hAnsi="Verdana"/>
          <w:sz w:val="20"/>
          <w:szCs w:val="20"/>
          <w:lang w:eastAsia="en-US"/>
        </w:rPr>
        <w:t xml:space="preserve"> que</w:t>
      </w:r>
      <w:r w:rsidR="00351B74">
        <w:rPr>
          <w:rFonts w:ascii="Verdana" w:eastAsia="Calibri" w:hAnsi="Verdana"/>
          <w:sz w:val="20"/>
          <w:szCs w:val="20"/>
          <w:lang w:eastAsia="en-US"/>
        </w:rPr>
        <w:t xml:space="preserve"> permanecieron detenidas </w:t>
      </w:r>
      <w:r w:rsidR="008B0E1B" w:rsidRPr="008B0E1B">
        <w:rPr>
          <w:rFonts w:ascii="Verdana" w:eastAsia="Calibri" w:hAnsi="Verdana"/>
          <w:sz w:val="20"/>
          <w:szCs w:val="20"/>
          <w:lang w:eastAsia="en-US"/>
        </w:rPr>
        <w:t>y al i</w:t>
      </w:r>
      <w:r w:rsidR="00351B74">
        <w:rPr>
          <w:rFonts w:ascii="Verdana" w:eastAsia="Calibri" w:hAnsi="Verdana"/>
          <w:sz w:val="20"/>
          <w:szCs w:val="20"/>
          <w:lang w:eastAsia="en-US"/>
        </w:rPr>
        <w:t xml:space="preserve">ngreso al mismo. El Tribunal resaltó </w:t>
      </w:r>
      <w:r w:rsidR="008B0E1B" w:rsidRPr="008B0E1B">
        <w:rPr>
          <w:rFonts w:ascii="Verdana" w:eastAsia="Calibri" w:hAnsi="Verdana"/>
          <w:sz w:val="20"/>
          <w:szCs w:val="20"/>
          <w:lang w:eastAsia="en-US"/>
        </w:rPr>
        <w:t>que la violencia sexual fue utilizada como un arma más</w:t>
      </w:r>
      <w:r w:rsidR="00351B74">
        <w:rPr>
          <w:rFonts w:ascii="Verdana" w:eastAsia="Calibri" w:hAnsi="Verdana"/>
          <w:sz w:val="20"/>
          <w:szCs w:val="20"/>
          <w:lang w:eastAsia="en-US"/>
        </w:rPr>
        <w:t xml:space="preserve"> en la represión de la protesta, y</w:t>
      </w:r>
      <w:r w:rsidR="008B0E1B" w:rsidRPr="008B0E1B">
        <w:rPr>
          <w:rFonts w:ascii="Verdana" w:eastAsia="Calibri" w:hAnsi="Verdana"/>
          <w:sz w:val="20"/>
          <w:szCs w:val="20"/>
          <w:lang w:eastAsia="en-US"/>
        </w:rPr>
        <w:t xml:space="preserve"> concluyó que el trato que </w:t>
      </w:r>
      <w:r w:rsidR="00D5118B">
        <w:rPr>
          <w:rFonts w:ascii="Verdana" w:eastAsia="Calibri" w:hAnsi="Verdana"/>
          <w:sz w:val="20"/>
          <w:szCs w:val="20"/>
          <w:lang w:eastAsia="en-US"/>
        </w:rPr>
        <w:t xml:space="preserve">las y </w:t>
      </w:r>
      <w:r w:rsidR="008B0E1B" w:rsidRPr="008B0E1B">
        <w:rPr>
          <w:rFonts w:ascii="Verdana" w:eastAsia="Calibri" w:hAnsi="Verdana"/>
          <w:sz w:val="20"/>
          <w:szCs w:val="20"/>
          <w:lang w:eastAsia="en-US"/>
        </w:rPr>
        <w:t xml:space="preserve">los médicos dieron a las once mujeres víctimas del presente </w:t>
      </w:r>
      <w:r w:rsidR="00351B74">
        <w:rPr>
          <w:rFonts w:ascii="Verdana" w:eastAsia="Calibri" w:hAnsi="Verdana"/>
          <w:sz w:val="20"/>
          <w:szCs w:val="20"/>
          <w:lang w:eastAsia="en-US"/>
        </w:rPr>
        <w:t xml:space="preserve">caso </w:t>
      </w:r>
      <w:r w:rsidR="008B0E1B" w:rsidRPr="008B0E1B">
        <w:rPr>
          <w:rFonts w:ascii="Verdana" w:eastAsia="Calibri" w:hAnsi="Verdana"/>
          <w:sz w:val="20"/>
          <w:szCs w:val="20"/>
          <w:lang w:eastAsia="en-US"/>
        </w:rPr>
        <w:t xml:space="preserve">constituyó un elemento adicional de la violencia sexual a la que fueron sometidas, que </w:t>
      </w:r>
      <w:r w:rsidR="00D5118B">
        <w:rPr>
          <w:rFonts w:ascii="Verdana" w:eastAsia="Calibri" w:hAnsi="Verdana"/>
          <w:sz w:val="20"/>
          <w:szCs w:val="20"/>
          <w:lang w:eastAsia="en-US"/>
        </w:rPr>
        <w:t xml:space="preserve">a su vez </w:t>
      </w:r>
      <w:r w:rsidR="008B0E1B" w:rsidRPr="008B0E1B">
        <w:rPr>
          <w:rFonts w:ascii="Verdana" w:eastAsia="Calibri" w:hAnsi="Verdana"/>
          <w:sz w:val="20"/>
          <w:szCs w:val="20"/>
          <w:lang w:eastAsia="en-US"/>
        </w:rPr>
        <w:t>constituyó un trato cruel y degradante. La Corte también constató la naturaleza discriminatoria de las agresiones sufridas y determinó que las once mujeres fueron víctimas de tortura. En lo que respecta a la prisión preventiva que les fue impuesta de forma arbitraria, se constató una violación a la libertad perso</w:t>
      </w:r>
      <w:r w:rsidR="00351B74">
        <w:rPr>
          <w:rFonts w:ascii="Verdana" w:eastAsia="Calibri" w:hAnsi="Verdana"/>
          <w:sz w:val="20"/>
          <w:szCs w:val="20"/>
          <w:lang w:eastAsia="en-US"/>
        </w:rPr>
        <w:t>nal y al derecho de defensa. Además,</w:t>
      </w:r>
      <w:r w:rsidR="008B0E1B" w:rsidRPr="008B0E1B">
        <w:rPr>
          <w:rFonts w:ascii="Verdana" w:eastAsia="Calibri" w:hAnsi="Verdana"/>
          <w:sz w:val="20"/>
          <w:szCs w:val="20"/>
          <w:lang w:eastAsia="en-US"/>
        </w:rPr>
        <w:t xml:space="preserve"> </w:t>
      </w:r>
      <w:r w:rsidR="00351B74">
        <w:rPr>
          <w:rFonts w:ascii="Verdana" w:eastAsia="Calibri" w:hAnsi="Verdana"/>
          <w:sz w:val="20"/>
          <w:szCs w:val="20"/>
          <w:lang w:eastAsia="en-US"/>
        </w:rPr>
        <w:t xml:space="preserve">se </w:t>
      </w:r>
      <w:r w:rsidR="008B0E1B" w:rsidRPr="008B0E1B">
        <w:rPr>
          <w:rFonts w:ascii="Verdana" w:eastAsia="Calibri" w:hAnsi="Verdana"/>
          <w:sz w:val="20"/>
          <w:szCs w:val="20"/>
          <w:lang w:eastAsia="en-US"/>
        </w:rPr>
        <w:t xml:space="preserve">determinó </w:t>
      </w:r>
      <w:r w:rsidR="008B0E1B" w:rsidRPr="008B0E1B">
        <w:rPr>
          <w:rFonts w:ascii="Verdana" w:eastAsia="Calibri" w:hAnsi="Verdana"/>
          <w:sz w:val="20"/>
          <w:szCs w:val="20"/>
          <w:lang w:eastAsia="en-US"/>
        </w:rPr>
        <w:lastRenderedPageBreak/>
        <w:t xml:space="preserve">que </w:t>
      </w:r>
      <w:r w:rsidR="00351B74" w:rsidRPr="008B0E1B">
        <w:rPr>
          <w:rFonts w:ascii="Verdana" w:eastAsia="Calibri" w:hAnsi="Verdana"/>
          <w:sz w:val="20"/>
          <w:szCs w:val="20"/>
          <w:lang w:eastAsia="en-US"/>
        </w:rPr>
        <w:t xml:space="preserve">las investigaciones por la tortura y violencia sexual sufridas por las once víctimas </w:t>
      </w:r>
      <w:r w:rsidR="00351B74">
        <w:rPr>
          <w:rFonts w:ascii="Verdana" w:eastAsia="Calibri" w:hAnsi="Verdana"/>
          <w:sz w:val="20"/>
          <w:szCs w:val="20"/>
          <w:lang w:eastAsia="en-US"/>
        </w:rPr>
        <w:t xml:space="preserve">violaron sus derechos a las garantías judiciales y la protección judicial, en tanto </w:t>
      </w:r>
      <w:r w:rsidR="008B0E1B" w:rsidRPr="008B0E1B">
        <w:rPr>
          <w:rFonts w:ascii="Verdana" w:eastAsia="Calibri" w:hAnsi="Verdana"/>
          <w:sz w:val="20"/>
          <w:szCs w:val="20"/>
          <w:lang w:eastAsia="en-US"/>
        </w:rPr>
        <w:t>el Estado no actuó con la debida diligencia requerida en</w:t>
      </w:r>
      <w:r w:rsidR="0080234B">
        <w:rPr>
          <w:rFonts w:ascii="Verdana" w:eastAsia="Calibri" w:hAnsi="Verdana"/>
          <w:sz w:val="20"/>
          <w:szCs w:val="20"/>
          <w:lang w:eastAsia="en-US"/>
        </w:rPr>
        <w:t xml:space="preserve"> este tipo de casos, no fueron llevas a cabo en un plazo razonable y no fueron conducidas con una perspectiva de género, lo cual redundó en un trato discriminatorio y estereotipado, con efectos revictimizantes</w:t>
      </w:r>
      <w:r w:rsidR="008B0E1B" w:rsidRPr="008B0E1B">
        <w:rPr>
          <w:rFonts w:ascii="Verdana" w:eastAsia="Calibri" w:hAnsi="Verdana"/>
          <w:sz w:val="20"/>
          <w:szCs w:val="20"/>
          <w:lang w:eastAsia="en-US"/>
        </w:rPr>
        <w:t xml:space="preserve">. Finalmente, la Corte declaró al Estado responsable por la violación del derecho a la integridad personal en perjuicio de </w:t>
      </w:r>
      <w:r w:rsidR="00D5118B">
        <w:rPr>
          <w:rFonts w:ascii="Verdana" w:eastAsia="Calibri" w:hAnsi="Verdana"/>
          <w:sz w:val="20"/>
          <w:szCs w:val="20"/>
          <w:lang w:eastAsia="en-US"/>
        </w:rPr>
        <w:t xml:space="preserve">sus </w:t>
      </w:r>
      <w:r w:rsidR="008B0E1B" w:rsidRPr="008B0E1B">
        <w:rPr>
          <w:rFonts w:ascii="Verdana" w:eastAsia="Calibri" w:hAnsi="Verdana"/>
          <w:sz w:val="20"/>
          <w:szCs w:val="20"/>
          <w:lang w:eastAsia="en-US"/>
        </w:rPr>
        <w:t>familiares. En la Sentencia la Corte ordenó al Estado determinadas medidas de reparación, así como el reintegro al Fondo de Asistencia Legal de Víctimas de la Corte (en adelante el “Fondo de Asistencia”)</w:t>
      </w:r>
      <w:r w:rsidR="002F3403">
        <w:rPr>
          <w:rFonts w:ascii="Verdana" w:hAnsi="Verdana"/>
          <w:sz w:val="20"/>
          <w:szCs w:val="20"/>
        </w:rPr>
        <w:t>.</w:t>
      </w:r>
    </w:p>
    <w:p w:rsidR="00874DE9" w:rsidRPr="00874DE9" w:rsidRDefault="00874DE9" w:rsidP="00944AD8">
      <w:pPr>
        <w:pStyle w:val="Listavistosa-nfasis1"/>
        <w:spacing w:after="200"/>
        <w:ind w:left="0"/>
        <w:contextualSpacing/>
        <w:jc w:val="both"/>
        <w:rPr>
          <w:rFonts w:ascii="Verdana" w:hAnsi="Verdana"/>
          <w:sz w:val="20"/>
          <w:szCs w:val="20"/>
        </w:rPr>
      </w:pPr>
    </w:p>
    <w:p w:rsidR="00F177B7" w:rsidRDefault="00D261EA" w:rsidP="00874DE9">
      <w:pPr>
        <w:pStyle w:val="Listavistosa-nfasis1"/>
        <w:spacing w:after="200"/>
        <w:ind w:left="0"/>
        <w:contextualSpacing/>
        <w:jc w:val="both"/>
        <w:rPr>
          <w:rFonts w:ascii="Verdana" w:hAnsi="Verdana"/>
          <w:sz w:val="20"/>
          <w:szCs w:val="20"/>
        </w:rPr>
      </w:pPr>
      <w:r w:rsidRPr="00874DE9">
        <w:rPr>
          <w:rFonts w:ascii="Verdana" w:hAnsi="Verdana"/>
          <w:sz w:val="20"/>
          <w:szCs w:val="20"/>
        </w:rPr>
        <w:t>2</w:t>
      </w:r>
      <w:r w:rsidR="007A1810" w:rsidRPr="00874DE9">
        <w:rPr>
          <w:rFonts w:ascii="Verdana" w:hAnsi="Verdana"/>
          <w:sz w:val="20"/>
          <w:szCs w:val="20"/>
        </w:rPr>
        <w:t>.</w:t>
      </w:r>
      <w:r w:rsidR="007A1810" w:rsidRPr="00874DE9">
        <w:rPr>
          <w:rFonts w:ascii="Verdana" w:hAnsi="Verdana"/>
          <w:sz w:val="20"/>
          <w:szCs w:val="20"/>
        </w:rPr>
        <w:tab/>
      </w:r>
      <w:r w:rsidR="00CA0BD3" w:rsidRPr="00874DE9">
        <w:rPr>
          <w:rFonts w:ascii="Verdana" w:hAnsi="Verdana"/>
          <w:sz w:val="20"/>
          <w:szCs w:val="20"/>
        </w:rPr>
        <w:t xml:space="preserve">La transferencia electrónica </w:t>
      </w:r>
      <w:r w:rsidR="00B17B0F" w:rsidRPr="00874DE9">
        <w:rPr>
          <w:rFonts w:ascii="Verdana" w:hAnsi="Verdana"/>
          <w:sz w:val="20"/>
          <w:szCs w:val="20"/>
        </w:rPr>
        <w:t>recibid</w:t>
      </w:r>
      <w:r w:rsidR="00CA0BD3" w:rsidRPr="00874DE9">
        <w:rPr>
          <w:rFonts w:ascii="Verdana" w:hAnsi="Verdana"/>
          <w:sz w:val="20"/>
          <w:szCs w:val="20"/>
        </w:rPr>
        <w:t>a</w:t>
      </w:r>
      <w:r w:rsidR="00B17B0F" w:rsidRPr="00874DE9">
        <w:rPr>
          <w:rFonts w:ascii="Verdana" w:hAnsi="Verdana"/>
          <w:sz w:val="20"/>
          <w:szCs w:val="20"/>
        </w:rPr>
        <w:t xml:space="preserve"> </w:t>
      </w:r>
      <w:r w:rsidR="00107D81" w:rsidRPr="00874DE9">
        <w:rPr>
          <w:rFonts w:ascii="Verdana" w:hAnsi="Verdana"/>
          <w:sz w:val="20"/>
          <w:szCs w:val="20"/>
        </w:rPr>
        <w:t xml:space="preserve">el </w:t>
      </w:r>
      <w:r w:rsidR="00944AD8">
        <w:rPr>
          <w:rFonts w:ascii="Verdana" w:hAnsi="Verdana"/>
          <w:sz w:val="20"/>
          <w:szCs w:val="20"/>
        </w:rPr>
        <w:t>2</w:t>
      </w:r>
      <w:r w:rsidR="007A1810" w:rsidRPr="00874DE9">
        <w:rPr>
          <w:rFonts w:ascii="Verdana" w:hAnsi="Verdana"/>
          <w:sz w:val="20"/>
          <w:szCs w:val="20"/>
        </w:rPr>
        <w:t xml:space="preserve"> de </w:t>
      </w:r>
      <w:r w:rsidR="00944AD8">
        <w:rPr>
          <w:rFonts w:ascii="Verdana" w:hAnsi="Verdana"/>
          <w:sz w:val="20"/>
          <w:szCs w:val="20"/>
        </w:rPr>
        <w:t>julio</w:t>
      </w:r>
      <w:r w:rsidR="00DF2221" w:rsidRPr="00874DE9">
        <w:rPr>
          <w:rFonts w:ascii="Verdana" w:hAnsi="Verdana"/>
          <w:sz w:val="20"/>
          <w:szCs w:val="20"/>
        </w:rPr>
        <w:t xml:space="preserve"> de </w:t>
      </w:r>
      <w:r w:rsidR="007A1810" w:rsidRPr="00874DE9">
        <w:rPr>
          <w:rFonts w:ascii="Verdana" w:hAnsi="Verdana"/>
          <w:sz w:val="20"/>
          <w:szCs w:val="20"/>
        </w:rPr>
        <w:t>2019</w:t>
      </w:r>
      <w:r w:rsidR="004E0553" w:rsidRPr="00874DE9">
        <w:rPr>
          <w:rFonts w:ascii="Verdana" w:hAnsi="Verdana"/>
          <w:sz w:val="20"/>
          <w:szCs w:val="20"/>
        </w:rPr>
        <w:t>,</w:t>
      </w:r>
      <w:r w:rsidR="00B17B0F" w:rsidRPr="00874DE9">
        <w:rPr>
          <w:rFonts w:ascii="Verdana" w:hAnsi="Verdana"/>
          <w:sz w:val="20"/>
          <w:szCs w:val="20"/>
        </w:rPr>
        <w:t xml:space="preserve"> </w:t>
      </w:r>
      <w:r w:rsidR="00A55184" w:rsidRPr="00874DE9">
        <w:rPr>
          <w:rFonts w:ascii="Verdana" w:hAnsi="Verdana"/>
          <w:sz w:val="20"/>
          <w:szCs w:val="20"/>
        </w:rPr>
        <w:t xml:space="preserve">mediante </w:t>
      </w:r>
      <w:r w:rsidR="00944AD8">
        <w:rPr>
          <w:rFonts w:ascii="Verdana" w:hAnsi="Verdana"/>
          <w:sz w:val="20"/>
          <w:szCs w:val="20"/>
        </w:rPr>
        <w:t>la</w:t>
      </w:r>
      <w:r w:rsidR="00CA0BD3" w:rsidRPr="00874DE9">
        <w:rPr>
          <w:rFonts w:ascii="Verdana" w:hAnsi="Verdana"/>
          <w:sz w:val="20"/>
          <w:szCs w:val="20"/>
        </w:rPr>
        <w:t xml:space="preserve"> </w:t>
      </w:r>
      <w:r w:rsidR="00A55184" w:rsidRPr="00874DE9">
        <w:rPr>
          <w:rFonts w:ascii="Verdana" w:hAnsi="Verdana"/>
          <w:sz w:val="20"/>
          <w:szCs w:val="20"/>
        </w:rPr>
        <w:t xml:space="preserve">cual </w:t>
      </w:r>
      <w:r w:rsidR="00944AD8">
        <w:rPr>
          <w:rFonts w:ascii="Verdana" w:hAnsi="Verdana"/>
          <w:sz w:val="20"/>
          <w:szCs w:val="20"/>
        </w:rPr>
        <w:t xml:space="preserve">el Estado </w:t>
      </w:r>
      <w:r w:rsidR="00CA0BD3" w:rsidRPr="00874DE9">
        <w:rPr>
          <w:rFonts w:ascii="Verdana" w:hAnsi="Verdana"/>
          <w:sz w:val="20"/>
          <w:szCs w:val="20"/>
        </w:rPr>
        <w:t>realizó un</w:t>
      </w:r>
      <w:r w:rsidR="00296450" w:rsidRPr="00874DE9">
        <w:rPr>
          <w:rFonts w:ascii="Verdana" w:hAnsi="Verdana"/>
          <w:sz w:val="20"/>
          <w:szCs w:val="20"/>
        </w:rPr>
        <w:t xml:space="preserve"> reintegro </w:t>
      </w:r>
      <w:r w:rsidR="00CA0BD3" w:rsidRPr="00874DE9">
        <w:rPr>
          <w:rFonts w:ascii="Verdana" w:hAnsi="Verdana"/>
          <w:sz w:val="20"/>
          <w:szCs w:val="20"/>
        </w:rPr>
        <w:t xml:space="preserve">al </w:t>
      </w:r>
      <w:r w:rsidR="00B17B0F" w:rsidRPr="00874DE9">
        <w:rPr>
          <w:rFonts w:ascii="Verdana" w:hAnsi="Verdana"/>
          <w:sz w:val="20"/>
          <w:szCs w:val="20"/>
        </w:rPr>
        <w:t>Fondo de Asistencia</w:t>
      </w:r>
      <w:r w:rsidR="00944AD8">
        <w:rPr>
          <w:rFonts w:ascii="Verdana" w:hAnsi="Verdana"/>
          <w:sz w:val="20"/>
          <w:szCs w:val="20"/>
        </w:rPr>
        <w:t xml:space="preserve"> Legal </w:t>
      </w:r>
      <w:r w:rsidR="00CB775C">
        <w:rPr>
          <w:rFonts w:ascii="Verdana" w:hAnsi="Verdana"/>
          <w:sz w:val="20"/>
          <w:szCs w:val="20"/>
        </w:rPr>
        <w:t>de</w:t>
      </w:r>
      <w:r w:rsidR="00944AD8">
        <w:rPr>
          <w:rFonts w:ascii="Verdana" w:hAnsi="Verdana"/>
          <w:sz w:val="20"/>
          <w:szCs w:val="20"/>
        </w:rPr>
        <w:t xml:space="preserve"> Víctimas</w:t>
      </w:r>
      <w:r w:rsidR="00296450" w:rsidRPr="00874DE9">
        <w:rPr>
          <w:rFonts w:ascii="Verdana" w:hAnsi="Verdana"/>
          <w:sz w:val="20"/>
          <w:szCs w:val="20"/>
        </w:rPr>
        <w:t>.</w:t>
      </w:r>
      <w:bookmarkEnd w:id="2"/>
    </w:p>
    <w:p w:rsidR="00F177B7" w:rsidRPr="00874DE9" w:rsidRDefault="00F177B7" w:rsidP="00F177B7">
      <w:pPr>
        <w:spacing w:after="200"/>
        <w:jc w:val="both"/>
        <w:rPr>
          <w:rFonts w:ascii="Verdana" w:hAnsi="Verdana"/>
          <w:sz w:val="20"/>
          <w:szCs w:val="20"/>
        </w:rPr>
      </w:pPr>
      <w:r>
        <w:rPr>
          <w:rFonts w:ascii="Verdana" w:hAnsi="Verdana"/>
          <w:sz w:val="20"/>
          <w:szCs w:val="20"/>
        </w:rPr>
        <w:t>3.</w:t>
      </w:r>
      <w:r>
        <w:rPr>
          <w:rFonts w:ascii="Verdana" w:hAnsi="Verdana"/>
          <w:sz w:val="20"/>
          <w:szCs w:val="20"/>
        </w:rPr>
        <w:tab/>
        <w:t xml:space="preserve">La nota de </w:t>
      </w:r>
      <w:r w:rsidR="00AC699B">
        <w:rPr>
          <w:rFonts w:ascii="Verdana" w:hAnsi="Verdana"/>
          <w:sz w:val="20"/>
          <w:szCs w:val="20"/>
        </w:rPr>
        <w:t xml:space="preserve">la </w:t>
      </w:r>
      <w:r>
        <w:rPr>
          <w:rFonts w:ascii="Verdana" w:hAnsi="Verdana"/>
          <w:sz w:val="20"/>
          <w:szCs w:val="20"/>
        </w:rPr>
        <w:t xml:space="preserve">Secretaría </w:t>
      </w:r>
      <w:r w:rsidR="00AC699B">
        <w:rPr>
          <w:rFonts w:ascii="Verdana" w:hAnsi="Verdana"/>
          <w:sz w:val="20"/>
          <w:szCs w:val="20"/>
        </w:rPr>
        <w:t xml:space="preserve">de la Corte </w:t>
      </w:r>
      <w:r>
        <w:rPr>
          <w:rFonts w:ascii="Verdana" w:hAnsi="Verdana"/>
          <w:sz w:val="20"/>
          <w:szCs w:val="20"/>
        </w:rPr>
        <w:t xml:space="preserve">de 25 de septiembre de 2019, mediante la cual se remitió al Estado el recibo del pago por el reintegro efectuado al Fondo de Asistencia. </w:t>
      </w:r>
    </w:p>
    <w:p w:rsidR="0065520B" w:rsidRPr="00F10321" w:rsidRDefault="0065520B" w:rsidP="0066130C">
      <w:pPr>
        <w:tabs>
          <w:tab w:val="left" w:pos="680"/>
        </w:tabs>
        <w:spacing w:after="200"/>
        <w:jc w:val="both"/>
        <w:rPr>
          <w:rFonts w:ascii="Verdana" w:hAnsi="Verdana"/>
          <w:sz w:val="20"/>
        </w:rPr>
      </w:pPr>
      <w:r w:rsidRPr="00F10321">
        <w:rPr>
          <w:rFonts w:ascii="Verdana" w:hAnsi="Verdana"/>
          <w:b/>
          <w:sz w:val="20"/>
        </w:rPr>
        <w:t>CONSIDERANDO QUE:</w:t>
      </w:r>
    </w:p>
    <w:p w:rsidR="0065520B" w:rsidRDefault="00FF7C60" w:rsidP="0066130C">
      <w:pPr>
        <w:numPr>
          <w:ilvl w:val="0"/>
          <w:numId w:val="9"/>
        </w:numPr>
        <w:spacing w:after="200"/>
        <w:ind w:left="0" w:firstLine="0"/>
        <w:jc w:val="both"/>
        <w:rPr>
          <w:rFonts w:ascii="Verdana" w:hAnsi="Verdana"/>
          <w:sz w:val="20"/>
          <w:szCs w:val="20"/>
        </w:rPr>
      </w:pPr>
      <w:bookmarkStart w:id="3" w:name="_Ref536717730"/>
      <w:r w:rsidRPr="004F4966">
        <w:rPr>
          <w:rFonts w:ascii="Verdana" w:hAnsi="Verdana"/>
          <w:sz w:val="20"/>
          <w:szCs w:val="20"/>
        </w:rPr>
        <w:t>En el ejercicio de su funció</w:t>
      </w:r>
      <w:r w:rsidR="0065520B" w:rsidRPr="004F4966">
        <w:rPr>
          <w:rFonts w:ascii="Verdana" w:hAnsi="Verdana"/>
          <w:sz w:val="20"/>
          <w:szCs w:val="20"/>
        </w:rPr>
        <w:t>n jurisdiccional</w:t>
      </w:r>
      <w:r w:rsidRPr="004F4966">
        <w:rPr>
          <w:rFonts w:ascii="Verdana" w:hAnsi="Verdana"/>
          <w:sz w:val="20"/>
          <w:szCs w:val="20"/>
        </w:rPr>
        <w:t xml:space="preserve"> </w:t>
      </w:r>
      <w:r w:rsidR="00B2680C">
        <w:rPr>
          <w:rFonts w:ascii="Verdana" w:hAnsi="Verdana"/>
          <w:sz w:val="20"/>
          <w:szCs w:val="20"/>
        </w:rPr>
        <w:t xml:space="preserve">de </w:t>
      </w:r>
      <w:r w:rsidR="0065520B" w:rsidRPr="004F4966">
        <w:rPr>
          <w:rFonts w:ascii="Verdana" w:hAnsi="Verdana"/>
          <w:sz w:val="20"/>
          <w:szCs w:val="20"/>
        </w:rPr>
        <w:t>supervisar el cumplimiento de sus decisiones</w:t>
      </w:r>
      <w:r w:rsidRPr="004F4966">
        <w:rPr>
          <w:rStyle w:val="Refdenotaalpie"/>
          <w:rFonts w:ascii="Verdana" w:hAnsi="Verdana"/>
          <w:sz w:val="20"/>
          <w:szCs w:val="20"/>
        </w:rPr>
        <w:footnoteReference w:id="5"/>
      </w:r>
      <w:r w:rsidRPr="004F4966">
        <w:rPr>
          <w:rFonts w:ascii="Verdana" w:hAnsi="Verdana"/>
          <w:sz w:val="20"/>
          <w:szCs w:val="20"/>
        </w:rPr>
        <w:t xml:space="preserve">, corresponde a la Corte verificar el cumplimiento por parte del Estado de la obligación de reintegrar al Fondo de Asistencia Legal de Víctimas la </w:t>
      </w:r>
      <w:r w:rsidR="004F4966" w:rsidRPr="004F4966">
        <w:rPr>
          <w:rFonts w:ascii="Verdana" w:hAnsi="Verdana"/>
          <w:sz w:val="20"/>
          <w:szCs w:val="20"/>
        </w:rPr>
        <w:t xml:space="preserve">cantidad ordenada en la Sentencia </w:t>
      </w:r>
      <w:r w:rsidR="004F4966">
        <w:rPr>
          <w:rFonts w:ascii="Verdana" w:hAnsi="Verdana"/>
          <w:sz w:val="20"/>
          <w:szCs w:val="20"/>
        </w:rPr>
        <w:t>emitida en e</w:t>
      </w:r>
      <w:r w:rsidR="004F4966" w:rsidRPr="004F4966">
        <w:rPr>
          <w:rFonts w:ascii="Verdana" w:hAnsi="Verdana"/>
          <w:sz w:val="20"/>
          <w:szCs w:val="20"/>
        </w:rPr>
        <w:t>l presente caso.</w:t>
      </w:r>
      <w:bookmarkEnd w:id="3"/>
      <w:r w:rsidR="008B4981">
        <w:rPr>
          <w:rFonts w:ascii="Verdana" w:hAnsi="Verdana"/>
          <w:sz w:val="20"/>
          <w:szCs w:val="20"/>
        </w:rPr>
        <w:t xml:space="preserve"> </w:t>
      </w:r>
      <w:r w:rsidR="00C82107">
        <w:rPr>
          <w:rFonts w:ascii="Verdana" w:hAnsi="Verdana"/>
          <w:sz w:val="20"/>
          <w:szCs w:val="20"/>
        </w:rPr>
        <w:t xml:space="preserve">En </w:t>
      </w:r>
      <w:r w:rsidR="003274EB">
        <w:rPr>
          <w:rFonts w:ascii="Verdana" w:hAnsi="Verdana"/>
          <w:sz w:val="20"/>
          <w:szCs w:val="20"/>
        </w:rPr>
        <w:t>esta</w:t>
      </w:r>
      <w:r w:rsidR="00C82107">
        <w:rPr>
          <w:rFonts w:ascii="Verdana" w:hAnsi="Verdana"/>
          <w:sz w:val="20"/>
          <w:szCs w:val="20"/>
        </w:rPr>
        <w:t xml:space="preserve"> resolución la Corte únicamente se pronunciará sobre el reintegro al referido Fondo. </w:t>
      </w:r>
      <w:r w:rsidR="008B4981">
        <w:rPr>
          <w:rFonts w:ascii="Verdana" w:hAnsi="Verdana"/>
          <w:sz w:val="20"/>
          <w:szCs w:val="20"/>
        </w:rPr>
        <w:t>La información presentada por las partes con respecto a la implementación de las otras medidas será evaluada en una resolución posterior.</w:t>
      </w:r>
    </w:p>
    <w:p w:rsidR="00707546" w:rsidRPr="004A0CD9" w:rsidRDefault="0065520B" w:rsidP="0066130C">
      <w:pPr>
        <w:numPr>
          <w:ilvl w:val="0"/>
          <w:numId w:val="9"/>
        </w:numPr>
        <w:spacing w:after="200"/>
        <w:ind w:left="0" w:firstLine="0"/>
        <w:jc w:val="both"/>
        <w:rPr>
          <w:rFonts w:ascii="Verdana" w:hAnsi="Verdana" w:cs="Verdana"/>
          <w:sz w:val="20"/>
          <w:szCs w:val="20"/>
        </w:rPr>
      </w:pPr>
      <w:r w:rsidRPr="004A0CD9">
        <w:rPr>
          <w:rFonts w:ascii="Verdana" w:hAnsi="Verdana"/>
          <w:sz w:val="20"/>
          <w:szCs w:val="20"/>
        </w:rPr>
        <w:t>En razón de las violaciones declaradas en la Sentencia (</w:t>
      </w:r>
      <w:r w:rsidRPr="004A0CD9">
        <w:rPr>
          <w:rFonts w:ascii="Verdana" w:hAnsi="Verdana"/>
          <w:i/>
          <w:sz w:val="20"/>
          <w:szCs w:val="20"/>
        </w:rPr>
        <w:t>supra</w:t>
      </w:r>
      <w:r w:rsidRPr="004A0CD9">
        <w:rPr>
          <w:rFonts w:ascii="Verdana" w:hAnsi="Verdana"/>
          <w:sz w:val="20"/>
          <w:szCs w:val="20"/>
        </w:rPr>
        <w:t xml:space="preserve"> Visto</w:t>
      </w:r>
      <w:r w:rsidR="003274EB">
        <w:rPr>
          <w:rFonts w:ascii="Verdana" w:hAnsi="Verdana"/>
          <w:sz w:val="20"/>
          <w:szCs w:val="20"/>
        </w:rPr>
        <w:t xml:space="preserve"> 1</w:t>
      </w:r>
      <w:r w:rsidRPr="004A0CD9">
        <w:rPr>
          <w:rFonts w:ascii="Verdana" w:hAnsi="Verdana"/>
          <w:sz w:val="20"/>
          <w:szCs w:val="20"/>
        </w:rPr>
        <w:t>) y en atención a lo establecido en el artículo 5 del Reglamento del Fondo de Asistencia</w:t>
      </w:r>
      <w:r w:rsidRPr="004A0CD9">
        <w:rPr>
          <w:rStyle w:val="Refdenotaalpie"/>
          <w:rFonts w:ascii="Verdana" w:hAnsi="Verdana"/>
          <w:sz w:val="20"/>
          <w:szCs w:val="20"/>
        </w:rPr>
        <w:footnoteReference w:id="6"/>
      </w:r>
      <w:r w:rsidRPr="004A0CD9">
        <w:rPr>
          <w:rFonts w:ascii="Verdana" w:hAnsi="Verdana"/>
          <w:sz w:val="20"/>
          <w:szCs w:val="20"/>
        </w:rPr>
        <w:t xml:space="preserve">, </w:t>
      </w:r>
      <w:r w:rsidR="002A4D28" w:rsidRPr="004A0CD9">
        <w:rPr>
          <w:rFonts w:ascii="Verdana" w:hAnsi="Verdana"/>
          <w:sz w:val="20"/>
          <w:szCs w:val="20"/>
        </w:rPr>
        <w:t xml:space="preserve">en </w:t>
      </w:r>
      <w:r w:rsidR="00C82107">
        <w:rPr>
          <w:rFonts w:ascii="Verdana" w:hAnsi="Verdana"/>
          <w:sz w:val="20"/>
          <w:szCs w:val="20"/>
        </w:rPr>
        <w:t>el</w:t>
      </w:r>
      <w:r w:rsidR="008B4981">
        <w:rPr>
          <w:rFonts w:ascii="Verdana" w:hAnsi="Verdana"/>
          <w:sz w:val="20"/>
          <w:szCs w:val="20"/>
        </w:rPr>
        <w:t xml:space="preserve"> párrafo 383</w:t>
      </w:r>
      <w:r w:rsidR="002A4D28" w:rsidRPr="004A0CD9">
        <w:rPr>
          <w:rFonts w:ascii="Verdana" w:hAnsi="Verdana"/>
          <w:sz w:val="20"/>
          <w:szCs w:val="20"/>
        </w:rPr>
        <w:t xml:space="preserve"> y en el punto</w:t>
      </w:r>
      <w:r w:rsidR="00DA0E34" w:rsidRPr="004A0CD9">
        <w:rPr>
          <w:rFonts w:ascii="Verdana" w:hAnsi="Verdana"/>
          <w:sz w:val="20"/>
          <w:szCs w:val="20"/>
        </w:rPr>
        <w:t xml:space="preserve"> </w:t>
      </w:r>
      <w:r w:rsidR="003274EB">
        <w:rPr>
          <w:rFonts w:ascii="Verdana" w:hAnsi="Verdana"/>
          <w:sz w:val="20"/>
          <w:szCs w:val="20"/>
        </w:rPr>
        <w:t>resolutivo</w:t>
      </w:r>
      <w:r w:rsidR="00AD283A" w:rsidRPr="004A0CD9">
        <w:rPr>
          <w:rFonts w:ascii="Verdana" w:hAnsi="Verdana"/>
          <w:sz w:val="20"/>
          <w:szCs w:val="20"/>
        </w:rPr>
        <w:t xml:space="preserve"> </w:t>
      </w:r>
      <w:r w:rsidR="003274EB">
        <w:rPr>
          <w:rFonts w:ascii="Verdana" w:hAnsi="Verdana"/>
          <w:sz w:val="20"/>
          <w:szCs w:val="20"/>
        </w:rPr>
        <w:t>de</w:t>
      </w:r>
      <w:r w:rsidR="008B4981">
        <w:rPr>
          <w:rFonts w:ascii="Verdana" w:hAnsi="Verdana"/>
          <w:sz w:val="20"/>
          <w:szCs w:val="20"/>
        </w:rPr>
        <w:t>cimosé</w:t>
      </w:r>
      <w:r w:rsidR="003274EB">
        <w:rPr>
          <w:rFonts w:ascii="Verdana" w:hAnsi="Verdana"/>
          <w:sz w:val="20"/>
          <w:szCs w:val="20"/>
        </w:rPr>
        <w:t>p</w:t>
      </w:r>
      <w:r w:rsidR="008B4981">
        <w:rPr>
          <w:rFonts w:ascii="Verdana" w:hAnsi="Verdana"/>
          <w:sz w:val="20"/>
          <w:szCs w:val="20"/>
        </w:rPr>
        <w:t>timo</w:t>
      </w:r>
      <w:r w:rsidR="002A4D28" w:rsidRPr="004A0CD9">
        <w:rPr>
          <w:rFonts w:ascii="Verdana" w:hAnsi="Verdana"/>
          <w:sz w:val="20"/>
          <w:szCs w:val="20"/>
        </w:rPr>
        <w:t xml:space="preserve"> </w:t>
      </w:r>
      <w:r w:rsidR="00D021FE" w:rsidRPr="004A0CD9">
        <w:rPr>
          <w:rFonts w:ascii="Verdana" w:hAnsi="Verdana"/>
          <w:sz w:val="20"/>
          <w:szCs w:val="20"/>
        </w:rPr>
        <w:t xml:space="preserve">del </w:t>
      </w:r>
      <w:r w:rsidR="002A4D28" w:rsidRPr="004A0CD9">
        <w:rPr>
          <w:rFonts w:ascii="Verdana" w:hAnsi="Verdana"/>
          <w:sz w:val="20"/>
          <w:szCs w:val="20"/>
        </w:rPr>
        <w:t xml:space="preserve">Fallo, </w:t>
      </w:r>
      <w:r w:rsidRPr="004A0CD9">
        <w:rPr>
          <w:rFonts w:ascii="Verdana" w:hAnsi="Verdana"/>
          <w:sz w:val="20"/>
          <w:szCs w:val="20"/>
        </w:rPr>
        <w:t xml:space="preserve">la Corte </w:t>
      </w:r>
      <w:r w:rsidR="00CA0BD3" w:rsidRPr="004A0CD9">
        <w:rPr>
          <w:rFonts w:ascii="Verdana" w:hAnsi="Verdana"/>
          <w:sz w:val="20"/>
          <w:szCs w:val="20"/>
        </w:rPr>
        <w:t xml:space="preserve">dispuso </w:t>
      </w:r>
      <w:r w:rsidR="00066893" w:rsidRPr="004A0CD9">
        <w:rPr>
          <w:rFonts w:ascii="Verdana" w:hAnsi="Verdana"/>
          <w:sz w:val="20"/>
          <w:szCs w:val="20"/>
        </w:rPr>
        <w:t>“</w:t>
      </w:r>
      <w:r w:rsidR="006B5E2E" w:rsidRPr="006B5E2E">
        <w:rPr>
          <w:rFonts w:ascii="Verdana" w:hAnsi="Verdana"/>
          <w:bCs/>
          <w:sz w:val="20"/>
          <w:szCs w:val="20"/>
        </w:rPr>
        <w:t>el reintegro a dic</w:t>
      </w:r>
      <w:r w:rsidR="008B4981">
        <w:rPr>
          <w:rFonts w:ascii="Verdana" w:hAnsi="Verdana"/>
          <w:bCs/>
          <w:sz w:val="20"/>
          <w:szCs w:val="20"/>
        </w:rPr>
        <w:t>ho Fondo de la cantidad de USD</w:t>
      </w:r>
      <w:r w:rsidR="003274EB">
        <w:rPr>
          <w:rFonts w:ascii="Verdana" w:hAnsi="Verdana"/>
          <w:bCs/>
          <w:sz w:val="20"/>
          <w:szCs w:val="20"/>
        </w:rPr>
        <w:t xml:space="preserve"> </w:t>
      </w:r>
      <w:r w:rsidR="008B4981">
        <w:rPr>
          <w:rFonts w:ascii="Verdana" w:hAnsi="Verdana"/>
          <w:bCs/>
          <w:sz w:val="20"/>
          <w:szCs w:val="20"/>
        </w:rPr>
        <w:t>$4</w:t>
      </w:r>
      <w:r w:rsidR="006B5E2E" w:rsidRPr="006B5E2E">
        <w:rPr>
          <w:rFonts w:ascii="Verdana" w:hAnsi="Verdana"/>
          <w:bCs/>
          <w:sz w:val="20"/>
          <w:szCs w:val="20"/>
        </w:rPr>
        <w:t>,</w:t>
      </w:r>
      <w:r w:rsidR="008B4981">
        <w:rPr>
          <w:rFonts w:ascii="Verdana" w:hAnsi="Verdana"/>
          <w:bCs/>
          <w:sz w:val="20"/>
          <w:szCs w:val="20"/>
        </w:rPr>
        <w:t>214</w:t>
      </w:r>
      <w:r w:rsidR="006B5E2E" w:rsidRPr="006B5E2E">
        <w:rPr>
          <w:rFonts w:ascii="Verdana" w:hAnsi="Verdana"/>
          <w:bCs/>
          <w:sz w:val="20"/>
          <w:szCs w:val="20"/>
        </w:rPr>
        <w:t>.</w:t>
      </w:r>
      <w:r w:rsidR="008B4981">
        <w:rPr>
          <w:rFonts w:ascii="Verdana" w:hAnsi="Verdana"/>
          <w:bCs/>
          <w:sz w:val="20"/>
          <w:szCs w:val="20"/>
        </w:rPr>
        <w:t>20</w:t>
      </w:r>
      <w:r w:rsidR="006B5E2E" w:rsidRPr="006B5E2E">
        <w:rPr>
          <w:rFonts w:ascii="Verdana" w:hAnsi="Verdana"/>
          <w:bCs/>
          <w:sz w:val="20"/>
          <w:szCs w:val="20"/>
        </w:rPr>
        <w:t xml:space="preserve"> (</w:t>
      </w:r>
      <w:r w:rsidR="008B4981">
        <w:rPr>
          <w:rFonts w:ascii="Verdana" w:hAnsi="Verdana"/>
          <w:bCs/>
          <w:sz w:val="20"/>
          <w:szCs w:val="20"/>
        </w:rPr>
        <w:t>cuatro</w:t>
      </w:r>
      <w:r w:rsidR="006B5E2E" w:rsidRPr="006B5E2E">
        <w:rPr>
          <w:rFonts w:ascii="Verdana" w:hAnsi="Verdana"/>
          <w:bCs/>
          <w:sz w:val="20"/>
          <w:szCs w:val="20"/>
        </w:rPr>
        <w:t xml:space="preserve"> mil </w:t>
      </w:r>
      <w:r w:rsidR="008B4981">
        <w:rPr>
          <w:rFonts w:ascii="Verdana" w:hAnsi="Verdana"/>
          <w:bCs/>
          <w:sz w:val="20"/>
          <w:szCs w:val="20"/>
        </w:rPr>
        <w:t>doscientos</w:t>
      </w:r>
      <w:r w:rsidR="006B5E2E" w:rsidRPr="006B5E2E">
        <w:rPr>
          <w:rFonts w:ascii="Verdana" w:hAnsi="Verdana"/>
          <w:bCs/>
          <w:sz w:val="20"/>
          <w:szCs w:val="20"/>
        </w:rPr>
        <w:t xml:space="preserve"> </w:t>
      </w:r>
      <w:r w:rsidR="008B4981">
        <w:rPr>
          <w:rFonts w:ascii="Verdana" w:hAnsi="Verdana"/>
          <w:bCs/>
          <w:sz w:val="20"/>
          <w:szCs w:val="20"/>
        </w:rPr>
        <w:t>catorce</w:t>
      </w:r>
      <w:r w:rsidR="006B5E2E" w:rsidRPr="006B5E2E">
        <w:rPr>
          <w:rFonts w:ascii="Verdana" w:hAnsi="Verdana"/>
          <w:bCs/>
          <w:sz w:val="20"/>
          <w:szCs w:val="20"/>
        </w:rPr>
        <w:t xml:space="preserve"> punto </w:t>
      </w:r>
      <w:r w:rsidR="008B4981">
        <w:rPr>
          <w:rFonts w:ascii="Verdana" w:hAnsi="Verdana"/>
          <w:bCs/>
          <w:sz w:val="20"/>
          <w:szCs w:val="20"/>
        </w:rPr>
        <w:t>veinte</w:t>
      </w:r>
      <w:r w:rsidR="006B5E2E" w:rsidRPr="006B5E2E">
        <w:rPr>
          <w:rFonts w:ascii="Verdana" w:hAnsi="Verdana"/>
          <w:bCs/>
          <w:sz w:val="20"/>
          <w:szCs w:val="20"/>
        </w:rPr>
        <w:t xml:space="preserve"> dólares de los Estados Unidos de América) </w:t>
      </w:r>
      <w:r w:rsidR="008B4981">
        <w:rPr>
          <w:rFonts w:ascii="Verdana" w:hAnsi="Verdana"/>
          <w:bCs/>
          <w:sz w:val="20"/>
          <w:szCs w:val="20"/>
        </w:rPr>
        <w:t>por los gastos incurridos</w:t>
      </w:r>
      <w:r w:rsidR="00BB5B08" w:rsidRPr="004A0CD9">
        <w:rPr>
          <w:rFonts w:ascii="Verdana" w:hAnsi="Verdana" w:cs="Verdana"/>
          <w:sz w:val="20"/>
          <w:szCs w:val="20"/>
        </w:rPr>
        <w:t>”</w:t>
      </w:r>
      <w:r w:rsidR="00DF2221" w:rsidRPr="004A0CD9">
        <w:rPr>
          <w:rFonts w:ascii="Verdana" w:hAnsi="Verdana" w:cs="Verdana"/>
          <w:sz w:val="20"/>
          <w:szCs w:val="20"/>
        </w:rPr>
        <w:t xml:space="preserve">. </w:t>
      </w:r>
      <w:r w:rsidR="00707546" w:rsidRPr="004A0CD9">
        <w:rPr>
          <w:rFonts w:ascii="Verdana" w:hAnsi="Verdana" w:cs="Verdana"/>
          <w:sz w:val="20"/>
          <w:szCs w:val="20"/>
        </w:rPr>
        <w:t xml:space="preserve">La Corte dispuso que dicha cantidad </w:t>
      </w:r>
      <w:r w:rsidR="00A55184" w:rsidRPr="004A0CD9">
        <w:rPr>
          <w:rFonts w:ascii="Verdana" w:hAnsi="Verdana" w:cs="Verdana"/>
          <w:sz w:val="20"/>
          <w:szCs w:val="20"/>
        </w:rPr>
        <w:t xml:space="preserve">debía </w:t>
      </w:r>
      <w:r w:rsidR="00707546" w:rsidRPr="004A0CD9">
        <w:rPr>
          <w:rFonts w:ascii="Verdana" w:hAnsi="Verdana" w:cs="Verdana"/>
          <w:sz w:val="20"/>
          <w:szCs w:val="20"/>
        </w:rPr>
        <w:t xml:space="preserve">ser reintegrada en el plazo de </w:t>
      </w:r>
      <w:r w:rsidR="008B4981">
        <w:rPr>
          <w:rFonts w:ascii="Verdana" w:hAnsi="Verdana" w:cs="Verdana"/>
          <w:sz w:val="20"/>
          <w:szCs w:val="20"/>
        </w:rPr>
        <w:t>seis meses</w:t>
      </w:r>
      <w:r w:rsidR="00707546" w:rsidRPr="004A0CD9">
        <w:rPr>
          <w:rFonts w:ascii="Verdana" w:hAnsi="Verdana" w:cs="Verdana"/>
          <w:sz w:val="20"/>
          <w:szCs w:val="20"/>
        </w:rPr>
        <w:t>, contado</w:t>
      </w:r>
      <w:r w:rsidR="004A0CD9">
        <w:rPr>
          <w:rFonts w:ascii="Verdana" w:hAnsi="Verdana" w:cs="Verdana"/>
          <w:sz w:val="20"/>
          <w:szCs w:val="20"/>
        </w:rPr>
        <w:t>s</w:t>
      </w:r>
      <w:r w:rsidR="00707546" w:rsidRPr="004A0CD9">
        <w:rPr>
          <w:rFonts w:ascii="Verdana" w:hAnsi="Verdana" w:cs="Verdana"/>
          <w:sz w:val="20"/>
          <w:szCs w:val="20"/>
        </w:rPr>
        <w:t xml:space="preserve"> a partir de la notificación </w:t>
      </w:r>
      <w:r w:rsidR="008B4981">
        <w:rPr>
          <w:rFonts w:ascii="Verdana" w:hAnsi="Verdana" w:cs="Verdana"/>
          <w:sz w:val="20"/>
          <w:szCs w:val="20"/>
        </w:rPr>
        <w:t>de la Sentencia</w:t>
      </w:r>
      <w:r w:rsidR="000E5B55" w:rsidRPr="004A0CD9">
        <w:rPr>
          <w:rFonts w:ascii="Verdana" w:hAnsi="Verdana" w:cs="Verdana"/>
          <w:sz w:val="20"/>
          <w:szCs w:val="20"/>
        </w:rPr>
        <w:t>, plazo que vencía el</w:t>
      </w:r>
      <w:r w:rsidR="00707546" w:rsidRPr="004A0CD9">
        <w:rPr>
          <w:rFonts w:ascii="Verdana" w:hAnsi="Verdana" w:cs="Verdana"/>
          <w:sz w:val="20"/>
          <w:szCs w:val="20"/>
        </w:rPr>
        <w:t xml:space="preserve"> </w:t>
      </w:r>
      <w:r w:rsidR="003274EB">
        <w:rPr>
          <w:rFonts w:ascii="Verdana" w:hAnsi="Verdana" w:cs="Verdana"/>
          <w:sz w:val="20"/>
          <w:szCs w:val="20"/>
        </w:rPr>
        <w:t>8 de julio</w:t>
      </w:r>
      <w:r w:rsidR="007A1810" w:rsidRPr="004A0CD9">
        <w:rPr>
          <w:rFonts w:ascii="Verdana" w:hAnsi="Verdana" w:cs="Verdana"/>
          <w:sz w:val="20"/>
          <w:szCs w:val="20"/>
        </w:rPr>
        <w:t xml:space="preserve"> de 2019.</w:t>
      </w:r>
    </w:p>
    <w:p w:rsidR="00017792" w:rsidRDefault="00017792" w:rsidP="00017792">
      <w:pPr>
        <w:numPr>
          <w:ilvl w:val="0"/>
          <w:numId w:val="9"/>
        </w:numPr>
        <w:spacing w:after="200"/>
        <w:ind w:left="0" w:firstLine="0"/>
        <w:jc w:val="both"/>
        <w:rPr>
          <w:rFonts w:ascii="Verdana" w:hAnsi="Verdana" w:cs="Verdana"/>
          <w:sz w:val="20"/>
          <w:szCs w:val="20"/>
        </w:rPr>
      </w:pPr>
      <w:bookmarkStart w:id="4" w:name="_Ref536720100"/>
      <w:r w:rsidRPr="00EE1F07">
        <w:rPr>
          <w:rFonts w:ascii="Verdana" w:hAnsi="Verdana" w:cs="Verdana"/>
          <w:sz w:val="20"/>
          <w:szCs w:val="20"/>
        </w:rPr>
        <w:t>El Tribunal ha constatado que, mediante transferencia realizada el</w:t>
      </w:r>
      <w:r>
        <w:rPr>
          <w:rFonts w:ascii="Verdana" w:hAnsi="Verdana" w:cs="Verdana"/>
          <w:sz w:val="20"/>
          <w:szCs w:val="20"/>
        </w:rPr>
        <w:t xml:space="preserve"> 2 de julio </w:t>
      </w:r>
      <w:r w:rsidRPr="00EE1F07">
        <w:rPr>
          <w:rFonts w:ascii="Verdana" w:hAnsi="Verdana" w:cs="Verdana"/>
          <w:sz w:val="20"/>
          <w:szCs w:val="20"/>
        </w:rPr>
        <w:t xml:space="preserve">de 2019, el Estado </w:t>
      </w:r>
      <w:r>
        <w:rPr>
          <w:rFonts w:ascii="Verdana" w:hAnsi="Verdana" w:cs="Verdana"/>
          <w:sz w:val="20"/>
          <w:szCs w:val="20"/>
        </w:rPr>
        <w:t>reintegró</w:t>
      </w:r>
      <w:r w:rsidRPr="00EE1F07">
        <w:rPr>
          <w:rFonts w:ascii="Verdana" w:hAnsi="Verdana" w:cs="Verdana"/>
          <w:sz w:val="20"/>
          <w:szCs w:val="20"/>
        </w:rPr>
        <w:t xml:space="preserve"> al Fondo de Asistencia </w:t>
      </w:r>
      <w:r w:rsidR="006371E5">
        <w:rPr>
          <w:rFonts w:ascii="Verdana" w:hAnsi="Verdana"/>
          <w:bCs/>
          <w:sz w:val="20"/>
          <w:szCs w:val="20"/>
        </w:rPr>
        <w:t xml:space="preserve">la cantidad dispuesta en el </w:t>
      </w:r>
      <w:r w:rsidR="00C82107" w:rsidRPr="006371E5">
        <w:rPr>
          <w:rFonts w:ascii="Verdana" w:hAnsi="Verdana" w:cs="Verdana"/>
          <w:sz w:val="20"/>
          <w:szCs w:val="20"/>
        </w:rPr>
        <w:t>párrafo 383</w:t>
      </w:r>
      <w:r w:rsidR="006371E5">
        <w:rPr>
          <w:rFonts w:ascii="Verdana" w:hAnsi="Verdana" w:cs="Verdana"/>
          <w:sz w:val="20"/>
          <w:szCs w:val="20"/>
        </w:rPr>
        <w:t xml:space="preserve"> de la Sentencia</w:t>
      </w:r>
      <w:r w:rsidRPr="006371E5">
        <w:rPr>
          <w:rFonts w:ascii="Verdana" w:hAnsi="Verdana" w:cs="Verdana"/>
          <w:sz w:val="20"/>
          <w:szCs w:val="20"/>
        </w:rPr>
        <w:t>.</w:t>
      </w:r>
    </w:p>
    <w:bookmarkEnd w:id="4"/>
    <w:p w:rsidR="00DA67F6" w:rsidRPr="00F344F0" w:rsidRDefault="00430E2B" w:rsidP="00F344F0">
      <w:pPr>
        <w:numPr>
          <w:ilvl w:val="0"/>
          <w:numId w:val="9"/>
        </w:numPr>
        <w:spacing w:after="200"/>
        <w:ind w:left="0" w:firstLine="0"/>
        <w:jc w:val="both"/>
        <w:rPr>
          <w:rFonts w:ascii="Verdana" w:hAnsi="Verdana" w:cs="Verdana"/>
          <w:sz w:val="20"/>
          <w:szCs w:val="20"/>
        </w:rPr>
      </w:pPr>
      <w:r>
        <w:rPr>
          <w:rFonts w:ascii="Verdana" w:hAnsi="Verdana"/>
          <w:sz w:val="20"/>
          <w:szCs w:val="20"/>
        </w:rPr>
        <w:t>La Corte</w:t>
      </w:r>
      <w:r w:rsidR="0065520B" w:rsidRPr="00EE1F07">
        <w:rPr>
          <w:rFonts w:ascii="Verdana" w:hAnsi="Verdana"/>
          <w:sz w:val="20"/>
          <w:szCs w:val="20"/>
        </w:rPr>
        <w:t xml:space="preserve"> recuerda que</w:t>
      </w:r>
      <w:r w:rsidR="00DC2794" w:rsidRPr="00EE1F07">
        <w:rPr>
          <w:rFonts w:ascii="Verdana" w:hAnsi="Verdana"/>
          <w:sz w:val="20"/>
          <w:szCs w:val="20"/>
        </w:rPr>
        <w:t xml:space="preserve"> la cr</w:t>
      </w:r>
      <w:r w:rsidR="005C081E" w:rsidRPr="00EE1F07">
        <w:rPr>
          <w:rFonts w:ascii="Verdana" w:hAnsi="Verdana"/>
          <w:sz w:val="20"/>
          <w:szCs w:val="20"/>
        </w:rPr>
        <w:t>eación del Fondo de Asistencia L</w:t>
      </w:r>
      <w:r w:rsidR="00DC2794" w:rsidRPr="00EE1F07">
        <w:rPr>
          <w:rFonts w:ascii="Verdana" w:hAnsi="Verdana"/>
          <w:sz w:val="20"/>
          <w:szCs w:val="20"/>
        </w:rPr>
        <w:t xml:space="preserve">egal del Sistema Interamericano </w:t>
      </w:r>
      <w:r w:rsidR="000418EE" w:rsidRPr="00EE1F07">
        <w:rPr>
          <w:rFonts w:ascii="Verdana" w:hAnsi="Verdana"/>
          <w:sz w:val="20"/>
          <w:szCs w:val="20"/>
        </w:rPr>
        <w:t xml:space="preserve">fue </w:t>
      </w:r>
      <w:r w:rsidR="00DC2794" w:rsidRPr="00EE1F07">
        <w:rPr>
          <w:rFonts w:ascii="Verdana" w:hAnsi="Verdana"/>
          <w:sz w:val="20"/>
          <w:szCs w:val="20"/>
        </w:rPr>
        <w:t>aprobada en el 2008 por la Asamblea General de la OEA</w:t>
      </w:r>
      <w:r w:rsidR="00DC2794" w:rsidRPr="00011A45">
        <w:rPr>
          <w:rStyle w:val="Refdenotaalpie"/>
          <w:rFonts w:ascii="Verdana" w:hAnsi="Verdana"/>
          <w:sz w:val="20"/>
          <w:szCs w:val="20"/>
        </w:rPr>
        <w:footnoteReference w:id="7"/>
      </w:r>
      <w:r w:rsidR="00DC2794" w:rsidRPr="00EE1F07">
        <w:rPr>
          <w:rFonts w:ascii="Verdana" w:hAnsi="Verdana"/>
          <w:sz w:val="20"/>
          <w:szCs w:val="20"/>
        </w:rPr>
        <w:t xml:space="preserve">, </w:t>
      </w:r>
      <w:r w:rsidR="00336F0F" w:rsidRPr="00EE1F07">
        <w:rPr>
          <w:rFonts w:ascii="Verdana" w:hAnsi="Verdana"/>
          <w:sz w:val="20"/>
          <w:szCs w:val="20"/>
        </w:rPr>
        <w:t>y se aprobó que tuviera dos cuentas separadas: una para la Comisión Interamericana y otra para la Corte</w:t>
      </w:r>
      <w:r w:rsidR="00AB48F8" w:rsidRPr="00EE1F07">
        <w:rPr>
          <w:rFonts w:ascii="Verdana" w:hAnsi="Verdana"/>
          <w:sz w:val="20"/>
          <w:szCs w:val="20"/>
        </w:rPr>
        <w:t xml:space="preserve"> Interamericana</w:t>
      </w:r>
      <w:r w:rsidR="00AB48F8" w:rsidRPr="00011A45">
        <w:rPr>
          <w:rStyle w:val="Refdenotaalpie"/>
          <w:rFonts w:ascii="Verdana" w:hAnsi="Verdana"/>
          <w:sz w:val="20"/>
          <w:szCs w:val="20"/>
        </w:rPr>
        <w:footnoteReference w:id="8"/>
      </w:r>
      <w:r w:rsidR="00336F0F" w:rsidRPr="00EE1F07">
        <w:rPr>
          <w:rFonts w:ascii="Verdana" w:hAnsi="Verdana"/>
          <w:sz w:val="20"/>
          <w:szCs w:val="20"/>
        </w:rPr>
        <w:t>.</w:t>
      </w:r>
      <w:r w:rsidR="0065520B" w:rsidRPr="00EE1F07">
        <w:rPr>
          <w:rFonts w:ascii="Verdana" w:hAnsi="Verdana"/>
          <w:sz w:val="20"/>
          <w:szCs w:val="20"/>
        </w:rPr>
        <w:t xml:space="preserve"> </w:t>
      </w:r>
      <w:r w:rsidR="00AB48F8" w:rsidRPr="00EE1F07">
        <w:rPr>
          <w:rFonts w:ascii="Verdana" w:hAnsi="Verdana"/>
          <w:sz w:val="20"/>
          <w:szCs w:val="20"/>
        </w:rPr>
        <w:t>E</w:t>
      </w:r>
      <w:r w:rsidR="00613A26" w:rsidRPr="00EE1F07">
        <w:rPr>
          <w:rFonts w:ascii="Verdana" w:hAnsi="Verdana"/>
          <w:sz w:val="20"/>
          <w:szCs w:val="20"/>
        </w:rPr>
        <w:t xml:space="preserve">n lo que respecta </w:t>
      </w:r>
      <w:r w:rsidR="00B82DF7" w:rsidRPr="00EE1F07">
        <w:rPr>
          <w:rFonts w:ascii="Verdana" w:hAnsi="Verdana"/>
          <w:sz w:val="20"/>
          <w:szCs w:val="20"/>
        </w:rPr>
        <w:t xml:space="preserve">al financiamiento del Fondo de Asistencia de la Corte, </w:t>
      </w:r>
      <w:r w:rsidR="005C081E" w:rsidRPr="00EE1F07">
        <w:rPr>
          <w:rFonts w:ascii="Verdana" w:hAnsi="Verdana"/>
          <w:sz w:val="20"/>
          <w:szCs w:val="20"/>
        </w:rPr>
        <w:t xml:space="preserve">el Tribunal recuerda que </w:t>
      </w:r>
      <w:r w:rsidR="00613A26" w:rsidRPr="00EE1F07">
        <w:rPr>
          <w:rFonts w:ascii="Verdana" w:hAnsi="Verdana"/>
          <w:sz w:val="20"/>
          <w:szCs w:val="20"/>
        </w:rPr>
        <w:t xml:space="preserve">desde su funcionamiento a partir del 2010, este ha dependido </w:t>
      </w:r>
      <w:r w:rsidR="0031129C" w:rsidRPr="00EE1F07">
        <w:rPr>
          <w:rFonts w:ascii="Verdana" w:hAnsi="Verdana"/>
          <w:sz w:val="20"/>
          <w:szCs w:val="20"/>
        </w:rPr>
        <w:t xml:space="preserve">de </w:t>
      </w:r>
      <w:r w:rsidR="005C081E" w:rsidRPr="00EE1F07">
        <w:rPr>
          <w:rFonts w:ascii="Verdana" w:hAnsi="Verdana"/>
          <w:sz w:val="20"/>
          <w:szCs w:val="20"/>
        </w:rPr>
        <w:t xml:space="preserve">los </w:t>
      </w:r>
      <w:r w:rsidR="0065520B" w:rsidRPr="00EE1F07">
        <w:rPr>
          <w:rFonts w:ascii="Verdana" w:hAnsi="Verdana" w:cs="Verdana"/>
          <w:sz w:val="20"/>
          <w:szCs w:val="20"/>
        </w:rPr>
        <w:t xml:space="preserve">aportes </w:t>
      </w:r>
      <w:r w:rsidR="005C081E" w:rsidRPr="00EE1F07">
        <w:rPr>
          <w:rFonts w:ascii="Verdana" w:hAnsi="Verdana" w:cs="Verdana"/>
          <w:sz w:val="20"/>
          <w:szCs w:val="20"/>
        </w:rPr>
        <w:t xml:space="preserve">de capital </w:t>
      </w:r>
      <w:r w:rsidR="0065520B" w:rsidRPr="00EE1F07">
        <w:rPr>
          <w:rFonts w:ascii="Verdana" w:hAnsi="Verdana" w:cs="Verdana"/>
          <w:sz w:val="20"/>
          <w:szCs w:val="20"/>
        </w:rPr>
        <w:t>voluntarios de fuentes cooperantes</w:t>
      </w:r>
      <w:r w:rsidR="00613A26" w:rsidRPr="00EE1F07">
        <w:rPr>
          <w:rFonts w:ascii="Verdana" w:hAnsi="Verdana" w:cs="Verdana"/>
          <w:sz w:val="20"/>
          <w:szCs w:val="20"/>
        </w:rPr>
        <w:t xml:space="preserve"> y de</w:t>
      </w:r>
      <w:r w:rsidR="001C3239" w:rsidRPr="00EE1F07">
        <w:rPr>
          <w:rFonts w:ascii="Verdana" w:hAnsi="Verdana" w:cs="Verdana"/>
          <w:sz w:val="20"/>
          <w:szCs w:val="20"/>
        </w:rPr>
        <w:t>l aporte de</w:t>
      </w:r>
      <w:r w:rsidR="00613A26" w:rsidRPr="00EE1F07">
        <w:rPr>
          <w:rFonts w:ascii="Verdana" w:hAnsi="Verdana" w:cs="Verdana"/>
          <w:sz w:val="20"/>
          <w:szCs w:val="20"/>
        </w:rPr>
        <w:t xml:space="preserve"> un Estado miembro de la OEA</w:t>
      </w:r>
      <w:r w:rsidR="005C081E" w:rsidRPr="00011A45">
        <w:rPr>
          <w:rStyle w:val="Refdenotaalpie"/>
          <w:rFonts w:ascii="Verdana" w:hAnsi="Verdana" w:cs="Verdana"/>
          <w:sz w:val="20"/>
          <w:szCs w:val="20"/>
        </w:rPr>
        <w:footnoteReference w:id="9"/>
      </w:r>
      <w:r w:rsidR="0065520B" w:rsidRPr="00EE1F07">
        <w:rPr>
          <w:rFonts w:ascii="Verdana" w:hAnsi="Verdana" w:cs="Verdana"/>
          <w:sz w:val="20"/>
          <w:szCs w:val="20"/>
        </w:rPr>
        <w:t xml:space="preserve">, </w:t>
      </w:r>
      <w:r w:rsidR="00613A26" w:rsidRPr="00EE1F07">
        <w:rPr>
          <w:rFonts w:ascii="Verdana" w:hAnsi="Verdana" w:cs="Verdana"/>
          <w:sz w:val="20"/>
          <w:szCs w:val="20"/>
        </w:rPr>
        <w:t xml:space="preserve">así como de los reintegros que realicen los Estados responsables, </w:t>
      </w:r>
      <w:r w:rsidR="0065520B" w:rsidRPr="00EE1F07">
        <w:rPr>
          <w:rFonts w:ascii="Verdana" w:hAnsi="Verdana" w:cs="Verdana"/>
          <w:sz w:val="20"/>
          <w:szCs w:val="20"/>
        </w:rPr>
        <w:t xml:space="preserve">razón por la cual los recursos </w:t>
      </w:r>
      <w:r w:rsidR="0065520B" w:rsidRPr="00EE1F07">
        <w:rPr>
          <w:rFonts w:ascii="Verdana" w:hAnsi="Verdana" w:cs="Verdana"/>
          <w:bCs/>
          <w:sz w:val="20"/>
          <w:szCs w:val="20"/>
        </w:rPr>
        <w:t xml:space="preserve">disponibles en el mismo son limitados. Es por ello que el </w:t>
      </w:r>
      <w:r w:rsidR="0065520B" w:rsidRPr="00EE1F07">
        <w:rPr>
          <w:rFonts w:ascii="Verdana" w:hAnsi="Verdana"/>
          <w:sz w:val="20"/>
          <w:szCs w:val="20"/>
        </w:rPr>
        <w:t>Tribunal</w:t>
      </w:r>
      <w:r w:rsidR="0065520B" w:rsidRPr="00EE1F07">
        <w:rPr>
          <w:rFonts w:ascii="Verdana" w:hAnsi="Verdana" w:cs="Verdana"/>
          <w:bCs/>
          <w:sz w:val="20"/>
          <w:szCs w:val="20"/>
        </w:rPr>
        <w:t xml:space="preserve"> </w:t>
      </w:r>
      <w:r w:rsidR="0065520B" w:rsidRPr="00EE1F07">
        <w:rPr>
          <w:rFonts w:ascii="Verdana" w:hAnsi="Verdana"/>
          <w:sz w:val="20"/>
          <w:szCs w:val="20"/>
        </w:rPr>
        <w:t xml:space="preserve">resalta la voluntad de cumplimiento de sus obligaciones internacionales demostrada por </w:t>
      </w:r>
      <w:r w:rsidR="00CD0F98">
        <w:rPr>
          <w:rFonts w:ascii="Verdana" w:hAnsi="Verdana"/>
          <w:sz w:val="20"/>
          <w:szCs w:val="20"/>
        </w:rPr>
        <w:t>México</w:t>
      </w:r>
      <w:r w:rsidR="0065520B" w:rsidRPr="00EE1F07">
        <w:rPr>
          <w:rFonts w:ascii="Verdana" w:hAnsi="Verdana"/>
          <w:sz w:val="20"/>
          <w:szCs w:val="20"/>
        </w:rPr>
        <w:t xml:space="preserve"> al reintegrar los </w:t>
      </w:r>
      <w:r w:rsidR="00613A26" w:rsidRPr="00EE1F07">
        <w:rPr>
          <w:rFonts w:ascii="Verdana" w:hAnsi="Verdana"/>
          <w:sz w:val="20"/>
          <w:szCs w:val="20"/>
        </w:rPr>
        <w:t>recursos</w:t>
      </w:r>
      <w:r w:rsidR="0065520B" w:rsidRPr="00EE1F07">
        <w:rPr>
          <w:rFonts w:ascii="Verdana" w:hAnsi="Verdana"/>
          <w:sz w:val="20"/>
          <w:szCs w:val="20"/>
        </w:rPr>
        <w:t xml:space="preserve"> al</w:t>
      </w:r>
      <w:r w:rsidR="00B82DF7" w:rsidRPr="00EE1F07">
        <w:rPr>
          <w:rFonts w:ascii="Verdana" w:hAnsi="Verdana"/>
          <w:sz w:val="20"/>
          <w:szCs w:val="20"/>
        </w:rPr>
        <w:t xml:space="preserve"> referido</w:t>
      </w:r>
      <w:r w:rsidR="0065520B" w:rsidRPr="00EE1F07">
        <w:rPr>
          <w:rFonts w:ascii="Verdana" w:hAnsi="Verdana"/>
          <w:sz w:val="20"/>
          <w:szCs w:val="20"/>
        </w:rPr>
        <w:t xml:space="preserve"> Fondo de Asistencia. El reintegro realizado por </w:t>
      </w:r>
      <w:r w:rsidR="00CD0F98">
        <w:rPr>
          <w:rFonts w:ascii="Verdana" w:hAnsi="Verdana"/>
          <w:sz w:val="20"/>
          <w:szCs w:val="20"/>
        </w:rPr>
        <w:t>el Estado</w:t>
      </w:r>
      <w:r w:rsidR="0065520B" w:rsidRPr="00EE1F07">
        <w:rPr>
          <w:rFonts w:ascii="Verdana" w:hAnsi="Verdana"/>
          <w:sz w:val="20"/>
          <w:szCs w:val="20"/>
        </w:rPr>
        <w:t xml:space="preserve"> contribuirá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p>
    <w:p w:rsidR="0065520B" w:rsidRPr="00F10321" w:rsidRDefault="0065520B" w:rsidP="0066130C">
      <w:pPr>
        <w:spacing w:after="200"/>
        <w:ind w:right="366"/>
        <w:jc w:val="both"/>
        <w:rPr>
          <w:rFonts w:ascii="Verdana" w:hAnsi="Verdana"/>
          <w:b/>
          <w:sz w:val="20"/>
          <w:szCs w:val="20"/>
        </w:rPr>
      </w:pPr>
      <w:r w:rsidRPr="00F10321">
        <w:rPr>
          <w:rFonts w:ascii="Verdana" w:hAnsi="Verdana"/>
          <w:b/>
          <w:sz w:val="20"/>
          <w:szCs w:val="20"/>
        </w:rPr>
        <w:t>POR TANTO:</w:t>
      </w:r>
    </w:p>
    <w:p w:rsidR="0065520B" w:rsidRPr="00F10321" w:rsidRDefault="0065520B" w:rsidP="0066130C">
      <w:pPr>
        <w:spacing w:after="200"/>
        <w:ind w:right="366"/>
        <w:jc w:val="both"/>
        <w:rPr>
          <w:rFonts w:ascii="Verdana" w:hAnsi="Verdana"/>
          <w:sz w:val="20"/>
          <w:szCs w:val="20"/>
        </w:rPr>
      </w:pPr>
      <w:r w:rsidRPr="00F10321">
        <w:rPr>
          <w:rFonts w:ascii="Verdana" w:hAnsi="Verdana"/>
          <w:b/>
          <w:sz w:val="20"/>
          <w:szCs w:val="20"/>
        </w:rPr>
        <w:t>LA CORTE INTERAMERICANA DE DERECHOS HUMANOS,</w:t>
      </w:r>
    </w:p>
    <w:p w:rsidR="0065520B" w:rsidRPr="00F344F0" w:rsidRDefault="0065520B" w:rsidP="00F344F0">
      <w:pPr>
        <w:spacing w:after="200"/>
        <w:jc w:val="both"/>
        <w:rPr>
          <w:rFonts w:ascii="Verdana" w:hAnsi="Verdana" w:cs="Verdana"/>
          <w:sz w:val="20"/>
        </w:rPr>
      </w:pPr>
      <w:r w:rsidRPr="00F10321">
        <w:rPr>
          <w:rFonts w:ascii="Verdana" w:hAnsi="Verdana"/>
          <w:sz w:val="20"/>
        </w:rPr>
        <w:t>de conformidad con los artículos 67 y 68 de la Convención Americana, 25.1 y 25.2 del Estatuto de la Corte, 69 del Reglamento del Tribunal, así como con los artículos 1, 4 y 5 del Reglamento del Fondo d</w:t>
      </w:r>
      <w:r w:rsidR="000549D4">
        <w:rPr>
          <w:rFonts w:ascii="Verdana" w:hAnsi="Verdana"/>
          <w:sz w:val="20"/>
        </w:rPr>
        <w:t>e Asistencia Legal de Víctimas,</w:t>
      </w:r>
    </w:p>
    <w:p w:rsidR="0065520B" w:rsidRPr="00F10321" w:rsidRDefault="0065520B" w:rsidP="0066130C">
      <w:pPr>
        <w:spacing w:after="200"/>
        <w:ind w:right="366"/>
        <w:jc w:val="both"/>
        <w:rPr>
          <w:rFonts w:ascii="Verdana" w:hAnsi="Verdana"/>
          <w:b/>
          <w:caps/>
          <w:sz w:val="20"/>
          <w:szCs w:val="20"/>
        </w:rPr>
      </w:pPr>
      <w:r w:rsidRPr="00F10321">
        <w:rPr>
          <w:rFonts w:ascii="Verdana" w:hAnsi="Verdana"/>
          <w:b/>
          <w:caps/>
          <w:sz w:val="20"/>
          <w:szCs w:val="20"/>
        </w:rPr>
        <w:t>Resuelve:</w:t>
      </w:r>
    </w:p>
    <w:p w:rsidR="0065520B" w:rsidRDefault="003119FE" w:rsidP="0066130C">
      <w:pPr>
        <w:numPr>
          <w:ilvl w:val="0"/>
          <w:numId w:val="1"/>
        </w:numPr>
        <w:spacing w:after="200"/>
        <w:ind w:left="0" w:firstLine="0"/>
        <w:jc w:val="both"/>
        <w:rPr>
          <w:rFonts w:ascii="Verdana" w:hAnsi="Verdana"/>
          <w:sz w:val="20"/>
          <w:szCs w:val="20"/>
        </w:rPr>
      </w:pPr>
      <w:bookmarkStart w:id="5" w:name="_Ref504383433"/>
      <w:r w:rsidRPr="00B82CB7">
        <w:rPr>
          <w:rFonts w:ascii="Verdana" w:hAnsi="Verdana"/>
          <w:sz w:val="20"/>
        </w:rPr>
        <w:t>Declarar q</w:t>
      </w:r>
      <w:r w:rsidR="0065520B" w:rsidRPr="00B82CB7">
        <w:rPr>
          <w:rFonts w:ascii="Verdana" w:hAnsi="Verdana"/>
          <w:sz w:val="20"/>
        </w:rPr>
        <w:t xml:space="preserve">ue </w:t>
      </w:r>
      <w:r w:rsidR="00F344F0">
        <w:rPr>
          <w:rFonts w:ascii="Verdana" w:hAnsi="Verdana"/>
          <w:sz w:val="20"/>
        </w:rPr>
        <w:t>los Estados Unidos Mexicanos han</w:t>
      </w:r>
      <w:r w:rsidR="00707915" w:rsidRPr="00B82CB7">
        <w:rPr>
          <w:rFonts w:ascii="Verdana" w:hAnsi="Verdana" w:cs="Verdana"/>
          <w:sz w:val="20"/>
          <w:szCs w:val="20"/>
        </w:rPr>
        <w:t xml:space="preserve"> cumplido con </w:t>
      </w:r>
      <w:r w:rsidR="00707915" w:rsidRPr="00D54C91">
        <w:rPr>
          <w:rFonts w:ascii="Verdana" w:hAnsi="Verdana" w:cs="Verdana"/>
          <w:sz w:val="20"/>
          <w:szCs w:val="20"/>
        </w:rPr>
        <w:t>reintegr</w:t>
      </w:r>
      <w:r w:rsidR="00707915" w:rsidRPr="005B7714">
        <w:rPr>
          <w:rFonts w:ascii="Verdana" w:hAnsi="Verdana" w:cs="Verdana"/>
          <w:sz w:val="20"/>
          <w:szCs w:val="20"/>
        </w:rPr>
        <w:t xml:space="preserve">ar al Fondo de Asistencia Legal de Víctimas </w:t>
      </w:r>
      <w:r w:rsidR="00707915" w:rsidRPr="002177A8">
        <w:rPr>
          <w:rFonts w:ascii="Verdana" w:hAnsi="Verdana" w:cs="Verdana"/>
          <w:sz w:val="20"/>
          <w:szCs w:val="20"/>
        </w:rPr>
        <w:t>de la Corte Interamericana</w:t>
      </w:r>
      <w:r w:rsidR="00D021FE" w:rsidRPr="005763C1">
        <w:rPr>
          <w:rFonts w:ascii="Verdana" w:hAnsi="Verdana" w:cs="Verdana"/>
          <w:sz w:val="20"/>
          <w:szCs w:val="20"/>
        </w:rPr>
        <w:t xml:space="preserve"> de Derechos Humanos</w:t>
      </w:r>
      <w:r w:rsidR="00707915" w:rsidRPr="005763C1">
        <w:rPr>
          <w:rFonts w:ascii="Verdana" w:hAnsi="Verdana" w:cs="Verdana"/>
          <w:sz w:val="20"/>
          <w:szCs w:val="20"/>
        </w:rPr>
        <w:t xml:space="preserve"> la ca</w:t>
      </w:r>
      <w:r w:rsidR="00C92E60" w:rsidRPr="005763C1">
        <w:rPr>
          <w:rFonts w:ascii="Verdana" w:hAnsi="Verdana" w:cs="Verdana"/>
          <w:sz w:val="20"/>
          <w:szCs w:val="20"/>
        </w:rPr>
        <w:t xml:space="preserve">ntidad dispuesta en </w:t>
      </w:r>
      <w:r w:rsidR="000549D4">
        <w:rPr>
          <w:rFonts w:ascii="Verdana" w:hAnsi="Verdana"/>
          <w:sz w:val="20"/>
          <w:szCs w:val="20"/>
        </w:rPr>
        <w:t>el párrafo</w:t>
      </w:r>
      <w:r w:rsidR="0022342C">
        <w:rPr>
          <w:rFonts w:ascii="Verdana" w:hAnsi="Verdana"/>
          <w:sz w:val="20"/>
          <w:szCs w:val="20"/>
        </w:rPr>
        <w:t xml:space="preserve"> 381</w:t>
      </w:r>
      <w:r w:rsidR="0022342C" w:rsidRPr="004A0CD9">
        <w:rPr>
          <w:rFonts w:ascii="Verdana" w:hAnsi="Verdana"/>
          <w:sz w:val="20"/>
          <w:szCs w:val="20"/>
        </w:rPr>
        <w:t xml:space="preserve"> y en el punto </w:t>
      </w:r>
      <w:r w:rsidR="000549D4">
        <w:rPr>
          <w:rFonts w:ascii="Verdana" w:hAnsi="Verdana"/>
          <w:sz w:val="20"/>
          <w:szCs w:val="20"/>
        </w:rPr>
        <w:t>resolutivo</w:t>
      </w:r>
      <w:r w:rsidR="0022342C" w:rsidRPr="004A0CD9">
        <w:rPr>
          <w:rFonts w:ascii="Verdana" w:hAnsi="Verdana"/>
          <w:sz w:val="20"/>
          <w:szCs w:val="20"/>
        </w:rPr>
        <w:t xml:space="preserve"> </w:t>
      </w:r>
      <w:r w:rsidR="0022342C">
        <w:rPr>
          <w:rFonts w:ascii="Verdana" w:hAnsi="Verdana"/>
          <w:sz w:val="20"/>
          <w:szCs w:val="20"/>
        </w:rPr>
        <w:t>décimo sé</w:t>
      </w:r>
      <w:r w:rsidR="000159C8">
        <w:rPr>
          <w:rFonts w:ascii="Verdana" w:hAnsi="Verdana"/>
          <w:sz w:val="20"/>
          <w:szCs w:val="20"/>
        </w:rPr>
        <w:t>p</w:t>
      </w:r>
      <w:r w:rsidR="0022342C">
        <w:rPr>
          <w:rFonts w:ascii="Verdana" w:hAnsi="Verdana"/>
          <w:sz w:val="20"/>
          <w:szCs w:val="20"/>
        </w:rPr>
        <w:t>timo</w:t>
      </w:r>
      <w:r w:rsidR="0022342C" w:rsidRPr="005763C1">
        <w:rPr>
          <w:rFonts w:ascii="Verdana" w:hAnsi="Verdana"/>
          <w:sz w:val="20"/>
          <w:szCs w:val="20"/>
        </w:rPr>
        <w:t xml:space="preserve"> </w:t>
      </w:r>
      <w:r w:rsidR="003B3976" w:rsidRPr="005763C1">
        <w:rPr>
          <w:rFonts w:ascii="Verdana" w:hAnsi="Verdana"/>
          <w:sz w:val="20"/>
          <w:szCs w:val="20"/>
        </w:rPr>
        <w:t>de</w:t>
      </w:r>
      <w:r w:rsidR="005C0F77" w:rsidRPr="005763C1">
        <w:rPr>
          <w:rFonts w:ascii="Verdana" w:hAnsi="Verdana"/>
          <w:sz w:val="20"/>
          <w:szCs w:val="20"/>
        </w:rPr>
        <w:t xml:space="preserve"> </w:t>
      </w:r>
      <w:r w:rsidR="000549D4">
        <w:rPr>
          <w:rFonts w:ascii="Verdana" w:hAnsi="Verdana"/>
          <w:sz w:val="20"/>
          <w:szCs w:val="20"/>
        </w:rPr>
        <w:t xml:space="preserve">la sentencia de excepciones preliminares, </w:t>
      </w:r>
      <w:r w:rsidR="0065520B" w:rsidRPr="005763C1">
        <w:rPr>
          <w:rFonts w:ascii="Verdana" w:hAnsi="Verdana"/>
          <w:sz w:val="20"/>
          <w:szCs w:val="20"/>
        </w:rPr>
        <w:t>fondo, re</w:t>
      </w:r>
      <w:r w:rsidR="00300969" w:rsidRPr="005763C1">
        <w:rPr>
          <w:rFonts w:ascii="Verdana" w:hAnsi="Verdana"/>
          <w:sz w:val="20"/>
          <w:szCs w:val="20"/>
        </w:rPr>
        <w:t xml:space="preserve">paraciones y costas emitida el </w:t>
      </w:r>
      <w:r w:rsidR="00F344F0">
        <w:rPr>
          <w:rFonts w:ascii="Verdana" w:hAnsi="Verdana"/>
          <w:sz w:val="20"/>
          <w:szCs w:val="20"/>
        </w:rPr>
        <w:t>28</w:t>
      </w:r>
      <w:r w:rsidR="00FE21C8">
        <w:rPr>
          <w:rFonts w:ascii="Verdana" w:hAnsi="Verdana"/>
          <w:sz w:val="20"/>
          <w:szCs w:val="20"/>
        </w:rPr>
        <w:t xml:space="preserve"> de </w:t>
      </w:r>
      <w:r w:rsidR="00F344F0">
        <w:rPr>
          <w:rFonts w:ascii="Verdana" w:hAnsi="Verdana"/>
          <w:sz w:val="20"/>
          <w:szCs w:val="20"/>
        </w:rPr>
        <w:t>noviembre</w:t>
      </w:r>
      <w:r w:rsidR="00FE21C8">
        <w:rPr>
          <w:rFonts w:ascii="Verdana" w:hAnsi="Verdana"/>
          <w:sz w:val="20"/>
          <w:szCs w:val="20"/>
        </w:rPr>
        <w:t xml:space="preserve"> de 2018</w:t>
      </w:r>
      <w:r w:rsidR="00664E56" w:rsidRPr="005763C1">
        <w:rPr>
          <w:rFonts w:ascii="Verdana" w:hAnsi="Verdana"/>
          <w:sz w:val="20"/>
          <w:szCs w:val="20"/>
        </w:rPr>
        <w:t xml:space="preserve">, de conformidad con lo indicado en el Considerando </w:t>
      </w:r>
      <w:r w:rsidR="00B37020">
        <w:rPr>
          <w:rFonts w:ascii="Verdana" w:hAnsi="Verdana"/>
          <w:sz w:val="20"/>
          <w:szCs w:val="20"/>
        </w:rPr>
        <w:fldChar w:fldCharType="begin"/>
      </w:r>
      <w:r w:rsidR="00B37020">
        <w:rPr>
          <w:rFonts w:ascii="Verdana" w:hAnsi="Verdana"/>
          <w:sz w:val="20"/>
          <w:szCs w:val="20"/>
        </w:rPr>
        <w:instrText xml:space="preserve"> REF _Ref536720100 \r \h </w:instrText>
      </w:r>
      <w:r w:rsidR="00B37020">
        <w:rPr>
          <w:rFonts w:ascii="Verdana" w:hAnsi="Verdana"/>
          <w:sz w:val="20"/>
          <w:szCs w:val="20"/>
        </w:rPr>
      </w:r>
      <w:r w:rsidR="00B37020">
        <w:rPr>
          <w:rFonts w:ascii="Verdana" w:hAnsi="Verdana"/>
          <w:sz w:val="20"/>
          <w:szCs w:val="20"/>
        </w:rPr>
        <w:fldChar w:fldCharType="separate"/>
      </w:r>
      <w:r w:rsidR="004143B6">
        <w:rPr>
          <w:rFonts w:ascii="Verdana" w:hAnsi="Verdana"/>
          <w:sz w:val="20"/>
          <w:szCs w:val="20"/>
        </w:rPr>
        <w:t>3</w:t>
      </w:r>
      <w:r w:rsidR="00B37020">
        <w:rPr>
          <w:rFonts w:ascii="Verdana" w:hAnsi="Verdana"/>
          <w:sz w:val="20"/>
          <w:szCs w:val="20"/>
        </w:rPr>
        <w:fldChar w:fldCharType="end"/>
      </w:r>
      <w:r w:rsidR="00664E56" w:rsidRPr="005763C1">
        <w:rPr>
          <w:rFonts w:ascii="Verdana" w:hAnsi="Verdana"/>
          <w:sz w:val="20"/>
          <w:szCs w:val="20"/>
        </w:rPr>
        <w:t xml:space="preserve"> de la presente Resolución</w:t>
      </w:r>
      <w:r w:rsidR="00FE79A2" w:rsidRPr="005763C1">
        <w:rPr>
          <w:rFonts w:ascii="Verdana" w:hAnsi="Verdana"/>
          <w:sz w:val="20"/>
          <w:szCs w:val="20"/>
        </w:rPr>
        <w:t>.</w:t>
      </w:r>
      <w:bookmarkEnd w:id="5"/>
    </w:p>
    <w:p w:rsidR="00DB4B7B" w:rsidRPr="005763C1" w:rsidRDefault="00DB4B7B" w:rsidP="0066130C">
      <w:pPr>
        <w:numPr>
          <w:ilvl w:val="0"/>
          <w:numId w:val="1"/>
        </w:numPr>
        <w:spacing w:after="200"/>
        <w:ind w:left="0" w:firstLine="0"/>
        <w:jc w:val="both"/>
        <w:rPr>
          <w:rFonts w:ascii="Verdana" w:hAnsi="Verdana"/>
          <w:sz w:val="20"/>
          <w:szCs w:val="20"/>
        </w:rPr>
      </w:pPr>
      <w:r>
        <w:rPr>
          <w:rFonts w:ascii="Verdana" w:hAnsi="Verdana"/>
          <w:sz w:val="20"/>
          <w:szCs w:val="20"/>
        </w:rPr>
        <w:t>Mantener abierto el procedimiento de supervisión de cumplimiento de las medidas de reparación ordenadas en lo</w:t>
      </w:r>
      <w:r w:rsidR="000549D4">
        <w:rPr>
          <w:rFonts w:ascii="Verdana" w:hAnsi="Verdana"/>
          <w:sz w:val="20"/>
          <w:szCs w:val="20"/>
        </w:rPr>
        <w:t>s puntos resolutivos noveno a dé</w:t>
      </w:r>
      <w:r>
        <w:rPr>
          <w:rFonts w:ascii="Verdana" w:hAnsi="Verdana"/>
          <w:sz w:val="20"/>
          <w:szCs w:val="20"/>
        </w:rPr>
        <w:t>cimo</w:t>
      </w:r>
      <w:r w:rsidR="000549D4">
        <w:rPr>
          <w:rFonts w:ascii="Verdana" w:hAnsi="Verdana"/>
          <w:sz w:val="20"/>
          <w:szCs w:val="20"/>
        </w:rPr>
        <w:t xml:space="preserve"> </w:t>
      </w:r>
      <w:r>
        <w:rPr>
          <w:rFonts w:ascii="Verdana" w:hAnsi="Verdana"/>
          <w:sz w:val="20"/>
          <w:szCs w:val="20"/>
        </w:rPr>
        <w:t>sexto de la Sentencia, de conformidad con lo indicado en el Considerando 1 de la presente Resolución.</w:t>
      </w:r>
    </w:p>
    <w:p w:rsidR="001C627E" w:rsidRDefault="009E094C" w:rsidP="0066130C">
      <w:pPr>
        <w:numPr>
          <w:ilvl w:val="0"/>
          <w:numId w:val="1"/>
        </w:numPr>
        <w:spacing w:after="200"/>
        <w:ind w:left="0" w:firstLine="0"/>
        <w:jc w:val="both"/>
        <w:rPr>
          <w:rFonts w:ascii="Verdana" w:hAnsi="Verdana"/>
          <w:sz w:val="20"/>
          <w:szCs w:val="20"/>
        </w:rPr>
      </w:pPr>
      <w:r w:rsidRPr="007D3DA8">
        <w:rPr>
          <w:rFonts w:ascii="Verdana" w:hAnsi="Verdana"/>
          <w:sz w:val="20"/>
          <w:szCs w:val="20"/>
        </w:rPr>
        <w:t>Disponer q</w:t>
      </w:r>
      <w:r w:rsidR="0065520B" w:rsidRPr="007D3DA8">
        <w:rPr>
          <w:rFonts w:ascii="Verdana" w:hAnsi="Verdana"/>
          <w:sz w:val="20"/>
          <w:szCs w:val="20"/>
        </w:rPr>
        <w:t>ue</w:t>
      </w:r>
      <w:r w:rsidR="0065520B" w:rsidRPr="0099633E">
        <w:rPr>
          <w:rFonts w:ascii="Verdana" w:hAnsi="Verdana"/>
          <w:sz w:val="20"/>
          <w:szCs w:val="20"/>
        </w:rPr>
        <w:t xml:space="preserve"> la </w:t>
      </w:r>
      <w:r w:rsidR="0065520B" w:rsidRPr="0099633E">
        <w:rPr>
          <w:rFonts w:ascii="Verdana" w:hAnsi="Verdana" w:cs="Verdana"/>
          <w:sz w:val="20"/>
          <w:szCs w:val="20"/>
        </w:rPr>
        <w:t xml:space="preserve">Secretaría de la Corte Interamericana </w:t>
      </w:r>
      <w:r w:rsidR="0065520B" w:rsidRPr="0099633E">
        <w:rPr>
          <w:rFonts w:ascii="Verdana" w:hAnsi="Verdana" w:cs="TTE3F96A70t00"/>
          <w:sz w:val="20"/>
        </w:rPr>
        <w:t>de Derechos Humanos</w:t>
      </w:r>
      <w:r w:rsidR="0065520B" w:rsidRPr="0099633E">
        <w:rPr>
          <w:rFonts w:ascii="Verdana" w:hAnsi="Verdana" w:cs="Verdana"/>
          <w:sz w:val="20"/>
          <w:szCs w:val="20"/>
        </w:rPr>
        <w:t xml:space="preserve"> notifique la presente Resolución </w:t>
      </w:r>
      <w:r w:rsidR="00524382">
        <w:rPr>
          <w:rFonts w:ascii="Verdana" w:hAnsi="Verdana" w:cs="Verdana"/>
          <w:sz w:val="20"/>
          <w:szCs w:val="20"/>
        </w:rPr>
        <w:t xml:space="preserve">a </w:t>
      </w:r>
      <w:r w:rsidR="00524382">
        <w:rPr>
          <w:rFonts w:ascii="Verdana" w:hAnsi="Verdana"/>
          <w:sz w:val="20"/>
        </w:rPr>
        <w:t>los Estados Unidos Mexicanos</w:t>
      </w:r>
      <w:r w:rsidR="007D3DA8">
        <w:rPr>
          <w:rFonts w:ascii="Verdana" w:hAnsi="Verdana" w:cs="Verdana"/>
          <w:sz w:val="20"/>
          <w:szCs w:val="20"/>
        </w:rPr>
        <w:t>,</w:t>
      </w:r>
      <w:r w:rsidR="00CA2E20">
        <w:rPr>
          <w:rFonts w:ascii="Verdana" w:hAnsi="Verdana" w:cs="Verdana"/>
          <w:sz w:val="20"/>
          <w:szCs w:val="20"/>
        </w:rPr>
        <w:t xml:space="preserve"> a</w:t>
      </w:r>
      <w:r w:rsidR="007D3DA8">
        <w:rPr>
          <w:rFonts w:ascii="Verdana" w:hAnsi="Verdana" w:cs="Verdana"/>
          <w:sz w:val="20"/>
          <w:szCs w:val="20"/>
        </w:rPr>
        <w:t xml:space="preserve"> </w:t>
      </w:r>
      <w:r w:rsidR="0065520B" w:rsidRPr="0099633E">
        <w:rPr>
          <w:rFonts w:ascii="Verdana" w:hAnsi="Verdana" w:cs="Verdana"/>
          <w:sz w:val="20"/>
          <w:szCs w:val="20"/>
        </w:rPr>
        <w:t>los representantes de la</w:t>
      </w:r>
      <w:r w:rsidR="00F07FA5">
        <w:rPr>
          <w:rFonts w:ascii="Verdana" w:hAnsi="Verdana" w:cs="Verdana"/>
          <w:sz w:val="20"/>
          <w:szCs w:val="20"/>
        </w:rPr>
        <w:t>s</w:t>
      </w:r>
      <w:r w:rsidR="0065520B" w:rsidRPr="0099633E">
        <w:rPr>
          <w:rFonts w:ascii="Verdana" w:hAnsi="Verdana" w:cs="Verdana"/>
          <w:sz w:val="20"/>
          <w:szCs w:val="20"/>
        </w:rPr>
        <w:t xml:space="preserve"> víctima</w:t>
      </w:r>
      <w:r w:rsidR="00F07FA5">
        <w:rPr>
          <w:rFonts w:ascii="Verdana" w:hAnsi="Verdana" w:cs="Verdana"/>
          <w:sz w:val="20"/>
          <w:szCs w:val="20"/>
        </w:rPr>
        <w:t>s</w:t>
      </w:r>
      <w:r w:rsidR="0065520B" w:rsidRPr="0099633E">
        <w:rPr>
          <w:rFonts w:ascii="Verdana" w:hAnsi="Verdana" w:cs="Verdana"/>
          <w:sz w:val="20"/>
          <w:szCs w:val="20"/>
        </w:rPr>
        <w:t xml:space="preserve"> y </w:t>
      </w:r>
      <w:r w:rsidR="00CA2E20">
        <w:rPr>
          <w:rFonts w:ascii="Verdana" w:hAnsi="Verdana" w:cs="Verdana"/>
          <w:sz w:val="20"/>
          <w:szCs w:val="20"/>
        </w:rPr>
        <w:t xml:space="preserve">a </w:t>
      </w:r>
      <w:r w:rsidR="007D3DA8" w:rsidRPr="0099633E">
        <w:rPr>
          <w:rFonts w:ascii="Verdana" w:hAnsi="Verdana" w:cs="Verdana"/>
          <w:sz w:val="20"/>
          <w:szCs w:val="20"/>
        </w:rPr>
        <w:t>la Comisión Intera</w:t>
      </w:r>
      <w:r w:rsidR="007D3DA8">
        <w:rPr>
          <w:rFonts w:ascii="Verdana" w:hAnsi="Verdana" w:cs="Verdana"/>
          <w:sz w:val="20"/>
          <w:szCs w:val="20"/>
        </w:rPr>
        <w:t>mericana de Derechos Humanos</w:t>
      </w:r>
      <w:r w:rsidR="0065520B" w:rsidRPr="0099633E">
        <w:rPr>
          <w:rFonts w:ascii="Verdana" w:hAnsi="Verdana"/>
          <w:sz w:val="20"/>
          <w:szCs w:val="20"/>
        </w:rPr>
        <w:t>.</w:t>
      </w:r>
    </w:p>
    <w:p w:rsidR="00A830DE" w:rsidRDefault="00A830DE" w:rsidP="0066130C">
      <w:pPr>
        <w:spacing w:after="200"/>
        <w:jc w:val="both"/>
        <w:rPr>
          <w:rFonts w:ascii="Verdana" w:hAnsi="Verdana"/>
          <w:sz w:val="20"/>
          <w:szCs w:val="20"/>
        </w:rPr>
      </w:pPr>
    </w:p>
    <w:p w:rsidR="00660348" w:rsidRPr="00847B73" w:rsidRDefault="00660348" w:rsidP="00D261EA">
      <w:pPr>
        <w:keepNext/>
        <w:jc w:val="both"/>
        <w:outlineLvl w:val="0"/>
        <w:rPr>
          <w:rFonts w:ascii="Verdana" w:hAnsi="Verdana"/>
          <w:sz w:val="20"/>
        </w:rPr>
      </w:pPr>
    </w:p>
    <w:p w:rsidR="001C627E" w:rsidRDefault="001C627E" w:rsidP="001C627E">
      <w:pPr>
        <w:jc w:val="both"/>
        <w:rPr>
          <w:rFonts w:ascii="Verdana" w:hAnsi="Verdana"/>
          <w:sz w:val="20"/>
          <w:szCs w:val="20"/>
        </w:rPr>
      </w:pPr>
    </w:p>
    <w:p w:rsidR="00AB1C79" w:rsidRDefault="00AB1C79" w:rsidP="001C627E">
      <w:pPr>
        <w:jc w:val="both"/>
        <w:rPr>
          <w:rFonts w:ascii="Verdana" w:hAnsi="Verdana"/>
          <w:sz w:val="20"/>
          <w:szCs w:val="20"/>
        </w:rPr>
      </w:pPr>
    </w:p>
    <w:p w:rsidR="00AB1C79" w:rsidRDefault="00AB1C79" w:rsidP="001C627E">
      <w:pPr>
        <w:jc w:val="both"/>
        <w:rPr>
          <w:rFonts w:ascii="Verdana" w:hAnsi="Verdana"/>
          <w:sz w:val="20"/>
          <w:szCs w:val="20"/>
        </w:rPr>
      </w:pPr>
    </w:p>
    <w:p w:rsidR="00AB1C79" w:rsidRDefault="00AB1C79" w:rsidP="001C627E">
      <w:pPr>
        <w:jc w:val="both"/>
        <w:rPr>
          <w:rFonts w:ascii="Verdana" w:hAnsi="Verdana"/>
          <w:sz w:val="20"/>
          <w:szCs w:val="20"/>
        </w:rPr>
      </w:pPr>
    </w:p>
    <w:p w:rsidR="00AB1C79" w:rsidRDefault="00AB1C79" w:rsidP="001C627E">
      <w:pPr>
        <w:jc w:val="both"/>
        <w:rPr>
          <w:rFonts w:ascii="Verdana" w:hAnsi="Verdana"/>
          <w:sz w:val="20"/>
          <w:szCs w:val="20"/>
        </w:rPr>
      </w:pPr>
    </w:p>
    <w:p w:rsidR="00AB1C79" w:rsidRDefault="00AB1C79" w:rsidP="001C627E">
      <w:pPr>
        <w:jc w:val="both"/>
        <w:rPr>
          <w:rFonts w:ascii="Verdana" w:hAnsi="Verdana"/>
          <w:sz w:val="20"/>
          <w:szCs w:val="20"/>
        </w:rPr>
      </w:pPr>
    </w:p>
    <w:p w:rsidR="00AB1C79" w:rsidRDefault="00AB1C79" w:rsidP="001C627E">
      <w:pPr>
        <w:jc w:val="both"/>
        <w:rPr>
          <w:rFonts w:ascii="Verdana" w:hAnsi="Verdana"/>
          <w:sz w:val="20"/>
          <w:szCs w:val="20"/>
        </w:rPr>
      </w:pPr>
    </w:p>
    <w:p w:rsidR="00AB1C79" w:rsidRDefault="00AB1C79" w:rsidP="001C627E">
      <w:pPr>
        <w:jc w:val="both"/>
        <w:rPr>
          <w:rFonts w:ascii="Verdana" w:hAnsi="Verdana"/>
          <w:sz w:val="20"/>
          <w:szCs w:val="20"/>
        </w:rPr>
      </w:pPr>
    </w:p>
    <w:p w:rsidR="00AB1C79" w:rsidRDefault="00AB1C79" w:rsidP="001C627E">
      <w:pPr>
        <w:jc w:val="both"/>
        <w:rPr>
          <w:rFonts w:ascii="Verdana" w:hAnsi="Verdana"/>
          <w:sz w:val="20"/>
          <w:szCs w:val="20"/>
        </w:rPr>
      </w:pPr>
    </w:p>
    <w:p w:rsidR="00AB1C79" w:rsidRPr="00F95CA9" w:rsidRDefault="00AB1C79" w:rsidP="00AB1C79">
      <w:pPr>
        <w:jc w:val="both"/>
        <w:rPr>
          <w:rFonts w:ascii="Verdana" w:hAnsi="Verdana" w:cs="Courier New"/>
          <w:noProof/>
          <w:sz w:val="20"/>
          <w:lang w:val="pt-BR"/>
        </w:rPr>
      </w:pPr>
      <w:r w:rsidRPr="00E558C4">
        <w:rPr>
          <w:rFonts w:ascii="Verdana" w:hAnsi="Verdana" w:cs="Courier New"/>
          <w:noProof/>
          <w:sz w:val="20"/>
          <w:lang w:val="pt-BR"/>
        </w:rPr>
        <w:t xml:space="preserve">Corte IDH. </w:t>
      </w:r>
      <w:r w:rsidRPr="00E558C4">
        <w:rPr>
          <w:rFonts w:ascii="Verdana" w:hAnsi="Verdana" w:cs="Courier New"/>
          <w:i/>
          <w:noProof/>
          <w:sz w:val="20"/>
          <w:lang w:val="pt-BR"/>
        </w:rPr>
        <w:t xml:space="preserve">Caso </w:t>
      </w:r>
      <w:r>
        <w:rPr>
          <w:rFonts w:ascii="Verdana" w:hAnsi="Verdana" w:cs="Courier New"/>
          <w:i/>
          <w:noProof/>
          <w:sz w:val="20"/>
          <w:lang w:val="pt-BR"/>
        </w:rPr>
        <w:t>Mujeres Víctimas de Tortura Sexual en Atenco Vs. México.</w:t>
      </w:r>
      <w:r w:rsidRPr="00E558C4">
        <w:rPr>
          <w:rFonts w:ascii="Verdana" w:hAnsi="Verdana" w:cs="Courier New"/>
          <w:noProof/>
          <w:sz w:val="20"/>
          <w:lang w:val="pt-BR"/>
        </w:rPr>
        <w:t xml:space="preserve"> </w:t>
      </w:r>
      <w:r w:rsidRPr="00430C27">
        <w:rPr>
          <w:rFonts w:ascii="Verdana" w:hAnsi="Verdana" w:cs="Courier New"/>
          <w:i/>
          <w:noProof/>
          <w:sz w:val="20"/>
          <w:lang w:val="pt-BR"/>
        </w:rPr>
        <w:t>Reintegro al Fondo de Asistencia Legal de Víctimas</w:t>
      </w:r>
      <w:r>
        <w:rPr>
          <w:rFonts w:ascii="Verdana" w:hAnsi="Verdana" w:cs="Courier New"/>
          <w:noProof/>
          <w:sz w:val="20"/>
          <w:lang w:val="pt-BR"/>
        </w:rPr>
        <w:t>. Resolución de la Corte Interamericana de Derechos Humanos de 7 de octubre de 2019.</w:t>
      </w:r>
    </w:p>
    <w:p w:rsidR="00AB1C79" w:rsidRDefault="00AB1C79" w:rsidP="00AB1C79">
      <w:pPr>
        <w:jc w:val="both"/>
        <w:rPr>
          <w:lang w:val="pt-BR"/>
        </w:rPr>
      </w:pPr>
    </w:p>
    <w:p w:rsidR="00AB1C79" w:rsidRPr="00E558C4" w:rsidRDefault="00AB1C79" w:rsidP="00AB1C79">
      <w:pPr>
        <w:jc w:val="center"/>
        <w:rPr>
          <w:rFonts w:ascii="Verdana" w:hAnsi="Verdana"/>
          <w:sz w:val="20"/>
          <w:lang w:val="pt-BR"/>
        </w:rPr>
      </w:pPr>
    </w:p>
    <w:p w:rsidR="00AB1C79" w:rsidRDefault="00AB1C79" w:rsidP="00AB1C79">
      <w:pPr>
        <w:jc w:val="center"/>
        <w:rPr>
          <w:rFonts w:ascii="Verdana" w:hAnsi="Verdana" w:cs="Courier New"/>
          <w:noProof/>
          <w:sz w:val="20"/>
          <w:lang w:val="es-AR"/>
        </w:rPr>
      </w:pPr>
    </w:p>
    <w:p w:rsidR="00AB1C79" w:rsidRPr="00847B73" w:rsidRDefault="00AB1C79" w:rsidP="00AB1C79">
      <w:pPr>
        <w:rPr>
          <w:rFonts w:ascii="Verdana" w:hAnsi="Verdana"/>
          <w:sz w:val="20"/>
          <w:lang w:val="es-ES"/>
        </w:rPr>
      </w:pPr>
    </w:p>
    <w:p w:rsidR="00AB1C79" w:rsidRDefault="00AB1C79" w:rsidP="00AB1C79">
      <w:pPr>
        <w:jc w:val="center"/>
        <w:rPr>
          <w:rFonts w:ascii="Verdana" w:hAnsi="Verdana"/>
          <w:sz w:val="20"/>
          <w:lang w:val="pt-BR"/>
        </w:rPr>
      </w:pPr>
      <w:r w:rsidRPr="00847B73">
        <w:rPr>
          <w:rFonts w:ascii="Verdana" w:hAnsi="Verdana"/>
          <w:sz w:val="20"/>
          <w:lang w:val="pt-BR"/>
        </w:rPr>
        <w:t>Eduardo Vio Grossi</w:t>
      </w:r>
      <w:r w:rsidRPr="00847B73">
        <w:rPr>
          <w:rFonts w:ascii="Verdana" w:hAnsi="Verdana"/>
          <w:sz w:val="20"/>
          <w:lang w:val="pt-BR"/>
        </w:rPr>
        <w:tab/>
      </w:r>
    </w:p>
    <w:p w:rsidR="00AB1C79" w:rsidRPr="00847B73" w:rsidRDefault="00AB1C79" w:rsidP="00AB1C79">
      <w:pPr>
        <w:jc w:val="center"/>
        <w:rPr>
          <w:rFonts w:ascii="Verdana" w:hAnsi="Verdana"/>
          <w:sz w:val="20"/>
          <w:lang w:val="pt-BR"/>
        </w:rPr>
      </w:pPr>
      <w:r w:rsidRPr="00847B73">
        <w:rPr>
          <w:rFonts w:ascii="Verdana" w:hAnsi="Verdana"/>
          <w:sz w:val="20"/>
          <w:lang w:val="pt-BR"/>
        </w:rPr>
        <w:t>Presidente</w:t>
      </w:r>
      <w:r>
        <w:rPr>
          <w:rFonts w:ascii="Verdana" w:hAnsi="Verdana"/>
          <w:sz w:val="20"/>
          <w:lang w:val="pt-BR"/>
        </w:rPr>
        <w:t xml:space="preserve"> en ejercicio</w:t>
      </w:r>
    </w:p>
    <w:p w:rsidR="00AB1C79" w:rsidRPr="00847B73" w:rsidRDefault="00AB1C79" w:rsidP="00AB1C79">
      <w:pPr>
        <w:jc w:val="both"/>
        <w:rPr>
          <w:rFonts w:ascii="Verdana" w:hAnsi="Verdana"/>
          <w:sz w:val="20"/>
          <w:lang w:val="pt-BR"/>
        </w:rPr>
      </w:pPr>
    </w:p>
    <w:p w:rsidR="00AB1C79" w:rsidRPr="00847B73" w:rsidRDefault="00AB1C79" w:rsidP="00AB1C79">
      <w:pPr>
        <w:jc w:val="both"/>
        <w:rPr>
          <w:rFonts w:ascii="Verdana" w:hAnsi="Verdana"/>
          <w:sz w:val="20"/>
          <w:lang w:val="pt-BR"/>
        </w:rPr>
      </w:pPr>
    </w:p>
    <w:p w:rsidR="00AB1C79" w:rsidRPr="00847B73" w:rsidRDefault="00AB1C79" w:rsidP="00AB1C79">
      <w:pPr>
        <w:jc w:val="both"/>
        <w:rPr>
          <w:rFonts w:ascii="Verdana" w:hAnsi="Verdana"/>
          <w:sz w:val="20"/>
          <w:lang w:val="pt-BR"/>
        </w:rPr>
      </w:pPr>
    </w:p>
    <w:p w:rsidR="00AB1C79" w:rsidRDefault="00AB1C79" w:rsidP="00AB1C79">
      <w:pPr>
        <w:jc w:val="both"/>
        <w:rPr>
          <w:rFonts w:ascii="Verdana" w:hAnsi="Verdana"/>
          <w:sz w:val="20"/>
          <w:lang w:val="pt-BR"/>
        </w:rPr>
      </w:pPr>
    </w:p>
    <w:p w:rsidR="00AB1C79" w:rsidRPr="00847B73" w:rsidRDefault="00AB1C79" w:rsidP="00AB1C79">
      <w:pPr>
        <w:jc w:val="both"/>
        <w:rPr>
          <w:rFonts w:ascii="Verdana" w:hAnsi="Verdana"/>
          <w:sz w:val="20"/>
          <w:lang w:val="pt-BR"/>
        </w:rPr>
      </w:pPr>
    </w:p>
    <w:p w:rsidR="00AB1C79" w:rsidRDefault="00AB1C79" w:rsidP="00AB1C79">
      <w:pPr>
        <w:rPr>
          <w:rFonts w:ascii="Verdana" w:hAnsi="Verdana"/>
          <w:sz w:val="20"/>
          <w:lang w:val="pt-BR"/>
        </w:rPr>
      </w:pPr>
      <w:r w:rsidRPr="00847B73">
        <w:rPr>
          <w:rFonts w:ascii="Verdana" w:hAnsi="Verdana"/>
          <w:sz w:val="20"/>
          <w:lang w:val="pt-BR"/>
        </w:rPr>
        <w:t>H</w:t>
      </w:r>
      <w:r>
        <w:rPr>
          <w:rFonts w:ascii="Verdana" w:hAnsi="Verdana"/>
          <w:sz w:val="20"/>
          <w:lang w:val="pt-BR"/>
        </w:rPr>
        <w:t>umberto Antonio Sierra Porto</w:t>
      </w:r>
      <w:r w:rsidRPr="00AF2BBF">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Elizabeth Odio Benito</w:t>
      </w:r>
    </w:p>
    <w:p w:rsidR="00AB1C79" w:rsidRDefault="00AB1C79" w:rsidP="00AB1C79">
      <w:pPr>
        <w:rPr>
          <w:rFonts w:ascii="Verdana" w:hAnsi="Verdana"/>
          <w:sz w:val="20"/>
          <w:lang w:val="pt-BR"/>
        </w:rPr>
      </w:pPr>
    </w:p>
    <w:p w:rsidR="00AB1C79" w:rsidRDefault="00AB1C79" w:rsidP="00AB1C79">
      <w:pPr>
        <w:rPr>
          <w:rFonts w:ascii="Verdana" w:hAnsi="Verdana"/>
          <w:sz w:val="20"/>
          <w:lang w:val="pt-BR"/>
        </w:rPr>
      </w:pPr>
    </w:p>
    <w:p w:rsidR="00AB1C79" w:rsidRDefault="00AB1C79" w:rsidP="00AB1C79">
      <w:pPr>
        <w:rPr>
          <w:rFonts w:ascii="Verdana" w:hAnsi="Verdana"/>
          <w:sz w:val="20"/>
          <w:lang w:val="pt-BR"/>
        </w:rPr>
      </w:pPr>
    </w:p>
    <w:p w:rsidR="00AB1C79" w:rsidRPr="00847B73" w:rsidRDefault="00AB1C79" w:rsidP="00AB1C79">
      <w:pPr>
        <w:rPr>
          <w:rFonts w:ascii="Verdana" w:hAnsi="Verdana"/>
          <w:sz w:val="20"/>
          <w:lang w:val="pt-BR"/>
        </w:rPr>
      </w:pPr>
    </w:p>
    <w:p w:rsidR="00AB1C79" w:rsidRPr="00847B73" w:rsidRDefault="00AB1C79" w:rsidP="00AB1C79">
      <w:pPr>
        <w:jc w:val="both"/>
        <w:rPr>
          <w:rFonts w:ascii="Verdana" w:hAnsi="Verdana"/>
          <w:sz w:val="20"/>
          <w:lang w:val="pt-BR"/>
        </w:rPr>
      </w:pPr>
      <w:r>
        <w:rPr>
          <w:rFonts w:ascii="Verdana" w:hAnsi="Verdana"/>
          <w:sz w:val="20"/>
          <w:lang w:val="pt-BR"/>
        </w:rPr>
        <w:tab/>
      </w:r>
      <w:r>
        <w:rPr>
          <w:rFonts w:ascii="Verdana" w:hAnsi="Verdana"/>
          <w:sz w:val="20"/>
          <w:lang w:val="pt-BR"/>
        </w:rPr>
        <w:tab/>
      </w:r>
      <w:r>
        <w:rPr>
          <w:rFonts w:ascii="Verdana" w:hAnsi="Verdana"/>
          <w:sz w:val="20"/>
          <w:lang w:val="pt-BR"/>
        </w:rPr>
        <w:tab/>
      </w:r>
    </w:p>
    <w:p w:rsidR="00AB1C79" w:rsidRPr="00847B73" w:rsidRDefault="00AB1C79" w:rsidP="00AB1C79">
      <w:pPr>
        <w:rPr>
          <w:rFonts w:ascii="Verdana" w:hAnsi="Verdana"/>
          <w:sz w:val="20"/>
          <w:lang w:val="pt-BR"/>
        </w:rPr>
      </w:pPr>
      <w:r w:rsidRPr="00847B73">
        <w:rPr>
          <w:rFonts w:ascii="Verdana" w:hAnsi="Verdana"/>
          <w:sz w:val="20"/>
          <w:lang w:val="pt-BR"/>
        </w:rPr>
        <w:t xml:space="preserve">Eugenio Raúl Zaffaroni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847B73">
        <w:rPr>
          <w:rFonts w:ascii="Verdana" w:hAnsi="Verdana"/>
          <w:sz w:val="20"/>
          <w:lang w:val="pt-BR"/>
        </w:rPr>
        <w:t>L. Patricio Pazmiño Freire</w:t>
      </w:r>
    </w:p>
    <w:p w:rsidR="00AB1C79" w:rsidRPr="00847B73" w:rsidRDefault="00AB1C79" w:rsidP="00AB1C79">
      <w:pPr>
        <w:rPr>
          <w:rFonts w:ascii="Verdana" w:hAnsi="Verdana"/>
          <w:sz w:val="20"/>
          <w:lang w:val="pt-BR"/>
        </w:rPr>
      </w:pPr>
    </w:p>
    <w:p w:rsidR="00AB1C79" w:rsidRDefault="00AB1C79" w:rsidP="00AB1C79">
      <w:pPr>
        <w:rPr>
          <w:rFonts w:ascii="Verdana" w:hAnsi="Verdana"/>
          <w:sz w:val="20"/>
          <w:lang w:val="pt-BR"/>
        </w:rPr>
      </w:pPr>
    </w:p>
    <w:p w:rsidR="00AB1C79" w:rsidRPr="00847B73" w:rsidRDefault="00AB1C79" w:rsidP="00AB1C79">
      <w:pPr>
        <w:jc w:val="center"/>
        <w:rPr>
          <w:rFonts w:ascii="Verdana" w:hAnsi="Verdana"/>
          <w:sz w:val="20"/>
          <w:lang w:val="pt-BR"/>
        </w:rPr>
      </w:pPr>
    </w:p>
    <w:p w:rsidR="00AB1C79" w:rsidRPr="00847B73" w:rsidRDefault="00AB1C79" w:rsidP="00AB1C79">
      <w:pPr>
        <w:jc w:val="center"/>
        <w:rPr>
          <w:rFonts w:ascii="Verdana" w:hAnsi="Verdana"/>
          <w:sz w:val="20"/>
          <w:lang w:val="pt-BR"/>
        </w:rPr>
      </w:pPr>
    </w:p>
    <w:p w:rsidR="00AB1C79" w:rsidRPr="00847B73" w:rsidRDefault="00AB1C79" w:rsidP="00AB1C79">
      <w:pPr>
        <w:jc w:val="center"/>
        <w:rPr>
          <w:rFonts w:ascii="Verdana" w:hAnsi="Verdana"/>
          <w:sz w:val="20"/>
          <w:lang w:val="pt-BR"/>
        </w:rPr>
      </w:pPr>
    </w:p>
    <w:p w:rsidR="00AB1C79" w:rsidRPr="00847B73" w:rsidRDefault="00AB1C79" w:rsidP="00AB1C79">
      <w:pPr>
        <w:jc w:val="center"/>
        <w:rPr>
          <w:rFonts w:ascii="Verdana" w:hAnsi="Verdana"/>
          <w:sz w:val="20"/>
        </w:rPr>
      </w:pPr>
      <w:r w:rsidRPr="00847B73">
        <w:rPr>
          <w:rFonts w:ascii="Verdana" w:hAnsi="Verdana"/>
          <w:sz w:val="20"/>
        </w:rPr>
        <w:t>Ricardo C. Pérez Manrique</w:t>
      </w:r>
    </w:p>
    <w:p w:rsidR="00AB1C79" w:rsidRPr="00847B73" w:rsidRDefault="00AB1C79" w:rsidP="00AB1C79">
      <w:pPr>
        <w:jc w:val="both"/>
        <w:rPr>
          <w:rFonts w:ascii="Verdana" w:hAnsi="Verdana"/>
          <w:sz w:val="20"/>
        </w:rPr>
      </w:pPr>
    </w:p>
    <w:p w:rsidR="00AB1C79" w:rsidRDefault="00AB1C79" w:rsidP="00AB1C79">
      <w:pPr>
        <w:jc w:val="both"/>
        <w:rPr>
          <w:rFonts w:ascii="Verdana" w:hAnsi="Verdana"/>
          <w:sz w:val="20"/>
          <w:lang w:val="pt-BR"/>
        </w:rPr>
      </w:pPr>
    </w:p>
    <w:p w:rsidR="00AB1C79" w:rsidRDefault="00AB1C79" w:rsidP="00AB1C79">
      <w:pPr>
        <w:jc w:val="both"/>
        <w:rPr>
          <w:rFonts w:ascii="Verdana" w:hAnsi="Verdana"/>
          <w:sz w:val="20"/>
          <w:lang w:val="pt-BR"/>
        </w:rPr>
      </w:pPr>
    </w:p>
    <w:p w:rsidR="00AB1C79" w:rsidRPr="00847B73" w:rsidRDefault="00AB1C79" w:rsidP="00AB1C79">
      <w:pPr>
        <w:jc w:val="both"/>
        <w:rPr>
          <w:rFonts w:ascii="Verdana" w:hAnsi="Verdana"/>
          <w:sz w:val="20"/>
          <w:lang w:val="pt-BR"/>
        </w:rPr>
      </w:pPr>
    </w:p>
    <w:p w:rsidR="00AB1C79" w:rsidRPr="00847B73" w:rsidRDefault="00AB1C79" w:rsidP="00AB1C79">
      <w:pPr>
        <w:jc w:val="both"/>
        <w:rPr>
          <w:rFonts w:ascii="Verdana" w:hAnsi="Verdana"/>
          <w:sz w:val="20"/>
          <w:lang w:val="pt-BR"/>
        </w:rPr>
      </w:pPr>
    </w:p>
    <w:p w:rsidR="00AB1C79" w:rsidRPr="00847B73" w:rsidRDefault="00AB1C79" w:rsidP="00AB1C79">
      <w:pPr>
        <w:jc w:val="center"/>
        <w:rPr>
          <w:rFonts w:ascii="Verdana" w:hAnsi="Verdana"/>
          <w:sz w:val="20"/>
          <w:lang w:val="pt-BR"/>
        </w:rPr>
      </w:pPr>
      <w:r w:rsidRPr="00847B73">
        <w:rPr>
          <w:rFonts w:ascii="Verdana" w:hAnsi="Verdana"/>
          <w:sz w:val="20"/>
          <w:lang w:val="pt-BR"/>
        </w:rPr>
        <w:t>Pablo Saavedra Alessandri</w:t>
      </w:r>
    </w:p>
    <w:p w:rsidR="00AB1C79" w:rsidRPr="00847B73" w:rsidRDefault="00AB1C79" w:rsidP="00AB1C79">
      <w:pPr>
        <w:jc w:val="center"/>
        <w:rPr>
          <w:rFonts w:ascii="Verdana" w:hAnsi="Verdana"/>
          <w:sz w:val="20"/>
          <w:lang w:val="pt-BR"/>
        </w:rPr>
      </w:pPr>
      <w:r w:rsidRPr="00847B73">
        <w:rPr>
          <w:rFonts w:ascii="Verdana" w:hAnsi="Verdana"/>
          <w:sz w:val="20"/>
          <w:lang w:val="pt-BR"/>
        </w:rPr>
        <w:t>Secretario</w:t>
      </w:r>
    </w:p>
    <w:p w:rsidR="00AB1C79" w:rsidRDefault="00AB1C79" w:rsidP="00AB1C79">
      <w:pPr>
        <w:rPr>
          <w:rFonts w:ascii="Verdana" w:hAnsi="Verdana"/>
          <w:sz w:val="20"/>
          <w:lang w:val="pt-BR"/>
        </w:rPr>
      </w:pPr>
    </w:p>
    <w:p w:rsidR="00AB1C79" w:rsidRPr="00847B73" w:rsidRDefault="00AB1C79" w:rsidP="00AB1C79">
      <w:pPr>
        <w:rPr>
          <w:rFonts w:ascii="Verdana" w:hAnsi="Verdana"/>
          <w:sz w:val="20"/>
          <w:lang w:val="pt-BR"/>
        </w:rPr>
      </w:pPr>
    </w:p>
    <w:p w:rsidR="00AB1C79" w:rsidRPr="00847B73" w:rsidRDefault="00AB1C79" w:rsidP="00AB1C79">
      <w:pPr>
        <w:pStyle w:val="Textonotapie"/>
        <w:rPr>
          <w:rFonts w:ascii="Verdana" w:hAnsi="Verdana"/>
          <w:lang w:val="pt-BR"/>
        </w:rPr>
      </w:pPr>
    </w:p>
    <w:p w:rsidR="00AB1C79" w:rsidRPr="00847B73" w:rsidRDefault="00AB1C79" w:rsidP="00AB1C79">
      <w:pPr>
        <w:jc w:val="both"/>
        <w:rPr>
          <w:rFonts w:ascii="Verdana" w:hAnsi="Verdana"/>
          <w:sz w:val="20"/>
          <w:lang w:val="pt-BR"/>
        </w:rPr>
      </w:pPr>
      <w:r w:rsidRPr="00847B73">
        <w:rPr>
          <w:rFonts w:ascii="Verdana" w:hAnsi="Verdana"/>
          <w:sz w:val="20"/>
          <w:lang w:val="pt-BR"/>
        </w:rPr>
        <w:t>Comuníquese y ejecútese,</w:t>
      </w:r>
    </w:p>
    <w:p w:rsidR="00AB1C79" w:rsidRPr="00847B73" w:rsidRDefault="00AB1C79" w:rsidP="00AB1C79">
      <w:pPr>
        <w:jc w:val="both"/>
        <w:rPr>
          <w:rFonts w:ascii="Verdana" w:hAnsi="Verdana"/>
          <w:sz w:val="20"/>
          <w:lang w:val="pt-BR"/>
        </w:rPr>
      </w:pPr>
    </w:p>
    <w:p w:rsidR="00AB1C79" w:rsidRPr="00847B73" w:rsidRDefault="00AB1C79" w:rsidP="00AB1C79">
      <w:pPr>
        <w:jc w:val="both"/>
        <w:rPr>
          <w:rFonts w:ascii="Verdana" w:hAnsi="Verdana"/>
          <w:sz w:val="20"/>
          <w:lang w:val="pt-BR"/>
        </w:rPr>
      </w:pPr>
    </w:p>
    <w:p w:rsidR="00AB1C79" w:rsidRPr="00847B73" w:rsidRDefault="00AB1C79" w:rsidP="00AB1C79">
      <w:pPr>
        <w:jc w:val="both"/>
        <w:rPr>
          <w:rFonts w:ascii="Verdana" w:hAnsi="Verdana"/>
          <w:sz w:val="20"/>
          <w:lang w:val="pt-BR"/>
        </w:rPr>
      </w:pPr>
    </w:p>
    <w:p w:rsidR="00AB1C79" w:rsidRDefault="00AB1C79" w:rsidP="00AB1C79">
      <w:pPr>
        <w:jc w:val="both"/>
        <w:rPr>
          <w:rFonts w:ascii="Verdana" w:hAnsi="Verdana"/>
          <w:sz w:val="20"/>
          <w:lang w:val="pt-BR"/>
        </w:rPr>
      </w:pPr>
    </w:p>
    <w:p w:rsidR="00AB1C79" w:rsidRPr="00847B73" w:rsidRDefault="00AB1C79" w:rsidP="00AB1C79">
      <w:pPr>
        <w:rPr>
          <w:rFonts w:ascii="Verdana" w:hAnsi="Verdana"/>
          <w:sz w:val="20"/>
          <w:lang w:val="es-ES"/>
        </w:rPr>
      </w:pPr>
    </w:p>
    <w:p w:rsidR="00AB1C79" w:rsidRDefault="00AB1C79" w:rsidP="00AB1C79">
      <w:pPr>
        <w:ind w:left="4956" w:firstLine="708"/>
        <w:jc w:val="center"/>
        <w:rPr>
          <w:rFonts w:ascii="Verdana" w:hAnsi="Verdana"/>
          <w:sz w:val="20"/>
          <w:lang w:val="pt-BR"/>
        </w:rPr>
      </w:pPr>
      <w:r w:rsidRPr="00847B73">
        <w:rPr>
          <w:rFonts w:ascii="Verdana" w:hAnsi="Verdana"/>
          <w:sz w:val="20"/>
          <w:lang w:val="pt-BR"/>
        </w:rPr>
        <w:t>Eduardo Vio Grossi</w:t>
      </w:r>
      <w:r w:rsidRPr="00847B73">
        <w:rPr>
          <w:rFonts w:ascii="Verdana" w:hAnsi="Verdana"/>
          <w:sz w:val="20"/>
          <w:lang w:val="pt-BR"/>
        </w:rPr>
        <w:tab/>
      </w:r>
    </w:p>
    <w:p w:rsidR="00AB1C79" w:rsidRPr="00847B73" w:rsidRDefault="00AB1C79" w:rsidP="00AB1C79">
      <w:pPr>
        <w:ind w:left="4956" w:firstLine="708"/>
        <w:jc w:val="center"/>
        <w:rPr>
          <w:rFonts w:ascii="Verdana" w:hAnsi="Verdana"/>
          <w:sz w:val="20"/>
          <w:lang w:val="pt-BR"/>
        </w:rPr>
      </w:pPr>
      <w:r w:rsidRPr="00847B73">
        <w:rPr>
          <w:rFonts w:ascii="Verdana" w:hAnsi="Verdana"/>
          <w:sz w:val="20"/>
          <w:lang w:val="pt-BR"/>
        </w:rPr>
        <w:t>Presidente</w:t>
      </w:r>
      <w:r>
        <w:rPr>
          <w:rFonts w:ascii="Verdana" w:hAnsi="Verdana"/>
          <w:sz w:val="20"/>
          <w:lang w:val="pt-BR"/>
        </w:rPr>
        <w:t xml:space="preserve"> en ejercicio</w:t>
      </w:r>
    </w:p>
    <w:p w:rsidR="00AB1C79" w:rsidRPr="00847B73" w:rsidRDefault="00AB1C79" w:rsidP="00AB1C79">
      <w:pPr>
        <w:jc w:val="both"/>
        <w:rPr>
          <w:rFonts w:ascii="Verdana" w:hAnsi="Verdana"/>
          <w:sz w:val="20"/>
          <w:lang w:val="pt-BR"/>
        </w:rPr>
      </w:pPr>
    </w:p>
    <w:p w:rsidR="00AB1C79" w:rsidRDefault="00AB1C79" w:rsidP="00AB1C79">
      <w:pPr>
        <w:jc w:val="both"/>
        <w:rPr>
          <w:rFonts w:ascii="Verdana" w:hAnsi="Verdana"/>
          <w:sz w:val="20"/>
          <w:lang w:val="pt-BR"/>
        </w:rPr>
      </w:pPr>
    </w:p>
    <w:p w:rsidR="00AB1C79" w:rsidRPr="00847B73" w:rsidRDefault="00AB1C79" w:rsidP="00AB1C79">
      <w:pPr>
        <w:jc w:val="both"/>
        <w:rPr>
          <w:rFonts w:ascii="Verdana" w:hAnsi="Verdana"/>
          <w:sz w:val="20"/>
          <w:lang w:val="pt-BR"/>
        </w:rPr>
      </w:pPr>
    </w:p>
    <w:p w:rsidR="00AB1C79" w:rsidRPr="00847B73" w:rsidRDefault="00AB1C79" w:rsidP="00AB1C79">
      <w:pPr>
        <w:jc w:val="both"/>
        <w:rPr>
          <w:rFonts w:ascii="Verdana" w:hAnsi="Verdana"/>
          <w:sz w:val="20"/>
          <w:lang w:val="es-ES"/>
        </w:rPr>
      </w:pPr>
      <w:r w:rsidRPr="00847B73">
        <w:rPr>
          <w:rFonts w:ascii="Verdana" w:hAnsi="Verdana"/>
          <w:sz w:val="20"/>
          <w:lang w:val="es-ES"/>
        </w:rPr>
        <w:t>Pablo Saavedra Alessandri</w:t>
      </w:r>
    </w:p>
    <w:p w:rsidR="00AB1C79" w:rsidRPr="00FC7D8B" w:rsidRDefault="00AB1C79" w:rsidP="00AB1C79">
      <w:pPr>
        <w:rPr>
          <w:rFonts w:ascii="Verdana" w:hAnsi="Verdana"/>
          <w:sz w:val="20"/>
        </w:rPr>
      </w:pPr>
      <w:r w:rsidRPr="00847B73">
        <w:rPr>
          <w:rFonts w:ascii="Verdana" w:hAnsi="Verdana"/>
          <w:sz w:val="20"/>
          <w:lang w:val="es-ES"/>
        </w:rPr>
        <w:tab/>
      </w:r>
      <w:r w:rsidRPr="00847B73">
        <w:rPr>
          <w:rFonts w:ascii="Verdana" w:hAnsi="Verdana"/>
          <w:sz w:val="20"/>
        </w:rPr>
        <w:t>Secretario</w:t>
      </w:r>
    </w:p>
    <w:p w:rsidR="00AB1C79" w:rsidRDefault="00AB1C79" w:rsidP="001C627E">
      <w:pPr>
        <w:jc w:val="both"/>
        <w:rPr>
          <w:rFonts w:ascii="Verdana" w:hAnsi="Verdana"/>
          <w:sz w:val="20"/>
          <w:szCs w:val="20"/>
        </w:rPr>
      </w:pPr>
    </w:p>
    <w:sectPr w:rsidR="00AB1C79" w:rsidSect="00932472">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9A3" w:rsidRDefault="004A69A3" w:rsidP="0065520B">
      <w:r>
        <w:separator/>
      </w:r>
    </w:p>
  </w:endnote>
  <w:endnote w:type="continuationSeparator" w:id="0">
    <w:p w:rsidR="004A69A3" w:rsidRDefault="004A69A3" w:rsidP="00655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E3F96A70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9A3" w:rsidRDefault="004A69A3" w:rsidP="0065520B">
      <w:r>
        <w:separator/>
      </w:r>
    </w:p>
  </w:footnote>
  <w:footnote w:type="continuationSeparator" w:id="0">
    <w:p w:rsidR="004A69A3" w:rsidRDefault="004A69A3" w:rsidP="0065520B">
      <w:r>
        <w:continuationSeparator/>
      </w:r>
    </w:p>
  </w:footnote>
  <w:footnote w:id="1">
    <w:p w:rsidR="00D10C7F" w:rsidRPr="00D10C7F" w:rsidRDefault="00D10C7F" w:rsidP="00D10C7F">
      <w:pPr>
        <w:pStyle w:val="Textonotapie"/>
        <w:jc w:val="both"/>
        <w:rPr>
          <w:rFonts w:ascii="Verdana" w:hAnsi="Verdana" w:cs="Verdana"/>
          <w:sz w:val="16"/>
          <w:szCs w:val="16"/>
          <w:lang w:val="es-CO"/>
        </w:rPr>
      </w:pPr>
      <w:r w:rsidRPr="00D10C7F">
        <w:rPr>
          <w:rFonts w:ascii="Verdana" w:hAnsi="Verdana"/>
          <w:sz w:val="16"/>
          <w:szCs w:val="16"/>
          <w:vertAlign w:val="superscript"/>
          <w:lang w:val="es-CR"/>
        </w:rPr>
        <w:t>*</w:t>
      </w:r>
      <w:r w:rsidRPr="00D10C7F">
        <w:rPr>
          <w:rFonts w:ascii="Verdana" w:hAnsi="Verdana"/>
          <w:sz w:val="16"/>
          <w:szCs w:val="16"/>
          <w:lang w:val="es-CR"/>
        </w:rPr>
        <w:tab/>
      </w:r>
      <w:r w:rsidRPr="00D10C7F">
        <w:rPr>
          <w:rFonts w:ascii="Verdana" w:hAnsi="Verdana"/>
          <w:sz w:val="16"/>
          <w:szCs w:val="16"/>
        </w:rPr>
        <w:t>El Juez Eduardo Ferrer Mac-Gregor Poisot, de nacionalidad mexicana</w:t>
      </w:r>
      <w:r w:rsidRPr="00D10C7F">
        <w:rPr>
          <w:rFonts w:ascii="Verdana" w:hAnsi="Verdana" w:cs="Verdana"/>
          <w:sz w:val="16"/>
          <w:szCs w:val="16"/>
          <w:lang w:val="es-CO"/>
        </w:rPr>
        <w:t xml:space="preserve">, </w:t>
      </w:r>
      <w:r w:rsidRPr="00D10C7F">
        <w:rPr>
          <w:rFonts w:ascii="Verdana" w:hAnsi="Verdana"/>
          <w:sz w:val="16"/>
          <w:szCs w:val="16"/>
          <w:lang w:val="es-CR"/>
        </w:rPr>
        <w:t xml:space="preserve">no participó en la deliberación y firma de la Sentencia del presente caso, ni en el conocimiento y deliberación de la presente Resolución, de conformidad con lo dispuesto en </w:t>
      </w:r>
      <w:r w:rsidR="00FD3A9D">
        <w:rPr>
          <w:rFonts w:ascii="Verdana" w:hAnsi="Verdana"/>
          <w:sz w:val="16"/>
          <w:szCs w:val="16"/>
          <w:lang w:val="es-CR"/>
        </w:rPr>
        <w:t>los</w:t>
      </w:r>
      <w:r w:rsidRPr="00D10C7F">
        <w:rPr>
          <w:rFonts w:ascii="Verdana" w:hAnsi="Verdana"/>
          <w:sz w:val="16"/>
          <w:szCs w:val="16"/>
          <w:lang w:val="es-CR"/>
        </w:rPr>
        <w:t xml:space="preserve"> </w:t>
      </w:r>
      <w:r w:rsidRPr="00D10C7F">
        <w:rPr>
          <w:rFonts w:ascii="Verdana" w:hAnsi="Verdana" w:cs="Verdana"/>
          <w:sz w:val="16"/>
          <w:szCs w:val="16"/>
          <w:lang w:val="es-CO"/>
        </w:rPr>
        <w:t>artículos 19.2 del Estatuto y 19.1 del Reglamento de la Corte.</w:t>
      </w:r>
    </w:p>
  </w:footnote>
  <w:footnote w:id="2">
    <w:p w:rsidR="006B64BE" w:rsidRPr="00EE4992" w:rsidRDefault="006B64BE" w:rsidP="00FE1438">
      <w:pPr>
        <w:pStyle w:val="Textonotapie"/>
        <w:jc w:val="both"/>
        <w:rPr>
          <w:rFonts w:ascii="Verdana" w:hAnsi="Verdana"/>
          <w:sz w:val="16"/>
          <w:szCs w:val="16"/>
          <w:lang w:val="es-CR"/>
        </w:rPr>
      </w:pPr>
      <w:r w:rsidRPr="00EE4992">
        <w:rPr>
          <w:rStyle w:val="Refdenotaalpie"/>
          <w:rFonts w:ascii="Verdana" w:hAnsi="Verdana"/>
          <w:sz w:val="16"/>
          <w:szCs w:val="16"/>
        </w:rPr>
        <w:footnoteRef/>
      </w:r>
      <w:r w:rsidRPr="00EE4992">
        <w:rPr>
          <w:rFonts w:ascii="Verdana" w:hAnsi="Verdana"/>
          <w:sz w:val="16"/>
          <w:szCs w:val="16"/>
          <w:lang w:val="es-CR"/>
        </w:rPr>
        <w:t xml:space="preserve"> </w:t>
      </w:r>
      <w:r w:rsidRPr="00EE4992">
        <w:rPr>
          <w:rFonts w:ascii="Verdana" w:hAnsi="Verdana"/>
          <w:sz w:val="16"/>
          <w:szCs w:val="16"/>
          <w:lang w:val="es-CR"/>
        </w:rPr>
        <w:tab/>
      </w:r>
      <w:r w:rsidR="006F05E8" w:rsidRPr="00EE4992">
        <w:rPr>
          <w:rFonts w:ascii="Verdana" w:hAnsi="Verdana"/>
          <w:i/>
          <w:sz w:val="16"/>
          <w:szCs w:val="16"/>
          <w:lang w:val="es-CR"/>
        </w:rPr>
        <w:t xml:space="preserve">Cfr. </w:t>
      </w:r>
      <w:r w:rsidR="006F05E8" w:rsidRPr="00EE4992">
        <w:rPr>
          <w:rStyle w:val="Textoennegrita"/>
          <w:rFonts w:ascii="Verdana" w:hAnsi="Verdana"/>
          <w:b w:val="0"/>
          <w:i/>
          <w:color w:val="000000"/>
          <w:sz w:val="16"/>
          <w:szCs w:val="16"/>
          <w:shd w:val="clear" w:color="auto" w:fill="FFFFFF"/>
        </w:rPr>
        <w:t xml:space="preserve">Caso </w:t>
      </w:r>
      <w:r w:rsidR="006F05E8">
        <w:rPr>
          <w:rStyle w:val="Textoennegrita"/>
          <w:rFonts w:ascii="Verdana" w:hAnsi="Verdana"/>
          <w:b w:val="0"/>
          <w:i/>
          <w:color w:val="000000"/>
          <w:sz w:val="16"/>
          <w:szCs w:val="16"/>
          <w:shd w:val="clear" w:color="auto" w:fill="FFFFFF"/>
          <w:lang w:val="es-CR"/>
        </w:rPr>
        <w:t>Mujeres Víctimas de Tortura Sexual en Atenco</w:t>
      </w:r>
      <w:r w:rsidR="006F05E8" w:rsidRPr="00EE4992">
        <w:rPr>
          <w:rStyle w:val="Textoennegrita"/>
          <w:rFonts w:ascii="Verdana" w:hAnsi="Verdana"/>
          <w:b w:val="0"/>
          <w:i/>
          <w:color w:val="000000"/>
          <w:sz w:val="16"/>
          <w:szCs w:val="16"/>
          <w:shd w:val="clear" w:color="auto" w:fill="FFFFFF"/>
        </w:rPr>
        <w:t xml:space="preserve"> Vs. </w:t>
      </w:r>
      <w:r w:rsidR="006F05E8">
        <w:rPr>
          <w:rStyle w:val="Textoennegrita"/>
          <w:rFonts w:ascii="Verdana" w:hAnsi="Verdana"/>
          <w:b w:val="0"/>
          <w:i/>
          <w:color w:val="000000"/>
          <w:sz w:val="16"/>
          <w:szCs w:val="16"/>
          <w:shd w:val="clear" w:color="auto" w:fill="FFFFFF"/>
          <w:lang w:val="es-CR"/>
        </w:rPr>
        <w:t>México</w:t>
      </w:r>
      <w:r w:rsidR="006F05E8" w:rsidRPr="00EE4992">
        <w:rPr>
          <w:rStyle w:val="Textoennegrita"/>
          <w:rFonts w:ascii="Verdana" w:hAnsi="Verdana"/>
          <w:b w:val="0"/>
          <w:i/>
          <w:color w:val="000000"/>
          <w:sz w:val="16"/>
          <w:szCs w:val="16"/>
          <w:shd w:val="clear" w:color="auto" w:fill="FFFFFF"/>
        </w:rPr>
        <w:t xml:space="preserve">. </w:t>
      </w:r>
      <w:r w:rsidR="006F05E8">
        <w:rPr>
          <w:rStyle w:val="Textoennegrita"/>
          <w:rFonts w:ascii="Verdana" w:hAnsi="Verdana"/>
          <w:b w:val="0"/>
          <w:i/>
          <w:color w:val="000000"/>
          <w:sz w:val="16"/>
          <w:szCs w:val="16"/>
          <w:shd w:val="clear" w:color="auto" w:fill="FFFFFF"/>
          <w:lang w:val="es-CR"/>
        </w:rPr>
        <w:t xml:space="preserve">Excepción Preliminar, </w:t>
      </w:r>
      <w:r w:rsidR="006F05E8" w:rsidRPr="00EE4992">
        <w:rPr>
          <w:rStyle w:val="Textoennegrita"/>
          <w:rFonts w:ascii="Verdana" w:hAnsi="Verdana"/>
          <w:b w:val="0"/>
          <w:i/>
          <w:color w:val="000000"/>
          <w:sz w:val="16"/>
          <w:szCs w:val="16"/>
          <w:shd w:val="clear" w:color="auto" w:fill="FFFFFF"/>
        </w:rPr>
        <w:t>Fondo, Reparaciones y Costas</w:t>
      </w:r>
      <w:r w:rsidR="006F05E8" w:rsidRPr="00EE4992">
        <w:rPr>
          <w:rStyle w:val="Textoennegrita"/>
          <w:rFonts w:ascii="Verdana" w:hAnsi="Verdana"/>
          <w:b w:val="0"/>
          <w:color w:val="000000"/>
          <w:sz w:val="16"/>
          <w:szCs w:val="16"/>
          <w:shd w:val="clear" w:color="auto" w:fill="FFFFFF"/>
        </w:rPr>
        <w:t xml:space="preserve">. Sentencia de </w:t>
      </w:r>
      <w:r w:rsidR="006F05E8">
        <w:rPr>
          <w:rStyle w:val="Textoennegrita"/>
          <w:rFonts w:ascii="Verdana" w:hAnsi="Verdana"/>
          <w:b w:val="0"/>
          <w:color w:val="000000"/>
          <w:sz w:val="16"/>
          <w:szCs w:val="16"/>
          <w:shd w:val="clear" w:color="auto" w:fill="FFFFFF"/>
          <w:lang w:val="es-CR"/>
        </w:rPr>
        <w:t>28</w:t>
      </w:r>
      <w:r w:rsidR="006F05E8" w:rsidRPr="00EE4992">
        <w:rPr>
          <w:rStyle w:val="Textoennegrita"/>
          <w:rFonts w:ascii="Verdana" w:hAnsi="Verdana"/>
          <w:b w:val="0"/>
          <w:color w:val="000000"/>
          <w:sz w:val="16"/>
          <w:szCs w:val="16"/>
          <w:shd w:val="clear" w:color="auto" w:fill="FFFFFF"/>
        </w:rPr>
        <w:t xml:space="preserve"> de </w:t>
      </w:r>
      <w:r w:rsidR="006F05E8">
        <w:rPr>
          <w:rStyle w:val="Textoennegrita"/>
          <w:rFonts w:ascii="Verdana" w:hAnsi="Verdana"/>
          <w:b w:val="0"/>
          <w:color w:val="000000"/>
          <w:sz w:val="16"/>
          <w:szCs w:val="16"/>
          <w:shd w:val="clear" w:color="auto" w:fill="FFFFFF"/>
          <w:lang w:val="es-CR"/>
        </w:rPr>
        <w:t>noviembre</w:t>
      </w:r>
      <w:r w:rsidR="006F05E8" w:rsidRPr="00EE4992">
        <w:rPr>
          <w:rStyle w:val="Textoennegrita"/>
          <w:rFonts w:ascii="Verdana" w:hAnsi="Verdana"/>
          <w:b w:val="0"/>
          <w:color w:val="000000"/>
          <w:sz w:val="16"/>
          <w:szCs w:val="16"/>
          <w:shd w:val="clear" w:color="auto" w:fill="FFFFFF"/>
        </w:rPr>
        <w:t xml:space="preserve"> de 2018. Serie C No. </w:t>
      </w:r>
      <w:r w:rsidR="006F05E8">
        <w:rPr>
          <w:rStyle w:val="Textoennegrita"/>
          <w:rFonts w:ascii="Verdana" w:hAnsi="Verdana"/>
          <w:b w:val="0"/>
          <w:color w:val="000000"/>
          <w:sz w:val="16"/>
          <w:szCs w:val="16"/>
          <w:shd w:val="clear" w:color="auto" w:fill="FFFFFF"/>
          <w:lang w:val="es-CR"/>
        </w:rPr>
        <w:t>371</w:t>
      </w:r>
      <w:r w:rsidR="006F05E8" w:rsidRPr="00EE4992">
        <w:rPr>
          <w:rStyle w:val="Textoennegrita"/>
          <w:rFonts w:ascii="Verdana" w:hAnsi="Verdana"/>
          <w:b w:val="0"/>
          <w:color w:val="000000"/>
          <w:sz w:val="16"/>
          <w:szCs w:val="16"/>
          <w:shd w:val="clear" w:color="auto" w:fill="FFFFFF"/>
        </w:rPr>
        <w:t>.</w:t>
      </w:r>
      <w:r w:rsidR="006F05E8" w:rsidRPr="00EE4992">
        <w:rPr>
          <w:rFonts w:ascii="Verdana" w:hAnsi="Verdana"/>
          <w:b/>
          <w:sz w:val="16"/>
          <w:szCs w:val="16"/>
          <w:lang w:val="es-CR"/>
        </w:rPr>
        <w:t xml:space="preserve"> </w:t>
      </w:r>
      <w:r w:rsidR="006F05E8" w:rsidRPr="00EE4992">
        <w:rPr>
          <w:rFonts w:ascii="Verdana" w:hAnsi="Verdana"/>
          <w:sz w:val="16"/>
          <w:szCs w:val="16"/>
          <w:lang w:val="es-CR"/>
        </w:rPr>
        <w:t xml:space="preserve">El texto íntegro de la Sentencia se encuentra disponible en: </w:t>
      </w:r>
      <w:hyperlink r:id="rId1" w:history="1">
        <w:r w:rsidR="006F05E8" w:rsidRPr="001B0B1E">
          <w:rPr>
            <w:rStyle w:val="Hipervnculo"/>
            <w:rFonts w:ascii="Verdana" w:hAnsi="Verdana"/>
            <w:sz w:val="16"/>
            <w:szCs w:val="16"/>
            <w:lang w:val="es-CR"/>
          </w:rPr>
          <w:t>http://www.corteidh.or.cr/docs/casos/articulos/seriec_371_esp.pdf</w:t>
        </w:r>
      </w:hyperlink>
      <w:r w:rsidR="006F05E8" w:rsidRPr="00EE4992">
        <w:rPr>
          <w:rFonts w:ascii="Verdana" w:hAnsi="Verdana"/>
          <w:sz w:val="16"/>
          <w:szCs w:val="16"/>
          <w:lang w:val="es-CR"/>
        </w:rPr>
        <w:t xml:space="preserve">. La Sentencia fue notificada al Estado el </w:t>
      </w:r>
      <w:r w:rsidR="006F05E8">
        <w:rPr>
          <w:rFonts w:ascii="Verdana" w:hAnsi="Verdana"/>
          <w:sz w:val="16"/>
          <w:szCs w:val="16"/>
          <w:lang w:val="es-CR"/>
        </w:rPr>
        <w:t>21 de diciembre de 2018.</w:t>
      </w:r>
    </w:p>
  </w:footnote>
  <w:footnote w:id="3">
    <w:p w:rsidR="008B0E1B" w:rsidRPr="0062783C" w:rsidRDefault="008B0E1B" w:rsidP="008B0E1B">
      <w:pPr>
        <w:pStyle w:val="Textonotapie"/>
        <w:jc w:val="both"/>
        <w:rPr>
          <w:rFonts w:ascii="Verdana" w:hAnsi="Verdana"/>
          <w:sz w:val="16"/>
          <w:szCs w:val="16"/>
          <w:lang w:val="es-CR"/>
        </w:rPr>
      </w:pPr>
      <w:r w:rsidRPr="0062783C">
        <w:rPr>
          <w:rStyle w:val="Refdenotaalpie"/>
          <w:rFonts w:ascii="Verdana" w:hAnsi="Verdana"/>
          <w:sz w:val="16"/>
          <w:szCs w:val="16"/>
        </w:rPr>
        <w:footnoteRef/>
      </w:r>
      <w:r w:rsidRPr="0062783C">
        <w:rPr>
          <w:rFonts w:ascii="Verdana" w:hAnsi="Verdana"/>
          <w:sz w:val="16"/>
          <w:szCs w:val="16"/>
        </w:rPr>
        <w:t xml:space="preserve"> </w:t>
      </w:r>
      <w:r>
        <w:rPr>
          <w:rFonts w:ascii="Verdana" w:hAnsi="Verdana"/>
          <w:sz w:val="16"/>
          <w:szCs w:val="16"/>
        </w:rPr>
        <w:tab/>
      </w:r>
      <w:r w:rsidRPr="0062783C">
        <w:rPr>
          <w:rFonts w:ascii="Verdana" w:eastAsia="Calibri" w:hAnsi="Verdana"/>
          <w:sz w:val="16"/>
          <w:szCs w:val="16"/>
          <w:lang w:eastAsia="en-US"/>
        </w:rPr>
        <w:t xml:space="preserve">Norma Aidé Jiménez Osorio, Suhelen Gabriela Cuevas Jaramillo, Bárbara Italia Méndez Moreno, Angélica Patricia Torres Linares, Claudia Hernández Martínez, Mariana Selvas Gómez y Georgina Edith Rosales Gutiérrez. </w:t>
      </w:r>
    </w:p>
  </w:footnote>
  <w:footnote w:id="4">
    <w:p w:rsidR="00C63B1E" w:rsidRPr="00C63B1E" w:rsidRDefault="00C63B1E" w:rsidP="00C63B1E">
      <w:pPr>
        <w:pStyle w:val="Textonotapie"/>
        <w:jc w:val="both"/>
        <w:rPr>
          <w:rFonts w:ascii="Verdana" w:hAnsi="Verdana"/>
          <w:sz w:val="16"/>
          <w:szCs w:val="16"/>
          <w:lang w:val="es-AR"/>
        </w:rPr>
      </w:pPr>
      <w:r w:rsidRPr="00C63B1E">
        <w:rPr>
          <w:rStyle w:val="Refdenotaalpie"/>
          <w:rFonts w:ascii="Verdana" w:hAnsi="Verdana"/>
          <w:sz w:val="16"/>
          <w:szCs w:val="16"/>
        </w:rPr>
        <w:footnoteRef/>
      </w:r>
      <w:r w:rsidRPr="00C63B1E">
        <w:rPr>
          <w:rFonts w:ascii="Verdana" w:hAnsi="Verdana"/>
          <w:sz w:val="16"/>
          <w:szCs w:val="16"/>
        </w:rPr>
        <w:t xml:space="preserve"> </w:t>
      </w:r>
      <w:r w:rsidRPr="00C63B1E">
        <w:rPr>
          <w:rFonts w:ascii="Verdana" w:hAnsi="Verdana"/>
          <w:sz w:val="16"/>
          <w:szCs w:val="16"/>
          <w:lang w:val="es-AR"/>
        </w:rPr>
        <w:tab/>
      </w:r>
      <w:r w:rsidRPr="00C63B1E">
        <w:rPr>
          <w:rFonts w:ascii="Verdana" w:hAnsi="Verdana"/>
          <w:sz w:val="16"/>
          <w:szCs w:val="16"/>
          <w:lang w:val="es-CR"/>
        </w:rPr>
        <w:t>Norma Aidé Jiménez Osorio, Mariana Selvas Gómez, Ana María Velasco Rodríguez, Suhelen Gabriela Cuevas Jaramillo, Bárbara Italia Méndez Moreno, Angélica Patricia Torres Linares y Claudia Hernández Martínez.</w:t>
      </w:r>
    </w:p>
  </w:footnote>
  <w:footnote w:id="5">
    <w:p w:rsidR="006B64BE" w:rsidRPr="00EE4992" w:rsidRDefault="006B64BE" w:rsidP="00FF7C60">
      <w:pPr>
        <w:pStyle w:val="Textonotapie"/>
        <w:jc w:val="both"/>
        <w:rPr>
          <w:rFonts w:ascii="Verdana" w:hAnsi="Verdana"/>
          <w:sz w:val="16"/>
          <w:szCs w:val="16"/>
        </w:rPr>
      </w:pPr>
      <w:r w:rsidRPr="00EE4992">
        <w:rPr>
          <w:rStyle w:val="Refdenotaalpie"/>
          <w:rFonts w:ascii="Verdana" w:hAnsi="Verdana"/>
          <w:sz w:val="16"/>
          <w:szCs w:val="16"/>
        </w:rPr>
        <w:footnoteRef/>
      </w:r>
      <w:r w:rsidRPr="00EE4992">
        <w:rPr>
          <w:rFonts w:ascii="Verdana" w:hAnsi="Verdana"/>
          <w:sz w:val="16"/>
          <w:szCs w:val="16"/>
        </w:rPr>
        <w:t xml:space="preserve"> </w:t>
      </w:r>
      <w:r w:rsidRPr="00EE4992">
        <w:rPr>
          <w:rFonts w:ascii="Verdana" w:hAnsi="Verdana"/>
          <w:sz w:val="16"/>
          <w:szCs w:val="16"/>
        </w:rPr>
        <w:tab/>
        <w:t>Facultad que además se desprende de lo dispuesto en los artículos 33, 62.1, 62.3 y 65 de la Convención Americana y 30 de su Estatuto y se encuentra regulada en el artículo 69 de su Reglamento.</w:t>
      </w:r>
    </w:p>
  </w:footnote>
  <w:footnote w:id="6">
    <w:p w:rsidR="006B64BE" w:rsidRPr="00EE4992" w:rsidRDefault="006B64BE" w:rsidP="008B781F">
      <w:pPr>
        <w:pStyle w:val="Textonotapie"/>
        <w:jc w:val="both"/>
        <w:rPr>
          <w:rFonts w:ascii="Verdana" w:hAnsi="Verdana"/>
          <w:sz w:val="16"/>
          <w:szCs w:val="16"/>
        </w:rPr>
      </w:pPr>
      <w:r w:rsidRPr="00EE4992">
        <w:rPr>
          <w:rStyle w:val="Refdenotaalpie"/>
          <w:rFonts w:ascii="Verdana" w:hAnsi="Verdana"/>
          <w:sz w:val="16"/>
          <w:szCs w:val="16"/>
        </w:rPr>
        <w:footnoteRef/>
      </w:r>
      <w:r w:rsidRPr="00EE4992">
        <w:rPr>
          <w:rFonts w:ascii="Verdana" w:hAnsi="Verdana"/>
          <w:sz w:val="16"/>
          <w:szCs w:val="16"/>
        </w:rPr>
        <w:t xml:space="preserve"> </w:t>
      </w:r>
      <w:r w:rsidRPr="00EE4992">
        <w:rPr>
          <w:rFonts w:ascii="Verdana" w:hAnsi="Verdana"/>
          <w:sz w:val="16"/>
          <w:szCs w:val="16"/>
        </w:rPr>
        <w:tab/>
        <w:t xml:space="preserve">Reglamento de la Corte Interamericana de Derechos Humanos sobre el Funcionamiento del Fondo de Asistencia Legal de Víctimas, aprobado por el Tribunal el 4 de febrero de 2010, y en vigor a partir del 1 de junio de 2010. Disponible en: </w:t>
      </w:r>
      <w:hyperlink r:id="rId2" w:history="1">
        <w:r w:rsidRPr="00EE4992">
          <w:rPr>
            <w:rStyle w:val="Hipervnculo"/>
            <w:rFonts w:ascii="Verdana" w:hAnsi="Verdana"/>
            <w:sz w:val="16"/>
            <w:szCs w:val="16"/>
          </w:rPr>
          <w:t>http://www.corteidh.or.cr</w:t>
        </w:r>
        <w:r w:rsidRPr="00EE4992">
          <w:rPr>
            <w:rStyle w:val="Hipervnculo"/>
            <w:rFonts w:ascii="Verdana" w:hAnsi="Verdana"/>
            <w:sz w:val="16"/>
            <w:szCs w:val="16"/>
          </w:rPr>
          <w:t>/</w:t>
        </w:r>
        <w:r w:rsidRPr="00EE4992">
          <w:rPr>
            <w:rStyle w:val="Hipervnculo"/>
            <w:rFonts w:ascii="Verdana" w:hAnsi="Verdana"/>
            <w:sz w:val="16"/>
            <w:szCs w:val="16"/>
          </w:rPr>
          <w:t>docs/regla</w:t>
        </w:r>
        <w:r w:rsidRPr="00EE4992">
          <w:rPr>
            <w:rStyle w:val="Hipervnculo"/>
            <w:rFonts w:ascii="Verdana" w:hAnsi="Verdana"/>
            <w:sz w:val="16"/>
            <w:szCs w:val="16"/>
          </w:rPr>
          <w:t>_</w:t>
        </w:r>
        <w:r w:rsidRPr="00EE4992">
          <w:rPr>
            <w:rStyle w:val="Hipervnculo"/>
            <w:rFonts w:ascii="Verdana" w:hAnsi="Verdana"/>
            <w:sz w:val="16"/>
            <w:szCs w:val="16"/>
          </w:rPr>
          <w:t>victimas/victimas_esp.pdf</w:t>
        </w:r>
      </w:hyperlink>
      <w:r w:rsidRPr="00EE4992">
        <w:rPr>
          <w:rFonts w:ascii="Verdana" w:hAnsi="Verdana"/>
          <w:sz w:val="16"/>
          <w:szCs w:val="16"/>
        </w:rPr>
        <w:t xml:space="preserve">. </w:t>
      </w:r>
    </w:p>
  </w:footnote>
  <w:footnote w:id="7">
    <w:p w:rsidR="006B64BE" w:rsidRPr="00EE4992" w:rsidRDefault="006B64BE" w:rsidP="00DC2794">
      <w:pPr>
        <w:pStyle w:val="Textonotapie"/>
        <w:jc w:val="both"/>
        <w:rPr>
          <w:rFonts w:ascii="Verdana" w:hAnsi="Verdana"/>
          <w:sz w:val="16"/>
          <w:szCs w:val="16"/>
        </w:rPr>
      </w:pPr>
      <w:r w:rsidRPr="00EE4992">
        <w:rPr>
          <w:rStyle w:val="Refdenotaalpie"/>
          <w:rFonts w:ascii="Verdana" w:hAnsi="Verdana"/>
          <w:sz w:val="16"/>
          <w:szCs w:val="16"/>
        </w:rPr>
        <w:footnoteRef/>
      </w:r>
      <w:r w:rsidRPr="00EE4992">
        <w:rPr>
          <w:rFonts w:ascii="Verdana" w:hAnsi="Verdana"/>
          <w:sz w:val="16"/>
          <w:szCs w:val="16"/>
        </w:rPr>
        <w:t xml:space="preserve"> </w:t>
      </w:r>
      <w:r w:rsidRPr="00EE4992">
        <w:rPr>
          <w:rFonts w:ascii="Verdana" w:hAnsi="Verdana"/>
          <w:sz w:val="16"/>
          <w:szCs w:val="16"/>
        </w:rPr>
        <w:tab/>
        <w:t>Con el “objeto [de] facilitar acceso al sistema interamericano de derechos humanos a aquellas personas que actualmente no tienen los recursos necesarios para llevar su caso al sistema”. AG/RES. 2426 (XXXVIII-O/08) Resolución adoptada por la Asamblea General de la OEA durante la celebración del XXXVIII Período Ordinario de Sesiones de la OEA, en la cuarta sesión plenaria, celebrada el 3 de junio de 2008, “Creación del Fondo de Asistencia Legal del Sistema Interamericano de Derechos Humanos”, párrafo dispositivo 2.</w:t>
      </w:r>
      <w:r w:rsidRPr="00EE4992">
        <w:rPr>
          <w:rFonts w:ascii="Verdana" w:hAnsi="Verdana"/>
          <w:sz w:val="16"/>
          <w:szCs w:val="16"/>
          <w:lang w:val="es-ES"/>
        </w:rPr>
        <w:t>a</w:t>
      </w:r>
      <w:r w:rsidRPr="00EE4992">
        <w:rPr>
          <w:rFonts w:ascii="Verdana" w:hAnsi="Verdana"/>
          <w:sz w:val="16"/>
          <w:szCs w:val="16"/>
        </w:rPr>
        <w:t>.</w:t>
      </w:r>
    </w:p>
  </w:footnote>
  <w:footnote w:id="8">
    <w:p w:rsidR="006B64BE" w:rsidRPr="00EE4992" w:rsidRDefault="006B64BE" w:rsidP="00AB48F8">
      <w:pPr>
        <w:pStyle w:val="Textonotapie"/>
        <w:jc w:val="both"/>
        <w:rPr>
          <w:rFonts w:ascii="Verdana" w:hAnsi="Verdana"/>
          <w:sz w:val="16"/>
          <w:szCs w:val="16"/>
        </w:rPr>
      </w:pPr>
      <w:r w:rsidRPr="00EE4992">
        <w:rPr>
          <w:rStyle w:val="Refdenotaalpie"/>
          <w:rFonts w:ascii="Verdana" w:hAnsi="Verdana"/>
          <w:sz w:val="16"/>
          <w:szCs w:val="16"/>
        </w:rPr>
        <w:footnoteRef/>
      </w:r>
      <w:r w:rsidRPr="00EE4992">
        <w:rPr>
          <w:rFonts w:ascii="Verdana" w:hAnsi="Verdana"/>
          <w:sz w:val="16"/>
          <w:szCs w:val="16"/>
        </w:rPr>
        <w:t xml:space="preserve"> </w:t>
      </w:r>
      <w:r w:rsidRPr="00EE4992">
        <w:rPr>
          <w:rFonts w:ascii="Verdana" w:hAnsi="Verdana"/>
          <w:sz w:val="16"/>
          <w:szCs w:val="16"/>
        </w:rPr>
        <w:tab/>
        <w:t>El artículo 2.1 del Reglamento del Fondo de Asistencia Legal de Víctimas del Sistema Interamericano, estipuló que éste se financia por medio de los “[a]portes de capital voluntarios de los Estados miembros de la OEA, de los Estados Observadores Permanentes, y de otros Estados y donantes que deseen colaborar”</w:t>
      </w:r>
      <w:r w:rsidRPr="00EE4992">
        <w:rPr>
          <w:rStyle w:val="Refdecomentario"/>
          <w:rFonts w:ascii="Verdana" w:hAnsi="Verdana"/>
        </w:rPr>
        <w:t/>
      </w:r>
      <w:r w:rsidRPr="00EE4992">
        <w:rPr>
          <w:rFonts w:ascii="Verdana" w:hAnsi="Verdana"/>
          <w:sz w:val="16"/>
          <w:szCs w:val="16"/>
        </w:rPr>
        <w:t xml:space="preserve">. CP/RES. 963 (1728/09), Resolución adoptada el 11 de noviembre de 2009 por el Consejo Permanente de la OEA, “Reglamento para el Funcionamiento del Fondo de Asistencia Legal del Sistema Interamericano de Derechos Humanos”, artículo 2.1. </w:t>
      </w:r>
    </w:p>
  </w:footnote>
  <w:footnote w:id="9">
    <w:p w:rsidR="006B64BE" w:rsidRPr="00EE4992" w:rsidRDefault="006B64BE" w:rsidP="00B82DF7">
      <w:pPr>
        <w:pStyle w:val="Textonotapie"/>
        <w:jc w:val="both"/>
        <w:rPr>
          <w:rFonts w:ascii="Verdana" w:hAnsi="Verdana"/>
          <w:sz w:val="16"/>
          <w:szCs w:val="16"/>
          <w:lang w:val="es-CR"/>
        </w:rPr>
      </w:pPr>
      <w:r w:rsidRPr="00EE4992">
        <w:rPr>
          <w:rStyle w:val="Refdenotaalpie"/>
          <w:rFonts w:ascii="Verdana" w:hAnsi="Verdana"/>
          <w:sz w:val="16"/>
          <w:szCs w:val="16"/>
        </w:rPr>
        <w:footnoteRef/>
      </w:r>
      <w:r w:rsidRPr="00EE4992">
        <w:rPr>
          <w:rFonts w:ascii="Verdana" w:hAnsi="Verdana"/>
          <w:sz w:val="16"/>
          <w:szCs w:val="16"/>
        </w:rPr>
        <w:t xml:space="preserve"> </w:t>
      </w:r>
      <w:r w:rsidRPr="00EE4992">
        <w:rPr>
          <w:rFonts w:ascii="Verdana" w:hAnsi="Verdana"/>
          <w:sz w:val="16"/>
          <w:szCs w:val="16"/>
        </w:rPr>
        <w:tab/>
        <w:t xml:space="preserve">El Fondo de Asistencia Legal de Víctimas de la Corte Interamericana no cuenta con recursos del presupuesto ordinario de la OEA. Hasta la fecha los fondos </w:t>
      </w:r>
      <w:r w:rsidRPr="00EE4992">
        <w:rPr>
          <w:rFonts w:ascii="Verdana" w:hAnsi="Verdana"/>
          <w:sz w:val="16"/>
          <w:szCs w:val="16"/>
          <w:lang w:val="es-CR"/>
        </w:rPr>
        <w:t>han provenido</w:t>
      </w:r>
      <w:r w:rsidRPr="00EE4992">
        <w:rPr>
          <w:rFonts w:ascii="Verdana" w:hAnsi="Verdana"/>
          <w:sz w:val="16"/>
          <w:szCs w:val="16"/>
        </w:rPr>
        <w:t xml:space="preserve"> de proyectos de cooperación firmados por el Tribunal con Noruega y Dinamarca, y del aporte voluntario realizado por Colombia. Al respecto ver: Informe Anual de la Corte Interamericana de Derechos Humanos de 201</w:t>
      </w:r>
      <w:r w:rsidR="003274EB">
        <w:rPr>
          <w:rFonts w:ascii="Verdana" w:hAnsi="Verdana"/>
          <w:sz w:val="16"/>
          <w:szCs w:val="16"/>
          <w:lang w:val="es-AR"/>
        </w:rPr>
        <w:t>8</w:t>
      </w:r>
      <w:r w:rsidRPr="00EE4992">
        <w:rPr>
          <w:rFonts w:ascii="Verdana" w:hAnsi="Verdana"/>
          <w:sz w:val="16"/>
          <w:szCs w:val="16"/>
        </w:rPr>
        <w:t>, págs.</w:t>
      </w:r>
      <w:r w:rsidRPr="00EE4992">
        <w:rPr>
          <w:rFonts w:ascii="Verdana" w:hAnsi="Verdana"/>
          <w:sz w:val="16"/>
          <w:szCs w:val="16"/>
          <w:lang w:val="es-CR"/>
        </w:rPr>
        <w:t xml:space="preserve"> </w:t>
      </w:r>
      <w:r w:rsidR="003274EB">
        <w:rPr>
          <w:rFonts w:ascii="Verdana" w:hAnsi="Verdana"/>
          <w:sz w:val="16"/>
          <w:szCs w:val="16"/>
          <w:lang w:val="es-CR"/>
        </w:rPr>
        <w:t>158 a 170</w:t>
      </w:r>
      <w:r w:rsidRPr="00EE4992">
        <w:rPr>
          <w:rFonts w:ascii="Verdana" w:hAnsi="Verdana"/>
          <w:sz w:val="16"/>
          <w:szCs w:val="16"/>
        </w:rPr>
        <w:t>, disponible en:</w:t>
      </w:r>
      <w:r w:rsidRPr="00EE4992">
        <w:rPr>
          <w:rFonts w:ascii="Verdana" w:hAnsi="Verdana"/>
          <w:sz w:val="16"/>
          <w:szCs w:val="16"/>
          <w:lang w:val="es-CR"/>
        </w:rPr>
        <w:t xml:space="preserve"> </w:t>
      </w:r>
      <w:hyperlink r:id="rId3" w:history="1">
        <w:r w:rsidR="003274EB" w:rsidRPr="00CE3D52">
          <w:rPr>
            <w:rStyle w:val="Hipervnculo"/>
            <w:rFonts w:ascii="Verdana" w:hAnsi="Verdana"/>
            <w:sz w:val="16"/>
            <w:szCs w:val="16"/>
            <w:lang w:val="es-CR"/>
          </w:rPr>
          <w:t>http://www.corteidh.or.cr/tablas/informe2018/espanol.pdf</w:t>
        </w:r>
      </w:hyperlink>
      <w:r w:rsidRPr="00EE4992">
        <w:rPr>
          <w:rFonts w:ascii="Verdana" w:hAnsi="Verdana"/>
          <w:sz w:val="16"/>
          <w:szCs w:val="16"/>
          <w:lang w:val="es-CR"/>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4BE" w:rsidRPr="00A75F01" w:rsidRDefault="00A75F01">
    <w:pPr>
      <w:pStyle w:val="Encabezado"/>
      <w:jc w:val="center"/>
      <w:rPr>
        <w:rFonts w:ascii="Verdana" w:hAnsi="Verdana"/>
        <w:noProof/>
        <w:sz w:val="20"/>
        <w:szCs w:val="20"/>
        <w:lang w:val="es-CR"/>
      </w:rPr>
    </w:pPr>
    <w:r>
      <w:rPr>
        <w:rFonts w:ascii="Verdana" w:hAnsi="Verdana"/>
        <w:sz w:val="20"/>
        <w:szCs w:val="20"/>
        <w:lang w:val="es-CR"/>
      </w:rPr>
      <w:t>-</w:t>
    </w:r>
    <w:r w:rsidR="006B64BE" w:rsidRPr="00A75F01">
      <w:rPr>
        <w:rFonts w:ascii="Verdana" w:hAnsi="Verdana"/>
        <w:sz w:val="20"/>
        <w:szCs w:val="20"/>
      </w:rPr>
      <w:fldChar w:fldCharType="begin"/>
    </w:r>
    <w:r w:rsidR="006B64BE" w:rsidRPr="00A75F01">
      <w:rPr>
        <w:rFonts w:ascii="Verdana" w:hAnsi="Verdana"/>
        <w:sz w:val="20"/>
        <w:szCs w:val="20"/>
      </w:rPr>
      <w:instrText xml:space="preserve"> PAGE   \* MERGEFORMAT </w:instrText>
    </w:r>
    <w:r w:rsidR="006B64BE" w:rsidRPr="00A75F01">
      <w:rPr>
        <w:rFonts w:ascii="Verdana" w:hAnsi="Verdana"/>
        <w:sz w:val="20"/>
        <w:szCs w:val="20"/>
      </w:rPr>
      <w:fldChar w:fldCharType="separate"/>
    </w:r>
    <w:r w:rsidR="00B71C25">
      <w:rPr>
        <w:rFonts w:ascii="Verdana" w:hAnsi="Verdana"/>
        <w:noProof/>
        <w:sz w:val="20"/>
        <w:szCs w:val="20"/>
      </w:rPr>
      <w:t>2</w:t>
    </w:r>
    <w:r w:rsidR="006B64BE" w:rsidRPr="00A75F01">
      <w:rPr>
        <w:rFonts w:ascii="Verdana" w:hAnsi="Verdana"/>
        <w:noProof/>
        <w:sz w:val="20"/>
        <w:szCs w:val="20"/>
      </w:rPr>
      <w:fldChar w:fldCharType="end"/>
    </w:r>
    <w:r>
      <w:rPr>
        <w:rFonts w:ascii="Verdana" w:hAnsi="Verdana"/>
        <w:noProof/>
        <w:sz w:val="20"/>
        <w:szCs w:val="20"/>
        <w:lang w:val="es-CR"/>
      </w:rPr>
      <w:t>-</w:t>
    </w:r>
  </w:p>
  <w:p w:rsidR="006B64BE" w:rsidRDefault="006B64BE" w:rsidP="00A830DE">
    <w:pPr>
      <w:pStyle w:val="Encabezado"/>
    </w:pPr>
  </w:p>
  <w:p w:rsidR="006B64BE" w:rsidRDefault="006B64B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4BE" w:rsidRPr="00E10995" w:rsidRDefault="006B64BE" w:rsidP="00AF1972">
    <w:pPr>
      <w:pStyle w:val="Encabezado"/>
      <w:jc w:val="right"/>
      <w:rPr>
        <w:rFonts w:ascii="Verdana" w:hAnsi="Verdana"/>
        <w:b/>
        <w:i/>
        <w:sz w:val="20"/>
        <w:szCs w:val="20"/>
        <w:lang w:val="es-CR"/>
      </w:rPr>
    </w:pPr>
    <w:r>
      <w:rPr>
        <w:rFonts w:ascii="Verdana" w:hAnsi="Verdana"/>
        <w:b/>
        <w:i/>
        <w:sz w:val="20"/>
        <w:szCs w:val="20"/>
        <w:lang w:val="es-CR"/>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F98AC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1B2048"/>
    <w:multiLevelType w:val="hybridMultilevel"/>
    <w:tmpl w:val="749ACE7C"/>
    <w:lvl w:ilvl="0" w:tplc="4F1AEC80">
      <w:start w:val="1"/>
      <w:numFmt w:val="decimal"/>
      <w:lvlText w:val="%1."/>
      <w:lvlJc w:val="left"/>
      <w:pPr>
        <w:ind w:left="1065" w:hanging="705"/>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63970B8"/>
    <w:multiLevelType w:val="hybridMultilevel"/>
    <w:tmpl w:val="28A0F28A"/>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7336EF5"/>
    <w:multiLevelType w:val="hybridMultilevel"/>
    <w:tmpl w:val="2FB6C44E"/>
    <w:lvl w:ilvl="0" w:tplc="6A744E00">
      <w:start w:val="1"/>
      <w:numFmt w:val="decimal"/>
      <w:lvlText w:val="%1."/>
      <w:lvlJc w:val="left"/>
      <w:pPr>
        <w:ind w:left="360" w:hanging="360"/>
      </w:pPr>
      <w:rPr>
        <w:rFonts w:hint="default"/>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0ACB3B95"/>
    <w:multiLevelType w:val="hybridMultilevel"/>
    <w:tmpl w:val="0AF4994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 w15:restartNumberingAfterBreak="0">
    <w:nsid w:val="188F68DD"/>
    <w:multiLevelType w:val="hybridMultilevel"/>
    <w:tmpl w:val="5EBE15E0"/>
    <w:lvl w:ilvl="0" w:tplc="924E4690">
      <w:start w:val="1"/>
      <w:numFmt w:val="decimal"/>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185F3C"/>
    <w:multiLevelType w:val="hybridMultilevel"/>
    <w:tmpl w:val="C12A0F32"/>
    <w:lvl w:ilvl="0" w:tplc="71F64FA2">
      <w:start w:val="1"/>
      <w:numFmt w:val="decimal"/>
      <w:lvlText w:val="%1."/>
      <w:lvlJc w:val="left"/>
      <w:pPr>
        <w:ind w:left="720" w:hanging="360"/>
      </w:pPr>
      <w:rPr>
        <w:rFonts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76E55E3"/>
    <w:multiLevelType w:val="hybridMultilevel"/>
    <w:tmpl w:val="09985A76"/>
    <w:lvl w:ilvl="0" w:tplc="68420E5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FF03B4F"/>
    <w:multiLevelType w:val="hybridMultilevel"/>
    <w:tmpl w:val="D372765C"/>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2563C3E"/>
    <w:multiLevelType w:val="hybridMultilevel"/>
    <w:tmpl w:val="AA6435CC"/>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8A1355E"/>
    <w:multiLevelType w:val="hybridMultilevel"/>
    <w:tmpl w:val="E3B403A0"/>
    <w:lvl w:ilvl="0" w:tplc="8D2669C8">
      <w:start w:val="1"/>
      <w:numFmt w:val="decimal"/>
      <w:lvlText w:val="%1."/>
      <w:lvlJc w:val="left"/>
      <w:pPr>
        <w:ind w:left="360" w:hanging="360"/>
      </w:pPr>
      <w:rPr>
        <w:rFonts w:ascii="Verdana" w:eastAsia="Calibri" w:hAnsi="Verdana" w:cs="Verdana" w:hint="default"/>
        <w:b/>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1" w15:restartNumberingAfterBreak="0">
    <w:nsid w:val="450C2DCB"/>
    <w:multiLevelType w:val="hybridMultilevel"/>
    <w:tmpl w:val="A1FA60C2"/>
    <w:lvl w:ilvl="0" w:tplc="B3C4F042">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78455DB"/>
    <w:multiLevelType w:val="hybridMultilevel"/>
    <w:tmpl w:val="DB1EB88E"/>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7C047983"/>
    <w:multiLevelType w:val="hybridMultilevel"/>
    <w:tmpl w:val="0EB45F0A"/>
    <w:lvl w:ilvl="0" w:tplc="8F3EC32E">
      <w:start w:val="1"/>
      <w:numFmt w:val="decimal"/>
      <w:lvlText w:val="%1."/>
      <w:lvlJc w:val="left"/>
      <w:pPr>
        <w:ind w:left="720"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3"/>
  </w:num>
  <w:num w:numId="3">
    <w:abstractNumId w:val="10"/>
  </w:num>
  <w:num w:numId="4">
    <w:abstractNumId w:val="7"/>
  </w:num>
  <w:num w:numId="5">
    <w:abstractNumId w:val="0"/>
  </w:num>
  <w:num w:numId="6">
    <w:abstractNumId w:val="13"/>
  </w:num>
  <w:num w:numId="7">
    <w:abstractNumId w:val="1"/>
  </w:num>
  <w:num w:numId="8">
    <w:abstractNumId w:val="9"/>
  </w:num>
  <w:num w:numId="9">
    <w:abstractNumId w:val="6"/>
  </w:num>
  <w:num w:numId="10">
    <w:abstractNumId w:val="11"/>
  </w:num>
  <w:num w:numId="11">
    <w:abstractNumId w:val="2"/>
  </w:num>
  <w:num w:numId="12">
    <w:abstractNumId w:val="12"/>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 w:vendorID="64" w:dllVersion="131078" w:nlCheck="1" w:checkStyle="0"/>
  <w:activeWritingStyle w:appName="MSWord" w:lang="es-CR" w:vendorID="64" w:dllVersion="131078" w:nlCheck="1" w:checkStyle="0"/>
  <w:activeWritingStyle w:appName="MSWord" w:lang="es-AR" w:vendorID="64" w:dllVersion="131078" w:nlCheck="1" w:checkStyle="1"/>
  <w:activeWritingStyle w:appName="MSWord" w:lang="es-MX" w:vendorID="64" w:dllVersion="131078" w:nlCheck="1" w:checkStyle="0"/>
  <w:activeWritingStyle w:appName="MSWord" w:lang="es-MX" w:vendorID="64" w:dllVersion="4096" w:nlCheck="1" w:checkStyle="0"/>
  <w:activeWritingStyle w:appName="MSWord" w:lang="es-CR" w:vendorID="64" w:dllVersion="4096" w:nlCheck="1" w:checkStyle="0"/>
  <w:activeWritingStyle w:appName="MSWord" w:lang="pt-BR" w:vendorID="64" w:dllVersion="4096" w:nlCheck="1" w:checkStyle="0"/>
  <w:activeWritingStyle w:appName="MSWord" w:lang="es-ES" w:vendorID="64" w:dllVersion="4096" w:nlCheck="1" w:checkStyle="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20B"/>
    <w:rsid w:val="00002792"/>
    <w:rsid w:val="00006348"/>
    <w:rsid w:val="00007302"/>
    <w:rsid w:val="00007EEB"/>
    <w:rsid w:val="00011A45"/>
    <w:rsid w:val="0001586D"/>
    <w:rsid w:val="000159C8"/>
    <w:rsid w:val="00017792"/>
    <w:rsid w:val="0003198B"/>
    <w:rsid w:val="000411F3"/>
    <w:rsid w:val="000418EE"/>
    <w:rsid w:val="00053E2A"/>
    <w:rsid w:val="000549D4"/>
    <w:rsid w:val="00055C2E"/>
    <w:rsid w:val="00055DA8"/>
    <w:rsid w:val="00057DDD"/>
    <w:rsid w:val="000629DF"/>
    <w:rsid w:val="00066893"/>
    <w:rsid w:val="00070050"/>
    <w:rsid w:val="000741B4"/>
    <w:rsid w:val="000817ED"/>
    <w:rsid w:val="00087CE8"/>
    <w:rsid w:val="000906E9"/>
    <w:rsid w:val="000A08E5"/>
    <w:rsid w:val="000B2984"/>
    <w:rsid w:val="000C163F"/>
    <w:rsid w:val="000C6BC2"/>
    <w:rsid w:val="000D3AB1"/>
    <w:rsid w:val="000E07DA"/>
    <w:rsid w:val="000E39CA"/>
    <w:rsid w:val="000E5B55"/>
    <w:rsid w:val="000E6152"/>
    <w:rsid w:val="000F614E"/>
    <w:rsid w:val="0010107F"/>
    <w:rsid w:val="00101760"/>
    <w:rsid w:val="00107D81"/>
    <w:rsid w:val="001264D4"/>
    <w:rsid w:val="0013292A"/>
    <w:rsid w:val="001350DD"/>
    <w:rsid w:val="001362A5"/>
    <w:rsid w:val="00137D31"/>
    <w:rsid w:val="00140C83"/>
    <w:rsid w:val="00142A27"/>
    <w:rsid w:val="001457B1"/>
    <w:rsid w:val="00154AEB"/>
    <w:rsid w:val="00156D68"/>
    <w:rsid w:val="0016151F"/>
    <w:rsid w:val="00162C69"/>
    <w:rsid w:val="00165540"/>
    <w:rsid w:val="00165749"/>
    <w:rsid w:val="00171A49"/>
    <w:rsid w:val="0017363E"/>
    <w:rsid w:val="001747A5"/>
    <w:rsid w:val="00175DBF"/>
    <w:rsid w:val="001819E8"/>
    <w:rsid w:val="001822FD"/>
    <w:rsid w:val="001832EF"/>
    <w:rsid w:val="00197C19"/>
    <w:rsid w:val="001A2269"/>
    <w:rsid w:val="001A254F"/>
    <w:rsid w:val="001B394E"/>
    <w:rsid w:val="001C3239"/>
    <w:rsid w:val="001C541C"/>
    <w:rsid w:val="001C5EC6"/>
    <w:rsid w:val="001C627E"/>
    <w:rsid w:val="001D0913"/>
    <w:rsid w:val="001D5AB1"/>
    <w:rsid w:val="001D73F5"/>
    <w:rsid w:val="001E1D26"/>
    <w:rsid w:val="001E4D18"/>
    <w:rsid w:val="001E5A40"/>
    <w:rsid w:val="001E6645"/>
    <w:rsid w:val="001F18A9"/>
    <w:rsid w:val="00204BF2"/>
    <w:rsid w:val="00210C83"/>
    <w:rsid w:val="0021115E"/>
    <w:rsid w:val="0021622B"/>
    <w:rsid w:val="002177A8"/>
    <w:rsid w:val="00221351"/>
    <w:rsid w:val="0022342C"/>
    <w:rsid w:val="00223BA8"/>
    <w:rsid w:val="002253CD"/>
    <w:rsid w:val="00230E6E"/>
    <w:rsid w:val="0024162C"/>
    <w:rsid w:val="002436F9"/>
    <w:rsid w:val="00244418"/>
    <w:rsid w:val="00252DD4"/>
    <w:rsid w:val="00263548"/>
    <w:rsid w:val="002810E0"/>
    <w:rsid w:val="002860E3"/>
    <w:rsid w:val="002929AD"/>
    <w:rsid w:val="00296450"/>
    <w:rsid w:val="002A4BCC"/>
    <w:rsid w:val="002A4D28"/>
    <w:rsid w:val="002B1627"/>
    <w:rsid w:val="002B4F4B"/>
    <w:rsid w:val="002C2188"/>
    <w:rsid w:val="002C220C"/>
    <w:rsid w:val="002D260D"/>
    <w:rsid w:val="002D5646"/>
    <w:rsid w:val="002D69F1"/>
    <w:rsid w:val="002E7D03"/>
    <w:rsid w:val="002F3403"/>
    <w:rsid w:val="002F5BC5"/>
    <w:rsid w:val="00300969"/>
    <w:rsid w:val="0031129C"/>
    <w:rsid w:val="00311716"/>
    <w:rsid w:val="003119FE"/>
    <w:rsid w:val="00320837"/>
    <w:rsid w:val="0032195B"/>
    <w:rsid w:val="00321A6E"/>
    <w:rsid w:val="003274EB"/>
    <w:rsid w:val="00333A55"/>
    <w:rsid w:val="00336F0F"/>
    <w:rsid w:val="00337D3B"/>
    <w:rsid w:val="00343CDF"/>
    <w:rsid w:val="0034609B"/>
    <w:rsid w:val="003468F3"/>
    <w:rsid w:val="00351B74"/>
    <w:rsid w:val="00352EFA"/>
    <w:rsid w:val="0035777D"/>
    <w:rsid w:val="00371076"/>
    <w:rsid w:val="003712B9"/>
    <w:rsid w:val="00372925"/>
    <w:rsid w:val="00372E06"/>
    <w:rsid w:val="003801B5"/>
    <w:rsid w:val="003805C1"/>
    <w:rsid w:val="00381BA1"/>
    <w:rsid w:val="003836FD"/>
    <w:rsid w:val="00386274"/>
    <w:rsid w:val="00394007"/>
    <w:rsid w:val="003A2E33"/>
    <w:rsid w:val="003B3976"/>
    <w:rsid w:val="003C101C"/>
    <w:rsid w:val="003C7197"/>
    <w:rsid w:val="003D073C"/>
    <w:rsid w:val="003D22BE"/>
    <w:rsid w:val="003D3C2B"/>
    <w:rsid w:val="003D5F4E"/>
    <w:rsid w:val="003E2962"/>
    <w:rsid w:val="003E4D6A"/>
    <w:rsid w:val="003F5319"/>
    <w:rsid w:val="003F7FE7"/>
    <w:rsid w:val="00411882"/>
    <w:rsid w:val="004143B6"/>
    <w:rsid w:val="00423BFC"/>
    <w:rsid w:val="004249DE"/>
    <w:rsid w:val="00424A36"/>
    <w:rsid w:val="004256F4"/>
    <w:rsid w:val="00426818"/>
    <w:rsid w:val="00430E2B"/>
    <w:rsid w:val="0043434E"/>
    <w:rsid w:val="00434B40"/>
    <w:rsid w:val="00443034"/>
    <w:rsid w:val="00444BEC"/>
    <w:rsid w:val="004517BE"/>
    <w:rsid w:val="0045463F"/>
    <w:rsid w:val="00455DE8"/>
    <w:rsid w:val="00460732"/>
    <w:rsid w:val="00464D96"/>
    <w:rsid w:val="004722E5"/>
    <w:rsid w:val="00474D7D"/>
    <w:rsid w:val="004853A8"/>
    <w:rsid w:val="004A0CD9"/>
    <w:rsid w:val="004A4094"/>
    <w:rsid w:val="004A5BD4"/>
    <w:rsid w:val="004A69A3"/>
    <w:rsid w:val="004C6EF8"/>
    <w:rsid w:val="004D6B6D"/>
    <w:rsid w:val="004E0553"/>
    <w:rsid w:val="004E42C7"/>
    <w:rsid w:val="004E493A"/>
    <w:rsid w:val="004F4966"/>
    <w:rsid w:val="00503E62"/>
    <w:rsid w:val="005067D4"/>
    <w:rsid w:val="005160B4"/>
    <w:rsid w:val="00522D13"/>
    <w:rsid w:val="00524382"/>
    <w:rsid w:val="00526DE4"/>
    <w:rsid w:val="005313ED"/>
    <w:rsid w:val="005317EC"/>
    <w:rsid w:val="005328C3"/>
    <w:rsid w:val="00545C89"/>
    <w:rsid w:val="00570010"/>
    <w:rsid w:val="005734F9"/>
    <w:rsid w:val="00575E62"/>
    <w:rsid w:val="005763C1"/>
    <w:rsid w:val="0058109C"/>
    <w:rsid w:val="00585226"/>
    <w:rsid w:val="00585E45"/>
    <w:rsid w:val="00595FF1"/>
    <w:rsid w:val="00596AE5"/>
    <w:rsid w:val="005A1859"/>
    <w:rsid w:val="005A2690"/>
    <w:rsid w:val="005A29A1"/>
    <w:rsid w:val="005A5FA7"/>
    <w:rsid w:val="005A7DDE"/>
    <w:rsid w:val="005B0583"/>
    <w:rsid w:val="005B0B51"/>
    <w:rsid w:val="005B7714"/>
    <w:rsid w:val="005C081E"/>
    <w:rsid w:val="005C0F77"/>
    <w:rsid w:val="005C13DA"/>
    <w:rsid w:val="005C31BF"/>
    <w:rsid w:val="005C4BB8"/>
    <w:rsid w:val="005C5211"/>
    <w:rsid w:val="005C75B8"/>
    <w:rsid w:val="005C7717"/>
    <w:rsid w:val="005D4406"/>
    <w:rsid w:val="005D653C"/>
    <w:rsid w:val="005E48EC"/>
    <w:rsid w:val="005E5FB5"/>
    <w:rsid w:val="005E7846"/>
    <w:rsid w:val="005F7C45"/>
    <w:rsid w:val="00605625"/>
    <w:rsid w:val="006060F7"/>
    <w:rsid w:val="006073EB"/>
    <w:rsid w:val="00612864"/>
    <w:rsid w:val="00613522"/>
    <w:rsid w:val="00613A26"/>
    <w:rsid w:val="0061533F"/>
    <w:rsid w:val="006168A8"/>
    <w:rsid w:val="0063510A"/>
    <w:rsid w:val="006371E5"/>
    <w:rsid w:val="006417D7"/>
    <w:rsid w:val="00642D02"/>
    <w:rsid w:val="00643DB1"/>
    <w:rsid w:val="0064526F"/>
    <w:rsid w:val="00645E23"/>
    <w:rsid w:val="0065520B"/>
    <w:rsid w:val="00660348"/>
    <w:rsid w:val="0066130C"/>
    <w:rsid w:val="006624B7"/>
    <w:rsid w:val="00664E56"/>
    <w:rsid w:val="00667C8F"/>
    <w:rsid w:val="00673DCD"/>
    <w:rsid w:val="006740B6"/>
    <w:rsid w:val="006777FB"/>
    <w:rsid w:val="00677935"/>
    <w:rsid w:val="006830A4"/>
    <w:rsid w:val="00692823"/>
    <w:rsid w:val="006979BA"/>
    <w:rsid w:val="006A40CD"/>
    <w:rsid w:val="006A53AF"/>
    <w:rsid w:val="006B5E2E"/>
    <w:rsid w:val="006B64BE"/>
    <w:rsid w:val="006B7911"/>
    <w:rsid w:val="006C62D3"/>
    <w:rsid w:val="006D1801"/>
    <w:rsid w:val="006D27C0"/>
    <w:rsid w:val="006E7E54"/>
    <w:rsid w:val="006F05E8"/>
    <w:rsid w:val="00701B76"/>
    <w:rsid w:val="00707546"/>
    <w:rsid w:val="00707915"/>
    <w:rsid w:val="00711E3E"/>
    <w:rsid w:val="0073073D"/>
    <w:rsid w:val="00730A69"/>
    <w:rsid w:val="007547B9"/>
    <w:rsid w:val="00762573"/>
    <w:rsid w:val="00770894"/>
    <w:rsid w:val="0077307A"/>
    <w:rsid w:val="007762CE"/>
    <w:rsid w:val="00776847"/>
    <w:rsid w:val="00792F4F"/>
    <w:rsid w:val="007A1810"/>
    <w:rsid w:val="007A255C"/>
    <w:rsid w:val="007C0C51"/>
    <w:rsid w:val="007D1F4E"/>
    <w:rsid w:val="007D3DA8"/>
    <w:rsid w:val="007D3FBE"/>
    <w:rsid w:val="007E7081"/>
    <w:rsid w:val="007E75FF"/>
    <w:rsid w:val="007E7CBD"/>
    <w:rsid w:val="007F0685"/>
    <w:rsid w:val="00800660"/>
    <w:rsid w:val="00800889"/>
    <w:rsid w:val="008020D2"/>
    <w:rsid w:val="0080234B"/>
    <w:rsid w:val="00811596"/>
    <w:rsid w:val="00812937"/>
    <w:rsid w:val="00813E35"/>
    <w:rsid w:val="008160C1"/>
    <w:rsid w:val="0081674C"/>
    <w:rsid w:val="008350FF"/>
    <w:rsid w:val="00843FEA"/>
    <w:rsid w:val="008548C9"/>
    <w:rsid w:val="00857CD3"/>
    <w:rsid w:val="00861269"/>
    <w:rsid w:val="00863B8D"/>
    <w:rsid w:val="00874DE9"/>
    <w:rsid w:val="0087767F"/>
    <w:rsid w:val="00880B7E"/>
    <w:rsid w:val="008836DC"/>
    <w:rsid w:val="008972DD"/>
    <w:rsid w:val="008A61D8"/>
    <w:rsid w:val="008B0E1B"/>
    <w:rsid w:val="008B4981"/>
    <w:rsid w:val="008B781F"/>
    <w:rsid w:val="008C2E56"/>
    <w:rsid w:val="008E54C6"/>
    <w:rsid w:val="008F01C7"/>
    <w:rsid w:val="008F4923"/>
    <w:rsid w:val="008F76C9"/>
    <w:rsid w:val="009067B5"/>
    <w:rsid w:val="00907279"/>
    <w:rsid w:val="00912502"/>
    <w:rsid w:val="009178F6"/>
    <w:rsid w:val="0092020F"/>
    <w:rsid w:val="00932472"/>
    <w:rsid w:val="009366A1"/>
    <w:rsid w:val="00942872"/>
    <w:rsid w:val="00944AD8"/>
    <w:rsid w:val="00947347"/>
    <w:rsid w:val="0095299F"/>
    <w:rsid w:val="00962D21"/>
    <w:rsid w:val="00966E85"/>
    <w:rsid w:val="009710A4"/>
    <w:rsid w:val="00972493"/>
    <w:rsid w:val="00982815"/>
    <w:rsid w:val="00985F14"/>
    <w:rsid w:val="009860D1"/>
    <w:rsid w:val="00990623"/>
    <w:rsid w:val="00992A26"/>
    <w:rsid w:val="009A1B4E"/>
    <w:rsid w:val="009B4516"/>
    <w:rsid w:val="009B635D"/>
    <w:rsid w:val="009D0265"/>
    <w:rsid w:val="009D1286"/>
    <w:rsid w:val="009E094C"/>
    <w:rsid w:val="009F28E5"/>
    <w:rsid w:val="00A019B7"/>
    <w:rsid w:val="00A13E9F"/>
    <w:rsid w:val="00A430C6"/>
    <w:rsid w:val="00A4492E"/>
    <w:rsid w:val="00A53D07"/>
    <w:rsid w:val="00A54AA4"/>
    <w:rsid w:val="00A55184"/>
    <w:rsid w:val="00A60E7D"/>
    <w:rsid w:val="00A64F67"/>
    <w:rsid w:val="00A66378"/>
    <w:rsid w:val="00A73C47"/>
    <w:rsid w:val="00A75F01"/>
    <w:rsid w:val="00A830DE"/>
    <w:rsid w:val="00A836C3"/>
    <w:rsid w:val="00A83818"/>
    <w:rsid w:val="00A85A67"/>
    <w:rsid w:val="00AA5A58"/>
    <w:rsid w:val="00AA78DB"/>
    <w:rsid w:val="00AB04CC"/>
    <w:rsid w:val="00AB1C79"/>
    <w:rsid w:val="00AB48F8"/>
    <w:rsid w:val="00AC0007"/>
    <w:rsid w:val="00AC699B"/>
    <w:rsid w:val="00AD283A"/>
    <w:rsid w:val="00AE1402"/>
    <w:rsid w:val="00AF1972"/>
    <w:rsid w:val="00B12113"/>
    <w:rsid w:val="00B129ED"/>
    <w:rsid w:val="00B172B8"/>
    <w:rsid w:val="00B17B0F"/>
    <w:rsid w:val="00B17B64"/>
    <w:rsid w:val="00B228F7"/>
    <w:rsid w:val="00B2680C"/>
    <w:rsid w:val="00B37020"/>
    <w:rsid w:val="00B416F8"/>
    <w:rsid w:val="00B451D0"/>
    <w:rsid w:val="00B6160D"/>
    <w:rsid w:val="00B61CA0"/>
    <w:rsid w:val="00B6380A"/>
    <w:rsid w:val="00B6584A"/>
    <w:rsid w:val="00B6682A"/>
    <w:rsid w:val="00B71C25"/>
    <w:rsid w:val="00B7367C"/>
    <w:rsid w:val="00B74D01"/>
    <w:rsid w:val="00B817EE"/>
    <w:rsid w:val="00B82CB7"/>
    <w:rsid w:val="00B82DF7"/>
    <w:rsid w:val="00B866DE"/>
    <w:rsid w:val="00B96979"/>
    <w:rsid w:val="00BA4549"/>
    <w:rsid w:val="00BB5B08"/>
    <w:rsid w:val="00BB7CE5"/>
    <w:rsid w:val="00BC2119"/>
    <w:rsid w:val="00BC5816"/>
    <w:rsid w:val="00BD357A"/>
    <w:rsid w:val="00BD358F"/>
    <w:rsid w:val="00BE0057"/>
    <w:rsid w:val="00BE0DAF"/>
    <w:rsid w:val="00BE219D"/>
    <w:rsid w:val="00BF2A3D"/>
    <w:rsid w:val="00C01A61"/>
    <w:rsid w:val="00C11B7F"/>
    <w:rsid w:val="00C122F0"/>
    <w:rsid w:val="00C12CC4"/>
    <w:rsid w:val="00C1325B"/>
    <w:rsid w:val="00C14EA7"/>
    <w:rsid w:val="00C23C3B"/>
    <w:rsid w:val="00C305B3"/>
    <w:rsid w:val="00C31E3E"/>
    <w:rsid w:val="00C3585B"/>
    <w:rsid w:val="00C506D3"/>
    <w:rsid w:val="00C50B6D"/>
    <w:rsid w:val="00C520B4"/>
    <w:rsid w:val="00C61044"/>
    <w:rsid w:val="00C63B1E"/>
    <w:rsid w:val="00C63C15"/>
    <w:rsid w:val="00C82107"/>
    <w:rsid w:val="00C83A92"/>
    <w:rsid w:val="00C91262"/>
    <w:rsid w:val="00C92E60"/>
    <w:rsid w:val="00C970B5"/>
    <w:rsid w:val="00CA0BD3"/>
    <w:rsid w:val="00CA2E20"/>
    <w:rsid w:val="00CA462B"/>
    <w:rsid w:val="00CA4D9C"/>
    <w:rsid w:val="00CB63AE"/>
    <w:rsid w:val="00CB775C"/>
    <w:rsid w:val="00CD0F98"/>
    <w:rsid w:val="00CD23D6"/>
    <w:rsid w:val="00CD3346"/>
    <w:rsid w:val="00CE061B"/>
    <w:rsid w:val="00CE2356"/>
    <w:rsid w:val="00CF3059"/>
    <w:rsid w:val="00CF45D6"/>
    <w:rsid w:val="00CF6C3D"/>
    <w:rsid w:val="00D0007E"/>
    <w:rsid w:val="00D01395"/>
    <w:rsid w:val="00D021FE"/>
    <w:rsid w:val="00D10C7F"/>
    <w:rsid w:val="00D11644"/>
    <w:rsid w:val="00D1436E"/>
    <w:rsid w:val="00D164FA"/>
    <w:rsid w:val="00D230DE"/>
    <w:rsid w:val="00D258F8"/>
    <w:rsid w:val="00D261EA"/>
    <w:rsid w:val="00D27DC0"/>
    <w:rsid w:val="00D32431"/>
    <w:rsid w:val="00D3273D"/>
    <w:rsid w:val="00D4075C"/>
    <w:rsid w:val="00D44BEB"/>
    <w:rsid w:val="00D45EF9"/>
    <w:rsid w:val="00D5118B"/>
    <w:rsid w:val="00D54C91"/>
    <w:rsid w:val="00D56D1B"/>
    <w:rsid w:val="00D63CAC"/>
    <w:rsid w:val="00D72282"/>
    <w:rsid w:val="00D72E47"/>
    <w:rsid w:val="00D73C6E"/>
    <w:rsid w:val="00D76D85"/>
    <w:rsid w:val="00D8206B"/>
    <w:rsid w:val="00D962F0"/>
    <w:rsid w:val="00D9762B"/>
    <w:rsid w:val="00DA0E34"/>
    <w:rsid w:val="00DA1B8E"/>
    <w:rsid w:val="00DA578A"/>
    <w:rsid w:val="00DA67F6"/>
    <w:rsid w:val="00DB4B7B"/>
    <w:rsid w:val="00DB7F9B"/>
    <w:rsid w:val="00DC2794"/>
    <w:rsid w:val="00DC36D5"/>
    <w:rsid w:val="00DE2FC4"/>
    <w:rsid w:val="00DF2221"/>
    <w:rsid w:val="00E02976"/>
    <w:rsid w:val="00E10995"/>
    <w:rsid w:val="00E10ADA"/>
    <w:rsid w:val="00E10E93"/>
    <w:rsid w:val="00E12DCD"/>
    <w:rsid w:val="00E30F64"/>
    <w:rsid w:val="00E420FE"/>
    <w:rsid w:val="00E53F65"/>
    <w:rsid w:val="00E55372"/>
    <w:rsid w:val="00E55B56"/>
    <w:rsid w:val="00E56C67"/>
    <w:rsid w:val="00E645CB"/>
    <w:rsid w:val="00E70B00"/>
    <w:rsid w:val="00E80EB7"/>
    <w:rsid w:val="00E960E6"/>
    <w:rsid w:val="00EA075E"/>
    <w:rsid w:val="00EA29A0"/>
    <w:rsid w:val="00EC18B3"/>
    <w:rsid w:val="00EC7035"/>
    <w:rsid w:val="00EC7EC2"/>
    <w:rsid w:val="00ED329E"/>
    <w:rsid w:val="00ED533E"/>
    <w:rsid w:val="00ED6058"/>
    <w:rsid w:val="00ED6F8F"/>
    <w:rsid w:val="00EE1F07"/>
    <w:rsid w:val="00EE3E14"/>
    <w:rsid w:val="00EE4992"/>
    <w:rsid w:val="00F002C0"/>
    <w:rsid w:val="00F07FA5"/>
    <w:rsid w:val="00F177B7"/>
    <w:rsid w:val="00F2351E"/>
    <w:rsid w:val="00F25AE1"/>
    <w:rsid w:val="00F344F0"/>
    <w:rsid w:val="00F37FE3"/>
    <w:rsid w:val="00F40386"/>
    <w:rsid w:val="00F47208"/>
    <w:rsid w:val="00F52E19"/>
    <w:rsid w:val="00F54D3E"/>
    <w:rsid w:val="00F60CAE"/>
    <w:rsid w:val="00F66FEB"/>
    <w:rsid w:val="00F8532B"/>
    <w:rsid w:val="00F93576"/>
    <w:rsid w:val="00F97D92"/>
    <w:rsid w:val="00FA0765"/>
    <w:rsid w:val="00FA1146"/>
    <w:rsid w:val="00FA4BDB"/>
    <w:rsid w:val="00FB76F5"/>
    <w:rsid w:val="00FC5BBF"/>
    <w:rsid w:val="00FD34C0"/>
    <w:rsid w:val="00FD365D"/>
    <w:rsid w:val="00FD3A9D"/>
    <w:rsid w:val="00FE1438"/>
    <w:rsid w:val="00FE14AC"/>
    <w:rsid w:val="00FE21C8"/>
    <w:rsid w:val="00FE77CA"/>
    <w:rsid w:val="00FE79A2"/>
    <w:rsid w:val="00FF7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C43925E-3EF5-4AC5-AA55-EF2CDF649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20B"/>
    <w:rPr>
      <w:rFonts w:ascii="Times New Roman" w:eastAsia="Times New Roman" w:hAnsi="Times New Roman"/>
      <w:sz w:val="24"/>
      <w:szCs w:val="24"/>
      <w:lang w:val="es-CR"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10"/>
    <w:qFormat/>
    <w:rsid w:val="0065520B"/>
    <w:pPr>
      <w:jc w:val="center"/>
    </w:pPr>
    <w:rPr>
      <w:rFonts w:ascii="Verdana" w:hAnsi="Verdana"/>
      <w:b/>
      <w:smallCaps/>
      <w:sz w:val="20"/>
      <w:lang w:val="x-none"/>
    </w:rPr>
  </w:style>
  <w:style w:type="character" w:customStyle="1" w:styleId="TtuloCar">
    <w:name w:val="Título Car"/>
    <w:link w:val="Ttulo"/>
    <w:uiPriority w:val="10"/>
    <w:rsid w:val="0065520B"/>
    <w:rPr>
      <w:rFonts w:ascii="Verdana" w:eastAsia="Times New Roman" w:hAnsi="Verdana" w:cs="Times New Roman"/>
      <w:b/>
      <w:smallCaps/>
      <w:sz w:val="20"/>
      <w:szCs w:val="24"/>
      <w:lang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qFormat/>
    <w:rsid w:val="0065520B"/>
    <w:rPr>
      <w:lang w:val="x-none"/>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qFormat/>
    <w:rsid w:val="0065520B"/>
    <w:rPr>
      <w:rFonts w:ascii="Times New Roman" w:eastAsia="Times New Roman" w:hAnsi="Times New Roman" w:cs="Times New Roman"/>
      <w:sz w:val="24"/>
      <w:szCs w:val="24"/>
      <w:lang w:eastAsia="es-E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link w:val="4GChar"/>
    <w:uiPriority w:val="99"/>
    <w:qFormat/>
    <w:rsid w:val="0065520B"/>
    <w:rPr>
      <w:vertAlign w:val="superscript"/>
    </w:rPr>
  </w:style>
  <w:style w:type="paragraph" w:styleId="Encabezado">
    <w:name w:val="header"/>
    <w:basedOn w:val="Normal"/>
    <w:link w:val="EncabezadoCar"/>
    <w:uiPriority w:val="99"/>
    <w:unhideWhenUsed/>
    <w:rsid w:val="0065520B"/>
    <w:pPr>
      <w:tabs>
        <w:tab w:val="center" w:pos="4419"/>
        <w:tab w:val="right" w:pos="8838"/>
      </w:tabs>
    </w:pPr>
    <w:rPr>
      <w:lang w:val="x-none"/>
    </w:rPr>
  </w:style>
  <w:style w:type="character" w:customStyle="1" w:styleId="EncabezadoCar">
    <w:name w:val="Encabezado Car"/>
    <w:link w:val="Encabezado"/>
    <w:uiPriority w:val="99"/>
    <w:rsid w:val="0065520B"/>
    <w:rPr>
      <w:rFonts w:ascii="Times New Roman" w:eastAsia="Times New Roman" w:hAnsi="Times New Roman" w:cs="Times New Roman"/>
      <w:sz w:val="24"/>
      <w:szCs w:val="24"/>
      <w:lang w:eastAsia="es-ES"/>
    </w:rPr>
  </w:style>
  <w:style w:type="character" w:styleId="Textoennegrita">
    <w:name w:val="Strong"/>
    <w:uiPriority w:val="22"/>
    <w:qFormat/>
    <w:rsid w:val="00B172B8"/>
    <w:rPr>
      <w:b/>
      <w:bCs/>
    </w:rPr>
  </w:style>
  <w:style w:type="paragraph" w:styleId="Cuadrculaclara-nfasis3">
    <w:name w:val="Light Grid Accent 3"/>
    <w:basedOn w:val="Normal"/>
    <w:uiPriority w:val="34"/>
    <w:qFormat/>
    <w:rsid w:val="00FC5BBF"/>
    <w:pPr>
      <w:spacing w:after="200" w:line="276" w:lineRule="auto"/>
      <w:ind w:left="720"/>
      <w:contextualSpacing/>
    </w:pPr>
    <w:rPr>
      <w:rFonts w:ascii="Calibri" w:eastAsia="Calibri" w:hAnsi="Calibri"/>
      <w:sz w:val="22"/>
      <w:szCs w:val="22"/>
      <w:lang w:eastAsia="en-US"/>
    </w:rPr>
  </w:style>
  <w:style w:type="character" w:styleId="Hipervnculo">
    <w:name w:val="Hyperlink"/>
    <w:uiPriority w:val="99"/>
    <w:unhideWhenUsed/>
    <w:rsid w:val="00DE2FC4"/>
    <w:rPr>
      <w:color w:val="0000FF"/>
      <w:u w:val="single"/>
    </w:rPr>
  </w:style>
  <w:style w:type="paragraph" w:styleId="Textodeglobo">
    <w:name w:val="Balloon Text"/>
    <w:basedOn w:val="Normal"/>
    <w:link w:val="TextodegloboCar"/>
    <w:uiPriority w:val="99"/>
    <w:semiHidden/>
    <w:unhideWhenUsed/>
    <w:rsid w:val="00F40386"/>
    <w:rPr>
      <w:rFonts w:ascii="Tahoma" w:hAnsi="Tahoma"/>
      <w:sz w:val="16"/>
      <w:szCs w:val="16"/>
    </w:rPr>
  </w:style>
  <w:style w:type="character" w:customStyle="1" w:styleId="TextodegloboCar">
    <w:name w:val="Texto de globo Car"/>
    <w:link w:val="Textodeglobo"/>
    <w:uiPriority w:val="99"/>
    <w:semiHidden/>
    <w:rsid w:val="00F40386"/>
    <w:rPr>
      <w:rFonts w:ascii="Tahoma" w:eastAsia="Times New Roman" w:hAnsi="Tahoma" w:cs="Tahoma"/>
      <w:sz w:val="16"/>
      <w:szCs w:val="16"/>
      <w:lang w:val="es-CR" w:eastAsia="es-ES"/>
    </w:rPr>
  </w:style>
  <w:style w:type="character" w:styleId="Refdecomentario">
    <w:name w:val="annotation reference"/>
    <w:uiPriority w:val="99"/>
    <w:semiHidden/>
    <w:unhideWhenUsed/>
    <w:rsid w:val="00F40386"/>
    <w:rPr>
      <w:sz w:val="16"/>
      <w:szCs w:val="16"/>
    </w:rPr>
  </w:style>
  <w:style w:type="paragraph" w:styleId="Textocomentario">
    <w:name w:val="annotation text"/>
    <w:basedOn w:val="Normal"/>
    <w:link w:val="TextocomentarioCar"/>
    <w:uiPriority w:val="99"/>
    <w:semiHidden/>
    <w:unhideWhenUsed/>
    <w:rsid w:val="00F40386"/>
    <w:rPr>
      <w:sz w:val="20"/>
      <w:szCs w:val="20"/>
    </w:rPr>
  </w:style>
  <w:style w:type="character" w:customStyle="1" w:styleId="TextocomentarioCar">
    <w:name w:val="Texto comentario Car"/>
    <w:link w:val="Textocomentario"/>
    <w:uiPriority w:val="99"/>
    <w:semiHidden/>
    <w:rsid w:val="00F40386"/>
    <w:rPr>
      <w:rFonts w:ascii="Times New Roman" w:eastAsia="Times New Roman" w:hAnsi="Times New Roman"/>
      <w:lang w:val="es-CR" w:eastAsia="es-ES"/>
    </w:rPr>
  </w:style>
  <w:style w:type="paragraph" w:styleId="Asuntodelcomentario">
    <w:name w:val="annotation subject"/>
    <w:basedOn w:val="Textocomentario"/>
    <w:next w:val="Textocomentario"/>
    <w:link w:val="AsuntodelcomentarioCar"/>
    <w:uiPriority w:val="99"/>
    <w:semiHidden/>
    <w:unhideWhenUsed/>
    <w:rsid w:val="00F40386"/>
    <w:rPr>
      <w:b/>
      <w:bCs/>
    </w:rPr>
  </w:style>
  <w:style w:type="character" w:customStyle="1" w:styleId="AsuntodelcomentarioCar">
    <w:name w:val="Asunto del comentario Car"/>
    <w:link w:val="Asuntodelcomentario"/>
    <w:uiPriority w:val="99"/>
    <w:semiHidden/>
    <w:rsid w:val="00F40386"/>
    <w:rPr>
      <w:rFonts w:ascii="Times New Roman" w:eastAsia="Times New Roman" w:hAnsi="Times New Roman"/>
      <w:b/>
      <w:bCs/>
      <w:lang w:val="es-CR" w:eastAsia="es-ES"/>
    </w:rPr>
  </w:style>
  <w:style w:type="character" w:customStyle="1" w:styleId="apple-converted-space">
    <w:name w:val="apple-converted-space"/>
    <w:basedOn w:val="Fuentedeprrafopredeter"/>
    <w:rsid w:val="00CE061B"/>
  </w:style>
  <w:style w:type="paragraph" w:styleId="Piedepgina">
    <w:name w:val="footer"/>
    <w:basedOn w:val="Normal"/>
    <w:link w:val="PiedepginaCar"/>
    <w:uiPriority w:val="99"/>
    <w:unhideWhenUsed/>
    <w:rsid w:val="00066893"/>
    <w:pPr>
      <w:tabs>
        <w:tab w:val="center" w:pos="4419"/>
        <w:tab w:val="right" w:pos="8838"/>
      </w:tabs>
    </w:pPr>
    <w:rPr>
      <w:lang w:val="x-none"/>
    </w:rPr>
  </w:style>
  <w:style w:type="character" w:customStyle="1" w:styleId="PiedepginaCar">
    <w:name w:val="Pie de página Car"/>
    <w:link w:val="Piedepgina"/>
    <w:uiPriority w:val="99"/>
    <w:rsid w:val="00066893"/>
    <w:rPr>
      <w:rFonts w:ascii="Times New Roman" w:eastAsia="Times New Roman" w:hAnsi="Times New Roman"/>
      <w:sz w:val="24"/>
      <w:szCs w:val="24"/>
      <w:lang w:eastAsia="es-ES"/>
    </w:rPr>
  </w:style>
  <w:style w:type="character" w:styleId="Nmerodelnea">
    <w:name w:val="line number"/>
    <w:uiPriority w:val="99"/>
    <w:semiHidden/>
    <w:unhideWhenUsed/>
    <w:rsid w:val="00066893"/>
  </w:style>
  <w:style w:type="character" w:styleId="Hipervnculovisitado">
    <w:name w:val="FollowedHyperlink"/>
    <w:uiPriority w:val="99"/>
    <w:semiHidden/>
    <w:unhideWhenUsed/>
    <w:rsid w:val="00BA4549"/>
    <w:rPr>
      <w:color w:val="800080"/>
      <w:u w:val="single"/>
    </w:rPr>
  </w:style>
  <w:style w:type="paragraph" w:customStyle="1" w:styleId="Default">
    <w:name w:val="Default"/>
    <w:rsid w:val="00055C2E"/>
    <w:pPr>
      <w:autoSpaceDE w:val="0"/>
      <w:autoSpaceDN w:val="0"/>
      <w:adjustRightInd w:val="0"/>
    </w:pPr>
    <w:rPr>
      <w:rFonts w:ascii="Verdana" w:hAnsi="Verdana" w:cs="Verdana"/>
      <w:color w:val="000000"/>
      <w:sz w:val="24"/>
      <w:szCs w:val="24"/>
      <w:lang w:val="es-CR" w:eastAsia="es-CR"/>
    </w:rPr>
  </w:style>
  <w:style w:type="paragraph" w:styleId="Listavistosa-nfasis1">
    <w:name w:val="Colorful List Accent 1"/>
    <w:basedOn w:val="Normal"/>
    <w:uiPriority w:val="34"/>
    <w:qFormat/>
    <w:rsid w:val="00FE1438"/>
    <w:pPr>
      <w:ind w:left="720"/>
    </w:p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10C7F"/>
    <w:pPr>
      <w:jc w:val="both"/>
    </w:pPr>
    <w:rPr>
      <w:rFonts w:ascii="Calibri" w:eastAsia="Calibri" w:hAnsi="Calibri"/>
      <w:sz w:val="20"/>
      <w:szCs w:val="20"/>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18446">
      <w:bodyDiv w:val="1"/>
      <w:marLeft w:val="0"/>
      <w:marRight w:val="0"/>
      <w:marTop w:val="0"/>
      <w:marBottom w:val="0"/>
      <w:divBdr>
        <w:top w:val="none" w:sz="0" w:space="0" w:color="auto"/>
        <w:left w:val="none" w:sz="0" w:space="0" w:color="auto"/>
        <w:bottom w:val="none" w:sz="0" w:space="0" w:color="auto"/>
        <w:right w:val="none" w:sz="0" w:space="0" w:color="auto"/>
      </w:divBdr>
    </w:div>
    <w:div w:id="592126604">
      <w:bodyDiv w:val="1"/>
      <w:marLeft w:val="0"/>
      <w:marRight w:val="0"/>
      <w:marTop w:val="0"/>
      <w:marBottom w:val="0"/>
      <w:divBdr>
        <w:top w:val="none" w:sz="0" w:space="0" w:color="auto"/>
        <w:left w:val="none" w:sz="0" w:space="0" w:color="auto"/>
        <w:bottom w:val="none" w:sz="0" w:space="0" w:color="auto"/>
        <w:right w:val="none" w:sz="0" w:space="0" w:color="auto"/>
      </w:divBdr>
    </w:div>
    <w:div w:id="762803090">
      <w:bodyDiv w:val="1"/>
      <w:marLeft w:val="0"/>
      <w:marRight w:val="0"/>
      <w:marTop w:val="0"/>
      <w:marBottom w:val="0"/>
      <w:divBdr>
        <w:top w:val="none" w:sz="0" w:space="0" w:color="auto"/>
        <w:left w:val="none" w:sz="0" w:space="0" w:color="auto"/>
        <w:bottom w:val="none" w:sz="0" w:space="0" w:color="auto"/>
        <w:right w:val="none" w:sz="0" w:space="0" w:color="auto"/>
      </w:divBdr>
    </w:div>
    <w:div w:id="876310589">
      <w:bodyDiv w:val="1"/>
      <w:marLeft w:val="0"/>
      <w:marRight w:val="0"/>
      <w:marTop w:val="0"/>
      <w:marBottom w:val="0"/>
      <w:divBdr>
        <w:top w:val="none" w:sz="0" w:space="0" w:color="auto"/>
        <w:left w:val="none" w:sz="0" w:space="0" w:color="auto"/>
        <w:bottom w:val="none" w:sz="0" w:space="0" w:color="auto"/>
        <w:right w:val="none" w:sz="0" w:space="0" w:color="auto"/>
      </w:divBdr>
    </w:div>
    <w:div w:id="1202471784">
      <w:bodyDiv w:val="1"/>
      <w:marLeft w:val="0"/>
      <w:marRight w:val="0"/>
      <w:marTop w:val="0"/>
      <w:marBottom w:val="0"/>
      <w:divBdr>
        <w:top w:val="none" w:sz="0" w:space="0" w:color="auto"/>
        <w:left w:val="none" w:sz="0" w:space="0" w:color="auto"/>
        <w:bottom w:val="none" w:sz="0" w:space="0" w:color="auto"/>
        <w:right w:val="none" w:sz="0" w:space="0" w:color="auto"/>
      </w:divBdr>
    </w:div>
    <w:div w:id="1277248300">
      <w:bodyDiv w:val="1"/>
      <w:marLeft w:val="0"/>
      <w:marRight w:val="0"/>
      <w:marTop w:val="0"/>
      <w:marBottom w:val="0"/>
      <w:divBdr>
        <w:top w:val="none" w:sz="0" w:space="0" w:color="auto"/>
        <w:left w:val="none" w:sz="0" w:space="0" w:color="auto"/>
        <w:bottom w:val="none" w:sz="0" w:space="0" w:color="auto"/>
        <w:right w:val="none" w:sz="0" w:space="0" w:color="auto"/>
      </w:divBdr>
    </w:div>
    <w:div w:id="1627852072">
      <w:bodyDiv w:val="1"/>
      <w:marLeft w:val="0"/>
      <w:marRight w:val="0"/>
      <w:marTop w:val="0"/>
      <w:marBottom w:val="0"/>
      <w:divBdr>
        <w:top w:val="none" w:sz="0" w:space="0" w:color="auto"/>
        <w:left w:val="none" w:sz="0" w:space="0" w:color="auto"/>
        <w:bottom w:val="none" w:sz="0" w:space="0" w:color="auto"/>
        <w:right w:val="none" w:sz="0" w:space="0" w:color="auto"/>
      </w:divBdr>
    </w:div>
    <w:div w:id="1728409170">
      <w:bodyDiv w:val="1"/>
      <w:marLeft w:val="0"/>
      <w:marRight w:val="0"/>
      <w:marTop w:val="0"/>
      <w:marBottom w:val="0"/>
      <w:divBdr>
        <w:top w:val="none" w:sz="0" w:space="0" w:color="auto"/>
        <w:left w:val="none" w:sz="0" w:space="0" w:color="auto"/>
        <w:bottom w:val="none" w:sz="0" w:space="0" w:color="auto"/>
        <w:right w:val="none" w:sz="0" w:space="0" w:color="auto"/>
      </w:divBdr>
      <w:divsChild>
        <w:div w:id="498883788">
          <w:marLeft w:val="0"/>
          <w:marRight w:val="0"/>
          <w:marTop w:val="0"/>
          <w:marBottom w:val="0"/>
          <w:divBdr>
            <w:top w:val="none" w:sz="0" w:space="0" w:color="auto"/>
            <w:left w:val="none" w:sz="0" w:space="0" w:color="auto"/>
            <w:bottom w:val="none" w:sz="0" w:space="0" w:color="auto"/>
            <w:right w:val="none" w:sz="0" w:space="0" w:color="auto"/>
          </w:divBdr>
          <w:divsChild>
            <w:div w:id="17437110">
              <w:marLeft w:val="0"/>
              <w:marRight w:val="0"/>
              <w:marTop w:val="0"/>
              <w:marBottom w:val="0"/>
              <w:divBdr>
                <w:top w:val="none" w:sz="0" w:space="0" w:color="auto"/>
                <w:left w:val="none" w:sz="0" w:space="0" w:color="auto"/>
                <w:bottom w:val="none" w:sz="0" w:space="0" w:color="auto"/>
                <w:right w:val="none" w:sz="0" w:space="0" w:color="auto"/>
              </w:divBdr>
              <w:divsChild>
                <w:div w:id="1898710620">
                  <w:marLeft w:val="0"/>
                  <w:marRight w:val="0"/>
                  <w:marTop w:val="0"/>
                  <w:marBottom w:val="0"/>
                  <w:divBdr>
                    <w:top w:val="none" w:sz="0" w:space="0" w:color="auto"/>
                    <w:left w:val="none" w:sz="0" w:space="0" w:color="auto"/>
                    <w:bottom w:val="none" w:sz="0" w:space="0" w:color="auto"/>
                    <w:right w:val="none" w:sz="0" w:space="0" w:color="auto"/>
                  </w:divBdr>
                </w:div>
              </w:divsChild>
            </w:div>
            <w:div w:id="275674021">
              <w:marLeft w:val="-15"/>
              <w:marRight w:val="0"/>
              <w:marTop w:val="0"/>
              <w:marBottom w:val="0"/>
              <w:divBdr>
                <w:top w:val="none" w:sz="0" w:space="0" w:color="auto"/>
                <w:left w:val="none" w:sz="0" w:space="0" w:color="auto"/>
                <w:bottom w:val="none" w:sz="0" w:space="0" w:color="auto"/>
                <w:right w:val="none" w:sz="0" w:space="0" w:color="auto"/>
              </w:divBdr>
            </w:div>
            <w:div w:id="461968983">
              <w:marLeft w:val="0"/>
              <w:marRight w:val="0"/>
              <w:marTop w:val="0"/>
              <w:marBottom w:val="0"/>
              <w:divBdr>
                <w:top w:val="none" w:sz="0" w:space="0" w:color="auto"/>
                <w:left w:val="none" w:sz="0" w:space="0" w:color="auto"/>
                <w:bottom w:val="none" w:sz="0" w:space="0" w:color="auto"/>
                <w:right w:val="none" w:sz="0" w:space="0" w:color="auto"/>
              </w:divBdr>
            </w:div>
            <w:div w:id="564485780">
              <w:marLeft w:val="75"/>
              <w:marRight w:val="0"/>
              <w:marTop w:val="0"/>
              <w:marBottom w:val="0"/>
              <w:divBdr>
                <w:top w:val="none" w:sz="0" w:space="0" w:color="auto"/>
                <w:left w:val="none" w:sz="0" w:space="0" w:color="auto"/>
                <w:bottom w:val="none" w:sz="0" w:space="0" w:color="auto"/>
                <w:right w:val="none" w:sz="0" w:space="0" w:color="auto"/>
              </w:divBdr>
            </w:div>
          </w:divsChild>
        </w:div>
        <w:div w:id="607741875">
          <w:marLeft w:val="0"/>
          <w:marRight w:val="225"/>
          <w:marTop w:val="75"/>
          <w:marBottom w:val="0"/>
          <w:divBdr>
            <w:top w:val="none" w:sz="0" w:space="0" w:color="auto"/>
            <w:left w:val="none" w:sz="0" w:space="0" w:color="auto"/>
            <w:bottom w:val="none" w:sz="0" w:space="0" w:color="auto"/>
            <w:right w:val="none" w:sz="0" w:space="0" w:color="auto"/>
          </w:divBdr>
          <w:divsChild>
            <w:div w:id="149444351">
              <w:marLeft w:val="0"/>
              <w:marRight w:val="0"/>
              <w:marTop w:val="0"/>
              <w:marBottom w:val="0"/>
              <w:divBdr>
                <w:top w:val="none" w:sz="0" w:space="0" w:color="auto"/>
                <w:left w:val="none" w:sz="0" w:space="0" w:color="auto"/>
                <w:bottom w:val="none" w:sz="0" w:space="0" w:color="auto"/>
                <w:right w:val="none" w:sz="0" w:space="0" w:color="auto"/>
              </w:divBdr>
              <w:divsChild>
                <w:div w:id="1153451350">
                  <w:marLeft w:val="0"/>
                  <w:marRight w:val="0"/>
                  <w:marTop w:val="0"/>
                  <w:marBottom w:val="0"/>
                  <w:divBdr>
                    <w:top w:val="none" w:sz="0" w:space="0" w:color="auto"/>
                    <w:left w:val="none" w:sz="0" w:space="0" w:color="auto"/>
                    <w:bottom w:val="none" w:sz="0" w:space="0" w:color="auto"/>
                    <w:right w:val="none" w:sz="0" w:space="0" w:color="auto"/>
                  </w:divBdr>
                  <w:divsChild>
                    <w:div w:id="1684629736">
                      <w:marLeft w:val="0"/>
                      <w:marRight w:val="0"/>
                      <w:marTop w:val="0"/>
                      <w:marBottom w:val="0"/>
                      <w:divBdr>
                        <w:top w:val="none" w:sz="0" w:space="0" w:color="auto"/>
                        <w:left w:val="none" w:sz="0" w:space="0" w:color="auto"/>
                        <w:bottom w:val="none" w:sz="0" w:space="0" w:color="auto"/>
                        <w:right w:val="none" w:sz="0" w:space="0" w:color="auto"/>
                      </w:divBdr>
                      <w:divsChild>
                        <w:div w:id="198974344">
                          <w:marLeft w:val="0"/>
                          <w:marRight w:val="0"/>
                          <w:marTop w:val="0"/>
                          <w:marBottom w:val="0"/>
                          <w:divBdr>
                            <w:top w:val="none" w:sz="0" w:space="0" w:color="auto"/>
                            <w:left w:val="none" w:sz="0" w:space="0" w:color="auto"/>
                            <w:bottom w:val="none" w:sz="0" w:space="0" w:color="auto"/>
                            <w:right w:val="none" w:sz="0" w:space="0" w:color="auto"/>
                          </w:divBdr>
                        </w:div>
                        <w:div w:id="237398020">
                          <w:marLeft w:val="0"/>
                          <w:marRight w:val="0"/>
                          <w:marTop w:val="0"/>
                          <w:marBottom w:val="0"/>
                          <w:divBdr>
                            <w:top w:val="none" w:sz="0" w:space="0" w:color="auto"/>
                            <w:left w:val="none" w:sz="0" w:space="0" w:color="auto"/>
                            <w:bottom w:val="none" w:sz="0" w:space="0" w:color="auto"/>
                            <w:right w:val="none" w:sz="0" w:space="0" w:color="auto"/>
                          </w:divBdr>
                        </w:div>
                        <w:div w:id="473568266">
                          <w:marLeft w:val="0"/>
                          <w:marRight w:val="0"/>
                          <w:marTop w:val="0"/>
                          <w:marBottom w:val="0"/>
                          <w:divBdr>
                            <w:top w:val="none" w:sz="0" w:space="0" w:color="auto"/>
                            <w:left w:val="none" w:sz="0" w:space="0" w:color="auto"/>
                            <w:bottom w:val="none" w:sz="0" w:space="0" w:color="auto"/>
                            <w:right w:val="none" w:sz="0" w:space="0" w:color="auto"/>
                          </w:divBdr>
                        </w:div>
                        <w:div w:id="897713426">
                          <w:marLeft w:val="0"/>
                          <w:marRight w:val="0"/>
                          <w:marTop w:val="0"/>
                          <w:marBottom w:val="0"/>
                          <w:divBdr>
                            <w:top w:val="none" w:sz="0" w:space="0" w:color="auto"/>
                            <w:left w:val="none" w:sz="0" w:space="0" w:color="auto"/>
                            <w:bottom w:val="none" w:sz="0" w:space="0" w:color="auto"/>
                            <w:right w:val="none" w:sz="0" w:space="0" w:color="auto"/>
                          </w:divBdr>
                        </w:div>
                        <w:div w:id="970137882">
                          <w:marLeft w:val="0"/>
                          <w:marRight w:val="0"/>
                          <w:marTop w:val="0"/>
                          <w:marBottom w:val="0"/>
                          <w:divBdr>
                            <w:top w:val="none" w:sz="0" w:space="0" w:color="auto"/>
                            <w:left w:val="none" w:sz="0" w:space="0" w:color="auto"/>
                            <w:bottom w:val="none" w:sz="0" w:space="0" w:color="auto"/>
                            <w:right w:val="none" w:sz="0" w:space="0" w:color="auto"/>
                          </w:divBdr>
                        </w:div>
                        <w:div w:id="1040324428">
                          <w:marLeft w:val="0"/>
                          <w:marRight w:val="0"/>
                          <w:marTop w:val="0"/>
                          <w:marBottom w:val="0"/>
                          <w:divBdr>
                            <w:top w:val="none" w:sz="0" w:space="0" w:color="auto"/>
                            <w:left w:val="none" w:sz="0" w:space="0" w:color="auto"/>
                            <w:bottom w:val="none" w:sz="0" w:space="0" w:color="auto"/>
                            <w:right w:val="none" w:sz="0" w:space="0" w:color="auto"/>
                          </w:divBdr>
                        </w:div>
                        <w:div w:id="1405569531">
                          <w:marLeft w:val="0"/>
                          <w:marRight w:val="0"/>
                          <w:marTop w:val="0"/>
                          <w:marBottom w:val="0"/>
                          <w:divBdr>
                            <w:top w:val="none" w:sz="0" w:space="0" w:color="auto"/>
                            <w:left w:val="none" w:sz="0" w:space="0" w:color="auto"/>
                            <w:bottom w:val="none" w:sz="0" w:space="0" w:color="auto"/>
                            <w:right w:val="none" w:sz="0" w:space="0" w:color="auto"/>
                          </w:divBdr>
                        </w:div>
                        <w:div w:id="1637030576">
                          <w:marLeft w:val="0"/>
                          <w:marRight w:val="0"/>
                          <w:marTop w:val="0"/>
                          <w:marBottom w:val="0"/>
                          <w:divBdr>
                            <w:top w:val="none" w:sz="0" w:space="0" w:color="auto"/>
                            <w:left w:val="none" w:sz="0" w:space="0" w:color="auto"/>
                            <w:bottom w:val="none" w:sz="0" w:space="0" w:color="auto"/>
                            <w:right w:val="none" w:sz="0" w:space="0" w:color="auto"/>
                          </w:divBdr>
                        </w:div>
                        <w:div w:id="1750273448">
                          <w:marLeft w:val="0"/>
                          <w:marRight w:val="0"/>
                          <w:marTop w:val="0"/>
                          <w:marBottom w:val="0"/>
                          <w:divBdr>
                            <w:top w:val="none" w:sz="0" w:space="0" w:color="auto"/>
                            <w:left w:val="none" w:sz="0" w:space="0" w:color="auto"/>
                            <w:bottom w:val="none" w:sz="0" w:space="0" w:color="auto"/>
                            <w:right w:val="none" w:sz="0" w:space="0" w:color="auto"/>
                          </w:divBdr>
                        </w:div>
                        <w:div w:id="1884050408">
                          <w:marLeft w:val="0"/>
                          <w:marRight w:val="0"/>
                          <w:marTop w:val="0"/>
                          <w:marBottom w:val="0"/>
                          <w:divBdr>
                            <w:top w:val="none" w:sz="0" w:space="0" w:color="auto"/>
                            <w:left w:val="none" w:sz="0" w:space="0" w:color="auto"/>
                            <w:bottom w:val="none" w:sz="0" w:space="0" w:color="auto"/>
                            <w:right w:val="none" w:sz="0" w:space="0" w:color="auto"/>
                          </w:divBdr>
                        </w:div>
                        <w:div w:id="1989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tablas/informe2018/espanol.pdf" TargetMode="External"/><Relationship Id="rId2" Type="http://schemas.openxmlformats.org/officeDocument/2006/relationships/hyperlink" Target="http://www.corteidh.or.cr/docs/regla_victimas/victimas_esp.pdf" TargetMode="External"/><Relationship Id="rId1" Type="http://schemas.openxmlformats.org/officeDocument/2006/relationships/hyperlink" Target="http://www.corteidh.or.cr/docs/casos/articulos/seriec_371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CDB25B-CF13-4DAB-BAD4-1A0B2ECD7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1145</Words>
  <Characters>6533</Characters>
  <Application>Microsoft Office Word</Application>
  <DocSecurity>0</DocSecurity>
  <Lines>54</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7663</CharactersWithSpaces>
  <SharedDoc>false</SharedDoc>
  <HLinks>
    <vt:vector size="18" baseType="variant">
      <vt:variant>
        <vt:i4>4456534</vt:i4>
      </vt:variant>
      <vt:variant>
        <vt:i4>6</vt:i4>
      </vt:variant>
      <vt:variant>
        <vt:i4>0</vt:i4>
      </vt:variant>
      <vt:variant>
        <vt:i4>5</vt:i4>
      </vt:variant>
      <vt:variant>
        <vt:lpwstr>http://www.corteidh.or.cr/tablas/informe2018/espanol.pdf</vt:lpwstr>
      </vt:variant>
      <vt:variant>
        <vt:lpwstr/>
      </vt:variant>
      <vt:variant>
        <vt:i4>7405695</vt:i4>
      </vt:variant>
      <vt:variant>
        <vt:i4>3</vt:i4>
      </vt:variant>
      <vt:variant>
        <vt:i4>0</vt:i4>
      </vt:variant>
      <vt:variant>
        <vt:i4>5</vt:i4>
      </vt:variant>
      <vt:variant>
        <vt:lpwstr>http://www.corteidh.or.cr/docs/regla_victimas/victimas_esp.pdf</vt:lpwstr>
      </vt:variant>
      <vt:variant>
        <vt:lpwstr/>
      </vt:variant>
      <vt:variant>
        <vt:i4>5701718</vt:i4>
      </vt:variant>
      <vt:variant>
        <vt:i4>0</vt:i4>
      </vt:variant>
      <vt:variant>
        <vt:i4>0</vt:i4>
      </vt:variant>
      <vt:variant>
        <vt:i4>5</vt:i4>
      </vt:variant>
      <vt:variant>
        <vt:lpwstr>http://www.corteidh.or.cr/docs/casos/articulos/seriec_371_esp.pdf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2019-10-30T19:31:00Z</cp:lastPrinted>
  <dcterms:created xsi:type="dcterms:W3CDTF">2019-11-29T22:40:00Z</dcterms:created>
  <dcterms:modified xsi:type="dcterms:W3CDTF">2019-11-29T22:40:00Z</dcterms:modified>
</cp:coreProperties>
</file>