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592" w:rsidRDefault="00020592" w:rsidP="005B54DD">
      <w:pPr>
        <w:spacing w:after="0" w:line="240" w:lineRule="auto"/>
        <w:jc w:val="center"/>
        <w:rPr>
          <w:rFonts w:ascii="Verdana" w:hAnsi="Verdana"/>
          <w:b/>
          <w:sz w:val="20"/>
          <w:szCs w:val="20"/>
          <w:lang w:val="es-CR"/>
        </w:rPr>
      </w:pPr>
      <w:bookmarkStart w:id="0" w:name="_GoBack"/>
      <w:bookmarkEnd w:id="0"/>
    </w:p>
    <w:p w:rsidR="0013792B" w:rsidRDefault="0013792B" w:rsidP="005B54DD">
      <w:pPr>
        <w:spacing w:after="0" w:line="240" w:lineRule="auto"/>
        <w:jc w:val="center"/>
        <w:rPr>
          <w:rFonts w:ascii="Verdana" w:hAnsi="Verdana"/>
          <w:b/>
          <w:sz w:val="20"/>
          <w:szCs w:val="20"/>
          <w:lang w:val="es-CR"/>
        </w:rPr>
      </w:pPr>
    </w:p>
    <w:p w:rsidR="0013792B" w:rsidRDefault="0013792B" w:rsidP="005B54DD">
      <w:pPr>
        <w:spacing w:after="0" w:line="240" w:lineRule="auto"/>
        <w:jc w:val="center"/>
        <w:rPr>
          <w:rFonts w:ascii="Verdana" w:hAnsi="Verdana"/>
          <w:b/>
          <w:sz w:val="20"/>
          <w:szCs w:val="20"/>
          <w:lang w:val="es-CR"/>
        </w:rPr>
      </w:pPr>
    </w:p>
    <w:p w:rsidR="0013792B" w:rsidRDefault="0013792B" w:rsidP="005B54DD">
      <w:pPr>
        <w:spacing w:after="0" w:line="240" w:lineRule="auto"/>
        <w:jc w:val="center"/>
        <w:rPr>
          <w:rFonts w:ascii="Verdana" w:hAnsi="Verdana"/>
          <w:b/>
          <w:sz w:val="20"/>
          <w:szCs w:val="20"/>
          <w:lang w:val="es-CR"/>
        </w:rPr>
      </w:pPr>
    </w:p>
    <w:p w:rsidR="0013792B" w:rsidRDefault="0013792B" w:rsidP="005B54DD">
      <w:pPr>
        <w:spacing w:after="0" w:line="240" w:lineRule="auto"/>
        <w:jc w:val="center"/>
        <w:rPr>
          <w:rFonts w:ascii="Verdana" w:hAnsi="Verdana"/>
          <w:b/>
          <w:sz w:val="20"/>
          <w:szCs w:val="20"/>
          <w:lang w:val="es-CR"/>
        </w:rPr>
      </w:pPr>
    </w:p>
    <w:p w:rsidR="0013792B" w:rsidRDefault="0013792B" w:rsidP="005B54DD">
      <w:pPr>
        <w:spacing w:after="0" w:line="240" w:lineRule="auto"/>
        <w:jc w:val="center"/>
        <w:rPr>
          <w:rFonts w:ascii="Verdana" w:hAnsi="Verdana"/>
          <w:b/>
          <w:sz w:val="20"/>
          <w:szCs w:val="20"/>
          <w:lang w:val="es-CR"/>
        </w:rPr>
      </w:pPr>
    </w:p>
    <w:p w:rsidR="0087652D" w:rsidRDefault="0087652D" w:rsidP="005B54DD">
      <w:pPr>
        <w:spacing w:after="0" w:line="240" w:lineRule="auto"/>
        <w:jc w:val="center"/>
        <w:rPr>
          <w:rFonts w:ascii="Verdana" w:hAnsi="Verdana"/>
          <w:b/>
          <w:sz w:val="20"/>
          <w:szCs w:val="20"/>
          <w:lang w:val="es-CR"/>
        </w:rPr>
      </w:pPr>
    </w:p>
    <w:p w:rsidR="00F56ACD" w:rsidRDefault="00745AE4" w:rsidP="005B54DD">
      <w:pPr>
        <w:spacing w:after="0" w:line="240" w:lineRule="auto"/>
        <w:jc w:val="center"/>
        <w:rPr>
          <w:rFonts w:ascii="Verdana" w:hAnsi="Verdana"/>
          <w:b/>
          <w:sz w:val="20"/>
          <w:szCs w:val="20"/>
          <w:lang w:val="es-CR"/>
        </w:rPr>
      </w:pPr>
      <w:r w:rsidRPr="00745AE4">
        <w:rPr>
          <w:rFonts w:ascii="Verdana" w:hAnsi="Verdana"/>
          <w:b/>
          <w:sz w:val="20"/>
          <w:szCs w:val="20"/>
          <w:lang w:val="es-CR"/>
        </w:rPr>
        <w:t>RESOLUCIÓN DE LA</w:t>
      </w:r>
    </w:p>
    <w:p w:rsidR="00FF7EEA" w:rsidRDefault="00745AE4" w:rsidP="005B54DD">
      <w:pPr>
        <w:spacing w:after="0" w:line="240" w:lineRule="auto"/>
        <w:jc w:val="center"/>
        <w:rPr>
          <w:rFonts w:ascii="Verdana" w:hAnsi="Verdana"/>
          <w:b/>
          <w:smallCaps/>
          <w:sz w:val="20"/>
          <w:lang w:val="es-CR"/>
        </w:rPr>
      </w:pPr>
      <w:r w:rsidRPr="00745AE4">
        <w:rPr>
          <w:rFonts w:ascii="Verdana" w:hAnsi="Verdana"/>
          <w:b/>
          <w:sz w:val="20"/>
          <w:szCs w:val="20"/>
          <w:lang w:val="es-CR"/>
        </w:rPr>
        <w:t>CORTE INTERAMERICANA DE DERECHOS HUMANOS</w:t>
      </w:r>
      <w:r w:rsidR="004C7B35" w:rsidRPr="00FC7AC8">
        <w:rPr>
          <w:rStyle w:val="Refdenotaalpie"/>
          <w:rFonts w:ascii="Verdana" w:hAnsi="Verdana"/>
          <w:b/>
          <w:smallCaps/>
          <w:sz w:val="20"/>
        </w:rPr>
        <w:footnoteReference w:customMarkFollows="1" w:id="1"/>
        <w:sym w:font="Symbol" w:char="F02A"/>
      </w:r>
      <w:r w:rsidR="00FF7EEA" w:rsidRPr="00FF7EEA">
        <w:rPr>
          <w:rStyle w:val="Refdenotaalpie"/>
          <w:rFonts w:ascii="Verdana" w:hAnsi="Verdana"/>
          <w:b/>
          <w:smallCaps/>
          <w:sz w:val="20"/>
          <w:lang w:val="es-CR"/>
        </w:rPr>
        <w:t xml:space="preserve"> </w:t>
      </w:r>
    </w:p>
    <w:p w:rsidR="00AD4184" w:rsidRPr="00745AE4" w:rsidRDefault="00AD4184" w:rsidP="005B54DD">
      <w:pPr>
        <w:spacing w:after="0" w:line="240" w:lineRule="auto"/>
        <w:jc w:val="center"/>
        <w:rPr>
          <w:rFonts w:ascii="Verdana" w:hAnsi="Verdana"/>
          <w:b/>
          <w:sz w:val="20"/>
          <w:szCs w:val="20"/>
          <w:lang w:val="es-CR"/>
        </w:rPr>
      </w:pPr>
    </w:p>
    <w:p w:rsidR="00745AE4" w:rsidRDefault="00671120" w:rsidP="005B54DD">
      <w:pPr>
        <w:spacing w:after="0" w:line="240" w:lineRule="auto"/>
        <w:jc w:val="center"/>
        <w:rPr>
          <w:rFonts w:ascii="Verdana" w:hAnsi="Verdana"/>
          <w:b/>
          <w:sz w:val="20"/>
          <w:szCs w:val="20"/>
          <w:lang w:val="es-CR"/>
        </w:rPr>
      </w:pPr>
      <w:r w:rsidRPr="00FC7AC8">
        <w:rPr>
          <w:rFonts w:ascii="Verdana" w:hAnsi="Verdana"/>
          <w:b/>
          <w:sz w:val="20"/>
          <w:szCs w:val="20"/>
          <w:lang w:val="es-CR"/>
        </w:rPr>
        <w:t xml:space="preserve">DE </w:t>
      </w:r>
      <w:r w:rsidR="0013792B">
        <w:rPr>
          <w:rFonts w:ascii="Verdana" w:hAnsi="Verdana"/>
          <w:b/>
          <w:sz w:val="20"/>
          <w:szCs w:val="20"/>
          <w:lang w:val="es-CR"/>
        </w:rPr>
        <w:t>7</w:t>
      </w:r>
      <w:r w:rsidR="00020592">
        <w:rPr>
          <w:rFonts w:ascii="Verdana" w:hAnsi="Verdana"/>
          <w:b/>
          <w:sz w:val="20"/>
          <w:szCs w:val="20"/>
          <w:lang w:val="es-CR"/>
        </w:rPr>
        <w:t xml:space="preserve"> DE OCTUBRE</w:t>
      </w:r>
      <w:r w:rsidR="00745AE4" w:rsidRPr="00FC7AC8">
        <w:rPr>
          <w:rFonts w:ascii="Verdana" w:hAnsi="Verdana"/>
          <w:b/>
          <w:sz w:val="20"/>
          <w:szCs w:val="20"/>
          <w:lang w:val="es-CR"/>
        </w:rPr>
        <w:t xml:space="preserve"> DE </w:t>
      </w:r>
      <w:r w:rsidR="008E5B90">
        <w:rPr>
          <w:rFonts w:ascii="Verdana" w:hAnsi="Verdana"/>
          <w:b/>
          <w:sz w:val="20"/>
          <w:szCs w:val="20"/>
          <w:lang w:val="es-CR"/>
        </w:rPr>
        <w:t>2019</w:t>
      </w:r>
    </w:p>
    <w:p w:rsidR="00AD4184" w:rsidRPr="00745AE4" w:rsidRDefault="00AD4184" w:rsidP="005B54DD">
      <w:pPr>
        <w:spacing w:after="0" w:line="240" w:lineRule="auto"/>
        <w:jc w:val="center"/>
        <w:rPr>
          <w:rFonts w:ascii="Verdana" w:hAnsi="Verdana"/>
          <w:b/>
          <w:sz w:val="20"/>
          <w:szCs w:val="20"/>
          <w:lang w:val="es-CR"/>
        </w:rPr>
      </w:pPr>
    </w:p>
    <w:p w:rsidR="00AD4184" w:rsidRPr="00FC7AC8" w:rsidRDefault="00FC7AC8" w:rsidP="005B54DD">
      <w:pPr>
        <w:spacing w:after="0" w:line="240" w:lineRule="auto"/>
        <w:jc w:val="center"/>
        <w:rPr>
          <w:rFonts w:ascii="Verdana" w:hAnsi="Verdana"/>
          <w:b/>
          <w:i/>
          <w:sz w:val="20"/>
          <w:szCs w:val="20"/>
          <w:lang w:val="es-CR"/>
        </w:rPr>
      </w:pPr>
      <w:r w:rsidRPr="00692D6D">
        <w:rPr>
          <w:rFonts w:ascii="Verdana" w:hAnsi="Verdana"/>
          <w:b/>
          <w:i/>
          <w:sz w:val="20"/>
          <w:szCs w:val="20"/>
          <w:lang w:val="es-CR"/>
        </w:rPr>
        <w:t>CASO CARVAJAL CARVAJAL Y OTROS VS. COLOMBIA</w:t>
      </w:r>
    </w:p>
    <w:p w:rsidR="00340BD2" w:rsidRDefault="00745AE4" w:rsidP="005B54DD">
      <w:pPr>
        <w:spacing w:after="0" w:line="240" w:lineRule="auto"/>
        <w:jc w:val="center"/>
        <w:rPr>
          <w:rFonts w:ascii="Verdana" w:hAnsi="Verdana"/>
          <w:b/>
          <w:sz w:val="20"/>
          <w:szCs w:val="20"/>
          <w:lang w:val="es-CR"/>
        </w:rPr>
      </w:pPr>
      <w:r w:rsidRPr="009B4B9D">
        <w:rPr>
          <w:rFonts w:ascii="Verdana" w:hAnsi="Verdana"/>
          <w:b/>
          <w:sz w:val="20"/>
          <w:szCs w:val="20"/>
          <w:lang w:val="es-CR"/>
        </w:rPr>
        <w:t>SUPERVISI</w:t>
      </w:r>
      <w:r w:rsidR="008E5B90">
        <w:rPr>
          <w:rFonts w:ascii="Verdana" w:hAnsi="Verdana"/>
          <w:b/>
          <w:sz w:val="20"/>
          <w:szCs w:val="20"/>
          <w:lang w:val="es-CR"/>
        </w:rPr>
        <w:t>ÓN DE CUMPLIMIENTO DE SENTENCIA</w:t>
      </w:r>
    </w:p>
    <w:p w:rsidR="008E5B90" w:rsidRPr="009B4B9D" w:rsidRDefault="008E5B90" w:rsidP="005B54DD">
      <w:pPr>
        <w:spacing w:after="0" w:line="240" w:lineRule="auto"/>
        <w:jc w:val="center"/>
        <w:rPr>
          <w:rFonts w:ascii="Verdana" w:hAnsi="Verdana"/>
          <w:b/>
          <w:sz w:val="20"/>
          <w:szCs w:val="20"/>
          <w:lang w:val="es-CR"/>
        </w:rPr>
      </w:pPr>
    </w:p>
    <w:p w:rsidR="00CD4DDE" w:rsidRDefault="005A1B3D" w:rsidP="005B54DD">
      <w:pPr>
        <w:spacing w:after="0" w:line="240" w:lineRule="auto"/>
        <w:jc w:val="both"/>
        <w:rPr>
          <w:rFonts w:ascii="Verdana" w:hAnsi="Verdana"/>
          <w:b/>
          <w:sz w:val="20"/>
          <w:szCs w:val="20"/>
          <w:lang w:val="es-CR"/>
        </w:rPr>
      </w:pPr>
      <w:r w:rsidRPr="009B4B9D">
        <w:rPr>
          <w:rFonts w:ascii="Verdana" w:hAnsi="Verdana"/>
          <w:b/>
          <w:sz w:val="20"/>
          <w:szCs w:val="20"/>
          <w:lang w:val="es-CR"/>
        </w:rPr>
        <w:t>VISTO:</w:t>
      </w:r>
      <w:r w:rsidR="006D19D6">
        <w:rPr>
          <w:rFonts w:ascii="Verdana" w:hAnsi="Verdana"/>
          <w:b/>
          <w:sz w:val="20"/>
          <w:szCs w:val="20"/>
          <w:lang w:val="es-CR"/>
        </w:rPr>
        <w:t xml:space="preserve"> </w:t>
      </w:r>
    </w:p>
    <w:p w:rsidR="005B54DD" w:rsidRDefault="005B54DD" w:rsidP="005B54DD">
      <w:pPr>
        <w:spacing w:after="0" w:line="240" w:lineRule="auto"/>
        <w:jc w:val="both"/>
        <w:rPr>
          <w:rFonts w:ascii="Verdana" w:hAnsi="Verdana"/>
          <w:b/>
          <w:sz w:val="20"/>
          <w:szCs w:val="20"/>
          <w:lang w:val="es-CR"/>
        </w:rPr>
      </w:pPr>
    </w:p>
    <w:p w:rsidR="00FF7EEA" w:rsidRPr="009D2605" w:rsidRDefault="005A1B3D" w:rsidP="009D2605">
      <w:pPr>
        <w:pStyle w:val="Listavistosa-nfasis1"/>
        <w:numPr>
          <w:ilvl w:val="0"/>
          <w:numId w:val="1"/>
        </w:numPr>
        <w:spacing w:after="0" w:line="240" w:lineRule="auto"/>
        <w:ind w:left="0" w:firstLine="0"/>
        <w:contextualSpacing w:val="0"/>
        <w:rPr>
          <w:color w:val="000000"/>
          <w:sz w:val="20"/>
          <w:szCs w:val="20"/>
          <w:shd w:val="clear" w:color="auto" w:fill="FFFFFF"/>
          <w:lang w:val="es-CR"/>
        </w:rPr>
      </w:pPr>
      <w:r w:rsidRPr="00D15A71">
        <w:rPr>
          <w:sz w:val="20"/>
          <w:szCs w:val="20"/>
          <w:lang w:val="es-CR"/>
        </w:rPr>
        <w:t>La Sentencia d</w:t>
      </w:r>
      <w:r w:rsidR="00FC7AC8" w:rsidRPr="00D15A71">
        <w:rPr>
          <w:sz w:val="20"/>
          <w:szCs w:val="20"/>
          <w:lang w:val="es-CR"/>
        </w:rPr>
        <w:t>e</w:t>
      </w:r>
      <w:r w:rsidR="00FC7AC8" w:rsidRPr="00D15A71">
        <w:rPr>
          <w:color w:val="000000"/>
          <w:sz w:val="20"/>
          <w:szCs w:val="20"/>
          <w:lang w:val="es-MX"/>
        </w:rPr>
        <w:t xml:space="preserve"> fondo, reparaciones y costas</w:t>
      </w:r>
      <w:r w:rsidRPr="00D15A71">
        <w:rPr>
          <w:color w:val="000000"/>
          <w:sz w:val="20"/>
          <w:szCs w:val="20"/>
          <w:lang w:val="es-CR"/>
        </w:rPr>
        <w:t xml:space="preserve"> </w:t>
      </w:r>
      <w:r w:rsidRPr="00D15A71">
        <w:rPr>
          <w:sz w:val="20"/>
          <w:szCs w:val="20"/>
          <w:lang w:val="es-CR"/>
        </w:rPr>
        <w:t xml:space="preserve">(en adelante “la Sentencia”) </w:t>
      </w:r>
      <w:r w:rsidR="00AD277C" w:rsidRPr="00D15A71">
        <w:rPr>
          <w:sz w:val="20"/>
          <w:szCs w:val="20"/>
          <w:lang w:val="es-CR"/>
        </w:rPr>
        <w:t xml:space="preserve">dictada </w:t>
      </w:r>
      <w:r w:rsidRPr="00D15A71">
        <w:rPr>
          <w:sz w:val="20"/>
          <w:szCs w:val="20"/>
          <w:lang w:val="es-CR"/>
        </w:rPr>
        <w:t>por la Corte Interamericana de Derechos Humanos (en adelante “la Corte Interamerican</w:t>
      </w:r>
      <w:r w:rsidR="00AD277C" w:rsidRPr="00D15A71">
        <w:rPr>
          <w:sz w:val="20"/>
          <w:szCs w:val="20"/>
          <w:lang w:val="es-CR"/>
        </w:rPr>
        <w:t xml:space="preserve">a”, “la Corte” o “el Tribunal”) el </w:t>
      </w:r>
      <w:r w:rsidR="00FC7AC8" w:rsidRPr="00D15A71">
        <w:rPr>
          <w:sz w:val="20"/>
          <w:szCs w:val="20"/>
          <w:lang w:val="es-CR"/>
        </w:rPr>
        <w:t>13</w:t>
      </w:r>
      <w:r w:rsidR="00886837" w:rsidRPr="00D15A71">
        <w:rPr>
          <w:sz w:val="20"/>
          <w:szCs w:val="20"/>
          <w:lang w:val="es-CR"/>
        </w:rPr>
        <w:t xml:space="preserve"> </w:t>
      </w:r>
      <w:r w:rsidR="00AD277C" w:rsidRPr="00D15A71">
        <w:rPr>
          <w:sz w:val="20"/>
          <w:szCs w:val="20"/>
          <w:lang w:val="es-CR"/>
        </w:rPr>
        <w:t>d</w:t>
      </w:r>
      <w:r w:rsidR="00FC7AC8" w:rsidRPr="00D15A71">
        <w:rPr>
          <w:sz w:val="20"/>
          <w:szCs w:val="20"/>
          <w:lang w:val="es-CR"/>
        </w:rPr>
        <w:t xml:space="preserve">e marzo </w:t>
      </w:r>
      <w:r w:rsidR="00AD277C" w:rsidRPr="00D15A71">
        <w:rPr>
          <w:sz w:val="20"/>
          <w:szCs w:val="20"/>
          <w:lang w:val="es-CR"/>
        </w:rPr>
        <w:t xml:space="preserve">de </w:t>
      </w:r>
      <w:r w:rsidR="00FC7AC8" w:rsidRPr="00D15A71">
        <w:rPr>
          <w:sz w:val="20"/>
          <w:szCs w:val="20"/>
          <w:lang w:val="es-CR"/>
        </w:rPr>
        <w:t>2018</w:t>
      </w:r>
      <w:r w:rsidR="00886837" w:rsidRPr="00640A7F">
        <w:rPr>
          <w:rStyle w:val="Refdenotaalpie"/>
          <w:sz w:val="20"/>
          <w:szCs w:val="20"/>
          <w:lang w:val="es-MX"/>
        </w:rPr>
        <w:footnoteReference w:id="2"/>
      </w:r>
      <w:r w:rsidR="001C0DED" w:rsidRPr="00D15A71">
        <w:rPr>
          <w:sz w:val="20"/>
          <w:szCs w:val="20"/>
          <w:lang w:val="es-CR"/>
        </w:rPr>
        <w:t xml:space="preserve">. </w:t>
      </w:r>
      <w:r w:rsidR="00D15A71" w:rsidRPr="00D15A71">
        <w:rPr>
          <w:sz w:val="20"/>
          <w:szCs w:val="20"/>
          <w:lang w:val="es-CR"/>
        </w:rPr>
        <w:t>El Tribunal declaró la responsabilidad internacional de</w:t>
      </w:r>
      <w:r w:rsidR="00956F0C">
        <w:rPr>
          <w:sz w:val="20"/>
          <w:szCs w:val="20"/>
          <w:lang w:val="es-CR"/>
        </w:rPr>
        <w:t xml:space="preserve"> la República de Colombia (en adelante “Colombia” o “el</w:t>
      </w:r>
      <w:r w:rsidR="00D15A71" w:rsidRPr="00D15A71">
        <w:rPr>
          <w:sz w:val="20"/>
          <w:szCs w:val="20"/>
          <w:lang w:val="es-CR"/>
        </w:rPr>
        <w:t xml:space="preserve"> Estado</w:t>
      </w:r>
      <w:r w:rsidR="00956F0C">
        <w:rPr>
          <w:sz w:val="20"/>
          <w:szCs w:val="20"/>
          <w:lang w:val="es-CR"/>
        </w:rPr>
        <w:t>”)</w:t>
      </w:r>
      <w:r w:rsidR="00D15A71" w:rsidRPr="00D15A71">
        <w:rPr>
          <w:sz w:val="20"/>
          <w:szCs w:val="20"/>
          <w:lang w:val="es-CR"/>
        </w:rPr>
        <w:t xml:space="preserve"> por la muerte </w:t>
      </w:r>
      <w:r w:rsidR="00C5535C">
        <w:rPr>
          <w:sz w:val="20"/>
          <w:szCs w:val="20"/>
          <w:lang w:val="es-CR"/>
        </w:rPr>
        <w:t>del señor</w:t>
      </w:r>
      <w:r w:rsidR="00D15A71" w:rsidRPr="00D15A71">
        <w:rPr>
          <w:sz w:val="20"/>
          <w:szCs w:val="20"/>
          <w:lang w:val="es-CR"/>
        </w:rPr>
        <w:t xml:space="preserve"> Nelson Carvajal Carvajal </w:t>
      </w:r>
      <w:r w:rsidR="009D2605">
        <w:rPr>
          <w:sz w:val="20"/>
          <w:szCs w:val="20"/>
          <w:lang w:val="es-CR"/>
        </w:rPr>
        <w:t xml:space="preserve">el 16 de abril de 1998, </w:t>
      </w:r>
      <w:r w:rsidR="00C5535C">
        <w:rPr>
          <w:sz w:val="20"/>
          <w:szCs w:val="20"/>
          <w:lang w:val="es-CR"/>
        </w:rPr>
        <w:t>la cual estuvo vinculada con su labor de periodista</w:t>
      </w:r>
      <w:r w:rsidR="00C5535C">
        <w:rPr>
          <w:rStyle w:val="Refdenotaalpie"/>
          <w:sz w:val="20"/>
          <w:szCs w:val="20"/>
          <w:lang w:val="es-CR"/>
        </w:rPr>
        <w:footnoteReference w:id="3"/>
      </w:r>
      <w:r w:rsidR="00C5535C">
        <w:rPr>
          <w:sz w:val="20"/>
          <w:szCs w:val="20"/>
          <w:lang w:val="es-CR"/>
        </w:rPr>
        <w:t xml:space="preserve">, </w:t>
      </w:r>
      <w:r w:rsidR="009D2605">
        <w:rPr>
          <w:sz w:val="20"/>
          <w:szCs w:val="20"/>
          <w:lang w:val="es-CR"/>
        </w:rPr>
        <w:t xml:space="preserve">así como </w:t>
      </w:r>
      <w:r w:rsidR="00D15A71" w:rsidRPr="00D15A71">
        <w:rPr>
          <w:sz w:val="20"/>
          <w:szCs w:val="20"/>
          <w:lang w:val="es-CR"/>
        </w:rPr>
        <w:t xml:space="preserve">por una falta al deber de garantizar su derecho a la libertad de expresión. </w:t>
      </w:r>
      <w:r w:rsidR="009D2605">
        <w:rPr>
          <w:sz w:val="20"/>
          <w:szCs w:val="20"/>
          <w:lang w:val="es-CR"/>
        </w:rPr>
        <w:t xml:space="preserve">La Corte indicó que </w:t>
      </w:r>
      <w:r w:rsidR="00CA3A45">
        <w:rPr>
          <w:sz w:val="20"/>
          <w:szCs w:val="20"/>
          <w:lang w:val="es-CR"/>
        </w:rPr>
        <w:t xml:space="preserve">los </w:t>
      </w:r>
      <w:r w:rsidR="009D2605">
        <w:rPr>
          <w:sz w:val="20"/>
          <w:szCs w:val="20"/>
          <w:lang w:val="es-CR"/>
        </w:rPr>
        <w:t>hecho</w:t>
      </w:r>
      <w:r w:rsidR="00CA3A45">
        <w:rPr>
          <w:sz w:val="20"/>
          <w:szCs w:val="20"/>
          <w:lang w:val="es-CR"/>
        </w:rPr>
        <w:t>s ocurrieron</w:t>
      </w:r>
      <w:r w:rsidR="009D2605">
        <w:rPr>
          <w:sz w:val="20"/>
          <w:szCs w:val="20"/>
          <w:lang w:val="es-CR"/>
        </w:rPr>
        <w:t xml:space="preserve"> </w:t>
      </w:r>
      <w:r w:rsidR="00D15A71" w:rsidRPr="00D15A71">
        <w:rPr>
          <w:sz w:val="20"/>
          <w:szCs w:val="20"/>
          <w:lang w:val="es-CR"/>
        </w:rPr>
        <w:t xml:space="preserve">dentro de un contexto generalizado de impunidad por los homicidios de periodistas que ocurrían en aquella época en Colombia. </w:t>
      </w:r>
      <w:r w:rsidR="009D2605">
        <w:rPr>
          <w:sz w:val="20"/>
          <w:szCs w:val="20"/>
          <w:lang w:val="es-CR"/>
        </w:rPr>
        <w:t xml:space="preserve">Asimismo, el Tribunal </w:t>
      </w:r>
      <w:r w:rsidR="00D15A71" w:rsidRPr="00D15A71">
        <w:rPr>
          <w:sz w:val="20"/>
          <w:szCs w:val="20"/>
          <w:lang w:val="es-CR"/>
        </w:rPr>
        <w:t xml:space="preserve">consideró responsable </w:t>
      </w:r>
      <w:r w:rsidR="009D2605">
        <w:rPr>
          <w:sz w:val="20"/>
          <w:szCs w:val="20"/>
          <w:lang w:val="es-CR"/>
        </w:rPr>
        <w:t xml:space="preserve">internacionalmente </w:t>
      </w:r>
      <w:r w:rsidR="00D15A71" w:rsidRPr="00D15A71">
        <w:rPr>
          <w:sz w:val="20"/>
          <w:szCs w:val="20"/>
          <w:lang w:val="es-CR"/>
        </w:rPr>
        <w:t>al Estado por la violación a</w:t>
      </w:r>
      <w:r w:rsidR="009D2605">
        <w:rPr>
          <w:sz w:val="20"/>
          <w:szCs w:val="20"/>
          <w:lang w:val="es-CR"/>
        </w:rPr>
        <w:t xml:space="preserve"> los derechos a las garantías judiciales y protección judicial en perjuicio de los familiares del señor Carv</w:t>
      </w:r>
      <w:r w:rsidR="00CA3A45">
        <w:rPr>
          <w:sz w:val="20"/>
          <w:szCs w:val="20"/>
          <w:lang w:val="es-CR"/>
        </w:rPr>
        <w:t>a</w:t>
      </w:r>
      <w:r w:rsidR="009D2605">
        <w:rPr>
          <w:sz w:val="20"/>
          <w:szCs w:val="20"/>
          <w:lang w:val="es-CR"/>
        </w:rPr>
        <w:t>jal</w:t>
      </w:r>
      <w:r w:rsidR="004A3B99">
        <w:rPr>
          <w:rStyle w:val="Refdenotaalpie"/>
          <w:sz w:val="20"/>
          <w:szCs w:val="20"/>
          <w:lang w:val="es-CR"/>
        </w:rPr>
        <w:footnoteReference w:id="4"/>
      </w:r>
      <w:r w:rsidR="009D2605">
        <w:rPr>
          <w:sz w:val="20"/>
          <w:szCs w:val="20"/>
          <w:lang w:val="es-CR"/>
        </w:rPr>
        <w:t xml:space="preserve">, por: i) no haber cumplido </w:t>
      </w:r>
      <w:r w:rsidR="009D2605">
        <w:rPr>
          <w:color w:val="000000"/>
          <w:sz w:val="20"/>
          <w:szCs w:val="20"/>
          <w:shd w:val="clear" w:color="auto" w:fill="FFFFFF"/>
          <w:lang w:val="es-CR"/>
        </w:rPr>
        <w:t xml:space="preserve">su </w:t>
      </w:r>
      <w:r w:rsidR="009D2605" w:rsidRPr="009D2605">
        <w:rPr>
          <w:color w:val="000000"/>
          <w:sz w:val="20"/>
          <w:szCs w:val="20"/>
          <w:shd w:val="clear" w:color="auto" w:fill="FFFFFF"/>
          <w:lang w:val="es-CR"/>
        </w:rPr>
        <w:t>obligación</w:t>
      </w:r>
      <w:r w:rsidR="009D2605">
        <w:rPr>
          <w:color w:val="000000"/>
          <w:sz w:val="20"/>
          <w:szCs w:val="20"/>
          <w:shd w:val="clear" w:color="auto" w:fill="FFFFFF"/>
          <w:lang w:val="es-CR"/>
        </w:rPr>
        <w:t xml:space="preserve"> </w:t>
      </w:r>
      <w:r w:rsidR="009D2605" w:rsidRPr="009D2605">
        <w:rPr>
          <w:color w:val="000000"/>
          <w:sz w:val="20"/>
          <w:szCs w:val="20"/>
          <w:shd w:val="clear" w:color="auto" w:fill="FFFFFF"/>
          <w:lang w:val="es-CR"/>
        </w:rPr>
        <w:t>de llevar a cabo una investigación y un proceso por el homicidio de Nelson Carvajal Carvajal</w:t>
      </w:r>
      <w:r w:rsidR="009D2605">
        <w:rPr>
          <w:color w:val="000000"/>
          <w:sz w:val="20"/>
          <w:szCs w:val="20"/>
          <w:shd w:val="clear" w:color="auto" w:fill="FFFFFF"/>
          <w:lang w:val="es-CR"/>
        </w:rPr>
        <w:t xml:space="preserve"> e</w:t>
      </w:r>
      <w:r w:rsidR="009D2605" w:rsidRPr="009D2605">
        <w:rPr>
          <w:color w:val="000000"/>
          <w:sz w:val="20"/>
          <w:szCs w:val="20"/>
          <w:shd w:val="clear" w:color="auto" w:fill="FFFFFF"/>
          <w:lang w:val="es-CR"/>
        </w:rPr>
        <w:t>n un plazo razonable</w:t>
      </w:r>
      <w:r w:rsidR="009D2605">
        <w:rPr>
          <w:color w:val="000000"/>
          <w:sz w:val="20"/>
          <w:szCs w:val="20"/>
          <w:shd w:val="clear" w:color="auto" w:fill="FFFFFF"/>
          <w:lang w:val="es-CR"/>
        </w:rPr>
        <w:t xml:space="preserve">; ii) </w:t>
      </w:r>
      <w:r w:rsidR="009D2605" w:rsidRPr="009D2605">
        <w:rPr>
          <w:color w:val="000000"/>
          <w:sz w:val="20"/>
          <w:szCs w:val="20"/>
          <w:shd w:val="clear" w:color="auto" w:fill="FFFFFF"/>
          <w:lang w:val="es-CR"/>
        </w:rPr>
        <w:t>no haber desarrollado las</w:t>
      </w:r>
      <w:r w:rsidR="009D2605">
        <w:rPr>
          <w:color w:val="000000"/>
          <w:sz w:val="20"/>
          <w:szCs w:val="20"/>
          <w:shd w:val="clear" w:color="auto" w:fill="FFFFFF"/>
          <w:lang w:val="es-CR"/>
        </w:rPr>
        <w:t xml:space="preserve"> </w:t>
      </w:r>
      <w:r w:rsidR="009D2605" w:rsidRPr="009D2605">
        <w:rPr>
          <w:color w:val="000000"/>
          <w:sz w:val="20"/>
          <w:szCs w:val="20"/>
          <w:shd w:val="clear" w:color="auto" w:fill="FFFFFF"/>
          <w:lang w:val="es-CR"/>
        </w:rPr>
        <w:t>investigaciones relacionadas con las amenazas proferidas en perjuicio de varios</w:t>
      </w:r>
      <w:r w:rsidR="009D2605">
        <w:rPr>
          <w:color w:val="000000"/>
          <w:sz w:val="20"/>
          <w:szCs w:val="20"/>
          <w:shd w:val="clear" w:color="auto" w:fill="FFFFFF"/>
          <w:lang w:val="es-CR"/>
        </w:rPr>
        <w:t xml:space="preserve"> de dichos</w:t>
      </w:r>
      <w:r w:rsidR="009D2605" w:rsidRPr="009D2605">
        <w:rPr>
          <w:color w:val="000000"/>
          <w:sz w:val="20"/>
          <w:szCs w:val="20"/>
          <w:shd w:val="clear" w:color="auto" w:fill="FFFFFF"/>
          <w:lang w:val="es-CR"/>
        </w:rPr>
        <w:t xml:space="preserve"> familiares</w:t>
      </w:r>
      <w:r w:rsidR="009D2605">
        <w:rPr>
          <w:color w:val="000000"/>
          <w:sz w:val="20"/>
          <w:szCs w:val="20"/>
          <w:shd w:val="clear" w:color="auto" w:fill="FFFFFF"/>
          <w:lang w:val="es-CR"/>
        </w:rPr>
        <w:t xml:space="preserve">, y iii) </w:t>
      </w:r>
      <w:r w:rsidR="009D2605" w:rsidRPr="009D2605">
        <w:rPr>
          <w:color w:val="000000"/>
          <w:sz w:val="20"/>
          <w:szCs w:val="20"/>
          <w:shd w:val="clear" w:color="auto" w:fill="FFFFFF"/>
          <w:lang w:val="es-CR"/>
        </w:rPr>
        <w:t>no haber tomado medidas adecuadas para</w:t>
      </w:r>
      <w:r w:rsidR="009D2605">
        <w:rPr>
          <w:color w:val="000000"/>
          <w:sz w:val="20"/>
          <w:szCs w:val="20"/>
          <w:shd w:val="clear" w:color="auto" w:fill="FFFFFF"/>
          <w:lang w:val="es-CR"/>
        </w:rPr>
        <w:t xml:space="preserve"> </w:t>
      </w:r>
      <w:r w:rsidR="009D2605" w:rsidRPr="009D2605">
        <w:rPr>
          <w:color w:val="000000"/>
          <w:sz w:val="20"/>
          <w:szCs w:val="20"/>
          <w:shd w:val="clear" w:color="auto" w:fill="FFFFFF"/>
          <w:lang w:val="es-CR"/>
        </w:rPr>
        <w:t>remediar las consecuencias para la investigación surgidas de la violación a la reserva</w:t>
      </w:r>
      <w:r w:rsidR="009D2605">
        <w:rPr>
          <w:color w:val="000000"/>
          <w:sz w:val="20"/>
          <w:szCs w:val="20"/>
          <w:shd w:val="clear" w:color="auto" w:fill="FFFFFF"/>
          <w:lang w:val="es-CR"/>
        </w:rPr>
        <w:t xml:space="preserve"> </w:t>
      </w:r>
      <w:r w:rsidR="009D2605" w:rsidRPr="009D2605">
        <w:rPr>
          <w:color w:val="000000"/>
          <w:sz w:val="20"/>
          <w:szCs w:val="20"/>
          <w:shd w:val="clear" w:color="auto" w:fill="FFFFFF"/>
          <w:lang w:val="es-CR"/>
        </w:rPr>
        <w:t xml:space="preserve">sumarial en el transcurso del </w:t>
      </w:r>
      <w:r w:rsidR="009D2605">
        <w:rPr>
          <w:color w:val="000000"/>
          <w:sz w:val="20"/>
          <w:szCs w:val="20"/>
          <w:shd w:val="clear" w:color="auto" w:fill="FFFFFF"/>
          <w:lang w:val="es-CR"/>
        </w:rPr>
        <w:t xml:space="preserve">referido proceso por la muerte del señor Carvajal. </w:t>
      </w:r>
      <w:r w:rsidR="00C572E9">
        <w:rPr>
          <w:sz w:val="20"/>
          <w:szCs w:val="20"/>
          <w:lang w:val="es-CR"/>
        </w:rPr>
        <w:t>El Tribunal también encontró que Colombia era internacional</w:t>
      </w:r>
      <w:r w:rsidR="00CA3A45">
        <w:rPr>
          <w:sz w:val="20"/>
          <w:szCs w:val="20"/>
          <w:lang w:val="es-CR"/>
        </w:rPr>
        <w:t>mente</w:t>
      </w:r>
      <w:r w:rsidR="00C572E9">
        <w:rPr>
          <w:sz w:val="20"/>
          <w:szCs w:val="20"/>
          <w:lang w:val="es-CR"/>
        </w:rPr>
        <w:t xml:space="preserve"> responsable por</w:t>
      </w:r>
      <w:r w:rsidR="005B051E">
        <w:rPr>
          <w:sz w:val="20"/>
          <w:szCs w:val="20"/>
          <w:lang w:val="es-CR"/>
        </w:rPr>
        <w:t xml:space="preserve"> </w:t>
      </w:r>
      <w:r w:rsidR="00C572E9">
        <w:rPr>
          <w:sz w:val="20"/>
          <w:szCs w:val="20"/>
          <w:lang w:val="es-CR"/>
        </w:rPr>
        <w:t>la</w:t>
      </w:r>
      <w:r w:rsidR="00D15A71" w:rsidRPr="009D2605">
        <w:rPr>
          <w:sz w:val="20"/>
          <w:szCs w:val="20"/>
          <w:lang w:val="es-CR"/>
        </w:rPr>
        <w:t xml:space="preserve"> violación al derecho a la integridad personal de los familiares </w:t>
      </w:r>
      <w:r w:rsidR="00C572E9">
        <w:rPr>
          <w:sz w:val="20"/>
          <w:szCs w:val="20"/>
          <w:lang w:val="es-CR"/>
        </w:rPr>
        <w:t>del señor Carvajal</w:t>
      </w:r>
      <w:r w:rsidR="00D15A71" w:rsidRPr="009D2605">
        <w:rPr>
          <w:sz w:val="20"/>
          <w:szCs w:val="20"/>
          <w:lang w:val="es-CR"/>
        </w:rPr>
        <w:t xml:space="preserve">, así como </w:t>
      </w:r>
      <w:r w:rsidR="00F83EF4">
        <w:rPr>
          <w:sz w:val="20"/>
          <w:szCs w:val="20"/>
          <w:lang w:val="es-CR"/>
        </w:rPr>
        <w:t>el derecho</w:t>
      </w:r>
      <w:r w:rsidR="00D15A71" w:rsidRPr="009D2605">
        <w:rPr>
          <w:sz w:val="20"/>
          <w:szCs w:val="20"/>
          <w:lang w:val="es-CR"/>
        </w:rPr>
        <w:t xml:space="preserve"> de circulación y residencia de algunos de </w:t>
      </w:r>
      <w:r w:rsidR="00C572E9">
        <w:rPr>
          <w:sz w:val="20"/>
          <w:szCs w:val="20"/>
          <w:lang w:val="es-CR"/>
        </w:rPr>
        <w:t>dichos</w:t>
      </w:r>
      <w:r w:rsidR="00D15A71" w:rsidRPr="009D2605">
        <w:rPr>
          <w:sz w:val="20"/>
          <w:szCs w:val="20"/>
          <w:lang w:val="es-CR"/>
        </w:rPr>
        <w:t xml:space="preserve"> </w:t>
      </w:r>
      <w:r w:rsidR="00C572E9">
        <w:rPr>
          <w:sz w:val="20"/>
          <w:szCs w:val="20"/>
          <w:lang w:val="es-CR"/>
        </w:rPr>
        <w:t>familiares</w:t>
      </w:r>
      <w:r w:rsidR="0041468C">
        <w:rPr>
          <w:rStyle w:val="Refdenotaalpie"/>
          <w:sz w:val="20"/>
          <w:szCs w:val="20"/>
          <w:lang w:val="es-CR"/>
        </w:rPr>
        <w:footnoteReference w:id="5"/>
      </w:r>
      <w:r w:rsidR="00C572E9">
        <w:rPr>
          <w:sz w:val="20"/>
          <w:szCs w:val="20"/>
          <w:lang w:val="es-CR"/>
        </w:rPr>
        <w:t xml:space="preserve">, </w:t>
      </w:r>
      <w:r w:rsidR="00D15A71" w:rsidRPr="009D2605">
        <w:rPr>
          <w:sz w:val="20"/>
          <w:szCs w:val="20"/>
          <w:lang w:val="es-CR"/>
        </w:rPr>
        <w:t xml:space="preserve">que se vieron forzados a salir de su lugar de residencia habitual y desplazarse en razón de la situación de riesgo que soportaban, y el </w:t>
      </w:r>
      <w:r w:rsidR="00D15A71" w:rsidRPr="009D2605">
        <w:rPr>
          <w:sz w:val="20"/>
          <w:szCs w:val="20"/>
          <w:lang w:val="es-CR"/>
        </w:rPr>
        <w:lastRenderedPageBreak/>
        <w:t>temor que sentían.</w:t>
      </w:r>
      <w:r w:rsidR="00D93DC8">
        <w:rPr>
          <w:sz w:val="20"/>
          <w:szCs w:val="20"/>
          <w:lang w:val="es-CR"/>
        </w:rPr>
        <w:t xml:space="preserve"> Finalmente, la Corte encontró al Estado internacionalmente respo</w:t>
      </w:r>
      <w:r w:rsidR="00D91DAC">
        <w:rPr>
          <w:sz w:val="20"/>
          <w:szCs w:val="20"/>
          <w:lang w:val="es-CR"/>
        </w:rPr>
        <w:t>n</w:t>
      </w:r>
      <w:r w:rsidR="00D93DC8">
        <w:rPr>
          <w:sz w:val="20"/>
          <w:szCs w:val="20"/>
          <w:lang w:val="es-CR"/>
        </w:rPr>
        <w:t xml:space="preserve">sable por </w:t>
      </w:r>
      <w:r w:rsidR="00E102A7">
        <w:rPr>
          <w:sz w:val="20"/>
          <w:szCs w:val="20"/>
          <w:lang w:val="es-CR"/>
        </w:rPr>
        <w:t>l</w:t>
      </w:r>
      <w:r w:rsidR="00D93DC8" w:rsidRPr="00D93DC8">
        <w:rPr>
          <w:sz w:val="20"/>
          <w:szCs w:val="20"/>
          <w:lang w:val="es-CR"/>
        </w:rPr>
        <w:t>a violación al derecho a la protección de la familia</w:t>
      </w:r>
      <w:r w:rsidR="00D93DC8">
        <w:rPr>
          <w:sz w:val="20"/>
          <w:szCs w:val="20"/>
          <w:lang w:val="es-CR"/>
        </w:rPr>
        <w:t xml:space="preserve"> y </w:t>
      </w:r>
      <w:r w:rsidR="00D93DC8" w:rsidRPr="00D93DC8">
        <w:rPr>
          <w:sz w:val="20"/>
          <w:szCs w:val="20"/>
          <w:lang w:val="es-CR"/>
        </w:rPr>
        <w:t>el derecho a la protección especial de los niños</w:t>
      </w:r>
      <w:r w:rsidR="00D93DC8">
        <w:rPr>
          <w:rStyle w:val="Refdenotaalpie"/>
          <w:sz w:val="20"/>
          <w:szCs w:val="20"/>
          <w:lang w:val="es-CR"/>
        </w:rPr>
        <w:footnoteReference w:id="6"/>
      </w:r>
      <w:r w:rsidR="00D93DC8">
        <w:rPr>
          <w:sz w:val="20"/>
          <w:szCs w:val="20"/>
          <w:lang w:val="es-CR"/>
        </w:rPr>
        <w:t xml:space="preserve">. </w:t>
      </w:r>
      <w:r w:rsidR="008848CA">
        <w:rPr>
          <w:sz w:val="20"/>
          <w:szCs w:val="20"/>
          <w:lang w:val="es-CR"/>
        </w:rPr>
        <w:t>El Tribunal</w:t>
      </w:r>
      <w:r w:rsidR="00236C4D" w:rsidRPr="009D2605">
        <w:rPr>
          <w:sz w:val="20"/>
          <w:szCs w:val="20"/>
          <w:lang w:val="es-CR"/>
        </w:rPr>
        <w:t xml:space="preserve"> estable</w:t>
      </w:r>
      <w:r w:rsidR="00157974" w:rsidRPr="009D2605">
        <w:rPr>
          <w:sz w:val="20"/>
          <w:szCs w:val="20"/>
          <w:lang w:val="es-CR"/>
        </w:rPr>
        <w:t>ció que su Sentencia constituye</w:t>
      </w:r>
      <w:r w:rsidR="00236C4D" w:rsidRPr="009D2605">
        <w:rPr>
          <w:sz w:val="20"/>
          <w:szCs w:val="20"/>
          <w:lang w:val="es-CR"/>
        </w:rPr>
        <w:t xml:space="preserve"> </w:t>
      </w:r>
      <w:r w:rsidR="00E71DB0" w:rsidRPr="009D2605">
        <w:rPr>
          <w:sz w:val="20"/>
          <w:szCs w:val="20"/>
          <w:lang w:val="es-CR"/>
        </w:rPr>
        <w:t>por sí misma</w:t>
      </w:r>
      <w:r w:rsidR="00236C4D" w:rsidRPr="009D2605">
        <w:rPr>
          <w:sz w:val="20"/>
          <w:szCs w:val="20"/>
          <w:lang w:val="es-CR"/>
        </w:rPr>
        <w:t xml:space="preserve"> una forma de reparación y, </w:t>
      </w:r>
      <w:r w:rsidR="008848CA">
        <w:rPr>
          <w:sz w:val="20"/>
          <w:szCs w:val="20"/>
          <w:lang w:val="es-CR"/>
        </w:rPr>
        <w:t>adicionalmente</w:t>
      </w:r>
      <w:r w:rsidR="00236C4D" w:rsidRPr="009D2605">
        <w:rPr>
          <w:sz w:val="20"/>
          <w:szCs w:val="20"/>
          <w:lang w:val="es-CR"/>
        </w:rPr>
        <w:t>, ordenó al Estado determinadas medidas de reparación</w:t>
      </w:r>
      <w:r w:rsidR="00204155" w:rsidRPr="009D2605">
        <w:rPr>
          <w:sz w:val="20"/>
          <w:szCs w:val="20"/>
          <w:lang w:val="es-CR"/>
        </w:rPr>
        <w:t xml:space="preserve"> </w:t>
      </w:r>
      <w:r w:rsidR="00236C4D" w:rsidRPr="009D2605">
        <w:rPr>
          <w:sz w:val="20"/>
          <w:szCs w:val="20"/>
          <w:lang w:val="es-CR"/>
        </w:rPr>
        <w:t>(</w:t>
      </w:r>
      <w:r w:rsidR="00236C4D" w:rsidRPr="009D2605">
        <w:rPr>
          <w:i/>
          <w:sz w:val="20"/>
          <w:szCs w:val="20"/>
          <w:lang w:val="es-CR"/>
        </w:rPr>
        <w:t xml:space="preserve">infra </w:t>
      </w:r>
      <w:r w:rsidR="00236C4D" w:rsidRPr="009D2605">
        <w:rPr>
          <w:sz w:val="20"/>
          <w:szCs w:val="20"/>
          <w:lang w:val="es-CR"/>
        </w:rPr>
        <w:t>Considerando 1</w:t>
      </w:r>
      <w:r w:rsidR="00204155" w:rsidRPr="009D2605">
        <w:rPr>
          <w:sz w:val="20"/>
          <w:szCs w:val="20"/>
          <w:lang w:val="es-CR"/>
        </w:rPr>
        <w:t>)</w:t>
      </w:r>
      <w:r w:rsidR="00A94AD0" w:rsidRPr="009D2605">
        <w:rPr>
          <w:sz w:val="20"/>
          <w:szCs w:val="20"/>
          <w:lang w:val="es-CR"/>
        </w:rPr>
        <w:t>.</w:t>
      </w:r>
    </w:p>
    <w:p w:rsidR="005B54DD" w:rsidRPr="00640A7F" w:rsidRDefault="005B54DD" w:rsidP="005B54DD">
      <w:pPr>
        <w:pStyle w:val="Listavistosa-nfasis1"/>
        <w:spacing w:after="0" w:line="240" w:lineRule="auto"/>
        <w:ind w:left="0"/>
        <w:contextualSpacing w:val="0"/>
        <w:rPr>
          <w:color w:val="000000"/>
          <w:sz w:val="20"/>
          <w:szCs w:val="20"/>
          <w:shd w:val="clear" w:color="auto" w:fill="FFFFFF"/>
          <w:lang w:val="es-CR"/>
        </w:rPr>
      </w:pPr>
    </w:p>
    <w:p w:rsidR="00FF7EEA" w:rsidRPr="005B54DD" w:rsidRDefault="00FF7EEA" w:rsidP="005B54DD">
      <w:pPr>
        <w:pStyle w:val="Listavistosa-nfasis1"/>
        <w:numPr>
          <w:ilvl w:val="0"/>
          <w:numId w:val="1"/>
        </w:numPr>
        <w:spacing w:after="0" w:line="240" w:lineRule="auto"/>
        <w:ind w:left="0" w:firstLine="0"/>
        <w:contextualSpacing w:val="0"/>
        <w:rPr>
          <w:color w:val="000000"/>
          <w:sz w:val="20"/>
          <w:szCs w:val="20"/>
          <w:shd w:val="clear" w:color="auto" w:fill="FFFFFF"/>
          <w:lang w:val="es-CR"/>
        </w:rPr>
      </w:pPr>
      <w:r w:rsidRPr="00FF7EEA">
        <w:rPr>
          <w:rFonts w:eastAsia="Times New Roman"/>
          <w:sz w:val="20"/>
          <w:lang w:val="es-CO"/>
        </w:rPr>
        <w:t xml:space="preserve">La </w:t>
      </w:r>
      <w:r w:rsidRPr="00FF7EEA">
        <w:rPr>
          <w:sz w:val="20"/>
          <w:lang w:val="es-MX"/>
        </w:rPr>
        <w:t>Sentencia</w:t>
      </w:r>
      <w:r w:rsidRPr="00FF7EEA">
        <w:rPr>
          <w:rFonts w:eastAsia="Times New Roman"/>
          <w:sz w:val="20"/>
          <w:lang w:val="es-CO"/>
        </w:rPr>
        <w:t xml:space="preserve"> de interpretación </w:t>
      </w:r>
      <w:r w:rsidR="00D53F9A">
        <w:rPr>
          <w:rFonts w:eastAsia="Times New Roman"/>
          <w:sz w:val="20"/>
          <w:lang w:val="es-CO"/>
        </w:rPr>
        <w:t xml:space="preserve">de la Sentencia </w:t>
      </w:r>
      <w:r w:rsidRPr="00FF7EEA">
        <w:rPr>
          <w:rFonts w:eastAsia="Times New Roman"/>
          <w:sz w:val="20"/>
          <w:lang w:val="es-CO"/>
        </w:rPr>
        <w:t xml:space="preserve">emitida por la Corte el </w:t>
      </w:r>
      <w:r w:rsidR="00204155">
        <w:rPr>
          <w:sz w:val="20"/>
          <w:szCs w:val="20"/>
          <w:lang w:val="es-CR"/>
        </w:rPr>
        <w:t>21</w:t>
      </w:r>
      <w:r>
        <w:rPr>
          <w:sz w:val="20"/>
          <w:szCs w:val="20"/>
          <w:lang w:val="es-CR"/>
        </w:rPr>
        <w:t xml:space="preserve"> </w:t>
      </w:r>
      <w:r w:rsidR="00204155">
        <w:rPr>
          <w:sz w:val="20"/>
          <w:szCs w:val="20"/>
          <w:lang w:val="es-CR"/>
        </w:rPr>
        <w:t xml:space="preserve">de noviembre </w:t>
      </w:r>
      <w:r w:rsidRPr="009B4B9D">
        <w:rPr>
          <w:sz w:val="20"/>
          <w:szCs w:val="20"/>
          <w:lang w:val="es-CR"/>
        </w:rPr>
        <w:t>de</w:t>
      </w:r>
      <w:r w:rsidR="00204155">
        <w:rPr>
          <w:sz w:val="20"/>
          <w:szCs w:val="20"/>
          <w:lang w:val="es-CR"/>
        </w:rPr>
        <w:t>l</w:t>
      </w:r>
      <w:r w:rsidRPr="009B4B9D">
        <w:rPr>
          <w:sz w:val="20"/>
          <w:szCs w:val="20"/>
          <w:lang w:val="es-CR"/>
        </w:rPr>
        <w:t xml:space="preserve"> </w:t>
      </w:r>
      <w:r w:rsidR="00204155">
        <w:rPr>
          <w:sz w:val="20"/>
          <w:szCs w:val="20"/>
          <w:lang w:val="es-CR"/>
        </w:rPr>
        <w:t>2018</w:t>
      </w:r>
      <w:r>
        <w:rPr>
          <w:rStyle w:val="Refdenotaalpie"/>
          <w:rFonts w:eastAsia="Times New Roman"/>
          <w:sz w:val="20"/>
          <w:lang w:val="es-CO"/>
        </w:rPr>
        <w:footnoteReference w:id="7"/>
      </w:r>
      <w:r w:rsidRPr="00FF7EEA">
        <w:rPr>
          <w:rFonts w:eastAsia="Times New Roman"/>
          <w:sz w:val="20"/>
          <w:lang w:val="es-CO"/>
        </w:rPr>
        <w:t xml:space="preserve">. </w:t>
      </w:r>
    </w:p>
    <w:p w:rsidR="005B54DD" w:rsidRPr="00FF7EEA" w:rsidRDefault="005B54DD" w:rsidP="005B54DD">
      <w:pPr>
        <w:pStyle w:val="Listavistosa-nfasis1"/>
        <w:spacing w:after="0" w:line="240" w:lineRule="auto"/>
        <w:ind w:left="0"/>
        <w:contextualSpacing w:val="0"/>
        <w:rPr>
          <w:color w:val="000000"/>
          <w:sz w:val="20"/>
          <w:szCs w:val="20"/>
          <w:shd w:val="clear" w:color="auto" w:fill="FFFFFF"/>
          <w:lang w:val="es-CR"/>
        </w:rPr>
      </w:pPr>
    </w:p>
    <w:p w:rsidR="00E410FD" w:rsidRPr="00C57014" w:rsidRDefault="00E410FD" w:rsidP="005B54DD">
      <w:pPr>
        <w:pStyle w:val="Listavistosa-nfasis1"/>
        <w:numPr>
          <w:ilvl w:val="0"/>
          <w:numId w:val="1"/>
        </w:numPr>
        <w:spacing w:after="0" w:line="240" w:lineRule="auto"/>
        <w:ind w:left="0" w:firstLine="0"/>
        <w:contextualSpacing w:val="0"/>
        <w:rPr>
          <w:color w:val="000000"/>
          <w:sz w:val="20"/>
          <w:szCs w:val="20"/>
          <w:shd w:val="clear" w:color="auto" w:fill="FFFFFF"/>
          <w:lang w:val="es-CR"/>
        </w:rPr>
      </w:pPr>
      <w:r w:rsidRPr="00C57014">
        <w:rPr>
          <w:sz w:val="20"/>
          <w:lang w:val="es-CR"/>
        </w:rPr>
        <w:t xml:space="preserve">Los informes presentados por el Estado entre </w:t>
      </w:r>
      <w:r w:rsidR="00F91054">
        <w:rPr>
          <w:sz w:val="20"/>
          <w:lang w:val="es-CR"/>
        </w:rPr>
        <w:t>febrero</w:t>
      </w:r>
      <w:r w:rsidR="00F91054" w:rsidRPr="00C57014">
        <w:rPr>
          <w:sz w:val="20"/>
          <w:lang w:val="es-CR"/>
        </w:rPr>
        <w:t xml:space="preserve"> </w:t>
      </w:r>
      <w:r w:rsidRPr="00C57014">
        <w:rPr>
          <w:sz w:val="20"/>
          <w:lang w:val="es-CR"/>
        </w:rPr>
        <w:t xml:space="preserve">de </w:t>
      </w:r>
      <w:r w:rsidR="0097417E" w:rsidRPr="00C57014">
        <w:rPr>
          <w:sz w:val="20"/>
          <w:lang w:val="es-CR"/>
        </w:rPr>
        <w:t>2018</w:t>
      </w:r>
      <w:r w:rsidRPr="00C57014">
        <w:rPr>
          <w:sz w:val="20"/>
          <w:lang w:val="es-CR"/>
        </w:rPr>
        <w:t xml:space="preserve"> y </w:t>
      </w:r>
      <w:r w:rsidR="00C57014" w:rsidRPr="00C57014">
        <w:rPr>
          <w:sz w:val="20"/>
          <w:lang w:val="es-CR"/>
        </w:rPr>
        <w:t>agosto</w:t>
      </w:r>
      <w:r w:rsidRPr="00C57014">
        <w:rPr>
          <w:sz w:val="20"/>
          <w:lang w:val="es-CR"/>
        </w:rPr>
        <w:t xml:space="preserve"> de </w:t>
      </w:r>
      <w:r w:rsidR="0097417E" w:rsidRPr="00C57014">
        <w:rPr>
          <w:sz w:val="20"/>
          <w:lang w:val="es-CR"/>
        </w:rPr>
        <w:t>2019.</w:t>
      </w:r>
    </w:p>
    <w:p w:rsidR="005B54DD" w:rsidRPr="009E0C57" w:rsidRDefault="005B54DD" w:rsidP="005B54DD">
      <w:pPr>
        <w:pStyle w:val="Listavistosa-nfasis1"/>
        <w:spacing w:after="0" w:line="240" w:lineRule="auto"/>
        <w:ind w:left="0"/>
        <w:contextualSpacing w:val="0"/>
        <w:rPr>
          <w:color w:val="000000"/>
          <w:sz w:val="20"/>
          <w:szCs w:val="20"/>
          <w:shd w:val="clear" w:color="auto" w:fill="FFFFFF"/>
          <w:lang w:val="es-CR"/>
        </w:rPr>
      </w:pPr>
    </w:p>
    <w:p w:rsidR="00E96F7A" w:rsidRDefault="00E96F7A" w:rsidP="005B54DD">
      <w:pPr>
        <w:pStyle w:val="Listavistosa-nfasis1"/>
        <w:numPr>
          <w:ilvl w:val="0"/>
          <w:numId w:val="1"/>
        </w:numPr>
        <w:spacing w:after="0" w:line="240" w:lineRule="auto"/>
        <w:ind w:left="0" w:firstLine="0"/>
        <w:contextualSpacing w:val="0"/>
        <w:rPr>
          <w:color w:val="000000"/>
          <w:sz w:val="20"/>
          <w:szCs w:val="20"/>
          <w:shd w:val="clear" w:color="auto" w:fill="FFFFFF"/>
          <w:lang w:val="es-CR"/>
        </w:rPr>
      </w:pPr>
      <w:r w:rsidRPr="009B4B9D">
        <w:rPr>
          <w:color w:val="000000"/>
          <w:sz w:val="20"/>
          <w:szCs w:val="20"/>
          <w:shd w:val="clear" w:color="auto" w:fill="FFFFFF"/>
          <w:lang w:val="es-CR"/>
        </w:rPr>
        <w:t xml:space="preserve">Los escritos de observaciones presentados </w:t>
      </w:r>
      <w:r w:rsidRPr="00C57014">
        <w:rPr>
          <w:color w:val="000000"/>
          <w:sz w:val="20"/>
          <w:szCs w:val="20"/>
          <w:shd w:val="clear" w:color="auto" w:fill="FFFFFF"/>
          <w:lang w:val="es-CR"/>
        </w:rPr>
        <w:t xml:space="preserve">por </w:t>
      </w:r>
      <w:r w:rsidR="00576560" w:rsidRPr="00C57014">
        <w:rPr>
          <w:color w:val="000000"/>
          <w:sz w:val="20"/>
          <w:szCs w:val="20"/>
          <w:shd w:val="clear" w:color="auto" w:fill="FFFFFF"/>
          <w:lang w:val="es-CR"/>
        </w:rPr>
        <w:t>los</w:t>
      </w:r>
      <w:r w:rsidRPr="00C57014">
        <w:rPr>
          <w:color w:val="000000"/>
          <w:sz w:val="20"/>
          <w:szCs w:val="20"/>
          <w:shd w:val="clear" w:color="auto" w:fill="FFFFFF"/>
          <w:lang w:val="es-CR"/>
        </w:rPr>
        <w:t xml:space="preserve"> representante</w:t>
      </w:r>
      <w:r w:rsidR="00576560" w:rsidRPr="00C57014">
        <w:rPr>
          <w:color w:val="000000"/>
          <w:sz w:val="20"/>
          <w:szCs w:val="20"/>
          <w:shd w:val="clear" w:color="auto" w:fill="FFFFFF"/>
          <w:lang w:val="es-CR"/>
        </w:rPr>
        <w:t>s</w:t>
      </w:r>
      <w:r w:rsidRPr="00C57014">
        <w:rPr>
          <w:color w:val="000000"/>
          <w:sz w:val="20"/>
          <w:szCs w:val="20"/>
          <w:shd w:val="clear" w:color="auto" w:fill="FFFFFF"/>
          <w:lang w:val="es-CR"/>
        </w:rPr>
        <w:t xml:space="preserve"> de la</w:t>
      </w:r>
      <w:r w:rsidR="00576560" w:rsidRPr="00C57014">
        <w:rPr>
          <w:color w:val="000000"/>
          <w:sz w:val="20"/>
          <w:szCs w:val="20"/>
          <w:shd w:val="clear" w:color="auto" w:fill="FFFFFF"/>
          <w:lang w:val="es-CR"/>
        </w:rPr>
        <w:t>s</w:t>
      </w:r>
      <w:r w:rsidRPr="00C57014">
        <w:rPr>
          <w:color w:val="000000"/>
          <w:sz w:val="20"/>
          <w:szCs w:val="20"/>
          <w:shd w:val="clear" w:color="auto" w:fill="FFFFFF"/>
          <w:lang w:val="es-CR"/>
        </w:rPr>
        <w:t xml:space="preserve"> víctima</w:t>
      </w:r>
      <w:r w:rsidR="00576560" w:rsidRPr="00C57014">
        <w:rPr>
          <w:color w:val="000000"/>
          <w:sz w:val="20"/>
          <w:szCs w:val="20"/>
          <w:shd w:val="clear" w:color="auto" w:fill="FFFFFF"/>
          <w:lang w:val="es-CR"/>
        </w:rPr>
        <w:t>s</w:t>
      </w:r>
      <w:r w:rsidRPr="00C57014">
        <w:rPr>
          <w:color w:val="000000"/>
          <w:sz w:val="20"/>
          <w:szCs w:val="20"/>
          <w:shd w:val="clear" w:color="auto" w:fill="FFFFFF"/>
          <w:lang w:val="es-CR"/>
        </w:rPr>
        <w:t xml:space="preserve"> (en adelante “</w:t>
      </w:r>
      <w:r w:rsidR="00C57014" w:rsidRPr="00C57014">
        <w:rPr>
          <w:color w:val="000000"/>
          <w:sz w:val="20"/>
          <w:szCs w:val="20"/>
          <w:shd w:val="clear" w:color="auto" w:fill="FFFFFF"/>
          <w:lang w:val="es-CR"/>
        </w:rPr>
        <w:t>l</w:t>
      </w:r>
      <w:r w:rsidR="00576560" w:rsidRPr="00C57014">
        <w:rPr>
          <w:color w:val="000000"/>
          <w:sz w:val="20"/>
          <w:szCs w:val="20"/>
          <w:shd w:val="clear" w:color="auto" w:fill="FFFFFF"/>
          <w:lang w:val="es-CR"/>
        </w:rPr>
        <w:t>os</w:t>
      </w:r>
      <w:r w:rsidRPr="00C57014">
        <w:rPr>
          <w:color w:val="000000"/>
          <w:sz w:val="20"/>
          <w:szCs w:val="20"/>
          <w:shd w:val="clear" w:color="auto" w:fill="FFFFFF"/>
          <w:lang w:val="es-CR"/>
        </w:rPr>
        <w:t xml:space="preserve"> representantes”)</w:t>
      </w:r>
      <w:r w:rsidRPr="00C57014">
        <w:rPr>
          <w:rStyle w:val="Refdenotaalpie"/>
          <w:color w:val="000000"/>
          <w:sz w:val="20"/>
          <w:szCs w:val="20"/>
          <w:shd w:val="clear" w:color="auto" w:fill="FFFFFF"/>
          <w:lang w:val="es-CR"/>
        </w:rPr>
        <w:footnoteReference w:id="8"/>
      </w:r>
      <w:r w:rsidR="00576560" w:rsidRPr="00C57014">
        <w:rPr>
          <w:color w:val="000000"/>
          <w:sz w:val="20"/>
          <w:szCs w:val="20"/>
          <w:shd w:val="clear" w:color="auto" w:fill="FFFFFF"/>
          <w:lang w:val="es-CR"/>
        </w:rPr>
        <w:t xml:space="preserve"> entre agosto</w:t>
      </w:r>
      <w:r w:rsidR="00072210" w:rsidRPr="00C57014">
        <w:rPr>
          <w:sz w:val="20"/>
          <w:lang w:val="es-CR"/>
        </w:rPr>
        <w:t xml:space="preserve"> de </w:t>
      </w:r>
      <w:r w:rsidR="00576560" w:rsidRPr="00C57014">
        <w:rPr>
          <w:sz w:val="20"/>
          <w:lang w:val="es-CR"/>
        </w:rPr>
        <w:t xml:space="preserve">2018 y </w:t>
      </w:r>
      <w:r w:rsidR="00C57014" w:rsidRPr="00C57014">
        <w:rPr>
          <w:sz w:val="20"/>
          <w:lang w:val="es-CR"/>
        </w:rPr>
        <w:t>septiembre</w:t>
      </w:r>
      <w:r w:rsidR="00072210" w:rsidRPr="00C57014">
        <w:rPr>
          <w:sz w:val="20"/>
          <w:lang w:val="es-CR"/>
        </w:rPr>
        <w:t xml:space="preserve"> de </w:t>
      </w:r>
      <w:r w:rsidR="00576560" w:rsidRPr="00C57014">
        <w:rPr>
          <w:sz w:val="20"/>
          <w:lang w:val="es-CR"/>
        </w:rPr>
        <w:t>2019</w:t>
      </w:r>
      <w:r w:rsidRPr="00C57014">
        <w:rPr>
          <w:color w:val="000000"/>
          <w:sz w:val="20"/>
          <w:szCs w:val="20"/>
          <w:shd w:val="clear" w:color="auto" w:fill="FFFFFF"/>
          <w:lang w:val="es-CR"/>
        </w:rPr>
        <w:t>.</w:t>
      </w:r>
    </w:p>
    <w:p w:rsidR="00E73730" w:rsidRDefault="00E73730" w:rsidP="00E73730">
      <w:pPr>
        <w:pStyle w:val="Listavistosa-nfasis1"/>
        <w:spacing w:after="0" w:line="240" w:lineRule="auto"/>
        <w:ind w:left="0"/>
        <w:contextualSpacing w:val="0"/>
        <w:rPr>
          <w:color w:val="000000"/>
          <w:sz w:val="20"/>
          <w:szCs w:val="20"/>
          <w:shd w:val="clear" w:color="auto" w:fill="FFFFFF"/>
          <w:lang w:val="es-CR"/>
        </w:rPr>
      </w:pPr>
    </w:p>
    <w:p w:rsidR="00E73730" w:rsidRPr="009B4B9D" w:rsidRDefault="00E73730" w:rsidP="005B54DD">
      <w:pPr>
        <w:pStyle w:val="Listavistosa-nfasis1"/>
        <w:numPr>
          <w:ilvl w:val="0"/>
          <w:numId w:val="1"/>
        </w:numPr>
        <w:spacing w:after="0" w:line="240" w:lineRule="auto"/>
        <w:ind w:left="0" w:firstLine="0"/>
        <w:contextualSpacing w:val="0"/>
        <w:rPr>
          <w:color w:val="000000"/>
          <w:sz w:val="20"/>
          <w:szCs w:val="20"/>
          <w:shd w:val="clear" w:color="auto" w:fill="FFFFFF"/>
          <w:lang w:val="es-CR"/>
        </w:rPr>
      </w:pPr>
      <w:r>
        <w:rPr>
          <w:color w:val="000000"/>
          <w:sz w:val="20"/>
          <w:szCs w:val="20"/>
          <w:shd w:val="clear" w:color="auto" w:fill="FFFFFF"/>
          <w:lang w:val="es-CR"/>
        </w:rPr>
        <w:t xml:space="preserve">El escrito de observaciones presentado por la Comisión Interamericana de Derechos Humanos (en adelante </w:t>
      </w:r>
      <w:r w:rsidR="00C57014">
        <w:rPr>
          <w:color w:val="000000"/>
          <w:sz w:val="20"/>
          <w:szCs w:val="20"/>
          <w:shd w:val="clear" w:color="auto" w:fill="FFFFFF"/>
          <w:lang w:val="es-CR"/>
        </w:rPr>
        <w:t>“la Comisión Interamericana”) en</w:t>
      </w:r>
      <w:r w:rsidR="0088397D">
        <w:rPr>
          <w:color w:val="000000"/>
          <w:sz w:val="20"/>
          <w:szCs w:val="20"/>
          <w:shd w:val="clear" w:color="auto" w:fill="FFFFFF"/>
          <w:lang w:val="es-CR"/>
        </w:rPr>
        <w:t xml:space="preserve"> </w:t>
      </w:r>
      <w:r w:rsidR="00C57014">
        <w:rPr>
          <w:color w:val="000000"/>
          <w:sz w:val="20"/>
          <w:szCs w:val="20"/>
          <w:shd w:val="clear" w:color="auto" w:fill="FFFFFF"/>
          <w:lang w:val="es-CR"/>
        </w:rPr>
        <w:t>septiembre de 2019</w:t>
      </w:r>
      <w:r w:rsidR="0088397D">
        <w:rPr>
          <w:color w:val="000000"/>
          <w:sz w:val="20"/>
          <w:szCs w:val="20"/>
          <w:shd w:val="clear" w:color="auto" w:fill="FFFFFF"/>
          <w:lang w:val="es-CR"/>
        </w:rPr>
        <w:t>.</w:t>
      </w:r>
    </w:p>
    <w:p w:rsidR="00340BD2" w:rsidRPr="000147EE" w:rsidRDefault="00340BD2" w:rsidP="005B54DD">
      <w:pPr>
        <w:pStyle w:val="Listavistosa-nfasis1"/>
        <w:spacing w:after="0" w:line="240" w:lineRule="auto"/>
        <w:ind w:left="0"/>
        <w:contextualSpacing w:val="0"/>
        <w:rPr>
          <w:b/>
          <w:szCs w:val="16"/>
          <w:lang w:val="es-CR"/>
        </w:rPr>
      </w:pPr>
    </w:p>
    <w:p w:rsidR="00253240" w:rsidRPr="009B4B9D" w:rsidRDefault="005921C0" w:rsidP="005B54DD">
      <w:pPr>
        <w:pStyle w:val="Listavistosa-nfasis1"/>
        <w:spacing w:after="0" w:line="240" w:lineRule="auto"/>
        <w:ind w:left="0"/>
        <w:contextualSpacing w:val="0"/>
        <w:rPr>
          <w:b/>
          <w:sz w:val="20"/>
          <w:lang w:val="es-MX"/>
        </w:rPr>
      </w:pPr>
      <w:r w:rsidRPr="009B4B9D">
        <w:rPr>
          <w:b/>
          <w:sz w:val="20"/>
          <w:szCs w:val="20"/>
          <w:lang w:val="es-CR"/>
        </w:rPr>
        <w:t>C</w:t>
      </w:r>
      <w:r w:rsidR="008F5FD0" w:rsidRPr="009B4B9D">
        <w:rPr>
          <w:b/>
          <w:sz w:val="20"/>
          <w:lang w:val="es-MX"/>
        </w:rPr>
        <w:t xml:space="preserve">ONSIDERANDO QUE: </w:t>
      </w:r>
    </w:p>
    <w:p w:rsidR="005B54DD" w:rsidRPr="005B54DD" w:rsidRDefault="005B54DD" w:rsidP="005B54DD">
      <w:pPr>
        <w:pStyle w:val="Listavistosa-nfasis1"/>
        <w:spacing w:after="0" w:line="240" w:lineRule="auto"/>
        <w:ind w:left="0"/>
        <w:contextualSpacing w:val="0"/>
        <w:rPr>
          <w:b/>
          <w:sz w:val="20"/>
          <w:lang w:val="es-MX"/>
        </w:rPr>
      </w:pPr>
    </w:p>
    <w:p w:rsidR="00612C47" w:rsidRPr="005367A9" w:rsidRDefault="008F5FD0" w:rsidP="005367A9">
      <w:pPr>
        <w:pStyle w:val="Listavistosa-nfasis1"/>
        <w:numPr>
          <w:ilvl w:val="0"/>
          <w:numId w:val="2"/>
        </w:numPr>
        <w:spacing w:after="0" w:line="240" w:lineRule="auto"/>
        <w:ind w:left="0" w:firstLine="0"/>
        <w:contextualSpacing w:val="0"/>
        <w:rPr>
          <w:b/>
          <w:sz w:val="20"/>
          <w:lang w:val="es-MX"/>
        </w:rPr>
      </w:pPr>
      <w:r w:rsidRPr="009B4B9D">
        <w:rPr>
          <w:sz w:val="20"/>
          <w:lang w:val="es-CR"/>
        </w:rPr>
        <w:t xml:space="preserve">En el ejercicio de </w:t>
      </w:r>
      <w:r w:rsidRPr="009B4B9D">
        <w:rPr>
          <w:sz w:val="20"/>
          <w:lang w:val="es-ES"/>
        </w:rPr>
        <w:t xml:space="preserve">su función jurisdiccional de </w:t>
      </w:r>
      <w:r w:rsidRPr="009B4B9D">
        <w:rPr>
          <w:sz w:val="20"/>
          <w:lang w:val="es-CR"/>
        </w:rPr>
        <w:t>supervisar el cumplimiento de sus decisiones</w:t>
      </w:r>
      <w:r w:rsidRPr="009B4B9D">
        <w:rPr>
          <w:rStyle w:val="Refdenotaalpie"/>
          <w:sz w:val="20"/>
        </w:rPr>
        <w:footnoteReference w:id="9"/>
      </w:r>
      <w:r w:rsidRPr="009B4B9D">
        <w:rPr>
          <w:sz w:val="20"/>
          <w:lang w:val="es-CR"/>
        </w:rPr>
        <w:t xml:space="preserve">, la Corte ha venido </w:t>
      </w:r>
      <w:r w:rsidR="00253240" w:rsidRPr="009B4B9D">
        <w:rPr>
          <w:sz w:val="20"/>
          <w:lang w:val="es-CR"/>
        </w:rPr>
        <w:t>supervisando</w:t>
      </w:r>
      <w:r w:rsidRPr="009B4B9D">
        <w:rPr>
          <w:sz w:val="20"/>
          <w:lang w:val="es-CR"/>
        </w:rPr>
        <w:t xml:space="preserve"> la ejecución de la Sentencia emitida </w:t>
      </w:r>
      <w:r w:rsidRPr="009B4B9D">
        <w:rPr>
          <w:sz w:val="20"/>
          <w:lang w:val="es-MX"/>
        </w:rPr>
        <w:t xml:space="preserve">en el </w:t>
      </w:r>
      <w:r w:rsidR="005E5C8E">
        <w:rPr>
          <w:sz w:val="20"/>
          <w:lang w:val="es-MX"/>
        </w:rPr>
        <w:t>2018</w:t>
      </w:r>
      <w:r w:rsidR="00340BD2">
        <w:rPr>
          <w:sz w:val="20"/>
          <w:lang w:val="es-MX"/>
        </w:rPr>
        <w:t xml:space="preserve"> </w:t>
      </w:r>
      <w:r w:rsidRPr="009B4B9D">
        <w:rPr>
          <w:sz w:val="20"/>
          <w:lang w:val="es-MX"/>
        </w:rPr>
        <w:t>(</w:t>
      </w:r>
      <w:r w:rsidRPr="009B4B9D">
        <w:rPr>
          <w:i/>
          <w:sz w:val="20"/>
          <w:lang w:val="es-MX"/>
        </w:rPr>
        <w:t>supra</w:t>
      </w:r>
      <w:r w:rsidRPr="009B4B9D">
        <w:rPr>
          <w:sz w:val="20"/>
          <w:lang w:val="es-MX"/>
        </w:rPr>
        <w:t xml:space="preserve"> Visto </w:t>
      </w:r>
      <w:r w:rsidR="008E283B" w:rsidRPr="009B4B9D">
        <w:rPr>
          <w:sz w:val="20"/>
          <w:lang w:val="es-MX"/>
        </w:rPr>
        <w:t>1)</w:t>
      </w:r>
      <w:r w:rsidR="00D53F9A">
        <w:rPr>
          <w:sz w:val="20"/>
          <w:lang w:val="es-MX"/>
        </w:rPr>
        <w:t xml:space="preserve">, </w:t>
      </w:r>
      <w:r w:rsidR="00D53F9A">
        <w:rPr>
          <w:sz w:val="20"/>
          <w:szCs w:val="20"/>
          <w:lang w:val="es-CR"/>
        </w:rPr>
        <w:t xml:space="preserve">en la cual </w:t>
      </w:r>
      <w:r w:rsidR="00975B02" w:rsidRPr="005367A9">
        <w:rPr>
          <w:sz w:val="20"/>
          <w:szCs w:val="20"/>
          <w:lang w:val="es-CR"/>
        </w:rPr>
        <w:t xml:space="preserve">dispuso </w:t>
      </w:r>
      <w:r w:rsidR="002571BD">
        <w:rPr>
          <w:sz w:val="20"/>
          <w:szCs w:val="20"/>
          <w:lang w:val="es-CR"/>
        </w:rPr>
        <w:t>nueve</w:t>
      </w:r>
      <w:r w:rsidR="00975B02" w:rsidRPr="005367A9">
        <w:rPr>
          <w:sz w:val="20"/>
          <w:szCs w:val="20"/>
          <w:lang w:val="es-CR"/>
        </w:rPr>
        <w:t xml:space="preserve"> medidas de reparación</w:t>
      </w:r>
      <w:r w:rsidR="005367A9">
        <w:rPr>
          <w:sz w:val="20"/>
          <w:szCs w:val="20"/>
          <w:lang w:val="es-CR"/>
        </w:rPr>
        <w:t xml:space="preserve"> (</w:t>
      </w:r>
      <w:r w:rsidR="005367A9" w:rsidRPr="002571BD">
        <w:rPr>
          <w:i/>
          <w:sz w:val="20"/>
          <w:szCs w:val="20"/>
          <w:lang w:val="es-CR"/>
        </w:rPr>
        <w:t>infra</w:t>
      </w:r>
      <w:r w:rsidR="005367A9">
        <w:rPr>
          <w:sz w:val="20"/>
          <w:szCs w:val="20"/>
          <w:lang w:val="es-CR"/>
        </w:rPr>
        <w:t xml:space="preserve"> Considerandos </w:t>
      </w:r>
      <w:r w:rsidR="002571BD">
        <w:rPr>
          <w:sz w:val="20"/>
          <w:szCs w:val="20"/>
          <w:lang w:val="es-CR"/>
        </w:rPr>
        <w:t>4, 7, 13 y 16</w:t>
      </w:r>
      <w:r w:rsidR="005367A9">
        <w:rPr>
          <w:sz w:val="20"/>
          <w:szCs w:val="20"/>
          <w:lang w:val="es-CR"/>
        </w:rPr>
        <w:t>)</w:t>
      </w:r>
      <w:r w:rsidR="006F0994" w:rsidRPr="005367A9">
        <w:rPr>
          <w:rFonts w:cs="Verdana"/>
          <w:sz w:val="20"/>
          <w:szCs w:val="20"/>
          <w:lang w:val="es-CO"/>
        </w:rPr>
        <w:t>.</w:t>
      </w:r>
    </w:p>
    <w:p w:rsidR="005367A9" w:rsidRPr="005367A9" w:rsidRDefault="005367A9" w:rsidP="005367A9">
      <w:pPr>
        <w:pStyle w:val="Listavistosa-nfasis1"/>
        <w:spacing w:after="0" w:line="240" w:lineRule="auto"/>
        <w:ind w:left="0"/>
        <w:contextualSpacing w:val="0"/>
        <w:rPr>
          <w:b/>
          <w:sz w:val="20"/>
          <w:lang w:val="es-MX"/>
        </w:rPr>
      </w:pPr>
    </w:p>
    <w:p w:rsidR="00612C47" w:rsidRPr="005367A9" w:rsidRDefault="0028181B" w:rsidP="005B54DD">
      <w:pPr>
        <w:pStyle w:val="Listavistosa-nfasis1"/>
        <w:numPr>
          <w:ilvl w:val="0"/>
          <w:numId w:val="2"/>
        </w:numPr>
        <w:spacing w:after="0" w:line="240" w:lineRule="auto"/>
        <w:ind w:left="0" w:firstLine="0"/>
        <w:contextualSpacing w:val="0"/>
        <w:rPr>
          <w:b/>
          <w:sz w:val="20"/>
          <w:lang w:val="es-MX"/>
        </w:rPr>
      </w:pPr>
      <w:r w:rsidRPr="009B4B9D">
        <w:rPr>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5923F4" w:rsidRPr="009B4B9D">
        <w:rPr>
          <w:rStyle w:val="Refdenotaalpie"/>
          <w:sz w:val="20"/>
          <w:szCs w:val="20"/>
        </w:rPr>
        <w:footnoteReference w:id="10"/>
      </w:r>
      <w:r w:rsidR="005923F4" w:rsidRPr="009B4B9D">
        <w:rPr>
          <w:sz w:val="20"/>
          <w:szCs w:val="20"/>
          <w:lang w:val="es-CR"/>
        </w:rPr>
        <w:t>.</w:t>
      </w:r>
      <w:r w:rsidR="006A08FC">
        <w:rPr>
          <w:rFonts w:ascii="Times New Roman" w:hAnsi="Times New Roman"/>
          <w:sz w:val="24"/>
          <w:szCs w:val="24"/>
          <w:lang w:val="es-CR"/>
        </w:rPr>
        <w:t xml:space="preserve"> </w:t>
      </w:r>
      <w:r w:rsidR="00FB3834" w:rsidRPr="006A08FC">
        <w:rPr>
          <w:sz w:val="20"/>
          <w:szCs w:val="20"/>
          <w:lang w:val="es-CR"/>
        </w:rPr>
        <w:t>Los Estados Parte en la Convención deben garantizar el cumplimiento de las disposiciones convencionales y sus efectos propios (</w:t>
      </w:r>
      <w:r w:rsidR="00FB3834" w:rsidRPr="006A08FC">
        <w:rPr>
          <w:i/>
          <w:sz w:val="20"/>
          <w:szCs w:val="20"/>
          <w:lang w:val="es-CR"/>
        </w:rPr>
        <w:t>effet utile</w:t>
      </w:r>
      <w:r w:rsidR="00FB3834" w:rsidRPr="006A08FC">
        <w:rPr>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9B4B9D">
        <w:rPr>
          <w:rStyle w:val="Refdenotaalpie"/>
          <w:sz w:val="20"/>
          <w:szCs w:val="20"/>
          <w:lang w:val="es-CR"/>
        </w:rPr>
        <w:footnoteReference w:id="11"/>
      </w:r>
      <w:r w:rsidR="00FB3834" w:rsidRPr="006A08FC">
        <w:rPr>
          <w:sz w:val="20"/>
          <w:szCs w:val="20"/>
          <w:lang w:val="es-CR"/>
        </w:rPr>
        <w:t>.</w:t>
      </w:r>
    </w:p>
    <w:p w:rsidR="005367A9" w:rsidRPr="007A1000" w:rsidRDefault="005367A9" w:rsidP="005367A9">
      <w:pPr>
        <w:pStyle w:val="Listavistosa-nfasis1"/>
        <w:spacing w:after="0" w:line="240" w:lineRule="auto"/>
        <w:ind w:left="0"/>
        <w:contextualSpacing w:val="0"/>
        <w:rPr>
          <w:b/>
          <w:sz w:val="20"/>
          <w:lang w:val="es-MX"/>
        </w:rPr>
      </w:pPr>
    </w:p>
    <w:p w:rsidR="00881D56" w:rsidRPr="000C5476" w:rsidRDefault="0000588E" w:rsidP="005B54DD">
      <w:pPr>
        <w:pStyle w:val="Listavistosa-nfasis1"/>
        <w:numPr>
          <w:ilvl w:val="0"/>
          <w:numId w:val="2"/>
        </w:numPr>
        <w:spacing w:after="0" w:line="240" w:lineRule="auto"/>
        <w:ind w:left="0" w:firstLine="0"/>
        <w:contextualSpacing w:val="0"/>
        <w:rPr>
          <w:sz w:val="20"/>
          <w:szCs w:val="20"/>
          <w:lang w:val="es-CR"/>
        </w:rPr>
      </w:pPr>
      <w:r>
        <w:rPr>
          <w:sz w:val="20"/>
          <w:szCs w:val="20"/>
          <w:lang w:val="es-CR"/>
        </w:rPr>
        <w:t>En la presente Resolución, la</w:t>
      </w:r>
      <w:r w:rsidR="00DD4CC9">
        <w:rPr>
          <w:sz w:val="20"/>
          <w:szCs w:val="20"/>
          <w:lang w:val="es-CR"/>
        </w:rPr>
        <w:t xml:space="preserve"> Corte se pronunciará sobre las medidas de reparación relativas a la publica</w:t>
      </w:r>
      <w:r>
        <w:rPr>
          <w:sz w:val="20"/>
          <w:szCs w:val="20"/>
          <w:lang w:val="es-CR"/>
        </w:rPr>
        <w:t>ción y difusión de la Sentencia</w:t>
      </w:r>
      <w:r w:rsidR="003A1946">
        <w:rPr>
          <w:sz w:val="20"/>
          <w:szCs w:val="20"/>
          <w:lang w:val="es-CR"/>
        </w:rPr>
        <w:t>, así como</w:t>
      </w:r>
      <w:r w:rsidR="00DD4CC9">
        <w:rPr>
          <w:sz w:val="20"/>
          <w:szCs w:val="20"/>
          <w:lang w:val="es-CR"/>
        </w:rPr>
        <w:t xml:space="preserve"> </w:t>
      </w:r>
      <w:r w:rsidR="003A1946">
        <w:rPr>
          <w:sz w:val="20"/>
          <w:szCs w:val="20"/>
          <w:lang w:val="es-CR"/>
        </w:rPr>
        <w:t>a</w:t>
      </w:r>
      <w:r w:rsidR="00DD4CC9">
        <w:rPr>
          <w:sz w:val="20"/>
          <w:szCs w:val="20"/>
          <w:lang w:val="es-CR"/>
        </w:rPr>
        <w:t>l acto público de reconocimiento de responsabilidad internacional</w:t>
      </w:r>
      <w:r>
        <w:rPr>
          <w:sz w:val="20"/>
          <w:szCs w:val="20"/>
          <w:lang w:val="es-CR"/>
        </w:rPr>
        <w:t>,</w:t>
      </w:r>
      <w:r w:rsidR="00DD4CC9">
        <w:rPr>
          <w:sz w:val="20"/>
          <w:szCs w:val="20"/>
          <w:lang w:val="es-CR"/>
        </w:rPr>
        <w:t xml:space="preserve"> las cuales considera que el Estado ha cumplido</w:t>
      </w:r>
      <w:r w:rsidR="000C5476">
        <w:rPr>
          <w:sz w:val="20"/>
          <w:szCs w:val="20"/>
          <w:lang w:val="es-CR"/>
        </w:rPr>
        <w:t xml:space="preserve"> (</w:t>
      </w:r>
      <w:r w:rsidR="000C5476">
        <w:rPr>
          <w:i/>
          <w:sz w:val="20"/>
          <w:szCs w:val="20"/>
          <w:lang w:val="es-CR"/>
        </w:rPr>
        <w:t xml:space="preserve">infra </w:t>
      </w:r>
      <w:r w:rsidR="000C5476">
        <w:rPr>
          <w:sz w:val="20"/>
          <w:szCs w:val="20"/>
          <w:lang w:val="es-CR"/>
        </w:rPr>
        <w:t xml:space="preserve">Considerandos </w:t>
      </w:r>
      <w:r w:rsidR="00661B81">
        <w:rPr>
          <w:sz w:val="20"/>
          <w:szCs w:val="20"/>
          <w:lang w:val="es-CR"/>
        </w:rPr>
        <w:t xml:space="preserve">5 </w:t>
      </w:r>
      <w:r w:rsidR="00D91DAC">
        <w:rPr>
          <w:sz w:val="20"/>
          <w:szCs w:val="20"/>
          <w:lang w:val="es-CR"/>
        </w:rPr>
        <w:t>y</w:t>
      </w:r>
      <w:r w:rsidR="00661B81">
        <w:rPr>
          <w:sz w:val="20"/>
          <w:szCs w:val="20"/>
          <w:lang w:val="es-CR"/>
        </w:rPr>
        <w:t xml:space="preserve"> 6 y 8 a 12</w:t>
      </w:r>
      <w:r w:rsidR="000C5476">
        <w:rPr>
          <w:sz w:val="20"/>
          <w:szCs w:val="20"/>
          <w:lang w:val="es-CR"/>
        </w:rPr>
        <w:t>)</w:t>
      </w:r>
      <w:r w:rsidR="00DD4CC9">
        <w:rPr>
          <w:sz w:val="20"/>
          <w:szCs w:val="20"/>
          <w:lang w:val="es-CR"/>
        </w:rPr>
        <w:t>.</w:t>
      </w:r>
      <w:r w:rsidR="005B051E">
        <w:rPr>
          <w:sz w:val="20"/>
          <w:szCs w:val="20"/>
          <w:lang w:val="es-CR"/>
        </w:rPr>
        <w:t xml:space="preserve"> </w:t>
      </w:r>
      <w:r>
        <w:rPr>
          <w:sz w:val="20"/>
          <w:szCs w:val="20"/>
          <w:lang w:val="es-CR"/>
        </w:rPr>
        <w:t xml:space="preserve">También se </w:t>
      </w:r>
      <w:r w:rsidR="00A03C52">
        <w:rPr>
          <w:sz w:val="20"/>
          <w:szCs w:val="20"/>
          <w:lang w:val="es-CR"/>
        </w:rPr>
        <w:t>referirá</w:t>
      </w:r>
      <w:r>
        <w:rPr>
          <w:sz w:val="20"/>
          <w:szCs w:val="20"/>
          <w:lang w:val="es-CR"/>
        </w:rPr>
        <w:t xml:space="preserve"> </w:t>
      </w:r>
      <w:r w:rsidR="00D53F9A">
        <w:rPr>
          <w:sz w:val="20"/>
          <w:szCs w:val="20"/>
          <w:lang w:val="es-CR"/>
        </w:rPr>
        <w:t xml:space="preserve">a </w:t>
      </w:r>
      <w:r>
        <w:rPr>
          <w:sz w:val="20"/>
          <w:szCs w:val="20"/>
          <w:lang w:val="es-CR"/>
        </w:rPr>
        <w:t>la medida de restitución relativa a</w:t>
      </w:r>
      <w:r w:rsidR="000C5476">
        <w:rPr>
          <w:sz w:val="20"/>
          <w:szCs w:val="20"/>
          <w:lang w:val="es-CR"/>
        </w:rPr>
        <w:t xml:space="preserve"> </w:t>
      </w:r>
      <w:r w:rsidR="00474ABE" w:rsidRPr="000C5476">
        <w:rPr>
          <w:sz w:val="20"/>
          <w:szCs w:val="20"/>
          <w:lang w:val="es-CR"/>
        </w:rPr>
        <w:t>garantizar las condiciones de seguridad adecuadas para que los</w:t>
      </w:r>
      <w:r w:rsidR="000C5476">
        <w:rPr>
          <w:sz w:val="20"/>
          <w:szCs w:val="20"/>
          <w:lang w:val="es-CR"/>
        </w:rPr>
        <w:t xml:space="preserve"> familiares de</w:t>
      </w:r>
      <w:r w:rsidR="00474ABE" w:rsidRPr="000C5476">
        <w:rPr>
          <w:sz w:val="20"/>
          <w:szCs w:val="20"/>
          <w:lang w:val="es-CR"/>
        </w:rPr>
        <w:t xml:space="preserve"> Nelson Carvajal Carvajal pu</w:t>
      </w:r>
      <w:r w:rsidR="00D53F9A">
        <w:rPr>
          <w:sz w:val="20"/>
          <w:szCs w:val="20"/>
          <w:lang w:val="es-CR"/>
        </w:rPr>
        <w:t>dieran</w:t>
      </w:r>
      <w:r w:rsidR="00474ABE" w:rsidRPr="000C5476">
        <w:rPr>
          <w:sz w:val="20"/>
          <w:szCs w:val="20"/>
          <w:lang w:val="es-CR"/>
        </w:rPr>
        <w:t xml:space="preserve"> retornar a su</w:t>
      </w:r>
      <w:r w:rsidR="000C5476">
        <w:rPr>
          <w:sz w:val="20"/>
          <w:szCs w:val="20"/>
          <w:lang w:val="es-CR"/>
        </w:rPr>
        <w:t xml:space="preserve"> país de origen</w:t>
      </w:r>
      <w:r w:rsidR="009E7A38">
        <w:rPr>
          <w:sz w:val="20"/>
          <w:szCs w:val="20"/>
          <w:lang w:val="es-CR"/>
        </w:rPr>
        <w:t xml:space="preserve"> </w:t>
      </w:r>
      <w:r w:rsidR="000C5476">
        <w:rPr>
          <w:sz w:val="20"/>
          <w:szCs w:val="20"/>
          <w:lang w:val="es-CR"/>
        </w:rPr>
        <w:t>(</w:t>
      </w:r>
      <w:r w:rsidR="000C5476">
        <w:rPr>
          <w:i/>
          <w:sz w:val="20"/>
          <w:szCs w:val="20"/>
          <w:lang w:val="es-CR"/>
        </w:rPr>
        <w:t xml:space="preserve">infra </w:t>
      </w:r>
      <w:r w:rsidR="00643886">
        <w:rPr>
          <w:sz w:val="20"/>
          <w:szCs w:val="20"/>
          <w:lang w:val="es-CR"/>
        </w:rPr>
        <w:t xml:space="preserve">Considerandos </w:t>
      </w:r>
      <w:r w:rsidR="00661B81">
        <w:rPr>
          <w:sz w:val="20"/>
          <w:szCs w:val="20"/>
          <w:lang w:val="es-CR"/>
        </w:rPr>
        <w:t>14 y 15</w:t>
      </w:r>
      <w:r w:rsidR="000C5476">
        <w:rPr>
          <w:sz w:val="20"/>
          <w:szCs w:val="20"/>
          <w:lang w:val="es-CR"/>
        </w:rPr>
        <w:t>). Finalmente,</w:t>
      </w:r>
      <w:r w:rsidR="00DC3968" w:rsidRPr="000C5476">
        <w:rPr>
          <w:sz w:val="20"/>
          <w:szCs w:val="20"/>
          <w:lang w:val="es-CR"/>
        </w:rPr>
        <w:t xml:space="preserve"> se </w:t>
      </w:r>
      <w:r w:rsidR="000C5476">
        <w:rPr>
          <w:sz w:val="20"/>
          <w:szCs w:val="20"/>
          <w:lang w:val="es-CR"/>
        </w:rPr>
        <w:t>solicitará información para valorar</w:t>
      </w:r>
      <w:r w:rsidR="00DC3968" w:rsidRPr="000C5476">
        <w:rPr>
          <w:sz w:val="20"/>
          <w:szCs w:val="20"/>
          <w:lang w:val="es-CR"/>
        </w:rPr>
        <w:t xml:space="preserve"> el </w:t>
      </w:r>
      <w:r w:rsidR="00032F8F" w:rsidRPr="000C5476">
        <w:rPr>
          <w:sz w:val="20"/>
          <w:szCs w:val="20"/>
          <w:lang w:val="es-CR"/>
        </w:rPr>
        <w:t xml:space="preserve">avance en </w:t>
      </w:r>
      <w:r w:rsidR="009F52CC">
        <w:rPr>
          <w:sz w:val="20"/>
          <w:szCs w:val="20"/>
          <w:lang w:val="es-CR"/>
        </w:rPr>
        <w:t xml:space="preserve">el cumplimiento de </w:t>
      </w:r>
      <w:r w:rsidR="000C5476">
        <w:rPr>
          <w:sz w:val="20"/>
          <w:szCs w:val="20"/>
          <w:lang w:val="es-CR"/>
        </w:rPr>
        <w:t>las restantes</w:t>
      </w:r>
      <w:r w:rsidR="00032F8F" w:rsidRPr="000C5476">
        <w:rPr>
          <w:sz w:val="20"/>
          <w:szCs w:val="20"/>
          <w:lang w:val="es-CR"/>
        </w:rPr>
        <w:t xml:space="preserve"> medidas</w:t>
      </w:r>
      <w:r w:rsidR="000C5476">
        <w:rPr>
          <w:sz w:val="20"/>
          <w:szCs w:val="20"/>
          <w:lang w:val="es-CR"/>
        </w:rPr>
        <w:t xml:space="preserve"> de reparación ordenadas</w:t>
      </w:r>
      <w:r w:rsidR="009F52CC">
        <w:rPr>
          <w:sz w:val="20"/>
          <w:szCs w:val="20"/>
          <w:lang w:val="es-CR"/>
        </w:rPr>
        <w:t xml:space="preserve"> en la Sentencia</w:t>
      </w:r>
      <w:r w:rsidR="000C5476">
        <w:rPr>
          <w:sz w:val="20"/>
          <w:szCs w:val="20"/>
          <w:lang w:val="es-CR"/>
        </w:rPr>
        <w:t xml:space="preserve"> (</w:t>
      </w:r>
      <w:r w:rsidR="000C5476">
        <w:rPr>
          <w:i/>
          <w:sz w:val="20"/>
          <w:szCs w:val="20"/>
          <w:lang w:val="es-CR"/>
        </w:rPr>
        <w:t xml:space="preserve">infra </w:t>
      </w:r>
      <w:r w:rsidR="000C5476">
        <w:rPr>
          <w:sz w:val="20"/>
          <w:szCs w:val="20"/>
          <w:lang w:val="es-CR"/>
        </w:rPr>
        <w:t xml:space="preserve">Considerandos </w:t>
      </w:r>
      <w:r w:rsidR="006C4B68">
        <w:rPr>
          <w:sz w:val="20"/>
          <w:szCs w:val="20"/>
          <w:lang w:val="es-CR"/>
        </w:rPr>
        <w:t>16 a 21</w:t>
      </w:r>
      <w:r w:rsidR="000C5476">
        <w:rPr>
          <w:sz w:val="20"/>
          <w:szCs w:val="20"/>
          <w:lang w:val="es-CR"/>
        </w:rPr>
        <w:t>)</w:t>
      </w:r>
      <w:r w:rsidR="00A870DF" w:rsidRPr="000C5476">
        <w:rPr>
          <w:sz w:val="20"/>
          <w:lang w:val="es-MX"/>
        </w:rPr>
        <w:t>.</w:t>
      </w:r>
      <w:r w:rsidR="000C5476">
        <w:rPr>
          <w:sz w:val="20"/>
          <w:szCs w:val="20"/>
          <w:lang w:val="es-CR"/>
        </w:rPr>
        <w:t xml:space="preserve"> En este sentido, </w:t>
      </w:r>
      <w:r w:rsidR="000C5476">
        <w:rPr>
          <w:sz w:val="20"/>
          <w:lang w:val="es-MX"/>
        </w:rPr>
        <w:t>e</w:t>
      </w:r>
      <w:r w:rsidR="00FC5CBC" w:rsidRPr="000C5476">
        <w:rPr>
          <w:sz w:val="20"/>
          <w:lang w:val="es-MX"/>
        </w:rPr>
        <w:t xml:space="preserve">l Tribunal estructurará sus consideraciones en el siguiente orden: </w:t>
      </w:r>
    </w:p>
    <w:p w:rsidR="00DC3968" w:rsidRDefault="00DC3968" w:rsidP="00F1350B">
      <w:pPr>
        <w:spacing w:after="0" w:line="240" w:lineRule="auto"/>
        <w:rPr>
          <w:lang w:val="es-CO"/>
        </w:rPr>
      </w:pPr>
    </w:p>
    <w:p w:rsidR="00F1350B" w:rsidRPr="00F1350B" w:rsidRDefault="00F1350B" w:rsidP="00F1350B">
      <w:pPr>
        <w:pStyle w:val="TDC1"/>
        <w:spacing w:after="0" w:line="240" w:lineRule="auto"/>
        <w:rPr>
          <w:rFonts w:ascii="Calibri" w:eastAsia="Times New Roman" w:hAnsi="Calibri"/>
          <w:sz w:val="18"/>
          <w:szCs w:val="18"/>
          <w:lang w:val="en-US"/>
        </w:rPr>
      </w:pPr>
      <w:r w:rsidRPr="00F1350B">
        <w:rPr>
          <w:b/>
          <w:bCs/>
          <w:sz w:val="18"/>
          <w:szCs w:val="18"/>
          <w:lang w:val="es-ES"/>
        </w:rPr>
        <w:fldChar w:fldCharType="begin"/>
      </w:r>
      <w:r w:rsidRPr="00F1350B">
        <w:rPr>
          <w:b/>
          <w:bCs/>
          <w:sz w:val="18"/>
          <w:szCs w:val="18"/>
          <w:lang w:val="es-ES"/>
        </w:rPr>
        <w:instrText xml:space="preserve"> TOC \o "1-3" \h \z \u </w:instrText>
      </w:r>
      <w:r w:rsidRPr="00F1350B">
        <w:rPr>
          <w:b/>
          <w:bCs/>
          <w:sz w:val="18"/>
          <w:szCs w:val="18"/>
          <w:lang w:val="es-ES"/>
        </w:rPr>
        <w:fldChar w:fldCharType="separate"/>
      </w:r>
      <w:hyperlink w:anchor="_Toc19780954" w:history="1">
        <w:r w:rsidRPr="00F1350B">
          <w:rPr>
            <w:rStyle w:val="Hipervnculo"/>
            <w:i/>
            <w:sz w:val="18"/>
            <w:szCs w:val="18"/>
            <w:lang w:val="es-CO"/>
          </w:rPr>
          <w:t>A.</w:t>
        </w:r>
        <w:r w:rsidRPr="00F1350B">
          <w:rPr>
            <w:rFonts w:ascii="Calibri" w:eastAsia="Times New Roman" w:hAnsi="Calibri"/>
            <w:sz w:val="18"/>
            <w:szCs w:val="18"/>
            <w:lang w:val="en-US"/>
          </w:rPr>
          <w:tab/>
        </w:r>
        <w:r w:rsidRPr="00F1350B">
          <w:rPr>
            <w:rStyle w:val="Hipervnculo"/>
            <w:i/>
            <w:sz w:val="18"/>
            <w:szCs w:val="18"/>
          </w:rPr>
          <w:t>Publicación y difusión de la Sentencia</w:t>
        </w:r>
        <w:r w:rsidRPr="00F1350B">
          <w:rPr>
            <w:webHidden/>
            <w:sz w:val="18"/>
            <w:szCs w:val="18"/>
          </w:rPr>
          <w:tab/>
        </w:r>
        <w:r w:rsidRPr="00F1350B">
          <w:rPr>
            <w:webHidden/>
            <w:sz w:val="18"/>
            <w:szCs w:val="18"/>
          </w:rPr>
          <w:fldChar w:fldCharType="begin"/>
        </w:r>
        <w:r w:rsidRPr="00F1350B">
          <w:rPr>
            <w:webHidden/>
            <w:sz w:val="18"/>
            <w:szCs w:val="18"/>
          </w:rPr>
          <w:instrText xml:space="preserve"> PAGEREF _Toc19780954 \h </w:instrText>
        </w:r>
        <w:r w:rsidRPr="00F1350B">
          <w:rPr>
            <w:webHidden/>
            <w:sz w:val="18"/>
            <w:szCs w:val="18"/>
          </w:rPr>
        </w:r>
        <w:r w:rsidRPr="00F1350B">
          <w:rPr>
            <w:webHidden/>
            <w:sz w:val="18"/>
            <w:szCs w:val="18"/>
          </w:rPr>
          <w:fldChar w:fldCharType="separate"/>
        </w:r>
        <w:r w:rsidR="00F935F1">
          <w:rPr>
            <w:webHidden/>
            <w:sz w:val="18"/>
            <w:szCs w:val="18"/>
          </w:rPr>
          <w:t>3</w:t>
        </w:r>
        <w:r w:rsidRPr="00F1350B">
          <w:rPr>
            <w:webHidden/>
            <w:sz w:val="18"/>
            <w:szCs w:val="18"/>
          </w:rPr>
          <w:fldChar w:fldCharType="end"/>
        </w:r>
      </w:hyperlink>
    </w:p>
    <w:p w:rsidR="00F1350B" w:rsidRPr="00F1350B" w:rsidRDefault="00F1350B" w:rsidP="00F1350B">
      <w:pPr>
        <w:pStyle w:val="TDC1"/>
        <w:spacing w:after="0" w:line="240" w:lineRule="auto"/>
        <w:rPr>
          <w:rFonts w:ascii="Calibri" w:eastAsia="Times New Roman" w:hAnsi="Calibri"/>
          <w:sz w:val="18"/>
          <w:szCs w:val="18"/>
          <w:lang w:val="en-US"/>
        </w:rPr>
      </w:pPr>
      <w:hyperlink w:anchor="_Toc19780955" w:history="1">
        <w:r w:rsidRPr="00F1350B">
          <w:rPr>
            <w:rStyle w:val="Hipervnculo"/>
            <w:i/>
            <w:sz w:val="18"/>
            <w:szCs w:val="18"/>
          </w:rPr>
          <w:t>B.</w:t>
        </w:r>
        <w:r w:rsidRPr="00F1350B">
          <w:rPr>
            <w:rFonts w:ascii="Calibri" w:eastAsia="Times New Roman" w:hAnsi="Calibri"/>
            <w:sz w:val="18"/>
            <w:szCs w:val="18"/>
            <w:lang w:val="en-US"/>
          </w:rPr>
          <w:tab/>
        </w:r>
        <w:r w:rsidRPr="00F1350B">
          <w:rPr>
            <w:rStyle w:val="Hipervnculo"/>
            <w:i/>
            <w:sz w:val="18"/>
            <w:szCs w:val="18"/>
          </w:rPr>
          <w:t>Acto público de reconocimiento de responsabilidad internacional</w:t>
        </w:r>
        <w:r w:rsidRPr="00F1350B">
          <w:rPr>
            <w:webHidden/>
            <w:sz w:val="18"/>
            <w:szCs w:val="18"/>
          </w:rPr>
          <w:tab/>
        </w:r>
        <w:r w:rsidRPr="00F1350B">
          <w:rPr>
            <w:webHidden/>
            <w:sz w:val="18"/>
            <w:szCs w:val="18"/>
          </w:rPr>
          <w:fldChar w:fldCharType="begin"/>
        </w:r>
        <w:r w:rsidRPr="00F1350B">
          <w:rPr>
            <w:webHidden/>
            <w:sz w:val="18"/>
            <w:szCs w:val="18"/>
          </w:rPr>
          <w:instrText xml:space="preserve"> PAGEREF _Toc19780955 \h </w:instrText>
        </w:r>
        <w:r w:rsidRPr="00F1350B">
          <w:rPr>
            <w:webHidden/>
            <w:sz w:val="18"/>
            <w:szCs w:val="18"/>
          </w:rPr>
        </w:r>
        <w:r w:rsidRPr="00F1350B">
          <w:rPr>
            <w:webHidden/>
            <w:sz w:val="18"/>
            <w:szCs w:val="18"/>
          </w:rPr>
          <w:fldChar w:fldCharType="separate"/>
        </w:r>
        <w:r w:rsidR="00F935F1">
          <w:rPr>
            <w:webHidden/>
            <w:sz w:val="18"/>
            <w:szCs w:val="18"/>
          </w:rPr>
          <w:t>4</w:t>
        </w:r>
        <w:r w:rsidRPr="00F1350B">
          <w:rPr>
            <w:webHidden/>
            <w:sz w:val="18"/>
            <w:szCs w:val="18"/>
          </w:rPr>
          <w:fldChar w:fldCharType="end"/>
        </w:r>
      </w:hyperlink>
    </w:p>
    <w:p w:rsidR="00F1350B" w:rsidRPr="00F1350B" w:rsidRDefault="00F1350B" w:rsidP="00F1350B">
      <w:pPr>
        <w:pStyle w:val="TDC1"/>
        <w:spacing w:after="0" w:line="240" w:lineRule="auto"/>
        <w:rPr>
          <w:rFonts w:ascii="Calibri" w:eastAsia="Times New Roman" w:hAnsi="Calibri"/>
          <w:sz w:val="18"/>
          <w:szCs w:val="18"/>
          <w:lang w:val="en-US"/>
        </w:rPr>
      </w:pPr>
      <w:hyperlink w:anchor="_Toc19780956" w:history="1">
        <w:r w:rsidRPr="00F1350B">
          <w:rPr>
            <w:rStyle w:val="Hipervnculo"/>
            <w:i/>
            <w:sz w:val="18"/>
            <w:szCs w:val="18"/>
          </w:rPr>
          <w:t>C.</w:t>
        </w:r>
        <w:r w:rsidRPr="00F1350B">
          <w:rPr>
            <w:rFonts w:ascii="Calibri" w:eastAsia="Times New Roman" w:hAnsi="Calibri"/>
            <w:sz w:val="18"/>
            <w:szCs w:val="18"/>
            <w:lang w:val="en-US"/>
          </w:rPr>
          <w:tab/>
        </w:r>
        <w:r w:rsidRPr="00F1350B">
          <w:rPr>
            <w:rStyle w:val="Hipervnculo"/>
            <w:i/>
            <w:sz w:val="18"/>
            <w:szCs w:val="18"/>
            <w:lang w:val="es-CR"/>
          </w:rPr>
          <w:t>Garantizar las condiciones de seguridad para el retorno de familiares al país</w:t>
        </w:r>
        <w:r w:rsidRPr="00F1350B">
          <w:rPr>
            <w:webHidden/>
            <w:sz w:val="18"/>
            <w:szCs w:val="18"/>
          </w:rPr>
          <w:tab/>
        </w:r>
        <w:r w:rsidRPr="00F1350B">
          <w:rPr>
            <w:webHidden/>
            <w:sz w:val="18"/>
            <w:szCs w:val="18"/>
          </w:rPr>
          <w:fldChar w:fldCharType="begin"/>
        </w:r>
        <w:r w:rsidRPr="00F1350B">
          <w:rPr>
            <w:webHidden/>
            <w:sz w:val="18"/>
            <w:szCs w:val="18"/>
          </w:rPr>
          <w:instrText xml:space="preserve"> PAGEREF _Toc19780956 \h </w:instrText>
        </w:r>
        <w:r w:rsidRPr="00F1350B">
          <w:rPr>
            <w:webHidden/>
            <w:sz w:val="18"/>
            <w:szCs w:val="18"/>
          </w:rPr>
        </w:r>
        <w:r w:rsidRPr="00F1350B">
          <w:rPr>
            <w:webHidden/>
            <w:sz w:val="18"/>
            <w:szCs w:val="18"/>
          </w:rPr>
          <w:fldChar w:fldCharType="separate"/>
        </w:r>
        <w:r w:rsidR="00F935F1">
          <w:rPr>
            <w:webHidden/>
            <w:sz w:val="18"/>
            <w:szCs w:val="18"/>
          </w:rPr>
          <w:t>5</w:t>
        </w:r>
        <w:r w:rsidRPr="00F1350B">
          <w:rPr>
            <w:webHidden/>
            <w:sz w:val="18"/>
            <w:szCs w:val="18"/>
          </w:rPr>
          <w:fldChar w:fldCharType="end"/>
        </w:r>
      </w:hyperlink>
    </w:p>
    <w:p w:rsidR="00F1350B" w:rsidRPr="00F1350B" w:rsidRDefault="00F1350B" w:rsidP="00F1350B">
      <w:pPr>
        <w:pStyle w:val="TDC1"/>
        <w:spacing w:after="0" w:line="240" w:lineRule="auto"/>
        <w:rPr>
          <w:rFonts w:ascii="Calibri" w:eastAsia="Times New Roman" w:hAnsi="Calibri"/>
          <w:sz w:val="18"/>
          <w:szCs w:val="18"/>
          <w:lang w:val="en-US"/>
        </w:rPr>
      </w:pPr>
      <w:hyperlink w:anchor="_Toc19780957" w:history="1">
        <w:r w:rsidRPr="00F1350B">
          <w:rPr>
            <w:rStyle w:val="Hipervnculo"/>
            <w:i/>
            <w:sz w:val="18"/>
            <w:szCs w:val="18"/>
          </w:rPr>
          <w:t>D.</w:t>
        </w:r>
        <w:r w:rsidRPr="00F1350B">
          <w:rPr>
            <w:rFonts w:ascii="Calibri" w:eastAsia="Times New Roman" w:hAnsi="Calibri"/>
            <w:sz w:val="18"/>
            <w:szCs w:val="18"/>
            <w:lang w:val="en-US"/>
          </w:rPr>
          <w:tab/>
        </w:r>
        <w:r w:rsidRPr="00F1350B">
          <w:rPr>
            <w:rStyle w:val="Hipervnculo"/>
            <w:i/>
            <w:sz w:val="18"/>
            <w:szCs w:val="18"/>
          </w:rPr>
          <w:t>Solicitud de información sobre reparaciones pendientes de cumplimiento</w:t>
        </w:r>
        <w:r w:rsidRPr="00F1350B">
          <w:rPr>
            <w:webHidden/>
            <w:sz w:val="18"/>
            <w:szCs w:val="18"/>
          </w:rPr>
          <w:tab/>
        </w:r>
        <w:r w:rsidRPr="00F1350B">
          <w:rPr>
            <w:webHidden/>
            <w:sz w:val="18"/>
            <w:szCs w:val="18"/>
          </w:rPr>
          <w:fldChar w:fldCharType="begin"/>
        </w:r>
        <w:r w:rsidRPr="00F1350B">
          <w:rPr>
            <w:webHidden/>
            <w:sz w:val="18"/>
            <w:szCs w:val="18"/>
          </w:rPr>
          <w:instrText xml:space="preserve"> PAGEREF _Toc19780957 \h </w:instrText>
        </w:r>
        <w:r w:rsidRPr="00F1350B">
          <w:rPr>
            <w:webHidden/>
            <w:sz w:val="18"/>
            <w:szCs w:val="18"/>
          </w:rPr>
        </w:r>
        <w:r w:rsidRPr="00F1350B">
          <w:rPr>
            <w:webHidden/>
            <w:sz w:val="18"/>
            <w:szCs w:val="18"/>
          </w:rPr>
          <w:fldChar w:fldCharType="separate"/>
        </w:r>
        <w:r w:rsidR="00F935F1">
          <w:rPr>
            <w:webHidden/>
            <w:sz w:val="18"/>
            <w:szCs w:val="18"/>
          </w:rPr>
          <w:t>6</w:t>
        </w:r>
        <w:r w:rsidRPr="00F1350B">
          <w:rPr>
            <w:webHidden/>
            <w:sz w:val="18"/>
            <w:szCs w:val="18"/>
          </w:rPr>
          <w:fldChar w:fldCharType="end"/>
        </w:r>
      </w:hyperlink>
    </w:p>
    <w:p w:rsidR="00F1350B" w:rsidRPr="00DC3968" w:rsidRDefault="00F1350B" w:rsidP="00F1350B">
      <w:pPr>
        <w:spacing w:after="0" w:line="240" w:lineRule="auto"/>
        <w:rPr>
          <w:lang w:val="es-CO"/>
        </w:rPr>
      </w:pPr>
      <w:r w:rsidRPr="00F1350B">
        <w:rPr>
          <w:b/>
          <w:bCs/>
          <w:sz w:val="18"/>
          <w:szCs w:val="18"/>
          <w:lang w:val="es-ES"/>
        </w:rPr>
        <w:fldChar w:fldCharType="end"/>
      </w:r>
    </w:p>
    <w:p w:rsidR="00C56276" w:rsidRPr="00F1350B" w:rsidRDefault="00C56276" w:rsidP="00F1350B">
      <w:pPr>
        <w:pStyle w:val="TDC1"/>
        <w:numPr>
          <w:ilvl w:val="0"/>
          <w:numId w:val="8"/>
        </w:numPr>
        <w:spacing w:after="0" w:line="240" w:lineRule="auto"/>
        <w:rPr>
          <w:i/>
          <w:sz w:val="20"/>
          <w:szCs w:val="20"/>
          <w:lang w:val="es-CO"/>
        </w:rPr>
      </w:pPr>
      <w:bookmarkStart w:id="1" w:name="_Toc19780954"/>
      <w:r w:rsidRPr="00F1350B">
        <w:rPr>
          <w:rStyle w:val="Ttulo1Car"/>
          <w:i/>
          <w:sz w:val="20"/>
        </w:rPr>
        <w:t>Publicación y difusión de la Sentencia</w:t>
      </w:r>
      <w:bookmarkEnd w:id="1"/>
    </w:p>
    <w:p w:rsidR="00A06239" w:rsidRPr="0032471F" w:rsidRDefault="00A06239" w:rsidP="0032471F">
      <w:pPr>
        <w:pStyle w:val="Listavistosa-nfasis1"/>
        <w:spacing w:after="0" w:line="240" w:lineRule="auto"/>
        <w:ind w:left="0"/>
        <w:contextualSpacing w:val="0"/>
        <w:rPr>
          <w:sz w:val="20"/>
          <w:lang w:val="es-MX"/>
        </w:rPr>
      </w:pPr>
    </w:p>
    <w:p w:rsidR="00881D56" w:rsidRPr="00CB6306" w:rsidRDefault="009D49FF" w:rsidP="005366E3">
      <w:pPr>
        <w:pStyle w:val="Listavistosa-nfasis1"/>
        <w:spacing w:after="0" w:line="240" w:lineRule="auto"/>
        <w:ind w:left="0" w:firstLine="644"/>
        <w:contextualSpacing w:val="0"/>
        <w:rPr>
          <w:i/>
          <w:sz w:val="20"/>
          <w:lang w:val="es-MX"/>
        </w:rPr>
      </w:pPr>
      <w:r>
        <w:rPr>
          <w:i/>
          <w:sz w:val="20"/>
          <w:lang w:val="es-MX"/>
        </w:rPr>
        <w:t xml:space="preserve">A.1. </w:t>
      </w:r>
      <w:r w:rsidR="00881D56" w:rsidRPr="000121ED">
        <w:rPr>
          <w:i/>
          <w:sz w:val="20"/>
          <w:lang w:val="es-MX"/>
        </w:rPr>
        <w:t>Medida</w:t>
      </w:r>
      <w:r w:rsidR="00D53F9A">
        <w:rPr>
          <w:i/>
          <w:sz w:val="20"/>
          <w:lang w:val="es-MX"/>
        </w:rPr>
        <w:t>s</w:t>
      </w:r>
      <w:r w:rsidR="00881D56" w:rsidRPr="000121ED">
        <w:rPr>
          <w:i/>
          <w:sz w:val="20"/>
          <w:lang w:val="es-MX"/>
        </w:rPr>
        <w:t xml:space="preserve"> ordenada</w:t>
      </w:r>
      <w:r w:rsidR="00D53F9A">
        <w:rPr>
          <w:i/>
          <w:sz w:val="20"/>
          <w:lang w:val="es-MX"/>
        </w:rPr>
        <w:t>s</w:t>
      </w:r>
      <w:r w:rsidR="00881D56" w:rsidRPr="000121ED">
        <w:rPr>
          <w:i/>
          <w:sz w:val="20"/>
          <w:lang w:val="es-MX"/>
        </w:rPr>
        <w:t xml:space="preserve"> por la Corte </w:t>
      </w:r>
    </w:p>
    <w:p w:rsidR="00A06239" w:rsidRPr="00A06239" w:rsidRDefault="00A06239" w:rsidP="00A06239">
      <w:pPr>
        <w:pStyle w:val="Listavistosa-nfasis1"/>
        <w:spacing w:after="0" w:line="240" w:lineRule="auto"/>
        <w:ind w:left="0"/>
        <w:contextualSpacing w:val="0"/>
        <w:rPr>
          <w:sz w:val="20"/>
          <w:szCs w:val="20"/>
          <w:lang w:val="es-CR"/>
        </w:rPr>
      </w:pPr>
    </w:p>
    <w:p w:rsidR="00035F27" w:rsidRPr="00A06239" w:rsidRDefault="00743E84" w:rsidP="005B54DD">
      <w:pPr>
        <w:pStyle w:val="Listavistosa-nfasis1"/>
        <w:numPr>
          <w:ilvl w:val="0"/>
          <w:numId w:val="2"/>
        </w:numPr>
        <w:spacing w:after="0" w:line="240" w:lineRule="auto"/>
        <w:ind w:left="0" w:firstLine="0"/>
        <w:contextualSpacing w:val="0"/>
        <w:rPr>
          <w:sz w:val="20"/>
          <w:szCs w:val="20"/>
          <w:lang w:val="es-CR"/>
        </w:rPr>
      </w:pPr>
      <w:r w:rsidRPr="00EE2F04">
        <w:rPr>
          <w:sz w:val="20"/>
          <w:szCs w:val="20"/>
          <w:lang w:val="es-MX"/>
        </w:rPr>
        <w:t>E</w:t>
      </w:r>
      <w:r w:rsidR="000121ED" w:rsidRPr="00EE2F04">
        <w:rPr>
          <w:sz w:val="20"/>
          <w:szCs w:val="20"/>
          <w:lang w:val="es-MX"/>
        </w:rPr>
        <w:t xml:space="preserve">n </w:t>
      </w:r>
      <w:r w:rsidR="009A7871" w:rsidRPr="00EE2F04">
        <w:rPr>
          <w:sz w:val="20"/>
          <w:szCs w:val="20"/>
          <w:lang w:val="es-MX"/>
        </w:rPr>
        <w:t xml:space="preserve">el punto </w:t>
      </w:r>
      <w:r w:rsidR="000E2F78">
        <w:rPr>
          <w:sz w:val="20"/>
          <w:szCs w:val="20"/>
          <w:lang w:val="es-MX"/>
        </w:rPr>
        <w:t>resolutivo</w:t>
      </w:r>
      <w:r w:rsidR="009A7871" w:rsidRPr="00EE2F04">
        <w:rPr>
          <w:sz w:val="20"/>
          <w:szCs w:val="20"/>
          <w:lang w:val="es-MX"/>
        </w:rPr>
        <w:t xml:space="preserve"> </w:t>
      </w:r>
      <w:r w:rsidR="0032471F">
        <w:rPr>
          <w:sz w:val="20"/>
          <w:szCs w:val="20"/>
          <w:lang w:val="es-MX"/>
        </w:rPr>
        <w:t>décimo primero</w:t>
      </w:r>
      <w:r w:rsidR="00B77469" w:rsidRPr="00EE2F04">
        <w:rPr>
          <w:sz w:val="20"/>
          <w:szCs w:val="20"/>
          <w:lang w:val="es-MX"/>
        </w:rPr>
        <w:t xml:space="preserve"> y en el párrafo</w:t>
      </w:r>
      <w:r w:rsidR="009A7871" w:rsidRPr="00EE2F04">
        <w:rPr>
          <w:sz w:val="20"/>
          <w:szCs w:val="20"/>
          <w:lang w:val="es-MX"/>
        </w:rPr>
        <w:t xml:space="preserve"> </w:t>
      </w:r>
      <w:r w:rsidR="00B77469" w:rsidRPr="00EE2F04">
        <w:rPr>
          <w:sz w:val="20"/>
          <w:szCs w:val="20"/>
          <w:lang w:val="es-MX"/>
        </w:rPr>
        <w:t>210</w:t>
      </w:r>
      <w:r w:rsidR="009A7871" w:rsidRPr="00EE2F04">
        <w:rPr>
          <w:sz w:val="20"/>
          <w:szCs w:val="20"/>
          <w:lang w:val="es-MX"/>
        </w:rPr>
        <w:t xml:space="preserve"> de la </w:t>
      </w:r>
      <w:r w:rsidR="00EE2F04" w:rsidRPr="00EE2F04">
        <w:rPr>
          <w:sz w:val="20"/>
          <w:szCs w:val="20"/>
          <w:lang w:val="es-MX"/>
        </w:rPr>
        <w:t>Sentencia, la Corte dispuso que</w:t>
      </w:r>
      <w:r w:rsidR="00EE2F04">
        <w:rPr>
          <w:sz w:val="20"/>
          <w:szCs w:val="20"/>
          <w:lang w:val="es-CO"/>
        </w:rPr>
        <w:t xml:space="preserve"> el Estado </w:t>
      </w:r>
      <w:r w:rsidR="00BE74C6">
        <w:rPr>
          <w:sz w:val="20"/>
          <w:szCs w:val="20"/>
          <w:lang w:val="es-CO"/>
        </w:rPr>
        <w:t>debía</w:t>
      </w:r>
      <w:r w:rsidR="00EE2F04">
        <w:rPr>
          <w:sz w:val="20"/>
          <w:szCs w:val="20"/>
          <w:lang w:val="es-CO"/>
        </w:rPr>
        <w:t xml:space="preserve"> publicar</w:t>
      </w:r>
      <w:r w:rsidR="00EE2F04" w:rsidRPr="00EE2F04">
        <w:rPr>
          <w:sz w:val="20"/>
          <w:szCs w:val="20"/>
          <w:lang w:val="es-CO"/>
        </w:rPr>
        <w:t>, en un plazo de seis meses contado a partir de la notificación de la Sentencia: a) e</w:t>
      </w:r>
      <w:r w:rsidR="006F0994">
        <w:rPr>
          <w:sz w:val="20"/>
          <w:szCs w:val="20"/>
          <w:lang w:val="es-CO"/>
        </w:rPr>
        <w:t>l resumen oficial de la</w:t>
      </w:r>
      <w:r w:rsidR="00EE2F04" w:rsidRPr="00EE2F04">
        <w:rPr>
          <w:sz w:val="20"/>
          <w:szCs w:val="20"/>
          <w:lang w:val="es-CO"/>
        </w:rPr>
        <w:t xml:space="preserve"> Sentencia elaborado por la Corte, por una sola vez, en el Diario Oficial y en otro diario de circulación nacional, con un tamaño de letra legib</w:t>
      </w:r>
      <w:r w:rsidR="00EE2F04">
        <w:rPr>
          <w:sz w:val="20"/>
          <w:szCs w:val="20"/>
          <w:lang w:val="es-CO"/>
        </w:rPr>
        <w:t xml:space="preserve">le y adecuado, y b) la </w:t>
      </w:r>
      <w:r w:rsidR="00EE2F04" w:rsidRPr="00EE2F04">
        <w:rPr>
          <w:sz w:val="20"/>
          <w:szCs w:val="20"/>
          <w:lang w:val="es-CO"/>
        </w:rPr>
        <w:t>Sentencia</w:t>
      </w:r>
      <w:r w:rsidR="005B051E">
        <w:rPr>
          <w:sz w:val="20"/>
          <w:szCs w:val="20"/>
          <w:lang w:val="es-CO"/>
        </w:rPr>
        <w:t>, en su integridad, disponible</w:t>
      </w:r>
      <w:r w:rsidR="00EE2F04" w:rsidRPr="00EE2F04">
        <w:rPr>
          <w:sz w:val="20"/>
          <w:szCs w:val="20"/>
          <w:lang w:val="es-CO"/>
        </w:rPr>
        <w:t xml:space="preserve"> por un período de al menos un año, en un sitio </w:t>
      </w:r>
      <w:r w:rsidR="00EE2F04" w:rsidRPr="005B051E">
        <w:rPr>
          <w:i/>
          <w:sz w:val="20"/>
          <w:szCs w:val="20"/>
          <w:lang w:val="es-CO"/>
        </w:rPr>
        <w:t>web</w:t>
      </w:r>
      <w:r w:rsidR="00EE2F04" w:rsidRPr="00EE2F04">
        <w:rPr>
          <w:sz w:val="20"/>
          <w:szCs w:val="20"/>
          <w:lang w:val="es-CO"/>
        </w:rPr>
        <w:t xml:space="preserve"> oficial del Estado, de manera accesible al público</w:t>
      </w:r>
      <w:r w:rsidR="005B051E">
        <w:rPr>
          <w:sz w:val="20"/>
          <w:szCs w:val="20"/>
          <w:lang w:val="es-CO"/>
        </w:rPr>
        <w:t xml:space="preserve"> y desde la página de inicio de dicho</w:t>
      </w:r>
      <w:r w:rsidR="00EE2F04" w:rsidRPr="00EE2F04">
        <w:rPr>
          <w:sz w:val="20"/>
          <w:szCs w:val="20"/>
          <w:lang w:val="es-CO"/>
        </w:rPr>
        <w:t xml:space="preserve"> sitio </w:t>
      </w:r>
      <w:r w:rsidR="00EE2F04" w:rsidRPr="005B051E">
        <w:rPr>
          <w:i/>
          <w:sz w:val="20"/>
          <w:szCs w:val="20"/>
          <w:lang w:val="es-CO"/>
        </w:rPr>
        <w:t>web</w:t>
      </w:r>
      <w:r w:rsidR="00EE2F04" w:rsidRPr="00EE2F04">
        <w:rPr>
          <w:sz w:val="20"/>
          <w:szCs w:val="20"/>
          <w:lang w:val="es-CO"/>
        </w:rPr>
        <w:t>.</w:t>
      </w:r>
    </w:p>
    <w:p w:rsidR="00A06239" w:rsidRPr="00035F27" w:rsidRDefault="00A06239" w:rsidP="00A06239">
      <w:pPr>
        <w:pStyle w:val="Listavistosa-nfasis1"/>
        <w:spacing w:after="0" w:line="240" w:lineRule="auto"/>
        <w:ind w:left="0"/>
        <w:contextualSpacing w:val="0"/>
        <w:rPr>
          <w:sz w:val="20"/>
          <w:szCs w:val="20"/>
          <w:lang w:val="es-CR"/>
        </w:rPr>
      </w:pPr>
    </w:p>
    <w:p w:rsidR="00035F27" w:rsidRPr="005366E3" w:rsidRDefault="00035F27" w:rsidP="005366E3">
      <w:pPr>
        <w:pStyle w:val="Listavistosa-nfasis1"/>
        <w:spacing w:after="0" w:line="240" w:lineRule="auto"/>
        <w:ind w:left="0" w:firstLine="720"/>
        <w:contextualSpacing w:val="0"/>
        <w:rPr>
          <w:i/>
          <w:sz w:val="20"/>
          <w:lang w:val="es-MX"/>
        </w:rPr>
      </w:pPr>
      <w:r w:rsidRPr="005366E3">
        <w:rPr>
          <w:i/>
          <w:sz w:val="20"/>
          <w:lang w:val="es-MX"/>
        </w:rPr>
        <w:t>A.2. Consideraciones de la Corte</w:t>
      </w:r>
    </w:p>
    <w:p w:rsidR="00A06239" w:rsidRPr="00A06239" w:rsidRDefault="00A06239" w:rsidP="00A06239">
      <w:pPr>
        <w:pStyle w:val="Listavistosa-nfasis1"/>
        <w:spacing w:after="0" w:line="240" w:lineRule="auto"/>
        <w:ind w:left="0"/>
        <w:contextualSpacing w:val="0"/>
        <w:rPr>
          <w:sz w:val="20"/>
          <w:szCs w:val="20"/>
          <w:lang w:val="es-CR"/>
        </w:rPr>
      </w:pPr>
    </w:p>
    <w:p w:rsidR="00035F27" w:rsidRPr="00E362BD" w:rsidRDefault="00D53F9A" w:rsidP="005B54DD">
      <w:pPr>
        <w:pStyle w:val="Listavistosa-nfasis1"/>
        <w:numPr>
          <w:ilvl w:val="0"/>
          <w:numId w:val="2"/>
        </w:numPr>
        <w:spacing w:after="0" w:line="240" w:lineRule="auto"/>
        <w:ind w:left="0" w:firstLine="0"/>
        <w:contextualSpacing w:val="0"/>
        <w:rPr>
          <w:sz w:val="20"/>
          <w:szCs w:val="20"/>
          <w:lang w:val="es-CR"/>
        </w:rPr>
      </w:pPr>
      <w:r>
        <w:rPr>
          <w:sz w:val="20"/>
          <w:szCs w:val="20"/>
          <w:lang w:val="es-CR"/>
        </w:rPr>
        <w:t xml:space="preserve">El Tribunal </w:t>
      </w:r>
      <w:r w:rsidR="00EE2F04" w:rsidRPr="00035F27">
        <w:rPr>
          <w:sz w:val="20"/>
          <w:szCs w:val="20"/>
          <w:lang w:val="es-CO"/>
        </w:rPr>
        <w:t>ha constatado, con base en los compr</w:t>
      </w:r>
      <w:r w:rsidR="00C676F6" w:rsidRPr="00035F27">
        <w:rPr>
          <w:sz w:val="20"/>
          <w:szCs w:val="20"/>
          <w:lang w:val="es-CO"/>
        </w:rPr>
        <w:t>obantes aportados por el Estado</w:t>
      </w:r>
      <w:r w:rsidR="0032471F">
        <w:rPr>
          <w:rStyle w:val="Refdenotaalpie"/>
          <w:sz w:val="20"/>
          <w:szCs w:val="20"/>
          <w:lang w:val="es-CO"/>
        </w:rPr>
        <w:footnoteReference w:id="12"/>
      </w:r>
      <w:r w:rsidR="00EE2F04" w:rsidRPr="00035F27">
        <w:rPr>
          <w:sz w:val="20"/>
          <w:szCs w:val="20"/>
          <w:lang w:val="es-CO"/>
        </w:rPr>
        <w:t xml:space="preserve"> y tomando en cuenta la conformidad manifestada por los </w:t>
      </w:r>
      <w:r w:rsidR="007E3C86" w:rsidRPr="00035F27">
        <w:rPr>
          <w:sz w:val="20"/>
          <w:szCs w:val="20"/>
          <w:lang w:val="es-CO"/>
        </w:rPr>
        <w:t>representantes de las víctimas</w:t>
      </w:r>
      <w:r w:rsidR="0032471F">
        <w:rPr>
          <w:rStyle w:val="Refdenotaalpie"/>
          <w:sz w:val="20"/>
          <w:szCs w:val="20"/>
          <w:lang w:val="es-CO"/>
        </w:rPr>
        <w:footnoteReference w:id="13"/>
      </w:r>
      <w:r w:rsidR="00876ADB">
        <w:rPr>
          <w:sz w:val="20"/>
          <w:szCs w:val="20"/>
          <w:lang w:val="es-CO"/>
        </w:rPr>
        <w:t>, que el Estado publicó,</w:t>
      </w:r>
      <w:r w:rsidR="009D49FF" w:rsidRPr="00035F27">
        <w:rPr>
          <w:sz w:val="20"/>
          <w:szCs w:val="20"/>
          <w:lang w:val="es-CR"/>
        </w:rPr>
        <w:t xml:space="preserve"> dentro de</w:t>
      </w:r>
      <w:r w:rsidR="00876ADB">
        <w:rPr>
          <w:sz w:val="20"/>
          <w:szCs w:val="20"/>
          <w:lang w:val="es-CR"/>
        </w:rPr>
        <w:t>l plazo establecido en el Fallo: i)</w:t>
      </w:r>
      <w:r w:rsidR="009D49FF" w:rsidRPr="00035F27">
        <w:rPr>
          <w:sz w:val="20"/>
          <w:szCs w:val="20"/>
          <w:lang w:val="es-CR"/>
        </w:rPr>
        <w:t xml:space="preserve"> el texto integral de la Sentencia en </w:t>
      </w:r>
      <w:r w:rsidR="00EE094A" w:rsidRPr="00035F27">
        <w:rPr>
          <w:sz w:val="20"/>
          <w:szCs w:val="20"/>
          <w:lang w:val="es-CR"/>
        </w:rPr>
        <w:t xml:space="preserve">el sitio </w:t>
      </w:r>
      <w:r w:rsidR="00EE094A" w:rsidRPr="00BE74C6">
        <w:rPr>
          <w:i/>
          <w:sz w:val="20"/>
          <w:szCs w:val="20"/>
          <w:lang w:val="es-CR"/>
        </w:rPr>
        <w:t>web</w:t>
      </w:r>
      <w:r w:rsidR="00EE094A" w:rsidRPr="00035F27">
        <w:rPr>
          <w:sz w:val="20"/>
          <w:szCs w:val="20"/>
          <w:lang w:val="es-CR"/>
        </w:rPr>
        <w:t xml:space="preserve"> oficial </w:t>
      </w:r>
      <w:r w:rsidR="008005A7" w:rsidRPr="00035F27">
        <w:rPr>
          <w:sz w:val="20"/>
          <w:szCs w:val="20"/>
          <w:lang w:val="es-CR"/>
        </w:rPr>
        <w:t>de la Consejería Presidencial para los Derechos Humanos</w:t>
      </w:r>
      <w:r w:rsidR="009D49FF" w:rsidRPr="009D49FF">
        <w:rPr>
          <w:rStyle w:val="Refdenotaalpie"/>
          <w:sz w:val="20"/>
          <w:szCs w:val="20"/>
          <w:lang w:val="es-CR"/>
        </w:rPr>
        <w:footnoteReference w:id="14"/>
      </w:r>
      <w:r w:rsidR="00876ADB">
        <w:rPr>
          <w:sz w:val="20"/>
          <w:szCs w:val="20"/>
          <w:lang w:val="es-CR"/>
        </w:rPr>
        <w:t>, y ii)</w:t>
      </w:r>
      <w:r w:rsidR="00C515A1">
        <w:rPr>
          <w:sz w:val="20"/>
          <w:szCs w:val="20"/>
          <w:lang w:val="es-CR"/>
        </w:rPr>
        <w:t xml:space="preserve"> </w:t>
      </w:r>
      <w:r w:rsidR="00C515A1" w:rsidRPr="00C515A1">
        <w:rPr>
          <w:sz w:val="20"/>
          <w:szCs w:val="20"/>
          <w:lang w:val="es-CR"/>
        </w:rPr>
        <w:t>el resumen oficial de la Sentencia en el Diario Oficial</w:t>
      </w:r>
      <w:r w:rsidR="0032471F">
        <w:rPr>
          <w:rStyle w:val="Refdenotaalpie"/>
          <w:sz w:val="20"/>
          <w:szCs w:val="20"/>
          <w:lang w:val="es-CR"/>
        </w:rPr>
        <w:footnoteReference w:id="15"/>
      </w:r>
      <w:r w:rsidR="00C515A1">
        <w:rPr>
          <w:sz w:val="20"/>
          <w:szCs w:val="20"/>
          <w:lang w:val="es-CR"/>
        </w:rPr>
        <w:t>.</w:t>
      </w:r>
      <w:r w:rsidR="00876ADB">
        <w:rPr>
          <w:sz w:val="20"/>
          <w:szCs w:val="20"/>
          <w:lang w:val="es-CR"/>
        </w:rPr>
        <w:t xml:space="preserve"> Asimismo, cinco días después del cumplimiento del </w:t>
      </w:r>
      <w:r w:rsidR="00C515A1">
        <w:rPr>
          <w:sz w:val="20"/>
          <w:szCs w:val="20"/>
          <w:lang w:val="es-CR"/>
        </w:rPr>
        <w:t xml:space="preserve">referido </w:t>
      </w:r>
      <w:r w:rsidR="00876ADB">
        <w:rPr>
          <w:sz w:val="20"/>
          <w:szCs w:val="20"/>
          <w:lang w:val="es-CR"/>
        </w:rPr>
        <w:t xml:space="preserve">plazo establecido en la Sentencia, Colombia </w:t>
      </w:r>
      <w:r w:rsidR="00876ADB" w:rsidRPr="00035F27">
        <w:rPr>
          <w:sz w:val="20"/>
          <w:szCs w:val="20"/>
          <w:lang w:val="es-CR"/>
        </w:rPr>
        <w:t xml:space="preserve">publicó el resumen oficial de la </w:t>
      </w:r>
      <w:r w:rsidR="00876ADB">
        <w:rPr>
          <w:sz w:val="20"/>
          <w:szCs w:val="20"/>
          <w:lang w:val="es-CR"/>
        </w:rPr>
        <w:t>misma</w:t>
      </w:r>
      <w:r w:rsidR="00876ADB" w:rsidRPr="00035F27">
        <w:rPr>
          <w:sz w:val="20"/>
          <w:szCs w:val="20"/>
          <w:lang w:val="es-CR"/>
        </w:rPr>
        <w:t xml:space="preserve"> en</w:t>
      </w:r>
      <w:r w:rsidR="00876ADB">
        <w:rPr>
          <w:sz w:val="20"/>
          <w:szCs w:val="20"/>
          <w:lang w:val="es-CR"/>
        </w:rPr>
        <w:t xml:space="preserve"> el diario El Espectador,</w:t>
      </w:r>
      <w:r w:rsidR="00876ADB" w:rsidRPr="00035F27">
        <w:rPr>
          <w:sz w:val="20"/>
          <w:szCs w:val="20"/>
          <w:lang w:val="es-CR"/>
        </w:rPr>
        <w:t xml:space="preserve"> “</w:t>
      </w:r>
      <w:r w:rsidR="00876ADB">
        <w:rPr>
          <w:sz w:val="20"/>
          <w:szCs w:val="20"/>
          <w:lang w:val="es-CR"/>
        </w:rPr>
        <w:t>d</w:t>
      </w:r>
      <w:r w:rsidR="00876ADB" w:rsidRPr="00035F27">
        <w:rPr>
          <w:sz w:val="20"/>
          <w:szCs w:val="20"/>
          <w:lang w:val="es-CR"/>
        </w:rPr>
        <w:t>iario de circulación</w:t>
      </w:r>
      <w:r w:rsidR="00876ADB">
        <w:rPr>
          <w:sz w:val="20"/>
          <w:szCs w:val="20"/>
          <w:lang w:val="es-CR"/>
        </w:rPr>
        <w:t xml:space="preserve"> nacional”</w:t>
      </w:r>
      <w:r w:rsidR="00876ADB" w:rsidRPr="009D49FF">
        <w:rPr>
          <w:rStyle w:val="Refdenotaalpie"/>
          <w:sz w:val="20"/>
          <w:szCs w:val="20"/>
          <w:lang w:val="es-CR"/>
        </w:rPr>
        <w:footnoteReference w:id="16"/>
      </w:r>
      <w:r w:rsidR="00876ADB">
        <w:rPr>
          <w:sz w:val="20"/>
          <w:szCs w:val="20"/>
          <w:lang w:val="es-CR"/>
        </w:rPr>
        <w:t>.</w:t>
      </w:r>
      <w:r w:rsidR="009D49FF" w:rsidRPr="00035F27">
        <w:rPr>
          <w:sz w:val="20"/>
          <w:szCs w:val="20"/>
          <w:lang w:val="es-CO"/>
        </w:rPr>
        <w:t xml:space="preserve"> </w:t>
      </w:r>
      <w:r w:rsidR="00877ADA">
        <w:rPr>
          <w:sz w:val="20"/>
          <w:szCs w:val="20"/>
          <w:lang w:val="es-CO"/>
        </w:rPr>
        <w:t>Al respecto, el Tribunal valora positivamente que las partes indicaron que esta última publicación “fue coordinada y consultada” por el Estado con los representantes de las víctimas</w:t>
      </w:r>
      <w:r w:rsidR="00877ADA">
        <w:rPr>
          <w:rStyle w:val="Refdenotaalpie"/>
          <w:sz w:val="20"/>
          <w:szCs w:val="20"/>
          <w:lang w:val="es-CO"/>
        </w:rPr>
        <w:footnoteReference w:id="17"/>
      </w:r>
      <w:r w:rsidR="00877ADA">
        <w:rPr>
          <w:sz w:val="20"/>
          <w:szCs w:val="20"/>
          <w:lang w:val="es-CO"/>
        </w:rPr>
        <w:t>.</w:t>
      </w:r>
    </w:p>
    <w:p w:rsidR="00A06239" w:rsidRDefault="00A06239" w:rsidP="00A06239">
      <w:pPr>
        <w:pStyle w:val="Listavistosa-nfasis1"/>
        <w:spacing w:after="0" w:line="240" w:lineRule="auto"/>
        <w:ind w:left="0"/>
        <w:contextualSpacing w:val="0"/>
        <w:rPr>
          <w:sz w:val="20"/>
          <w:szCs w:val="20"/>
          <w:lang w:val="es-CR"/>
        </w:rPr>
      </w:pPr>
    </w:p>
    <w:p w:rsidR="00554CD4" w:rsidRDefault="00554CD4" w:rsidP="005B54DD">
      <w:pPr>
        <w:pStyle w:val="Listavistosa-nfasis1"/>
        <w:numPr>
          <w:ilvl w:val="0"/>
          <w:numId w:val="2"/>
        </w:numPr>
        <w:spacing w:after="0" w:line="240" w:lineRule="auto"/>
        <w:ind w:left="0" w:firstLine="0"/>
        <w:contextualSpacing w:val="0"/>
        <w:rPr>
          <w:sz w:val="20"/>
          <w:szCs w:val="20"/>
          <w:lang w:val="es-CR"/>
        </w:rPr>
      </w:pPr>
      <w:r w:rsidRPr="00554CD4">
        <w:rPr>
          <w:sz w:val="20"/>
          <w:szCs w:val="20"/>
          <w:lang w:val="es-CR"/>
        </w:rPr>
        <w:t xml:space="preserve">En virtud de lo anterior, </w:t>
      </w:r>
      <w:r w:rsidR="00877ADA">
        <w:rPr>
          <w:sz w:val="20"/>
          <w:szCs w:val="20"/>
          <w:lang w:val="es-CR"/>
        </w:rPr>
        <w:t>la Corte</w:t>
      </w:r>
      <w:r w:rsidRPr="00554CD4">
        <w:rPr>
          <w:sz w:val="20"/>
          <w:szCs w:val="20"/>
          <w:lang w:val="es-CR"/>
        </w:rPr>
        <w:t xml:space="preserve"> considera que el Estado ha dado cumplimiento a las medidas de publicación y difusión de la Sentencia y de su resumen oficial, ordenadas en el punto </w:t>
      </w:r>
      <w:r w:rsidR="00C40928">
        <w:rPr>
          <w:sz w:val="20"/>
          <w:szCs w:val="20"/>
          <w:lang w:val="es-CR"/>
        </w:rPr>
        <w:t>resolutivo</w:t>
      </w:r>
      <w:r w:rsidRPr="00554CD4">
        <w:rPr>
          <w:sz w:val="20"/>
          <w:szCs w:val="20"/>
          <w:lang w:val="es-CR"/>
        </w:rPr>
        <w:t xml:space="preserve"> décimo primero de la misma. </w:t>
      </w:r>
    </w:p>
    <w:p w:rsidR="00D53F9A" w:rsidRPr="00554CD4" w:rsidRDefault="00D53F9A" w:rsidP="00D53F9A">
      <w:pPr>
        <w:pStyle w:val="Listavistosa-nfasis1"/>
        <w:spacing w:after="0" w:line="240" w:lineRule="auto"/>
        <w:ind w:left="0"/>
        <w:contextualSpacing w:val="0"/>
        <w:rPr>
          <w:sz w:val="20"/>
          <w:szCs w:val="20"/>
          <w:lang w:val="es-CR"/>
        </w:rPr>
      </w:pPr>
    </w:p>
    <w:p w:rsidR="001E19A3" w:rsidRPr="00F1350B" w:rsidRDefault="003D6B2C" w:rsidP="00F1350B">
      <w:pPr>
        <w:pStyle w:val="Ttulo1"/>
        <w:rPr>
          <w:i/>
        </w:rPr>
      </w:pPr>
      <w:bookmarkStart w:id="2" w:name="_Toc19780955"/>
      <w:r w:rsidRPr="00F1350B">
        <w:rPr>
          <w:i/>
        </w:rPr>
        <w:t>Acto público de reconocimiento de responsabilidad internacional</w:t>
      </w:r>
      <w:bookmarkEnd w:id="2"/>
      <w:r w:rsidRPr="00F1350B">
        <w:rPr>
          <w:i/>
        </w:rPr>
        <w:t xml:space="preserve"> </w:t>
      </w:r>
    </w:p>
    <w:p w:rsidR="00A06239" w:rsidRPr="00C14421" w:rsidRDefault="00A06239" w:rsidP="00C14421">
      <w:pPr>
        <w:pStyle w:val="Listavistosa-nfasis1"/>
        <w:spacing w:after="0" w:line="240" w:lineRule="auto"/>
        <w:ind w:left="0"/>
        <w:contextualSpacing w:val="0"/>
        <w:rPr>
          <w:sz w:val="20"/>
          <w:lang w:val="es-MX"/>
        </w:rPr>
      </w:pPr>
    </w:p>
    <w:p w:rsidR="007C45D2" w:rsidRPr="000121ED" w:rsidRDefault="006F0AF8" w:rsidP="00A03C52">
      <w:pPr>
        <w:pStyle w:val="Listavistosa-nfasis1"/>
        <w:spacing w:after="0" w:line="240" w:lineRule="auto"/>
        <w:ind w:left="0" w:firstLine="720"/>
        <w:contextualSpacing w:val="0"/>
        <w:rPr>
          <w:i/>
          <w:sz w:val="20"/>
          <w:lang w:val="es-MX"/>
        </w:rPr>
      </w:pPr>
      <w:r>
        <w:rPr>
          <w:i/>
          <w:sz w:val="20"/>
          <w:lang w:val="es-MX"/>
        </w:rPr>
        <w:t>B</w:t>
      </w:r>
      <w:r w:rsidRPr="000121ED">
        <w:rPr>
          <w:i/>
          <w:sz w:val="20"/>
          <w:lang w:val="es-MX"/>
        </w:rPr>
        <w:t>.</w:t>
      </w:r>
      <w:r w:rsidR="00C40928">
        <w:rPr>
          <w:i/>
          <w:sz w:val="20"/>
          <w:lang w:val="es-MX"/>
        </w:rPr>
        <w:t>1. Medida ordenada por la Corte</w:t>
      </w:r>
    </w:p>
    <w:p w:rsidR="00A06239" w:rsidRDefault="00A06239" w:rsidP="00A06239">
      <w:pPr>
        <w:pStyle w:val="Listavistosa-nfasis1"/>
        <w:spacing w:after="0" w:line="240" w:lineRule="auto"/>
        <w:ind w:left="0"/>
        <w:contextualSpacing w:val="0"/>
        <w:rPr>
          <w:sz w:val="20"/>
          <w:lang w:val="es-MX"/>
        </w:rPr>
      </w:pPr>
    </w:p>
    <w:p w:rsidR="003E423E" w:rsidRPr="00010A92" w:rsidRDefault="006F0AF8" w:rsidP="005B54DD">
      <w:pPr>
        <w:pStyle w:val="Listavistosa-nfasis1"/>
        <w:numPr>
          <w:ilvl w:val="0"/>
          <w:numId w:val="2"/>
        </w:numPr>
        <w:spacing w:after="0" w:line="240" w:lineRule="auto"/>
        <w:ind w:left="0" w:firstLine="0"/>
        <w:contextualSpacing w:val="0"/>
        <w:rPr>
          <w:sz w:val="20"/>
          <w:lang w:val="es-MX"/>
        </w:rPr>
      </w:pPr>
      <w:r>
        <w:rPr>
          <w:sz w:val="20"/>
          <w:lang w:val="es-MX"/>
        </w:rPr>
        <w:t>E</w:t>
      </w:r>
      <w:r w:rsidRPr="00BD6F58">
        <w:rPr>
          <w:sz w:val="20"/>
          <w:lang w:val="es-MX"/>
        </w:rPr>
        <w:t xml:space="preserve">n el punto </w:t>
      </w:r>
      <w:r w:rsidR="00C40928">
        <w:rPr>
          <w:sz w:val="20"/>
          <w:lang w:val="es-MX"/>
        </w:rPr>
        <w:t>resolutivo</w:t>
      </w:r>
      <w:r w:rsidRPr="00BD6F58">
        <w:rPr>
          <w:sz w:val="20"/>
          <w:lang w:val="es-MX"/>
        </w:rPr>
        <w:t xml:space="preserve"> </w:t>
      </w:r>
      <w:r w:rsidR="001716A7">
        <w:rPr>
          <w:sz w:val="20"/>
          <w:lang w:val="es-MX"/>
        </w:rPr>
        <w:t>décimo segundo</w:t>
      </w:r>
      <w:r w:rsidR="007C45D2">
        <w:rPr>
          <w:sz w:val="20"/>
          <w:lang w:val="es-MX"/>
        </w:rPr>
        <w:t xml:space="preserve"> y en el párrafo</w:t>
      </w:r>
      <w:r w:rsidRPr="00BD6F58">
        <w:rPr>
          <w:sz w:val="20"/>
          <w:lang w:val="es-MX"/>
        </w:rPr>
        <w:t xml:space="preserve"> </w:t>
      </w:r>
      <w:r w:rsidR="007C45D2">
        <w:rPr>
          <w:sz w:val="20"/>
          <w:lang w:val="es-MX"/>
        </w:rPr>
        <w:t>212</w:t>
      </w:r>
      <w:r w:rsidR="00C56276">
        <w:rPr>
          <w:sz w:val="20"/>
          <w:lang w:val="es-MX"/>
        </w:rPr>
        <w:t xml:space="preserve"> de la Sentencia, </w:t>
      </w:r>
      <w:r w:rsidR="00C14421">
        <w:rPr>
          <w:sz w:val="20"/>
          <w:lang w:val="es-MX"/>
        </w:rPr>
        <w:t>el Tribunal</w:t>
      </w:r>
      <w:r w:rsidR="00C56276">
        <w:rPr>
          <w:sz w:val="20"/>
          <w:lang w:val="es-MX"/>
        </w:rPr>
        <w:t xml:space="preserve"> </w:t>
      </w:r>
      <w:r w:rsidRPr="00BD6F58">
        <w:rPr>
          <w:sz w:val="20"/>
          <w:lang w:val="es-MX"/>
        </w:rPr>
        <w:t>dispuso que</w:t>
      </w:r>
      <w:r w:rsidR="007C45D2">
        <w:rPr>
          <w:sz w:val="20"/>
          <w:lang w:val="es-MX"/>
        </w:rPr>
        <w:t xml:space="preserve"> </w:t>
      </w:r>
      <w:r w:rsidR="007C45D2" w:rsidRPr="007C45D2">
        <w:rPr>
          <w:rFonts w:cs="Verdana"/>
          <w:sz w:val="20"/>
          <w:szCs w:val="20"/>
          <w:lang w:val="es-CO"/>
        </w:rPr>
        <w:t xml:space="preserve">el Estado </w:t>
      </w:r>
      <w:r w:rsidR="00C14421">
        <w:rPr>
          <w:rFonts w:cs="Verdana"/>
          <w:sz w:val="20"/>
          <w:szCs w:val="20"/>
          <w:lang w:val="es-CO"/>
        </w:rPr>
        <w:t>debía, en el plazo de un año contado a partir de la notificación de la Sentencia,</w:t>
      </w:r>
      <w:r w:rsidR="007C45D2">
        <w:rPr>
          <w:rFonts w:cs="Verdana"/>
          <w:sz w:val="20"/>
          <w:szCs w:val="20"/>
          <w:lang w:val="es-CO"/>
        </w:rPr>
        <w:t xml:space="preserve"> realizar </w:t>
      </w:r>
      <w:r w:rsidR="007C45D2" w:rsidRPr="007C45D2">
        <w:rPr>
          <w:rFonts w:cs="Verdana"/>
          <w:sz w:val="20"/>
          <w:szCs w:val="20"/>
          <w:lang w:val="es-CO"/>
        </w:rPr>
        <w:t>un acto público de reconocimiento de responsabilidad internacional en</w:t>
      </w:r>
      <w:r w:rsidR="007C45D2">
        <w:rPr>
          <w:rFonts w:cs="Verdana"/>
          <w:sz w:val="20"/>
          <w:szCs w:val="20"/>
          <w:lang w:val="es-CO"/>
        </w:rPr>
        <w:t xml:space="preserve"> </w:t>
      </w:r>
      <w:r w:rsidR="007C45D2" w:rsidRPr="007C45D2">
        <w:rPr>
          <w:rFonts w:cs="Verdana"/>
          <w:sz w:val="20"/>
          <w:szCs w:val="20"/>
          <w:lang w:val="es-CO"/>
        </w:rPr>
        <w:t>relación con los hechos del presente caso.</w:t>
      </w:r>
      <w:r w:rsidR="00C14421">
        <w:rPr>
          <w:rFonts w:cs="Verdana"/>
          <w:sz w:val="20"/>
          <w:szCs w:val="20"/>
          <w:lang w:val="es-CO"/>
        </w:rPr>
        <w:t xml:space="preserve"> Además,</w:t>
      </w:r>
      <w:r w:rsidR="007C45D2" w:rsidRPr="007C45D2">
        <w:rPr>
          <w:rFonts w:cs="Verdana"/>
          <w:sz w:val="20"/>
          <w:szCs w:val="20"/>
          <w:lang w:val="es-CO"/>
        </w:rPr>
        <w:t xml:space="preserve"> </w:t>
      </w:r>
      <w:r w:rsidR="00C14421">
        <w:rPr>
          <w:rFonts w:cs="Verdana"/>
          <w:sz w:val="20"/>
          <w:szCs w:val="20"/>
          <w:lang w:val="es-CO"/>
        </w:rPr>
        <w:t>la Corte indicó que, e</w:t>
      </w:r>
      <w:r w:rsidR="007C45D2" w:rsidRPr="007C45D2">
        <w:rPr>
          <w:rFonts w:cs="Verdana"/>
          <w:sz w:val="20"/>
          <w:szCs w:val="20"/>
          <w:lang w:val="es-CO"/>
        </w:rPr>
        <w:t>n dicho acto</w:t>
      </w:r>
      <w:r w:rsidR="00C14421">
        <w:rPr>
          <w:rFonts w:cs="Verdana"/>
          <w:sz w:val="20"/>
          <w:szCs w:val="20"/>
          <w:lang w:val="es-CO"/>
        </w:rPr>
        <w:t>, Colombia debía: i)</w:t>
      </w:r>
      <w:r w:rsidR="007C45D2" w:rsidRPr="007C45D2">
        <w:rPr>
          <w:rFonts w:cs="Verdana"/>
          <w:sz w:val="20"/>
          <w:szCs w:val="20"/>
          <w:lang w:val="es-CO"/>
        </w:rPr>
        <w:t xml:space="preserve"> hacer referencia a las</w:t>
      </w:r>
      <w:r w:rsidR="007C45D2">
        <w:rPr>
          <w:rFonts w:cs="Verdana"/>
          <w:sz w:val="20"/>
          <w:szCs w:val="20"/>
          <w:lang w:val="es-CO"/>
        </w:rPr>
        <w:t xml:space="preserve"> </w:t>
      </w:r>
      <w:r w:rsidR="007C45D2" w:rsidRPr="007C45D2">
        <w:rPr>
          <w:rFonts w:cs="Verdana"/>
          <w:sz w:val="20"/>
          <w:szCs w:val="20"/>
          <w:lang w:val="es-CO"/>
        </w:rPr>
        <w:t>violaciones de derechos h</w:t>
      </w:r>
      <w:r w:rsidR="00BE6569">
        <w:rPr>
          <w:rFonts w:cs="Verdana"/>
          <w:sz w:val="20"/>
          <w:szCs w:val="20"/>
          <w:lang w:val="es-CO"/>
        </w:rPr>
        <w:t>umanos declaradas en la</w:t>
      </w:r>
      <w:r w:rsidR="00C14421">
        <w:rPr>
          <w:rFonts w:cs="Verdana"/>
          <w:sz w:val="20"/>
          <w:szCs w:val="20"/>
          <w:lang w:val="es-CO"/>
        </w:rPr>
        <w:t xml:space="preserve"> Sentencia; ii) </w:t>
      </w:r>
      <w:r w:rsidR="0056454D">
        <w:rPr>
          <w:rFonts w:cs="Verdana"/>
          <w:sz w:val="20"/>
          <w:szCs w:val="20"/>
          <w:lang w:val="es-CO"/>
        </w:rPr>
        <w:t>llevarlo</w:t>
      </w:r>
      <w:r w:rsidR="007C45D2" w:rsidRPr="007C45D2">
        <w:rPr>
          <w:rFonts w:cs="Verdana"/>
          <w:sz w:val="20"/>
          <w:szCs w:val="20"/>
          <w:lang w:val="es-CO"/>
        </w:rPr>
        <w:t xml:space="preserve"> a cabo mediante una ceremonia pública en presencia de altos funcionarios</w:t>
      </w:r>
      <w:r w:rsidR="007C45D2">
        <w:rPr>
          <w:rFonts w:cs="Verdana"/>
          <w:sz w:val="20"/>
          <w:szCs w:val="20"/>
          <w:lang w:val="es-CO"/>
        </w:rPr>
        <w:t xml:space="preserve"> </w:t>
      </w:r>
      <w:r w:rsidR="00C14421">
        <w:rPr>
          <w:rFonts w:cs="Verdana"/>
          <w:sz w:val="20"/>
          <w:szCs w:val="20"/>
          <w:lang w:val="es-CO"/>
        </w:rPr>
        <w:t>del Estado y de las víctimas, y iii)</w:t>
      </w:r>
      <w:r w:rsidR="007C45D2" w:rsidRPr="007C45D2">
        <w:rPr>
          <w:rFonts w:cs="Verdana"/>
          <w:sz w:val="20"/>
          <w:szCs w:val="20"/>
          <w:lang w:val="es-CO"/>
        </w:rPr>
        <w:t xml:space="preserve"> acordar con las víctimas o sus representantes</w:t>
      </w:r>
      <w:r w:rsidR="007C45D2">
        <w:rPr>
          <w:rFonts w:cs="Verdana"/>
          <w:sz w:val="20"/>
          <w:szCs w:val="20"/>
          <w:lang w:val="es-CO"/>
        </w:rPr>
        <w:t xml:space="preserve"> </w:t>
      </w:r>
      <w:r w:rsidR="007C45D2" w:rsidRPr="007C45D2">
        <w:rPr>
          <w:rFonts w:cs="Verdana"/>
          <w:sz w:val="20"/>
          <w:szCs w:val="20"/>
          <w:lang w:val="es-CO"/>
        </w:rPr>
        <w:t>la modalidad de cumplimento del acto público de reconocimiento, así como las</w:t>
      </w:r>
      <w:r w:rsidR="007C45D2">
        <w:rPr>
          <w:rFonts w:cs="Verdana"/>
          <w:sz w:val="20"/>
          <w:szCs w:val="20"/>
          <w:lang w:val="es-CO"/>
        </w:rPr>
        <w:t xml:space="preserve"> </w:t>
      </w:r>
      <w:r w:rsidR="007C45D2" w:rsidRPr="007C45D2">
        <w:rPr>
          <w:rFonts w:cs="Verdana"/>
          <w:sz w:val="20"/>
          <w:szCs w:val="20"/>
          <w:lang w:val="es-CO"/>
        </w:rPr>
        <w:t xml:space="preserve">particularidades que se requieran, tales como el lugar y la fecha para su realización. </w:t>
      </w:r>
    </w:p>
    <w:p w:rsidR="00A06239" w:rsidRDefault="00A06239" w:rsidP="00037F40">
      <w:pPr>
        <w:pStyle w:val="Listavistosa-nfasis1"/>
        <w:spacing w:after="0" w:line="240" w:lineRule="auto"/>
        <w:ind w:left="0"/>
        <w:contextualSpacing w:val="0"/>
        <w:rPr>
          <w:i/>
          <w:sz w:val="20"/>
          <w:lang w:val="es-MX"/>
        </w:rPr>
      </w:pPr>
    </w:p>
    <w:p w:rsidR="006F0AF8" w:rsidRPr="006063C0" w:rsidRDefault="006F0AF8" w:rsidP="005B54DD">
      <w:pPr>
        <w:pStyle w:val="Listavistosa-nfasis1"/>
        <w:spacing w:after="0" w:line="240" w:lineRule="auto"/>
        <w:contextualSpacing w:val="0"/>
        <w:rPr>
          <w:i/>
          <w:sz w:val="20"/>
          <w:lang w:val="es-MX"/>
        </w:rPr>
      </w:pPr>
      <w:r>
        <w:rPr>
          <w:i/>
          <w:sz w:val="20"/>
          <w:lang w:val="es-MX"/>
        </w:rPr>
        <w:t>B</w:t>
      </w:r>
      <w:r w:rsidR="00BE6569">
        <w:rPr>
          <w:i/>
          <w:sz w:val="20"/>
          <w:lang w:val="es-MX"/>
        </w:rPr>
        <w:t>.2</w:t>
      </w:r>
      <w:r>
        <w:rPr>
          <w:i/>
          <w:sz w:val="20"/>
          <w:lang w:val="es-MX"/>
        </w:rPr>
        <w:t>.</w:t>
      </w:r>
      <w:r w:rsidRPr="006063C0">
        <w:rPr>
          <w:i/>
          <w:sz w:val="20"/>
          <w:lang w:val="es-MX"/>
        </w:rPr>
        <w:t xml:space="preserve"> Consideraciones de la Corte</w:t>
      </w:r>
    </w:p>
    <w:p w:rsidR="00A06239" w:rsidRPr="00A06239" w:rsidRDefault="00A06239" w:rsidP="00A06239">
      <w:pPr>
        <w:pStyle w:val="Listavistosa-nfasis1"/>
        <w:spacing w:after="0" w:line="240" w:lineRule="auto"/>
        <w:ind w:left="0"/>
        <w:contextualSpacing w:val="0"/>
        <w:rPr>
          <w:b/>
          <w:i/>
          <w:sz w:val="18"/>
          <w:szCs w:val="20"/>
          <w:lang w:val="es-MX"/>
        </w:rPr>
      </w:pPr>
    </w:p>
    <w:p w:rsidR="009E7A38" w:rsidRDefault="00C22BA2" w:rsidP="003571B8">
      <w:pPr>
        <w:pStyle w:val="Listavistosa-nfasis1"/>
        <w:numPr>
          <w:ilvl w:val="0"/>
          <w:numId w:val="2"/>
        </w:numPr>
        <w:spacing w:after="0" w:line="240" w:lineRule="auto"/>
        <w:ind w:left="0" w:firstLine="0"/>
        <w:contextualSpacing w:val="0"/>
        <w:rPr>
          <w:b/>
          <w:i/>
          <w:sz w:val="18"/>
          <w:szCs w:val="20"/>
          <w:lang w:val="es-MX"/>
        </w:rPr>
      </w:pPr>
      <w:r>
        <w:rPr>
          <w:sz w:val="20"/>
          <w:lang w:val="es-CO"/>
        </w:rPr>
        <w:t>Con base en lo informado por el Estado</w:t>
      </w:r>
      <w:r w:rsidR="0056454D">
        <w:rPr>
          <w:rStyle w:val="Refdenotaalpie"/>
          <w:sz w:val="20"/>
          <w:lang w:val="es-CO"/>
        </w:rPr>
        <w:footnoteReference w:id="18"/>
      </w:r>
      <w:r>
        <w:rPr>
          <w:sz w:val="20"/>
          <w:lang w:val="es-CO"/>
        </w:rPr>
        <w:t xml:space="preserve"> y confirmado por los representantes de las víctimas</w:t>
      </w:r>
      <w:r w:rsidR="0056454D">
        <w:rPr>
          <w:rStyle w:val="Refdenotaalpie"/>
          <w:sz w:val="20"/>
          <w:lang w:val="es-CO"/>
        </w:rPr>
        <w:footnoteReference w:id="19"/>
      </w:r>
      <w:r>
        <w:rPr>
          <w:sz w:val="20"/>
          <w:lang w:val="es-CO"/>
        </w:rPr>
        <w:t>, el</w:t>
      </w:r>
      <w:r w:rsidR="00E707E4">
        <w:rPr>
          <w:sz w:val="20"/>
          <w:lang w:val="es-CO"/>
        </w:rPr>
        <w:t xml:space="preserve"> 29 de marzo de 2019 se efectuó el acto público de reconocimiento de responsabilidad internacional “en la ciudad de Cartagena, en el marco de la reunión de medio año de la Sociedad Interamericana de Prensa”. El acto contó con la asistencia de </w:t>
      </w:r>
      <w:r w:rsidR="00A33283">
        <w:rPr>
          <w:sz w:val="20"/>
          <w:lang w:val="es-CO"/>
        </w:rPr>
        <w:t>numer</w:t>
      </w:r>
      <w:r w:rsidR="00D342C5">
        <w:rPr>
          <w:sz w:val="20"/>
          <w:lang w:val="es-CO"/>
        </w:rPr>
        <w:t>o</w:t>
      </w:r>
      <w:r w:rsidR="00A33283">
        <w:rPr>
          <w:sz w:val="20"/>
          <w:lang w:val="es-CO"/>
        </w:rPr>
        <w:t>sos</w:t>
      </w:r>
      <w:r w:rsidR="003571B8">
        <w:rPr>
          <w:sz w:val="20"/>
          <w:lang w:val="es-CO"/>
        </w:rPr>
        <w:t xml:space="preserve"> familiares del señor Nelson Carvajal</w:t>
      </w:r>
      <w:r w:rsidR="003571B8">
        <w:rPr>
          <w:rStyle w:val="Refdenotaalpie"/>
          <w:sz w:val="20"/>
          <w:lang w:val="es-CO"/>
        </w:rPr>
        <w:footnoteReference w:id="20"/>
      </w:r>
      <w:r w:rsidR="00CA5EBF">
        <w:rPr>
          <w:sz w:val="20"/>
          <w:lang w:val="es-CO"/>
        </w:rPr>
        <w:t>. Asimismo, en lo que respecta a autoridades estatales</w:t>
      </w:r>
      <w:r w:rsidR="00200873">
        <w:rPr>
          <w:sz w:val="20"/>
          <w:lang w:val="es-CO"/>
        </w:rPr>
        <w:t>,</w:t>
      </w:r>
      <w:r w:rsidR="00CA5EBF">
        <w:rPr>
          <w:sz w:val="20"/>
          <w:lang w:val="es-CO"/>
        </w:rPr>
        <w:t xml:space="preserve"> participaron </w:t>
      </w:r>
      <w:r w:rsidR="003571B8">
        <w:rPr>
          <w:sz w:val="20"/>
          <w:lang w:val="es-CO"/>
        </w:rPr>
        <w:t xml:space="preserve">el </w:t>
      </w:r>
      <w:r w:rsidR="00E707E4">
        <w:rPr>
          <w:sz w:val="20"/>
          <w:lang w:val="es-CO"/>
        </w:rPr>
        <w:t xml:space="preserve">Presidente de la República de Colombia, </w:t>
      </w:r>
      <w:r w:rsidR="003571B8">
        <w:rPr>
          <w:sz w:val="20"/>
          <w:lang w:val="es-CO"/>
        </w:rPr>
        <w:t>el Consejero Presidencial para los Derechos Humanos y Asuntos Internacionales</w:t>
      </w:r>
      <w:r w:rsidR="00200873">
        <w:rPr>
          <w:sz w:val="20"/>
          <w:lang w:val="es-CO"/>
        </w:rPr>
        <w:t xml:space="preserve"> y</w:t>
      </w:r>
      <w:r w:rsidR="003571B8">
        <w:rPr>
          <w:sz w:val="20"/>
          <w:lang w:val="es-CO"/>
        </w:rPr>
        <w:t xml:space="preserve"> la Viceministra de Asuntos Multilaterales del Ministerio de Relaciones Exteriores</w:t>
      </w:r>
      <w:r w:rsidR="00CA5EBF">
        <w:rPr>
          <w:sz w:val="20"/>
          <w:lang w:val="es-CO"/>
        </w:rPr>
        <w:t xml:space="preserve">. También asistieron el Relator Especial para la Libertad de Expresión de la Comisión Interamericana de Derechos Humanos, la Presidenta de la Sociedad Interamericana de Prensa, la Presidenta de la organización </w:t>
      </w:r>
      <w:r w:rsidR="00CA5EBF" w:rsidRPr="003F45EC">
        <w:rPr>
          <w:i/>
          <w:sz w:val="20"/>
          <w:lang w:val="es-CO"/>
        </w:rPr>
        <w:t>Robert F. Kennedy Human Rights</w:t>
      </w:r>
      <w:r w:rsidR="00CA5EBF">
        <w:rPr>
          <w:sz w:val="20"/>
          <w:lang w:val="es-CO"/>
        </w:rPr>
        <w:t>, así como</w:t>
      </w:r>
      <w:r w:rsidR="003571B8">
        <w:rPr>
          <w:sz w:val="20"/>
          <w:lang w:val="es-CO"/>
        </w:rPr>
        <w:t xml:space="preserve"> “periodistas y comunicadores sociales”.</w:t>
      </w:r>
    </w:p>
    <w:p w:rsidR="009E7A38" w:rsidRDefault="009E7A38" w:rsidP="009E7A38">
      <w:pPr>
        <w:pStyle w:val="Listavistosa-nfasis1"/>
        <w:spacing w:after="0" w:line="240" w:lineRule="auto"/>
        <w:ind w:left="0"/>
        <w:contextualSpacing w:val="0"/>
        <w:rPr>
          <w:b/>
          <w:i/>
          <w:sz w:val="18"/>
          <w:szCs w:val="20"/>
          <w:lang w:val="es-MX"/>
        </w:rPr>
      </w:pPr>
    </w:p>
    <w:p w:rsidR="00200873" w:rsidRPr="00E9164D" w:rsidRDefault="00580E15" w:rsidP="003571B8">
      <w:pPr>
        <w:pStyle w:val="Listavistosa-nfasis1"/>
        <w:numPr>
          <w:ilvl w:val="0"/>
          <w:numId w:val="2"/>
        </w:numPr>
        <w:spacing w:after="0" w:line="240" w:lineRule="auto"/>
        <w:ind w:left="0" w:firstLine="0"/>
        <w:contextualSpacing w:val="0"/>
        <w:rPr>
          <w:b/>
          <w:i/>
          <w:sz w:val="18"/>
          <w:szCs w:val="20"/>
          <w:lang w:val="es-MX"/>
        </w:rPr>
      </w:pPr>
      <w:r w:rsidRPr="009E7A38">
        <w:rPr>
          <w:sz w:val="20"/>
          <w:lang w:val="es-CO"/>
        </w:rPr>
        <w:t xml:space="preserve">Durante el acto, el Presidente de la República de Colombia expresó ante el público asistente, entre otros, que “venimos hoy como Gobierno Nacional […] a rendirle tributo a Nelson Carvajal”. Asimismo, el Consejero Presidencial para los Derechos </w:t>
      </w:r>
      <w:r w:rsidR="009C73D2" w:rsidRPr="009E7A38">
        <w:rPr>
          <w:sz w:val="20"/>
          <w:lang w:val="es-CO"/>
        </w:rPr>
        <w:t xml:space="preserve">Humanos </w:t>
      </w:r>
      <w:r w:rsidRPr="009E7A38">
        <w:rPr>
          <w:sz w:val="20"/>
          <w:lang w:val="es-CO"/>
        </w:rPr>
        <w:t>y Asuntos Internacionales “en nombre del Estado reconoció la responsabilidad de Colombia por la violación de los derechos del señor Nelson Carvajal y sus familiares</w:t>
      </w:r>
      <w:r w:rsidR="009C73D2" w:rsidRPr="009E7A38">
        <w:rPr>
          <w:sz w:val="20"/>
          <w:lang w:val="es-CO"/>
        </w:rPr>
        <w:t>”</w:t>
      </w:r>
      <w:r w:rsidR="002C2546" w:rsidRPr="009E7A38">
        <w:rPr>
          <w:sz w:val="20"/>
          <w:lang w:val="es-CO"/>
        </w:rPr>
        <w:t xml:space="preserve">, </w:t>
      </w:r>
      <w:r w:rsidR="009C73D2" w:rsidRPr="009E7A38">
        <w:rPr>
          <w:sz w:val="20"/>
          <w:lang w:val="es-CO"/>
        </w:rPr>
        <w:t>“pid</w:t>
      </w:r>
      <w:r w:rsidR="00200873">
        <w:rPr>
          <w:sz w:val="20"/>
          <w:lang w:val="es-CO"/>
        </w:rPr>
        <w:t>[</w:t>
      </w:r>
      <w:r w:rsidR="009C73D2" w:rsidRPr="009E7A38">
        <w:rPr>
          <w:sz w:val="20"/>
          <w:lang w:val="es-CO"/>
        </w:rPr>
        <w:t>ió</w:t>
      </w:r>
      <w:r w:rsidR="00200873">
        <w:rPr>
          <w:sz w:val="20"/>
          <w:lang w:val="es-CO"/>
        </w:rPr>
        <w:t>]</w:t>
      </w:r>
      <w:r w:rsidR="009C73D2" w:rsidRPr="009E7A38">
        <w:rPr>
          <w:sz w:val="20"/>
          <w:lang w:val="es-CO"/>
        </w:rPr>
        <w:t xml:space="preserve"> perdón” a los familiares ahí presentes</w:t>
      </w:r>
      <w:r w:rsidR="002C2546" w:rsidRPr="009E7A38">
        <w:rPr>
          <w:sz w:val="20"/>
          <w:lang w:val="es-CO"/>
        </w:rPr>
        <w:t xml:space="preserve"> </w:t>
      </w:r>
      <w:r w:rsidR="002C2546" w:rsidRPr="009E7A38">
        <w:rPr>
          <w:sz w:val="20"/>
          <w:szCs w:val="20"/>
          <w:lang w:val="es-CO"/>
        </w:rPr>
        <w:t>y manifestó el “</w:t>
      </w:r>
      <w:r w:rsidR="002C2546" w:rsidRPr="009E7A38">
        <w:rPr>
          <w:sz w:val="20"/>
          <w:szCs w:val="20"/>
          <w:lang w:val="es-MX"/>
        </w:rPr>
        <w:t>compromiso […] como Estado [de] continuar adelantando las acciones necesarias para lograr la sanción de los responsables”</w:t>
      </w:r>
      <w:r w:rsidR="009C73D2" w:rsidRPr="009E7A38">
        <w:rPr>
          <w:sz w:val="20"/>
          <w:szCs w:val="20"/>
          <w:lang w:val="es-CO"/>
        </w:rPr>
        <w:t xml:space="preserve">. </w:t>
      </w:r>
      <w:r w:rsidR="00D74E80" w:rsidRPr="009E7A38">
        <w:rPr>
          <w:sz w:val="20"/>
          <w:lang w:val="es-CO"/>
        </w:rPr>
        <w:t>En su discurso, además de hacer referencia a los hechos del caso</w:t>
      </w:r>
      <w:r w:rsidR="0087756E" w:rsidRPr="009E7A38">
        <w:rPr>
          <w:sz w:val="20"/>
          <w:lang w:val="es-CO"/>
        </w:rPr>
        <w:t>, el “contexto de violencia</w:t>
      </w:r>
      <w:r w:rsidR="00200873">
        <w:rPr>
          <w:sz w:val="20"/>
          <w:lang w:val="es-CO"/>
        </w:rPr>
        <w:t>,</w:t>
      </w:r>
      <w:r w:rsidR="0087756E" w:rsidRPr="009E7A38">
        <w:rPr>
          <w:sz w:val="20"/>
          <w:lang w:val="es-CO"/>
        </w:rPr>
        <w:t xml:space="preserve"> que, para la fecha de los hechos, se presentaba en Colombia</w:t>
      </w:r>
      <w:r w:rsidR="00200873">
        <w:rPr>
          <w:sz w:val="20"/>
          <w:lang w:val="es-CO"/>
        </w:rPr>
        <w:t xml:space="preserve"> […]</w:t>
      </w:r>
      <w:r w:rsidR="0087756E" w:rsidRPr="009E7A38">
        <w:rPr>
          <w:sz w:val="20"/>
          <w:lang w:val="es-CO"/>
        </w:rPr>
        <w:t xml:space="preserve"> contra los periodistas”</w:t>
      </w:r>
      <w:r w:rsidR="00D74E80" w:rsidRPr="009E7A38">
        <w:rPr>
          <w:sz w:val="20"/>
          <w:lang w:val="es-CO"/>
        </w:rPr>
        <w:t xml:space="preserve"> y </w:t>
      </w:r>
      <w:r w:rsidR="002E37EA" w:rsidRPr="009E7A38">
        <w:rPr>
          <w:sz w:val="20"/>
          <w:lang w:val="es-CO"/>
        </w:rPr>
        <w:t xml:space="preserve">las </w:t>
      </w:r>
      <w:r w:rsidR="00D74E80" w:rsidRPr="009E7A38">
        <w:rPr>
          <w:sz w:val="20"/>
          <w:lang w:val="es-CO"/>
        </w:rPr>
        <w:t>violaciones declaradas en la Sentencia</w:t>
      </w:r>
      <w:r w:rsidR="00E9164D">
        <w:rPr>
          <w:sz w:val="20"/>
          <w:lang w:val="es-CO"/>
        </w:rPr>
        <w:t>,</w:t>
      </w:r>
      <w:r w:rsidR="00D74E80" w:rsidRPr="009E7A38">
        <w:rPr>
          <w:sz w:val="20"/>
          <w:lang w:val="es-CO"/>
        </w:rPr>
        <w:t xml:space="preserve"> </w:t>
      </w:r>
      <w:r w:rsidR="00E9164D">
        <w:rPr>
          <w:sz w:val="20"/>
          <w:lang w:val="es-CO"/>
        </w:rPr>
        <w:t>e</w:t>
      </w:r>
      <w:r w:rsidR="00D74E80" w:rsidRPr="009E7A38">
        <w:rPr>
          <w:sz w:val="20"/>
          <w:lang w:val="es-CO"/>
        </w:rPr>
        <w:t xml:space="preserve">l referido Consejero Presidencial también </w:t>
      </w:r>
      <w:r w:rsidR="002E37EA" w:rsidRPr="009E7A38">
        <w:rPr>
          <w:sz w:val="20"/>
          <w:lang w:val="es-CO"/>
        </w:rPr>
        <w:t xml:space="preserve">reconoció </w:t>
      </w:r>
      <w:r w:rsidR="002E37EA" w:rsidRPr="009E7A38">
        <w:rPr>
          <w:sz w:val="20"/>
          <w:szCs w:val="20"/>
          <w:lang w:val="es-CO"/>
        </w:rPr>
        <w:t>“</w:t>
      </w:r>
      <w:r w:rsidR="002E37EA" w:rsidRPr="009E7A38">
        <w:rPr>
          <w:sz w:val="20"/>
          <w:szCs w:val="20"/>
          <w:lang w:val="es-MX"/>
        </w:rPr>
        <w:t>la labor emprendida por todos aquellos periodistas y comunicadores, que con tenacidad, valentía y firmeza ejercen su labor, y contribuyen en la promoción y defensa de los derechos de la sociedad”. Asimismo, destacó</w:t>
      </w:r>
      <w:r w:rsidR="00C40928">
        <w:rPr>
          <w:sz w:val="20"/>
          <w:lang w:val="es-CO"/>
        </w:rPr>
        <w:t xml:space="preserve"> la </w:t>
      </w:r>
      <w:r w:rsidR="00D74E80" w:rsidRPr="009E7A38">
        <w:rPr>
          <w:sz w:val="20"/>
          <w:lang w:val="es-CO"/>
        </w:rPr>
        <w:t>labor que el señor Nelson Carvajal realizó “en sus diferentes facetas profesionales” para “la construcción de un mejor país”</w:t>
      </w:r>
      <w:r w:rsidR="00200873">
        <w:rPr>
          <w:sz w:val="20"/>
          <w:lang w:val="es-CO"/>
        </w:rPr>
        <w:t>.</w:t>
      </w:r>
    </w:p>
    <w:p w:rsidR="0087756E" w:rsidRPr="009E7A38" w:rsidRDefault="0087756E" w:rsidP="00E9164D">
      <w:pPr>
        <w:pStyle w:val="Listavistosa-nfasis1"/>
        <w:spacing w:after="0" w:line="240" w:lineRule="auto"/>
        <w:ind w:left="0"/>
        <w:contextualSpacing w:val="0"/>
        <w:rPr>
          <w:b/>
          <w:i/>
          <w:sz w:val="18"/>
          <w:szCs w:val="20"/>
          <w:lang w:val="es-MX"/>
        </w:rPr>
      </w:pPr>
    </w:p>
    <w:p w:rsidR="002E37EA" w:rsidRPr="002E37EA" w:rsidRDefault="002E37EA" w:rsidP="005B54DD">
      <w:pPr>
        <w:pStyle w:val="Listavistosa-nfasis1"/>
        <w:numPr>
          <w:ilvl w:val="0"/>
          <w:numId w:val="2"/>
        </w:numPr>
        <w:spacing w:after="0" w:line="240" w:lineRule="auto"/>
        <w:ind w:left="0" w:firstLine="0"/>
        <w:contextualSpacing w:val="0"/>
        <w:rPr>
          <w:b/>
          <w:i/>
          <w:sz w:val="20"/>
          <w:szCs w:val="20"/>
          <w:lang w:val="es-MX"/>
        </w:rPr>
      </w:pPr>
      <w:r w:rsidRPr="002E37EA">
        <w:rPr>
          <w:sz w:val="20"/>
          <w:szCs w:val="20"/>
          <w:lang w:val="es-MX"/>
        </w:rPr>
        <w:t xml:space="preserve">Al respecto, </w:t>
      </w:r>
      <w:r>
        <w:rPr>
          <w:sz w:val="20"/>
          <w:szCs w:val="20"/>
          <w:lang w:val="es-MX"/>
        </w:rPr>
        <w:t xml:space="preserve">los representantes </w:t>
      </w:r>
      <w:r w:rsidR="007D07EE">
        <w:rPr>
          <w:sz w:val="20"/>
          <w:szCs w:val="20"/>
          <w:lang w:val="es-MX"/>
        </w:rPr>
        <w:t xml:space="preserve">resaltaron que </w:t>
      </w:r>
      <w:r w:rsidR="00FE0C9E">
        <w:rPr>
          <w:sz w:val="20"/>
          <w:szCs w:val="20"/>
          <w:lang w:val="es-MX"/>
        </w:rPr>
        <w:t xml:space="preserve">“[e]l Estado organizó y administró los fondos para el traslado de las víctimas desde el exterior y de varias ciudades de Colombia, así como para su estadía en el hotel sede de la reunión de la [Sociedad Interamericana de Prensa]”. Asimismo, destacaron que </w:t>
      </w:r>
      <w:r w:rsidR="007D07EE">
        <w:rPr>
          <w:sz w:val="20"/>
          <w:szCs w:val="20"/>
          <w:lang w:val="es-MX"/>
        </w:rPr>
        <w:t>la “celebración de la ceremonia de desagravio […] representó un hito histórico en el caso”</w:t>
      </w:r>
      <w:r w:rsidR="00FE0C9E">
        <w:rPr>
          <w:sz w:val="20"/>
          <w:szCs w:val="20"/>
          <w:lang w:val="es-MX"/>
        </w:rPr>
        <w:t xml:space="preserve"> y, por tanto, expresaron su “</w:t>
      </w:r>
      <w:r w:rsidR="00380681">
        <w:rPr>
          <w:sz w:val="20"/>
          <w:szCs w:val="20"/>
          <w:lang w:val="es-MX"/>
        </w:rPr>
        <w:t>reconoc</w:t>
      </w:r>
      <w:r w:rsidR="00FE0C9E">
        <w:rPr>
          <w:sz w:val="20"/>
          <w:szCs w:val="20"/>
          <w:lang w:val="es-MX"/>
        </w:rPr>
        <w:t>[imiento]</w:t>
      </w:r>
      <w:r w:rsidR="00380681">
        <w:rPr>
          <w:sz w:val="20"/>
          <w:szCs w:val="20"/>
          <w:lang w:val="es-MX"/>
        </w:rPr>
        <w:t xml:space="preserve"> al Estado por el cumplimiento de esta medida de reparación y su significancia para la familia”</w:t>
      </w:r>
      <w:r w:rsidR="00380681">
        <w:rPr>
          <w:rStyle w:val="Refdenotaalpie"/>
          <w:sz w:val="20"/>
          <w:szCs w:val="20"/>
          <w:lang w:val="es-MX"/>
        </w:rPr>
        <w:footnoteReference w:id="21"/>
      </w:r>
      <w:r w:rsidR="00380681">
        <w:rPr>
          <w:sz w:val="20"/>
          <w:szCs w:val="20"/>
          <w:lang w:val="es-MX"/>
        </w:rPr>
        <w:t xml:space="preserve">. </w:t>
      </w:r>
    </w:p>
    <w:p w:rsidR="002E37EA" w:rsidRPr="002E37EA" w:rsidRDefault="002E37EA" w:rsidP="002E37EA">
      <w:pPr>
        <w:pStyle w:val="Listavistosa-nfasis1"/>
        <w:spacing w:after="0" w:line="240" w:lineRule="auto"/>
        <w:ind w:left="0"/>
        <w:contextualSpacing w:val="0"/>
        <w:rPr>
          <w:b/>
          <w:i/>
          <w:sz w:val="20"/>
          <w:szCs w:val="20"/>
          <w:lang w:val="es-MX"/>
        </w:rPr>
      </w:pPr>
    </w:p>
    <w:p w:rsidR="008070CE" w:rsidRPr="008070CE" w:rsidRDefault="00030673" w:rsidP="005B54DD">
      <w:pPr>
        <w:pStyle w:val="Listavistosa-nfasis1"/>
        <w:numPr>
          <w:ilvl w:val="0"/>
          <w:numId w:val="2"/>
        </w:numPr>
        <w:spacing w:after="0" w:line="240" w:lineRule="auto"/>
        <w:ind w:left="0" w:firstLine="0"/>
        <w:contextualSpacing w:val="0"/>
        <w:rPr>
          <w:b/>
          <w:i/>
          <w:sz w:val="18"/>
          <w:szCs w:val="20"/>
          <w:lang w:val="es-MX"/>
        </w:rPr>
      </w:pPr>
      <w:r>
        <w:rPr>
          <w:sz w:val="20"/>
          <w:szCs w:val="20"/>
          <w:lang w:val="es-CO"/>
        </w:rPr>
        <w:t>La Corte valora positivamente qu</w:t>
      </w:r>
      <w:r w:rsidR="008070CE">
        <w:rPr>
          <w:sz w:val="20"/>
          <w:szCs w:val="20"/>
          <w:lang w:val="es-CO"/>
        </w:rPr>
        <w:t>e la present</w:t>
      </w:r>
      <w:r w:rsidR="002C2546">
        <w:rPr>
          <w:sz w:val="20"/>
          <w:szCs w:val="20"/>
          <w:lang w:val="es-CO"/>
        </w:rPr>
        <w:t>e</w:t>
      </w:r>
      <w:r w:rsidR="008070CE">
        <w:rPr>
          <w:sz w:val="20"/>
          <w:szCs w:val="20"/>
          <w:lang w:val="es-CO"/>
        </w:rPr>
        <w:t xml:space="preserve"> medida de satisfacción se haya ejecutado dentro del plazo establecido en la Sentencia, mediante una concertación entre el Estado y los representantes de las víctimas, así como que haya sido posible que el acto de responsabilidad internacional haya contado con una numerosa presencia de las víctimas</w:t>
      </w:r>
      <w:r w:rsidR="00D82F7F">
        <w:rPr>
          <w:sz w:val="20"/>
          <w:szCs w:val="20"/>
          <w:lang w:val="es-CO"/>
        </w:rPr>
        <w:t xml:space="preserve">, sus </w:t>
      </w:r>
      <w:r w:rsidR="00CA6C7F">
        <w:rPr>
          <w:sz w:val="20"/>
          <w:szCs w:val="20"/>
          <w:lang w:val="es-CO"/>
        </w:rPr>
        <w:t>familiares</w:t>
      </w:r>
      <w:r w:rsidR="00D82F7F">
        <w:rPr>
          <w:sz w:val="20"/>
          <w:szCs w:val="20"/>
          <w:lang w:val="es-CO"/>
        </w:rPr>
        <w:t xml:space="preserve"> y</w:t>
      </w:r>
      <w:r w:rsidR="00CA6C7F">
        <w:rPr>
          <w:sz w:val="20"/>
          <w:szCs w:val="20"/>
          <w:lang w:val="es-CO"/>
        </w:rPr>
        <w:t xml:space="preserve"> </w:t>
      </w:r>
      <w:r w:rsidR="008070CE">
        <w:rPr>
          <w:sz w:val="20"/>
          <w:szCs w:val="20"/>
          <w:lang w:val="es-CO"/>
        </w:rPr>
        <w:t>con la asistencia del Presidente de la República, entre otras altas autoridades del Estado. El Tribunal también valora positivamente que el referido acto se haya realizado en un evento particularmente significativ</w:t>
      </w:r>
      <w:r w:rsidR="00D82F7F">
        <w:rPr>
          <w:sz w:val="20"/>
          <w:szCs w:val="20"/>
          <w:lang w:val="es-CO"/>
        </w:rPr>
        <w:t>o en el marco del presente caso</w:t>
      </w:r>
      <w:r w:rsidR="0083056F">
        <w:rPr>
          <w:sz w:val="20"/>
          <w:szCs w:val="20"/>
          <w:lang w:val="es-CO"/>
        </w:rPr>
        <w:t>, además de</w:t>
      </w:r>
      <w:r w:rsidR="008070CE">
        <w:rPr>
          <w:sz w:val="20"/>
          <w:lang w:val="es-CO"/>
        </w:rPr>
        <w:t xml:space="preserve"> que haya contado con la participación de representantes de instituciones internacionales y de la sociedad civil que trabajan en materia de libertad de expresión.</w:t>
      </w:r>
      <w:r>
        <w:rPr>
          <w:sz w:val="20"/>
          <w:szCs w:val="20"/>
          <w:lang w:val="es-CO"/>
        </w:rPr>
        <w:t xml:space="preserve"> </w:t>
      </w:r>
    </w:p>
    <w:p w:rsidR="008070CE" w:rsidRPr="008070CE" w:rsidRDefault="008070CE" w:rsidP="008070CE">
      <w:pPr>
        <w:pStyle w:val="Listavistosa-nfasis1"/>
        <w:spacing w:after="0" w:line="240" w:lineRule="auto"/>
        <w:ind w:left="0"/>
        <w:contextualSpacing w:val="0"/>
        <w:rPr>
          <w:b/>
          <w:sz w:val="18"/>
          <w:szCs w:val="20"/>
          <w:lang w:val="es-MX"/>
        </w:rPr>
      </w:pPr>
    </w:p>
    <w:p w:rsidR="00404451" w:rsidRPr="001716A7" w:rsidRDefault="00404451" w:rsidP="005B54DD">
      <w:pPr>
        <w:pStyle w:val="Listavistosa-nfasis1"/>
        <w:numPr>
          <w:ilvl w:val="0"/>
          <w:numId w:val="2"/>
        </w:numPr>
        <w:spacing w:after="0" w:line="240" w:lineRule="auto"/>
        <w:ind w:left="0" w:firstLine="0"/>
        <w:contextualSpacing w:val="0"/>
        <w:rPr>
          <w:b/>
          <w:i/>
          <w:sz w:val="18"/>
          <w:szCs w:val="20"/>
          <w:lang w:val="es-MX"/>
        </w:rPr>
      </w:pPr>
      <w:r w:rsidRPr="002E37EA">
        <w:rPr>
          <w:sz w:val="20"/>
          <w:szCs w:val="20"/>
          <w:lang w:val="es-CO"/>
        </w:rPr>
        <w:t>Por todo</w:t>
      </w:r>
      <w:r w:rsidRPr="00404451">
        <w:rPr>
          <w:sz w:val="20"/>
          <w:lang w:val="es-CO"/>
        </w:rPr>
        <w:t xml:space="preserve"> lo anterior, la Corte considera que el Estado ha dado cumplimiento a la medida de reparación relativa a realizar un acto público de reconocimiento de responsabilidad internacional, según fue ordenada</w:t>
      </w:r>
      <w:r w:rsidR="002E4D25">
        <w:rPr>
          <w:sz w:val="20"/>
          <w:lang w:val="es-CO"/>
        </w:rPr>
        <w:t xml:space="preserve"> en el punto </w:t>
      </w:r>
      <w:r w:rsidR="00C40928">
        <w:rPr>
          <w:sz w:val="20"/>
          <w:lang w:val="es-CO"/>
        </w:rPr>
        <w:t>resolutivo</w:t>
      </w:r>
      <w:r w:rsidR="002E4D25">
        <w:rPr>
          <w:sz w:val="20"/>
          <w:lang w:val="es-CO"/>
        </w:rPr>
        <w:t xml:space="preserve"> </w:t>
      </w:r>
      <w:r w:rsidR="008070CE">
        <w:rPr>
          <w:sz w:val="20"/>
          <w:lang w:val="es-CO"/>
        </w:rPr>
        <w:t>décimo segundo de la S</w:t>
      </w:r>
      <w:r w:rsidR="002E4D25">
        <w:rPr>
          <w:sz w:val="20"/>
          <w:lang w:val="es-CO"/>
        </w:rPr>
        <w:t>entencia.</w:t>
      </w:r>
    </w:p>
    <w:p w:rsidR="001716A7" w:rsidRDefault="001716A7" w:rsidP="005B54DD">
      <w:pPr>
        <w:pStyle w:val="Listavistosa-nfasis1"/>
        <w:spacing w:after="0" w:line="240" w:lineRule="auto"/>
        <w:contextualSpacing w:val="0"/>
        <w:rPr>
          <w:b/>
          <w:i/>
          <w:sz w:val="18"/>
          <w:szCs w:val="20"/>
          <w:lang w:val="es-MX"/>
        </w:rPr>
      </w:pPr>
    </w:p>
    <w:p w:rsidR="001716A7" w:rsidRPr="00F1350B" w:rsidRDefault="00F0121E" w:rsidP="005B54DD">
      <w:pPr>
        <w:pStyle w:val="Listavistosa-nfasis1"/>
        <w:numPr>
          <w:ilvl w:val="0"/>
          <w:numId w:val="9"/>
        </w:numPr>
        <w:spacing w:after="0" w:line="240" w:lineRule="auto"/>
        <w:contextualSpacing w:val="0"/>
        <w:outlineLvl w:val="0"/>
        <w:rPr>
          <w:b/>
          <w:i/>
          <w:sz w:val="20"/>
          <w:lang w:val="es-MX"/>
        </w:rPr>
      </w:pPr>
      <w:bookmarkStart w:id="3" w:name="_Toc19780956"/>
      <w:r w:rsidRPr="00F1350B">
        <w:rPr>
          <w:rStyle w:val="Ttulo1Car"/>
          <w:i/>
          <w:sz w:val="20"/>
          <w:szCs w:val="20"/>
        </w:rPr>
        <w:t>Garantizar las</w:t>
      </w:r>
      <w:r w:rsidR="001716A7" w:rsidRPr="00F1350B">
        <w:rPr>
          <w:rStyle w:val="Ttulo1Car"/>
          <w:i/>
          <w:sz w:val="20"/>
          <w:szCs w:val="20"/>
        </w:rPr>
        <w:t xml:space="preserve"> condiciones de seguridad para el retorno de familiares al país</w:t>
      </w:r>
      <w:bookmarkEnd w:id="3"/>
    </w:p>
    <w:p w:rsidR="00A06239" w:rsidRDefault="00A06239" w:rsidP="005B54DD">
      <w:pPr>
        <w:pStyle w:val="Listavistosa-nfasis1"/>
        <w:spacing w:after="0" w:line="240" w:lineRule="auto"/>
        <w:contextualSpacing w:val="0"/>
        <w:rPr>
          <w:i/>
          <w:sz w:val="20"/>
          <w:lang w:val="es-MX"/>
        </w:rPr>
      </w:pPr>
    </w:p>
    <w:p w:rsidR="001716A7" w:rsidRPr="001716A7" w:rsidRDefault="001716A7" w:rsidP="00A03C52">
      <w:pPr>
        <w:pStyle w:val="Listavistosa-nfasis1"/>
        <w:spacing w:after="0" w:line="240" w:lineRule="auto"/>
        <w:ind w:left="0" w:firstLine="644"/>
        <w:contextualSpacing w:val="0"/>
        <w:rPr>
          <w:i/>
          <w:sz w:val="20"/>
          <w:lang w:val="es-MX"/>
        </w:rPr>
      </w:pPr>
      <w:r>
        <w:rPr>
          <w:i/>
          <w:sz w:val="20"/>
          <w:lang w:val="es-MX"/>
        </w:rPr>
        <w:t>C</w:t>
      </w:r>
      <w:r w:rsidRPr="000121ED">
        <w:rPr>
          <w:i/>
          <w:sz w:val="20"/>
          <w:lang w:val="es-MX"/>
        </w:rPr>
        <w:t xml:space="preserve">.1. Medida ordenada por la Corte </w:t>
      </w:r>
    </w:p>
    <w:p w:rsidR="00A06239" w:rsidRDefault="00A06239" w:rsidP="00A06239">
      <w:pPr>
        <w:pStyle w:val="Listavistosa-nfasis1"/>
        <w:spacing w:after="0" w:line="240" w:lineRule="auto"/>
        <w:ind w:left="0"/>
        <w:contextualSpacing w:val="0"/>
        <w:rPr>
          <w:sz w:val="20"/>
          <w:lang w:val="es-CO"/>
        </w:rPr>
      </w:pPr>
    </w:p>
    <w:p w:rsidR="00F0121E" w:rsidRPr="00F0121E" w:rsidRDefault="006F0AF8" w:rsidP="00F0121E">
      <w:pPr>
        <w:pStyle w:val="Listavistosa-nfasis1"/>
        <w:numPr>
          <w:ilvl w:val="0"/>
          <w:numId w:val="2"/>
        </w:numPr>
        <w:spacing w:after="0" w:line="240" w:lineRule="auto"/>
        <w:ind w:left="0" w:firstLine="0"/>
        <w:contextualSpacing w:val="0"/>
        <w:rPr>
          <w:sz w:val="20"/>
          <w:lang w:val="es-CO"/>
        </w:rPr>
      </w:pPr>
      <w:r w:rsidRPr="00C56276">
        <w:rPr>
          <w:sz w:val="20"/>
          <w:lang w:val="es-CO"/>
        </w:rPr>
        <w:t xml:space="preserve">En el punto </w:t>
      </w:r>
      <w:r w:rsidR="00C40928">
        <w:rPr>
          <w:sz w:val="20"/>
          <w:lang w:val="es-CO"/>
        </w:rPr>
        <w:t>resolutivo</w:t>
      </w:r>
      <w:r w:rsidRPr="00C56276">
        <w:rPr>
          <w:sz w:val="20"/>
          <w:lang w:val="es-CO"/>
        </w:rPr>
        <w:t xml:space="preserve"> </w:t>
      </w:r>
      <w:r w:rsidR="001716A7" w:rsidRPr="00C56276">
        <w:rPr>
          <w:sz w:val="20"/>
          <w:lang w:val="es-CO"/>
        </w:rPr>
        <w:t>décimo tercero y en el párrafo</w:t>
      </w:r>
      <w:r w:rsidRPr="00C56276">
        <w:rPr>
          <w:sz w:val="20"/>
          <w:lang w:val="es-CO"/>
        </w:rPr>
        <w:t xml:space="preserve"> </w:t>
      </w:r>
      <w:r w:rsidR="00035F27" w:rsidRPr="00C56276">
        <w:rPr>
          <w:sz w:val="20"/>
          <w:lang w:val="es-CO"/>
        </w:rPr>
        <w:t>215</w:t>
      </w:r>
      <w:r w:rsidR="00C56276" w:rsidRPr="00C56276">
        <w:rPr>
          <w:sz w:val="20"/>
          <w:lang w:val="es-CO"/>
        </w:rPr>
        <w:t xml:space="preserve"> de la Sentencia, la Corte </w:t>
      </w:r>
      <w:r w:rsidRPr="00C56276">
        <w:rPr>
          <w:sz w:val="20"/>
          <w:lang w:val="es-CO"/>
        </w:rPr>
        <w:t xml:space="preserve">dispuso que </w:t>
      </w:r>
      <w:r w:rsidR="00F0121E" w:rsidRPr="00F0121E">
        <w:rPr>
          <w:sz w:val="20"/>
          <w:szCs w:val="20"/>
          <w:lang w:val="es-CR"/>
        </w:rPr>
        <w:t xml:space="preserve">el Estado </w:t>
      </w:r>
      <w:r w:rsidR="009F4DBF">
        <w:rPr>
          <w:sz w:val="20"/>
          <w:szCs w:val="20"/>
          <w:lang w:val="es-CR"/>
        </w:rPr>
        <w:t>debía</w:t>
      </w:r>
      <w:r w:rsidR="00F0121E" w:rsidRPr="00F0121E">
        <w:rPr>
          <w:sz w:val="20"/>
          <w:szCs w:val="20"/>
          <w:lang w:val="es-CR"/>
        </w:rPr>
        <w:t xml:space="preserve"> garantizar las condiciones de seguridad adecuadas para que los familiares de Nelson Carvajal que se </w:t>
      </w:r>
      <w:r w:rsidR="004A3775">
        <w:rPr>
          <w:sz w:val="20"/>
          <w:szCs w:val="20"/>
          <w:lang w:val="es-CR"/>
        </w:rPr>
        <w:t>encontraban</w:t>
      </w:r>
      <w:r w:rsidR="00F0121E" w:rsidRPr="00F0121E">
        <w:rPr>
          <w:sz w:val="20"/>
          <w:szCs w:val="20"/>
          <w:lang w:val="es-CR"/>
        </w:rPr>
        <w:t xml:space="preserve"> en situación de desplazamiento y </w:t>
      </w:r>
      <w:r w:rsidR="004A3775">
        <w:rPr>
          <w:sz w:val="20"/>
          <w:szCs w:val="20"/>
          <w:lang w:val="es-CR"/>
        </w:rPr>
        <w:t>eran</w:t>
      </w:r>
      <w:r w:rsidR="00F0121E" w:rsidRPr="00F0121E">
        <w:rPr>
          <w:sz w:val="20"/>
          <w:szCs w:val="20"/>
          <w:lang w:val="es-CR"/>
        </w:rPr>
        <w:t xml:space="preserve"> víctimas del presente caso </w:t>
      </w:r>
      <w:r w:rsidR="004A3775">
        <w:rPr>
          <w:sz w:val="20"/>
          <w:szCs w:val="20"/>
          <w:lang w:val="es-CR"/>
        </w:rPr>
        <w:t>pudieran</w:t>
      </w:r>
      <w:r w:rsidR="00F0121E" w:rsidRPr="00F0121E">
        <w:rPr>
          <w:sz w:val="20"/>
          <w:szCs w:val="20"/>
          <w:lang w:val="es-CR"/>
        </w:rPr>
        <w:t xml:space="preserve"> retornar a sus lugares de residencia, de ser el caso y si así lo desea</w:t>
      </w:r>
      <w:r w:rsidR="004A3775">
        <w:rPr>
          <w:sz w:val="20"/>
          <w:szCs w:val="20"/>
          <w:lang w:val="es-CR"/>
        </w:rPr>
        <w:t>ra</w:t>
      </w:r>
      <w:r w:rsidR="00F0121E" w:rsidRPr="00F0121E">
        <w:rPr>
          <w:sz w:val="20"/>
          <w:szCs w:val="20"/>
          <w:lang w:val="es-CR"/>
        </w:rPr>
        <w:t>n, sin que ello represent</w:t>
      </w:r>
      <w:r w:rsidR="004A3775">
        <w:rPr>
          <w:sz w:val="20"/>
          <w:szCs w:val="20"/>
          <w:lang w:val="es-CR"/>
        </w:rPr>
        <w:t>ara</w:t>
      </w:r>
      <w:r w:rsidR="00F0121E" w:rsidRPr="00F0121E">
        <w:rPr>
          <w:sz w:val="20"/>
          <w:szCs w:val="20"/>
          <w:lang w:val="es-CR"/>
        </w:rPr>
        <w:t xml:space="preserve"> un gasto adicional para los beneficiarios de la presente medida.</w:t>
      </w:r>
      <w:r w:rsidR="00F0121E">
        <w:rPr>
          <w:sz w:val="20"/>
          <w:szCs w:val="20"/>
          <w:lang w:val="es-CR"/>
        </w:rPr>
        <w:t xml:space="preserve"> </w:t>
      </w:r>
      <w:r w:rsidR="00C40928">
        <w:rPr>
          <w:sz w:val="20"/>
          <w:szCs w:val="20"/>
          <w:lang w:val="es-CR"/>
        </w:rPr>
        <w:t>Esta</w:t>
      </w:r>
      <w:r w:rsidR="00C40928">
        <w:rPr>
          <w:sz w:val="20"/>
          <w:szCs w:val="20"/>
          <w:lang w:val="es-CO"/>
        </w:rPr>
        <w:t xml:space="preserve"> medida de restitución fue ordenada debido a que encontró que el Estado era responsable por la violación a los derechos de circulación y residencia “en perjuicio de nueve familiares de Nelson Carvajal que tuvieron que emigrar fuera de territorio colombiano debido a su situación de seguridad”</w:t>
      </w:r>
      <w:r w:rsidR="00C40928">
        <w:rPr>
          <w:rStyle w:val="Refdenotaalpie"/>
          <w:sz w:val="20"/>
          <w:szCs w:val="20"/>
          <w:lang w:val="es-CO"/>
        </w:rPr>
        <w:footnoteReference w:id="22"/>
      </w:r>
      <w:r w:rsidR="00C40928">
        <w:rPr>
          <w:sz w:val="20"/>
          <w:szCs w:val="20"/>
          <w:lang w:val="es-CO"/>
        </w:rPr>
        <w:t xml:space="preserve">. </w:t>
      </w:r>
      <w:r w:rsidR="00C40928">
        <w:rPr>
          <w:sz w:val="20"/>
          <w:szCs w:val="20"/>
          <w:lang w:val="es-CR"/>
        </w:rPr>
        <w:t xml:space="preserve">El Tribunal </w:t>
      </w:r>
      <w:r w:rsidR="00F0121E">
        <w:rPr>
          <w:sz w:val="20"/>
          <w:szCs w:val="20"/>
          <w:lang w:val="es-CR"/>
        </w:rPr>
        <w:t>estableció que</w:t>
      </w:r>
      <w:r w:rsidR="00F0121E" w:rsidRPr="00F0121E">
        <w:rPr>
          <w:sz w:val="20"/>
          <w:szCs w:val="20"/>
          <w:lang w:val="es-CR"/>
        </w:rPr>
        <w:t xml:space="preserve"> </w:t>
      </w:r>
      <w:r w:rsidR="00F0121E">
        <w:rPr>
          <w:sz w:val="20"/>
          <w:szCs w:val="20"/>
          <w:lang w:val="es-CR"/>
        </w:rPr>
        <w:t>d</w:t>
      </w:r>
      <w:r w:rsidR="00F0121E" w:rsidRPr="00F0121E">
        <w:rPr>
          <w:sz w:val="20"/>
          <w:szCs w:val="20"/>
          <w:lang w:val="es-CR"/>
        </w:rPr>
        <w:t xml:space="preserve">ichas personas </w:t>
      </w:r>
      <w:r w:rsidR="009F4DBF">
        <w:rPr>
          <w:sz w:val="20"/>
          <w:szCs w:val="20"/>
          <w:lang w:val="es-CR"/>
        </w:rPr>
        <w:t>contaban</w:t>
      </w:r>
      <w:r w:rsidR="00F0121E" w:rsidRPr="00F0121E">
        <w:rPr>
          <w:sz w:val="20"/>
          <w:szCs w:val="20"/>
          <w:lang w:val="es-CR"/>
        </w:rPr>
        <w:t xml:space="preserve"> con un plazo de un año, contado a partir de la notificación de la Sentencia, para dar a conocer al Estado su intención de retornar. </w:t>
      </w:r>
      <w:r w:rsidR="00C40928">
        <w:rPr>
          <w:sz w:val="20"/>
          <w:szCs w:val="20"/>
          <w:lang w:val="es-CR"/>
        </w:rPr>
        <w:t xml:space="preserve">La Corte </w:t>
      </w:r>
      <w:r w:rsidR="009F4DBF">
        <w:rPr>
          <w:sz w:val="20"/>
          <w:szCs w:val="20"/>
          <w:lang w:val="es-CR"/>
        </w:rPr>
        <w:t>señaló que s</w:t>
      </w:r>
      <w:r w:rsidR="009F4DBF" w:rsidRPr="00F0121E">
        <w:rPr>
          <w:sz w:val="20"/>
          <w:szCs w:val="20"/>
          <w:lang w:val="es-CR"/>
        </w:rPr>
        <w:t xml:space="preserve">i dentro de </w:t>
      </w:r>
      <w:r w:rsidR="009F4DBF">
        <w:rPr>
          <w:sz w:val="20"/>
          <w:szCs w:val="20"/>
          <w:lang w:val="es-CR"/>
        </w:rPr>
        <w:t>dicho</w:t>
      </w:r>
      <w:r w:rsidR="009F4DBF" w:rsidRPr="00F0121E">
        <w:rPr>
          <w:sz w:val="20"/>
          <w:szCs w:val="20"/>
          <w:lang w:val="es-CR"/>
        </w:rPr>
        <w:t xml:space="preserve"> plazo las víctimas </w:t>
      </w:r>
      <w:r w:rsidR="009F4DBF">
        <w:rPr>
          <w:sz w:val="20"/>
          <w:szCs w:val="20"/>
          <w:lang w:val="es-CR"/>
        </w:rPr>
        <w:t>manifestaban</w:t>
      </w:r>
      <w:r w:rsidR="009F4DBF" w:rsidRPr="00F0121E">
        <w:rPr>
          <w:sz w:val="20"/>
          <w:szCs w:val="20"/>
          <w:lang w:val="es-CR"/>
        </w:rPr>
        <w:t xml:space="preserve"> su voluntad de volv</w:t>
      </w:r>
      <w:r w:rsidR="009F4DBF">
        <w:rPr>
          <w:sz w:val="20"/>
          <w:szCs w:val="20"/>
          <w:lang w:val="es-CR"/>
        </w:rPr>
        <w:t>er a su país de origen, empezaría</w:t>
      </w:r>
      <w:r w:rsidR="009F4DBF" w:rsidRPr="00F0121E">
        <w:rPr>
          <w:sz w:val="20"/>
          <w:szCs w:val="20"/>
          <w:lang w:val="es-CR"/>
        </w:rPr>
        <w:t xml:space="preserve"> a contar un plazo de dos años para que las víctimas y el Estado </w:t>
      </w:r>
      <w:r w:rsidR="009F4DBF">
        <w:rPr>
          <w:sz w:val="20"/>
          <w:szCs w:val="20"/>
          <w:lang w:val="es-CR"/>
        </w:rPr>
        <w:t>acordaran</w:t>
      </w:r>
      <w:r w:rsidR="009F4DBF" w:rsidRPr="00F0121E">
        <w:rPr>
          <w:sz w:val="20"/>
          <w:szCs w:val="20"/>
          <w:lang w:val="es-CR"/>
        </w:rPr>
        <w:t xml:space="preserve"> lo pertinente a fin de que éste pu</w:t>
      </w:r>
      <w:r w:rsidR="00016343">
        <w:rPr>
          <w:sz w:val="20"/>
          <w:szCs w:val="20"/>
          <w:lang w:val="es-CR"/>
        </w:rPr>
        <w:t>diera</w:t>
      </w:r>
      <w:r w:rsidR="009F4DBF" w:rsidRPr="00F0121E">
        <w:rPr>
          <w:sz w:val="20"/>
          <w:szCs w:val="20"/>
          <w:lang w:val="es-CR"/>
        </w:rPr>
        <w:t xml:space="preserve"> cumplir con esta medida de reparación, entre otros, pagando los gastos de traslado de los miembros de la familia y las eventuales franquicias de aduana</w:t>
      </w:r>
      <w:r w:rsidR="00016343">
        <w:rPr>
          <w:sz w:val="20"/>
          <w:szCs w:val="20"/>
          <w:lang w:val="es-CR"/>
        </w:rPr>
        <w:t>.</w:t>
      </w:r>
      <w:r w:rsidR="00C40928">
        <w:rPr>
          <w:sz w:val="20"/>
          <w:szCs w:val="20"/>
          <w:lang w:val="es-CR"/>
        </w:rPr>
        <w:t xml:space="preserve"> </w:t>
      </w:r>
    </w:p>
    <w:p w:rsidR="00A06239" w:rsidRDefault="00A06239" w:rsidP="00A06239">
      <w:pPr>
        <w:pStyle w:val="Listavistosa-nfasis1"/>
        <w:spacing w:after="0" w:line="240" w:lineRule="auto"/>
        <w:ind w:left="0"/>
        <w:contextualSpacing w:val="0"/>
        <w:rPr>
          <w:sz w:val="20"/>
          <w:lang w:val="es-CO"/>
        </w:rPr>
      </w:pPr>
    </w:p>
    <w:p w:rsidR="006F0AF8" w:rsidRPr="006063C0" w:rsidRDefault="006F0AF8" w:rsidP="00A03C52">
      <w:pPr>
        <w:pStyle w:val="Listavistosa-nfasis1"/>
        <w:spacing w:after="0" w:line="240" w:lineRule="auto"/>
        <w:ind w:left="0" w:firstLine="720"/>
        <w:contextualSpacing w:val="0"/>
        <w:rPr>
          <w:i/>
          <w:sz w:val="20"/>
          <w:lang w:val="es-MX"/>
        </w:rPr>
      </w:pPr>
      <w:r>
        <w:rPr>
          <w:i/>
          <w:sz w:val="20"/>
          <w:lang w:val="es-MX"/>
        </w:rPr>
        <w:t>C</w:t>
      </w:r>
      <w:r w:rsidR="00C56276">
        <w:rPr>
          <w:i/>
          <w:sz w:val="20"/>
          <w:lang w:val="es-MX"/>
        </w:rPr>
        <w:t>.2</w:t>
      </w:r>
      <w:r>
        <w:rPr>
          <w:i/>
          <w:sz w:val="20"/>
          <w:lang w:val="es-MX"/>
        </w:rPr>
        <w:t>.</w:t>
      </w:r>
      <w:r w:rsidRPr="006063C0">
        <w:rPr>
          <w:i/>
          <w:sz w:val="20"/>
          <w:lang w:val="es-MX"/>
        </w:rPr>
        <w:t xml:space="preserve"> Consideraciones de la Corte</w:t>
      </w:r>
    </w:p>
    <w:p w:rsidR="00A06239" w:rsidRPr="00A06239" w:rsidRDefault="00A06239" w:rsidP="00A06239">
      <w:pPr>
        <w:pStyle w:val="Listavistosa-nfasis1"/>
        <w:spacing w:after="0" w:line="240" w:lineRule="auto"/>
        <w:ind w:left="0"/>
        <w:contextualSpacing w:val="0"/>
        <w:rPr>
          <w:b/>
          <w:i/>
          <w:sz w:val="20"/>
          <w:szCs w:val="20"/>
          <w:lang w:val="es-MX"/>
        </w:rPr>
      </w:pPr>
    </w:p>
    <w:p w:rsidR="006C01ED" w:rsidRPr="00F73C25" w:rsidRDefault="00C40928" w:rsidP="005B54DD">
      <w:pPr>
        <w:pStyle w:val="Listavistosa-nfasis1"/>
        <w:numPr>
          <w:ilvl w:val="0"/>
          <w:numId w:val="2"/>
        </w:numPr>
        <w:spacing w:after="0" w:line="240" w:lineRule="auto"/>
        <w:ind w:left="0" w:firstLine="0"/>
        <w:contextualSpacing w:val="0"/>
        <w:rPr>
          <w:b/>
          <w:i/>
          <w:sz w:val="20"/>
          <w:szCs w:val="20"/>
          <w:lang w:val="es-MX"/>
        </w:rPr>
      </w:pPr>
      <w:r>
        <w:rPr>
          <w:sz w:val="20"/>
          <w:szCs w:val="20"/>
          <w:lang w:val="es-CO"/>
        </w:rPr>
        <w:t>La</w:t>
      </w:r>
      <w:r w:rsidR="006C7AB2">
        <w:rPr>
          <w:sz w:val="20"/>
          <w:szCs w:val="20"/>
          <w:lang w:val="es-CO"/>
        </w:rPr>
        <w:t xml:space="preserve"> Corte constata que los representantes de las víctimas indicaron en </w:t>
      </w:r>
      <w:r w:rsidR="006D6681">
        <w:rPr>
          <w:sz w:val="20"/>
          <w:szCs w:val="20"/>
          <w:lang w:val="es-CO"/>
        </w:rPr>
        <w:t>junio de 2019 que “[l]as víctimas que residen en el exterior han manifestado que no desean retornar al país”. Asimismo, señalaron que</w:t>
      </w:r>
      <w:r w:rsidR="00016343">
        <w:rPr>
          <w:sz w:val="20"/>
          <w:szCs w:val="20"/>
          <w:lang w:val="es-CO"/>
        </w:rPr>
        <w:t>,</w:t>
      </w:r>
      <w:r w:rsidR="006D6681">
        <w:rPr>
          <w:sz w:val="20"/>
          <w:szCs w:val="20"/>
          <w:lang w:val="es-CO"/>
        </w:rPr>
        <w:t xml:space="preserve"> “[d]ado el plazo otorgado por la Corte para manifestar la intención de retorno, considera[n] que este punto puede darse por cerrado</w:t>
      </w:r>
      <w:r w:rsidR="003D359D">
        <w:rPr>
          <w:sz w:val="20"/>
          <w:szCs w:val="20"/>
          <w:lang w:val="es-CO"/>
        </w:rPr>
        <w:t>”</w:t>
      </w:r>
      <w:r w:rsidR="003D359D">
        <w:rPr>
          <w:rStyle w:val="Refdenotaalpie"/>
          <w:sz w:val="20"/>
          <w:szCs w:val="20"/>
          <w:lang w:val="es-CO"/>
        </w:rPr>
        <w:footnoteReference w:id="23"/>
      </w:r>
      <w:r w:rsidR="003D359D">
        <w:rPr>
          <w:sz w:val="20"/>
          <w:szCs w:val="20"/>
          <w:lang w:val="es-CO"/>
        </w:rPr>
        <w:t>.</w:t>
      </w:r>
      <w:r w:rsidR="000F29EA" w:rsidRPr="00F73C25">
        <w:rPr>
          <w:sz w:val="20"/>
          <w:szCs w:val="20"/>
          <w:lang w:val="es-CO"/>
        </w:rPr>
        <w:t xml:space="preserve"> </w:t>
      </w:r>
      <w:r w:rsidR="0043186C">
        <w:rPr>
          <w:sz w:val="20"/>
          <w:szCs w:val="20"/>
          <w:lang w:val="es-CO"/>
        </w:rPr>
        <w:t>En razón de lo anterior,</w:t>
      </w:r>
      <w:r w:rsidR="000B0CB5">
        <w:rPr>
          <w:sz w:val="20"/>
          <w:szCs w:val="20"/>
          <w:lang w:val="es-CO"/>
        </w:rPr>
        <w:t xml:space="preserve"> tanto</w:t>
      </w:r>
      <w:r w:rsidR="0043186C">
        <w:rPr>
          <w:sz w:val="20"/>
          <w:szCs w:val="20"/>
          <w:lang w:val="es-CO"/>
        </w:rPr>
        <w:t xml:space="preserve"> el Estado </w:t>
      </w:r>
      <w:r w:rsidR="000B0CB5">
        <w:rPr>
          <w:sz w:val="20"/>
          <w:szCs w:val="20"/>
          <w:lang w:val="es-CO"/>
        </w:rPr>
        <w:t>como la Comisión Interamericana han estimado que dicha reparación “se encuentra cumplida”</w:t>
      </w:r>
      <w:r w:rsidR="000B0CB5">
        <w:rPr>
          <w:rStyle w:val="Refdenotaalpie"/>
          <w:sz w:val="20"/>
          <w:szCs w:val="20"/>
          <w:lang w:val="es-CO"/>
        </w:rPr>
        <w:footnoteReference w:id="24"/>
      </w:r>
      <w:r w:rsidR="0043186C">
        <w:rPr>
          <w:sz w:val="20"/>
          <w:szCs w:val="20"/>
          <w:lang w:val="es-CO"/>
        </w:rPr>
        <w:t>.</w:t>
      </w:r>
    </w:p>
    <w:p w:rsidR="00A06239" w:rsidRPr="00A06239" w:rsidRDefault="00A06239" w:rsidP="00A06239">
      <w:pPr>
        <w:pStyle w:val="Listavistosa-nfasis1"/>
        <w:spacing w:after="0" w:line="240" w:lineRule="auto"/>
        <w:ind w:left="0"/>
        <w:contextualSpacing w:val="0"/>
        <w:rPr>
          <w:b/>
          <w:i/>
          <w:sz w:val="20"/>
          <w:szCs w:val="20"/>
          <w:lang w:val="es-MX"/>
        </w:rPr>
      </w:pPr>
    </w:p>
    <w:p w:rsidR="00C56276" w:rsidRPr="007F242F" w:rsidRDefault="006C01ED" w:rsidP="005B54DD">
      <w:pPr>
        <w:pStyle w:val="Listavistosa-nfasis1"/>
        <w:numPr>
          <w:ilvl w:val="0"/>
          <w:numId w:val="2"/>
        </w:numPr>
        <w:spacing w:after="0" w:line="240" w:lineRule="auto"/>
        <w:ind w:left="0" w:firstLine="0"/>
        <w:contextualSpacing w:val="0"/>
        <w:rPr>
          <w:b/>
          <w:i/>
          <w:sz w:val="20"/>
          <w:szCs w:val="20"/>
          <w:lang w:val="es-MX"/>
        </w:rPr>
      </w:pPr>
      <w:r w:rsidRPr="00F73C25">
        <w:rPr>
          <w:sz w:val="20"/>
          <w:szCs w:val="20"/>
          <w:lang w:val="es-CO"/>
        </w:rPr>
        <w:t xml:space="preserve">Este Tribunal considera que, una vez conocida la voluntad de las </w:t>
      </w:r>
      <w:r w:rsidR="001E2AF2">
        <w:rPr>
          <w:sz w:val="20"/>
          <w:szCs w:val="20"/>
          <w:lang w:val="es-CO"/>
        </w:rPr>
        <w:t xml:space="preserve">referidas </w:t>
      </w:r>
      <w:r w:rsidRPr="00F73C25">
        <w:rPr>
          <w:sz w:val="20"/>
          <w:szCs w:val="20"/>
          <w:lang w:val="es-CO"/>
        </w:rPr>
        <w:t>víctimas de no querer regresar a residir en Colombia, en efecto el Estado no tiene una medida de reparación que cumplir al respecto</w:t>
      </w:r>
      <w:r w:rsidR="00135CCD">
        <w:rPr>
          <w:sz w:val="20"/>
          <w:szCs w:val="20"/>
          <w:lang w:val="es-CO"/>
        </w:rPr>
        <w:t xml:space="preserve"> y por tanto debe cerrarse la supervisión de la presente medida</w:t>
      </w:r>
      <w:r w:rsidR="00D979CE">
        <w:rPr>
          <w:sz w:val="20"/>
          <w:szCs w:val="20"/>
          <w:lang w:val="es-CO"/>
        </w:rPr>
        <w:t xml:space="preserve"> ordenada en el punto resolutivo décimo tercero de la Sentencia</w:t>
      </w:r>
      <w:r w:rsidRPr="00F73C25">
        <w:rPr>
          <w:sz w:val="20"/>
          <w:szCs w:val="20"/>
          <w:lang w:val="es-CO"/>
        </w:rPr>
        <w:t xml:space="preserve">. </w:t>
      </w:r>
    </w:p>
    <w:p w:rsidR="00A06239" w:rsidRDefault="00A06239" w:rsidP="00A06239">
      <w:pPr>
        <w:pStyle w:val="Listavistosa-nfasis1"/>
        <w:spacing w:after="0" w:line="240" w:lineRule="auto"/>
        <w:ind w:left="644"/>
        <w:contextualSpacing w:val="0"/>
        <w:rPr>
          <w:b/>
          <w:i/>
          <w:sz w:val="20"/>
          <w:szCs w:val="20"/>
          <w:lang w:val="es-MX"/>
        </w:rPr>
      </w:pPr>
    </w:p>
    <w:p w:rsidR="00EE7973" w:rsidRPr="00F1350B" w:rsidRDefault="00E348DB" w:rsidP="00F1350B">
      <w:pPr>
        <w:pStyle w:val="Ttulo1"/>
        <w:numPr>
          <w:ilvl w:val="0"/>
          <w:numId w:val="9"/>
        </w:numPr>
        <w:ind w:right="0"/>
        <w:rPr>
          <w:i/>
        </w:rPr>
      </w:pPr>
      <w:bookmarkStart w:id="4" w:name="_Toc19780957"/>
      <w:r w:rsidRPr="00F1350B">
        <w:rPr>
          <w:i/>
        </w:rPr>
        <w:t xml:space="preserve">Solicitud </w:t>
      </w:r>
      <w:r w:rsidR="0024047E" w:rsidRPr="00F1350B">
        <w:rPr>
          <w:i/>
        </w:rPr>
        <w:t>de información</w:t>
      </w:r>
      <w:r w:rsidRPr="00F1350B">
        <w:rPr>
          <w:i/>
        </w:rPr>
        <w:t xml:space="preserve"> sobre reparaciones pendientes de cumplimiento</w:t>
      </w:r>
      <w:bookmarkEnd w:id="4"/>
    </w:p>
    <w:p w:rsidR="00A06239" w:rsidRPr="00A06239" w:rsidRDefault="00A06239" w:rsidP="00A06239">
      <w:pPr>
        <w:pStyle w:val="Listavistosa-nfasis1"/>
        <w:spacing w:after="0" w:line="240" w:lineRule="auto"/>
        <w:ind w:left="0"/>
        <w:contextualSpacing w:val="0"/>
        <w:rPr>
          <w:b/>
          <w:i/>
          <w:sz w:val="20"/>
          <w:szCs w:val="20"/>
          <w:lang w:val="es-MX"/>
        </w:rPr>
      </w:pPr>
    </w:p>
    <w:p w:rsidR="0024047E" w:rsidRPr="0024047E" w:rsidRDefault="0024047E" w:rsidP="005B54DD">
      <w:pPr>
        <w:pStyle w:val="Listavistosa-nfasis1"/>
        <w:numPr>
          <w:ilvl w:val="0"/>
          <w:numId w:val="2"/>
        </w:numPr>
        <w:spacing w:after="0" w:line="240" w:lineRule="auto"/>
        <w:ind w:left="0" w:firstLine="0"/>
        <w:contextualSpacing w:val="0"/>
        <w:rPr>
          <w:b/>
          <w:i/>
          <w:sz w:val="20"/>
          <w:szCs w:val="20"/>
          <w:lang w:val="es-MX"/>
        </w:rPr>
      </w:pPr>
      <w:r>
        <w:rPr>
          <w:sz w:val="20"/>
          <w:szCs w:val="20"/>
          <w:lang w:val="es-CO"/>
        </w:rPr>
        <w:t>Además de las medidas de reparación valoradas en las consideraciones previas de la presente Resolución (</w:t>
      </w:r>
      <w:r>
        <w:rPr>
          <w:i/>
          <w:sz w:val="20"/>
          <w:szCs w:val="20"/>
          <w:lang w:val="es-CO"/>
        </w:rPr>
        <w:t xml:space="preserve">supra </w:t>
      </w:r>
      <w:r>
        <w:rPr>
          <w:sz w:val="20"/>
          <w:szCs w:val="20"/>
          <w:lang w:val="es-CO"/>
        </w:rPr>
        <w:t xml:space="preserve">Considerando </w:t>
      </w:r>
      <w:r w:rsidR="006C4B68">
        <w:rPr>
          <w:sz w:val="20"/>
          <w:szCs w:val="20"/>
          <w:lang w:val="es-CO"/>
        </w:rPr>
        <w:t>3</w:t>
      </w:r>
      <w:r>
        <w:rPr>
          <w:sz w:val="20"/>
          <w:szCs w:val="20"/>
          <w:lang w:val="es-CO"/>
        </w:rPr>
        <w:t xml:space="preserve">), </w:t>
      </w:r>
      <w:r w:rsidR="000F618F">
        <w:rPr>
          <w:sz w:val="20"/>
          <w:szCs w:val="20"/>
          <w:lang w:val="es-CO"/>
        </w:rPr>
        <w:t xml:space="preserve">en la Sentencia </w:t>
      </w:r>
      <w:r>
        <w:rPr>
          <w:sz w:val="20"/>
          <w:szCs w:val="20"/>
          <w:lang w:val="es-CO"/>
        </w:rPr>
        <w:t xml:space="preserve">la Corte ordenó al Estado otras </w:t>
      </w:r>
      <w:r w:rsidR="006C4B68">
        <w:rPr>
          <w:sz w:val="20"/>
          <w:szCs w:val="20"/>
          <w:lang w:val="es-CO"/>
        </w:rPr>
        <w:t>seis</w:t>
      </w:r>
      <w:r>
        <w:rPr>
          <w:sz w:val="20"/>
          <w:szCs w:val="20"/>
          <w:lang w:val="es-CO"/>
        </w:rPr>
        <w:t xml:space="preserve"> reparaciones:</w:t>
      </w:r>
    </w:p>
    <w:p w:rsidR="00C56276" w:rsidRDefault="00C56276" w:rsidP="0024047E">
      <w:pPr>
        <w:pStyle w:val="Listavistosa-nfasis1"/>
        <w:spacing w:after="0" w:line="240" w:lineRule="auto"/>
        <w:ind w:left="0"/>
        <w:contextualSpacing w:val="0"/>
        <w:rPr>
          <w:b/>
          <w:sz w:val="20"/>
          <w:szCs w:val="20"/>
          <w:lang w:val="es-MX"/>
        </w:rPr>
      </w:pPr>
    </w:p>
    <w:p w:rsidR="0024047E" w:rsidRDefault="0024047E" w:rsidP="00845A5F">
      <w:pPr>
        <w:pStyle w:val="Listavistosa-nfasis1"/>
        <w:numPr>
          <w:ilvl w:val="0"/>
          <w:numId w:val="11"/>
        </w:numPr>
        <w:spacing w:after="0" w:line="240" w:lineRule="auto"/>
        <w:contextualSpacing w:val="0"/>
        <w:rPr>
          <w:sz w:val="20"/>
          <w:szCs w:val="20"/>
          <w:lang w:val="es-MX"/>
        </w:rPr>
      </w:pPr>
      <w:r w:rsidRPr="0024047E">
        <w:rPr>
          <w:sz w:val="20"/>
          <w:szCs w:val="20"/>
          <w:lang w:val="es-MX"/>
        </w:rPr>
        <w:t>continuar con las investigaciones y procesos judiciales en curso que correspondan a efectos de determinar los hechos y las responsabilidades correspondientes</w:t>
      </w:r>
      <w:r w:rsidR="00845A5F">
        <w:rPr>
          <w:sz w:val="20"/>
          <w:szCs w:val="20"/>
          <w:lang w:val="es-MX"/>
        </w:rPr>
        <w:t xml:space="preserve"> (</w:t>
      </w:r>
      <w:r w:rsidR="00845A5F">
        <w:rPr>
          <w:i/>
          <w:sz w:val="20"/>
          <w:szCs w:val="20"/>
          <w:lang w:val="es-MX"/>
        </w:rPr>
        <w:t xml:space="preserve">punto </w:t>
      </w:r>
      <w:r w:rsidR="00C40928">
        <w:rPr>
          <w:i/>
          <w:sz w:val="20"/>
          <w:szCs w:val="20"/>
          <w:lang w:val="es-MX"/>
        </w:rPr>
        <w:t>resolutivo</w:t>
      </w:r>
      <w:r w:rsidR="00845A5F">
        <w:rPr>
          <w:i/>
          <w:sz w:val="20"/>
          <w:szCs w:val="20"/>
          <w:lang w:val="es-MX"/>
        </w:rPr>
        <w:t xml:space="preserve"> noveno de la Sentencia</w:t>
      </w:r>
      <w:r w:rsidR="00845A5F" w:rsidRPr="00845A5F">
        <w:rPr>
          <w:sz w:val="20"/>
          <w:szCs w:val="20"/>
          <w:lang w:val="es-MX"/>
        </w:rPr>
        <w:t>)</w:t>
      </w:r>
      <w:r>
        <w:rPr>
          <w:sz w:val="20"/>
          <w:szCs w:val="20"/>
          <w:lang w:val="es-MX"/>
        </w:rPr>
        <w:t>;</w:t>
      </w:r>
    </w:p>
    <w:p w:rsidR="0024047E" w:rsidRPr="0024047E" w:rsidRDefault="0024047E" w:rsidP="00845A5F">
      <w:pPr>
        <w:pStyle w:val="Listavistosa-nfasis1"/>
        <w:numPr>
          <w:ilvl w:val="0"/>
          <w:numId w:val="11"/>
        </w:numPr>
        <w:spacing w:after="0" w:line="240" w:lineRule="auto"/>
        <w:contextualSpacing w:val="0"/>
        <w:rPr>
          <w:sz w:val="20"/>
          <w:szCs w:val="20"/>
          <w:lang w:val="es-MX"/>
        </w:rPr>
      </w:pPr>
      <w:r w:rsidRPr="0024047E">
        <w:rPr>
          <w:sz w:val="20"/>
          <w:szCs w:val="20"/>
          <w:lang w:val="es-MX"/>
        </w:rPr>
        <w:t>brindar el tratamiento psicológico o psiquiátrico, a las víctimas que así lo soliciten, así como pagar las cantidades por concepto de indemnizaciones para los tratamientos psicológico o psiquiátrico de los familiares de Nelson Carvajal Carvajal que se encuentran viviendo fuera</w:t>
      </w:r>
      <w:r>
        <w:rPr>
          <w:sz w:val="20"/>
          <w:szCs w:val="20"/>
          <w:lang w:val="es-MX"/>
        </w:rPr>
        <w:t xml:space="preserve"> </w:t>
      </w:r>
      <w:r w:rsidRPr="0024047E">
        <w:rPr>
          <w:sz w:val="20"/>
          <w:szCs w:val="20"/>
          <w:lang w:val="es-MX"/>
        </w:rPr>
        <w:t>de Colombia y que así lo soliciten</w:t>
      </w:r>
      <w:r w:rsidR="00845A5F">
        <w:rPr>
          <w:sz w:val="20"/>
          <w:szCs w:val="20"/>
          <w:lang w:val="es-MX"/>
        </w:rPr>
        <w:t xml:space="preserve"> (</w:t>
      </w:r>
      <w:r w:rsidR="00845A5F">
        <w:rPr>
          <w:i/>
          <w:sz w:val="20"/>
          <w:szCs w:val="20"/>
          <w:lang w:val="es-MX"/>
        </w:rPr>
        <w:t xml:space="preserve">puntos </w:t>
      </w:r>
      <w:r w:rsidR="00C40928">
        <w:rPr>
          <w:i/>
          <w:sz w:val="20"/>
          <w:szCs w:val="20"/>
          <w:lang w:val="es-MX"/>
        </w:rPr>
        <w:t>resolutivo</w:t>
      </w:r>
      <w:r w:rsidR="00845A5F">
        <w:rPr>
          <w:i/>
          <w:sz w:val="20"/>
          <w:szCs w:val="20"/>
          <w:lang w:val="es-MX"/>
        </w:rPr>
        <w:t>s décimo y décimo quinto de la Sentencia</w:t>
      </w:r>
      <w:r w:rsidR="00845A5F" w:rsidRPr="00845A5F">
        <w:rPr>
          <w:sz w:val="20"/>
          <w:szCs w:val="20"/>
          <w:lang w:val="es-MX"/>
        </w:rPr>
        <w:t>)</w:t>
      </w:r>
      <w:r w:rsidRPr="0024047E">
        <w:rPr>
          <w:sz w:val="20"/>
          <w:szCs w:val="20"/>
          <w:lang w:val="es-MX"/>
        </w:rPr>
        <w:t xml:space="preserve">; </w:t>
      </w:r>
    </w:p>
    <w:p w:rsidR="0024047E" w:rsidRDefault="0024047E" w:rsidP="00845A5F">
      <w:pPr>
        <w:pStyle w:val="Listavistosa-nfasis1"/>
        <w:numPr>
          <w:ilvl w:val="0"/>
          <w:numId w:val="11"/>
        </w:numPr>
        <w:spacing w:after="0" w:line="240" w:lineRule="auto"/>
        <w:contextualSpacing w:val="0"/>
        <w:rPr>
          <w:sz w:val="20"/>
          <w:szCs w:val="20"/>
          <w:lang w:val="es-MX"/>
        </w:rPr>
      </w:pPr>
      <w:r w:rsidRPr="0024047E">
        <w:rPr>
          <w:sz w:val="20"/>
          <w:szCs w:val="20"/>
          <w:lang w:val="es-MX"/>
        </w:rPr>
        <w:t>remitir los informes periódicos que envía a los organismos especializados de la OEA y de las Naciones Unidas, relacionados con las medidas</w:t>
      </w:r>
      <w:r>
        <w:rPr>
          <w:sz w:val="20"/>
          <w:szCs w:val="20"/>
          <w:lang w:val="es-MX"/>
        </w:rPr>
        <w:t xml:space="preserve"> </w:t>
      </w:r>
      <w:r w:rsidRPr="0024047E">
        <w:rPr>
          <w:sz w:val="20"/>
          <w:szCs w:val="20"/>
          <w:lang w:val="es-MX"/>
        </w:rPr>
        <w:t>implementadas para la prevención y protección de los periodistas en Colombia</w:t>
      </w:r>
      <w:r w:rsidR="00FA42F4">
        <w:rPr>
          <w:sz w:val="20"/>
          <w:szCs w:val="20"/>
          <w:lang w:val="es-MX"/>
        </w:rPr>
        <w:t xml:space="preserve"> </w:t>
      </w:r>
      <w:r w:rsidR="00845A5F">
        <w:rPr>
          <w:sz w:val="20"/>
          <w:szCs w:val="20"/>
          <w:lang w:val="es-MX"/>
        </w:rPr>
        <w:t>(</w:t>
      </w:r>
      <w:r w:rsidR="00845A5F">
        <w:rPr>
          <w:i/>
          <w:sz w:val="20"/>
          <w:szCs w:val="20"/>
          <w:lang w:val="es-MX"/>
        </w:rPr>
        <w:t xml:space="preserve">punto </w:t>
      </w:r>
      <w:r w:rsidR="00C40928">
        <w:rPr>
          <w:i/>
          <w:sz w:val="20"/>
          <w:szCs w:val="20"/>
          <w:lang w:val="es-MX"/>
        </w:rPr>
        <w:t>resolutivo</w:t>
      </w:r>
      <w:r w:rsidR="00845A5F">
        <w:rPr>
          <w:i/>
          <w:sz w:val="20"/>
          <w:szCs w:val="20"/>
          <w:lang w:val="es-MX"/>
        </w:rPr>
        <w:t xml:space="preserve"> décimo cuarto de la Sentencia</w:t>
      </w:r>
      <w:r w:rsidR="00845A5F" w:rsidRPr="00845A5F">
        <w:rPr>
          <w:sz w:val="20"/>
          <w:szCs w:val="20"/>
          <w:lang w:val="es-MX"/>
        </w:rPr>
        <w:t>)</w:t>
      </w:r>
      <w:r>
        <w:rPr>
          <w:sz w:val="20"/>
          <w:szCs w:val="20"/>
          <w:lang w:val="es-MX"/>
        </w:rPr>
        <w:t>;</w:t>
      </w:r>
    </w:p>
    <w:p w:rsidR="0024047E" w:rsidRDefault="0024047E" w:rsidP="00845A5F">
      <w:pPr>
        <w:pStyle w:val="Listavistosa-nfasis1"/>
        <w:numPr>
          <w:ilvl w:val="0"/>
          <w:numId w:val="11"/>
        </w:numPr>
        <w:spacing w:after="0" w:line="240" w:lineRule="auto"/>
        <w:rPr>
          <w:sz w:val="20"/>
          <w:szCs w:val="20"/>
          <w:lang w:val="es-MX"/>
        </w:rPr>
      </w:pPr>
      <w:r w:rsidRPr="0024047E">
        <w:rPr>
          <w:sz w:val="20"/>
          <w:szCs w:val="20"/>
          <w:lang w:val="es-MX"/>
        </w:rPr>
        <w:t xml:space="preserve">pagar las cantidades fijadas en la Sentencia por </w:t>
      </w:r>
      <w:r w:rsidR="00BC2FA9">
        <w:rPr>
          <w:sz w:val="20"/>
          <w:szCs w:val="20"/>
          <w:lang w:val="es-MX"/>
        </w:rPr>
        <w:t xml:space="preserve">concepto de indemnización de </w:t>
      </w:r>
      <w:r w:rsidRPr="0024047E">
        <w:rPr>
          <w:sz w:val="20"/>
          <w:szCs w:val="20"/>
          <w:lang w:val="es-MX"/>
        </w:rPr>
        <w:t>daños materiales e inmateriales</w:t>
      </w:r>
      <w:r w:rsidR="00845A5F">
        <w:rPr>
          <w:sz w:val="20"/>
          <w:szCs w:val="20"/>
          <w:lang w:val="es-MX"/>
        </w:rPr>
        <w:t xml:space="preserve"> (</w:t>
      </w:r>
      <w:r w:rsidR="00845A5F">
        <w:rPr>
          <w:i/>
          <w:sz w:val="20"/>
          <w:szCs w:val="20"/>
          <w:lang w:val="es-MX"/>
        </w:rPr>
        <w:t xml:space="preserve">punto </w:t>
      </w:r>
      <w:r w:rsidR="00C40928">
        <w:rPr>
          <w:i/>
          <w:sz w:val="20"/>
          <w:szCs w:val="20"/>
          <w:lang w:val="es-MX"/>
        </w:rPr>
        <w:t>resolutivo</w:t>
      </w:r>
      <w:r w:rsidR="00845A5F">
        <w:rPr>
          <w:i/>
          <w:sz w:val="20"/>
          <w:szCs w:val="20"/>
          <w:lang w:val="es-MX"/>
        </w:rPr>
        <w:t xml:space="preserve"> décimo quinto de la Sentencia</w:t>
      </w:r>
      <w:r w:rsidR="00845A5F" w:rsidRPr="00845A5F">
        <w:rPr>
          <w:sz w:val="20"/>
          <w:szCs w:val="20"/>
          <w:lang w:val="es-MX"/>
        </w:rPr>
        <w:t>)</w:t>
      </w:r>
      <w:r>
        <w:rPr>
          <w:sz w:val="20"/>
          <w:szCs w:val="20"/>
          <w:lang w:val="es-MX"/>
        </w:rPr>
        <w:t>, y</w:t>
      </w:r>
    </w:p>
    <w:p w:rsidR="0024047E" w:rsidRPr="0024047E" w:rsidRDefault="0024047E" w:rsidP="0024047E">
      <w:pPr>
        <w:pStyle w:val="Listavistosa-nfasis1"/>
        <w:numPr>
          <w:ilvl w:val="0"/>
          <w:numId w:val="11"/>
        </w:numPr>
        <w:spacing w:after="0" w:line="240" w:lineRule="auto"/>
        <w:rPr>
          <w:sz w:val="20"/>
          <w:szCs w:val="20"/>
          <w:lang w:val="es-MX"/>
        </w:rPr>
      </w:pPr>
      <w:r>
        <w:rPr>
          <w:sz w:val="20"/>
          <w:szCs w:val="20"/>
          <w:lang w:val="es-MX"/>
        </w:rPr>
        <w:t>realizar</w:t>
      </w:r>
      <w:r w:rsidRPr="0024047E">
        <w:rPr>
          <w:sz w:val="20"/>
          <w:szCs w:val="20"/>
          <w:lang w:val="es-MX"/>
        </w:rPr>
        <w:t xml:space="preserve"> e</w:t>
      </w:r>
      <w:r>
        <w:rPr>
          <w:sz w:val="20"/>
          <w:szCs w:val="20"/>
          <w:lang w:val="es-MX"/>
        </w:rPr>
        <w:t>l reintegro de costas y gastos</w:t>
      </w:r>
      <w:r w:rsidR="00845A5F">
        <w:rPr>
          <w:sz w:val="20"/>
          <w:szCs w:val="20"/>
          <w:lang w:val="es-MX"/>
        </w:rPr>
        <w:t xml:space="preserve"> (</w:t>
      </w:r>
      <w:r w:rsidR="00845A5F">
        <w:rPr>
          <w:i/>
          <w:sz w:val="20"/>
          <w:szCs w:val="20"/>
          <w:lang w:val="es-MX"/>
        </w:rPr>
        <w:t xml:space="preserve">punto </w:t>
      </w:r>
      <w:r w:rsidR="00C40928">
        <w:rPr>
          <w:i/>
          <w:sz w:val="20"/>
          <w:szCs w:val="20"/>
          <w:lang w:val="es-MX"/>
        </w:rPr>
        <w:t>resolutivo</w:t>
      </w:r>
      <w:r w:rsidR="00845A5F">
        <w:rPr>
          <w:i/>
          <w:sz w:val="20"/>
          <w:szCs w:val="20"/>
          <w:lang w:val="es-MX"/>
        </w:rPr>
        <w:t xml:space="preserve"> décimo quinto de la Sentencia</w:t>
      </w:r>
      <w:r w:rsidR="00845A5F" w:rsidRPr="00845A5F">
        <w:rPr>
          <w:sz w:val="20"/>
          <w:szCs w:val="20"/>
          <w:lang w:val="es-MX"/>
        </w:rPr>
        <w:t>)</w:t>
      </w:r>
      <w:r>
        <w:rPr>
          <w:sz w:val="20"/>
          <w:szCs w:val="20"/>
          <w:lang w:val="es-MX"/>
        </w:rPr>
        <w:t>.</w:t>
      </w:r>
    </w:p>
    <w:p w:rsidR="00B5281F" w:rsidRDefault="00B5281F" w:rsidP="00B5281F">
      <w:pPr>
        <w:pStyle w:val="Listavistosa-nfasis1"/>
        <w:spacing w:after="0" w:line="240" w:lineRule="auto"/>
        <w:ind w:left="0"/>
        <w:contextualSpacing w:val="0"/>
        <w:rPr>
          <w:sz w:val="20"/>
          <w:lang w:val="es-MX"/>
        </w:rPr>
      </w:pPr>
    </w:p>
    <w:p w:rsidR="00675C9A" w:rsidRPr="00675C9A" w:rsidRDefault="00845A5F" w:rsidP="00C05A8A">
      <w:pPr>
        <w:pStyle w:val="Listavistosa-nfasis1"/>
        <w:numPr>
          <w:ilvl w:val="0"/>
          <w:numId w:val="2"/>
        </w:numPr>
        <w:spacing w:after="0" w:line="240" w:lineRule="auto"/>
        <w:ind w:left="0" w:firstLine="0"/>
        <w:contextualSpacing w:val="0"/>
        <w:rPr>
          <w:sz w:val="20"/>
          <w:lang w:val="es-MX"/>
        </w:rPr>
      </w:pPr>
      <w:r w:rsidRPr="00675C9A">
        <w:rPr>
          <w:sz w:val="20"/>
          <w:lang w:val="es-MX"/>
        </w:rPr>
        <w:t xml:space="preserve">En relación con la </w:t>
      </w:r>
      <w:r w:rsidRPr="00675C9A">
        <w:rPr>
          <w:i/>
          <w:sz w:val="20"/>
          <w:lang w:val="es-MX"/>
        </w:rPr>
        <w:t xml:space="preserve">obligación de continuar con las investigaciones y procesos judiciales en curso que correspondan a efectos de determinar los hechos y las responsabilidades correspondientes, </w:t>
      </w:r>
      <w:r w:rsidRPr="00675C9A">
        <w:rPr>
          <w:sz w:val="20"/>
          <w:lang w:val="es-MX"/>
        </w:rPr>
        <w:t xml:space="preserve">el </w:t>
      </w:r>
      <w:r w:rsidRPr="00675C9A">
        <w:rPr>
          <w:i/>
          <w:sz w:val="20"/>
          <w:lang w:val="es-MX"/>
        </w:rPr>
        <w:t xml:space="preserve">Estado </w:t>
      </w:r>
      <w:r w:rsidR="00544E0D">
        <w:rPr>
          <w:sz w:val="20"/>
          <w:lang w:val="es-MX"/>
        </w:rPr>
        <w:t>refirió</w:t>
      </w:r>
      <w:r w:rsidR="008348BE">
        <w:rPr>
          <w:sz w:val="20"/>
          <w:lang w:val="es-MX"/>
        </w:rPr>
        <w:t>,</w:t>
      </w:r>
      <w:r w:rsidR="003B4009" w:rsidRPr="00675C9A">
        <w:rPr>
          <w:sz w:val="20"/>
          <w:lang w:val="es-MX"/>
        </w:rPr>
        <w:t xml:space="preserve"> en agosto de 2019, algunas actuaciones realizadas por el “Despacho 67 adscrito a la Dirección Especializada contra las Violaciones a los Derechos Humanos” entre febrero de 2018 y abril de 2019, tales como la emisión de una “resolución de impulso” para la “búsqueda y ubicación” de una persona y la recepción </w:t>
      </w:r>
      <w:r w:rsidR="00D512F7">
        <w:rPr>
          <w:sz w:val="20"/>
          <w:lang w:val="es-MX"/>
        </w:rPr>
        <w:t xml:space="preserve">de </w:t>
      </w:r>
      <w:r w:rsidR="003B4009" w:rsidRPr="00675C9A">
        <w:rPr>
          <w:sz w:val="20"/>
          <w:lang w:val="es-MX"/>
        </w:rPr>
        <w:t>un “informe de policía judicial” al respecto. Colombia también señaló que se “est[á] a la espera del pronunciamiento de la Corte Suprema de Justicia respecto a la revisión de fallos absolutorios que se dieron al inicio de la investigación por el homicidio del señor Nelson Carvajal”</w:t>
      </w:r>
      <w:r w:rsidR="003B4009">
        <w:rPr>
          <w:rStyle w:val="Refdenotaalpie"/>
          <w:sz w:val="20"/>
          <w:lang w:val="es-MX"/>
        </w:rPr>
        <w:footnoteReference w:id="25"/>
      </w:r>
      <w:r w:rsidR="003B4009" w:rsidRPr="00675C9A">
        <w:rPr>
          <w:sz w:val="20"/>
          <w:lang w:val="es-MX"/>
        </w:rPr>
        <w:t xml:space="preserve">. </w:t>
      </w:r>
      <w:r w:rsidR="00CA65F6" w:rsidRPr="00675C9A">
        <w:rPr>
          <w:sz w:val="20"/>
          <w:lang w:val="es-MX"/>
        </w:rPr>
        <w:t xml:space="preserve">Por su parte, los </w:t>
      </w:r>
      <w:r w:rsidR="00CA65F6" w:rsidRPr="00675C9A">
        <w:rPr>
          <w:i/>
          <w:sz w:val="20"/>
          <w:lang w:val="es-MX"/>
        </w:rPr>
        <w:t>representantes</w:t>
      </w:r>
      <w:r w:rsidR="00CA65F6" w:rsidRPr="00675C9A">
        <w:rPr>
          <w:sz w:val="20"/>
          <w:lang w:val="es-MX"/>
        </w:rPr>
        <w:t xml:space="preserve"> destacaron en junio y septiembre de 2019 la “ausencia de […] diligencias de investigación sustantivas que permitan avanzar en la identificación y sanción de los autores materiales e intelectuales del homicidio de Nelson Carvajal Carvajal”, de manera que “el avance de la investigación penal a la fecha es mínimo”.</w:t>
      </w:r>
      <w:r w:rsidR="007164DD">
        <w:rPr>
          <w:sz w:val="20"/>
          <w:lang w:val="es-MX"/>
        </w:rPr>
        <w:t xml:space="preserve"> Manifestaron que han solicitado al Estado “evalua[r] las capacidades asignadas a la investigación desde la Fiscalía y que de ser pertinente se asignara un/a nuevo/a fiscal para dar impulso a la investigación del caso”.</w:t>
      </w:r>
      <w:r w:rsidR="00CA65F6" w:rsidRPr="00675C9A">
        <w:rPr>
          <w:sz w:val="20"/>
          <w:lang w:val="es-MX"/>
        </w:rPr>
        <w:t xml:space="preserve"> </w:t>
      </w:r>
      <w:r w:rsidR="0016049F" w:rsidRPr="00675C9A">
        <w:rPr>
          <w:sz w:val="20"/>
          <w:lang w:val="es-MX"/>
        </w:rPr>
        <w:t>Resaltaron que “[l]o único significativo que ha ocurrido en el marco del proceso en tiempo recient</w:t>
      </w:r>
      <w:r w:rsidR="00B37F59">
        <w:rPr>
          <w:sz w:val="20"/>
          <w:lang w:val="es-MX"/>
        </w:rPr>
        <w:t>[e]</w:t>
      </w:r>
      <w:r w:rsidR="0016049F" w:rsidRPr="00675C9A">
        <w:rPr>
          <w:sz w:val="20"/>
          <w:lang w:val="es-MX"/>
        </w:rPr>
        <w:t xml:space="preserve"> es la declaratoria de lesa humanidad del homicidio de Nelson Carvajal por parte de la Fiscalía 95 de la Unidad Delegada ante el Tribunal Superior de Distrito Judicial de Bogotá el 14 de agosto de 2019”</w:t>
      </w:r>
      <w:r w:rsidR="00440E60">
        <w:rPr>
          <w:rStyle w:val="Refdenotaalpie"/>
          <w:sz w:val="20"/>
          <w:lang w:val="es-MX"/>
        </w:rPr>
        <w:footnoteReference w:id="26"/>
      </w:r>
      <w:r w:rsidR="0016049F" w:rsidRPr="00675C9A">
        <w:rPr>
          <w:sz w:val="20"/>
          <w:lang w:val="es-MX"/>
        </w:rPr>
        <w:t>.</w:t>
      </w:r>
      <w:r w:rsidR="00675C9A" w:rsidRPr="00675C9A">
        <w:rPr>
          <w:sz w:val="20"/>
          <w:lang w:val="es-MX"/>
        </w:rPr>
        <w:t xml:space="preserve"> </w:t>
      </w:r>
      <w:r w:rsidR="00B37F59">
        <w:rPr>
          <w:sz w:val="20"/>
          <w:lang w:val="es-MX"/>
        </w:rPr>
        <w:t>L</w:t>
      </w:r>
      <w:r w:rsidR="00675C9A" w:rsidRPr="00675C9A">
        <w:rPr>
          <w:sz w:val="20"/>
          <w:lang w:val="es-MX"/>
        </w:rPr>
        <w:t xml:space="preserve">a </w:t>
      </w:r>
      <w:r w:rsidR="00675C9A" w:rsidRPr="004C762D">
        <w:rPr>
          <w:i/>
          <w:sz w:val="20"/>
          <w:lang w:val="es-MX"/>
        </w:rPr>
        <w:t>Comisión Interamericana</w:t>
      </w:r>
      <w:r w:rsidR="00675C9A" w:rsidRPr="00675C9A">
        <w:rPr>
          <w:sz w:val="20"/>
          <w:lang w:val="es-MX"/>
        </w:rPr>
        <w:t xml:space="preserve"> reiteró que el Estado no ha aportado “información sustantiva concreta que permit</w:t>
      </w:r>
      <w:r w:rsidR="00D979CE">
        <w:rPr>
          <w:sz w:val="20"/>
          <w:lang w:val="es-MX"/>
        </w:rPr>
        <w:t>[</w:t>
      </w:r>
      <w:r w:rsidR="00675C9A" w:rsidRPr="00675C9A">
        <w:rPr>
          <w:sz w:val="20"/>
          <w:lang w:val="es-MX"/>
        </w:rPr>
        <w:t>a</w:t>
      </w:r>
      <w:r w:rsidR="00D979CE">
        <w:rPr>
          <w:sz w:val="20"/>
          <w:lang w:val="es-MX"/>
        </w:rPr>
        <w:t>]</w:t>
      </w:r>
      <w:r w:rsidR="00675C9A" w:rsidRPr="00675C9A">
        <w:rPr>
          <w:sz w:val="20"/>
          <w:lang w:val="es-MX"/>
        </w:rPr>
        <w:t xml:space="preserve"> determinar que ha llevado adelante esfuerzos serios destinados a cumplir con este pun</w:t>
      </w:r>
      <w:r w:rsidR="00675C9A">
        <w:rPr>
          <w:sz w:val="20"/>
          <w:lang w:val="es-MX"/>
        </w:rPr>
        <w:t>to resolutivo clave de la [S]ente</w:t>
      </w:r>
      <w:r w:rsidR="00675C9A" w:rsidRPr="00675C9A">
        <w:rPr>
          <w:sz w:val="20"/>
          <w:lang w:val="es-MX"/>
        </w:rPr>
        <w:t>ncia</w:t>
      </w:r>
      <w:r w:rsidR="00675C9A">
        <w:rPr>
          <w:sz w:val="20"/>
          <w:lang w:val="es-MX"/>
        </w:rPr>
        <w:t>”</w:t>
      </w:r>
      <w:r w:rsidR="00440E60">
        <w:rPr>
          <w:rStyle w:val="Refdenotaalpie"/>
          <w:sz w:val="20"/>
          <w:lang w:val="es-MX"/>
        </w:rPr>
        <w:footnoteReference w:id="27"/>
      </w:r>
      <w:r w:rsidR="00675C9A" w:rsidRPr="00675C9A">
        <w:rPr>
          <w:sz w:val="20"/>
          <w:lang w:val="es-MX"/>
        </w:rPr>
        <w:t>.</w:t>
      </w:r>
      <w:r w:rsidR="00675C9A">
        <w:rPr>
          <w:sz w:val="20"/>
          <w:lang w:val="es-MX"/>
        </w:rPr>
        <w:t xml:space="preserve"> </w:t>
      </w:r>
    </w:p>
    <w:p w:rsidR="00675C9A" w:rsidRPr="0016049F" w:rsidRDefault="00675C9A" w:rsidP="00675C9A">
      <w:pPr>
        <w:pStyle w:val="Listavistosa-nfasis1"/>
        <w:spacing w:after="0" w:line="240" w:lineRule="auto"/>
        <w:ind w:left="0"/>
        <w:contextualSpacing w:val="0"/>
        <w:rPr>
          <w:sz w:val="20"/>
          <w:lang w:val="es-MX"/>
        </w:rPr>
      </w:pPr>
    </w:p>
    <w:p w:rsidR="00486FD6" w:rsidRPr="00486FD6" w:rsidRDefault="00DE2ACC" w:rsidP="00486FD6">
      <w:pPr>
        <w:pStyle w:val="Listavistosa-nfasis1"/>
        <w:numPr>
          <w:ilvl w:val="0"/>
          <w:numId w:val="2"/>
        </w:numPr>
        <w:spacing w:after="0" w:line="240" w:lineRule="auto"/>
        <w:ind w:left="0" w:firstLine="0"/>
        <w:contextualSpacing w:val="0"/>
        <w:rPr>
          <w:sz w:val="20"/>
          <w:lang w:val="es-MX"/>
        </w:rPr>
      </w:pPr>
      <w:r w:rsidRPr="004C762D">
        <w:rPr>
          <w:sz w:val="20"/>
          <w:lang w:val="es-MX"/>
        </w:rPr>
        <w:t>Con respecto a la</w:t>
      </w:r>
      <w:r w:rsidR="004C762D" w:rsidRPr="004C762D">
        <w:rPr>
          <w:sz w:val="20"/>
          <w:lang w:val="es-MX"/>
        </w:rPr>
        <w:t>s</w:t>
      </w:r>
      <w:r w:rsidRPr="004C762D">
        <w:rPr>
          <w:sz w:val="20"/>
          <w:lang w:val="es-MX"/>
        </w:rPr>
        <w:t xml:space="preserve"> medida</w:t>
      </w:r>
      <w:r w:rsidR="004C762D" w:rsidRPr="004C762D">
        <w:rPr>
          <w:sz w:val="20"/>
          <w:lang w:val="es-MX"/>
        </w:rPr>
        <w:t>s</w:t>
      </w:r>
      <w:r w:rsidRPr="004C762D">
        <w:rPr>
          <w:sz w:val="20"/>
          <w:lang w:val="es-MX"/>
        </w:rPr>
        <w:t xml:space="preserve"> de </w:t>
      </w:r>
      <w:r w:rsidRPr="004C762D">
        <w:rPr>
          <w:i/>
          <w:sz w:val="20"/>
          <w:szCs w:val="20"/>
          <w:lang w:val="es-MX"/>
        </w:rPr>
        <w:t>brindar el tratamiento psicológico o psiquiátrico a las víctimas</w:t>
      </w:r>
      <w:r w:rsidR="004C762D" w:rsidRPr="004C762D">
        <w:rPr>
          <w:i/>
          <w:sz w:val="20"/>
          <w:szCs w:val="20"/>
          <w:lang w:val="es-MX"/>
        </w:rPr>
        <w:t xml:space="preserve">, </w:t>
      </w:r>
      <w:r w:rsidR="004C762D" w:rsidRPr="00AC0BC6">
        <w:rPr>
          <w:sz w:val="20"/>
          <w:szCs w:val="20"/>
          <w:lang w:val="es-MX"/>
        </w:rPr>
        <w:t>así como</w:t>
      </w:r>
      <w:r w:rsidR="004C762D" w:rsidRPr="004C762D">
        <w:rPr>
          <w:i/>
          <w:sz w:val="20"/>
          <w:szCs w:val="20"/>
          <w:lang w:val="es-MX"/>
        </w:rPr>
        <w:t xml:space="preserve"> pagar las cantidades por concepto de indemnizaciones para los tratamientos psicológico o psiquiátrico de los familiares de Nelson Carvajal Carvajal que se encuentran viviendo fuera de Colombia</w:t>
      </w:r>
      <w:r w:rsidRPr="004C762D">
        <w:rPr>
          <w:sz w:val="20"/>
          <w:lang w:val="es-MX"/>
        </w:rPr>
        <w:t>,</w:t>
      </w:r>
      <w:r w:rsidR="004C762D" w:rsidRPr="004C762D">
        <w:rPr>
          <w:sz w:val="20"/>
          <w:lang w:val="es-MX"/>
        </w:rPr>
        <w:t xml:space="preserve"> el </w:t>
      </w:r>
      <w:r w:rsidR="004C762D" w:rsidRPr="004C762D">
        <w:rPr>
          <w:i/>
          <w:sz w:val="20"/>
          <w:lang w:val="es-MX"/>
        </w:rPr>
        <w:t>Estado</w:t>
      </w:r>
      <w:r w:rsidR="00721B07">
        <w:rPr>
          <w:sz w:val="20"/>
          <w:lang w:val="es-MX"/>
        </w:rPr>
        <w:t xml:space="preserve"> señaló en junio de 2019 que en mayo de ese mismo año se realizó una reunión “entre la señora Miriam Carvajal</w:t>
      </w:r>
      <w:r w:rsidR="00200873">
        <w:rPr>
          <w:sz w:val="20"/>
          <w:lang w:val="es-MX"/>
        </w:rPr>
        <w:t xml:space="preserve"> Carvajal</w:t>
      </w:r>
      <w:r w:rsidR="00721B07">
        <w:rPr>
          <w:sz w:val="20"/>
          <w:lang w:val="es-MX"/>
        </w:rPr>
        <w:t>, el Ministerio de Salud y Protección Social y el Ministerio de Relaciones Exteriores” en la cual se “explicó detalladamente la oferta estatal disponible para el cumplimiento de la orden”</w:t>
      </w:r>
      <w:r w:rsidR="00157719" w:rsidRPr="004C762D">
        <w:rPr>
          <w:sz w:val="20"/>
          <w:lang w:val="es-MX"/>
        </w:rPr>
        <w:t>.</w:t>
      </w:r>
      <w:r w:rsidR="00721B07">
        <w:rPr>
          <w:sz w:val="20"/>
          <w:lang w:val="es-MX"/>
        </w:rPr>
        <w:t xml:space="preserve"> Colombia indicó que, con posterioridad a dicha reunión y la recepción de </w:t>
      </w:r>
      <w:r w:rsidR="00D512F7">
        <w:rPr>
          <w:sz w:val="20"/>
          <w:lang w:val="es-MX"/>
        </w:rPr>
        <w:t xml:space="preserve">la </w:t>
      </w:r>
      <w:r w:rsidR="00721B07">
        <w:rPr>
          <w:sz w:val="20"/>
          <w:lang w:val="es-MX"/>
        </w:rPr>
        <w:t>información que solicitó para la ejecución de la medida, “está realizando las gestiones pertinentes”</w:t>
      </w:r>
      <w:r w:rsidR="00721B07">
        <w:rPr>
          <w:rStyle w:val="Refdenotaalpie"/>
          <w:sz w:val="20"/>
          <w:lang w:val="es-MX"/>
        </w:rPr>
        <w:footnoteReference w:id="28"/>
      </w:r>
      <w:r w:rsidR="00721B07">
        <w:rPr>
          <w:sz w:val="20"/>
          <w:lang w:val="es-MX"/>
        </w:rPr>
        <w:t xml:space="preserve">. </w:t>
      </w:r>
      <w:r w:rsidR="004C762D" w:rsidRPr="004C762D">
        <w:rPr>
          <w:sz w:val="20"/>
          <w:lang w:val="es-MX"/>
        </w:rPr>
        <w:t xml:space="preserve">Por su parte, los </w:t>
      </w:r>
      <w:r w:rsidR="004C762D" w:rsidRPr="004C762D">
        <w:rPr>
          <w:i/>
          <w:sz w:val="20"/>
          <w:lang w:val="es-MX"/>
        </w:rPr>
        <w:t xml:space="preserve">representantes </w:t>
      </w:r>
      <w:r w:rsidR="004C762D" w:rsidRPr="004C762D">
        <w:rPr>
          <w:sz w:val="20"/>
          <w:lang w:val="es-MX"/>
        </w:rPr>
        <w:t>informaron al Estado en agosto de 2018 los nombres de las víctimas que residen en Colombia y que residen en el extranjero que solicitaron ser beneficiarios de la presente medida</w:t>
      </w:r>
      <w:r w:rsidR="004C762D">
        <w:rPr>
          <w:rStyle w:val="Refdenotaalpie"/>
          <w:sz w:val="20"/>
          <w:lang w:val="es-MX"/>
        </w:rPr>
        <w:footnoteReference w:id="29"/>
      </w:r>
      <w:r w:rsidR="004C762D" w:rsidRPr="004C762D">
        <w:rPr>
          <w:sz w:val="20"/>
          <w:lang w:val="es-MX"/>
        </w:rPr>
        <w:t>. A su vez, en septiembre de 2019, señalaron que si bien han reiterado al Estado dicha información “</w:t>
      </w:r>
      <w:r w:rsidR="004C762D" w:rsidRPr="004C762D">
        <w:rPr>
          <w:rFonts w:cs="Verdana"/>
          <w:sz w:val="20"/>
          <w:szCs w:val="20"/>
          <w:lang w:val="es-MX"/>
        </w:rPr>
        <w:t>en promedio cada dos meses y medio mediante reuniones presenciales, comunicaciones escritas y hasta comunicaciones telefónicas”, enfatizando “el carácter crítico de esta medida”, hasta ese momento “solamente Yaneth Cristina Carvajal Ardila […] ha recibido atención psicológica”. Resaltaron que “[n]ingún otro miembro de la familia identificado como víctima […] ha recibido atención psicológica o el monto ordenado por la Corte para cubrir dichos gastos</w:t>
      </w:r>
      <w:r w:rsidR="004C762D">
        <w:rPr>
          <w:rFonts w:cs="Verdana"/>
          <w:sz w:val="20"/>
          <w:szCs w:val="20"/>
          <w:lang w:val="es-MX"/>
        </w:rPr>
        <w:t>”</w:t>
      </w:r>
      <w:r w:rsidR="0021187D">
        <w:rPr>
          <w:rStyle w:val="Refdenotaalpie"/>
          <w:rFonts w:cs="Verdana"/>
          <w:sz w:val="20"/>
          <w:szCs w:val="20"/>
          <w:lang w:val="es-MX"/>
        </w:rPr>
        <w:footnoteReference w:id="30"/>
      </w:r>
      <w:r w:rsidR="004C762D">
        <w:rPr>
          <w:rFonts w:cs="Verdana"/>
          <w:sz w:val="20"/>
          <w:szCs w:val="20"/>
          <w:lang w:val="es-MX"/>
        </w:rPr>
        <w:t xml:space="preserve">. </w:t>
      </w:r>
      <w:r w:rsidR="00191631">
        <w:rPr>
          <w:rFonts w:cs="Verdana"/>
          <w:sz w:val="20"/>
          <w:szCs w:val="20"/>
          <w:lang w:val="es-MX"/>
        </w:rPr>
        <w:t xml:space="preserve">Al respecto, la </w:t>
      </w:r>
      <w:r w:rsidR="00191631">
        <w:rPr>
          <w:rFonts w:cs="Verdana"/>
          <w:i/>
          <w:sz w:val="20"/>
          <w:szCs w:val="20"/>
          <w:lang w:val="es-MX"/>
        </w:rPr>
        <w:t xml:space="preserve">Comisión Interamericana </w:t>
      </w:r>
      <w:r w:rsidR="00191631">
        <w:rPr>
          <w:rFonts w:cs="Verdana"/>
          <w:sz w:val="20"/>
          <w:szCs w:val="20"/>
          <w:lang w:val="es-MX"/>
        </w:rPr>
        <w:t>expresó su “preocupación ante la falta de celeridad y atención prioritaria otorgada por el Estado respecto a esta medida de reparación</w:t>
      </w:r>
      <w:r w:rsidR="00486FD6">
        <w:rPr>
          <w:sz w:val="20"/>
          <w:lang w:val="es-MX"/>
        </w:rPr>
        <w:t>”</w:t>
      </w:r>
      <w:r w:rsidR="00486FD6">
        <w:rPr>
          <w:rStyle w:val="Refdenotaalpie"/>
          <w:sz w:val="20"/>
          <w:lang w:val="es-MX"/>
        </w:rPr>
        <w:footnoteReference w:id="31"/>
      </w:r>
      <w:r w:rsidR="00486FD6" w:rsidRPr="00675C9A">
        <w:rPr>
          <w:sz w:val="20"/>
          <w:lang w:val="es-MX"/>
        </w:rPr>
        <w:t>.</w:t>
      </w:r>
    </w:p>
    <w:p w:rsidR="00486FD6" w:rsidRPr="00486FD6" w:rsidRDefault="00486FD6" w:rsidP="00486FD6">
      <w:pPr>
        <w:pStyle w:val="Listavistosa-nfasis1"/>
        <w:spacing w:after="0" w:line="240" w:lineRule="auto"/>
        <w:ind w:left="0"/>
        <w:contextualSpacing w:val="0"/>
        <w:rPr>
          <w:sz w:val="20"/>
          <w:lang w:val="es-MX"/>
        </w:rPr>
      </w:pPr>
    </w:p>
    <w:p w:rsidR="004C762D" w:rsidRDefault="00FA42F4" w:rsidP="00C05A8A">
      <w:pPr>
        <w:pStyle w:val="Listavistosa-nfasis1"/>
        <w:numPr>
          <w:ilvl w:val="0"/>
          <w:numId w:val="2"/>
        </w:numPr>
        <w:spacing w:after="0" w:line="240" w:lineRule="auto"/>
        <w:ind w:left="0" w:firstLine="0"/>
        <w:contextualSpacing w:val="0"/>
        <w:rPr>
          <w:rFonts w:cs="Verdana"/>
          <w:sz w:val="20"/>
          <w:szCs w:val="20"/>
          <w:lang w:val="es-MX"/>
        </w:rPr>
      </w:pPr>
      <w:r w:rsidRPr="00FA42F4">
        <w:rPr>
          <w:sz w:val="20"/>
          <w:lang w:val="es-MX"/>
        </w:rPr>
        <w:t xml:space="preserve">Respecto a la medida relativa a que el Estado debe </w:t>
      </w:r>
      <w:r w:rsidRPr="00FA42F4">
        <w:rPr>
          <w:i/>
          <w:sz w:val="20"/>
          <w:szCs w:val="20"/>
          <w:lang w:val="es-MX"/>
        </w:rPr>
        <w:t xml:space="preserve">remitir los informes periódicos que envía a los organismos especializados de la OEA y de las Naciones Unidas, relacionados con las medidas implementadas para la prevención y protección de los periodistas en Colombia, con el propósito de evaluar el cumplimiento de las restantes medidas de reparación dispuestas en la Sentencia, </w:t>
      </w:r>
      <w:r w:rsidRPr="00FA42F4">
        <w:rPr>
          <w:sz w:val="20"/>
          <w:szCs w:val="20"/>
          <w:lang w:val="es-MX"/>
        </w:rPr>
        <w:t xml:space="preserve">el Tribunal observa que </w:t>
      </w:r>
      <w:r w:rsidRPr="00FA42F4">
        <w:rPr>
          <w:i/>
          <w:sz w:val="20"/>
          <w:szCs w:val="20"/>
          <w:lang w:val="es-MX"/>
        </w:rPr>
        <w:t>Colombia</w:t>
      </w:r>
      <w:r w:rsidRPr="00FA42F4">
        <w:rPr>
          <w:sz w:val="20"/>
          <w:szCs w:val="20"/>
          <w:lang w:val="es-MX"/>
        </w:rPr>
        <w:t xml:space="preserve"> no ha presentado información al respecto, mientras que los </w:t>
      </w:r>
      <w:r w:rsidRPr="00FA42F4">
        <w:rPr>
          <w:i/>
          <w:sz w:val="20"/>
          <w:szCs w:val="20"/>
          <w:lang w:val="es-MX"/>
        </w:rPr>
        <w:t xml:space="preserve">representantes </w:t>
      </w:r>
      <w:r w:rsidRPr="00FA42F4">
        <w:rPr>
          <w:sz w:val="20"/>
          <w:szCs w:val="20"/>
          <w:lang w:val="es-MX"/>
        </w:rPr>
        <w:t>indicaron que “</w:t>
      </w:r>
      <w:r w:rsidRPr="00FA42F4">
        <w:rPr>
          <w:rFonts w:cs="Verdana"/>
          <w:sz w:val="20"/>
          <w:szCs w:val="20"/>
          <w:lang w:val="es-MX"/>
        </w:rPr>
        <w:t>sería importante que el Estado informe sobre toda la información relacionada sobre estos temas que haya sido puesta en conocimiento de organismos internacionales y con base en ello los representantes podría</w:t>
      </w:r>
      <w:r w:rsidR="009E7A38">
        <w:rPr>
          <w:rFonts w:cs="Verdana"/>
          <w:sz w:val="20"/>
          <w:szCs w:val="20"/>
          <w:lang w:val="es-MX"/>
        </w:rPr>
        <w:t>[n]</w:t>
      </w:r>
      <w:r w:rsidRPr="00FA42F4">
        <w:rPr>
          <w:rFonts w:cs="Verdana"/>
          <w:sz w:val="20"/>
          <w:szCs w:val="20"/>
          <w:lang w:val="es-MX"/>
        </w:rPr>
        <w:t xml:space="preserve"> remitir </w:t>
      </w:r>
      <w:r w:rsidR="009E7A38">
        <w:rPr>
          <w:rFonts w:cs="Verdana"/>
          <w:sz w:val="20"/>
          <w:szCs w:val="20"/>
          <w:lang w:val="es-MX"/>
        </w:rPr>
        <w:t>[sus]</w:t>
      </w:r>
      <w:r>
        <w:rPr>
          <w:rFonts w:cs="Verdana"/>
          <w:sz w:val="20"/>
          <w:szCs w:val="20"/>
          <w:lang w:val="es-MX"/>
        </w:rPr>
        <w:t xml:space="preserve"> </w:t>
      </w:r>
      <w:r w:rsidRPr="00FA42F4">
        <w:rPr>
          <w:rFonts w:cs="Verdana"/>
          <w:sz w:val="20"/>
          <w:szCs w:val="20"/>
          <w:lang w:val="es-MX"/>
        </w:rPr>
        <w:t>observaciones</w:t>
      </w:r>
      <w:r>
        <w:rPr>
          <w:rFonts w:cs="Verdana"/>
          <w:sz w:val="20"/>
          <w:szCs w:val="20"/>
          <w:lang w:val="es-MX"/>
        </w:rPr>
        <w:t>”</w:t>
      </w:r>
      <w:r>
        <w:rPr>
          <w:rStyle w:val="Refdenotaalpie"/>
          <w:rFonts w:cs="Verdana"/>
          <w:sz w:val="20"/>
          <w:szCs w:val="20"/>
          <w:lang w:val="es-MX"/>
        </w:rPr>
        <w:footnoteReference w:id="32"/>
      </w:r>
      <w:r w:rsidRPr="00FA42F4">
        <w:rPr>
          <w:rFonts w:cs="Verdana"/>
          <w:sz w:val="20"/>
          <w:szCs w:val="20"/>
          <w:lang w:val="es-MX"/>
        </w:rPr>
        <w:t>.</w:t>
      </w:r>
    </w:p>
    <w:p w:rsidR="00FA42F4" w:rsidRDefault="00FA42F4" w:rsidP="00FA42F4">
      <w:pPr>
        <w:pStyle w:val="Listavistosa-nfasis1"/>
        <w:spacing w:after="0" w:line="240" w:lineRule="auto"/>
        <w:ind w:left="0"/>
        <w:contextualSpacing w:val="0"/>
        <w:rPr>
          <w:rFonts w:cs="Verdana"/>
          <w:sz w:val="20"/>
          <w:szCs w:val="20"/>
          <w:lang w:val="es-MX"/>
        </w:rPr>
      </w:pPr>
    </w:p>
    <w:p w:rsidR="00456AE8" w:rsidRPr="004A549E" w:rsidRDefault="00FA42F4" w:rsidP="00456AE8">
      <w:pPr>
        <w:pStyle w:val="Listavistosa-nfasis1"/>
        <w:numPr>
          <w:ilvl w:val="0"/>
          <w:numId w:val="2"/>
        </w:numPr>
        <w:spacing w:after="0" w:line="240" w:lineRule="auto"/>
        <w:ind w:left="0" w:firstLine="0"/>
        <w:contextualSpacing w:val="0"/>
        <w:rPr>
          <w:rFonts w:cs="Verdana"/>
          <w:sz w:val="20"/>
          <w:szCs w:val="20"/>
          <w:lang w:val="es-MX"/>
        </w:rPr>
      </w:pPr>
      <w:r>
        <w:rPr>
          <w:rFonts w:cs="Verdana"/>
          <w:sz w:val="20"/>
          <w:szCs w:val="20"/>
          <w:lang w:val="es-MX"/>
        </w:rPr>
        <w:t xml:space="preserve">En relación con el </w:t>
      </w:r>
      <w:r w:rsidRPr="00FA42F4">
        <w:rPr>
          <w:rFonts w:cs="Verdana"/>
          <w:i/>
          <w:sz w:val="20"/>
          <w:szCs w:val="20"/>
          <w:lang w:val="es-MX"/>
        </w:rPr>
        <w:t>pago de indemnizaciones por concepto de daños materiales e inmateriales y reintegro de costas y gastos</w:t>
      </w:r>
      <w:r>
        <w:rPr>
          <w:rFonts w:cs="Verdana"/>
          <w:sz w:val="20"/>
          <w:szCs w:val="20"/>
          <w:lang w:val="es-MX"/>
        </w:rPr>
        <w:t xml:space="preserve">, </w:t>
      </w:r>
      <w:r w:rsidR="00456AE8">
        <w:rPr>
          <w:rFonts w:cs="Verdana"/>
          <w:sz w:val="20"/>
          <w:szCs w:val="20"/>
          <w:lang w:val="es-MX"/>
        </w:rPr>
        <w:t xml:space="preserve">el </w:t>
      </w:r>
      <w:r w:rsidR="00456AE8">
        <w:rPr>
          <w:rFonts w:cs="Verdana"/>
          <w:i/>
          <w:sz w:val="20"/>
          <w:szCs w:val="20"/>
          <w:lang w:val="es-MX"/>
        </w:rPr>
        <w:t xml:space="preserve">Estado </w:t>
      </w:r>
      <w:r w:rsidR="00456AE8">
        <w:rPr>
          <w:rFonts w:cs="Verdana"/>
          <w:sz w:val="20"/>
          <w:szCs w:val="20"/>
          <w:lang w:val="es-MX"/>
        </w:rPr>
        <w:t>señaló en junio de 2019 que “está realizando las gestiones necesarias para dar cumplimiento a la presente orden a la brevedad posible”</w:t>
      </w:r>
      <w:r w:rsidR="00D178B6">
        <w:rPr>
          <w:rStyle w:val="Refdenotaalpie"/>
          <w:sz w:val="20"/>
          <w:lang w:val="es-MX"/>
        </w:rPr>
        <w:footnoteReference w:id="33"/>
      </w:r>
      <w:r w:rsidR="00456AE8">
        <w:rPr>
          <w:rFonts w:cs="Verdana"/>
          <w:sz w:val="20"/>
          <w:szCs w:val="20"/>
          <w:lang w:val="es-MX"/>
        </w:rPr>
        <w:t>.</w:t>
      </w:r>
      <w:r w:rsidR="00D178B6">
        <w:rPr>
          <w:rFonts w:cs="Verdana"/>
          <w:sz w:val="20"/>
          <w:szCs w:val="20"/>
          <w:lang w:val="es-MX"/>
        </w:rPr>
        <w:t xml:space="preserve"> </w:t>
      </w:r>
      <w:r w:rsidR="00456AE8">
        <w:rPr>
          <w:rFonts w:cs="Verdana"/>
          <w:sz w:val="20"/>
          <w:szCs w:val="20"/>
          <w:lang w:val="es-MX"/>
        </w:rPr>
        <w:t xml:space="preserve">Por su parte, los </w:t>
      </w:r>
      <w:r w:rsidR="00456AE8">
        <w:rPr>
          <w:rFonts w:cs="Verdana"/>
          <w:i/>
          <w:sz w:val="20"/>
          <w:szCs w:val="20"/>
          <w:lang w:val="es-MX"/>
        </w:rPr>
        <w:t xml:space="preserve">representantes </w:t>
      </w:r>
      <w:r w:rsidR="00456AE8">
        <w:rPr>
          <w:rFonts w:cs="Verdana"/>
          <w:sz w:val="20"/>
          <w:szCs w:val="20"/>
          <w:lang w:val="es-MX"/>
        </w:rPr>
        <w:t xml:space="preserve">señalaron que si bien remitieron al Estado la “información bancaria” pertinente para la tramitación de los referidos pagos, éstos no se </w:t>
      </w:r>
      <w:r w:rsidR="00456AE8" w:rsidRPr="004A549E">
        <w:rPr>
          <w:rFonts w:cs="Verdana"/>
          <w:sz w:val="20"/>
          <w:szCs w:val="20"/>
          <w:lang w:val="es-MX"/>
        </w:rPr>
        <w:t>han realizado aún</w:t>
      </w:r>
      <w:r w:rsidR="00D178B6" w:rsidRPr="004A549E">
        <w:rPr>
          <w:rStyle w:val="Refdenotaalpie"/>
          <w:sz w:val="20"/>
          <w:lang w:val="es-MX"/>
        </w:rPr>
        <w:footnoteReference w:id="34"/>
      </w:r>
      <w:r w:rsidR="00456AE8" w:rsidRPr="004A549E">
        <w:rPr>
          <w:rFonts w:cs="Verdana"/>
          <w:sz w:val="20"/>
          <w:szCs w:val="20"/>
          <w:lang w:val="es-MX"/>
        </w:rPr>
        <w:t xml:space="preserve">. </w:t>
      </w:r>
    </w:p>
    <w:p w:rsidR="00456AE8" w:rsidRPr="004A549E" w:rsidRDefault="00456AE8" w:rsidP="00456AE8">
      <w:pPr>
        <w:pStyle w:val="Listavistosa-nfasis1"/>
        <w:spacing w:after="0" w:line="240" w:lineRule="auto"/>
        <w:ind w:left="0"/>
        <w:contextualSpacing w:val="0"/>
        <w:rPr>
          <w:rFonts w:cs="Verdana"/>
          <w:sz w:val="20"/>
          <w:szCs w:val="20"/>
          <w:lang w:val="es-MX"/>
        </w:rPr>
      </w:pPr>
    </w:p>
    <w:p w:rsidR="00456AE8" w:rsidRPr="004A549E" w:rsidRDefault="00D178B6" w:rsidP="00456AE8">
      <w:pPr>
        <w:pStyle w:val="Listavistosa-nfasis1"/>
        <w:numPr>
          <w:ilvl w:val="0"/>
          <w:numId w:val="2"/>
        </w:numPr>
        <w:spacing w:after="0" w:line="240" w:lineRule="auto"/>
        <w:ind w:left="0" w:firstLine="0"/>
        <w:contextualSpacing w:val="0"/>
        <w:rPr>
          <w:rFonts w:cs="Verdana"/>
          <w:sz w:val="20"/>
          <w:szCs w:val="20"/>
          <w:lang w:val="es-MX"/>
        </w:rPr>
      </w:pPr>
      <w:r w:rsidRPr="004A549E">
        <w:rPr>
          <w:rFonts w:cs="Verdana"/>
          <w:sz w:val="20"/>
          <w:szCs w:val="20"/>
          <w:lang w:val="es-MX"/>
        </w:rPr>
        <w:t>Tomando en consideración que en la ejecución de las referidas medidas (</w:t>
      </w:r>
      <w:r w:rsidRPr="004A549E">
        <w:rPr>
          <w:rFonts w:cs="Verdana"/>
          <w:i/>
          <w:sz w:val="20"/>
          <w:szCs w:val="20"/>
          <w:lang w:val="es-MX"/>
        </w:rPr>
        <w:t xml:space="preserve">supra </w:t>
      </w:r>
      <w:r w:rsidRPr="004A549E">
        <w:rPr>
          <w:rFonts w:cs="Verdana"/>
          <w:sz w:val="20"/>
          <w:szCs w:val="20"/>
          <w:lang w:val="es-MX"/>
        </w:rPr>
        <w:t xml:space="preserve">Considerandos </w:t>
      </w:r>
      <w:r w:rsidR="009E7A38">
        <w:rPr>
          <w:rFonts w:cs="Verdana"/>
          <w:sz w:val="20"/>
          <w:szCs w:val="20"/>
          <w:lang w:val="es-MX"/>
        </w:rPr>
        <w:t>1</w:t>
      </w:r>
      <w:r w:rsidR="00041B9B">
        <w:rPr>
          <w:rFonts w:cs="Verdana"/>
          <w:sz w:val="20"/>
          <w:szCs w:val="20"/>
          <w:lang w:val="es-MX"/>
        </w:rPr>
        <w:t>6</w:t>
      </w:r>
      <w:r w:rsidR="009E7A38">
        <w:rPr>
          <w:rFonts w:cs="Verdana"/>
          <w:sz w:val="20"/>
          <w:szCs w:val="20"/>
          <w:lang w:val="es-MX"/>
        </w:rPr>
        <w:t xml:space="preserve"> a 20</w:t>
      </w:r>
      <w:r w:rsidRPr="004A549E">
        <w:rPr>
          <w:rFonts w:cs="Verdana"/>
          <w:sz w:val="20"/>
          <w:szCs w:val="20"/>
          <w:lang w:val="es-MX"/>
        </w:rPr>
        <w:t xml:space="preserve">) no se han verificado avances </w:t>
      </w:r>
      <w:r w:rsidR="00A26C3A">
        <w:rPr>
          <w:rFonts w:cs="Verdana"/>
          <w:sz w:val="20"/>
          <w:szCs w:val="20"/>
          <w:lang w:val="es-MX"/>
        </w:rPr>
        <w:t xml:space="preserve">sustantivos </w:t>
      </w:r>
      <w:r w:rsidR="00E348DB" w:rsidRPr="004A549E">
        <w:rPr>
          <w:rFonts w:cs="Verdana"/>
          <w:sz w:val="20"/>
          <w:szCs w:val="20"/>
          <w:lang w:val="es-MX"/>
        </w:rPr>
        <w:t>en</w:t>
      </w:r>
      <w:r w:rsidRPr="004A549E">
        <w:rPr>
          <w:rFonts w:cs="Verdana"/>
          <w:sz w:val="20"/>
          <w:szCs w:val="20"/>
          <w:lang w:val="es-MX"/>
        </w:rPr>
        <w:t xml:space="preserve"> su cumplimiento, el Tribunal estima pertinente requerir al Estado de Colombia que remita, dentro del plazo establecido en el punto resolutivo </w:t>
      </w:r>
      <w:r w:rsidR="00787DC8">
        <w:rPr>
          <w:rFonts w:cs="Verdana"/>
          <w:sz w:val="20"/>
          <w:szCs w:val="20"/>
          <w:lang w:val="es-MX"/>
        </w:rPr>
        <w:t>cuarto</w:t>
      </w:r>
      <w:r w:rsidRPr="004A549E">
        <w:rPr>
          <w:rFonts w:cs="Verdana"/>
          <w:sz w:val="20"/>
          <w:szCs w:val="20"/>
          <w:lang w:val="es-MX"/>
        </w:rPr>
        <w:t xml:space="preserve"> de la presente Resolución, un informe que contenga información </w:t>
      </w:r>
      <w:r w:rsidR="002C724E" w:rsidRPr="004A549E">
        <w:rPr>
          <w:rFonts w:cs="Verdana"/>
          <w:sz w:val="20"/>
          <w:szCs w:val="20"/>
          <w:lang w:val="es-MX"/>
        </w:rPr>
        <w:t xml:space="preserve">completa, </w:t>
      </w:r>
      <w:r w:rsidRPr="004A549E">
        <w:rPr>
          <w:rFonts w:cs="Verdana"/>
          <w:sz w:val="20"/>
          <w:szCs w:val="20"/>
          <w:lang w:val="es-MX"/>
        </w:rPr>
        <w:t>actualizada y detallada respecto de cada una de las medidas pendientes de cumplimiento. En particular, s</w:t>
      </w:r>
      <w:r w:rsidR="002C724E" w:rsidRPr="004A549E">
        <w:rPr>
          <w:rFonts w:cs="Verdana"/>
          <w:sz w:val="20"/>
          <w:szCs w:val="20"/>
          <w:lang w:val="es-MX"/>
        </w:rPr>
        <w:t xml:space="preserve">e requiere que se refiera: </w:t>
      </w:r>
    </w:p>
    <w:p w:rsidR="002C724E" w:rsidRPr="004A549E" w:rsidRDefault="002C724E" w:rsidP="002C724E">
      <w:pPr>
        <w:pStyle w:val="Listavistosa-nfasis1"/>
        <w:spacing w:after="0" w:line="240" w:lineRule="auto"/>
        <w:contextualSpacing w:val="0"/>
        <w:rPr>
          <w:rFonts w:cs="Verdana"/>
          <w:sz w:val="20"/>
          <w:szCs w:val="20"/>
          <w:lang w:val="es-MX"/>
        </w:rPr>
      </w:pPr>
    </w:p>
    <w:p w:rsidR="004A549E" w:rsidRPr="00F1350B" w:rsidRDefault="004A549E" w:rsidP="002C724E">
      <w:pPr>
        <w:pStyle w:val="Listavistosa-nfasis1"/>
        <w:numPr>
          <w:ilvl w:val="0"/>
          <w:numId w:val="12"/>
        </w:numPr>
        <w:spacing w:after="0" w:line="240" w:lineRule="auto"/>
        <w:contextualSpacing w:val="0"/>
        <w:rPr>
          <w:rFonts w:cs="Verdana"/>
          <w:sz w:val="20"/>
          <w:szCs w:val="20"/>
          <w:lang w:val="es-MX"/>
        </w:rPr>
      </w:pPr>
      <w:r>
        <w:rPr>
          <w:sz w:val="20"/>
          <w:szCs w:val="20"/>
          <w:lang w:val="es-MX"/>
        </w:rPr>
        <w:t>Respecto a la obligación de investigar, juzgar y, de ser el caso, sancionar:</w:t>
      </w:r>
    </w:p>
    <w:p w:rsidR="00F1350B" w:rsidRPr="004A549E" w:rsidRDefault="00F1350B" w:rsidP="00F1350B">
      <w:pPr>
        <w:pStyle w:val="Listavistosa-nfasis1"/>
        <w:spacing w:after="0" w:line="240" w:lineRule="auto"/>
        <w:contextualSpacing w:val="0"/>
        <w:rPr>
          <w:rFonts w:cs="Verdana"/>
          <w:sz w:val="20"/>
          <w:szCs w:val="20"/>
          <w:lang w:val="es-MX"/>
        </w:rPr>
      </w:pPr>
    </w:p>
    <w:p w:rsidR="004A549E" w:rsidRPr="00F1350B" w:rsidRDefault="004A549E" w:rsidP="004A549E">
      <w:pPr>
        <w:pStyle w:val="Listavistosa-nfasis1"/>
        <w:numPr>
          <w:ilvl w:val="1"/>
          <w:numId w:val="12"/>
        </w:numPr>
        <w:spacing w:after="0" w:line="240" w:lineRule="auto"/>
        <w:contextualSpacing w:val="0"/>
        <w:rPr>
          <w:rFonts w:cs="Verdana"/>
          <w:sz w:val="20"/>
          <w:szCs w:val="20"/>
          <w:lang w:val="es-MX"/>
        </w:rPr>
      </w:pPr>
      <w:r>
        <w:rPr>
          <w:sz w:val="20"/>
          <w:szCs w:val="20"/>
          <w:lang w:val="es-MX"/>
        </w:rPr>
        <w:t>c</w:t>
      </w:r>
      <w:r w:rsidR="002C724E" w:rsidRPr="004A549E">
        <w:rPr>
          <w:sz w:val="20"/>
          <w:szCs w:val="20"/>
          <w:lang w:val="es-MX"/>
        </w:rPr>
        <w:t xml:space="preserve">uáles son </w:t>
      </w:r>
      <w:r w:rsidR="002C724E" w:rsidRPr="004A549E">
        <w:rPr>
          <w:sz w:val="20"/>
          <w:szCs w:val="20"/>
          <w:lang w:val="es-CR"/>
        </w:rPr>
        <w:t>las diligencias sustantivas necesarias para avanzar en las investigaciones y procesos respectivos, así como un cronograma sobre la ejecución de las mismas</w:t>
      </w:r>
      <w:r>
        <w:rPr>
          <w:sz w:val="20"/>
          <w:szCs w:val="20"/>
          <w:lang w:val="es-CR"/>
        </w:rPr>
        <w:t>, y</w:t>
      </w:r>
    </w:p>
    <w:p w:rsidR="002C724E" w:rsidRPr="00F1350B" w:rsidRDefault="004A549E" w:rsidP="004A549E">
      <w:pPr>
        <w:pStyle w:val="Listavistosa-nfasis1"/>
        <w:numPr>
          <w:ilvl w:val="1"/>
          <w:numId w:val="12"/>
        </w:numPr>
        <w:spacing w:after="0" w:line="240" w:lineRule="auto"/>
        <w:contextualSpacing w:val="0"/>
        <w:rPr>
          <w:rFonts w:cs="Verdana"/>
          <w:sz w:val="20"/>
          <w:szCs w:val="20"/>
          <w:lang w:val="es-MX"/>
        </w:rPr>
      </w:pPr>
      <w:r w:rsidRPr="004A549E">
        <w:rPr>
          <w:sz w:val="20"/>
          <w:lang w:val="es-MX"/>
        </w:rPr>
        <w:t>e</w:t>
      </w:r>
      <w:r w:rsidR="002C724E" w:rsidRPr="004A549E">
        <w:rPr>
          <w:sz w:val="20"/>
          <w:lang w:val="es-MX"/>
        </w:rPr>
        <w:t>l estado en el cual se encuentra el “pronunciamiento de la Corte Suprema de Justicia” sobre la “revisión de fallos absolutorios que se dieron al inicio de la investigación por el homicidio del señor Nelson Carvajal”</w:t>
      </w:r>
      <w:r w:rsidR="00041B9B">
        <w:rPr>
          <w:sz w:val="20"/>
          <w:lang w:val="es-MX"/>
        </w:rPr>
        <w:t xml:space="preserve"> (</w:t>
      </w:r>
      <w:r w:rsidR="00041B9B">
        <w:rPr>
          <w:i/>
          <w:sz w:val="20"/>
          <w:lang w:val="es-MX"/>
        </w:rPr>
        <w:t xml:space="preserve">supra </w:t>
      </w:r>
      <w:r w:rsidR="00041B9B">
        <w:rPr>
          <w:sz w:val="20"/>
          <w:lang w:val="es-MX"/>
        </w:rPr>
        <w:t>Considerando 17)</w:t>
      </w:r>
      <w:r w:rsidR="00F1350B">
        <w:rPr>
          <w:sz w:val="20"/>
          <w:lang w:val="es-MX"/>
        </w:rPr>
        <w:t>.</w:t>
      </w:r>
    </w:p>
    <w:p w:rsidR="00F1350B" w:rsidRPr="004A549E" w:rsidRDefault="00F1350B" w:rsidP="00F1350B">
      <w:pPr>
        <w:pStyle w:val="Listavistosa-nfasis1"/>
        <w:spacing w:after="0" w:line="240" w:lineRule="auto"/>
        <w:ind w:left="1440"/>
        <w:contextualSpacing w:val="0"/>
        <w:rPr>
          <w:rFonts w:cs="Verdana"/>
          <w:sz w:val="20"/>
          <w:szCs w:val="20"/>
          <w:lang w:val="es-MX"/>
        </w:rPr>
      </w:pPr>
    </w:p>
    <w:p w:rsidR="004A549E" w:rsidRPr="00F1350B" w:rsidRDefault="004A549E" w:rsidP="002C724E">
      <w:pPr>
        <w:pStyle w:val="Listavistosa-nfasis1"/>
        <w:numPr>
          <w:ilvl w:val="0"/>
          <w:numId w:val="12"/>
        </w:numPr>
        <w:spacing w:after="0" w:line="240" w:lineRule="auto"/>
        <w:contextualSpacing w:val="0"/>
        <w:rPr>
          <w:rFonts w:cs="Verdana"/>
          <w:sz w:val="20"/>
          <w:szCs w:val="20"/>
          <w:lang w:val="es-MX"/>
        </w:rPr>
      </w:pPr>
      <w:r>
        <w:rPr>
          <w:sz w:val="20"/>
          <w:szCs w:val="20"/>
          <w:lang w:val="es-CR"/>
        </w:rPr>
        <w:t>E</w:t>
      </w:r>
      <w:r w:rsidRPr="004A549E">
        <w:rPr>
          <w:sz w:val="20"/>
          <w:szCs w:val="20"/>
          <w:lang w:val="es-CR"/>
        </w:rPr>
        <w:t xml:space="preserve">n relación con brindar tratamiento psicológico o psiquiátrico a las víctimas, </w:t>
      </w:r>
      <w:r w:rsidR="009E7A38">
        <w:rPr>
          <w:sz w:val="20"/>
          <w:szCs w:val="20"/>
          <w:lang w:val="es-CR"/>
        </w:rPr>
        <w:t xml:space="preserve">que </w:t>
      </w:r>
      <w:r w:rsidRPr="004A549E">
        <w:rPr>
          <w:sz w:val="20"/>
          <w:szCs w:val="20"/>
          <w:lang w:val="es-CR"/>
        </w:rPr>
        <w:t>el Estado señale en qué consiste la “oferta estatal” brindada a las víctimas para dicho efecto, así como e</w:t>
      </w:r>
      <w:r w:rsidR="002C724E" w:rsidRPr="004A549E">
        <w:rPr>
          <w:sz w:val="20"/>
          <w:szCs w:val="20"/>
          <w:lang w:val="es-CR"/>
        </w:rPr>
        <w:t>l avance en las “gestiones pertinentes” para que</w:t>
      </w:r>
      <w:r w:rsidRPr="004A549E">
        <w:rPr>
          <w:sz w:val="20"/>
          <w:szCs w:val="20"/>
          <w:lang w:val="es-CR"/>
        </w:rPr>
        <w:t>:</w:t>
      </w:r>
      <w:r w:rsidR="002C724E" w:rsidRPr="004A549E">
        <w:rPr>
          <w:sz w:val="20"/>
          <w:szCs w:val="20"/>
          <w:lang w:val="es-CR"/>
        </w:rPr>
        <w:t xml:space="preserve"> </w:t>
      </w:r>
    </w:p>
    <w:p w:rsidR="00F1350B" w:rsidRPr="004A549E" w:rsidRDefault="00F1350B" w:rsidP="00F1350B">
      <w:pPr>
        <w:pStyle w:val="Listavistosa-nfasis1"/>
        <w:spacing w:after="0" w:line="240" w:lineRule="auto"/>
        <w:contextualSpacing w:val="0"/>
        <w:rPr>
          <w:rFonts w:cs="Verdana"/>
          <w:sz w:val="20"/>
          <w:szCs w:val="20"/>
          <w:lang w:val="es-MX"/>
        </w:rPr>
      </w:pPr>
    </w:p>
    <w:p w:rsidR="004A549E" w:rsidRPr="00F1350B" w:rsidRDefault="002C724E" w:rsidP="004A549E">
      <w:pPr>
        <w:pStyle w:val="Listavistosa-nfasis1"/>
        <w:numPr>
          <w:ilvl w:val="1"/>
          <w:numId w:val="12"/>
        </w:numPr>
        <w:spacing w:after="0" w:line="240" w:lineRule="auto"/>
        <w:contextualSpacing w:val="0"/>
        <w:rPr>
          <w:rFonts w:cs="Verdana"/>
          <w:sz w:val="20"/>
          <w:szCs w:val="20"/>
          <w:lang w:val="es-MX"/>
        </w:rPr>
      </w:pPr>
      <w:r w:rsidRPr="004A549E">
        <w:rPr>
          <w:sz w:val="20"/>
          <w:szCs w:val="20"/>
          <w:lang w:val="es-CR"/>
        </w:rPr>
        <w:t xml:space="preserve">las víctimas residentes en Colombia </w:t>
      </w:r>
      <w:r w:rsidR="004A549E" w:rsidRPr="004A549E">
        <w:rPr>
          <w:sz w:val="20"/>
          <w:szCs w:val="20"/>
          <w:lang w:val="es-CR"/>
        </w:rPr>
        <w:t>sean beneficiarias de la referida medida de rehabilitación a la mayor brevedad posible, y</w:t>
      </w:r>
    </w:p>
    <w:p w:rsidR="004A549E" w:rsidRPr="004A549E" w:rsidRDefault="004A549E" w:rsidP="004A549E">
      <w:pPr>
        <w:pStyle w:val="Listavistosa-nfasis1"/>
        <w:numPr>
          <w:ilvl w:val="1"/>
          <w:numId w:val="12"/>
        </w:numPr>
        <w:spacing w:after="0" w:line="240" w:lineRule="auto"/>
        <w:contextualSpacing w:val="0"/>
        <w:rPr>
          <w:rFonts w:cs="Verdana"/>
          <w:sz w:val="20"/>
          <w:szCs w:val="20"/>
          <w:lang w:val="es-MX"/>
        </w:rPr>
      </w:pPr>
      <w:r w:rsidRPr="004A549E">
        <w:rPr>
          <w:sz w:val="20"/>
          <w:szCs w:val="20"/>
          <w:lang w:val="es-MX"/>
        </w:rPr>
        <w:t>las víctimas residentes fuera de Colombia reciban el pago de la suma establecida en la Sentencia, para que puedan cubrir los gastos respectivos.</w:t>
      </w:r>
    </w:p>
    <w:p w:rsidR="00F1350B" w:rsidRDefault="00F1350B" w:rsidP="00191722">
      <w:pPr>
        <w:pStyle w:val="Listavistosa-nfasis1"/>
        <w:spacing w:after="0" w:line="240" w:lineRule="auto"/>
        <w:ind w:left="0"/>
        <w:contextualSpacing w:val="0"/>
        <w:rPr>
          <w:b/>
          <w:sz w:val="20"/>
          <w:szCs w:val="20"/>
          <w:lang w:val="es-MX"/>
        </w:rPr>
      </w:pPr>
    </w:p>
    <w:p w:rsidR="009F78E3" w:rsidRPr="005366E3" w:rsidRDefault="009F78E3" w:rsidP="00191722">
      <w:pPr>
        <w:pStyle w:val="Listavistosa-nfasis1"/>
        <w:spacing w:after="0" w:line="240" w:lineRule="auto"/>
        <w:ind w:left="0"/>
        <w:contextualSpacing w:val="0"/>
        <w:rPr>
          <w:b/>
          <w:sz w:val="20"/>
          <w:szCs w:val="20"/>
          <w:lang w:val="es-MX"/>
        </w:rPr>
      </w:pPr>
      <w:r>
        <w:rPr>
          <w:b/>
          <w:sz w:val="20"/>
          <w:szCs w:val="20"/>
          <w:lang w:val="es-MX"/>
        </w:rPr>
        <w:t>POR TANTO:</w:t>
      </w:r>
    </w:p>
    <w:p w:rsidR="005366E3" w:rsidRDefault="005366E3" w:rsidP="005B54DD">
      <w:pPr>
        <w:pStyle w:val="Textoindependiente"/>
        <w:tabs>
          <w:tab w:val="left" w:pos="360"/>
          <w:tab w:val="left" w:pos="567"/>
        </w:tabs>
        <w:spacing w:after="0" w:line="240" w:lineRule="auto"/>
        <w:rPr>
          <w:rFonts w:ascii="Verdana" w:hAnsi="Verdana"/>
          <w:b/>
          <w:sz w:val="20"/>
          <w:lang w:val="es-CR"/>
        </w:rPr>
      </w:pPr>
    </w:p>
    <w:p w:rsidR="001665BB" w:rsidRDefault="009F78E3" w:rsidP="005B54DD">
      <w:pPr>
        <w:pStyle w:val="Textoindependiente"/>
        <w:tabs>
          <w:tab w:val="left" w:pos="360"/>
          <w:tab w:val="left" w:pos="567"/>
        </w:tabs>
        <w:spacing w:after="0" w:line="240" w:lineRule="auto"/>
        <w:rPr>
          <w:rFonts w:ascii="Verdana" w:hAnsi="Verdana"/>
          <w:b/>
          <w:sz w:val="20"/>
          <w:lang w:val="es-CR"/>
        </w:rPr>
      </w:pPr>
      <w:r w:rsidRPr="00C16F1F">
        <w:rPr>
          <w:rFonts w:ascii="Verdana" w:hAnsi="Verdana"/>
          <w:b/>
          <w:sz w:val="20"/>
          <w:lang w:val="es-CR"/>
        </w:rPr>
        <w:t>LA CORTE INTERAMERICANA DE DERECHOS HUMANOS,</w:t>
      </w:r>
    </w:p>
    <w:p w:rsidR="00C32274" w:rsidRDefault="00C32274" w:rsidP="005B54DD">
      <w:pPr>
        <w:pStyle w:val="Textoindependiente"/>
        <w:tabs>
          <w:tab w:val="left" w:pos="360"/>
          <w:tab w:val="left" w:pos="567"/>
        </w:tabs>
        <w:spacing w:after="0" w:line="240" w:lineRule="auto"/>
        <w:jc w:val="both"/>
        <w:rPr>
          <w:rFonts w:ascii="Verdana" w:hAnsi="Verdana"/>
          <w:sz w:val="20"/>
          <w:lang w:val="es-CR"/>
        </w:rPr>
      </w:pPr>
    </w:p>
    <w:p w:rsidR="006F0AF8" w:rsidRPr="001665BB" w:rsidRDefault="009F78E3" w:rsidP="005B54DD">
      <w:pPr>
        <w:pStyle w:val="Textoindependiente"/>
        <w:tabs>
          <w:tab w:val="left" w:pos="360"/>
          <w:tab w:val="left" w:pos="567"/>
        </w:tabs>
        <w:spacing w:after="0" w:line="240" w:lineRule="auto"/>
        <w:jc w:val="both"/>
        <w:rPr>
          <w:rFonts w:ascii="Verdana" w:hAnsi="Verdana"/>
          <w:b/>
          <w:sz w:val="20"/>
          <w:lang w:val="es-CR"/>
        </w:rPr>
      </w:pPr>
      <w:r w:rsidRPr="009F78E3">
        <w:rPr>
          <w:rFonts w:ascii="Verdana" w:hAnsi="Verdana"/>
          <w:sz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rsidR="005366E3" w:rsidRDefault="005366E3" w:rsidP="005B54DD">
      <w:pPr>
        <w:tabs>
          <w:tab w:val="left" w:pos="567"/>
        </w:tabs>
        <w:spacing w:after="0" w:line="240" w:lineRule="auto"/>
        <w:ind w:right="22"/>
        <w:jc w:val="both"/>
        <w:rPr>
          <w:rFonts w:ascii="Verdana" w:hAnsi="Verdana"/>
          <w:b/>
          <w:sz w:val="20"/>
          <w:lang w:val="es-CR"/>
        </w:rPr>
      </w:pPr>
    </w:p>
    <w:p w:rsidR="006F0AF8" w:rsidRDefault="009F78E3" w:rsidP="005B54DD">
      <w:pPr>
        <w:tabs>
          <w:tab w:val="left" w:pos="567"/>
        </w:tabs>
        <w:spacing w:after="0" w:line="240" w:lineRule="auto"/>
        <w:ind w:right="22"/>
        <w:jc w:val="both"/>
        <w:rPr>
          <w:rFonts w:ascii="Verdana" w:hAnsi="Verdana"/>
          <w:b/>
          <w:sz w:val="20"/>
          <w:lang w:val="es-CR"/>
        </w:rPr>
      </w:pPr>
      <w:r w:rsidRPr="006F0AF8">
        <w:rPr>
          <w:rFonts w:ascii="Verdana" w:hAnsi="Verdana"/>
          <w:b/>
          <w:sz w:val="20"/>
          <w:lang w:val="es-CR"/>
        </w:rPr>
        <w:t>RESUELVE:</w:t>
      </w:r>
      <w:r w:rsidR="006F0AF8" w:rsidRPr="006F0AF8">
        <w:rPr>
          <w:rFonts w:ascii="Verdana" w:hAnsi="Verdana"/>
          <w:b/>
          <w:sz w:val="20"/>
          <w:lang w:val="es-CR"/>
        </w:rPr>
        <w:t xml:space="preserve"> </w:t>
      </w:r>
    </w:p>
    <w:p w:rsidR="00F16ABF" w:rsidRDefault="00F16ABF" w:rsidP="005B54DD">
      <w:pPr>
        <w:tabs>
          <w:tab w:val="left" w:pos="567"/>
        </w:tabs>
        <w:spacing w:after="0" w:line="240" w:lineRule="auto"/>
        <w:ind w:right="22"/>
        <w:jc w:val="both"/>
        <w:rPr>
          <w:rFonts w:ascii="Verdana" w:hAnsi="Verdana"/>
          <w:b/>
          <w:sz w:val="20"/>
          <w:lang w:val="es-CR"/>
        </w:rPr>
      </w:pPr>
    </w:p>
    <w:p w:rsidR="004A549E" w:rsidRPr="00191722" w:rsidRDefault="00852A76" w:rsidP="005B54DD">
      <w:pPr>
        <w:numPr>
          <w:ilvl w:val="0"/>
          <w:numId w:val="3"/>
        </w:numPr>
        <w:tabs>
          <w:tab w:val="left" w:pos="567"/>
        </w:tabs>
        <w:spacing w:after="0" w:line="240" w:lineRule="auto"/>
        <w:ind w:left="0" w:firstLine="0"/>
        <w:jc w:val="both"/>
        <w:rPr>
          <w:rFonts w:ascii="Verdana" w:hAnsi="Verdana"/>
          <w:sz w:val="20"/>
          <w:szCs w:val="20"/>
          <w:lang w:val="es-CR"/>
        </w:rPr>
      </w:pPr>
      <w:r w:rsidRPr="00852A76">
        <w:rPr>
          <w:rFonts w:ascii="Verdana" w:hAnsi="Verdana"/>
          <w:sz w:val="20"/>
          <w:lang w:val="es-CO"/>
        </w:rPr>
        <w:t xml:space="preserve">Declarar, de conformidad </w:t>
      </w:r>
      <w:r w:rsidRPr="00191722">
        <w:rPr>
          <w:rFonts w:ascii="Verdana" w:hAnsi="Verdana"/>
          <w:sz w:val="20"/>
          <w:szCs w:val="20"/>
          <w:lang w:val="es-CO"/>
        </w:rPr>
        <w:t xml:space="preserve">con lo señalado en los Considerandos </w:t>
      </w:r>
      <w:r w:rsidR="006C4B68">
        <w:rPr>
          <w:rFonts w:ascii="Verdana" w:hAnsi="Verdana"/>
          <w:sz w:val="20"/>
          <w:szCs w:val="20"/>
          <w:lang w:val="es-CO"/>
        </w:rPr>
        <w:t xml:space="preserve">5 </w:t>
      </w:r>
      <w:r w:rsidR="00200873">
        <w:rPr>
          <w:rFonts w:ascii="Verdana" w:hAnsi="Verdana"/>
          <w:sz w:val="20"/>
          <w:szCs w:val="20"/>
          <w:lang w:val="es-CO"/>
        </w:rPr>
        <w:t>y</w:t>
      </w:r>
      <w:r w:rsidR="006C4B68">
        <w:rPr>
          <w:rFonts w:ascii="Verdana" w:hAnsi="Verdana"/>
          <w:sz w:val="20"/>
          <w:szCs w:val="20"/>
          <w:lang w:val="es-CO"/>
        </w:rPr>
        <w:t xml:space="preserve"> 6 y 8 a 12</w:t>
      </w:r>
      <w:r w:rsidRPr="00191722">
        <w:rPr>
          <w:rFonts w:ascii="Verdana" w:hAnsi="Verdana"/>
          <w:sz w:val="20"/>
          <w:szCs w:val="20"/>
          <w:lang w:val="es-CO"/>
        </w:rPr>
        <w:t xml:space="preserve"> de la presente Resolución, que el Estado ha dado cumplimiento </w:t>
      </w:r>
      <w:r w:rsidR="004A549E" w:rsidRPr="00191722">
        <w:rPr>
          <w:rFonts w:ascii="Verdana" w:hAnsi="Verdana"/>
          <w:sz w:val="20"/>
          <w:szCs w:val="20"/>
          <w:lang w:val="es-CO"/>
        </w:rPr>
        <w:t>total</w:t>
      </w:r>
      <w:r w:rsidRPr="00191722">
        <w:rPr>
          <w:rFonts w:ascii="Verdana" w:hAnsi="Verdana"/>
          <w:sz w:val="20"/>
          <w:szCs w:val="20"/>
          <w:lang w:val="es-CO"/>
        </w:rPr>
        <w:t xml:space="preserve"> a las </w:t>
      </w:r>
      <w:r w:rsidR="004A549E" w:rsidRPr="00191722">
        <w:rPr>
          <w:rFonts w:ascii="Verdana" w:hAnsi="Verdana"/>
          <w:sz w:val="20"/>
          <w:szCs w:val="20"/>
          <w:lang w:val="es-CO"/>
        </w:rPr>
        <w:t>siguientes reparaciones:</w:t>
      </w:r>
    </w:p>
    <w:p w:rsidR="004A549E" w:rsidRDefault="004A549E" w:rsidP="00191722">
      <w:pPr>
        <w:tabs>
          <w:tab w:val="left" w:pos="567"/>
        </w:tabs>
        <w:spacing w:after="0" w:line="240" w:lineRule="auto"/>
        <w:jc w:val="both"/>
        <w:rPr>
          <w:rFonts w:ascii="Verdana" w:hAnsi="Verdana"/>
          <w:sz w:val="20"/>
          <w:szCs w:val="20"/>
          <w:lang w:val="es-CR"/>
        </w:rPr>
      </w:pPr>
    </w:p>
    <w:p w:rsidR="00191722" w:rsidRPr="00191722" w:rsidRDefault="00191722" w:rsidP="00191722">
      <w:pPr>
        <w:numPr>
          <w:ilvl w:val="0"/>
          <w:numId w:val="6"/>
        </w:numPr>
        <w:tabs>
          <w:tab w:val="left" w:pos="720"/>
        </w:tabs>
        <w:spacing w:after="0" w:line="240" w:lineRule="auto"/>
        <w:jc w:val="both"/>
        <w:rPr>
          <w:rFonts w:ascii="Verdana" w:hAnsi="Verdana"/>
          <w:sz w:val="20"/>
          <w:szCs w:val="20"/>
          <w:lang w:val="es-CR"/>
        </w:rPr>
      </w:pPr>
      <w:r w:rsidRPr="00191722">
        <w:rPr>
          <w:rFonts w:ascii="Verdana" w:hAnsi="Verdana"/>
          <w:sz w:val="20"/>
          <w:szCs w:val="20"/>
          <w:lang w:val="es-CR"/>
        </w:rPr>
        <w:t>publicación y difusión de la Sentencia y su resumen oficial (</w:t>
      </w:r>
      <w:r w:rsidRPr="00191722">
        <w:rPr>
          <w:rFonts w:ascii="Verdana" w:hAnsi="Verdana"/>
          <w:i/>
          <w:sz w:val="20"/>
          <w:szCs w:val="20"/>
          <w:lang w:val="es-CR"/>
        </w:rPr>
        <w:t xml:space="preserve">punto </w:t>
      </w:r>
      <w:r w:rsidR="00C40928">
        <w:rPr>
          <w:rFonts w:ascii="Verdana" w:hAnsi="Verdana"/>
          <w:i/>
          <w:sz w:val="20"/>
          <w:szCs w:val="20"/>
          <w:lang w:val="es-CR"/>
        </w:rPr>
        <w:t>resolutivo</w:t>
      </w:r>
      <w:r w:rsidRPr="00191722">
        <w:rPr>
          <w:rFonts w:ascii="Verdana" w:hAnsi="Verdana"/>
          <w:i/>
          <w:sz w:val="20"/>
          <w:szCs w:val="20"/>
          <w:lang w:val="es-CR"/>
        </w:rPr>
        <w:t xml:space="preserve"> décimo primero de la Sentencia</w:t>
      </w:r>
      <w:r w:rsidRPr="00191722">
        <w:rPr>
          <w:rFonts w:ascii="Verdana" w:hAnsi="Verdana"/>
          <w:sz w:val="20"/>
          <w:szCs w:val="20"/>
          <w:lang w:val="es-CR"/>
        </w:rPr>
        <w:t>)</w:t>
      </w:r>
      <w:r>
        <w:rPr>
          <w:rFonts w:ascii="Verdana" w:hAnsi="Verdana"/>
          <w:sz w:val="20"/>
          <w:szCs w:val="20"/>
          <w:lang w:val="es-CR"/>
        </w:rPr>
        <w:t>,</w:t>
      </w:r>
      <w:r w:rsidRPr="00191722">
        <w:rPr>
          <w:rFonts w:ascii="Verdana" w:hAnsi="Verdana"/>
          <w:sz w:val="20"/>
          <w:szCs w:val="20"/>
          <w:lang w:val="es-CR"/>
        </w:rPr>
        <w:t xml:space="preserve"> y</w:t>
      </w:r>
    </w:p>
    <w:p w:rsidR="00191722" w:rsidRPr="00191722" w:rsidRDefault="00191722" w:rsidP="00191722">
      <w:pPr>
        <w:numPr>
          <w:ilvl w:val="0"/>
          <w:numId w:val="6"/>
        </w:numPr>
        <w:autoSpaceDE w:val="0"/>
        <w:autoSpaceDN w:val="0"/>
        <w:adjustRightInd w:val="0"/>
        <w:spacing w:after="0" w:line="240" w:lineRule="auto"/>
        <w:jc w:val="both"/>
        <w:rPr>
          <w:rFonts w:ascii="Verdana" w:hAnsi="Verdana"/>
          <w:sz w:val="20"/>
          <w:szCs w:val="20"/>
          <w:lang w:val="es-CR"/>
        </w:rPr>
      </w:pPr>
      <w:r w:rsidRPr="00191722">
        <w:rPr>
          <w:rFonts w:ascii="Verdana" w:hAnsi="Verdana" w:cs="Verdana"/>
          <w:sz w:val="20"/>
          <w:szCs w:val="20"/>
          <w:lang w:val="es-CO"/>
        </w:rPr>
        <w:t>realizar un acto público de reconocimiento de responsabilidad internacional en relación con los hechos del presente caso (</w:t>
      </w:r>
      <w:r w:rsidRPr="00191722">
        <w:rPr>
          <w:rFonts w:ascii="Verdana" w:hAnsi="Verdana"/>
          <w:i/>
          <w:sz w:val="20"/>
          <w:szCs w:val="20"/>
          <w:lang w:val="es-CR"/>
        </w:rPr>
        <w:t xml:space="preserve">punto </w:t>
      </w:r>
      <w:r w:rsidR="00C40928">
        <w:rPr>
          <w:rFonts w:ascii="Verdana" w:hAnsi="Verdana"/>
          <w:i/>
          <w:sz w:val="20"/>
          <w:szCs w:val="20"/>
          <w:lang w:val="es-CR"/>
        </w:rPr>
        <w:t>resolutivo</w:t>
      </w:r>
      <w:r w:rsidRPr="00191722">
        <w:rPr>
          <w:rFonts w:ascii="Verdana" w:hAnsi="Verdana"/>
          <w:i/>
          <w:sz w:val="20"/>
          <w:szCs w:val="20"/>
          <w:lang w:val="es-CR"/>
        </w:rPr>
        <w:t xml:space="preserve"> décimo segundo de la Sentencia</w:t>
      </w:r>
      <w:r w:rsidRPr="00191722">
        <w:rPr>
          <w:rFonts w:ascii="Verdana" w:hAnsi="Verdana"/>
          <w:sz w:val="20"/>
          <w:szCs w:val="20"/>
          <w:lang w:val="es-CR"/>
        </w:rPr>
        <w:t>)</w:t>
      </w:r>
      <w:r>
        <w:rPr>
          <w:rFonts w:ascii="Verdana" w:hAnsi="Verdana"/>
          <w:sz w:val="20"/>
          <w:szCs w:val="20"/>
          <w:lang w:val="es-CR"/>
        </w:rPr>
        <w:t xml:space="preserve">. </w:t>
      </w:r>
    </w:p>
    <w:p w:rsidR="00191722" w:rsidRPr="00191722" w:rsidRDefault="00191722" w:rsidP="00191722">
      <w:pPr>
        <w:tabs>
          <w:tab w:val="left" w:pos="567"/>
        </w:tabs>
        <w:spacing w:after="0" w:line="240" w:lineRule="auto"/>
        <w:jc w:val="both"/>
        <w:rPr>
          <w:rFonts w:ascii="Verdana" w:hAnsi="Verdana"/>
          <w:sz w:val="20"/>
          <w:szCs w:val="20"/>
          <w:lang w:val="es-CR"/>
        </w:rPr>
      </w:pPr>
    </w:p>
    <w:p w:rsidR="00191722" w:rsidRPr="00191722" w:rsidRDefault="00191722" w:rsidP="005B54DD">
      <w:pPr>
        <w:numPr>
          <w:ilvl w:val="0"/>
          <w:numId w:val="3"/>
        </w:numPr>
        <w:tabs>
          <w:tab w:val="left" w:pos="567"/>
        </w:tabs>
        <w:spacing w:after="0" w:line="240" w:lineRule="auto"/>
        <w:ind w:left="0" w:firstLine="0"/>
        <w:jc w:val="both"/>
        <w:rPr>
          <w:rFonts w:ascii="Verdana" w:hAnsi="Verdana"/>
          <w:sz w:val="20"/>
          <w:szCs w:val="20"/>
          <w:lang w:val="es-CR"/>
        </w:rPr>
      </w:pPr>
      <w:r w:rsidRPr="00852A76">
        <w:rPr>
          <w:rFonts w:ascii="Verdana" w:hAnsi="Verdana"/>
          <w:sz w:val="20"/>
          <w:lang w:val="es-CO"/>
        </w:rPr>
        <w:t xml:space="preserve">Declarar, de </w:t>
      </w:r>
      <w:r w:rsidRPr="00191722">
        <w:rPr>
          <w:rFonts w:ascii="Verdana" w:hAnsi="Verdana"/>
          <w:sz w:val="20"/>
          <w:szCs w:val="20"/>
          <w:lang w:val="es-CR"/>
        </w:rPr>
        <w:t xml:space="preserve">conformidad con lo señalado en los Considerandos </w:t>
      </w:r>
      <w:r w:rsidR="006C4B68">
        <w:rPr>
          <w:rFonts w:ascii="Verdana" w:hAnsi="Verdana"/>
          <w:sz w:val="20"/>
          <w:szCs w:val="20"/>
          <w:lang w:val="es-CR"/>
        </w:rPr>
        <w:t>14 y 15</w:t>
      </w:r>
      <w:r w:rsidRPr="00191722">
        <w:rPr>
          <w:rFonts w:ascii="Verdana" w:hAnsi="Verdana"/>
          <w:sz w:val="20"/>
          <w:szCs w:val="20"/>
          <w:lang w:val="es-CR"/>
        </w:rPr>
        <w:t xml:space="preserve"> de la presente Resolución, que </w:t>
      </w:r>
      <w:r w:rsidR="009E7A38">
        <w:rPr>
          <w:rFonts w:ascii="Verdana" w:hAnsi="Verdana"/>
          <w:sz w:val="20"/>
          <w:szCs w:val="20"/>
          <w:lang w:val="es-CR"/>
        </w:rPr>
        <w:t xml:space="preserve">ha concluido la supervisión de cumplimiento de </w:t>
      </w:r>
      <w:r w:rsidRPr="00191722">
        <w:rPr>
          <w:rFonts w:ascii="Verdana" w:hAnsi="Verdana"/>
          <w:sz w:val="20"/>
          <w:szCs w:val="20"/>
          <w:lang w:val="es-CR"/>
        </w:rPr>
        <w:t>la medida de reparación relativa a garantizar las condiciones de seguridad adecuadas para que los familiares de Nelson Carvajal que se encuentran en situación de desplazamiento y que son víctimas del presente caso puedan retorn</w:t>
      </w:r>
      <w:r w:rsidR="009E7A38">
        <w:rPr>
          <w:rFonts w:ascii="Verdana" w:hAnsi="Verdana"/>
          <w:sz w:val="20"/>
          <w:szCs w:val="20"/>
          <w:lang w:val="es-CR"/>
        </w:rPr>
        <w:t xml:space="preserve">ar a sus lugares de residencia </w:t>
      </w:r>
      <w:r w:rsidRPr="00191722">
        <w:rPr>
          <w:rFonts w:ascii="Verdana" w:hAnsi="Verdana"/>
          <w:sz w:val="20"/>
          <w:szCs w:val="20"/>
          <w:lang w:val="es-CR"/>
        </w:rPr>
        <w:t>(</w:t>
      </w:r>
      <w:r w:rsidRPr="00191722">
        <w:rPr>
          <w:rFonts w:ascii="Verdana" w:hAnsi="Verdana"/>
          <w:i/>
          <w:sz w:val="20"/>
          <w:szCs w:val="20"/>
          <w:lang w:val="es-CR"/>
        </w:rPr>
        <w:t xml:space="preserve">punto </w:t>
      </w:r>
      <w:r w:rsidR="00C40928">
        <w:rPr>
          <w:rFonts w:ascii="Verdana" w:hAnsi="Verdana"/>
          <w:i/>
          <w:sz w:val="20"/>
          <w:szCs w:val="20"/>
          <w:lang w:val="es-CR"/>
        </w:rPr>
        <w:t>resolutivo</w:t>
      </w:r>
      <w:r w:rsidRPr="00191722">
        <w:rPr>
          <w:rFonts w:ascii="Verdana" w:hAnsi="Verdana"/>
          <w:i/>
          <w:sz w:val="20"/>
          <w:szCs w:val="20"/>
          <w:lang w:val="es-CR"/>
        </w:rPr>
        <w:t xml:space="preserve"> décimo tercero de la Sentencia</w:t>
      </w:r>
      <w:r w:rsidRPr="00191722">
        <w:rPr>
          <w:rFonts w:ascii="Verdana" w:hAnsi="Verdana"/>
          <w:sz w:val="20"/>
          <w:szCs w:val="20"/>
          <w:lang w:val="es-CR"/>
        </w:rPr>
        <w:t>).</w:t>
      </w:r>
    </w:p>
    <w:p w:rsidR="00191722" w:rsidRPr="00191722" w:rsidRDefault="00191722" w:rsidP="00191722">
      <w:pPr>
        <w:tabs>
          <w:tab w:val="left" w:pos="567"/>
        </w:tabs>
        <w:spacing w:after="0" w:line="240" w:lineRule="auto"/>
        <w:jc w:val="both"/>
        <w:rPr>
          <w:rFonts w:ascii="Verdana" w:hAnsi="Verdana"/>
          <w:sz w:val="20"/>
          <w:szCs w:val="20"/>
          <w:lang w:val="es-CR"/>
        </w:rPr>
      </w:pPr>
    </w:p>
    <w:p w:rsidR="00EC24F4" w:rsidRPr="001606C5" w:rsidRDefault="00EC24F4" w:rsidP="005B54DD">
      <w:pPr>
        <w:numPr>
          <w:ilvl w:val="0"/>
          <w:numId w:val="3"/>
        </w:numPr>
        <w:tabs>
          <w:tab w:val="left" w:pos="567"/>
        </w:tabs>
        <w:spacing w:after="0" w:line="240" w:lineRule="auto"/>
        <w:ind w:left="0" w:firstLine="0"/>
        <w:jc w:val="both"/>
        <w:rPr>
          <w:rFonts w:ascii="Verdana" w:hAnsi="Verdana"/>
          <w:sz w:val="20"/>
          <w:szCs w:val="20"/>
          <w:lang w:val="es-CR"/>
        </w:rPr>
      </w:pPr>
      <w:r w:rsidRPr="001606C5">
        <w:rPr>
          <w:rFonts w:ascii="Verdana" w:hAnsi="Verdana"/>
          <w:sz w:val="20"/>
          <w:szCs w:val="20"/>
          <w:lang w:val="es-CO"/>
        </w:rPr>
        <w:t>Mantener abierto el procedimiento de supervisión de cumplimiento de las siguientes medidas de reparación:</w:t>
      </w:r>
    </w:p>
    <w:p w:rsidR="00EC24F4" w:rsidRPr="003D2CDE" w:rsidRDefault="00EC24F4" w:rsidP="005B54DD">
      <w:pPr>
        <w:pStyle w:val="Listavistosa-nfasis1"/>
        <w:spacing w:after="0" w:line="240" w:lineRule="auto"/>
        <w:rPr>
          <w:szCs w:val="20"/>
          <w:lang w:val="es-CR"/>
        </w:rPr>
      </w:pPr>
    </w:p>
    <w:p w:rsidR="00EC24F4" w:rsidRPr="003D2CDE" w:rsidRDefault="00E847D5" w:rsidP="00C16CB8">
      <w:pPr>
        <w:numPr>
          <w:ilvl w:val="0"/>
          <w:numId w:val="15"/>
        </w:numPr>
        <w:autoSpaceDE w:val="0"/>
        <w:autoSpaceDN w:val="0"/>
        <w:adjustRightInd w:val="0"/>
        <w:spacing w:after="0" w:line="240" w:lineRule="auto"/>
        <w:jc w:val="both"/>
        <w:rPr>
          <w:rFonts w:ascii="Verdana" w:hAnsi="Verdana" w:cs="Verdana"/>
          <w:sz w:val="20"/>
          <w:szCs w:val="20"/>
          <w:lang w:val="es-CO"/>
        </w:rPr>
      </w:pPr>
      <w:r>
        <w:rPr>
          <w:rFonts w:ascii="Verdana" w:hAnsi="Verdana" w:cs="Verdana"/>
          <w:sz w:val="20"/>
          <w:szCs w:val="20"/>
          <w:lang w:val="es-CR"/>
        </w:rPr>
        <w:t>c</w:t>
      </w:r>
      <w:r w:rsidR="00F2637B" w:rsidRPr="003D2CDE">
        <w:rPr>
          <w:rFonts w:ascii="Verdana" w:hAnsi="Verdana" w:cs="Verdana"/>
          <w:sz w:val="20"/>
          <w:szCs w:val="20"/>
          <w:lang w:val="es-CR"/>
        </w:rPr>
        <w:t>ontinuar</w:t>
      </w:r>
      <w:r w:rsidR="00EC24F4" w:rsidRPr="003D2CDE">
        <w:rPr>
          <w:rFonts w:ascii="Verdana" w:hAnsi="Verdana" w:cs="Verdana"/>
          <w:sz w:val="20"/>
          <w:szCs w:val="20"/>
          <w:lang w:val="es-CO"/>
        </w:rPr>
        <w:t xml:space="preserve"> con las investigaciones y procesos judiciales en curso que correspondan a efectos de determinar los hechos y las responsabilidades correspondientes</w:t>
      </w:r>
      <w:r>
        <w:rPr>
          <w:rFonts w:ascii="Verdana" w:hAnsi="Verdana" w:cs="Verdana"/>
          <w:sz w:val="20"/>
          <w:szCs w:val="20"/>
          <w:lang w:val="es-CO"/>
        </w:rPr>
        <w:t xml:space="preserve"> (</w:t>
      </w:r>
      <w:r w:rsidRPr="00C32274">
        <w:rPr>
          <w:rFonts w:ascii="Verdana" w:hAnsi="Verdana" w:cs="Verdana"/>
          <w:i/>
          <w:sz w:val="20"/>
          <w:szCs w:val="20"/>
          <w:lang w:val="es-CO"/>
        </w:rPr>
        <w:t>p</w:t>
      </w:r>
      <w:r w:rsidR="00EC24F4" w:rsidRPr="00C32274">
        <w:rPr>
          <w:rFonts w:ascii="Verdana" w:hAnsi="Verdana" w:cs="Verdana"/>
          <w:i/>
          <w:sz w:val="20"/>
          <w:szCs w:val="20"/>
          <w:lang w:val="es-CO"/>
        </w:rPr>
        <w:t xml:space="preserve">unto </w:t>
      </w:r>
      <w:r w:rsidR="00C40928">
        <w:rPr>
          <w:rFonts w:ascii="Verdana" w:hAnsi="Verdana" w:cs="Verdana"/>
          <w:i/>
          <w:sz w:val="20"/>
          <w:szCs w:val="20"/>
          <w:lang w:val="es-CO"/>
        </w:rPr>
        <w:t>resolutivo</w:t>
      </w:r>
      <w:r w:rsidR="00EC24F4" w:rsidRPr="00C32274">
        <w:rPr>
          <w:rFonts w:ascii="Verdana" w:hAnsi="Verdana" w:cs="Verdana"/>
          <w:i/>
          <w:sz w:val="20"/>
          <w:szCs w:val="20"/>
          <w:lang w:val="es-CO"/>
        </w:rPr>
        <w:t xml:space="preserve"> noveno de la Sentencia</w:t>
      </w:r>
      <w:r w:rsidR="00EC24F4" w:rsidRPr="003D2CDE">
        <w:rPr>
          <w:rFonts w:ascii="Verdana" w:hAnsi="Verdana" w:cs="Verdana"/>
          <w:sz w:val="20"/>
          <w:szCs w:val="20"/>
          <w:lang w:val="es-CO"/>
        </w:rPr>
        <w:t>)</w:t>
      </w:r>
      <w:r>
        <w:rPr>
          <w:rFonts w:ascii="Verdana" w:hAnsi="Verdana" w:cs="Verdana"/>
          <w:sz w:val="20"/>
          <w:szCs w:val="20"/>
          <w:lang w:val="es-CO"/>
        </w:rPr>
        <w:t>;</w:t>
      </w:r>
    </w:p>
    <w:p w:rsidR="00F2637B" w:rsidRPr="003D2CDE" w:rsidRDefault="00E847D5" w:rsidP="00C16CB8">
      <w:pPr>
        <w:numPr>
          <w:ilvl w:val="0"/>
          <w:numId w:val="15"/>
        </w:numPr>
        <w:autoSpaceDE w:val="0"/>
        <w:autoSpaceDN w:val="0"/>
        <w:adjustRightInd w:val="0"/>
        <w:spacing w:after="0" w:line="240" w:lineRule="auto"/>
        <w:jc w:val="both"/>
        <w:rPr>
          <w:rFonts w:ascii="Verdana" w:hAnsi="Verdana"/>
          <w:sz w:val="16"/>
          <w:szCs w:val="20"/>
          <w:lang w:val="es-CR"/>
        </w:rPr>
      </w:pPr>
      <w:r>
        <w:rPr>
          <w:rFonts w:ascii="Verdana" w:hAnsi="Verdana" w:cs="Verdana"/>
          <w:sz w:val="20"/>
          <w:szCs w:val="20"/>
          <w:lang w:val="es-CO"/>
        </w:rPr>
        <w:t>b</w:t>
      </w:r>
      <w:r w:rsidR="00F2637B" w:rsidRPr="003D2CDE">
        <w:rPr>
          <w:rFonts w:ascii="Verdana" w:hAnsi="Verdana" w:cs="Verdana"/>
          <w:sz w:val="20"/>
          <w:szCs w:val="20"/>
          <w:lang w:val="es-CO"/>
        </w:rPr>
        <w:t>rindar el tratamiento psicológico o psiquiátrico, a las víctimas que así lo soliciten (</w:t>
      </w:r>
      <w:r w:rsidRPr="00C32274">
        <w:rPr>
          <w:rFonts w:ascii="Verdana" w:hAnsi="Verdana" w:cs="Verdana"/>
          <w:i/>
          <w:sz w:val="20"/>
          <w:szCs w:val="20"/>
          <w:lang w:val="es-CO"/>
        </w:rPr>
        <w:t>p</w:t>
      </w:r>
      <w:r w:rsidR="00F2637B" w:rsidRPr="00C32274">
        <w:rPr>
          <w:rFonts w:ascii="Verdana" w:hAnsi="Verdana" w:cs="Verdana"/>
          <w:i/>
          <w:sz w:val="20"/>
          <w:szCs w:val="20"/>
          <w:lang w:val="es-CO"/>
        </w:rPr>
        <w:t xml:space="preserve">unto </w:t>
      </w:r>
      <w:r w:rsidR="00C40928">
        <w:rPr>
          <w:rFonts w:ascii="Verdana" w:hAnsi="Verdana" w:cs="Verdana"/>
          <w:i/>
          <w:sz w:val="20"/>
          <w:szCs w:val="20"/>
          <w:lang w:val="es-CO"/>
        </w:rPr>
        <w:t>resolutivo</w:t>
      </w:r>
      <w:r w:rsidRPr="00C32274">
        <w:rPr>
          <w:rFonts w:ascii="Verdana" w:hAnsi="Verdana" w:cs="Verdana"/>
          <w:i/>
          <w:sz w:val="20"/>
          <w:szCs w:val="20"/>
          <w:lang w:val="es-CO"/>
        </w:rPr>
        <w:t xml:space="preserve"> décimo de la Sentencia</w:t>
      </w:r>
      <w:r>
        <w:rPr>
          <w:rFonts w:ascii="Verdana" w:hAnsi="Verdana" w:cs="Verdana"/>
          <w:sz w:val="20"/>
          <w:szCs w:val="20"/>
          <w:lang w:val="es-CO"/>
        </w:rPr>
        <w:t>);</w:t>
      </w:r>
    </w:p>
    <w:p w:rsidR="00F2637B" w:rsidRPr="003D2CDE" w:rsidRDefault="00E847D5" w:rsidP="00C16CB8">
      <w:pPr>
        <w:numPr>
          <w:ilvl w:val="0"/>
          <w:numId w:val="15"/>
        </w:numPr>
        <w:autoSpaceDE w:val="0"/>
        <w:autoSpaceDN w:val="0"/>
        <w:adjustRightInd w:val="0"/>
        <w:spacing w:after="0" w:line="240" w:lineRule="auto"/>
        <w:jc w:val="both"/>
        <w:rPr>
          <w:rFonts w:ascii="Verdana" w:hAnsi="Verdana" w:cs="Verdana"/>
          <w:sz w:val="20"/>
          <w:szCs w:val="20"/>
          <w:lang w:val="es-CO"/>
        </w:rPr>
      </w:pPr>
      <w:r>
        <w:rPr>
          <w:rFonts w:ascii="Verdana" w:hAnsi="Verdana" w:cs="Verdana"/>
          <w:sz w:val="20"/>
          <w:szCs w:val="20"/>
          <w:lang w:val="es-CR"/>
        </w:rPr>
        <w:t>r</w:t>
      </w:r>
      <w:r w:rsidR="00F2637B" w:rsidRPr="003D2CDE">
        <w:rPr>
          <w:rFonts w:ascii="Verdana" w:hAnsi="Verdana" w:cs="Verdana"/>
          <w:sz w:val="20"/>
          <w:szCs w:val="20"/>
          <w:lang w:val="es-CO"/>
        </w:rPr>
        <w:t>emitir los informes periódicos que envía a los organismos</w:t>
      </w:r>
      <w:r w:rsidR="00F2637B" w:rsidRPr="003D2CDE">
        <w:rPr>
          <w:rFonts w:ascii="Verdana" w:hAnsi="Verdana"/>
          <w:sz w:val="16"/>
          <w:szCs w:val="20"/>
          <w:lang w:val="es-CR"/>
        </w:rPr>
        <w:t xml:space="preserve"> </w:t>
      </w:r>
      <w:r w:rsidR="00F2637B" w:rsidRPr="003D2CDE">
        <w:rPr>
          <w:rFonts w:ascii="Verdana" w:hAnsi="Verdana" w:cs="Verdana"/>
          <w:sz w:val="20"/>
          <w:szCs w:val="20"/>
          <w:lang w:val="es-CO"/>
        </w:rPr>
        <w:t>especializados de la OEA y de las Naciones Unidas, relacionados con las medidas</w:t>
      </w:r>
      <w:r w:rsidR="00F2637B" w:rsidRPr="003D2CDE">
        <w:rPr>
          <w:rFonts w:ascii="Verdana" w:hAnsi="Verdana"/>
          <w:sz w:val="16"/>
          <w:szCs w:val="20"/>
          <w:lang w:val="es-CR"/>
        </w:rPr>
        <w:t xml:space="preserve"> </w:t>
      </w:r>
      <w:r w:rsidR="00F2637B" w:rsidRPr="003D2CDE">
        <w:rPr>
          <w:rFonts w:ascii="Verdana" w:hAnsi="Verdana" w:cs="Verdana"/>
          <w:sz w:val="20"/>
          <w:szCs w:val="20"/>
          <w:lang w:val="es-CO"/>
        </w:rPr>
        <w:t>implementadas para la prevención y protección de los periodistas en Colombia</w:t>
      </w:r>
      <w:r w:rsidR="003D2CDE" w:rsidRPr="003D2CDE">
        <w:rPr>
          <w:rFonts w:ascii="Verdana" w:hAnsi="Verdana" w:cs="Verdana"/>
          <w:sz w:val="20"/>
          <w:szCs w:val="20"/>
          <w:lang w:val="es-CO"/>
        </w:rPr>
        <w:t xml:space="preserve"> </w:t>
      </w:r>
      <w:r>
        <w:rPr>
          <w:rFonts w:ascii="Verdana" w:hAnsi="Verdana" w:cs="Verdana"/>
          <w:sz w:val="20"/>
          <w:szCs w:val="20"/>
          <w:lang w:val="es-CO"/>
        </w:rPr>
        <w:t>(</w:t>
      </w:r>
      <w:r w:rsidRPr="00C32274">
        <w:rPr>
          <w:rFonts w:ascii="Verdana" w:hAnsi="Verdana" w:cs="Verdana"/>
          <w:i/>
          <w:sz w:val="20"/>
          <w:szCs w:val="20"/>
          <w:lang w:val="es-CO"/>
        </w:rPr>
        <w:t xml:space="preserve">punto </w:t>
      </w:r>
      <w:r w:rsidR="00C40928">
        <w:rPr>
          <w:rFonts w:ascii="Verdana" w:hAnsi="Verdana" w:cs="Verdana"/>
          <w:i/>
          <w:sz w:val="20"/>
          <w:szCs w:val="20"/>
          <w:lang w:val="es-CO"/>
        </w:rPr>
        <w:t>resolutivo</w:t>
      </w:r>
      <w:r w:rsidRPr="00C32274">
        <w:rPr>
          <w:rFonts w:ascii="Verdana" w:hAnsi="Verdana" w:cs="Verdana"/>
          <w:i/>
          <w:sz w:val="20"/>
          <w:szCs w:val="20"/>
          <w:lang w:val="es-CO"/>
        </w:rPr>
        <w:t xml:space="preserve"> décimo cuarto de la Sentencia</w:t>
      </w:r>
      <w:r w:rsidR="000C6A5B">
        <w:rPr>
          <w:rFonts w:ascii="Verdana" w:hAnsi="Verdana" w:cs="Verdana"/>
          <w:sz w:val="20"/>
          <w:szCs w:val="20"/>
          <w:lang w:val="es-CO"/>
        </w:rPr>
        <w:t>);</w:t>
      </w:r>
    </w:p>
    <w:p w:rsidR="000C6A5B" w:rsidRPr="000C6A5B" w:rsidRDefault="00E847D5" w:rsidP="00C16CB8">
      <w:pPr>
        <w:numPr>
          <w:ilvl w:val="0"/>
          <w:numId w:val="15"/>
        </w:numPr>
        <w:autoSpaceDE w:val="0"/>
        <w:autoSpaceDN w:val="0"/>
        <w:adjustRightInd w:val="0"/>
        <w:spacing w:after="0" w:line="240" w:lineRule="auto"/>
        <w:jc w:val="both"/>
        <w:rPr>
          <w:rFonts w:ascii="Verdana" w:hAnsi="Verdana"/>
          <w:sz w:val="18"/>
          <w:szCs w:val="20"/>
          <w:lang w:val="es-CR"/>
        </w:rPr>
      </w:pPr>
      <w:r>
        <w:rPr>
          <w:rFonts w:ascii="Verdana" w:hAnsi="Verdana" w:cs="Verdana"/>
          <w:sz w:val="20"/>
          <w:szCs w:val="20"/>
          <w:lang w:val="es-CO"/>
        </w:rPr>
        <w:t>p</w:t>
      </w:r>
      <w:r w:rsidR="00F2637B" w:rsidRPr="003D2CDE">
        <w:rPr>
          <w:rFonts w:ascii="Verdana" w:hAnsi="Verdana" w:cs="Verdana"/>
          <w:sz w:val="20"/>
          <w:szCs w:val="20"/>
          <w:lang w:val="es-CO"/>
        </w:rPr>
        <w:t xml:space="preserve">agar las cantidades fijadas en </w:t>
      </w:r>
      <w:r w:rsidR="003D2CDE" w:rsidRPr="003D2CDE">
        <w:rPr>
          <w:rFonts w:ascii="Verdana" w:hAnsi="Verdana" w:cs="Verdana"/>
          <w:sz w:val="20"/>
          <w:szCs w:val="20"/>
          <w:lang w:val="es-CO"/>
        </w:rPr>
        <w:t xml:space="preserve">la </w:t>
      </w:r>
      <w:r w:rsidR="00F2637B" w:rsidRPr="003D2CDE">
        <w:rPr>
          <w:rFonts w:ascii="Verdana" w:hAnsi="Verdana" w:cs="Verdana"/>
          <w:sz w:val="20"/>
          <w:szCs w:val="20"/>
          <w:lang w:val="es-CO"/>
        </w:rPr>
        <w:t>Sentencia por</w:t>
      </w:r>
      <w:r w:rsidR="0059195D">
        <w:rPr>
          <w:rFonts w:ascii="Verdana" w:hAnsi="Verdana" w:cs="Verdana"/>
          <w:sz w:val="20"/>
          <w:szCs w:val="20"/>
          <w:lang w:val="es-CO"/>
        </w:rPr>
        <w:t xml:space="preserve"> concepto de</w:t>
      </w:r>
      <w:r w:rsidR="00F2637B" w:rsidRPr="003D2CDE">
        <w:rPr>
          <w:rFonts w:ascii="Verdana" w:hAnsi="Verdana" w:cs="Verdana"/>
          <w:sz w:val="20"/>
          <w:szCs w:val="20"/>
          <w:lang w:val="es-CO"/>
        </w:rPr>
        <w:t xml:space="preserve"> </w:t>
      </w:r>
      <w:r w:rsidR="000F43D1">
        <w:rPr>
          <w:rFonts w:ascii="Verdana" w:hAnsi="Verdana" w:cs="Verdana"/>
          <w:sz w:val="20"/>
          <w:szCs w:val="20"/>
          <w:lang w:val="es-CO"/>
        </w:rPr>
        <w:t xml:space="preserve">indemnizaciones de </w:t>
      </w:r>
      <w:r w:rsidR="00F2637B" w:rsidRPr="003D2CDE">
        <w:rPr>
          <w:rFonts w:ascii="Verdana" w:hAnsi="Verdana" w:cs="Verdana"/>
          <w:sz w:val="20"/>
          <w:szCs w:val="20"/>
          <w:lang w:val="es-CO"/>
        </w:rPr>
        <w:t>daños materiales e inmateriales y por el reintegro de costas y gastos</w:t>
      </w:r>
      <w:r w:rsidR="000C6A5B">
        <w:rPr>
          <w:rFonts w:ascii="Verdana" w:hAnsi="Verdana" w:cs="Verdana"/>
          <w:sz w:val="20"/>
          <w:szCs w:val="20"/>
          <w:lang w:val="es-CO"/>
        </w:rPr>
        <w:t xml:space="preserve"> (</w:t>
      </w:r>
      <w:r w:rsidR="000C6A5B" w:rsidRPr="00C32274">
        <w:rPr>
          <w:rFonts w:ascii="Verdana" w:hAnsi="Verdana" w:cs="Verdana"/>
          <w:i/>
          <w:sz w:val="20"/>
          <w:szCs w:val="20"/>
          <w:lang w:val="es-CO"/>
        </w:rPr>
        <w:t xml:space="preserve">punto </w:t>
      </w:r>
      <w:r w:rsidR="000C6A5B">
        <w:rPr>
          <w:rFonts w:ascii="Verdana" w:hAnsi="Verdana" w:cs="Verdana"/>
          <w:i/>
          <w:sz w:val="20"/>
          <w:szCs w:val="20"/>
          <w:lang w:val="es-CO"/>
        </w:rPr>
        <w:t>resolutivo</w:t>
      </w:r>
      <w:r w:rsidR="000C6A5B" w:rsidRPr="00C32274">
        <w:rPr>
          <w:rFonts w:ascii="Verdana" w:hAnsi="Verdana" w:cs="Verdana"/>
          <w:i/>
          <w:sz w:val="20"/>
          <w:szCs w:val="20"/>
          <w:lang w:val="es-CO"/>
        </w:rPr>
        <w:t xml:space="preserve"> décimo quinto de la Sentencia</w:t>
      </w:r>
      <w:r w:rsidR="000C6A5B" w:rsidRPr="003D2CDE">
        <w:rPr>
          <w:rFonts w:ascii="Verdana" w:hAnsi="Verdana" w:cs="Verdana"/>
          <w:sz w:val="20"/>
          <w:szCs w:val="20"/>
          <w:lang w:val="es-CO"/>
        </w:rPr>
        <w:t>)</w:t>
      </w:r>
      <w:r w:rsidR="000C6A5B">
        <w:rPr>
          <w:rFonts w:ascii="Verdana" w:hAnsi="Verdana" w:cs="Verdana"/>
          <w:sz w:val="20"/>
          <w:szCs w:val="20"/>
          <w:lang w:val="es-CO"/>
        </w:rPr>
        <w:t>, y</w:t>
      </w:r>
    </w:p>
    <w:p w:rsidR="00F16ABF" w:rsidRPr="003D2CDE" w:rsidRDefault="000C6A5B" w:rsidP="00C16CB8">
      <w:pPr>
        <w:numPr>
          <w:ilvl w:val="0"/>
          <w:numId w:val="15"/>
        </w:numPr>
        <w:autoSpaceDE w:val="0"/>
        <w:autoSpaceDN w:val="0"/>
        <w:adjustRightInd w:val="0"/>
        <w:spacing w:after="0" w:line="240" w:lineRule="auto"/>
        <w:jc w:val="both"/>
        <w:rPr>
          <w:rFonts w:ascii="Verdana" w:hAnsi="Verdana"/>
          <w:sz w:val="18"/>
          <w:szCs w:val="20"/>
          <w:lang w:val="es-CR"/>
        </w:rPr>
      </w:pPr>
      <w:r>
        <w:rPr>
          <w:rFonts w:ascii="Verdana" w:hAnsi="Verdana" w:cs="Verdana"/>
          <w:sz w:val="20"/>
          <w:szCs w:val="20"/>
          <w:lang w:val="es-CO"/>
        </w:rPr>
        <w:t xml:space="preserve">pagar </w:t>
      </w:r>
      <w:r w:rsidR="00F2637B" w:rsidRPr="003D2CDE">
        <w:rPr>
          <w:rFonts w:ascii="Verdana" w:hAnsi="Verdana" w:cs="Verdana"/>
          <w:sz w:val="20"/>
          <w:szCs w:val="20"/>
          <w:lang w:val="es-CO"/>
        </w:rPr>
        <w:t>las cantidades por concepto de indemnizaciones para los tratamientos psicológico o</w:t>
      </w:r>
      <w:r w:rsidR="003D2CDE" w:rsidRPr="003D2CDE">
        <w:rPr>
          <w:rFonts w:ascii="Verdana" w:hAnsi="Verdana" w:cs="Verdana"/>
          <w:sz w:val="20"/>
          <w:szCs w:val="20"/>
          <w:lang w:val="es-CO"/>
        </w:rPr>
        <w:t xml:space="preserve"> </w:t>
      </w:r>
      <w:r w:rsidR="00F2637B" w:rsidRPr="003D2CDE">
        <w:rPr>
          <w:rFonts w:ascii="Verdana" w:hAnsi="Verdana" w:cs="Verdana"/>
          <w:sz w:val="20"/>
          <w:szCs w:val="20"/>
          <w:lang w:val="es-CO"/>
        </w:rPr>
        <w:t>psiquiátrico de los familiares de Nelson Carvajal Carvajal que se encuentran viviendo fuera</w:t>
      </w:r>
      <w:r w:rsidR="003D2CDE" w:rsidRPr="003D2CDE">
        <w:rPr>
          <w:rFonts w:ascii="Verdana" w:hAnsi="Verdana" w:cs="Verdana"/>
          <w:sz w:val="20"/>
          <w:szCs w:val="20"/>
          <w:lang w:val="es-CO"/>
        </w:rPr>
        <w:t xml:space="preserve"> </w:t>
      </w:r>
      <w:r w:rsidR="00F2637B" w:rsidRPr="003D2CDE">
        <w:rPr>
          <w:rFonts w:ascii="Verdana" w:hAnsi="Verdana" w:cs="Verdana"/>
          <w:sz w:val="20"/>
          <w:szCs w:val="20"/>
          <w:lang w:val="es-CO"/>
        </w:rPr>
        <w:t>de Colombia y que así lo soliciten</w:t>
      </w:r>
      <w:r w:rsidR="00E847D5">
        <w:rPr>
          <w:rFonts w:ascii="Verdana" w:hAnsi="Verdana" w:cs="Verdana"/>
          <w:sz w:val="20"/>
          <w:szCs w:val="20"/>
          <w:lang w:val="es-CO"/>
        </w:rPr>
        <w:t xml:space="preserve"> (</w:t>
      </w:r>
      <w:r w:rsidR="00E847D5" w:rsidRPr="00C32274">
        <w:rPr>
          <w:rFonts w:ascii="Verdana" w:hAnsi="Verdana" w:cs="Verdana"/>
          <w:i/>
          <w:sz w:val="20"/>
          <w:szCs w:val="20"/>
          <w:lang w:val="es-CO"/>
        </w:rPr>
        <w:t>p</w:t>
      </w:r>
      <w:r w:rsidR="003D2CDE" w:rsidRPr="00C32274">
        <w:rPr>
          <w:rFonts w:ascii="Verdana" w:hAnsi="Verdana" w:cs="Verdana"/>
          <w:i/>
          <w:sz w:val="20"/>
          <w:szCs w:val="20"/>
          <w:lang w:val="es-CO"/>
        </w:rPr>
        <w:t xml:space="preserve">unto </w:t>
      </w:r>
      <w:r w:rsidR="00C40928">
        <w:rPr>
          <w:rFonts w:ascii="Verdana" w:hAnsi="Verdana" w:cs="Verdana"/>
          <w:i/>
          <w:sz w:val="20"/>
          <w:szCs w:val="20"/>
          <w:lang w:val="es-CO"/>
        </w:rPr>
        <w:t>resolutivo</w:t>
      </w:r>
      <w:r w:rsidR="003D2CDE" w:rsidRPr="00C32274">
        <w:rPr>
          <w:rFonts w:ascii="Verdana" w:hAnsi="Verdana" w:cs="Verdana"/>
          <w:i/>
          <w:sz w:val="20"/>
          <w:szCs w:val="20"/>
          <w:lang w:val="es-CO"/>
        </w:rPr>
        <w:t xml:space="preserve"> décimo quinto de la Sentencia</w:t>
      </w:r>
      <w:r w:rsidR="003D2CDE" w:rsidRPr="003D2CDE">
        <w:rPr>
          <w:rFonts w:ascii="Verdana" w:hAnsi="Verdana" w:cs="Verdana"/>
          <w:sz w:val="20"/>
          <w:szCs w:val="20"/>
          <w:lang w:val="es-CO"/>
        </w:rPr>
        <w:t>)</w:t>
      </w:r>
      <w:r w:rsidR="00E847D5">
        <w:rPr>
          <w:rFonts w:ascii="Verdana" w:hAnsi="Verdana" w:cs="Verdana"/>
          <w:sz w:val="20"/>
          <w:szCs w:val="20"/>
          <w:lang w:val="es-CO"/>
        </w:rPr>
        <w:t>.</w:t>
      </w:r>
    </w:p>
    <w:p w:rsidR="003D2CDE" w:rsidRPr="003D2CDE" w:rsidRDefault="003D2CDE" w:rsidP="005B54DD">
      <w:pPr>
        <w:autoSpaceDE w:val="0"/>
        <w:autoSpaceDN w:val="0"/>
        <w:adjustRightInd w:val="0"/>
        <w:spacing w:after="0" w:line="240" w:lineRule="auto"/>
        <w:ind w:left="720"/>
        <w:jc w:val="both"/>
        <w:rPr>
          <w:rFonts w:ascii="Verdana" w:hAnsi="Verdana"/>
          <w:sz w:val="18"/>
          <w:szCs w:val="20"/>
          <w:lang w:val="es-CR"/>
        </w:rPr>
      </w:pPr>
    </w:p>
    <w:p w:rsidR="00E847D5" w:rsidRDefault="00E847D5" w:rsidP="005B54DD">
      <w:pPr>
        <w:numPr>
          <w:ilvl w:val="0"/>
          <w:numId w:val="3"/>
        </w:numPr>
        <w:tabs>
          <w:tab w:val="left" w:pos="567"/>
        </w:tabs>
        <w:spacing w:after="0" w:line="240" w:lineRule="auto"/>
        <w:ind w:left="0" w:firstLine="0"/>
        <w:jc w:val="both"/>
        <w:rPr>
          <w:rFonts w:ascii="Verdana" w:hAnsi="Verdana"/>
          <w:sz w:val="20"/>
          <w:szCs w:val="20"/>
          <w:lang w:val="es-CR"/>
        </w:rPr>
      </w:pPr>
      <w:r w:rsidRPr="00E847D5">
        <w:rPr>
          <w:rFonts w:ascii="Verdana" w:hAnsi="Verdana"/>
          <w:sz w:val="20"/>
          <w:szCs w:val="20"/>
          <w:lang w:val="es-CR"/>
        </w:rPr>
        <w:t xml:space="preserve">Disponer que el Estado presente a la Corte Interamericana de Derechos Humanos, a más tardar el </w:t>
      </w:r>
      <w:r w:rsidR="0059195D">
        <w:rPr>
          <w:rFonts w:ascii="Verdana" w:hAnsi="Verdana"/>
          <w:sz w:val="20"/>
          <w:szCs w:val="20"/>
          <w:lang w:val="es-CR"/>
        </w:rPr>
        <w:t>27</w:t>
      </w:r>
      <w:r w:rsidRPr="00E847D5">
        <w:rPr>
          <w:rFonts w:ascii="Verdana" w:hAnsi="Verdana"/>
          <w:sz w:val="20"/>
          <w:szCs w:val="20"/>
          <w:lang w:val="es-CR"/>
        </w:rPr>
        <w:t xml:space="preserve"> de </w:t>
      </w:r>
      <w:r>
        <w:rPr>
          <w:rFonts w:ascii="Verdana" w:hAnsi="Verdana"/>
          <w:sz w:val="20"/>
          <w:szCs w:val="20"/>
          <w:lang w:val="es-CR"/>
        </w:rPr>
        <w:t>enero de 2020</w:t>
      </w:r>
      <w:r w:rsidRPr="00E847D5">
        <w:rPr>
          <w:rFonts w:ascii="Verdana" w:hAnsi="Verdana"/>
          <w:sz w:val="20"/>
          <w:szCs w:val="20"/>
          <w:lang w:val="es-CR"/>
        </w:rPr>
        <w:t xml:space="preserve">, un informe sobre el </w:t>
      </w:r>
      <w:r w:rsidRPr="006C4B68">
        <w:rPr>
          <w:rFonts w:ascii="Verdana" w:hAnsi="Verdana"/>
          <w:sz w:val="20"/>
          <w:szCs w:val="20"/>
          <w:lang w:val="es-CR"/>
        </w:rPr>
        <w:t xml:space="preserve">cumplimiento de las reparaciones señaladas en el punto resolutivo tercero </w:t>
      </w:r>
      <w:r w:rsidR="00C32274" w:rsidRPr="006C4B68">
        <w:rPr>
          <w:rFonts w:ascii="Verdana" w:hAnsi="Verdana"/>
          <w:sz w:val="20"/>
          <w:szCs w:val="20"/>
          <w:lang w:val="es-CR"/>
        </w:rPr>
        <w:t xml:space="preserve">y Considerandos </w:t>
      </w:r>
      <w:r w:rsidR="006C4B68" w:rsidRPr="006C4B68">
        <w:rPr>
          <w:rFonts w:ascii="Verdana" w:hAnsi="Verdana"/>
          <w:sz w:val="20"/>
          <w:szCs w:val="20"/>
          <w:lang w:val="es-CR"/>
        </w:rPr>
        <w:t xml:space="preserve">16 a 21 </w:t>
      </w:r>
      <w:r w:rsidRPr="006C4B68">
        <w:rPr>
          <w:rFonts w:ascii="Verdana" w:hAnsi="Verdana"/>
          <w:sz w:val="20"/>
          <w:szCs w:val="20"/>
          <w:lang w:val="es-CR"/>
        </w:rPr>
        <w:t>de la presente</w:t>
      </w:r>
      <w:r>
        <w:rPr>
          <w:rFonts w:ascii="Verdana" w:hAnsi="Verdana"/>
          <w:sz w:val="20"/>
          <w:szCs w:val="20"/>
          <w:lang w:val="es-CR"/>
        </w:rPr>
        <w:t xml:space="preserve"> Resolución.</w:t>
      </w:r>
    </w:p>
    <w:p w:rsidR="000F43D1" w:rsidRPr="000F43D1" w:rsidRDefault="000F43D1" w:rsidP="000F43D1">
      <w:pPr>
        <w:autoSpaceDE w:val="0"/>
        <w:autoSpaceDN w:val="0"/>
        <w:adjustRightInd w:val="0"/>
        <w:spacing w:after="0" w:line="240" w:lineRule="auto"/>
        <w:rPr>
          <w:rFonts w:ascii="Verdana" w:hAnsi="Verdana" w:cs="Verdana"/>
          <w:color w:val="000000"/>
          <w:sz w:val="24"/>
          <w:szCs w:val="24"/>
          <w:lang w:val="es-CR" w:eastAsia="es-CR"/>
        </w:rPr>
      </w:pPr>
    </w:p>
    <w:p w:rsidR="000F43D1" w:rsidRPr="000F43D1" w:rsidRDefault="00085EF2" w:rsidP="000F43D1">
      <w:pPr>
        <w:numPr>
          <w:ilvl w:val="0"/>
          <w:numId w:val="3"/>
        </w:numPr>
        <w:autoSpaceDE w:val="0"/>
        <w:autoSpaceDN w:val="0"/>
        <w:adjustRightInd w:val="0"/>
        <w:spacing w:after="0" w:line="240" w:lineRule="auto"/>
        <w:ind w:left="0" w:firstLine="0"/>
        <w:jc w:val="both"/>
        <w:rPr>
          <w:rFonts w:ascii="Verdana" w:hAnsi="Verdana" w:cs="Verdana"/>
          <w:color w:val="000000"/>
          <w:sz w:val="20"/>
          <w:szCs w:val="20"/>
          <w:lang w:val="es-CR" w:eastAsia="es-CR"/>
        </w:rPr>
      </w:pPr>
      <w:r>
        <w:rPr>
          <w:rFonts w:ascii="Verdana" w:hAnsi="Verdana" w:cs="Verdana"/>
          <w:color w:val="000000"/>
          <w:sz w:val="20"/>
          <w:szCs w:val="20"/>
          <w:lang w:val="es-CR" w:eastAsia="es-CR"/>
        </w:rPr>
        <w:t>Requerir a los</w:t>
      </w:r>
      <w:r w:rsidR="000F43D1" w:rsidRPr="000F43D1">
        <w:rPr>
          <w:rFonts w:ascii="Verdana" w:hAnsi="Verdana" w:cs="Verdana"/>
          <w:color w:val="000000"/>
          <w:sz w:val="20"/>
          <w:szCs w:val="20"/>
          <w:lang w:val="es-CR" w:eastAsia="es-CR"/>
        </w:rPr>
        <w:t xml:space="preserve"> representante</w:t>
      </w:r>
      <w:r>
        <w:rPr>
          <w:rFonts w:ascii="Verdana" w:hAnsi="Verdana" w:cs="Verdana"/>
          <w:color w:val="000000"/>
          <w:sz w:val="20"/>
          <w:szCs w:val="20"/>
          <w:lang w:val="es-CR" w:eastAsia="es-CR"/>
        </w:rPr>
        <w:t>s</w:t>
      </w:r>
      <w:r w:rsidR="000F43D1" w:rsidRPr="000F43D1">
        <w:rPr>
          <w:rFonts w:ascii="Verdana" w:hAnsi="Verdana" w:cs="Verdana"/>
          <w:color w:val="000000"/>
          <w:sz w:val="20"/>
          <w:szCs w:val="20"/>
          <w:lang w:val="es-CR" w:eastAsia="es-CR"/>
        </w:rPr>
        <w:t xml:space="preserve"> de las víctimas y a la Comisión Interamericana de Derechos Humanos que presenten observaciones al informe del Estado mencionado en el punto resolutivo anterior, en los plazos de cuatro y seis semanas, respectivamente, contados a partir de la recepción del informe. </w:t>
      </w:r>
    </w:p>
    <w:p w:rsidR="000F43D1" w:rsidRPr="00E847D5" w:rsidRDefault="000F43D1" w:rsidP="000F43D1">
      <w:pPr>
        <w:tabs>
          <w:tab w:val="left" w:pos="567"/>
        </w:tabs>
        <w:spacing w:after="0" w:line="240" w:lineRule="auto"/>
        <w:jc w:val="both"/>
        <w:rPr>
          <w:rFonts w:ascii="Verdana" w:hAnsi="Verdana"/>
          <w:sz w:val="20"/>
          <w:szCs w:val="20"/>
          <w:lang w:val="es-CR"/>
        </w:rPr>
      </w:pPr>
    </w:p>
    <w:p w:rsidR="00D16C3E" w:rsidRDefault="009F78E3" w:rsidP="005B54DD">
      <w:pPr>
        <w:numPr>
          <w:ilvl w:val="0"/>
          <w:numId w:val="3"/>
        </w:numPr>
        <w:tabs>
          <w:tab w:val="left" w:pos="567"/>
        </w:tabs>
        <w:spacing w:after="0" w:line="240" w:lineRule="auto"/>
        <w:ind w:left="0" w:firstLine="0"/>
        <w:jc w:val="both"/>
        <w:rPr>
          <w:rFonts w:ascii="Verdana" w:hAnsi="Verdana"/>
          <w:sz w:val="20"/>
          <w:lang w:val="es-CR"/>
        </w:rPr>
      </w:pPr>
      <w:r w:rsidRPr="003D2CDE">
        <w:rPr>
          <w:rFonts w:ascii="Verdana" w:hAnsi="Verdana"/>
          <w:sz w:val="20"/>
          <w:lang w:val="es-CR"/>
        </w:rPr>
        <w:t>Disponer que la Secretaría de la Corte notifique la presente Resolución al Estado</w:t>
      </w:r>
      <w:r w:rsidR="00C03DB3" w:rsidRPr="003D2CDE">
        <w:rPr>
          <w:rFonts w:ascii="Verdana" w:hAnsi="Verdana"/>
          <w:sz w:val="20"/>
          <w:lang w:val="es-CR"/>
        </w:rPr>
        <w:t xml:space="preserve"> de Colombia</w:t>
      </w:r>
      <w:r w:rsidRPr="003D2CDE">
        <w:rPr>
          <w:rFonts w:ascii="Verdana" w:hAnsi="Verdana"/>
          <w:sz w:val="20"/>
          <w:lang w:val="es-CR"/>
        </w:rPr>
        <w:t>, a los representantes de la</w:t>
      </w:r>
      <w:r w:rsidR="00C03DB3" w:rsidRPr="003D2CDE">
        <w:rPr>
          <w:rFonts w:ascii="Verdana" w:hAnsi="Verdana"/>
          <w:sz w:val="20"/>
          <w:lang w:val="es-CR"/>
        </w:rPr>
        <w:t>s</w:t>
      </w:r>
      <w:r w:rsidRPr="003D2CDE">
        <w:rPr>
          <w:rFonts w:ascii="Verdana" w:hAnsi="Verdana"/>
          <w:sz w:val="20"/>
          <w:lang w:val="es-CR"/>
        </w:rPr>
        <w:t xml:space="preserve"> víctima</w:t>
      </w:r>
      <w:r w:rsidR="00C03DB3" w:rsidRPr="003D2CDE">
        <w:rPr>
          <w:rFonts w:ascii="Verdana" w:hAnsi="Verdana"/>
          <w:sz w:val="20"/>
          <w:lang w:val="es-CR"/>
        </w:rPr>
        <w:t>s</w:t>
      </w:r>
      <w:r w:rsidRPr="003D2CDE">
        <w:rPr>
          <w:rFonts w:ascii="Verdana" w:hAnsi="Verdana"/>
          <w:sz w:val="20"/>
          <w:lang w:val="es-CR"/>
        </w:rPr>
        <w:t xml:space="preserve"> y a la Comisión Interamericana de Derechos Humanos.</w:t>
      </w:r>
    </w:p>
    <w:p w:rsidR="00846413" w:rsidRDefault="00846413" w:rsidP="00D16C3E">
      <w:pPr>
        <w:tabs>
          <w:tab w:val="left" w:pos="567"/>
        </w:tabs>
        <w:spacing w:after="0" w:line="240" w:lineRule="auto"/>
        <w:jc w:val="both"/>
        <w:rPr>
          <w:rFonts w:ascii="Verdana" w:hAnsi="Verdana"/>
          <w:sz w:val="20"/>
          <w:lang w:val="es-CR"/>
        </w:rPr>
      </w:pPr>
    </w:p>
    <w:p w:rsidR="00D16C3E" w:rsidRDefault="00D16C3E" w:rsidP="00D16C3E">
      <w:pPr>
        <w:tabs>
          <w:tab w:val="left" w:pos="567"/>
        </w:tabs>
        <w:spacing w:after="0" w:line="240" w:lineRule="auto"/>
        <w:jc w:val="both"/>
        <w:rPr>
          <w:rFonts w:ascii="Verdana" w:hAnsi="Verdana"/>
          <w:sz w:val="20"/>
          <w:lang w:val="es-CR"/>
        </w:rPr>
      </w:pPr>
    </w:p>
    <w:p w:rsidR="00D16C3E" w:rsidRDefault="00D16C3E" w:rsidP="00D16C3E">
      <w:pPr>
        <w:tabs>
          <w:tab w:val="left" w:pos="567"/>
        </w:tabs>
        <w:spacing w:after="0" w:line="240" w:lineRule="auto"/>
        <w:jc w:val="both"/>
        <w:rPr>
          <w:rFonts w:ascii="Verdana" w:hAnsi="Verdana"/>
          <w:sz w:val="20"/>
          <w:lang w:val="es-CR"/>
        </w:rPr>
      </w:pPr>
    </w:p>
    <w:p w:rsidR="00D16C3E" w:rsidRDefault="00D16C3E" w:rsidP="00D16C3E">
      <w:pPr>
        <w:tabs>
          <w:tab w:val="left" w:pos="567"/>
        </w:tabs>
        <w:spacing w:after="0" w:line="240" w:lineRule="auto"/>
        <w:jc w:val="both"/>
        <w:rPr>
          <w:rFonts w:ascii="Verdana" w:hAnsi="Verdana"/>
          <w:sz w:val="20"/>
          <w:lang w:val="es-CR"/>
        </w:rPr>
      </w:pPr>
    </w:p>
    <w:p w:rsidR="00D16C3E" w:rsidRDefault="00D16C3E" w:rsidP="00D16C3E">
      <w:pPr>
        <w:tabs>
          <w:tab w:val="left" w:pos="567"/>
        </w:tabs>
        <w:spacing w:after="0" w:line="240" w:lineRule="auto"/>
        <w:jc w:val="both"/>
        <w:rPr>
          <w:rFonts w:ascii="Verdana" w:hAnsi="Verdana"/>
          <w:sz w:val="20"/>
          <w:lang w:val="es-CR"/>
        </w:rPr>
      </w:pPr>
    </w:p>
    <w:p w:rsidR="00D16C3E" w:rsidRDefault="00D16C3E" w:rsidP="00D16C3E">
      <w:pPr>
        <w:tabs>
          <w:tab w:val="left" w:pos="567"/>
        </w:tabs>
        <w:spacing w:after="0" w:line="240" w:lineRule="auto"/>
        <w:jc w:val="both"/>
        <w:rPr>
          <w:rFonts w:ascii="Verdana" w:hAnsi="Verdana"/>
          <w:sz w:val="20"/>
          <w:lang w:val="es-CR"/>
        </w:rPr>
      </w:pPr>
    </w:p>
    <w:p w:rsidR="00D16C3E" w:rsidRDefault="00D16C3E" w:rsidP="00D16C3E">
      <w:pPr>
        <w:keepNext/>
        <w:spacing w:after="0" w:line="240" w:lineRule="auto"/>
        <w:jc w:val="both"/>
        <w:outlineLvl w:val="0"/>
        <w:rPr>
          <w:rFonts w:ascii="Verdana" w:hAnsi="Verdana" w:cs="Arial"/>
          <w:sz w:val="20"/>
        </w:rPr>
      </w:pPr>
      <w:r>
        <w:rPr>
          <w:rFonts w:ascii="Verdana" w:hAnsi="Verdana" w:cs="Courier New"/>
          <w:noProof/>
          <w:sz w:val="20"/>
          <w:lang w:val="es-AR"/>
        </w:rPr>
        <w:t xml:space="preserve">Corte IDH. </w:t>
      </w:r>
      <w:r>
        <w:rPr>
          <w:rFonts w:ascii="Verdana" w:hAnsi="Verdana"/>
          <w:bCs/>
          <w:i/>
          <w:sz w:val="20"/>
        </w:rPr>
        <w:t xml:space="preserve">Caso </w:t>
      </w:r>
      <w:r w:rsidRPr="0086117B">
        <w:rPr>
          <w:rFonts w:ascii="Verdana" w:hAnsi="Verdana"/>
          <w:bCs/>
          <w:i/>
          <w:sz w:val="20"/>
        </w:rPr>
        <w:t>Carvajal Carvajal y otros</w:t>
      </w:r>
      <w:r>
        <w:rPr>
          <w:rFonts w:ascii="Verdana" w:hAnsi="Verdana"/>
          <w:bCs/>
          <w:i/>
          <w:sz w:val="20"/>
        </w:rPr>
        <w:t xml:space="preserve"> </w:t>
      </w:r>
      <w:r w:rsidRPr="0086117B">
        <w:rPr>
          <w:rFonts w:ascii="Verdana" w:hAnsi="Verdana"/>
          <w:bCs/>
          <w:i/>
          <w:sz w:val="20"/>
        </w:rPr>
        <w:t xml:space="preserve">Vs. Colombia. </w:t>
      </w:r>
      <w:r w:rsidRPr="00561AFE">
        <w:rPr>
          <w:rFonts w:ascii="Verdana" w:hAnsi="Verdana"/>
          <w:bCs/>
          <w:sz w:val="20"/>
        </w:rPr>
        <w:t>Supervisión de Cumplimiento de Sentencia.</w:t>
      </w:r>
      <w:r>
        <w:rPr>
          <w:rFonts w:ascii="Verdana" w:hAnsi="Verdana" w:cs="Arial"/>
          <w:i/>
          <w:sz w:val="20"/>
        </w:rPr>
        <w:t xml:space="preserve"> </w:t>
      </w:r>
      <w:r>
        <w:rPr>
          <w:rFonts w:ascii="Verdana" w:hAnsi="Verdana"/>
          <w:sz w:val="20"/>
          <w:lang w:val="es-ES"/>
        </w:rPr>
        <w:t>Resolución de la Corte Interamericana de Derechos Humanos de 7 de octubre</w:t>
      </w:r>
      <w:r>
        <w:rPr>
          <w:rFonts w:ascii="Verdana" w:hAnsi="Verdana"/>
          <w:sz w:val="20"/>
        </w:rPr>
        <w:t xml:space="preserve"> de 2019</w:t>
      </w:r>
      <w:r>
        <w:rPr>
          <w:rFonts w:ascii="Verdana" w:hAnsi="Verdana"/>
          <w:sz w:val="20"/>
          <w:lang w:val="es-ES"/>
        </w:rPr>
        <w:t xml:space="preserve">. </w:t>
      </w:r>
    </w:p>
    <w:p w:rsidR="00D16C3E" w:rsidRDefault="00D16C3E" w:rsidP="00D16C3E">
      <w:pPr>
        <w:spacing w:after="0" w:line="240" w:lineRule="auto"/>
        <w:rPr>
          <w:rFonts w:ascii="Verdana" w:hAnsi="Verdana"/>
          <w:sz w:val="20"/>
          <w:lang w:val="es-ES"/>
        </w:rPr>
      </w:pPr>
    </w:p>
    <w:p w:rsidR="00D16C3E" w:rsidRDefault="00D16C3E" w:rsidP="00D16C3E">
      <w:pPr>
        <w:spacing w:after="0" w:line="240" w:lineRule="auto"/>
        <w:rPr>
          <w:rFonts w:ascii="Verdana" w:hAnsi="Verdana"/>
          <w:sz w:val="20"/>
          <w:lang w:val="es-ES"/>
        </w:rPr>
      </w:pPr>
    </w:p>
    <w:p w:rsidR="00D16C3E" w:rsidRDefault="00D16C3E" w:rsidP="00D16C3E">
      <w:pPr>
        <w:spacing w:after="0" w:line="240" w:lineRule="auto"/>
        <w:rPr>
          <w:rFonts w:ascii="Verdana" w:hAnsi="Verdana"/>
          <w:sz w:val="20"/>
          <w:lang w:val="es-ES"/>
        </w:rPr>
      </w:pPr>
    </w:p>
    <w:p w:rsidR="00D16C3E" w:rsidRDefault="00D16C3E" w:rsidP="00D16C3E">
      <w:pPr>
        <w:spacing w:after="0" w:line="240" w:lineRule="auto"/>
        <w:rPr>
          <w:rFonts w:ascii="Verdana" w:hAnsi="Verdana"/>
          <w:sz w:val="20"/>
          <w:lang w:val="es-ES"/>
        </w:rPr>
      </w:pPr>
    </w:p>
    <w:p w:rsidR="00D16C3E" w:rsidRDefault="00D16C3E" w:rsidP="00D16C3E">
      <w:pPr>
        <w:spacing w:after="0" w:line="240" w:lineRule="auto"/>
        <w:rPr>
          <w:rFonts w:ascii="Verdana" w:hAnsi="Verdana"/>
          <w:sz w:val="20"/>
          <w:lang w:val="es-ES"/>
        </w:rPr>
      </w:pPr>
    </w:p>
    <w:p w:rsidR="00D16C3E" w:rsidRDefault="00D16C3E" w:rsidP="00D16C3E">
      <w:pPr>
        <w:spacing w:after="0" w:line="240" w:lineRule="auto"/>
        <w:jc w:val="center"/>
        <w:rPr>
          <w:rFonts w:ascii="Verdana" w:hAnsi="Verdana"/>
          <w:sz w:val="20"/>
          <w:lang w:val="pt-BR"/>
        </w:rPr>
      </w:pPr>
      <w:r>
        <w:rPr>
          <w:rFonts w:ascii="Verdana" w:hAnsi="Verdana"/>
          <w:sz w:val="20"/>
          <w:lang w:val="pt-BR"/>
        </w:rPr>
        <w:t xml:space="preserve">Eduardo Ferrer Mac-Gregor Poisot </w:t>
      </w:r>
    </w:p>
    <w:p w:rsidR="00D16C3E" w:rsidRDefault="00D16C3E" w:rsidP="00D16C3E">
      <w:pPr>
        <w:spacing w:after="0" w:line="240" w:lineRule="auto"/>
        <w:jc w:val="center"/>
        <w:rPr>
          <w:rFonts w:ascii="Verdana" w:hAnsi="Verdana"/>
          <w:sz w:val="20"/>
          <w:lang w:val="pt-BR"/>
        </w:rPr>
      </w:pPr>
      <w:r>
        <w:rPr>
          <w:rFonts w:ascii="Verdana" w:hAnsi="Verdana"/>
          <w:sz w:val="20"/>
          <w:lang w:val="pt-BR"/>
        </w:rPr>
        <w:t>Presidente</w:t>
      </w: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rPr>
          <w:rFonts w:ascii="Verdana" w:hAnsi="Verdana"/>
          <w:sz w:val="20"/>
          <w:lang w:val="pt-BR"/>
        </w:rPr>
      </w:pPr>
      <w:r>
        <w:rPr>
          <w:rFonts w:ascii="Verdana" w:hAnsi="Verdana"/>
          <w:sz w:val="20"/>
          <w:lang w:val="pt-BR"/>
        </w:rPr>
        <w:t>Eduardo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Elizabeth Odio Benito</w:t>
      </w: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rPr>
          <w:rFonts w:ascii="Verdana" w:hAnsi="Verdana"/>
          <w:sz w:val="20"/>
          <w:lang w:val="pt-BR"/>
        </w:rPr>
      </w:pPr>
      <w:r>
        <w:rPr>
          <w:rFonts w:ascii="Verdana" w:hAnsi="Verdana"/>
          <w:sz w:val="20"/>
          <w:lang w:val="pt-BR"/>
        </w:rPr>
        <w:t>Eugenio Raúl Zaffaroni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L. Patricio Pazmiño Freire</w:t>
      </w: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rPr>
          <w:rFonts w:ascii="Verdana" w:hAnsi="Verdana"/>
          <w:sz w:val="20"/>
          <w:lang w:val="pt-BR"/>
        </w:rPr>
      </w:pPr>
    </w:p>
    <w:p w:rsidR="00D16C3E" w:rsidRDefault="00D16C3E" w:rsidP="00D16C3E">
      <w:pPr>
        <w:spacing w:after="0" w:line="240" w:lineRule="auto"/>
        <w:jc w:val="center"/>
        <w:rPr>
          <w:rFonts w:ascii="Verdana" w:hAnsi="Verdana"/>
          <w:sz w:val="20"/>
        </w:rPr>
      </w:pPr>
      <w:r>
        <w:rPr>
          <w:rFonts w:ascii="Verdana" w:hAnsi="Verdana"/>
          <w:sz w:val="20"/>
        </w:rPr>
        <w:t>Ricardo C. Pérez Manrique</w:t>
      </w: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center"/>
        <w:rPr>
          <w:rFonts w:ascii="Verdana" w:hAnsi="Verdana"/>
          <w:sz w:val="20"/>
          <w:lang w:val="pt-BR"/>
        </w:rPr>
      </w:pPr>
      <w:r>
        <w:rPr>
          <w:rFonts w:ascii="Verdana" w:hAnsi="Verdana"/>
          <w:sz w:val="20"/>
          <w:lang w:val="pt-BR"/>
        </w:rPr>
        <w:t>Pablo Saavedra Alessandri</w:t>
      </w:r>
    </w:p>
    <w:p w:rsidR="00D16C3E" w:rsidRDefault="00D16C3E" w:rsidP="00D16C3E">
      <w:pPr>
        <w:spacing w:after="0" w:line="240" w:lineRule="auto"/>
        <w:jc w:val="center"/>
        <w:rPr>
          <w:rFonts w:ascii="Verdana" w:hAnsi="Verdana"/>
          <w:sz w:val="20"/>
          <w:lang w:val="pt-BR"/>
        </w:rPr>
      </w:pPr>
      <w:r>
        <w:rPr>
          <w:rFonts w:ascii="Verdana" w:hAnsi="Verdana"/>
          <w:sz w:val="20"/>
          <w:lang w:val="pt-BR"/>
        </w:rPr>
        <w:t>Secretario</w:t>
      </w:r>
    </w:p>
    <w:p w:rsidR="00D16C3E" w:rsidRDefault="00D16C3E" w:rsidP="00D16C3E">
      <w:pPr>
        <w:spacing w:after="0" w:line="240" w:lineRule="auto"/>
        <w:rPr>
          <w:rFonts w:ascii="Verdana" w:hAnsi="Verdana"/>
          <w:sz w:val="20"/>
          <w:lang w:val="pt-BR"/>
        </w:rPr>
      </w:pPr>
    </w:p>
    <w:p w:rsidR="00D16C3E" w:rsidRDefault="00D16C3E" w:rsidP="00D16C3E">
      <w:pPr>
        <w:pStyle w:val="Textonotapie"/>
        <w:rPr>
          <w:lang w:val="pt-BR"/>
        </w:rPr>
      </w:pPr>
    </w:p>
    <w:p w:rsidR="00D16C3E" w:rsidRDefault="00D16C3E" w:rsidP="00D16C3E">
      <w:pPr>
        <w:pStyle w:val="Textonotapie"/>
        <w:rPr>
          <w:lang w:val="pt-BR"/>
        </w:rPr>
      </w:pPr>
    </w:p>
    <w:p w:rsidR="00D16C3E" w:rsidRDefault="00D16C3E" w:rsidP="00D16C3E">
      <w:pPr>
        <w:pStyle w:val="Textonotapie"/>
        <w:rPr>
          <w:lang w:val="pt-BR"/>
        </w:rPr>
      </w:pPr>
    </w:p>
    <w:p w:rsidR="00D16C3E" w:rsidRDefault="00D16C3E" w:rsidP="00D16C3E">
      <w:pPr>
        <w:spacing w:after="0" w:line="240" w:lineRule="auto"/>
        <w:jc w:val="both"/>
        <w:rPr>
          <w:rFonts w:ascii="Verdana" w:hAnsi="Verdana"/>
          <w:sz w:val="20"/>
          <w:lang w:val="pt-BR"/>
        </w:rPr>
      </w:pPr>
      <w:r>
        <w:rPr>
          <w:rFonts w:ascii="Verdana" w:hAnsi="Verdana"/>
          <w:sz w:val="20"/>
          <w:lang w:val="pt-BR"/>
        </w:rPr>
        <w:t>Comuníquese y ejecútese,</w:t>
      </w: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ind w:left="4956"/>
        <w:jc w:val="center"/>
        <w:rPr>
          <w:rFonts w:ascii="Verdana" w:hAnsi="Verdana"/>
          <w:sz w:val="20"/>
          <w:lang w:val="pt-BR"/>
        </w:rPr>
      </w:pPr>
      <w:r>
        <w:rPr>
          <w:rFonts w:ascii="Verdana" w:hAnsi="Verdana"/>
          <w:sz w:val="20"/>
          <w:lang w:val="pt-BR"/>
        </w:rPr>
        <w:t xml:space="preserve">Eduardo Ferrer Mac-Gregor Poisot </w:t>
      </w:r>
    </w:p>
    <w:p w:rsidR="00D16C3E" w:rsidRDefault="00D16C3E" w:rsidP="00D16C3E">
      <w:pPr>
        <w:spacing w:after="0" w:line="240" w:lineRule="auto"/>
        <w:ind w:left="4956"/>
        <w:jc w:val="center"/>
        <w:rPr>
          <w:rFonts w:ascii="Verdana" w:hAnsi="Verdana"/>
          <w:sz w:val="20"/>
          <w:lang w:val="pt-BR"/>
        </w:rPr>
      </w:pPr>
      <w:r>
        <w:rPr>
          <w:rFonts w:ascii="Verdana" w:hAnsi="Verdana"/>
          <w:sz w:val="20"/>
          <w:lang w:val="pt-BR"/>
        </w:rPr>
        <w:t>Presidente</w:t>
      </w: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pt-BR"/>
        </w:rPr>
      </w:pPr>
    </w:p>
    <w:p w:rsidR="00D16C3E" w:rsidRDefault="00D16C3E" w:rsidP="00D16C3E">
      <w:pPr>
        <w:spacing w:after="0" w:line="240" w:lineRule="auto"/>
        <w:jc w:val="both"/>
        <w:rPr>
          <w:rFonts w:ascii="Verdana" w:hAnsi="Verdana"/>
          <w:sz w:val="20"/>
          <w:lang w:val="es-ES"/>
        </w:rPr>
      </w:pPr>
      <w:r>
        <w:rPr>
          <w:rFonts w:ascii="Verdana" w:hAnsi="Verdana"/>
          <w:sz w:val="20"/>
          <w:lang w:val="es-ES"/>
        </w:rPr>
        <w:t>Pablo Saavedra Alessandri</w:t>
      </w:r>
    </w:p>
    <w:p w:rsidR="00D16C3E" w:rsidRDefault="00D16C3E" w:rsidP="00D16C3E">
      <w:pPr>
        <w:spacing w:after="0" w:line="240" w:lineRule="auto"/>
        <w:rPr>
          <w:rFonts w:ascii="Verdana" w:hAnsi="Verdana"/>
          <w:sz w:val="20"/>
        </w:rPr>
      </w:pPr>
      <w:r>
        <w:rPr>
          <w:rFonts w:ascii="Verdana" w:hAnsi="Verdana"/>
          <w:sz w:val="20"/>
          <w:lang w:val="es-ES"/>
        </w:rPr>
        <w:tab/>
      </w:r>
      <w:r>
        <w:rPr>
          <w:rFonts w:ascii="Verdana" w:hAnsi="Verdana"/>
          <w:sz w:val="20"/>
        </w:rPr>
        <w:t>Secretario</w:t>
      </w:r>
    </w:p>
    <w:p w:rsidR="00D16C3E" w:rsidRDefault="00D16C3E" w:rsidP="00D16C3E">
      <w:pPr>
        <w:spacing w:after="0" w:line="240" w:lineRule="auto"/>
        <w:rPr>
          <w:rFonts w:ascii="Verdana" w:hAnsi="Verdana"/>
          <w:sz w:val="20"/>
        </w:rPr>
      </w:pPr>
    </w:p>
    <w:p w:rsidR="00D16C3E" w:rsidRPr="0079338E" w:rsidRDefault="00D16C3E" w:rsidP="00D16C3E">
      <w:pPr>
        <w:tabs>
          <w:tab w:val="left" w:pos="567"/>
        </w:tabs>
        <w:spacing w:after="0" w:line="240" w:lineRule="auto"/>
        <w:jc w:val="both"/>
        <w:rPr>
          <w:rFonts w:ascii="Verdana" w:hAnsi="Verdana"/>
          <w:sz w:val="20"/>
          <w:lang w:val="es-CR"/>
        </w:rPr>
      </w:pPr>
    </w:p>
    <w:sectPr w:rsidR="00D16C3E" w:rsidRPr="0079338E" w:rsidSect="008C6B39">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F6E" w:rsidRDefault="00A30F6E" w:rsidP="005A1B3D">
      <w:pPr>
        <w:spacing w:after="0" w:line="240" w:lineRule="auto"/>
      </w:pPr>
      <w:r>
        <w:separator/>
      </w:r>
    </w:p>
  </w:endnote>
  <w:endnote w:type="continuationSeparator" w:id="0">
    <w:p w:rsidR="00A30F6E" w:rsidRDefault="00A30F6E"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A5F" w:rsidRDefault="00845A5F" w:rsidP="0006620E">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F6E" w:rsidRDefault="00A30F6E" w:rsidP="005A1B3D">
      <w:pPr>
        <w:spacing w:after="0" w:line="240" w:lineRule="auto"/>
      </w:pPr>
      <w:r>
        <w:separator/>
      </w:r>
    </w:p>
  </w:footnote>
  <w:footnote w:type="continuationSeparator" w:id="0">
    <w:p w:rsidR="00A30F6E" w:rsidRDefault="00A30F6E" w:rsidP="005A1B3D">
      <w:pPr>
        <w:spacing w:after="0" w:line="240" w:lineRule="auto"/>
      </w:pPr>
      <w:r>
        <w:continuationSeparator/>
      </w:r>
    </w:p>
  </w:footnote>
  <w:footnote w:id="1">
    <w:p w:rsidR="00845A5F" w:rsidRPr="00046374" w:rsidRDefault="00845A5F" w:rsidP="00631C55">
      <w:pPr>
        <w:pStyle w:val="Textonotapie"/>
        <w:rPr>
          <w:lang w:val="es-ES_tradnl"/>
        </w:rPr>
      </w:pPr>
      <w:r w:rsidRPr="00046374">
        <w:rPr>
          <w:vertAlign w:val="superscript"/>
          <w:lang w:val="es-ES_tradnl"/>
        </w:rPr>
        <w:t>*</w:t>
      </w:r>
      <w:r w:rsidRPr="00046374">
        <w:rPr>
          <w:lang w:val="es-ES_tradnl"/>
        </w:rPr>
        <w:tab/>
        <w:t>El Juez Humberto A. Sierra Porto, de nacionalidad colombiana, no participó en la deliberación de la</w:t>
      </w:r>
      <w:r>
        <w:rPr>
          <w:lang w:val="es-ES_tradnl"/>
        </w:rPr>
        <w:t xml:space="preserve"> </w:t>
      </w:r>
      <w:r w:rsidRPr="00046374">
        <w:rPr>
          <w:lang w:val="es-ES_tradnl"/>
        </w:rPr>
        <w:t>Sentencia del presente caso, ni en el conocimiento y deliberación de la presente Resolución, de conformidad con lo dispuesto en el artículo 19.1 del Reglamento de la Corte.</w:t>
      </w:r>
    </w:p>
  </w:footnote>
  <w:footnote w:id="2">
    <w:p w:rsidR="00845A5F" w:rsidRPr="00046374" w:rsidRDefault="00845A5F" w:rsidP="00631C55">
      <w:pPr>
        <w:pStyle w:val="Textonotapie"/>
        <w:rPr>
          <w:color w:val="000000"/>
          <w:lang w:val="es-ES_tradnl"/>
        </w:rPr>
      </w:pPr>
      <w:r w:rsidRPr="00046374">
        <w:rPr>
          <w:rStyle w:val="Refdenotaalpie"/>
          <w:color w:val="000000"/>
          <w:szCs w:val="16"/>
          <w:lang w:val="es-ES_tradnl"/>
        </w:rPr>
        <w:footnoteRef/>
      </w:r>
      <w:r>
        <w:rPr>
          <w:color w:val="000000"/>
          <w:lang w:val="es-ES_tradnl"/>
        </w:rPr>
        <w:t xml:space="preserve"> </w:t>
      </w:r>
      <w:r>
        <w:rPr>
          <w:color w:val="000000"/>
          <w:lang w:val="es-ES_tradnl"/>
        </w:rPr>
        <w:tab/>
      </w:r>
      <w:r w:rsidRPr="00046374">
        <w:rPr>
          <w:i/>
          <w:color w:val="000000"/>
          <w:lang w:val="es-ES_tradnl"/>
        </w:rPr>
        <w:t xml:space="preserve">Cfr. </w:t>
      </w:r>
      <w:r w:rsidRPr="00046374">
        <w:rPr>
          <w:rStyle w:val="Textoennegrita"/>
          <w:b w:val="0"/>
          <w:i/>
          <w:color w:val="000000"/>
          <w:szCs w:val="16"/>
          <w:shd w:val="clear" w:color="auto" w:fill="FFFFFF"/>
          <w:lang w:val="es-ES_tradnl"/>
        </w:rPr>
        <w:t>Caso Carvajal Carvajal y otros Vs. Colombia. Fondo, Reparaciones y Costas.</w:t>
      </w:r>
      <w:r w:rsidRPr="00046374">
        <w:rPr>
          <w:rStyle w:val="Textoennegrita"/>
          <w:b w:val="0"/>
          <w:color w:val="000000"/>
          <w:szCs w:val="16"/>
          <w:shd w:val="clear" w:color="auto" w:fill="FFFFFF"/>
          <w:lang w:val="es-ES_tradnl"/>
        </w:rPr>
        <w:t xml:space="preserve"> Sentencia de 13 de marzo de 2018. Serie C No. 352</w:t>
      </w:r>
      <w:r w:rsidRPr="00046374">
        <w:rPr>
          <w:rStyle w:val="Textoennegrita"/>
          <w:b w:val="0"/>
          <w:i/>
          <w:color w:val="000000"/>
          <w:szCs w:val="16"/>
          <w:lang w:val="es-ES_tradnl"/>
        </w:rPr>
        <w:t>.</w:t>
      </w:r>
      <w:r w:rsidRPr="00046374">
        <w:rPr>
          <w:color w:val="000000"/>
          <w:lang w:val="es-ES_tradnl"/>
        </w:rPr>
        <w:t xml:space="preserve"> El texto íntegro de la Sentencia se encuentra disponible en: </w:t>
      </w:r>
      <w:hyperlink r:id="rId1" w:history="1">
        <w:r w:rsidRPr="00046374">
          <w:rPr>
            <w:rStyle w:val="Hipervnculo"/>
            <w:szCs w:val="16"/>
            <w:lang w:val="es-ES_tradnl"/>
          </w:rPr>
          <w:t>http://www.corteidh.or.cr/docs/casos/articulos/seriec_352_esp.pdf</w:t>
        </w:r>
      </w:hyperlink>
      <w:r w:rsidRPr="00046374">
        <w:rPr>
          <w:color w:val="000000"/>
          <w:lang w:val="es-ES_tradnl"/>
        </w:rPr>
        <w:t xml:space="preserve">. La Sentencia fue notificada al Estado el 6 de junio de 2018. </w:t>
      </w:r>
    </w:p>
  </w:footnote>
  <w:footnote w:id="3">
    <w:p w:rsidR="00C5535C" w:rsidRPr="00C5535C" w:rsidRDefault="00C5535C" w:rsidP="00C5535C">
      <w:pPr>
        <w:pStyle w:val="Textonotapie"/>
        <w:rPr>
          <w:lang w:val="es-CR"/>
        </w:rPr>
      </w:pPr>
      <w:r>
        <w:rPr>
          <w:rStyle w:val="Refdenotaalpie"/>
        </w:rPr>
        <w:footnoteRef/>
      </w:r>
      <w:r w:rsidRPr="00C5535C">
        <w:rPr>
          <w:lang w:val="es-CR"/>
        </w:rPr>
        <w:t xml:space="preserve"> </w:t>
      </w:r>
      <w:r>
        <w:rPr>
          <w:lang w:val="es-CR"/>
        </w:rPr>
        <w:tab/>
        <w:t xml:space="preserve">El señor Carvajal informaba y denunciaba asuntos de interés local, particularmente sobre irregularidades en la administración de fondos públicos, hechos de corrupción y lavado de dinero proveniente del narcotráfico de la zona </w:t>
      </w:r>
      <w:r w:rsidRPr="00C5535C">
        <w:rPr>
          <w:lang w:val="es-CR"/>
        </w:rPr>
        <w:t>y</w:t>
      </w:r>
      <w:r>
        <w:rPr>
          <w:lang w:val="es-CR"/>
        </w:rPr>
        <w:t xml:space="preserve"> en el departamento del Huila en g</w:t>
      </w:r>
      <w:r w:rsidRPr="00C5535C">
        <w:rPr>
          <w:lang w:val="es-CR"/>
        </w:rPr>
        <w:t>eneral</w:t>
      </w:r>
      <w:r>
        <w:rPr>
          <w:lang w:val="es-CR"/>
        </w:rPr>
        <w:t xml:space="preserve">. </w:t>
      </w:r>
      <w:r>
        <w:rPr>
          <w:i/>
          <w:lang w:val="es-CR"/>
        </w:rPr>
        <w:t xml:space="preserve">Cfr. </w:t>
      </w:r>
      <w:r w:rsidRPr="00046374">
        <w:rPr>
          <w:rStyle w:val="Textoennegrita"/>
          <w:b w:val="0"/>
          <w:i/>
          <w:color w:val="000000"/>
          <w:szCs w:val="16"/>
          <w:shd w:val="clear" w:color="auto" w:fill="FFFFFF"/>
          <w:lang w:val="es-ES_tradnl"/>
        </w:rPr>
        <w:t>Caso Carvaja</w:t>
      </w:r>
      <w:r>
        <w:rPr>
          <w:rStyle w:val="Textoennegrita"/>
          <w:b w:val="0"/>
          <w:i/>
          <w:color w:val="000000"/>
          <w:szCs w:val="16"/>
          <w:shd w:val="clear" w:color="auto" w:fill="FFFFFF"/>
          <w:lang w:val="es-ES_tradnl"/>
        </w:rPr>
        <w:t xml:space="preserve">l Carvajal y otros Vs. Colombia, supra </w:t>
      </w:r>
      <w:r>
        <w:rPr>
          <w:rStyle w:val="Textoennegrita"/>
          <w:b w:val="0"/>
          <w:color w:val="000000"/>
          <w:szCs w:val="16"/>
          <w:shd w:val="clear" w:color="auto" w:fill="FFFFFF"/>
          <w:lang w:val="es-ES_tradnl"/>
        </w:rPr>
        <w:t xml:space="preserve">nota 1, párr. 38. </w:t>
      </w:r>
    </w:p>
  </w:footnote>
  <w:footnote w:id="4">
    <w:p w:rsidR="00845A5F" w:rsidRPr="00046374" w:rsidRDefault="00845A5F" w:rsidP="00631C55">
      <w:pPr>
        <w:pStyle w:val="Textonotapie"/>
        <w:rPr>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Pr>
          <w:lang w:val="es-ES_tradnl"/>
        </w:rPr>
        <w:t>Dichos familiares</w:t>
      </w:r>
      <w:r w:rsidRPr="00046374">
        <w:rPr>
          <w:lang w:val="es-ES_tradnl"/>
        </w:rPr>
        <w:t xml:space="preserve"> </w:t>
      </w:r>
      <w:r>
        <w:rPr>
          <w:lang w:val="es-ES_tradnl"/>
        </w:rPr>
        <w:t>son:</w:t>
      </w:r>
      <w:r w:rsidRPr="00046374">
        <w:rPr>
          <w:lang w:val="es-ES_tradnl"/>
        </w:rPr>
        <w:t xml:space="preserve"> Ana Francisca Carvajal de Carvajal, </w:t>
      </w:r>
      <w:r>
        <w:rPr>
          <w:lang w:val="es-ES_tradnl"/>
        </w:rPr>
        <w:t>Jairo Carvajal Cabrera</w:t>
      </w:r>
      <w:r w:rsidRPr="00046374">
        <w:rPr>
          <w:lang w:val="es-ES_tradnl"/>
        </w:rPr>
        <w:t>, Yaneth Cristina Carvajal</w:t>
      </w:r>
      <w:r>
        <w:rPr>
          <w:lang w:val="es-ES_tradnl"/>
        </w:rPr>
        <w:t xml:space="preserve"> </w:t>
      </w:r>
      <w:r w:rsidRPr="00046374">
        <w:rPr>
          <w:lang w:val="es-ES_tradnl"/>
        </w:rPr>
        <w:t xml:space="preserve">Ardila, </w:t>
      </w:r>
      <w:r>
        <w:rPr>
          <w:lang w:val="es-ES_tradnl"/>
        </w:rPr>
        <w:t>Paola Andrea Carvajal Bolaños</w:t>
      </w:r>
      <w:r w:rsidRPr="00046374">
        <w:rPr>
          <w:lang w:val="es-ES_tradnl"/>
        </w:rPr>
        <w:t>, Ma</w:t>
      </w:r>
      <w:r>
        <w:rPr>
          <w:lang w:val="es-ES_tradnl"/>
        </w:rPr>
        <w:t>ría Alejandra Carvajal Bolaños</w:t>
      </w:r>
      <w:r w:rsidRPr="00046374">
        <w:rPr>
          <w:lang w:val="es-ES_tradnl"/>
        </w:rPr>
        <w:t>, Luz Estela</w:t>
      </w:r>
      <w:r>
        <w:rPr>
          <w:lang w:val="es-ES_tradnl"/>
        </w:rPr>
        <w:t xml:space="preserve"> Bolaños Rodríguez</w:t>
      </w:r>
      <w:r w:rsidRPr="00046374">
        <w:rPr>
          <w:lang w:val="es-ES_tradnl"/>
        </w:rPr>
        <w:t xml:space="preserve">, </w:t>
      </w:r>
      <w:r>
        <w:rPr>
          <w:lang w:val="es-ES_tradnl"/>
        </w:rPr>
        <w:t>Judith Carvajal Carvajal</w:t>
      </w:r>
      <w:r w:rsidRPr="00046374">
        <w:rPr>
          <w:lang w:val="es-ES_tradnl"/>
        </w:rPr>
        <w:t xml:space="preserve">, Gloria Mercedes Carvajal Carvajal, </w:t>
      </w:r>
      <w:r>
        <w:rPr>
          <w:lang w:val="es-ES_tradnl"/>
        </w:rPr>
        <w:t>Ruth Dary Carvajal Carvajal</w:t>
      </w:r>
      <w:r w:rsidRPr="00046374">
        <w:rPr>
          <w:lang w:val="es-ES_tradnl"/>
        </w:rPr>
        <w:t xml:space="preserve">, </w:t>
      </w:r>
      <w:r>
        <w:rPr>
          <w:lang w:val="es-ES_tradnl"/>
        </w:rPr>
        <w:t>Luz Eny Carvajal Carvajal</w:t>
      </w:r>
      <w:r w:rsidRPr="00046374">
        <w:rPr>
          <w:lang w:val="es-ES_tradnl"/>
        </w:rPr>
        <w:t>, Miriam</w:t>
      </w:r>
      <w:r>
        <w:rPr>
          <w:lang w:val="es-ES_tradnl"/>
        </w:rPr>
        <w:t xml:space="preserve"> Carvajal Carvajal</w:t>
      </w:r>
      <w:r w:rsidRPr="00046374">
        <w:rPr>
          <w:lang w:val="es-ES_tradnl"/>
        </w:rPr>
        <w:t>, Fern</w:t>
      </w:r>
      <w:r>
        <w:rPr>
          <w:lang w:val="es-ES_tradnl"/>
        </w:rPr>
        <w:t>ando Augusto Carvajal Carvajal</w:t>
      </w:r>
      <w:r w:rsidRPr="00046374">
        <w:rPr>
          <w:lang w:val="es-ES_tradnl"/>
        </w:rPr>
        <w:t>, Saúl Carvajal Carvajal, Cristhia</w:t>
      </w:r>
      <w:r>
        <w:rPr>
          <w:lang w:val="es-ES_tradnl"/>
        </w:rPr>
        <w:t>n Camilo Motta Carvajal</w:t>
      </w:r>
      <w:r w:rsidRPr="00046374">
        <w:rPr>
          <w:lang w:val="es-ES_tradnl"/>
        </w:rPr>
        <w:t xml:space="preserve"> y César Au</w:t>
      </w:r>
      <w:r w:rsidR="00F83EF4">
        <w:rPr>
          <w:lang w:val="es-ES_tradnl"/>
        </w:rPr>
        <w:t>gusto Meneses Carvajal</w:t>
      </w:r>
      <w:r w:rsidRPr="00046374">
        <w:rPr>
          <w:lang w:val="es-ES_tradnl"/>
        </w:rPr>
        <w:t>.</w:t>
      </w:r>
    </w:p>
  </w:footnote>
  <w:footnote w:id="5">
    <w:p w:rsidR="00845A5F" w:rsidRPr="00046374" w:rsidRDefault="00845A5F" w:rsidP="00631C55">
      <w:pPr>
        <w:pStyle w:val="Textonotapie"/>
        <w:rPr>
          <w:rFonts w:eastAsia="Times New Roman"/>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sidRPr="00046374">
        <w:rPr>
          <w:rFonts w:eastAsia="Times New Roman"/>
          <w:lang w:val="es-ES_tradnl"/>
        </w:rPr>
        <w:t>Dichos familiares son: Paola Andrea Carvajal Bolaños, María Alejandra Carvajal Bolaños; Luz Estela Bolaños Rodríguez; Judith Carvajal Carvajal, Gloria Mercedes Carvajal Carvajal, Ruth Dary Carvajal Carvajal, Fernando Augusto Carvajal Carvajal; Cristhian Camilo Motta Carvajal, César Augusto Meneses Carvajal.</w:t>
      </w:r>
    </w:p>
  </w:footnote>
  <w:footnote w:id="6">
    <w:p w:rsidR="00845A5F" w:rsidRPr="00046374" w:rsidRDefault="00845A5F" w:rsidP="00631C55">
      <w:pPr>
        <w:pStyle w:val="Textonotapie"/>
        <w:rPr>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sidR="001C7B36">
        <w:rPr>
          <w:lang w:val="es-ES_tradnl"/>
        </w:rPr>
        <w:t>Los</w:t>
      </w:r>
      <w:r w:rsidRPr="00046374">
        <w:rPr>
          <w:lang w:val="es-ES_tradnl"/>
        </w:rPr>
        <w:t xml:space="preserve"> familiares que eran niños al momento de los hechos son: Paola Andrea Carvajal Bolaños, María Alejandra Carvajal Bolaños, Cristhian Camilo Motta Carvajal, y César Augusto Meneses Carvajal.</w:t>
      </w:r>
    </w:p>
  </w:footnote>
  <w:footnote w:id="7">
    <w:p w:rsidR="00845A5F" w:rsidRPr="00046374" w:rsidRDefault="00845A5F" w:rsidP="00631C55">
      <w:pPr>
        <w:pStyle w:val="Textonotapie"/>
        <w:rPr>
          <w:lang w:val="es-ES_tradnl"/>
        </w:rPr>
      </w:pPr>
      <w:r w:rsidRPr="00046374">
        <w:rPr>
          <w:rStyle w:val="Refdenotaalpie"/>
          <w:szCs w:val="16"/>
          <w:lang w:val="es-ES_tradnl"/>
        </w:rPr>
        <w:footnoteRef/>
      </w:r>
      <w:r>
        <w:rPr>
          <w:lang w:val="es-ES_tradnl"/>
        </w:rPr>
        <w:t xml:space="preserve"> </w:t>
      </w:r>
      <w:r>
        <w:rPr>
          <w:lang w:val="es-ES_tradnl"/>
        </w:rPr>
        <w:tab/>
      </w:r>
      <w:r w:rsidRPr="00A376E3">
        <w:rPr>
          <w:lang w:val="es-ES_tradnl"/>
        </w:rPr>
        <w:t>En la que se pronunció sobre el sentido y alcance de lo dispuesto en la Sentencia</w:t>
      </w:r>
      <w:r>
        <w:rPr>
          <w:lang w:val="es-ES_tradnl"/>
        </w:rPr>
        <w:t xml:space="preserve"> respecto</w:t>
      </w:r>
      <w:r w:rsidRPr="00A376E3">
        <w:rPr>
          <w:lang w:val="es-ES_tradnl"/>
        </w:rPr>
        <w:t xml:space="preserve"> a la</w:t>
      </w:r>
      <w:r>
        <w:rPr>
          <w:lang w:val="es-ES_tradnl"/>
        </w:rPr>
        <w:t>s medidas de: restitución, indemnización por daños materiales e inmateriales; reintegro de costas y gastos, así como a la remisión por el Estado de</w:t>
      </w:r>
      <w:r w:rsidRPr="00A376E3">
        <w:rPr>
          <w:lang w:val="es-ES_tradnl"/>
        </w:rPr>
        <w:t xml:space="preserve"> los informes periódicos que </w:t>
      </w:r>
      <w:r>
        <w:rPr>
          <w:lang w:val="es-ES_tradnl"/>
        </w:rPr>
        <w:t xml:space="preserve">éste </w:t>
      </w:r>
      <w:r w:rsidRPr="00A376E3">
        <w:rPr>
          <w:lang w:val="es-ES_tradnl"/>
        </w:rPr>
        <w:t>envía a los organ</w:t>
      </w:r>
      <w:r>
        <w:rPr>
          <w:lang w:val="es-ES_tradnl"/>
        </w:rPr>
        <w:t xml:space="preserve">ismos especializados de la OEA y </w:t>
      </w:r>
      <w:r w:rsidRPr="00A376E3">
        <w:rPr>
          <w:lang w:val="es-ES_tradnl"/>
        </w:rPr>
        <w:t>de las Naciones Unidas, relacionados con las medidas implementadas para la prevención y</w:t>
      </w:r>
      <w:r>
        <w:rPr>
          <w:lang w:val="es-ES_tradnl"/>
        </w:rPr>
        <w:t xml:space="preserve"> </w:t>
      </w:r>
      <w:r w:rsidRPr="00A376E3">
        <w:rPr>
          <w:lang w:val="es-ES_tradnl"/>
        </w:rPr>
        <w:t>protección de la</w:t>
      </w:r>
      <w:r>
        <w:rPr>
          <w:lang w:val="es-ES_tradnl"/>
        </w:rPr>
        <w:t>s y los periodistas en Colombia</w:t>
      </w:r>
      <w:r w:rsidRPr="00A376E3">
        <w:rPr>
          <w:lang w:val="es-ES_tradnl"/>
        </w:rPr>
        <w:t xml:space="preserve">. </w:t>
      </w:r>
      <w:r w:rsidRPr="00046374">
        <w:rPr>
          <w:i/>
          <w:color w:val="000000"/>
          <w:lang w:val="es-ES_tradnl"/>
        </w:rPr>
        <w:t>Cfr.</w:t>
      </w:r>
      <w:r w:rsidRPr="005B051E">
        <w:rPr>
          <w:i/>
          <w:color w:val="000000"/>
          <w:lang w:val="es-ES_tradnl"/>
        </w:rPr>
        <w:t xml:space="preserve"> </w:t>
      </w:r>
      <w:r w:rsidRPr="005C473E">
        <w:rPr>
          <w:rStyle w:val="Textoennegrita"/>
          <w:b w:val="0"/>
          <w:i/>
          <w:color w:val="000000"/>
          <w:szCs w:val="16"/>
          <w:shd w:val="clear" w:color="auto" w:fill="FFFFFF"/>
          <w:lang w:val="es-ES_tradnl"/>
        </w:rPr>
        <w:t xml:space="preserve">Caso Carvajal Carvajal y otros Vs. Colombia. Interpretación de la Sentencia de Fondo, Reparaciones y Costas. </w:t>
      </w:r>
      <w:r w:rsidRPr="00046374">
        <w:rPr>
          <w:rStyle w:val="Textoennegrita"/>
          <w:b w:val="0"/>
          <w:color w:val="000000"/>
          <w:szCs w:val="16"/>
          <w:shd w:val="clear" w:color="auto" w:fill="FFFFFF"/>
          <w:lang w:val="es-ES_tradnl"/>
        </w:rPr>
        <w:t>Sentencia de 21 de noviembre de 2018. Serie C No. 365</w:t>
      </w:r>
      <w:r w:rsidRPr="00046374">
        <w:rPr>
          <w:rStyle w:val="Textoennegrita"/>
          <w:b w:val="0"/>
          <w:i/>
          <w:color w:val="000000"/>
          <w:szCs w:val="16"/>
          <w:lang w:val="es-ES_tradnl"/>
        </w:rPr>
        <w:t xml:space="preserve">, </w:t>
      </w:r>
      <w:r w:rsidRPr="00A376E3">
        <w:rPr>
          <w:rStyle w:val="Textoennegrita"/>
          <w:b w:val="0"/>
          <w:color w:val="000000"/>
          <w:szCs w:val="16"/>
          <w:lang w:val="es-ES_tradnl"/>
        </w:rPr>
        <w:t>disponible en:</w:t>
      </w:r>
      <w:r w:rsidRPr="00046374">
        <w:rPr>
          <w:rStyle w:val="Textoennegrita"/>
          <w:b w:val="0"/>
          <w:i/>
          <w:color w:val="000000"/>
          <w:szCs w:val="16"/>
          <w:lang w:val="es-ES_tradnl"/>
        </w:rPr>
        <w:t xml:space="preserve"> </w:t>
      </w:r>
      <w:hyperlink r:id="rId2" w:history="1">
        <w:r w:rsidRPr="00046374">
          <w:rPr>
            <w:rStyle w:val="Hipervnculo"/>
            <w:szCs w:val="16"/>
            <w:lang w:val="es-ES_tradnl"/>
          </w:rPr>
          <w:t>http://www.corteidh.or.cr/docs/casos/articulos/seriec_365_esp.pdf</w:t>
        </w:r>
      </w:hyperlink>
      <w:r w:rsidRPr="00046374">
        <w:rPr>
          <w:color w:val="000000"/>
          <w:lang w:val="es-ES_tradnl"/>
        </w:rPr>
        <w:t>.</w:t>
      </w:r>
    </w:p>
  </w:footnote>
  <w:footnote w:id="8">
    <w:p w:rsidR="00845A5F" w:rsidRPr="00046374" w:rsidRDefault="00845A5F" w:rsidP="00631C55">
      <w:pPr>
        <w:pStyle w:val="Textonotapie"/>
        <w:rPr>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sidRPr="00046374">
        <w:rPr>
          <w:rStyle w:val="Textoennegrita"/>
          <w:b w:val="0"/>
          <w:color w:val="000000"/>
          <w:szCs w:val="16"/>
          <w:shd w:val="clear" w:color="auto" w:fill="FFFFFF"/>
          <w:lang w:val="es-ES_tradnl"/>
        </w:rPr>
        <w:t xml:space="preserve">Las víctimas del presente caso son representadas por la Sociedad Interamericana de Prensa (SIP) y </w:t>
      </w:r>
      <w:r>
        <w:rPr>
          <w:rStyle w:val="Textoennegrita"/>
          <w:b w:val="0"/>
          <w:color w:val="000000"/>
          <w:szCs w:val="16"/>
          <w:shd w:val="clear" w:color="auto" w:fill="FFFFFF"/>
          <w:lang w:val="es-ES_tradnl"/>
        </w:rPr>
        <w:t xml:space="preserve">la organización </w:t>
      </w:r>
      <w:r w:rsidRPr="003F45EC">
        <w:rPr>
          <w:rStyle w:val="Textoennegrita"/>
          <w:b w:val="0"/>
          <w:i/>
          <w:color w:val="000000"/>
          <w:szCs w:val="16"/>
          <w:shd w:val="clear" w:color="auto" w:fill="FFFFFF"/>
          <w:lang w:val="es-ES_tradnl"/>
        </w:rPr>
        <w:t>Robert F. Kennedy Human Rights</w:t>
      </w:r>
      <w:r w:rsidRPr="00046374">
        <w:rPr>
          <w:rStyle w:val="Textoennegrita"/>
          <w:b w:val="0"/>
          <w:color w:val="000000"/>
          <w:szCs w:val="16"/>
          <w:shd w:val="clear" w:color="auto" w:fill="FFFFFF"/>
          <w:lang w:val="es-ES_tradnl"/>
        </w:rPr>
        <w:t>.</w:t>
      </w:r>
    </w:p>
  </w:footnote>
  <w:footnote w:id="9">
    <w:p w:rsidR="00845A5F" w:rsidRPr="00046374" w:rsidRDefault="00845A5F" w:rsidP="00631C55">
      <w:pPr>
        <w:pStyle w:val="Textonotapie"/>
        <w:rPr>
          <w:lang w:val="es-ES_tradnl"/>
        </w:rPr>
      </w:pPr>
      <w:r w:rsidRPr="00046374">
        <w:rPr>
          <w:rStyle w:val="Refdenotaalpie"/>
          <w:szCs w:val="16"/>
          <w:lang w:val="es-ES_tradnl"/>
        </w:rPr>
        <w:footnoteRef/>
      </w:r>
      <w:r w:rsidRPr="00046374">
        <w:rPr>
          <w:lang w:val="es-ES_tradnl"/>
        </w:rPr>
        <w:t xml:space="preserve"> </w:t>
      </w:r>
      <w:r w:rsidRPr="00046374">
        <w:rPr>
          <w:lang w:val="es-ES_tradnl"/>
        </w:rPr>
        <w:tab/>
        <w:t>Facultad que además se desprende de lo dispuesto en los artículos 33, 62.1, 62.3 y 65 de la Convención Americana y 30 de su Estatuto y se encuentra regulada en el artículo 69 de su Reglamento.</w:t>
      </w:r>
    </w:p>
  </w:footnote>
  <w:footnote w:id="10">
    <w:p w:rsidR="00845A5F" w:rsidRPr="00046374" w:rsidRDefault="00845A5F" w:rsidP="00631C55">
      <w:pPr>
        <w:pStyle w:val="Textonotapie"/>
        <w:rPr>
          <w:b/>
          <w:color w:val="000000"/>
          <w:lang w:val="es-ES_tradnl"/>
        </w:rPr>
      </w:pPr>
      <w:r w:rsidRPr="00046374">
        <w:rPr>
          <w:rStyle w:val="Refdenotaalpie"/>
          <w:szCs w:val="16"/>
          <w:lang w:val="es-ES_tradnl"/>
        </w:rPr>
        <w:footnoteRef/>
      </w:r>
      <w:r w:rsidRPr="00046374">
        <w:rPr>
          <w:i/>
          <w:color w:val="000000"/>
          <w:lang w:val="es-ES_tradnl"/>
        </w:rPr>
        <w:t xml:space="preserve"> </w:t>
      </w:r>
      <w:r w:rsidRPr="00046374">
        <w:rPr>
          <w:i/>
          <w:color w:val="000000"/>
          <w:lang w:val="es-ES_tradnl"/>
        </w:rPr>
        <w:tab/>
      </w:r>
      <w:r w:rsidRPr="00D675DE">
        <w:rPr>
          <w:i/>
          <w:lang w:val="es-ES_tradnl"/>
        </w:rPr>
        <w:t>Cfr. Caso Cinco Pensionistas Vs. Perú. Supervisión de cumplimiento de Sentencia</w:t>
      </w:r>
      <w:r w:rsidRPr="00046374">
        <w:rPr>
          <w:lang w:val="es-ES_tradnl"/>
        </w:rPr>
        <w:t xml:space="preserve">. Resolución de la Corte de 17 de noviembre de 2004, Considerando 5, y </w:t>
      </w:r>
      <w:r w:rsidRPr="00631C55">
        <w:rPr>
          <w:rStyle w:val="Textoennegrita"/>
          <w:b w:val="0"/>
          <w:i/>
          <w:color w:val="000000"/>
          <w:szCs w:val="16"/>
          <w:shd w:val="clear" w:color="auto" w:fill="FFFFFF"/>
          <w:lang w:val="es-ES_tradnl"/>
        </w:rPr>
        <w:t>Caso Comunidad Indígena Yakye Axa Vs. Paraguay. Supervisión de Cumplimiento de Sentencia.</w:t>
      </w:r>
      <w:r w:rsidRPr="00631C55">
        <w:rPr>
          <w:rStyle w:val="Textoennegrita"/>
          <w:b w:val="0"/>
          <w:color w:val="000000"/>
          <w:szCs w:val="16"/>
          <w:shd w:val="clear" w:color="auto" w:fill="FFFFFF"/>
          <w:lang w:val="es-ES_tradnl"/>
        </w:rPr>
        <w:t xml:space="preserve"> Resolución de la Corte Interamericana de Derechos Humanos de 14 de mayo de 2019</w:t>
      </w:r>
      <w:r w:rsidRPr="00631C55">
        <w:rPr>
          <w:lang w:val="es-ES_tradnl"/>
        </w:rPr>
        <w:t>, Considerando 2.</w:t>
      </w:r>
      <w:r w:rsidRPr="00631C55">
        <w:rPr>
          <w:rStyle w:val="Textoennegrita"/>
          <w:b w:val="0"/>
          <w:color w:val="000000"/>
          <w:szCs w:val="16"/>
          <w:shd w:val="clear" w:color="auto" w:fill="FFFFFF"/>
          <w:lang w:val="es-ES_tradnl"/>
        </w:rPr>
        <w:t xml:space="preserve"> </w:t>
      </w:r>
    </w:p>
  </w:footnote>
  <w:footnote w:id="11">
    <w:p w:rsidR="00845A5F" w:rsidRPr="00046374" w:rsidRDefault="00845A5F" w:rsidP="00631C55">
      <w:pPr>
        <w:pStyle w:val="Textonotapie"/>
        <w:rPr>
          <w:b/>
          <w:color w:val="000000"/>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sidRPr="00046374">
        <w:rPr>
          <w:i/>
          <w:lang w:val="es-ES_tradnl"/>
        </w:rPr>
        <w:t>Cfr. Caso Ivcher Bronstein Vs. Perú. Competencia</w:t>
      </w:r>
      <w:r w:rsidRPr="00046374">
        <w:rPr>
          <w:lang w:val="es-ES_tradnl"/>
        </w:rPr>
        <w:t xml:space="preserve">. Sentencia de la Corte Interamericana de Derechos Humanos de 24 de septiembre de </w:t>
      </w:r>
      <w:r w:rsidRPr="00631C55">
        <w:rPr>
          <w:lang w:val="es-ES_tradnl"/>
        </w:rPr>
        <w:t xml:space="preserve">1999. Serie C No. 54, párr. 37, y </w:t>
      </w:r>
      <w:r w:rsidRPr="00631C55">
        <w:rPr>
          <w:rStyle w:val="Textoennegrita"/>
          <w:b w:val="0"/>
          <w:i/>
          <w:color w:val="000000"/>
          <w:szCs w:val="16"/>
          <w:shd w:val="clear" w:color="auto" w:fill="FFFFFF"/>
          <w:lang w:val="es-ES_tradnl"/>
        </w:rPr>
        <w:t xml:space="preserve">Caso Comunidad Indígena Yakye Axa Vs. Paraguay, supra </w:t>
      </w:r>
      <w:r w:rsidRPr="00631C55">
        <w:rPr>
          <w:rStyle w:val="Textoennegrita"/>
          <w:b w:val="0"/>
          <w:color w:val="000000"/>
          <w:szCs w:val="16"/>
          <w:shd w:val="clear" w:color="auto" w:fill="FFFFFF"/>
          <w:lang w:val="es-ES_tradnl"/>
        </w:rPr>
        <w:t>nota 8</w:t>
      </w:r>
      <w:r w:rsidRPr="00631C55">
        <w:rPr>
          <w:lang w:val="es-ES_tradnl"/>
        </w:rPr>
        <w:t>, Considerando 2.</w:t>
      </w:r>
    </w:p>
  </w:footnote>
  <w:footnote w:id="12">
    <w:p w:rsidR="00845A5F" w:rsidRPr="0032471F" w:rsidRDefault="00845A5F">
      <w:pPr>
        <w:pStyle w:val="Textonotapie"/>
        <w:rPr>
          <w:lang w:val="es-CR"/>
        </w:rPr>
      </w:pPr>
      <w:r>
        <w:rPr>
          <w:rStyle w:val="Refdenotaalpie"/>
        </w:rPr>
        <w:footnoteRef/>
      </w:r>
      <w:r w:rsidRPr="0032471F">
        <w:rPr>
          <w:lang w:val="es-CR"/>
        </w:rPr>
        <w:t xml:space="preserve"> </w:t>
      </w:r>
      <w:r>
        <w:rPr>
          <w:lang w:val="es-CR"/>
        </w:rPr>
        <w:tab/>
      </w:r>
      <w:r>
        <w:rPr>
          <w:i/>
          <w:lang w:val="es-CR"/>
        </w:rPr>
        <w:t>Infra</w:t>
      </w:r>
      <w:r>
        <w:rPr>
          <w:lang w:val="es-CR"/>
        </w:rPr>
        <w:t xml:space="preserve"> notas </w:t>
      </w:r>
      <w:r w:rsidR="00C40928">
        <w:rPr>
          <w:lang w:val="es-CR"/>
        </w:rPr>
        <w:t>13</w:t>
      </w:r>
      <w:r>
        <w:rPr>
          <w:lang w:val="es-CR"/>
        </w:rPr>
        <w:t xml:space="preserve"> a 1</w:t>
      </w:r>
      <w:r w:rsidR="00C40928">
        <w:rPr>
          <w:lang w:val="es-CR"/>
        </w:rPr>
        <w:t>5</w:t>
      </w:r>
      <w:r>
        <w:rPr>
          <w:lang w:val="es-CR"/>
        </w:rPr>
        <w:t>.</w:t>
      </w:r>
    </w:p>
  </w:footnote>
  <w:footnote w:id="13">
    <w:p w:rsidR="00845A5F" w:rsidRPr="0023035D" w:rsidRDefault="00845A5F">
      <w:pPr>
        <w:pStyle w:val="Textonotapie"/>
        <w:rPr>
          <w:b/>
          <w:lang w:val="es-CR"/>
        </w:rPr>
      </w:pPr>
      <w:r>
        <w:rPr>
          <w:rStyle w:val="Refdenotaalpie"/>
        </w:rPr>
        <w:footnoteRef/>
      </w:r>
      <w:r w:rsidRPr="0032471F">
        <w:rPr>
          <w:lang w:val="es-CR"/>
        </w:rPr>
        <w:t xml:space="preserve"> </w:t>
      </w:r>
      <w:r>
        <w:rPr>
          <w:lang w:val="es-CR"/>
        </w:rPr>
        <w:tab/>
        <w:t xml:space="preserve">Los representantes de las víctimas señalaron que las medidas relativas a la publicación y difusión de la Sentencia fueron “cumplid[a]s en su totalidad”. </w:t>
      </w:r>
      <w:r>
        <w:rPr>
          <w:i/>
          <w:lang w:val="es-CR"/>
        </w:rPr>
        <w:t xml:space="preserve">Cfr. </w:t>
      </w:r>
      <w:r>
        <w:rPr>
          <w:lang w:val="es-CR"/>
        </w:rPr>
        <w:t>Escrito de observaciones de los representantes de las víctimas de 16 de septiembre de 2019.</w:t>
      </w:r>
      <w:r w:rsidR="005133D3">
        <w:rPr>
          <w:lang w:val="es-CR"/>
        </w:rPr>
        <w:t xml:space="preserve"> Ver también escrito de observaciones de los representantes de 3 de junio de 2019.</w:t>
      </w:r>
    </w:p>
  </w:footnote>
  <w:footnote w:id="14">
    <w:p w:rsidR="00845A5F" w:rsidRPr="00F64BA1" w:rsidRDefault="00845A5F" w:rsidP="00C0744A">
      <w:pPr>
        <w:pStyle w:val="Textonotapie"/>
        <w:rPr>
          <w:b/>
          <w:u w:val="single"/>
          <w:lang w:val="es-ES_tradnl"/>
        </w:rPr>
      </w:pPr>
      <w:r w:rsidRPr="00046374">
        <w:rPr>
          <w:rStyle w:val="Refdenotaalpie"/>
          <w:szCs w:val="16"/>
          <w:lang w:val="es-ES_tradnl"/>
        </w:rPr>
        <w:footnoteRef/>
      </w:r>
      <w:r w:rsidRPr="00046374">
        <w:rPr>
          <w:lang w:val="es-ES_tradnl"/>
        </w:rPr>
        <w:tab/>
      </w:r>
      <w:r>
        <w:rPr>
          <w:lang w:val="es-ES_tradnl"/>
        </w:rPr>
        <w:t>E</w:t>
      </w:r>
      <w:r w:rsidRPr="00046374">
        <w:rPr>
          <w:lang w:val="es-ES_tradnl"/>
        </w:rPr>
        <w:t>l Estado info</w:t>
      </w:r>
      <w:r>
        <w:rPr>
          <w:lang w:val="es-ES_tradnl"/>
        </w:rPr>
        <w:t>rmó que el texto íntegro de la s</w:t>
      </w:r>
      <w:r w:rsidRPr="00046374">
        <w:rPr>
          <w:lang w:val="es-ES_tradnl"/>
        </w:rPr>
        <w:t xml:space="preserve">entencia </w:t>
      </w:r>
      <w:r>
        <w:rPr>
          <w:lang w:val="es-ES_tradnl"/>
        </w:rPr>
        <w:t xml:space="preserve">“se encuentra publicad[o] desde el pasado 10 de octubre [de 2018]” en la referida página </w:t>
      </w:r>
      <w:r w:rsidRPr="00631DE7">
        <w:rPr>
          <w:i/>
          <w:lang w:val="es-ES_tradnl"/>
        </w:rPr>
        <w:t>web</w:t>
      </w:r>
      <w:r>
        <w:rPr>
          <w:lang w:val="es-ES_tradnl"/>
        </w:rPr>
        <w:t xml:space="preserve">, lo cual no fue objetado por los representantes de las víctimas. </w:t>
      </w:r>
      <w:r w:rsidRPr="00046374">
        <w:rPr>
          <w:lang w:val="es-ES_tradnl"/>
        </w:rPr>
        <w:t xml:space="preserve">El enlace proporcionado por </w:t>
      </w:r>
      <w:r>
        <w:rPr>
          <w:lang w:val="es-ES_tradnl"/>
        </w:rPr>
        <w:t>Colombia</w:t>
      </w:r>
      <w:r w:rsidRPr="00046374">
        <w:rPr>
          <w:lang w:val="es-ES_tradnl"/>
        </w:rPr>
        <w:t xml:space="preserve"> es:</w:t>
      </w:r>
      <w:r>
        <w:rPr>
          <w:lang w:val="es-ES_tradnl"/>
        </w:rPr>
        <w:t xml:space="preserve"> </w:t>
      </w:r>
      <w:hyperlink r:id="rId3" w:history="1">
        <w:r w:rsidR="00631DE7" w:rsidRPr="003071DE">
          <w:rPr>
            <w:rStyle w:val="Hipervnculo"/>
            <w:szCs w:val="16"/>
            <w:lang w:val="es-ES_tradnl"/>
          </w:rPr>
          <w:t>http://www.derechoshumanos.gov.co/Prensa/2018/Documents/sentencia-CID-Carvajal-Carvajal-vs-Colombia-181010.pdf</w:t>
        </w:r>
      </w:hyperlink>
      <w:r>
        <w:rPr>
          <w:lang w:val="es-ES_tradnl"/>
        </w:rPr>
        <w:t>.</w:t>
      </w:r>
      <w:r w:rsidRPr="00046374">
        <w:rPr>
          <w:lang w:val="es-ES_tradnl"/>
        </w:rPr>
        <w:t xml:space="preserve"> </w:t>
      </w:r>
      <w:r w:rsidRPr="00C0744A">
        <w:rPr>
          <w:lang w:val="es-ES_tradnl"/>
        </w:rPr>
        <w:t xml:space="preserve">La última vez que la mencionada página fue visitada se pudo constatar que la Sentencia </w:t>
      </w:r>
      <w:r w:rsidR="00C40928">
        <w:rPr>
          <w:lang w:val="es-ES_tradnl"/>
        </w:rPr>
        <w:t>estaba</w:t>
      </w:r>
      <w:r w:rsidRPr="00C0744A">
        <w:rPr>
          <w:lang w:val="es-ES_tradnl"/>
        </w:rPr>
        <w:t xml:space="preserve"> disponible en</w:t>
      </w:r>
      <w:r>
        <w:rPr>
          <w:lang w:val="es-ES_tradnl"/>
        </w:rPr>
        <w:t xml:space="preserve"> </w:t>
      </w:r>
      <w:r w:rsidRPr="00C0744A">
        <w:rPr>
          <w:lang w:val="es-ES_tradnl"/>
        </w:rPr>
        <w:t xml:space="preserve">el referido enlace (visitada por última vez el </w:t>
      </w:r>
      <w:r w:rsidR="00631DE7">
        <w:rPr>
          <w:lang w:val="es-ES_tradnl"/>
        </w:rPr>
        <w:t>7</w:t>
      </w:r>
      <w:r w:rsidRPr="00C0744A">
        <w:rPr>
          <w:lang w:val="es-ES_tradnl"/>
        </w:rPr>
        <w:t xml:space="preserve"> de </w:t>
      </w:r>
      <w:r w:rsidR="00631DE7">
        <w:rPr>
          <w:lang w:val="es-ES_tradnl"/>
        </w:rPr>
        <w:t>octubre</w:t>
      </w:r>
      <w:r w:rsidRPr="00C0744A">
        <w:rPr>
          <w:lang w:val="es-ES_tradnl"/>
        </w:rPr>
        <w:t xml:space="preserve"> de 2019). </w:t>
      </w:r>
      <w:r w:rsidRPr="00C0744A">
        <w:rPr>
          <w:i/>
          <w:lang w:val="es-ES_tradnl"/>
        </w:rPr>
        <w:t>Cfr</w:t>
      </w:r>
      <w:r>
        <w:rPr>
          <w:lang w:val="es-ES_tradnl"/>
        </w:rPr>
        <w:t>. Informe</w:t>
      </w:r>
      <w:r w:rsidRPr="00C0744A">
        <w:rPr>
          <w:lang w:val="es-ES_tradnl"/>
        </w:rPr>
        <w:t xml:space="preserve"> estatal de </w:t>
      </w:r>
      <w:r>
        <w:rPr>
          <w:lang w:val="es-ES_tradnl"/>
        </w:rPr>
        <w:t>8 de febrero de 2018 y escrito de observaciones de los representantes de las víctimas de 3 de junio de 2019.</w:t>
      </w:r>
    </w:p>
  </w:footnote>
  <w:footnote w:id="15">
    <w:p w:rsidR="00845A5F" w:rsidRPr="00B10CFC" w:rsidRDefault="00845A5F">
      <w:pPr>
        <w:pStyle w:val="Textonotapie"/>
        <w:rPr>
          <w:b/>
          <w:lang w:val="es-CR"/>
        </w:rPr>
      </w:pPr>
      <w:r>
        <w:rPr>
          <w:rStyle w:val="Refdenotaalpie"/>
        </w:rPr>
        <w:footnoteRef/>
      </w:r>
      <w:r w:rsidRPr="0032471F">
        <w:rPr>
          <w:lang w:val="es-CR"/>
        </w:rPr>
        <w:t xml:space="preserve"> </w:t>
      </w:r>
      <w:r>
        <w:rPr>
          <w:lang w:val="es-CR"/>
        </w:rPr>
        <w:tab/>
      </w:r>
      <w:r w:rsidRPr="00046374">
        <w:rPr>
          <w:i/>
          <w:lang w:val="es-ES_tradnl"/>
        </w:rPr>
        <w:t>Cfr</w:t>
      </w:r>
      <w:r w:rsidRPr="00046374">
        <w:rPr>
          <w:lang w:val="es-ES_tradnl"/>
        </w:rPr>
        <w:t xml:space="preserve">. Copia de la publicación realizada en </w:t>
      </w:r>
      <w:r>
        <w:rPr>
          <w:lang w:val="es-ES_tradnl"/>
        </w:rPr>
        <w:t>la edición</w:t>
      </w:r>
      <w:r w:rsidRPr="00046374">
        <w:rPr>
          <w:lang w:val="es-ES_tradnl"/>
        </w:rPr>
        <w:t xml:space="preserve"> </w:t>
      </w:r>
      <w:r>
        <w:rPr>
          <w:lang w:val="es-ES_tradnl"/>
        </w:rPr>
        <w:t>No. 50.742 del Diario Oficial de 10 de octubre de 2018, págs. 8 y 9</w:t>
      </w:r>
      <w:r w:rsidRPr="00046374">
        <w:rPr>
          <w:lang w:val="es-ES_tradnl"/>
        </w:rPr>
        <w:t xml:space="preserve"> (anexo al informe estatal </w:t>
      </w:r>
      <w:r>
        <w:rPr>
          <w:lang w:val="es-ES_tradnl"/>
        </w:rPr>
        <w:t>de</w:t>
      </w:r>
      <w:r w:rsidRPr="00046374">
        <w:rPr>
          <w:lang w:val="es-ES_tradnl"/>
        </w:rPr>
        <w:t xml:space="preserve"> 8 de </w:t>
      </w:r>
      <w:r>
        <w:rPr>
          <w:lang w:val="es-ES_tradnl"/>
        </w:rPr>
        <w:t>julio de 2019</w:t>
      </w:r>
      <w:r w:rsidRPr="00046374">
        <w:rPr>
          <w:lang w:val="es-ES_tradnl"/>
        </w:rPr>
        <w:t>)</w:t>
      </w:r>
      <w:r>
        <w:rPr>
          <w:lang w:val="es-ES_tradnl"/>
        </w:rPr>
        <w:t>.</w:t>
      </w:r>
    </w:p>
  </w:footnote>
  <w:footnote w:id="16">
    <w:p w:rsidR="00845A5F" w:rsidRPr="00F64BA1" w:rsidRDefault="00845A5F" w:rsidP="00876ADB">
      <w:pPr>
        <w:pStyle w:val="Textonotapie"/>
        <w:rPr>
          <w:b/>
          <w:lang w:val="es-ES_tradnl"/>
        </w:rPr>
      </w:pPr>
      <w:r w:rsidRPr="00046374">
        <w:rPr>
          <w:rStyle w:val="Refdenotaalpie"/>
          <w:szCs w:val="16"/>
          <w:lang w:val="es-ES_tradnl"/>
        </w:rPr>
        <w:footnoteRef/>
      </w:r>
      <w:r w:rsidRPr="00046374">
        <w:rPr>
          <w:lang w:val="es-ES_tradnl"/>
        </w:rPr>
        <w:t xml:space="preserve"> </w:t>
      </w:r>
      <w:r w:rsidRPr="00046374">
        <w:rPr>
          <w:lang w:val="es-ES_tradnl"/>
        </w:rPr>
        <w:tab/>
      </w:r>
      <w:r w:rsidRPr="00046374">
        <w:rPr>
          <w:i/>
          <w:lang w:val="es-ES_tradnl"/>
        </w:rPr>
        <w:t>Cfr</w:t>
      </w:r>
      <w:r w:rsidRPr="00046374">
        <w:rPr>
          <w:lang w:val="es-ES_tradnl"/>
        </w:rPr>
        <w:t>. Copia de la publicación realizada en el diario “El Especta</w:t>
      </w:r>
      <w:r>
        <w:rPr>
          <w:lang w:val="es-ES_tradnl"/>
        </w:rPr>
        <w:t>dor” de 16 de diciembre de 2018</w:t>
      </w:r>
      <w:r w:rsidRPr="00046374">
        <w:rPr>
          <w:lang w:val="es-ES_tradnl"/>
        </w:rPr>
        <w:t xml:space="preserve"> (anexo a</w:t>
      </w:r>
      <w:r>
        <w:rPr>
          <w:lang w:val="es-ES_tradnl"/>
        </w:rPr>
        <w:t xml:space="preserve"> la comunicación electrónica remitida por el Estado el 25 de febrero de 2019). </w:t>
      </w:r>
    </w:p>
  </w:footnote>
  <w:footnote w:id="17">
    <w:p w:rsidR="00845A5F" w:rsidRPr="00877ADA" w:rsidRDefault="00845A5F">
      <w:pPr>
        <w:pStyle w:val="Textonotapie"/>
        <w:rPr>
          <w:lang w:val="es-CR"/>
        </w:rPr>
      </w:pPr>
      <w:r>
        <w:rPr>
          <w:rStyle w:val="Refdenotaalpie"/>
        </w:rPr>
        <w:footnoteRef/>
      </w:r>
      <w:r w:rsidRPr="00877ADA">
        <w:rPr>
          <w:lang w:val="es-CR"/>
        </w:rPr>
        <w:t xml:space="preserve"> </w:t>
      </w:r>
      <w:r>
        <w:rPr>
          <w:lang w:val="es-CR"/>
        </w:rPr>
        <w:tab/>
      </w:r>
      <w:r>
        <w:rPr>
          <w:i/>
          <w:lang w:val="es-ES_tradnl"/>
        </w:rPr>
        <w:t>Cfr.</w:t>
      </w:r>
      <w:r>
        <w:rPr>
          <w:lang w:val="es-ES_tradnl"/>
        </w:rPr>
        <w:t xml:space="preserve"> Informe estatal de 8 de febrero de 2019</w:t>
      </w:r>
      <w:r w:rsidRPr="00046374">
        <w:rPr>
          <w:lang w:val="es-ES_tradnl"/>
        </w:rPr>
        <w:t xml:space="preserve"> </w:t>
      </w:r>
      <w:r>
        <w:rPr>
          <w:lang w:val="es-ES_tradnl"/>
        </w:rPr>
        <w:t>y escrito de observaciones de los representantes de las víctimas de 3 de junio de 2019.</w:t>
      </w:r>
    </w:p>
  </w:footnote>
  <w:footnote w:id="18">
    <w:p w:rsidR="0056454D" w:rsidRPr="0056454D" w:rsidRDefault="0056454D">
      <w:pPr>
        <w:pStyle w:val="Textonotapie"/>
        <w:rPr>
          <w:lang w:val="es-CR"/>
        </w:rPr>
      </w:pPr>
      <w:r>
        <w:rPr>
          <w:rStyle w:val="Refdenotaalpie"/>
        </w:rPr>
        <w:footnoteRef/>
      </w:r>
      <w:r w:rsidRPr="0056454D">
        <w:rPr>
          <w:lang w:val="es-CR"/>
        </w:rPr>
        <w:t xml:space="preserve"> </w:t>
      </w:r>
      <w:r>
        <w:rPr>
          <w:lang w:val="es-CR"/>
        </w:rPr>
        <w:tab/>
      </w:r>
      <w:r>
        <w:rPr>
          <w:i/>
          <w:lang w:val="es-CR"/>
        </w:rPr>
        <w:t xml:space="preserve">Cfr. </w:t>
      </w:r>
      <w:r>
        <w:rPr>
          <w:lang w:val="es-CR"/>
        </w:rPr>
        <w:t>Informe</w:t>
      </w:r>
      <w:r w:rsidR="00E25346">
        <w:rPr>
          <w:lang w:val="es-CR"/>
        </w:rPr>
        <w:t>s</w:t>
      </w:r>
      <w:r>
        <w:rPr>
          <w:lang w:val="es-CR"/>
        </w:rPr>
        <w:t xml:space="preserve"> estatal</w:t>
      </w:r>
      <w:r w:rsidR="00E25346">
        <w:rPr>
          <w:lang w:val="es-CR"/>
        </w:rPr>
        <w:t>es</w:t>
      </w:r>
      <w:r>
        <w:rPr>
          <w:lang w:val="es-CR"/>
        </w:rPr>
        <w:t xml:space="preserve"> de 30 de mayo </w:t>
      </w:r>
      <w:r w:rsidR="00E25346">
        <w:rPr>
          <w:lang w:val="es-CR"/>
        </w:rPr>
        <w:t xml:space="preserve">y 18 de junio </w:t>
      </w:r>
      <w:r>
        <w:rPr>
          <w:lang w:val="es-CR"/>
        </w:rPr>
        <w:t>de 2019.</w:t>
      </w:r>
    </w:p>
  </w:footnote>
  <w:footnote w:id="19">
    <w:p w:rsidR="0056454D" w:rsidRPr="00E25346" w:rsidRDefault="0056454D">
      <w:pPr>
        <w:pStyle w:val="Textonotapie"/>
        <w:rPr>
          <w:lang w:val="es-CR"/>
        </w:rPr>
      </w:pPr>
      <w:r>
        <w:rPr>
          <w:rStyle w:val="Refdenotaalpie"/>
        </w:rPr>
        <w:footnoteRef/>
      </w:r>
      <w:r w:rsidRPr="0056454D">
        <w:rPr>
          <w:lang w:val="es-CR"/>
        </w:rPr>
        <w:t xml:space="preserve"> </w:t>
      </w:r>
      <w:r>
        <w:rPr>
          <w:lang w:val="es-CR"/>
        </w:rPr>
        <w:tab/>
      </w:r>
      <w:r w:rsidR="00E25346">
        <w:rPr>
          <w:i/>
          <w:lang w:val="es-CR"/>
        </w:rPr>
        <w:t xml:space="preserve">Cfr. </w:t>
      </w:r>
      <w:r w:rsidR="00E25346">
        <w:rPr>
          <w:lang w:val="es-CR"/>
        </w:rPr>
        <w:t>Escritos de observaciones de los representantes de las víctimas de 3 y 27 de junio de 2019.</w:t>
      </w:r>
    </w:p>
  </w:footnote>
  <w:footnote w:id="20">
    <w:p w:rsidR="00845A5F" w:rsidRPr="00A33283" w:rsidRDefault="00845A5F" w:rsidP="003571B8">
      <w:pPr>
        <w:pStyle w:val="Textonotapie"/>
        <w:rPr>
          <w:b/>
          <w:lang w:val="es-CR"/>
        </w:rPr>
      </w:pPr>
      <w:r>
        <w:rPr>
          <w:rStyle w:val="Refdenotaalpie"/>
        </w:rPr>
        <w:footnoteRef/>
      </w:r>
      <w:r w:rsidRPr="00E707E4">
        <w:rPr>
          <w:lang w:val="es-CR"/>
        </w:rPr>
        <w:t xml:space="preserve"> </w:t>
      </w:r>
      <w:r>
        <w:rPr>
          <w:lang w:val="es-CR"/>
        </w:rPr>
        <w:tab/>
        <w:t>El Estado indicó que asistieron los siguientes “catorce” familiares: “</w:t>
      </w:r>
      <w:r w:rsidRPr="00E707E4">
        <w:rPr>
          <w:lang w:val="es-CR"/>
        </w:rPr>
        <w:t>Jairo Carvajal Cabrera (papá), Ana Francisca Carvajal Parra (mamá), Paola Andrea Carvajal Bolaños (hija), María Alejandra Carvajal Bolaños (hija), Yaneth Cristina Carvajal Ardila (hija), Miriam Carvajal Carvajal (hermana), Gloria Mercedes Carvajal Carvajal (hermana), Ruth Dary Carvajal Carvajal (hermana), Saúl Carvajal Carvajal (hermano), Fernando Augusto Carvajal Carvajal (hermano), Cristhian Camilo Motta Carvajal (sobrino), César Augusto Meneses Carvajal (sobrino), Luz Eny Carvajal Carvajal (hermana) y Judith Carvajal Carvajal (hermana)</w:t>
      </w:r>
      <w:r>
        <w:rPr>
          <w:lang w:val="es-CR"/>
        </w:rPr>
        <w:t>”</w:t>
      </w:r>
      <w:r w:rsidRPr="00E707E4">
        <w:rPr>
          <w:lang w:val="es-CR"/>
        </w:rPr>
        <w:t>.</w:t>
      </w:r>
      <w:r>
        <w:rPr>
          <w:lang w:val="es-CR"/>
        </w:rPr>
        <w:t xml:space="preserve"> </w:t>
      </w:r>
      <w:r>
        <w:rPr>
          <w:i/>
          <w:lang w:val="es-CR"/>
        </w:rPr>
        <w:t xml:space="preserve">Cfr. </w:t>
      </w:r>
      <w:r>
        <w:rPr>
          <w:lang w:val="es-CR"/>
        </w:rPr>
        <w:t xml:space="preserve">Informe estatal de 30 de mayo de 2019. No obstante lo anterior, los representantes de las víctimas indicaron con posterioridad que asistieron “dieciocho” familiares al referido acto, sin aportar los nombres de los mismos. </w:t>
      </w:r>
      <w:r>
        <w:rPr>
          <w:i/>
          <w:lang w:val="es-CR"/>
        </w:rPr>
        <w:t xml:space="preserve">Cfr. </w:t>
      </w:r>
      <w:r>
        <w:rPr>
          <w:lang w:val="es-CR"/>
        </w:rPr>
        <w:t xml:space="preserve">Escrito de observaciones de los representantes de las víctimas de 3 de junio de 2019. </w:t>
      </w:r>
    </w:p>
  </w:footnote>
  <w:footnote w:id="21">
    <w:p w:rsidR="00845A5F" w:rsidRPr="00380681" w:rsidRDefault="00845A5F">
      <w:pPr>
        <w:pStyle w:val="Textonotapie"/>
        <w:rPr>
          <w:lang w:val="es-CR"/>
        </w:rPr>
      </w:pPr>
      <w:r>
        <w:rPr>
          <w:rStyle w:val="Refdenotaalpie"/>
        </w:rPr>
        <w:footnoteRef/>
      </w:r>
      <w:r w:rsidRPr="00380681">
        <w:rPr>
          <w:lang w:val="es-CR"/>
        </w:rPr>
        <w:t xml:space="preserve"> </w:t>
      </w:r>
      <w:r>
        <w:rPr>
          <w:lang w:val="es-CR"/>
        </w:rPr>
        <w:tab/>
      </w:r>
      <w:r>
        <w:rPr>
          <w:i/>
          <w:lang w:val="es-CR"/>
        </w:rPr>
        <w:t xml:space="preserve">Cfr. </w:t>
      </w:r>
      <w:r>
        <w:rPr>
          <w:lang w:val="es-CR"/>
        </w:rPr>
        <w:t xml:space="preserve">Escritos de observaciones de los representantes de las víctimas de 3 y 27 de junio de 2019. </w:t>
      </w:r>
    </w:p>
  </w:footnote>
  <w:footnote w:id="22">
    <w:p w:rsidR="00C40928" w:rsidRPr="006C7AB2" w:rsidRDefault="00C40928" w:rsidP="00C40928">
      <w:pPr>
        <w:pStyle w:val="Textonotapie"/>
        <w:rPr>
          <w:lang w:val="es-CR"/>
        </w:rPr>
      </w:pPr>
      <w:r>
        <w:rPr>
          <w:rStyle w:val="Refdenotaalpie"/>
        </w:rPr>
        <w:footnoteRef/>
      </w:r>
      <w:r w:rsidRPr="006C7AB2">
        <w:rPr>
          <w:lang w:val="es-CR"/>
        </w:rPr>
        <w:t xml:space="preserve"> </w:t>
      </w:r>
      <w:r>
        <w:rPr>
          <w:lang w:val="es-CR"/>
        </w:rPr>
        <w:tab/>
      </w:r>
      <w:r w:rsidRPr="00046374">
        <w:rPr>
          <w:i/>
          <w:color w:val="000000"/>
          <w:lang w:val="es-ES_tradnl"/>
        </w:rPr>
        <w:t xml:space="preserve">Cfr. </w:t>
      </w:r>
      <w:r w:rsidRPr="00046374">
        <w:rPr>
          <w:rStyle w:val="Textoennegrita"/>
          <w:b w:val="0"/>
          <w:i/>
          <w:color w:val="000000"/>
          <w:szCs w:val="16"/>
          <w:shd w:val="clear" w:color="auto" w:fill="FFFFFF"/>
          <w:lang w:val="es-ES_tradnl"/>
        </w:rPr>
        <w:t>Caso Carvajal</w:t>
      </w:r>
      <w:r>
        <w:rPr>
          <w:rStyle w:val="Textoennegrita"/>
          <w:b w:val="0"/>
          <w:i/>
          <w:color w:val="000000"/>
          <w:szCs w:val="16"/>
          <w:shd w:val="clear" w:color="auto" w:fill="FFFFFF"/>
          <w:lang w:val="es-ES_tradnl"/>
        </w:rPr>
        <w:t xml:space="preserve"> Carvajal y otros Vs. Colombia, supra </w:t>
      </w:r>
      <w:r>
        <w:rPr>
          <w:rStyle w:val="Textoennegrita"/>
          <w:b w:val="0"/>
          <w:color w:val="000000"/>
          <w:szCs w:val="16"/>
          <w:shd w:val="clear" w:color="auto" w:fill="FFFFFF"/>
          <w:lang w:val="es-ES_tradnl"/>
        </w:rPr>
        <w:t>nota 1, párr</w:t>
      </w:r>
      <w:r>
        <w:rPr>
          <w:lang w:val="es-CR"/>
        </w:rPr>
        <w:t>. 214.</w:t>
      </w:r>
    </w:p>
  </w:footnote>
  <w:footnote w:id="23">
    <w:p w:rsidR="00845A5F" w:rsidRPr="003D359D" w:rsidRDefault="00845A5F">
      <w:pPr>
        <w:pStyle w:val="Textonotapie"/>
        <w:rPr>
          <w:lang w:val="es-CR"/>
        </w:rPr>
      </w:pPr>
      <w:r>
        <w:rPr>
          <w:rStyle w:val="Refdenotaalpie"/>
        </w:rPr>
        <w:footnoteRef/>
      </w:r>
      <w:r w:rsidRPr="003D359D">
        <w:rPr>
          <w:lang w:val="es-CR"/>
        </w:rPr>
        <w:t xml:space="preserve"> </w:t>
      </w:r>
      <w:r>
        <w:rPr>
          <w:lang w:val="es-CR"/>
        </w:rPr>
        <w:tab/>
      </w:r>
      <w:r>
        <w:rPr>
          <w:i/>
          <w:lang w:val="es-CR"/>
        </w:rPr>
        <w:t xml:space="preserve">Cfr. </w:t>
      </w:r>
      <w:r>
        <w:rPr>
          <w:lang w:val="es-CR"/>
        </w:rPr>
        <w:t xml:space="preserve">Escrito de observaciones de los representantes de las víctimas de 3 de junio de 2019. </w:t>
      </w:r>
    </w:p>
  </w:footnote>
  <w:footnote w:id="24">
    <w:p w:rsidR="00845A5F" w:rsidRPr="000B0CB5" w:rsidRDefault="00845A5F">
      <w:pPr>
        <w:pStyle w:val="Textonotapie"/>
        <w:rPr>
          <w:lang w:val="es-CR"/>
        </w:rPr>
      </w:pPr>
      <w:r>
        <w:rPr>
          <w:rStyle w:val="Refdenotaalpie"/>
        </w:rPr>
        <w:footnoteRef/>
      </w:r>
      <w:r w:rsidRPr="000B0CB5">
        <w:rPr>
          <w:lang w:val="es-CR"/>
        </w:rPr>
        <w:t xml:space="preserve"> </w:t>
      </w:r>
      <w:r>
        <w:rPr>
          <w:lang w:val="es-CR"/>
        </w:rPr>
        <w:tab/>
        <w:t>El Estado s</w:t>
      </w:r>
      <w:r w:rsidRPr="000B0CB5">
        <w:rPr>
          <w:lang w:val="es-CR"/>
        </w:rPr>
        <w:t>olicitó a la Corte “declarar […] el cumplimiento de la presente orden”</w:t>
      </w:r>
      <w:r>
        <w:rPr>
          <w:lang w:val="es-CR"/>
        </w:rPr>
        <w:t xml:space="preserve">. </w:t>
      </w:r>
      <w:r>
        <w:rPr>
          <w:i/>
          <w:lang w:val="es-CR"/>
        </w:rPr>
        <w:t xml:space="preserve">Cfr. </w:t>
      </w:r>
      <w:r>
        <w:rPr>
          <w:lang w:val="es-CR"/>
        </w:rPr>
        <w:t xml:space="preserve">Informe estatal de 18 de junio de 2019 y escrito de observaciones de la Comisión Interamericana de 6 de septiembre de 2019. </w:t>
      </w:r>
    </w:p>
  </w:footnote>
  <w:footnote w:id="25">
    <w:p w:rsidR="003B4009" w:rsidRPr="003B4009" w:rsidRDefault="003B4009">
      <w:pPr>
        <w:pStyle w:val="Textonotapie"/>
        <w:rPr>
          <w:lang w:val="es-CR"/>
        </w:rPr>
      </w:pPr>
      <w:r>
        <w:rPr>
          <w:rStyle w:val="Refdenotaalpie"/>
        </w:rPr>
        <w:footnoteRef/>
      </w:r>
      <w:r w:rsidRPr="003B4009">
        <w:rPr>
          <w:lang w:val="es-CR"/>
        </w:rPr>
        <w:t xml:space="preserve"> </w:t>
      </w:r>
      <w:r>
        <w:rPr>
          <w:lang w:val="es-CR"/>
        </w:rPr>
        <w:tab/>
      </w:r>
      <w:r>
        <w:rPr>
          <w:i/>
          <w:lang w:val="es-CR"/>
        </w:rPr>
        <w:t xml:space="preserve">Cfr. </w:t>
      </w:r>
      <w:r>
        <w:rPr>
          <w:lang w:val="es-CR"/>
        </w:rPr>
        <w:t xml:space="preserve">Informe estatal de 1 de agosto de 2019. </w:t>
      </w:r>
    </w:p>
  </w:footnote>
  <w:footnote w:id="26">
    <w:p w:rsidR="00440E60" w:rsidRPr="00440E60" w:rsidRDefault="00440E60">
      <w:pPr>
        <w:pStyle w:val="Textonotapie"/>
        <w:rPr>
          <w:lang w:val="es-CR"/>
        </w:rPr>
      </w:pPr>
      <w:r>
        <w:rPr>
          <w:rStyle w:val="Refdenotaalpie"/>
        </w:rPr>
        <w:footnoteRef/>
      </w:r>
      <w:r w:rsidRPr="00440E60">
        <w:rPr>
          <w:lang w:val="es-CR"/>
        </w:rPr>
        <w:t xml:space="preserve"> </w:t>
      </w:r>
      <w:r>
        <w:rPr>
          <w:lang w:val="es-CR"/>
        </w:rPr>
        <w:tab/>
      </w:r>
      <w:r>
        <w:rPr>
          <w:i/>
          <w:lang w:val="es-CR"/>
        </w:rPr>
        <w:t xml:space="preserve">Cfr. </w:t>
      </w:r>
      <w:r>
        <w:rPr>
          <w:lang w:val="es-CR"/>
        </w:rPr>
        <w:t>Escritos de observaciones de los representantes de las víctimas de 3 de junio y 16 de septiembre de 2019.</w:t>
      </w:r>
    </w:p>
  </w:footnote>
  <w:footnote w:id="27">
    <w:p w:rsidR="00440E60" w:rsidRPr="00440E60" w:rsidRDefault="00440E60">
      <w:pPr>
        <w:pStyle w:val="Textonotapie"/>
        <w:rPr>
          <w:lang w:val="es-CR"/>
        </w:rPr>
      </w:pPr>
      <w:r>
        <w:rPr>
          <w:rStyle w:val="Refdenotaalpie"/>
        </w:rPr>
        <w:footnoteRef/>
      </w:r>
      <w:r w:rsidRPr="00440E60">
        <w:rPr>
          <w:lang w:val="es-CR"/>
        </w:rPr>
        <w:t xml:space="preserve"> </w:t>
      </w:r>
      <w:r>
        <w:rPr>
          <w:lang w:val="es-CR"/>
        </w:rPr>
        <w:tab/>
      </w:r>
      <w:r>
        <w:rPr>
          <w:i/>
          <w:lang w:val="es-CR"/>
        </w:rPr>
        <w:t xml:space="preserve">Cfr. </w:t>
      </w:r>
      <w:r>
        <w:rPr>
          <w:lang w:val="es-CR"/>
        </w:rPr>
        <w:t>Escrito de observaciones de la Comisión Interamericana de 6 de septiembre de 2019.</w:t>
      </w:r>
    </w:p>
  </w:footnote>
  <w:footnote w:id="28">
    <w:p w:rsidR="00721B07" w:rsidRPr="00721B07" w:rsidRDefault="00721B07">
      <w:pPr>
        <w:pStyle w:val="Textonotapie"/>
        <w:rPr>
          <w:lang w:val="es-CR"/>
        </w:rPr>
      </w:pPr>
      <w:r>
        <w:rPr>
          <w:rStyle w:val="Refdenotaalpie"/>
        </w:rPr>
        <w:footnoteRef/>
      </w:r>
      <w:r w:rsidRPr="00721B07">
        <w:rPr>
          <w:lang w:val="es-CR"/>
        </w:rPr>
        <w:t xml:space="preserve"> </w:t>
      </w:r>
      <w:r>
        <w:rPr>
          <w:lang w:val="es-CR"/>
        </w:rPr>
        <w:tab/>
      </w:r>
      <w:r>
        <w:rPr>
          <w:i/>
          <w:lang w:val="es-CR"/>
        </w:rPr>
        <w:t xml:space="preserve">Cfr. </w:t>
      </w:r>
      <w:r>
        <w:rPr>
          <w:lang w:val="es-CR"/>
        </w:rPr>
        <w:t xml:space="preserve">Informe estatal de 18 de junio de 2019. </w:t>
      </w:r>
    </w:p>
  </w:footnote>
  <w:footnote w:id="29">
    <w:p w:rsidR="004C762D" w:rsidRPr="004C762D" w:rsidRDefault="004C762D">
      <w:pPr>
        <w:pStyle w:val="Textonotapie"/>
        <w:rPr>
          <w:i/>
          <w:lang w:val="es-CR"/>
        </w:rPr>
      </w:pPr>
      <w:r>
        <w:rPr>
          <w:rStyle w:val="Refdenotaalpie"/>
        </w:rPr>
        <w:footnoteRef/>
      </w:r>
      <w:r w:rsidRPr="004C762D">
        <w:rPr>
          <w:lang w:val="es-CR"/>
        </w:rPr>
        <w:t xml:space="preserve"> </w:t>
      </w:r>
      <w:r>
        <w:rPr>
          <w:lang w:val="es-CR"/>
        </w:rPr>
        <w:tab/>
      </w:r>
      <w:r>
        <w:rPr>
          <w:i/>
          <w:lang w:val="es-CR"/>
        </w:rPr>
        <w:t xml:space="preserve">Cfr. </w:t>
      </w:r>
      <w:r>
        <w:rPr>
          <w:lang w:val="es-CR"/>
        </w:rPr>
        <w:t>Escrito</w:t>
      </w:r>
      <w:r w:rsidR="00200873">
        <w:rPr>
          <w:lang w:val="es-CR"/>
        </w:rPr>
        <w:t>s</w:t>
      </w:r>
      <w:r>
        <w:rPr>
          <w:lang w:val="es-CR"/>
        </w:rPr>
        <w:t xml:space="preserve"> de observaciones de los representantes de</w:t>
      </w:r>
      <w:r w:rsidR="00200873">
        <w:rPr>
          <w:lang w:val="es-CR"/>
        </w:rPr>
        <w:t xml:space="preserve"> las víctimas</w:t>
      </w:r>
      <w:r>
        <w:rPr>
          <w:lang w:val="es-CR"/>
        </w:rPr>
        <w:t xml:space="preserve"> </w:t>
      </w:r>
      <w:r w:rsidR="0021187D">
        <w:rPr>
          <w:lang w:val="es-CR"/>
        </w:rPr>
        <w:t xml:space="preserve">de </w:t>
      </w:r>
      <w:r>
        <w:rPr>
          <w:lang w:val="es-CR"/>
        </w:rPr>
        <w:t>27 de agosto de 2018</w:t>
      </w:r>
      <w:r w:rsidR="00200873">
        <w:rPr>
          <w:lang w:val="es-CR"/>
        </w:rPr>
        <w:t xml:space="preserve"> y 16 de septiembre de 2019</w:t>
      </w:r>
      <w:r>
        <w:rPr>
          <w:lang w:val="es-CR"/>
        </w:rPr>
        <w:t xml:space="preserve">. </w:t>
      </w:r>
    </w:p>
  </w:footnote>
  <w:footnote w:id="30">
    <w:p w:rsidR="0021187D" w:rsidRPr="0021187D" w:rsidRDefault="0021187D">
      <w:pPr>
        <w:pStyle w:val="Textonotapie"/>
        <w:rPr>
          <w:i/>
          <w:lang w:val="es-CR"/>
        </w:rPr>
      </w:pPr>
      <w:r>
        <w:rPr>
          <w:rStyle w:val="Refdenotaalpie"/>
        </w:rPr>
        <w:footnoteRef/>
      </w:r>
      <w:r w:rsidRPr="0021187D">
        <w:rPr>
          <w:lang w:val="es-CR"/>
        </w:rPr>
        <w:t xml:space="preserve"> </w:t>
      </w:r>
      <w:r>
        <w:rPr>
          <w:lang w:val="es-CR"/>
        </w:rPr>
        <w:tab/>
      </w:r>
      <w:r>
        <w:rPr>
          <w:i/>
          <w:lang w:val="es-CR"/>
        </w:rPr>
        <w:t xml:space="preserve">Cfr. </w:t>
      </w:r>
      <w:r>
        <w:rPr>
          <w:lang w:val="es-CR"/>
        </w:rPr>
        <w:t>Escrito de observaciones de los representantes de las víctimas de 16 de septiembre de 2019</w:t>
      </w:r>
      <w:r w:rsidR="008A44BA">
        <w:rPr>
          <w:lang w:val="es-CR"/>
        </w:rPr>
        <w:t>.</w:t>
      </w:r>
    </w:p>
  </w:footnote>
  <w:footnote w:id="31">
    <w:p w:rsidR="00486FD6" w:rsidRPr="00440E60" w:rsidRDefault="00486FD6" w:rsidP="00486FD6">
      <w:pPr>
        <w:pStyle w:val="Textonotapie"/>
        <w:rPr>
          <w:lang w:val="es-CR"/>
        </w:rPr>
      </w:pPr>
      <w:r>
        <w:rPr>
          <w:rStyle w:val="Refdenotaalpie"/>
        </w:rPr>
        <w:footnoteRef/>
      </w:r>
      <w:r w:rsidRPr="00440E60">
        <w:rPr>
          <w:lang w:val="es-CR"/>
        </w:rPr>
        <w:t xml:space="preserve"> </w:t>
      </w:r>
      <w:r>
        <w:rPr>
          <w:lang w:val="es-CR"/>
        </w:rPr>
        <w:tab/>
      </w:r>
      <w:r>
        <w:rPr>
          <w:i/>
          <w:lang w:val="es-CR"/>
        </w:rPr>
        <w:t xml:space="preserve">Cfr. </w:t>
      </w:r>
      <w:r>
        <w:rPr>
          <w:lang w:val="es-CR"/>
        </w:rPr>
        <w:t>Escrito de observaciones de la Comisión Interamericana de 6 de septiembre de 2019.</w:t>
      </w:r>
    </w:p>
  </w:footnote>
  <w:footnote w:id="32">
    <w:p w:rsidR="00FA42F4" w:rsidRPr="00FA42F4" w:rsidRDefault="00FA42F4">
      <w:pPr>
        <w:pStyle w:val="Textonotapie"/>
        <w:rPr>
          <w:lang w:val="es-CR"/>
        </w:rPr>
      </w:pPr>
      <w:r>
        <w:rPr>
          <w:rStyle w:val="Refdenotaalpie"/>
        </w:rPr>
        <w:footnoteRef/>
      </w:r>
      <w:r w:rsidRPr="00FA42F4">
        <w:rPr>
          <w:lang w:val="es-CR"/>
        </w:rPr>
        <w:t xml:space="preserve"> </w:t>
      </w:r>
      <w:r>
        <w:rPr>
          <w:lang w:val="es-CR"/>
        </w:rPr>
        <w:tab/>
      </w:r>
      <w:r>
        <w:rPr>
          <w:i/>
          <w:lang w:val="es-CR"/>
        </w:rPr>
        <w:t xml:space="preserve">Cfr. </w:t>
      </w:r>
      <w:r>
        <w:rPr>
          <w:lang w:val="es-CR"/>
        </w:rPr>
        <w:t>Escrito de observaciones de los representantes de las víctimas de 16 de septiembre de 2019.</w:t>
      </w:r>
    </w:p>
  </w:footnote>
  <w:footnote w:id="33">
    <w:p w:rsidR="00D178B6" w:rsidRPr="00721B07" w:rsidRDefault="00D178B6" w:rsidP="00D178B6">
      <w:pPr>
        <w:pStyle w:val="Textonotapie"/>
        <w:rPr>
          <w:lang w:val="es-CR"/>
        </w:rPr>
      </w:pPr>
      <w:r>
        <w:rPr>
          <w:rStyle w:val="Refdenotaalpie"/>
        </w:rPr>
        <w:footnoteRef/>
      </w:r>
      <w:r w:rsidRPr="00721B07">
        <w:rPr>
          <w:lang w:val="es-CR"/>
        </w:rPr>
        <w:t xml:space="preserve"> </w:t>
      </w:r>
      <w:r>
        <w:rPr>
          <w:lang w:val="es-CR"/>
        </w:rPr>
        <w:tab/>
      </w:r>
      <w:r>
        <w:rPr>
          <w:i/>
          <w:lang w:val="es-CR"/>
        </w:rPr>
        <w:t xml:space="preserve">Cfr. </w:t>
      </w:r>
      <w:r>
        <w:rPr>
          <w:lang w:val="es-CR"/>
        </w:rPr>
        <w:t xml:space="preserve">Informe estatal de 18 de junio de 2019. </w:t>
      </w:r>
    </w:p>
  </w:footnote>
  <w:footnote w:id="34">
    <w:p w:rsidR="00D178B6" w:rsidRPr="00440E60" w:rsidRDefault="00D178B6" w:rsidP="00D178B6">
      <w:pPr>
        <w:pStyle w:val="Textonotapie"/>
        <w:rPr>
          <w:lang w:val="es-CR"/>
        </w:rPr>
      </w:pPr>
      <w:r>
        <w:rPr>
          <w:rStyle w:val="Refdenotaalpie"/>
        </w:rPr>
        <w:footnoteRef/>
      </w:r>
      <w:r w:rsidRPr="00440E60">
        <w:rPr>
          <w:lang w:val="es-CR"/>
        </w:rPr>
        <w:t xml:space="preserve"> </w:t>
      </w:r>
      <w:r>
        <w:rPr>
          <w:lang w:val="es-CR"/>
        </w:rPr>
        <w:tab/>
      </w:r>
      <w:r>
        <w:rPr>
          <w:i/>
          <w:lang w:val="es-CR"/>
        </w:rPr>
        <w:t xml:space="preserve">Cfr. </w:t>
      </w:r>
      <w:r>
        <w:rPr>
          <w:lang w:val="es-CR"/>
        </w:rPr>
        <w:t>Escritos de observaciones de los representantes de las víctimas de 3 de junio y 16 de septiembre de 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A5F" w:rsidRPr="00C57014" w:rsidRDefault="00845A5F" w:rsidP="0002220E">
    <w:pPr>
      <w:pStyle w:val="Encabezado"/>
      <w:jc w:val="center"/>
      <w:rPr>
        <w:rFonts w:ascii="Verdana" w:hAnsi="Verdana"/>
        <w:sz w:val="20"/>
        <w:szCs w:val="20"/>
        <w:lang w:val="es-CR"/>
      </w:rPr>
    </w:pPr>
  </w:p>
  <w:p w:rsidR="00845A5F" w:rsidRPr="00C32274" w:rsidRDefault="00845A5F" w:rsidP="0002220E">
    <w:pPr>
      <w:pStyle w:val="Encabezado"/>
      <w:jc w:val="center"/>
      <w:rPr>
        <w:rFonts w:ascii="Verdana" w:hAnsi="Verdana"/>
        <w:sz w:val="16"/>
        <w:szCs w:val="16"/>
      </w:rPr>
    </w:pPr>
    <w:r w:rsidRPr="00C32274">
      <w:rPr>
        <w:rFonts w:ascii="Verdana" w:hAnsi="Verdana"/>
        <w:sz w:val="16"/>
        <w:szCs w:val="16"/>
      </w:rPr>
      <w:t>-</w:t>
    </w:r>
    <w:r w:rsidRPr="00C32274">
      <w:rPr>
        <w:rFonts w:ascii="Verdana" w:hAnsi="Verdana"/>
        <w:sz w:val="16"/>
        <w:szCs w:val="16"/>
      </w:rPr>
      <w:fldChar w:fldCharType="begin"/>
    </w:r>
    <w:r w:rsidRPr="00C32274">
      <w:rPr>
        <w:rFonts w:ascii="Verdana" w:hAnsi="Verdana"/>
        <w:sz w:val="16"/>
        <w:szCs w:val="16"/>
      </w:rPr>
      <w:instrText>PAGE   \* MERGEFORMAT</w:instrText>
    </w:r>
    <w:r w:rsidRPr="00C32274">
      <w:rPr>
        <w:rFonts w:ascii="Verdana" w:hAnsi="Verdana"/>
        <w:sz w:val="16"/>
        <w:szCs w:val="16"/>
      </w:rPr>
      <w:fldChar w:fldCharType="separate"/>
    </w:r>
    <w:r w:rsidR="00474FC5" w:rsidRPr="00474FC5">
      <w:rPr>
        <w:rFonts w:ascii="Verdana" w:hAnsi="Verdana"/>
        <w:noProof/>
        <w:sz w:val="16"/>
        <w:szCs w:val="16"/>
        <w:lang w:val="es-ES"/>
      </w:rPr>
      <w:t>2</w:t>
    </w:r>
    <w:r w:rsidRPr="00C32274">
      <w:rPr>
        <w:rFonts w:ascii="Verdana" w:hAnsi="Verdana"/>
        <w:sz w:val="16"/>
        <w:szCs w:val="16"/>
      </w:rPr>
      <w:fldChar w:fldCharType="end"/>
    </w:r>
    <w:r w:rsidRPr="00C32274">
      <w:rPr>
        <w:rFonts w:ascii="Verdana" w:hAnsi="Verdana"/>
        <w:sz w:val="16"/>
        <w:szCs w:val="16"/>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92462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7573C"/>
    <w:multiLevelType w:val="hybridMultilevel"/>
    <w:tmpl w:val="B762AECA"/>
    <w:lvl w:ilvl="0" w:tplc="140A0017">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E29FC"/>
    <w:multiLevelType w:val="hybridMultilevel"/>
    <w:tmpl w:val="13422B0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77393"/>
    <w:multiLevelType w:val="hybridMultilevel"/>
    <w:tmpl w:val="2BE2C97A"/>
    <w:lvl w:ilvl="0" w:tplc="140A0017">
      <w:start w:val="1"/>
      <w:numFmt w:val="lowerLetter"/>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4" w15:restartNumberingAfterBreak="0">
    <w:nsid w:val="27A059BA"/>
    <w:multiLevelType w:val="hybridMultilevel"/>
    <w:tmpl w:val="00749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2330BE"/>
    <w:multiLevelType w:val="hybridMultilevel"/>
    <w:tmpl w:val="68BC5006"/>
    <w:lvl w:ilvl="0" w:tplc="140A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93014FD"/>
    <w:multiLevelType w:val="hybridMultilevel"/>
    <w:tmpl w:val="01D809E6"/>
    <w:lvl w:ilvl="0" w:tplc="01F801C6">
      <w:start w:val="1"/>
      <w:numFmt w:val="decimal"/>
      <w:lvlText w:val="%1."/>
      <w:lvlJc w:val="left"/>
      <w:pPr>
        <w:ind w:left="720" w:hanging="360"/>
      </w:pPr>
      <w:rPr>
        <w:rFonts w:hint="default"/>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0955494"/>
    <w:multiLevelType w:val="hybridMultilevel"/>
    <w:tmpl w:val="CB8401C2"/>
    <w:lvl w:ilvl="0" w:tplc="B2BC5C1C">
      <w:start w:val="1"/>
      <w:numFmt w:val="upperLetter"/>
      <w:pStyle w:val="Ttulo1"/>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A8D5896"/>
    <w:multiLevelType w:val="hybridMultilevel"/>
    <w:tmpl w:val="B762AECA"/>
    <w:lvl w:ilvl="0" w:tplc="140A0017">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E0E90"/>
    <w:multiLevelType w:val="hybridMultilevel"/>
    <w:tmpl w:val="23CA7C36"/>
    <w:lvl w:ilvl="0" w:tplc="BA98E2FE">
      <w:start w:val="1"/>
      <w:numFmt w:val="decimal"/>
      <w:lvlText w:val="%1."/>
      <w:lvlJc w:val="left"/>
      <w:pPr>
        <w:ind w:left="360" w:hanging="360"/>
      </w:pPr>
      <w:rPr>
        <w:rFonts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7C9020A"/>
    <w:multiLevelType w:val="hybridMultilevel"/>
    <w:tmpl w:val="A322BE24"/>
    <w:lvl w:ilvl="0" w:tplc="486A71D0">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8847A60"/>
    <w:multiLevelType w:val="hybridMultilevel"/>
    <w:tmpl w:val="F926C99A"/>
    <w:lvl w:ilvl="0" w:tplc="D0E8ED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2901CB"/>
    <w:multiLevelType w:val="hybridMultilevel"/>
    <w:tmpl w:val="42482C2A"/>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5F056E"/>
    <w:multiLevelType w:val="hybridMultilevel"/>
    <w:tmpl w:val="01C2CBFA"/>
    <w:lvl w:ilvl="0" w:tplc="F386251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12"/>
  </w:num>
  <w:num w:numId="5">
    <w:abstractNumId w:val="4"/>
  </w:num>
  <w:num w:numId="6">
    <w:abstractNumId w:val="8"/>
  </w:num>
  <w:num w:numId="7">
    <w:abstractNumId w:val="2"/>
  </w:num>
  <w:num w:numId="8">
    <w:abstractNumId w:val="7"/>
  </w:num>
  <w:num w:numId="9">
    <w:abstractNumId w:val="11"/>
  </w:num>
  <w:num w:numId="10">
    <w:abstractNumId w:val="0"/>
  </w:num>
  <w:num w:numId="11">
    <w:abstractNumId w:val="14"/>
  </w:num>
  <w:num w:numId="12">
    <w:abstractNumId w:val="13"/>
  </w:num>
  <w:num w:numId="13">
    <w:abstractNumId w:val="3"/>
  </w:num>
  <w:num w:numId="14">
    <w:abstractNumId w:val="5"/>
  </w:num>
  <w:num w:numId="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588E"/>
    <w:rsid w:val="0000617D"/>
    <w:rsid w:val="00006DB9"/>
    <w:rsid w:val="000077F9"/>
    <w:rsid w:val="00010A92"/>
    <w:rsid w:val="000121ED"/>
    <w:rsid w:val="000141CB"/>
    <w:rsid w:val="000142A3"/>
    <w:rsid w:val="00014366"/>
    <w:rsid w:val="000147EE"/>
    <w:rsid w:val="000159FF"/>
    <w:rsid w:val="00016343"/>
    <w:rsid w:val="00017E73"/>
    <w:rsid w:val="00020592"/>
    <w:rsid w:val="0002220E"/>
    <w:rsid w:val="00024A8B"/>
    <w:rsid w:val="000264F8"/>
    <w:rsid w:val="00030673"/>
    <w:rsid w:val="00032A4E"/>
    <w:rsid w:val="00032F8F"/>
    <w:rsid w:val="00035F27"/>
    <w:rsid w:val="000366BE"/>
    <w:rsid w:val="000368A4"/>
    <w:rsid w:val="00036946"/>
    <w:rsid w:val="00037483"/>
    <w:rsid w:val="00037F40"/>
    <w:rsid w:val="00040684"/>
    <w:rsid w:val="00041B9B"/>
    <w:rsid w:val="00043B6F"/>
    <w:rsid w:val="000444EB"/>
    <w:rsid w:val="000457D4"/>
    <w:rsid w:val="00046374"/>
    <w:rsid w:val="00046F7E"/>
    <w:rsid w:val="00047288"/>
    <w:rsid w:val="000477CE"/>
    <w:rsid w:val="000534CE"/>
    <w:rsid w:val="000548BB"/>
    <w:rsid w:val="00055FA5"/>
    <w:rsid w:val="0006095B"/>
    <w:rsid w:val="00060D08"/>
    <w:rsid w:val="00062679"/>
    <w:rsid w:val="00062A62"/>
    <w:rsid w:val="00064748"/>
    <w:rsid w:val="00065B58"/>
    <w:rsid w:val="0006620E"/>
    <w:rsid w:val="00072210"/>
    <w:rsid w:val="000734F1"/>
    <w:rsid w:val="00076512"/>
    <w:rsid w:val="00077139"/>
    <w:rsid w:val="00085EF2"/>
    <w:rsid w:val="0009166C"/>
    <w:rsid w:val="00092070"/>
    <w:rsid w:val="00096CE4"/>
    <w:rsid w:val="000A2B57"/>
    <w:rsid w:val="000A552E"/>
    <w:rsid w:val="000B006C"/>
    <w:rsid w:val="000B01FF"/>
    <w:rsid w:val="000B0CB5"/>
    <w:rsid w:val="000B2ABC"/>
    <w:rsid w:val="000C042D"/>
    <w:rsid w:val="000C4A07"/>
    <w:rsid w:val="000C5476"/>
    <w:rsid w:val="000C609F"/>
    <w:rsid w:val="000C6A5B"/>
    <w:rsid w:val="000D23E2"/>
    <w:rsid w:val="000D52F3"/>
    <w:rsid w:val="000D5673"/>
    <w:rsid w:val="000D5FAC"/>
    <w:rsid w:val="000E03A4"/>
    <w:rsid w:val="000E1063"/>
    <w:rsid w:val="000E2F78"/>
    <w:rsid w:val="000E50D8"/>
    <w:rsid w:val="000E71A9"/>
    <w:rsid w:val="000E7572"/>
    <w:rsid w:val="000F0C43"/>
    <w:rsid w:val="000F1CF4"/>
    <w:rsid w:val="000F29C9"/>
    <w:rsid w:val="000F29EA"/>
    <w:rsid w:val="000F43D1"/>
    <w:rsid w:val="000F618F"/>
    <w:rsid w:val="00102481"/>
    <w:rsid w:val="00104788"/>
    <w:rsid w:val="00106618"/>
    <w:rsid w:val="00106CFE"/>
    <w:rsid w:val="00106FD0"/>
    <w:rsid w:val="001141EE"/>
    <w:rsid w:val="0012018F"/>
    <w:rsid w:val="00120C2D"/>
    <w:rsid w:val="00121288"/>
    <w:rsid w:val="001235EA"/>
    <w:rsid w:val="0013256E"/>
    <w:rsid w:val="00132974"/>
    <w:rsid w:val="00132F50"/>
    <w:rsid w:val="00135CCD"/>
    <w:rsid w:val="00136053"/>
    <w:rsid w:val="00136725"/>
    <w:rsid w:val="0013792B"/>
    <w:rsid w:val="00141C87"/>
    <w:rsid w:val="00145EA9"/>
    <w:rsid w:val="00150C79"/>
    <w:rsid w:val="001540F7"/>
    <w:rsid w:val="00156E17"/>
    <w:rsid w:val="00157719"/>
    <w:rsid w:val="00157974"/>
    <w:rsid w:val="0016049F"/>
    <w:rsid w:val="001606C5"/>
    <w:rsid w:val="001633AC"/>
    <w:rsid w:val="00163C46"/>
    <w:rsid w:val="001665BB"/>
    <w:rsid w:val="001716A7"/>
    <w:rsid w:val="001759FF"/>
    <w:rsid w:val="00191631"/>
    <w:rsid w:val="001916B5"/>
    <w:rsid w:val="00191722"/>
    <w:rsid w:val="00191815"/>
    <w:rsid w:val="00192F43"/>
    <w:rsid w:val="00193CD3"/>
    <w:rsid w:val="001965D4"/>
    <w:rsid w:val="001978EC"/>
    <w:rsid w:val="00197F8D"/>
    <w:rsid w:val="001A0FCF"/>
    <w:rsid w:val="001A1644"/>
    <w:rsid w:val="001A23A8"/>
    <w:rsid w:val="001A3510"/>
    <w:rsid w:val="001A4841"/>
    <w:rsid w:val="001A526E"/>
    <w:rsid w:val="001A6685"/>
    <w:rsid w:val="001B0651"/>
    <w:rsid w:val="001B0BB6"/>
    <w:rsid w:val="001B4EF9"/>
    <w:rsid w:val="001B501F"/>
    <w:rsid w:val="001B5547"/>
    <w:rsid w:val="001C048B"/>
    <w:rsid w:val="001C0DED"/>
    <w:rsid w:val="001C1572"/>
    <w:rsid w:val="001C3AB5"/>
    <w:rsid w:val="001C483E"/>
    <w:rsid w:val="001C5E0F"/>
    <w:rsid w:val="001C70A4"/>
    <w:rsid w:val="001C7B36"/>
    <w:rsid w:val="001D1F17"/>
    <w:rsid w:val="001D4F99"/>
    <w:rsid w:val="001D5A79"/>
    <w:rsid w:val="001E19A3"/>
    <w:rsid w:val="001E23A6"/>
    <w:rsid w:val="001E2AF2"/>
    <w:rsid w:val="001E4180"/>
    <w:rsid w:val="001E43A2"/>
    <w:rsid w:val="001E557C"/>
    <w:rsid w:val="001E64A7"/>
    <w:rsid w:val="001E6BBF"/>
    <w:rsid w:val="001F019B"/>
    <w:rsid w:val="001F5C31"/>
    <w:rsid w:val="001F62D3"/>
    <w:rsid w:val="00200873"/>
    <w:rsid w:val="00201CA9"/>
    <w:rsid w:val="00202E30"/>
    <w:rsid w:val="00203307"/>
    <w:rsid w:val="00204155"/>
    <w:rsid w:val="00207D1D"/>
    <w:rsid w:val="0021187D"/>
    <w:rsid w:val="002174A2"/>
    <w:rsid w:val="0023035D"/>
    <w:rsid w:val="0023290D"/>
    <w:rsid w:val="00235FA5"/>
    <w:rsid w:val="00236C4D"/>
    <w:rsid w:val="0024047E"/>
    <w:rsid w:val="00240780"/>
    <w:rsid w:val="002439D0"/>
    <w:rsid w:val="00243B67"/>
    <w:rsid w:val="00244281"/>
    <w:rsid w:val="002446E6"/>
    <w:rsid w:val="002448C1"/>
    <w:rsid w:val="00246221"/>
    <w:rsid w:val="00247B4B"/>
    <w:rsid w:val="0025143F"/>
    <w:rsid w:val="00251DB6"/>
    <w:rsid w:val="00253240"/>
    <w:rsid w:val="00254EF0"/>
    <w:rsid w:val="00255B9F"/>
    <w:rsid w:val="00256C79"/>
    <w:rsid w:val="002571BD"/>
    <w:rsid w:val="00264887"/>
    <w:rsid w:val="00265EBD"/>
    <w:rsid w:val="00267DF3"/>
    <w:rsid w:val="00271DC5"/>
    <w:rsid w:val="00272676"/>
    <w:rsid w:val="002733A0"/>
    <w:rsid w:val="002751B7"/>
    <w:rsid w:val="00276A9C"/>
    <w:rsid w:val="00277370"/>
    <w:rsid w:val="002776A8"/>
    <w:rsid w:val="0028181B"/>
    <w:rsid w:val="00282B6A"/>
    <w:rsid w:val="002835BA"/>
    <w:rsid w:val="00284341"/>
    <w:rsid w:val="00290176"/>
    <w:rsid w:val="002911F3"/>
    <w:rsid w:val="00297FD7"/>
    <w:rsid w:val="002A4405"/>
    <w:rsid w:val="002A4433"/>
    <w:rsid w:val="002A727E"/>
    <w:rsid w:val="002B4690"/>
    <w:rsid w:val="002B604E"/>
    <w:rsid w:val="002B625E"/>
    <w:rsid w:val="002B6679"/>
    <w:rsid w:val="002C1D2F"/>
    <w:rsid w:val="002C2546"/>
    <w:rsid w:val="002C33E5"/>
    <w:rsid w:val="002C724E"/>
    <w:rsid w:val="002D018B"/>
    <w:rsid w:val="002D7C72"/>
    <w:rsid w:val="002E1101"/>
    <w:rsid w:val="002E1EEC"/>
    <w:rsid w:val="002E305D"/>
    <w:rsid w:val="002E37EA"/>
    <w:rsid w:val="002E484D"/>
    <w:rsid w:val="002E4D25"/>
    <w:rsid w:val="002E6550"/>
    <w:rsid w:val="002F006C"/>
    <w:rsid w:val="002F50F0"/>
    <w:rsid w:val="0030037B"/>
    <w:rsid w:val="00300D02"/>
    <w:rsid w:val="00302DAA"/>
    <w:rsid w:val="0030486D"/>
    <w:rsid w:val="00304C3A"/>
    <w:rsid w:val="00306011"/>
    <w:rsid w:val="003139CB"/>
    <w:rsid w:val="00314A94"/>
    <w:rsid w:val="003151C8"/>
    <w:rsid w:val="00316149"/>
    <w:rsid w:val="0031749C"/>
    <w:rsid w:val="00317822"/>
    <w:rsid w:val="00317DB3"/>
    <w:rsid w:val="003202D8"/>
    <w:rsid w:val="00322612"/>
    <w:rsid w:val="0032471F"/>
    <w:rsid w:val="0032570B"/>
    <w:rsid w:val="003320E3"/>
    <w:rsid w:val="00337FAA"/>
    <w:rsid w:val="00340BD2"/>
    <w:rsid w:val="00342BD7"/>
    <w:rsid w:val="00342CE4"/>
    <w:rsid w:val="00343FC2"/>
    <w:rsid w:val="003453C7"/>
    <w:rsid w:val="003453F7"/>
    <w:rsid w:val="00353B1C"/>
    <w:rsid w:val="003563C4"/>
    <w:rsid w:val="003571B8"/>
    <w:rsid w:val="003572A0"/>
    <w:rsid w:val="00357F47"/>
    <w:rsid w:val="0036260B"/>
    <w:rsid w:val="003631F8"/>
    <w:rsid w:val="0036774A"/>
    <w:rsid w:val="00367E71"/>
    <w:rsid w:val="00372198"/>
    <w:rsid w:val="00373956"/>
    <w:rsid w:val="00374AB2"/>
    <w:rsid w:val="00375E7C"/>
    <w:rsid w:val="00376D74"/>
    <w:rsid w:val="00380604"/>
    <w:rsid w:val="00380681"/>
    <w:rsid w:val="00382381"/>
    <w:rsid w:val="00383078"/>
    <w:rsid w:val="0038360F"/>
    <w:rsid w:val="003840A3"/>
    <w:rsid w:val="00384D60"/>
    <w:rsid w:val="00384F4E"/>
    <w:rsid w:val="00385396"/>
    <w:rsid w:val="0038562F"/>
    <w:rsid w:val="003878CA"/>
    <w:rsid w:val="00390D23"/>
    <w:rsid w:val="00392FA8"/>
    <w:rsid w:val="00393991"/>
    <w:rsid w:val="003A023E"/>
    <w:rsid w:val="003A1946"/>
    <w:rsid w:val="003A3D48"/>
    <w:rsid w:val="003A634C"/>
    <w:rsid w:val="003B4009"/>
    <w:rsid w:val="003B4EBF"/>
    <w:rsid w:val="003C11A2"/>
    <w:rsid w:val="003C1505"/>
    <w:rsid w:val="003D09F2"/>
    <w:rsid w:val="003D2021"/>
    <w:rsid w:val="003D2CDE"/>
    <w:rsid w:val="003D30E0"/>
    <w:rsid w:val="003D359D"/>
    <w:rsid w:val="003D3B08"/>
    <w:rsid w:val="003D4B93"/>
    <w:rsid w:val="003D6B2C"/>
    <w:rsid w:val="003E00DA"/>
    <w:rsid w:val="003E423E"/>
    <w:rsid w:val="003E4608"/>
    <w:rsid w:val="003E4CF5"/>
    <w:rsid w:val="003E70D1"/>
    <w:rsid w:val="003F45EC"/>
    <w:rsid w:val="003F5288"/>
    <w:rsid w:val="003F5F46"/>
    <w:rsid w:val="00404451"/>
    <w:rsid w:val="004063E0"/>
    <w:rsid w:val="00406CFF"/>
    <w:rsid w:val="0041468C"/>
    <w:rsid w:val="00417478"/>
    <w:rsid w:val="004203C4"/>
    <w:rsid w:val="00422EFD"/>
    <w:rsid w:val="00423F2A"/>
    <w:rsid w:val="004267A7"/>
    <w:rsid w:val="00427378"/>
    <w:rsid w:val="0043186C"/>
    <w:rsid w:val="00431EC5"/>
    <w:rsid w:val="004372CF"/>
    <w:rsid w:val="00440E60"/>
    <w:rsid w:val="00441DB4"/>
    <w:rsid w:val="004423A5"/>
    <w:rsid w:val="00444BC9"/>
    <w:rsid w:val="00450D75"/>
    <w:rsid w:val="004517B4"/>
    <w:rsid w:val="00452C6A"/>
    <w:rsid w:val="00453865"/>
    <w:rsid w:val="00456387"/>
    <w:rsid w:val="00456633"/>
    <w:rsid w:val="00456AE8"/>
    <w:rsid w:val="0045756A"/>
    <w:rsid w:val="0046042A"/>
    <w:rsid w:val="004633A4"/>
    <w:rsid w:val="00465C31"/>
    <w:rsid w:val="00467AED"/>
    <w:rsid w:val="00471329"/>
    <w:rsid w:val="00471923"/>
    <w:rsid w:val="0047217D"/>
    <w:rsid w:val="0047228E"/>
    <w:rsid w:val="00474ABE"/>
    <w:rsid w:val="00474FC5"/>
    <w:rsid w:val="00475416"/>
    <w:rsid w:val="00480B28"/>
    <w:rsid w:val="00484BD0"/>
    <w:rsid w:val="00485674"/>
    <w:rsid w:val="00486FD6"/>
    <w:rsid w:val="004930AE"/>
    <w:rsid w:val="004971B8"/>
    <w:rsid w:val="004A31B5"/>
    <w:rsid w:val="004A3773"/>
    <w:rsid w:val="004A3775"/>
    <w:rsid w:val="004A3B99"/>
    <w:rsid w:val="004A549E"/>
    <w:rsid w:val="004A6627"/>
    <w:rsid w:val="004A6A22"/>
    <w:rsid w:val="004C04C4"/>
    <w:rsid w:val="004C12ED"/>
    <w:rsid w:val="004C3C07"/>
    <w:rsid w:val="004C41A4"/>
    <w:rsid w:val="004C430A"/>
    <w:rsid w:val="004C6EBB"/>
    <w:rsid w:val="004C762D"/>
    <w:rsid w:val="004C7B35"/>
    <w:rsid w:val="004C7E5C"/>
    <w:rsid w:val="004D3129"/>
    <w:rsid w:val="004D3929"/>
    <w:rsid w:val="004D40FA"/>
    <w:rsid w:val="004D4C34"/>
    <w:rsid w:val="004D50B3"/>
    <w:rsid w:val="004D6330"/>
    <w:rsid w:val="004D764E"/>
    <w:rsid w:val="004E30A2"/>
    <w:rsid w:val="004E3998"/>
    <w:rsid w:val="004E6320"/>
    <w:rsid w:val="004E7702"/>
    <w:rsid w:val="004F4B79"/>
    <w:rsid w:val="004F5899"/>
    <w:rsid w:val="005012E3"/>
    <w:rsid w:val="005034A8"/>
    <w:rsid w:val="005034CA"/>
    <w:rsid w:val="00505829"/>
    <w:rsid w:val="00512EDB"/>
    <w:rsid w:val="005133D3"/>
    <w:rsid w:val="0051635A"/>
    <w:rsid w:val="00520034"/>
    <w:rsid w:val="00520868"/>
    <w:rsid w:val="00521176"/>
    <w:rsid w:val="00523004"/>
    <w:rsid w:val="005237EB"/>
    <w:rsid w:val="00530289"/>
    <w:rsid w:val="005326B7"/>
    <w:rsid w:val="00533307"/>
    <w:rsid w:val="005366E3"/>
    <w:rsid w:val="005367A9"/>
    <w:rsid w:val="00537113"/>
    <w:rsid w:val="00540471"/>
    <w:rsid w:val="00541208"/>
    <w:rsid w:val="005439B2"/>
    <w:rsid w:val="00544E0D"/>
    <w:rsid w:val="005460D3"/>
    <w:rsid w:val="00546842"/>
    <w:rsid w:val="00547A22"/>
    <w:rsid w:val="005542A0"/>
    <w:rsid w:val="00554CD4"/>
    <w:rsid w:val="00555371"/>
    <w:rsid w:val="00557996"/>
    <w:rsid w:val="00560316"/>
    <w:rsid w:val="005635AC"/>
    <w:rsid w:val="00563E3A"/>
    <w:rsid w:val="0056454D"/>
    <w:rsid w:val="00565F2A"/>
    <w:rsid w:val="00567043"/>
    <w:rsid w:val="005703E4"/>
    <w:rsid w:val="0057155D"/>
    <w:rsid w:val="00571888"/>
    <w:rsid w:val="00573B85"/>
    <w:rsid w:val="0057609C"/>
    <w:rsid w:val="00576156"/>
    <w:rsid w:val="00576560"/>
    <w:rsid w:val="005809F6"/>
    <w:rsid w:val="00580E15"/>
    <w:rsid w:val="00582FFB"/>
    <w:rsid w:val="00585A3F"/>
    <w:rsid w:val="00585FB4"/>
    <w:rsid w:val="0059195D"/>
    <w:rsid w:val="005921C0"/>
    <w:rsid w:val="005923F4"/>
    <w:rsid w:val="00593569"/>
    <w:rsid w:val="005952CF"/>
    <w:rsid w:val="0059605C"/>
    <w:rsid w:val="00596D5E"/>
    <w:rsid w:val="005A1B3D"/>
    <w:rsid w:val="005A29F3"/>
    <w:rsid w:val="005A2E32"/>
    <w:rsid w:val="005A7373"/>
    <w:rsid w:val="005B051E"/>
    <w:rsid w:val="005B05B8"/>
    <w:rsid w:val="005B3B1C"/>
    <w:rsid w:val="005B4A61"/>
    <w:rsid w:val="005B54DD"/>
    <w:rsid w:val="005B5CF2"/>
    <w:rsid w:val="005C025D"/>
    <w:rsid w:val="005C0DF5"/>
    <w:rsid w:val="005C3529"/>
    <w:rsid w:val="005C473E"/>
    <w:rsid w:val="005C6019"/>
    <w:rsid w:val="005D26C7"/>
    <w:rsid w:val="005D35F6"/>
    <w:rsid w:val="005D68FE"/>
    <w:rsid w:val="005D6A03"/>
    <w:rsid w:val="005D7AB0"/>
    <w:rsid w:val="005E1062"/>
    <w:rsid w:val="005E3AA2"/>
    <w:rsid w:val="005E5C8E"/>
    <w:rsid w:val="005F402B"/>
    <w:rsid w:val="005F5FCA"/>
    <w:rsid w:val="005F7C9B"/>
    <w:rsid w:val="0060189A"/>
    <w:rsid w:val="00601F1C"/>
    <w:rsid w:val="00605FC0"/>
    <w:rsid w:val="006063C0"/>
    <w:rsid w:val="006063D6"/>
    <w:rsid w:val="00606C37"/>
    <w:rsid w:val="00611911"/>
    <w:rsid w:val="00612458"/>
    <w:rsid w:val="00612C47"/>
    <w:rsid w:val="00613151"/>
    <w:rsid w:val="00613B0B"/>
    <w:rsid w:val="00615471"/>
    <w:rsid w:val="0061703F"/>
    <w:rsid w:val="00617A05"/>
    <w:rsid w:val="00621523"/>
    <w:rsid w:val="006230A5"/>
    <w:rsid w:val="006232CA"/>
    <w:rsid w:val="00624BAD"/>
    <w:rsid w:val="00631C55"/>
    <w:rsid w:val="00631DE7"/>
    <w:rsid w:val="00633F7C"/>
    <w:rsid w:val="00634041"/>
    <w:rsid w:val="00634251"/>
    <w:rsid w:val="006347AA"/>
    <w:rsid w:val="00637414"/>
    <w:rsid w:val="00637E9D"/>
    <w:rsid w:val="006402BF"/>
    <w:rsid w:val="00640A7F"/>
    <w:rsid w:val="00643491"/>
    <w:rsid w:val="00643886"/>
    <w:rsid w:val="00644DAC"/>
    <w:rsid w:val="00651322"/>
    <w:rsid w:val="0065365E"/>
    <w:rsid w:val="00656B92"/>
    <w:rsid w:val="00656F9A"/>
    <w:rsid w:val="00657109"/>
    <w:rsid w:val="00657427"/>
    <w:rsid w:val="00661B81"/>
    <w:rsid w:val="0066670D"/>
    <w:rsid w:val="00671120"/>
    <w:rsid w:val="006744E5"/>
    <w:rsid w:val="00675265"/>
    <w:rsid w:val="00675C9A"/>
    <w:rsid w:val="00677344"/>
    <w:rsid w:val="00680283"/>
    <w:rsid w:val="00681861"/>
    <w:rsid w:val="006818D3"/>
    <w:rsid w:val="00684C4D"/>
    <w:rsid w:val="00691A77"/>
    <w:rsid w:val="006921EA"/>
    <w:rsid w:val="006929BF"/>
    <w:rsid w:val="00694EF7"/>
    <w:rsid w:val="006A08FC"/>
    <w:rsid w:val="006A44E3"/>
    <w:rsid w:val="006A7AD2"/>
    <w:rsid w:val="006B62A5"/>
    <w:rsid w:val="006B6526"/>
    <w:rsid w:val="006B6721"/>
    <w:rsid w:val="006C01ED"/>
    <w:rsid w:val="006C42FF"/>
    <w:rsid w:val="006C4B68"/>
    <w:rsid w:val="006C7AB2"/>
    <w:rsid w:val="006D19D6"/>
    <w:rsid w:val="006D52AB"/>
    <w:rsid w:val="006D5A7B"/>
    <w:rsid w:val="006D6681"/>
    <w:rsid w:val="006E2501"/>
    <w:rsid w:val="006E46F7"/>
    <w:rsid w:val="006E6740"/>
    <w:rsid w:val="006F0994"/>
    <w:rsid w:val="006F0AF8"/>
    <w:rsid w:val="006F2F58"/>
    <w:rsid w:val="006F4AF1"/>
    <w:rsid w:val="006F4DDF"/>
    <w:rsid w:val="006F4E0F"/>
    <w:rsid w:val="006F6910"/>
    <w:rsid w:val="00701687"/>
    <w:rsid w:val="00704DDA"/>
    <w:rsid w:val="00705D08"/>
    <w:rsid w:val="007068AB"/>
    <w:rsid w:val="007068B8"/>
    <w:rsid w:val="00707F54"/>
    <w:rsid w:val="00715182"/>
    <w:rsid w:val="00715C62"/>
    <w:rsid w:val="007164DD"/>
    <w:rsid w:val="00720785"/>
    <w:rsid w:val="00721B07"/>
    <w:rsid w:val="007231F2"/>
    <w:rsid w:val="007249FC"/>
    <w:rsid w:val="0072546D"/>
    <w:rsid w:val="007277CE"/>
    <w:rsid w:val="0073471B"/>
    <w:rsid w:val="00740F3F"/>
    <w:rsid w:val="0074196F"/>
    <w:rsid w:val="007424D6"/>
    <w:rsid w:val="00743E84"/>
    <w:rsid w:val="007454AB"/>
    <w:rsid w:val="00745AE4"/>
    <w:rsid w:val="00750934"/>
    <w:rsid w:val="00753A39"/>
    <w:rsid w:val="00757F87"/>
    <w:rsid w:val="00760F6D"/>
    <w:rsid w:val="007636AF"/>
    <w:rsid w:val="00766423"/>
    <w:rsid w:val="00766755"/>
    <w:rsid w:val="007703C8"/>
    <w:rsid w:val="007747E9"/>
    <w:rsid w:val="00774C04"/>
    <w:rsid w:val="0077652A"/>
    <w:rsid w:val="00776A05"/>
    <w:rsid w:val="00782730"/>
    <w:rsid w:val="00783B44"/>
    <w:rsid w:val="007874D5"/>
    <w:rsid w:val="00787DC8"/>
    <w:rsid w:val="00790114"/>
    <w:rsid w:val="0079338E"/>
    <w:rsid w:val="007962F8"/>
    <w:rsid w:val="007A0BE5"/>
    <w:rsid w:val="007A1000"/>
    <w:rsid w:val="007A284E"/>
    <w:rsid w:val="007A4EC7"/>
    <w:rsid w:val="007A5FE5"/>
    <w:rsid w:val="007B1643"/>
    <w:rsid w:val="007B1D29"/>
    <w:rsid w:val="007B1ECB"/>
    <w:rsid w:val="007B5310"/>
    <w:rsid w:val="007C45D2"/>
    <w:rsid w:val="007C7048"/>
    <w:rsid w:val="007D03BF"/>
    <w:rsid w:val="007D07EE"/>
    <w:rsid w:val="007D0C27"/>
    <w:rsid w:val="007D3014"/>
    <w:rsid w:val="007D6DF7"/>
    <w:rsid w:val="007E3C86"/>
    <w:rsid w:val="007E3D6E"/>
    <w:rsid w:val="007E6E56"/>
    <w:rsid w:val="007E6F18"/>
    <w:rsid w:val="007F097D"/>
    <w:rsid w:val="007F0BB2"/>
    <w:rsid w:val="007F0BDA"/>
    <w:rsid w:val="007F242F"/>
    <w:rsid w:val="007F28AB"/>
    <w:rsid w:val="007F3106"/>
    <w:rsid w:val="007F3C4A"/>
    <w:rsid w:val="007F4BC5"/>
    <w:rsid w:val="007F73B0"/>
    <w:rsid w:val="008005A7"/>
    <w:rsid w:val="00801F0E"/>
    <w:rsid w:val="008070CE"/>
    <w:rsid w:val="00810D7F"/>
    <w:rsid w:val="00814445"/>
    <w:rsid w:val="00817967"/>
    <w:rsid w:val="0082668D"/>
    <w:rsid w:val="0083056F"/>
    <w:rsid w:val="008348BE"/>
    <w:rsid w:val="00834D5C"/>
    <w:rsid w:val="008379F6"/>
    <w:rsid w:val="00841223"/>
    <w:rsid w:val="0084366A"/>
    <w:rsid w:val="00844436"/>
    <w:rsid w:val="0084520D"/>
    <w:rsid w:val="00845A5F"/>
    <w:rsid w:val="00846413"/>
    <w:rsid w:val="0085029B"/>
    <w:rsid w:val="00852A76"/>
    <w:rsid w:val="00854CD2"/>
    <w:rsid w:val="0085654B"/>
    <w:rsid w:val="00861D6F"/>
    <w:rsid w:val="00862D86"/>
    <w:rsid w:val="00863257"/>
    <w:rsid w:val="00863C90"/>
    <w:rsid w:val="008648F7"/>
    <w:rsid w:val="008651F4"/>
    <w:rsid w:val="00865839"/>
    <w:rsid w:val="0086662A"/>
    <w:rsid w:val="00871040"/>
    <w:rsid w:val="008729E6"/>
    <w:rsid w:val="00872A34"/>
    <w:rsid w:val="00875DCD"/>
    <w:rsid w:val="0087652D"/>
    <w:rsid w:val="00876ADB"/>
    <w:rsid w:val="0087756E"/>
    <w:rsid w:val="00877ADA"/>
    <w:rsid w:val="00881D56"/>
    <w:rsid w:val="0088397D"/>
    <w:rsid w:val="008848CA"/>
    <w:rsid w:val="00884DDA"/>
    <w:rsid w:val="00886837"/>
    <w:rsid w:val="00891202"/>
    <w:rsid w:val="00893BCB"/>
    <w:rsid w:val="00894883"/>
    <w:rsid w:val="0089537D"/>
    <w:rsid w:val="00896AA2"/>
    <w:rsid w:val="008A44BA"/>
    <w:rsid w:val="008A625C"/>
    <w:rsid w:val="008B5244"/>
    <w:rsid w:val="008C0E58"/>
    <w:rsid w:val="008C2089"/>
    <w:rsid w:val="008C4663"/>
    <w:rsid w:val="008C481F"/>
    <w:rsid w:val="008C5F98"/>
    <w:rsid w:val="008C69AA"/>
    <w:rsid w:val="008C6B39"/>
    <w:rsid w:val="008D0655"/>
    <w:rsid w:val="008D1D36"/>
    <w:rsid w:val="008D2300"/>
    <w:rsid w:val="008D512C"/>
    <w:rsid w:val="008D5265"/>
    <w:rsid w:val="008D7702"/>
    <w:rsid w:val="008E1C40"/>
    <w:rsid w:val="008E283B"/>
    <w:rsid w:val="008E39AB"/>
    <w:rsid w:val="008E46D0"/>
    <w:rsid w:val="008E4A58"/>
    <w:rsid w:val="008E5B90"/>
    <w:rsid w:val="008F1ADF"/>
    <w:rsid w:val="008F2187"/>
    <w:rsid w:val="008F2F7B"/>
    <w:rsid w:val="008F3B2B"/>
    <w:rsid w:val="008F47E2"/>
    <w:rsid w:val="008F5FD0"/>
    <w:rsid w:val="008F7933"/>
    <w:rsid w:val="00901C7A"/>
    <w:rsid w:val="009044CD"/>
    <w:rsid w:val="00904E0E"/>
    <w:rsid w:val="00913E5A"/>
    <w:rsid w:val="00914764"/>
    <w:rsid w:val="00926CE7"/>
    <w:rsid w:val="0093233E"/>
    <w:rsid w:val="009323FF"/>
    <w:rsid w:val="0093294F"/>
    <w:rsid w:val="009350E3"/>
    <w:rsid w:val="0093543D"/>
    <w:rsid w:val="00935E0A"/>
    <w:rsid w:val="00937CBE"/>
    <w:rsid w:val="009400E5"/>
    <w:rsid w:val="00940C1C"/>
    <w:rsid w:val="00941769"/>
    <w:rsid w:val="009455D3"/>
    <w:rsid w:val="009468E5"/>
    <w:rsid w:val="00950263"/>
    <w:rsid w:val="00953071"/>
    <w:rsid w:val="009534E9"/>
    <w:rsid w:val="009534EC"/>
    <w:rsid w:val="0095489F"/>
    <w:rsid w:val="00956100"/>
    <w:rsid w:val="00956F0C"/>
    <w:rsid w:val="009603D6"/>
    <w:rsid w:val="0096164F"/>
    <w:rsid w:val="009632FE"/>
    <w:rsid w:val="009633FB"/>
    <w:rsid w:val="00965335"/>
    <w:rsid w:val="00967037"/>
    <w:rsid w:val="0097275F"/>
    <w:rsid w:val="0097417E"/>
    <w:rsid w:val="00975B02"/>
    <w:rsid w:val="009770BC"/>
    <w:rsid w:val="00977F0D"/>
    <w:rsid w:val="00981E60"/>
    <w:rsid w:val="00984195"/>
    <w:rsid w:val="00987E8F"/>
    <w:rsid w:val="009919DB"/>
    <w:rsid w:val="009929D5"/>
    <w:rsid w:val="00993038"/>
    <w:rsid w:val="00993FE3"/>
    <w:rsid w:val="0099578D"/>
    <w:rsid w:val="009A04EC"/>
    <w:rsid w:val="009A47C6"/>
    <w:rsid w:val="009A59D0"/>
    <w:rsid w:val="009A7871"/>
    <w:rsid w:val="009B1A9B"/>
    <w:rsid w:val="009B2AEB"/>
    <w:rsid w:val="009B4B9D"/>
    <w:rsid w:val="009B591D"/>
    <w:rsid w:val="009B66C6"/>
    <w:rsid w:val="009B6C55"/>
    <w:rsid w:val="009C1694"/>
    <w:rsid w:val="009C36DE"/>
    <w:rsid w:val="009C5D40"/>
    <w:rsid w:val="009C73D2"/>
    <w:rsid w:val="009C7A15"/>
    <w:rsid w:val="009D0674"/>
    <w:rsid w:val="009D0F1C"/>
    <w:rsid w:val="009D2605"/>
    <w:rsid w:val="009D4381"/>
    <w:rsid w:val="009D49FF"/>
    <w:rsid w:val="009D5421"/>
    <w:rsid w:val="009D5A20"/>
    <w:rsid w:val="009E007E"/>
    <w:rsid w:val="009E0C57"/>
    <w:rsid w:val="009E258A"/>
    <w:rsid w:val="009E3502"/>
    <w:rsid w:val="009E3AFF"/>
    <w:rsid w:val="009E41CE"/>
    <w:rsid w:val="009E7A38"/>
    <w:rsid w:val="009F0325"/>
    <w:rsid w:val="009F0813"/>
    <w:rsid w:val="009F0DC1"/>
    <w:rsid w:val="009F18AA"/>
    <w:rsid w:val="009F215D"/>
    <w:rsid w:val="009F2D15"/>
    <w:rsid w:val="009F4DBF"/>
    <w:rsid w:val="009F52CC"/>
    <w:rsid w:val="009F6389"/>
    <w:rsid w:val="009F78E3"/>
    <w:rsid w:val="00A03C52"/>
    <w:rsid w:val="00A0422D"/>
    <w:rsid w:val="00A06239"/>
    <w:rsid w:val="00A0685F"/>
    <w:rsid w:val="00A06A94"/>
    <w:rsid w:val="00A12DF2"/>
    <w:rsid w:val="00A168C5"/>
    <w:rsid w:val="00A17306"/>
    <w:rsid w:val="00A1762F"/>
    <w:rsid w:val="00A203FC"/>
    <w:rsid w:val="00A22859"/>
    <w:rsid w:val="00A23C67"/>
    <w:rsid w:val="00A23F9B"/>
    <w:rsid w:val="00A244D1"/>
    <w:rsid w:val="00A26C15"/>
    <w:rsid w:val="00A26C3A"/>
    <w:rsid w:val="00A30F6E"/>
    <w:rsid w:val="00A31FEA"/>
    <w:rsid w:val="00A32C77"/>
    <w:rsid w:val="00A32FCE"/>
    <w:rsid w:val="00A33283"/>
    <w:rsid w:val="00A33690"/>
    <w:rsid w:val="00A376E3"/>
    <w:rsid w:val="00A40E7F"/>
    <w:rsid w:val="00A41F81"/>
    <w:rsid w:val="00A44DA6"/>
    <w:rsid w:val="00A47337"/>
    <w:rsid w:val="00A4796F"/>
    <w:rsid w:val="00A52F18"/>
    <w:rsid w:val="00A63ABA"/>
    <w:rsid w:val="00A6407C"/>
    <w:rsid w:val="00A66616"/>
    <w:rsid w:val="00A7090A"/>
    <w:rsid w:val="00A7334B"/>
    <w:rsid w:val="00A74D81"/>
    <w:rsid w:val="00A75FA4"/>
    <w:rsid w:val="00A7610D"/>
    <w:rsid w:val="00A76391"/>
    <w:rsid w:val="00A770BC"/>
    <w:rsid w:val="00A77F1D"/>
    <w:rsid w:val="00A812DC"/>
    <w:rsid w:val="00A82CF5"/>
    <w:rsid w:val="00A870DF"/>
    <w:rsid w:val="00A93D4F"/>
    <w:rsid w:val="00A94984"/>
    <w:rsid w:val="00A94AD0"/>
    <w:rsid w:val="00A95EF8"/>
    <w:rsid w:val="00A96B72"/>
    <w:rsid w:val="00A970D6"/>
    <w:rsid w:val="00AA535D"/>
    <w:rsid w:val="00AA5672"/>
    <w:rsid w:val="00AA6956"/>
    <w:rsid w:val="00AB0AC4"/>
    <w:rsid w:val="00AB0B52"/>
    <w:rsid w:val="00AB2FAC"/>
    <w:rsid w:val="00AB4B3B"/>
    <w:rsid w:val="00AB500F"/>
    <w:rsid w:val="00AB5CB9"/>
    <w:rsid w:val="00AB7D11"/>
    <w:rsid w:val="00AC0BC6"/>
    <w:rsid w:val="00AC2872"/>
    <w:rsid w:val="00AC5F1D"/>
    <w:rsid w:val="00AD00FC"/>
    <w:rsid w:val="00AD186A"/>
    <w:rsid w:val="00AD277C"/>
    <w:rsid w:val="00AD38E8"/>
    <w:rsid w:val="00AD4184"/>
    <w:rsid w:val="00AD49D3"/>
    <w:rsid w:val="00AD501E"/>
    <w:rsid w:val="00AE115F"/>
    <w:rsid w:val="00AE338B"/>
    <w:rsid w:val="00AE36A3"/>
    <w:rsid w:val="00AE5E44"/>
    <w:rsid w:val="00AE72B1"/>
    <w:rsid w:val="00AE7E27"/>
    <w:rsid w:val="00AF100B"/>
    <w:rsid w:val="00AF1D4D"/>
    <w:rsid w:val="00AF216A"/>
    <w:rsid w:val="00AF33ED"/>
    <w:rsid w:val="00AF3C03"/>
    <w:rsid w:val="00AF556E"/>
    <w:rsid w:val="00B00248"/>
    <w:rsid w:val="00B02D14"/>
    <w:rsid w:val="00B045AF"/>
    <w:rsid w:val="00B04A87"/>
    <w:rsid w:val="00B065D7"/>
    <w:rsid w:val="00B10CFC"/>
    <w:rsid w:val="00B12851"/>
    <w:rsid w:val="00B22028"/>
    <w:rsid w:val="00B243BE"/>
    <w:rsid w:val="00B26EB9"/>
    <w:rsid w:val="00B2714A"/>
    <w:rsid w:val="00B27C16"/>
    <w:rsid w:val="00B32467"/>
    <w:rsid w:val="00B33ABF"/>
    <w:rsid w:val="00B355BB"/>
    <w:rsid w:val="00B36822"/>
    <w:rsid w:val="00B37F59"/>
    <w:rsid w:val="00B4033F"/>
    <w:rsid w:val="00B4505D"/>
    <w:rsid w:val="00B453BC"/>
    <w:rsid w:val="00B5066D"/>
    <w:rsid w:val="00B5281F"/>
    <w:rsid w:val="00B56D98"/>
    <w:rsid w:val="00B60FE6"/>
    <w:rsid w:val="00B62580"/>
    <w:rsid w:val="00B62A84"/>
    <w:rsid w:val="00B71BB4"/>
    <w:rsid w:val="00B72232"/>
    <w:rsid w:val="00B72976"/>
    <w:rsid w:val="00B72BAF"/>
    <w:rsid w:val="00B75CD4"/>
    <w:rsid w:val="00B76500"/>
    <w:rsid w:val="00B77469"/>
    <w:rsid w:val="00B80E3F"/>
    <w:rsid w:val="00B82998"/>
    <w:rsid w:val="00B83A53"/>
    <w:rsid w:val="00B83D0C"/>
    <w:rsid w:val="00B84CCB"/>
    <w:rsid w:val="00B86026"/>
    <w:rsid w:val="00B8668D"/>
    <w:rsid w:val="00B94831"/>
    <w:rsid w:val="00B94ED3"/>
    <w:rsid w:val="00B971F9"/>
    <w:rsid w:val="00BA2EEF"/>
    <w:rsid w:val="00BA618E"/>
    <w:rsid w:val="00BA6D2A"/>
    <w:rsid w:val="00BA7BAD"/>
    <w:rsid w:val="00BA7C80"/>
    <w:rsid w:val="00BB25CB"/>
    <w:rsid w:val="00BB3A65"/>
    <w:rsid w:val="00BC126B"/>
    <w:rsid w:val="00BC17FD"/>
    <w:rsid w:val="00BC2FA9"/>
    <w:rsid w:val="00BC2FE8"/>
    <w:rsid w:val="00BC6974"/>
    <w:rsid w:val="00BD2065"/>
    <w:rsid w:val="00BD3694"/>
    <w:rsid w:val="00BD66D0"/>
    <w:rsid w:val="00BD6F58"/>
    <w:rsid w:val="00BE0A71"/>
    <w:rsid w:val="00BE6569"/>
    <w:rsid w:val="00BE74C6"/>
    <w:rsid w:val="00BF0E49"/>
    <w:rsid w:val="00BF589E"/>
    <w:rsid w:val="00BF6F58"/>
    <w:rsid w:val="00C03332"/>
    <w:rsid w:val="00C03DB3"/>
    <w:rsid w:val="00C05A8A"/>
    <w:rsid w:val="00C05DD2"/>
    <w:rsid w:val="00C062F5"/>
    <w:rsid w:val="00C064CE"/>
    <w:rsid w:val="00C0744A"/>
    <w:rsid w:val="00C10923"/>
    <w:rsid w:val="00C1243A"/>
    <w:rsid w:val="00C12457"/>
    <w:rsid w:val="00C13905"/>
    <w:rsid w:val="00C14421"/>
    <w:rsid w:val="00C16CB8"/>
    <w:rsid w:val="00C1710D"/>
    <w:rsid w:val="00C17D1D"/>
    <w:rsid w:val="00C22BA2"/>
    <w:rsid w:val="00C234DD"/>
    <w:rsid w:val="00C23779"/>
    <w:rsid w:val="00C27A78"/>
    <w:rsid w:val="00C32274"/>
    <w:rsid w:val="00C36C69"/>
    <w:rsid w:val="00C40404"/>
    <w:rsid w:val="00C40928"/>
    <w:rsid w:val="00C429A5"/>
    <w:rsid w:val="00C42B83"/>
    <w:rsid w:val="00C44CD6"/>
    <w:rsid w:val="00C515A1"/>
    <w:rsid w:val="00C517D6"/>
    <w:rsid w:val="00C52368"/>
    <w:rsid w:val="00C52407"/>
    <w:rsid w:val="00C52796"/>
    <w:rsid w:val="00C5535C"/>
    <w:rsid w:val="00C56276"/>
    <w:rsid w:val="00C565E0"/>
    <w:rsid w:val="00C57014"/>
    <w:rsid w:val="00C572E9"/>
    <w:rsid w:val="00C578E8"/>
    <w:rsid w:val="00C62877"/>
    <w:rsid w:val="00C6463C"/>
    <w:rsid w:val="00C64C26"/>
    <w:rsid w:val="00C661B2"/>
    <w:rsid w:val="00C673D6"/>
    <w:rsid w:val="00C676F6"/>
    <w:rsid w:val="00C70927"/>
    <w:rsid w:val="00C71288"/>
    <w:rsid w:val="00C7213E"/>
    <w:rsid w:val="00C72E11"/>
    <w:rsid w:val="00C737DB"/>
    <w:rsid w:val="00C75D67"/>
    <w:rsid w:val="00C77CCE"/>
    <w:rsid w:val="00C81C4C"/>
    <w:rsid w:val="00C82A1C"/>
    <w:rsid w:val="00C82ADC"/>
    <w:rsid w:val="00C83D74"/>
    <w:rsid w:val="00C8434A"/>
    <w:rsid w:val="00C869E0"/>
    <w:rsid w:val="00C878BB"/>
    <w:rsid w:val="00C91444"/>
    <w:rsid w:val="00C93475"/>
    <w:rsid w:val="00C94111"/>
    <w:rsid w:val="00CA3A45"/>
    <w:rsid w:val="00CA5EBF"/>
    <w:rsid w:val="00CA65F6"/>
    <w:rsid w:val="00CA6C7F"/>
    <w:rsid w:val="00CB51F2"/>
    <w:rsid w:val="00CB5365"/>
    <w:rsid w:val="00CB6306"/>
    <w:rsid w:val="00CB6FDA"/>
    <w:rsid w:val="00CC1D2C"/>
    <w:rsid w:val="00CC2878"/>
    <w:rsid w:val="00CC7E58"/>
    <w:rsid w:val="00CD131C"/>
    <w:rsid w:val="00CD2BD7"/>
    <w:rsid w:val="00CD44FE"/>
    <w:rsid w:val="00CD4637"/>
    <w:rsid w:val="00CD4DDE"/>
    <w:rsid w:val="00CD5CB8"/>
    <w:rsid w:val="00CD60EF"/>
    <w:rsid w:val="00CD79C6"/>
    <w:rsid w:val="00CE1D20"/>
    <w:rsid w:val="00CE269E"/>
    <w:rsid w:val="00CE2C33"/>
    <w:rsid w:val="00CE3B28"/>
    <w:rsid w:val="00CF0138"/>
    <w:rsid w:val="00CF0524"/>
    <w:rsid w:val="00CF4882"/>
    <w:rsid w:val="00CF7B40"/>
    <w:rsid w:val="00CF7F8A"/>
    <w:rsid w:val="00D009BD"/>
    <w:rsid w:val="00D00BB1"/>
    <w:rsid w:val="00D01897"/>
    <w:rsid w:val="00D03615"/>
    <w:rsid w:val="00D07404"/>
    <w:rsid w:val="00D15A71"/>
    <w:rsid w:val="00D16C3E"/>
    <w:rsid w:val="00D178B6"/>
    <w:rsid w:val="00D20961"/>
    <w:rsid w:val="00D24E80"/>
    <w:rsid w:val="00D251BB"/>
    <w:rsid w:val="00D2578C"/>
    <w:rsid w:val="00D25A1A"/>
    <w:rsid w:val="00D2775B"/>
    <w:rsid w:val="00D302D4"/>
    <w:rsid w:val="00D33BB6"/>
    <w:rsid w:val="00D342C5"/>
    <w:rsid w:val="00D35DF8"/>
    <w:rsid w:val="00D37730"/>
    <w:rsid w:val="00D42487"/>
    <w:rsid w:val="00D42842"/>
    <w:rsid w:val="00D438FE"/>
    <w:rsid w:val="00D50462"/>
    <w:rsid w:val="00D512F7"/>
    <w:rsid w:val="00D5207A"/>
    <w:rsid w:val="00D529B7"/>
    <w:rsid w:val="00D53F9A"/>
    <w:rsid w:val="00D56236"/>
    <w:rsid w:val="00D56924"/>
    <w:rsid w:val="00D57B97"/>
    <w:rsid w:val="00D60AB6"/>
    <w:rsid w:val="00D61283"/>
    <w:rsid w:val="00D623E6"/>
    <w:rsid w:val="00D62E85"/>
    <w:rsid w:val="00D65D71"/>
    <w:rsid w:val="00D665C7"/>
    <w:rsid w:val="00D668CF"/>
    <w:rsid w:val="00D67524"/>
    <w:rsid w:val="00D675DE"/>
    <w:rsid w:val="00D70F1E"/>
    <w:rsid w:val="00D72CFA"/>
    <w:rsid w:val="00D7381F"/>
    <w:rsid w:val="00D73B08"/>
    <w:rsid w:val="00D74E80"/>
    <w:rsid w:val="00D8057A"/>
    <w:rsid w:val="00D82689"/>
    <w:rsid w:val="00D82F7F"/>
    <w:rsid w:val="00D8432E"/>
    <w:rsid w:val="00D84638"/>
    <w:rsid w:val="00D85CA3"/>
    <w:rsid w:val="00D85E81"/>
    <w:rsid w:val="00D87BE1"/>
    <w:rsid w:val="00D91DAC"/>
    <w:rsid w:val="00D93DC8"/>
    <w:rsid w:val="00D9544D"/>
    <w:rsid w:val="00D95916"/>
    <w:rsid w:val="00D979CE"/>
    <w:rsid w:val="00D97F5B"/>
    <w:rsid w:val="00DA595D"/>
    <w:rsid w:val="00DA6E5D"/>
    <w:rsid w:val="00DB0F56"/>
    <w:rsid w:val="00DB158B"/>
    <w:rsid w:val="00DB48C4"/>
    <w:rsid w:val="00DC3968"/>
    <w:rsid w:val="00DC4DC6"/>
    <w:rsid w:val="00DC5D85"/>
    <w:rsid w:val="00DC6EC0"/>
    <w:rsid w:val="00DD076C"/>
    <w:rsid w:val="00DD08A1"/>
    <w:rsid w:val="00DD2F02"/>
    <w:rsid w:val="00DD4CC9"/>
    <w:rsid w:val="00DD5F49"/>
    <w:rsid w:val="00DE247E"/>
    <w:rsid w:val="00DE2ACC"/>
    <w:rsid w:val="00DE2CC4"/>
    <w:rsid w:val="00DE45A9"/>
    <w:rsid w:val="00DE7BD4"/>
    <w:rsid w:val="00DF16B1"/>
    <w:rsid w:val="00DF37D4"/>
    <w:rsid w:val="00DF3D23"/>
    <w:rsid w:val="00DF468E"/>
    <w:rsid w:val="00E00F25"/>
    <w:rsid w:val="00E023B3"/>
    <w:rsid w:val="00E03626"/>
    <w:rsid w:val="00E03813"/>
    <w:rsid w:val="00E03A34"/>
    <w:rsid w:val="00E07A61"/>
    <w:rsid w:val="00E102A7"/>
    <w:rsid w:val="00E16C3E"/>
    <w:rsid w:val="00E25346"/>
    <w:rsid w:val="00E262FC"/>
    <w:rsid w:val="00E26C67"/>
    <w:rsid w:val="00E30719"/>
    <w:rsid w:val="00E30B3D"/>
    <w:rsid w:val="00E344B8"/>
    <w:rsid w:val="00E348DB"/>
    <w:rsid w:val="00E362BD"/>
    <w:rsid w:val="00E37A65"/>
    <w:rsid w:val="00E40645"/>
    <w:rsid w:val="00E408EC"/>
    <w:rsid w:val="00E409A1"/>
    <w:rsid w:val="00E410FD"/>
    <w:rsid w:val="00E442DA"/>
    <w:rsid w:val="00E4588A"/>
    <w:rsid w:val="00E51F00"/>
    <w:rsid w:val="00E521E3"/>
    <w:rsid w:val="00E54B4F"/>
    <w:rsid w:val="00E578B9"/>
    <w:rsid w:val="00E6023C"/>
    <w:rsid w:val="00E638FF"/>
    <w:rsid w:val="00E707E4"/>
    <w:rsid w:val="00E71DB0"/>
    <w:rsid w:val="00E73730"/>
    <w:rsid w:val="00E74F37"/>
    <w:rsid w:val="00E76634"/>
    <w:rsid w:val="00E80EA6"/>
    <w:rsid w:val="00E830B6"/>
    <w:rsid w:val="00E83EB7"/>
    <w:rsid w:val="00E8432C"/>
    <w:rsid w:val="00E847D5"/>
    <w:rsid w:val="00E85F85"/>
    <w:rsid w:val="00E9164D"/>
    <w:rsid w:val="00E944FA"/>
    <w:rsid w:val="00E94A75"/>
    <w:rsid w:val="00E95107"/>
    <w:rsid w:val="00E95989"/>
    <w:rsid w:val="00E96F7A"/>
    <w:rsid w:val="00EA0254"/>
    <w:rsid w:val="00EA0D9F"/>
    <w:rsid w:val="00EA3445"/>
    <w:rsid w:val="00EA6CFF"/>
    <w:rsid w:val="00EB091F"/>
    <w:rsid w:val="00EB0F87"/>
    <w:rsid w:val="00EB2584"/>
    <w:rsid w:val="00EB5230"/>
    <w:rsid w:val="00EB55F6"/>
    <w:rsid w:val="00EB687C"/>
    <w:rsid w:val="00EB78B2"/>
    <w:rsid w:val="00EC06A7"/>
    <w:rsid w:val="00EC1800"/>
    <w:rsid w:val="00EC24F4"/>
    <w:rsid w:val="00EC4ECB"/>
    <w:rsid w:val="00EC6433"/>
    <w:rsid w:val="00EC700D"/>
    <w:rsid w:val="00ED1DDD"/>
    <w:rsid w:val="00ED40CE"/>
    <w:rsid w:val="00ED5F3C"/>
    <w:rsid w:val="00ED6D6F"/>
    <w:rsid w:val="00EE037A"/>
    <w:rsid w:val="00EE094A"/>
    <w:rsid w:val="00EE16B6"/>
    <w:rsid w:val="00EE2F04"/>
    <w:rsid w:val="00EE5573"/>
    <w:rsid w:val="00EE7973"/>
    <w:rsid w:val="00EF12A8"/>
    <w:rsid w:val="00EF41D5"/>
    <w:rsid w:val="00EF420E"/>
    <w:rsid w:val="00EF7930"/>
    <w:rsid w:val="00EF7996"/>
    <w:rsid w:val="00F0121E"/>
    <w:rsid w:val="00F02594"/>
    <w:rsid w:val="00F02D79"/>
    <w:rsid w:val="00F0336F"/>
    <w:rsid w:val="00F03843"/>
    <w:rsid w:val="00F05A17"/>
    <w:rsid w:val="00F1350B"/>
    <w:rsid w:val="00F1487A"/>
    <w:rsid w:val="00F16A34"/>
    <w:rsid w:val="00F16ABF"/>
    <w:rsid w:val="00F252A6"/>
    <w:rsid w:val="00F2619C"/>
    <w:rsid w:val="00F2637B"/>
    <w:rsid w:val="00F325C2"/>
    <w:rsid w:val="00F32DFC"/>
    <w:rsid w:val="00F34DAA"/>
    <w:rsid w:val="00F35751"/>
    <w:rsid w:val="00F35D06"/>
    <w:rsid w:val="00F37F62"/>
    <w:rsid w:val="00F4512C"/>
    <w:rsid w:val="00F47AE3"/>
    <w:rsid w:val="00F53A9A"/>
    <w:rsid w:val="00F55F82"/>
    <w:rsid w:val="00F56ACD"/>
    <w:rsid w:val="00F57856"/>
    <w:rsid w:val="00F64BA1"/>
    <w:rsid w:val="00F65E51"/>
    <w:rsid w:val="00F67486"/>
    <w:rsid w:val="00F70B39"/>
    <w:rsid w:val="00F71436"/>
    <w:rsid w:val="00F7180F"/>
    <w:rsid w:val="00F73C25"/>
    <w:rsid w:val="00F7406C"/>
    <w:rsid w:val="00F749C0"/>
    <w:rsid w:val="00F76BFB"/>
    <w:rsid w:val="00F81399"/>
    <w:rsid w:val="00F83AFD"/>
    <w:rsid w:val="00F83EF4"/>
    <w:rsid w:val="00F84F35"/>
    <w:rsid w:val="00F85D78"/>
    <w:rsid w:val="00F87D11"/>
    <w:rsid w:val="00F87D5C"/>
    <w:rsid w:val="00F90AD1"/>
    <w:rsid w:val="00F91054"/>
    <w:rsid w:val="00F9143D"/>
    <w:rsid w:val="00F935F1"/>
    <w:rsid w:val="00F94B90"/>
    <w:rsid w:val="00F9531E"/>
    <w:rsid w:val="00F97981"/>
    <w:rsid w:val="00FA010E"/>
    <w:rsid w:val="00FA1BD6"/>
    <w:rsid w:val="00FA42F4"/>
    <w:rsid w:val="00FA4FDB"/>
    <w:rsid w:val="00FA5F62"/>
    <w:rsid w:val="00FA6CD5"/>
    <w:rsid w:val="00FA78BA"/>
    <w:rsid w:val="00FB0EF9"/>
    <w:rsid w:val="00FB101F"/>
    <w:rsid w:val="00FB2607"/>
    <w:rsid w:val="00FB31A4"/>
    <w:rsid w:val="00FB377C"/>
    <w:rsid w:val="00FB3834"/>
    <w:rsid w:val="00FB4D85"/>
    <w:rsid w:val="00FC04BE"/>
    <w:rsid w:val="00FC4512"/>
    <w:rsid w:val="00FC5CBC"/>
    <w:rsid w:val="00FC7AC8"/>
    <w:rsid w:val="00FD5005"/>
    <w:rsid w:val="00FE0BB1"/>
    <w:rsid w:val="00FE0C9E"/>
    <w:rsid w:val="00FE2AC2"/>
    <w:rsid w:val="00FE3F6C"/>
    <w:rsid w:val="00FE6451"/>
    <w:rsid w:val="00FF04A0"/>
    <w:rsid w:val="00FF376D"/>
    <w:rsid w:val="00FF4827"/>
    <w:rsid w:val="00FF482C"/>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EAD91413-F4C4-42B1-A343-E9ED1F17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TDC1"/>
    <w:next w:val="Normal"/>
    <w:link w:val="Ttulo1Car"/>
    <w:uiPriority w:val="9"/>
    <w:qFormat/>
    <w:rsid w:val="00F1350B"/>
    <w:pPr>
      <w:numPr>
        <w:numId w:val="8"/>
      </w:numPr>
      <w:spacing w:after="0" w:line="240" w:lineRule="auto"/>
      <w:outlineLvl w:val="0"/>
    </w:pPr>
    <w:rPr>
      <w:b/>
      <w:sz w:val="20"/>
      <w:szCs w:val="20"/>
      <w:lang w:val="es-C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autoRedefine/>
    <w:unhideWhenUsed/>
    <w:qFormat/>
    <w:rsid w:val="00631C55"/>
    <w:pPr>
      <w:spacing w:after="0" w:line="240" w:lineRule="auto"/>
      <w:jc w:val="both"/>
    </w:pPr>
    <w:rPr>
      <w:rFonts w:ascii="Verdana" w:hAnsi="Verdana"/>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631C55"/>
    <w:rPr>
      <w:rFonts w:ascii="Verdana" w:hAnsi="Verdana"/>
      <w:sz w:val="16"/>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Listavistosa-nfasis1">
    <w:name w:val="Colorful List Accent 1"/>
    <w:aliases w:val="Footnote,Párrafo de lista1"/>
    <w:basedOn w:val="Normal"/>
    <w:link w:val="Listavistosa-nfasis1Car"/>
    <w:uiPriority w:val="34"/>
    <w:qFormat/>
    <w:rsid w:val="00631C55"/>
    <w:pPr>
      <w:ind w:left="720"/>
      <w:contextualSpacing/>
      <w:jc w:val="both"/>
    </w:pPr>
    <w:rPr>
      <w:rFonts w:ascii="Verdana" w:hAnsi="Verdana"/>
      <w:sz w:val="16"/>
    </w:rPr>
  </w:style>
  <w:style w:type="character" w:customStyle="1" w:styleId="Listavistosa-nfasis1Car">
    <w:name w:val="Lista vistosa - Énfasis 1 Car"/>
    <w:aliases w:val="Footnote Car,Párrafo de lista1 Car"/>
    <w:link w:val="Listavistosa-nfasis1"/>
    <w:uiPriority w:val="34"/>
    <w:locked/>
    <w:rsid w:val="00631C55"/>
    <w:rPr>
      <w:rFonts w:ascii="Verdana" w:hAnsi="Verdana"/>
      <w:sz w:val="16"/>
      <w:szCs w:val="22"/>
    </w:rPr>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Sombreadovistoso-nfasis1">
    <w:name w:val="Colorful Shading Accent 1"/>
    <w:hidden/>
    <w:uiPriority w:val="99"/>
    <w:semiHidden/>
    <w:rsid w:val="00790114"/>
    <w:rPr>
      <w:sz w:val="22"/>
      <w:szCs w:val="22"/>
    </w:rPr>
  </w:style>
  <w:style w:type="paragraph" w:styleId="TDC1">
    <w:name w:val="toc 1"/>
    <w:basedOn w:val="Normal"/>
    <w:next w:val="Normal"/>
    <w:autoRedefine/>
    <w:uiPriority w:val="39"/>
    <w:unhideWhenUsed/>
    <w:qFormat/>
    <w:rsid w:val="00881D56"/>
    <w:pPr>
      <w:tabs>
        <w:tab w:val="left" w:pos="709"/>
        <w:tab w:val="left" w:pos="8505"/>
      </w:tabs>
      <w:spacing w:after="100"/>
      <w:ind w:left="284" w:right="996"/>
      <w:jc w:val="both"/>
    </w:pPr>
    <w:rPr>
      <w:rFonts w:ascii="Verdana" w:hAnsi="Verdana"/>
      <w:noProof/>
      <w:sz w:val="16"/>
      <w:szCs w:val="16"/>
      <w:lang w:val="es-MX"/>
    </w:rPr>
  </w:style>
  <w:style w:type="character" w:customStyle="1" w:styleId="Ttulo1Car">
    <w:name w:val="Título 1 Car"/>
    <w:link w:val="Ttulo1"/>
    <w:uiPriority w:val="9"/>
    <w:rsid w:val="00F1350B"/>
    <w:rPr>
      <w:rFonts w:ascii="Verdana" w:hAnsi="Verdana"/>
      <w:b/>
      <w:noProof/>
      <w:lang w:val="es-CR"/>
    </w:rPr>
  </w:style>
  <w:style w:type="paragraph" w:customStyle="1" w:styleId="Tabladecuadrcula31">
    <w:name w:val="Tabla de cuadrícula 31"/>
    <w:basedOn w:val="Ttulo1"/>
    <w:next w:val="Normal"/>
    <w:uiPriority w:val="39"/>
    <w:semiHidden/>
    <w:unhideWhenUsed/>
    <w:qFormat/>
    <w:rsid w:val="00D82689"/>
    <w:pPr>
      <w:outlineLvl w:val="9"/>
    </w:pPr>
    <w:rPr>
      <w:lang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styleId="Hipervnculovisitado">
    <w:name w:val="FollowedHyperlink"/>
    <w:uiPriority w:val="99"/>
    <w:semiHidden/>
    <w:unhideWhenUsed/>
    <w:rsid w:val="00881D56"/>
    <w:rPr>
      <w:color w:val="800080"/>
      <w:u w:val="single"/>
    </w:rPr>
  </w:style>
  <w:style w:type="paragraph" w:styleId="Prrafodelista">
    <w:name w:val="List Paragraph"/>
    <w:basedOn w:val="Normal"/>
    <w:uiPriority w:val="34"/>
    <w:qFormat/>
    <w:rsid w:val="00554CD4"/>
    <w:pPr>
      <w:ind w:left="720"/>
    </w:pPr>
  </w:style>
  <w:style w:type="paragraph" w:styleId="TtulodeTDC">
    <w:name w:val="Título de TDC"/>
    <w:basedOn w:val="Ttulo1"/>
    <w:next w:val="Normal"/>
    <w:uiPriority w:val="39"/>
    <w:unhideWhenUsed/>
    <w:qFormat/>
    <w:rsid w:val="00F1350B"/>
    <w:pPr>
      <w:keepNext/>
      <w:keepLines/>
      <w:numPr>
        <w:numId w:val="0"/>
      </w:numPr>
      <w:tabs>
        <w:tab w:val="clear" w:pos="709"/>
        <w:tab w:val="clear" w:pos="8505"/>
      </w:tabs>
      <w:spacing w:before="240" w:line="259" w:lineRule="auto"/>
      <w:ind w:right="0"/>
      <w:jc w:val="left"/>
      <w:outlineLvl w:val="9"/>
    </w:pPr>
    <w:rPr>
      <w:rFonts w:ascii="Calibri Light" w:eastAsia="Times New Roman" w:hAnsi="Calibri Light"/>
      <w:b w:val="0"/>
      <w:noProof w:val="0"/>
      <w:color w:val="2E74B5"/>
      <w:sz w:val="32"/>
      <w:szCs w:val="32"/>
      <w:lang w:val="en-US"/>
    </w:rPr>
  </w:style>
  <w:style w:type="paragraph" w:customStyle="1" w:styleId="Default">
    <w:name w:val="Default"/>
    <w:rsid w:val="003D09F2"/>
    <w:pPr>
      <w:autoSpaceDE w:val="0"/>
      <w:autoSpaceDN w:val="0"/>
      <w:adjustRightInd w:val="0"/>
    </w:pPr>
    <w:rPr>
      <w:rFonts w:ascii="Times New Roman" w:hAnsi="Times New Roman"/>
      <w:color w:val="000000"/>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845053608">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68089235">
      <w:bodyDiv w:val="1"/>
      <w:marLeft w:val="0"/>
      <w:marRight w:val="0"/>
      <w:marTop w:val="0"/>
      <w:marBottom w:val="0"/>
      <w:divBdr>
        <w:top w:val="none" w:sz="0" w:space="0" w:color="auto"/>
        <w:left w:val="none" w:sz="0" w:space="0" w:color="auto"/>
        <w:bottom w:val="none" w:sz="0" w:space="0" w:color="auto"/>
        <w:right w:val="none" w:sz="0" w:space="0" w:color="auto"/>
      </w:divBdr>
    </w:div>
    <w:div w:id="183536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derechoshumanos.gov.co/Prensa/2018/Documents/sentencia-CID-Carvajal-Carvajal-vs-Colombia-181010.pdf" TargetMode="External"/><Relationship Id="rId2" Type="http://schemas.openxmlformats.org/officeDocument/2006/relationships/hyperlink" Target="http://www.corteidh.or.cr/docs/casos/articulos/seriec_365_esp.pdf" TargetMode="External"/><Relationship Id="rId1" Type="http://schemas.openxmlformats.org/officeDocument/2006/relationships/hyperlink" Target="http://www.corteidh.or.cr/docs/casos/articulos/seriec_35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B51FC-0133-4D01-9DF9-4C70D208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3811</Words>
  <Characters>21726</Characters>
  <Application>Microsoft Office Word</Application>
  <DocSecurity>0</DocSecurity>
  <Lines>181</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25487</CharactersWithSpaces>
  <SharedDoc>false</SharedDoc>
  <HLinks>
    <vt:vector size="42" baseType="variant">
      <vt:variant>
        <vt:i4>1572915</vt:i4>
      </vt:variant>
      <vt:variant>
        <vt:i4>20</vt:i4>
      </vt:variant>
      <vt:variant>
        <vt:i4>0</vt:i4>
      </vt:variant>
      <vt:variant>
        <vt:i4>5</vt:i4>
      </vt:variant>
      <vt:variant>
        <vt:lpwstr/>
      </vt:variant>
      <vt:variant>
        <vt:lpwstr>_Toc19780957</vt:lpwstr>
      </vt:variant>
      <vt:variant>
        <vt:i4>1638451</vt:i4>
      </vt:variant>
      <vt:variant>
        <vt:i4>14</vt:i4>
      </vt:variant>
      <vt:variant>
        <vt:i4>0</vt:i4>
      </vt:variant>
      <vt:variant>
        <vt:i4>5</vt:i4>
      </vt:variant>
      <vt:variant>
        <vt:lpwstr/>
      </vt:variant>
      <vt:variant>
        <vt:lpwstr>_Toc19780956</vt:lpwstr>
      </vt:variant>
      <vt:variant>
        <vt:i4>1703987</vt:i4>
      </vt:variant>
      <vt:variant>
        <vt:i4>8</vt:i4>
      </vt:variant>
      <vt:variant>
        <vt:i4>0</vt:i4>
      </vt:variant>
      <vt:variant>
        <vt:i4>5</vt:i4>
      </vt:variant>
      <vt:variant>
        <vt:lpwstr/>
      </vt:variant>
      <vt:variant>
        <vt:lpwstr>_Toc19780955</vt:lpwstr>
      </vt:variant>
      <vt:variant>
        <vt:i4>1769523</vt:i4>
      </vt:variant>
      <vt:variant>
        <vt:i4>2</vt:i4>
      </vt:variant>
      <vt:variant>
        <vt:i4>0</vt:i4>
      </vt:variant>
      <vt:variant>
        <vt:i4>5</vt:i4>
      </vt:variant>
      <vt:variant>
        <vt:lpwstr/>
      </vt:variant>
      <vt:variant>
        <vt:lpwstr>_Toc19780954</vt:lpwstr>
      </vt:variant>
      <vt:variant>
        <vt:i4>2621557</vt:i4>
      </vt:variant>
      <vt:variant>
        <vt:i4>6</vt:i4>
      </vt:variant>
      <vt:variant>
        <vt:i4>0</vt:i4>
      </vt:variant>
      <vt:variant>
        <vt:i4>5</vt:i4>
      </vt:variant>
      <vt:variant>
        <vt:lpwstr>http://www.derechoshumanos.gov.co/Prensa/2018/Documents/sentencia-CID-Carvajal-Carvajal-vs-Colombia-181010.pdf</vt:lpwstr>
      </vt:variant>
      <vt:variant>
        <vt:lpwstr/>
      </vt:variant>
      <vt:variant>
        <vt:i4>5636178</vt:i4>
      </vt:variant>
      <vt:variant>
        <vt:i4>3</vt:i4>
      </vt:variant>
      <vt:variant>
        <vt:i4>0</vt:i4>
      </vt:variant>
      <vt:variant>
        <vt:i4>5</vt:i4>
      </vt:variant>
      <vt:variant>
        <vt:lpwstr>http://www.corteidh.or.cr/docs/casos/articulos/seriec_365_esp.pdf</vt:lpwstr>
      </vt:variant>
      <vt:variant>
        <vt:lpwstr/>
      </vt:variant>
      <vt:variant>
        <vt:i4>5570645</vt:i4>
      </vt:variant>
      <vt:variant>
        <vt:i4>0</vt:i4>
      </vt:variant>
      <vt:variant>
        <vt:i4>0</vt:i4>
      </vt:variant>
      <vt:variant>
        <vt:i4>5</vt:i4>
      </vt:variant>
      <vt:variant>
        <vt:lpwstr>http://www.corteidh.or.cr/docs/casos/articulos/seriec_352_esp.pdf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2019-10-30T17:42:00Z</cp:lastPrinted>
  <dcterms:created xsi:type="dcterms:W3CDTF">2019-11-29T22:36:00Z</dcterms:created>
  <dcterms:modified xsi:type="dcterms:W3CDTF">2019-11-29T22:36:00Z</dcterms:modified>
</cp:coreProperties>
</file>