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065" w:rsidRPr="00081DAC" w:rsidRDefault="00413065" w:rsidP="00081DAC">
      <w:pPr>
        <w:tabs>
          <w:tab w:val="left" w:pos="810"/>
        </w:tabs>
        <w:suppressAutoHyphens/>
        <w:spacing w:after="0" w:line="240" w:lineRule="auto"/>
        <w:jc w:val="right"/>
        <w:rPr>
          <w:rFonts w:cs="Calibri"/>
          <w:sz w:val="20"/>
          <w:szCs w:val="20"/>
          <w:lang w:val="es-PE"/>
        </w:rPr>
      </w:pPr>
      <w:bookmarkStart w:id="0" w:name="_GoBack"/>
      <w:bookmarkEnd w:id="0"/>
    </w:p>
    <w:p w:rsidR="00C202C7" w:rsidRPr="00081DAC" w:rsidRDefault="006C2CDC" w:rsidP="00081DAC">
      <w:pPr>
        <w:tabs>
          <w:tab w:val="left" w:pos="810"/>
        </w:tabs>
        <w:suppressAutoHyphens/>
        <w:spacing w:after="0" w:line="240" w:lineRule="auto"/>
        <w:jc w:val="right"/>
        <w:rPr>
          <w:rFonts w:cs="Calibri"/>
          <w:b/>
          <w:sz w:val="20"/>
          <w:szCs w:val="20"/>
          <w:lang w:val="es-PE"/>
        </w:rPr>
      </w:pPr>
      <w:r w:rsidRPr="00081DAC">
        <w:rPr>
          <w:rFonts w:cs="Calibri"/>
          <w:sz w:val="20"/>
          <w:szCs w:val="20"/>
          <w:lang w:val="es-PE"/>
        </w:rPr>
        <w:t>11 de ju</w:t>
      </w:r>
      <w:r w:rsidR="0062010F" w:rsidRPr="00081DAC">
        <w:rPr>
          <w:rFonts w:cs="Calibri"/>
          <w:sz w:val="20"/>
          <w:szCs w:val="20"/>
          <w:lang w:val="es-PE"/>
        </w:rPr>
        <w:t>l</w:t>
      </w:r>
      <w:r w:rsidRPr="00081DAC">
        <w:rPr>
          <w:rFonts w:cs="Calibri"/>
          <w:sz w:val="20"/>
          <w:szCs w:val="20"/>
          <w:lang w:val="es-PE"/>
        </w:rPr>
        <w:t xml:space="preserve">io </w:t>
      </w:r>
      <w:r w:rsidR="00C202C7" w:rsidRPr="00081DAC">
        <w:rPr>
          <w:rFonts w:cs="Calibri"/>
          <w:sz w:val="20"/>
          <w:szCs w:val="20"/>
          <w:lang w:val="es-PE"/>
        </w:rPr>
        <w:t>de 201</w:t>
      </w:r>
      <w:r w:rsidR="00413065" w:rsidRPr="00081DAC">
        <w:rPr>
          <w:rFonts w:cs="Calibri"/>
          <w:sz w:val="20"/>
          <w:szCs w:val="20"/>
          <w:lang w:val="es-PE"/>
        </w:rPr>
        <w:t>9</w:t>
      </w:r>
    </w:p>
    <w:p w:rsidR="00413065" w:rsidRPr="00081DAC" w:rsidRDefault="00413065" w:rsidP="00081DA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  <w:lang w:val="es-PE"/>
        </w:rPr>
      </w:pPr>
    </w:p>
    <w:p w:rsidR="00C202C7" w:rsidRPr="00081DAC" w:rsidRDefault="00C202C7" w:rsidP="00081DA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sz w:val="20"/>
          <w:szCs w:val="20"/>
          <w:lang w:val="es-PE"/>
        </w:rPr>
      </w:pPr>
      <w:r w:rsidRPr="00081DAC">
        <w:rPr>
          <w:rFonts w:cs="Calibri"/>
          <w:b/>
          <w:sz w:val="20"/>
          <w:szCs w:val="20"/>
          <w:lang w:val="es-PE"/>
        </w:rPr>
        <w:t>REF.:</w:t>
      </w:r>
      <w:bookmarkStart w:id="1" w:name="Peticion_n"/>
      <w:bookmarkEnd w:id="1"/>
      <w:r w:rsidRPr="00081DAC">
        <w:rPr>
          <w:rFonts w:cs="Calibri"/>
          <w:b/>
          <w:sz w:val="20"/>
          <w:szCs w:val="20"/>
          <w:lang w:val="es-PE"/>
        </w:rPr>
        <w:tab/>
        <w:t xml:space="preserve">Caso </w:t>
      </w:r>
      <w:r w:rsidR="00413065" w:rsidRPr="00081DAC">
        <w:rPr>
          <w:rFonts w:cs="Calibri"/>
          <w:b/>
          <w:sz w:val="20"/>
          <w:szCs w:val="20"/>
          <w:lang w:val="es-PE"/>
        </w:rPr>
        <w:t>N</w:t>
      </w:r>
      <w:r w:rsidR="006C2CDC" w:rsidRPr="00081DAC">
        <w:rPr>
          <w:rFonts w:cs="Calibri"/>
          <w:b/>
          <w:sz w:val="20"/>
          <w:szCs w:val="20"/>
          <w:lang w:val="es-PE"/>
        </w:rPr>
        <w:t>o.</w:t>
      </w:r>
      <w:r w:rsidR="00C77F5C" w:rsidRPr="00081DAC">
        <w:rPr>
          <w:rFonts w:cs="Calibri"/>
          <w:b/>
          <w:sz w:val="20"/>
          <w:szCs w:val="20"/>
          <w:lang w:val="es-PE"/>
        </w:rPr>
        <w:t xml:space="preserve"> </w:t>
      </w:r>
      <w:r w:rsidR="006C2CDC" w:rsidRPr="00081DAC">
        <w:rPr>
          <w:rFonts w:cs="Calibri"/>
          <w:b/>
          <w:sz w:val="20"/>
          <w:szCs w:val="20"/>
          <w:lang w:val="es-PE"/>
        </w:rPr>
        <w:t>12.786</w:t>
      </w:r>
    </w:p>
    <w:p w:rsidR="006C2CDC" w:rsidRPr="00081DAC" w:rsidRDefault="006C2CDC" w:rsidP="00081DAC">
      <w:pPr>
        <w:tabs>
          <w:tab w:val="left" w:pos="720"/>
          <w:tab w:val="left" w:pos="810"/>
          <w:tab w:val="center" w:pos="6480"/>
        </w:tabs>
        <w:spacing w:after="0" w:line="240" w:lineRule="auto"/>
        <w:ind w:left="720"/>
        <w:jc w:val="both"/>
        <w:rPr>
          <w:rFonts w:cs="Calibri"/>
          <w:b/>
          <w:sz w:val="20"/>
          <w:szCs w:val="20"/>
          <w:lang w:val="es-CR"/>
        </w:rPr>
      </w:pPr>
      <w:r w:rsidRPr="00081DAC">
        <w:rPr>
          <w:rFonts w:cs="Calibri"/>
          <w:b/>
          <w:sz w:val="20"/>
          <w:szCs w:val="20"/>
          <w:lang w:val="es-ES"/>
        </w:rPr>
        <w:t>Luis Eduardo Guachalá Chimbó y familia</w:t>
      </w:r>
      <w:r w:rsidRPr="00081DAC">
        <w:rPr>
          <w:rFonts w:cs="Calibri"/>
          <w:b/>
          <w:sz w:val="20"/>
          <w:szCs w:val="20"/>
          <w:lang w:val="es-CR"/>
        </w:rPr>
        <w:t xml:space="preserve"> </w:t>
      </w:r>
    </w:p>
    <w:p w:rsidR="00C202C7" w:rsidRPr="00081DAC" w:rsidRDefault="006C2CDC" w:rsidP="00081DAC">
      <w:pPr>
        <w:tabs>
          <w:tab w:val="left" w:pos="720"/>
          <w:tab w:val="left" w:pos="810"/>
          <w:tab w:val="center" w:pos="6480"/>
        </w:tabs>
        <w:spacing w:after="0" w:line="240" w:lineRule="auto"/>
        <w:ind w:left="720"/>
        <w:jc w:val="both"/>
        <w:rPr>
          <w:rFonts w:cs="Calibri"/>
          <w:b/>
          <w:sz w:val="20"/>
          <w:szCs w:val="20"/>
          <w:lang w:val="es-ES_tradnl"/>
        </w:rPr>
      </w:pPr>
      <w:r w:rsidRPr="00081DAC">
        <w:rPr>
          <w:rFonts w:cs="Calibri"/>
          <w:b/>
          <w:sz w:val="20"/>
          <w:szCs w:val="20"/>
          <w:lang w:val="es-CR"/>
        </w:rPr>
        <w:t>Ecuador</w:t>
      </w:r>
    </w:p>
    <w:p w:rsidR="00C77F5C" w:rsidRPr="00081DAC" w:rsidRDefault="00C77F5C" w:rsidP="00081DAC">
      <w:pPr>
        <w:tabs>
          <w:tab w:val="left" w:pos="720"/>
          <w:tab w:val="left" w:pos="810"/>
          <w:tab w:val="center" w:pos="6480"/>
        </w:tabs>
        <w:spacing w:after="0" w:line="240" w:lineRule="auto"/>
        <w:jc w:val="both"/>
        <w:rPr>
          <w:rFonts w:cs="Calibri"/>
          <w:sz w:val="20"/>
          <w:szCs w:val="20"/>
          <w:lang w:val="es-PE"/>
        </w:rPr>
      </w:pPr>
    </w:p>
    <w:p w:rsidR="00C202C7" w:rsidRPr="00081DAC" w:rsidRDefault="00C202C7" w:rsidP="00081DAC">
      <w:pPr>
        <w:tabs>
          <w:tab w:val="left" w:pos="720"/>
          <w:tab w:val="left" w:pos="810"/>
          <w:tab w:val="center" w:pos="6480"/>
        </w:tabs>
        <w:spacing w:after="0" w:line="240" w:lineRule="auto"/>
        <w:jc w:val="both"/>
        <w:rPr>
          <w:rFonts w:cs="Calibri"/>
          <w:sz w:val="20"/>
          <w:szCs w:val="20"/>
          <w:lang w:val="es-PE"/>
        </w:rPr>
      </w:pPr>
      <w:r w:rsidRPr="00081DAC">
        <w:rPr>
          <w:rFonts w:cs="Calibri"/>
          <w:sz w:val="20"/>
          <w:szCs w:val="20"/>
          <w:lang w:val="es-PE"/>
        </w:rPr>
        <w:t>Señor Secretario:</w:t>
      </w:r>
    </w:p>
    <w:p w:rsidR="00C202C7" w:rsidRPr="00081DAC" w:rsidRDefault="00C202C7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val="es-CO"/>
        </w:rPr>
      </w:pPr>
    </w:p>
    <w:p w:rsidR="00413065" w:rsidRPr="00081DAC" w:rsidRDefault="00C202C7" w:rsidP="00081DAC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Calibri"/>
          <w:sz w:val="20"/>
          <w:szCs w:val="20"/>
          <w:lang w:val="es-CO"/>
        </w:rPr>
      </w:pPr>
      <w:r w:rsidRPr="00081DAC">
        <w:rPr>
          <w:rFonts w:ascii="Calibri" w:hAnsi="Calibri" w:cs="Calibri"/>
          <w:sz w:val="20"/>
          <w:szCs w:val="20"/>
          <w:lang w:val="es-CO"/>
        </w:rPr>
        <w:t xml:space="preserve">Tengo el agrado de dirigirme a usted, en nombre de la Comisión Interamericana de Derechos Humanos, con el objeto de presentar ante la Honorable Corte Interamericana de Derechos Humanos el Caso </w:t>
      </w:r>
      <w:r w:rsidR="00413065" w:rsidRPr="00081DAC">
        <w:rPr>
          <w:rFonts w:ascii="Calibri" w:hAnsi="Calibri" w:cs="Calibri"/>
          <w:sz w:val="20"/>
          <w:szCs w:val="20"/>
          <w:lang w:val="es-CO"/>
        </w:rPr>
        <w:t>N</w:t>
      </w:r>
      <w:r w:rsidR="006C2CDC" w:rsidRPr="00081DAC">
        <w:rPr>
          <w:rFonts w:ascii="Calibri" w:hAnsi="Calibri" w:cs="Calibri"/>
          <w:sz w:val="20"/>
          <w:szCs w:val="20"/>
          <w:lang w:val="es-CO"/>
        </w:rPr>
        <w:t>o. 12.786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– </w:t>
      </w:r>
      <w:r w:rsidR="006C2CDC" w:rsidRPr="00081DAC">
        <w:rPr>
          <w:rFonts w:ascii="Calibri" w:hAnsi="Calibri" w:cs="Calibri"/>
          <w:color w:val="auto"/>
          <w:sz w:val="20"/>
          <w:szCs w:val="20"/>
          <w:lang w:val="es-ES"/>
        </w:rPr>
        <w:t>Luis Eduardo Guachalá Chimbó y familia</w:t>
      </w:r>
      <w:r w:rsidR="006C2CDC" w:rsidRPr="00081DAC">
        <w:rPr>
          <w:rFonts w:ascii="Calibri" w:hAnsi="Calibri" w:cs="Calibri"/>
          <w:sz w:val="20"/>
          <w:szCs w:val="20"/>
          <w:lang w:val="es-CO"/>
        </w:rPr>
        <w:t xml:space="preserve"> 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respecto de la República de </w:t>
      </w:r>
      <w:r w:rsidR="006C2CDC" w:rsidRPr="00081DAC">
        <w:rPr>
          <w:rFonts w:ascii="Calibri" w:hAnsi="Calibri" w:cs="Calibri"/>
          <w:sz w:val="20"/>
          <w:szCs w:val="20"/>
          <w:lang w:val="es-CO"/>
        </w:rPr>
        <w:t>Ecuador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(en adelante “el Estado”, “el Estado </w:t>
      </w:r>
      <w:r w:rsidR="006C2CDC" w:rsidRPr="00081DAC">
        <w:rPr>
          <w:rFonts w:ascii="Calibri" w:hAnsi="Calibri" w:cs="Calibri"/>
          <w:sz w:val="20"/>
          <w:szCs w:val="20"/>
          <w:lang w:val="es-CO"/>
        </w:rPr>
        <w:t>ecuatoriano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” </w:t>
      </w:r>
      <w:r w:rsidR="006C2CDC" w:rsidRPr="00081DAC">
        <w:rPr>
          <w:rFonts w:ascii="Calibri" w:hAnsi="Calibri" w:cs="Calibri"/>
          <w:sz w:val="20"/>
          <w:szCs w:val="20"/>
          <w:lang w:val="es-CO"/>
        </w:rPr>
        <w:t>o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“</w:t>
      </w:r>
      <w:r w:rsidR="006C2CDC" w:rsidRPr="00081DAC">
        <w:rPr>
          <w:rFonts w:ascii="Calibri" w:hAnsi="Calibri" w:cs="Calibri"/>
          <w:sz w:val="20"/>
          <w:szCs w:val="20"/>
          <w:lang w:val="es-CO"/>
        </w:rPr>
        <w:t>Ecuador</w:t>
      </w:r>
      <w:r w:rsidR="00413065" w:rsidRPr="00081DAC">
        <w:rPr>
          <w:rFonts w:ascii="Calibri" w:hAnsi="Calibri" w:cs="Calibri"/>
          <w:sz w:val="20"/>
          <w:szCs w:val="20"/>
          <w:lang w:val="es-CO"/>
        </w:rPr>
        <w:t>”).</w:t>
      </w:r>
    </w:p>
    <w:p w:rsidR="00413065" w:rsidRPr="00081DAC" w:rsidRDefault="00413065" w:rsidP="00081DAC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Calibri"/>
          <w:sz w:val="20"/>
          <w:szCs w:val="20"/>
          <w:lang w:val="es-CO"/>
        </w:rPr>
      </w:pPr>
    </w:p>
    <w:p w:rsidR="004933A3" w:rsidRPr="00081DAC" w:rsidRDefault="00413065" w:rsidP="00081D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cs="Calibri"/>
          <w:sz w:val="20"/>
          <w:szCs w:val="20"/>
          <w:lang w:val="es-VE"/>
        </w:rPr>
      </w:pPr>
      <w:r w:rsidRPr="00081DAC">
        <w:rPr>
          <w:rFonts w:cs="Calibri"/>
          <w:sz w:val="20"/>
          <w:szCs w:val="20"/>
          <w:lang w:val="es-CO"/>
        </w:rPr>
        <w:t xml:space="preserve">El presente caso se relaciona con </w:t>
      </w:r>
      <w:r w:rsidR="006C2CDC" w:rsidRPr="00081DAC">
        <w:rPr>
          <w:rFonts w:cs="Calibri"/>
          <w:sz w:val="20"/>
          <w:szCs w:val="20"/>
          <w:lang w:val="es-ES"/>
        </w:rPr>
        <w:t>la desaparición de Luis Eduardo Guachalá Chimbó, persona con discapacidad mental, en enero de 2004</w:t>
      </w:r>
      <w:r w:rsidR="00710BC5" w:rsidRPr="00081DAC">
        <w:rPr>
          <w:rFonts w:cs="Calibri"/>
          <w:sz w:val="20"/>
          <w:szCs w:val="20"/>
          <w:lang w:val="es-ES"/>
        </w:rPr>
        <w:t>,</w:t>
      </w:r>
      <w:r w:rsidR="006C2CDC" w:rsidRPr="00081DAC">
        <w:rPr>
          <w:rFonts w:cs="Calibri"/>
          <w:sz w:val="20"/>
          <w:szCs w:val="20"/>
          <w:lang w:val="es-ES"/>
        </w:rPr>
        <w:t xml:space="preserve"> mientras se encontraba en un centro público de salud mental en la ciudad de Quito, Ecuador</w:t>
      </w:r>
      <w:r w:rsidR="006C2CDC" w:rsidRPr="00081DAC">
        <w:rPr>
          <w:rFonts w:cs="Calibri"/>
          <w:sz w:val="20"/>
          <w:szCs w:val="20"/>
          <w:lang w:val="es-VE"/>
        </w:rPr>
        <w:t>. La CIDH consideró que el Estado vulneró el derecho a la capacidad jurídica (como componente del derecho al reconocimiento de la personalidad jurídica</w:t>
      </w:r>
      <w:r w:rsidR="00710BC5" w:rsidRPr="00081DAC">
        <w:rPr>
          <w:rFonts w:cs="Calibri"/>
          <w:sz w:val="20"/>
          <w:szCs w:val="20"/>
          <w:lang w:val="es-VE"/>
        </w:rPr>
        <w:t>, entre otros derechos</w:t>
      </w:r>
      <w:r w:rsidR="006C2CDC" w:rsidRPr="00081DAC">
        <w:rPr>
          <w:rFonts w:cs="Calibri"/>
          <w:sz w:val="20"/>
          <w:szCs w:val="20"/>
          <w:lang w:val="es-VE"/>
        </w:rPr>
        <w:t>) del señor Guachalá al institucionalizarlo en un centro de salud mental sin su consentimiento informado. Asimismo, la Comisión consider</w:t>
      </w:r>
      <w:r w:rsidR="003228A4" w:rsidRPr="00081DAC">
        <w:rPr>
          <w:rFonts w:cs="Calibri"/>
          <w:sz w:val="20"/>
          <w:szCs w:val="20"/>
          <w:lang w:val="es-VE"/>
        </w:rPr>
        <w:t>ó</w:t>
      </w:r>
      <w:r w:rsidR="006C2CDC" w:rsidRPr="00081DAC">
        <w:rPr>
          <w:rFonts w:cs="Calibri"/>
          <w:sz w:val="20"/>
          <w:szCs w:val="20"/>
          <w:lang w:val="es-VE"/>
        </w:rPr>
        <w:t xml:space="preserve"> que, por tales razones, el internamiento del señor Guachalá constituyó una privación de libertad arbitraria incompatible con la Convención Americana y una forma de discriminación por su condición de discapacidad. </w:t>
      </w:r>
    </w:p>
    <w:p w:rsidR="004933A3" w:rsidRPr="00081DAC" w:rsidRDefault="004933A3" w:rsidP="00081D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cs="Calibri"/>
          <w:sz w:val="20"/>
          <w:szCs w:val="20"/>
          <w:lang w:val="es-VE"/>
        </w:rPr>
      </w:pPr>
    </w:p>
    <w:p w:rsidR="004933A3" w:rsidRPr="00081DAC" w:rsidRDefault="006C2CDC" w:rsidP="00081D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cs="Calibri"/>
          <w:sz w:val="20"/>
          <w:szCs w:val="20"/>
          <w:lang w:val="es-ES"/>
        </w:rPr>
      </w:pPr>
      <w:r w:rsidRPr="00081DAC">
        <w:rPr>
          <w:rFonts w:cs="Calibri"/>
          <w:sz w:val="20"/>
          <w:szCs w:val="20"/>
          <w:lang w:val="es-VE"/>
        </w:rPr>
        <w:t xml:space="preserve">Adicionalmente, </w:t>
      </w:r>
      <w:r w:rsidRPr="00081DAC">
        <w:rPr>
          <w:rFonts w:cs="Calibri"/>
          <w:sz w:val="20"/>
          <w:szCs w:val="20"/>
          <w:lang w:val="es-ES"/>
        </w:rPr>
        <w:t>la CIDH notó que no existe constancia alguna de que el señor Guachalá</w:t>
      </w:r>
      <w:r w:rsidR="009914D6">
        <w:rPr>
          <w:rFonts w:cs="Calibri"/>
          <w:sz w:val="20"/>
          <w:szCs w:val="20"/>
          <w:lang w:val="es-ES"/>
        </w:rPr>
        <w:t>,</w:t>
      </w:r>
      <w:r w:rsidRPr="00081DAC">
        <w:rPr>
          <w:rFonts w:cs="Calibri"/>
          <w:sz w:val="20"/>
          <w:szCs w:val="20"/>
          <w:lang w:val="es-ES"/>
        </w:rPr>
        <w:t xml:space="preserve"> mientras se encontraba institucionalizado</w:t>
      </w:r>
      <w:r w:rsidR="009914D6">
        <w:rPr>
          <w:rFonts w:cs="Calibri"/>
          <w:sz w:val="20"/>
          <w:szCs w:val="20"/>
          <w:lang w:val="es-ES"/>
        </w:rPr>
        <w:t>,</w:t>
      </w:r>
      <w:r w:rsidRPr="00081DAC">
        <w:rPr>
          <w:rFonts w:cs="Calibri"/>
          <w:sz w:val="20"/>
          <w:szCs w:val="20"/>
          <w:lang w:val="es-ES"/>
        </w:rPr>
        <w:t xml:space="preserve"> haya contado con información sobre su diagnóstico y tratamiento disponible y que haya ofrecido su consentimiento a efectos de recibir dicho tratamiento. De esta manera, la Comisión determinó que el centro médico realizó una intervención</w:t>
      </w:r>
      <w:r w:rsidR="001E30F2" w:rsidRPr="00081DAC">
        <w:rPr>
          <w:rFonts w:cs="Calibri"/>
          <w:sz w:val="20"/>
          <w:szCs w:val="20"/>
          <w:lang w:val="es-ES"/>
        </w:rPr>
        <w:t xml:space="preserve"> que puede ser calificada como</w:t>
      </w:r>
      <w:r w:rsidRPr="00081DAC">
        <w:rPr>
          <w:rFonts w:cs="Calibri"/>
          <w:sz w:val="20"/>
          <w:szCs w:val="20"/>
          <w:lang w:val="es-ES"/>
        </w:rPr>
        <w:t xml:space="preserve"> paternalista</w:t>
      </w:r>
      <w:r w:rsidR="001E30F2" w:rsidRPr="00081DAC">
        <w:rPr>
          <w:rFonts w:cs="Calibri"/>
          <w:sz w:val="20"/>
          <w:szCs w:val="20"/>
          <w:lang w:val="es-ES"/>
        </w:rPr>
        <w:t xml:space="preserve"> e</w:t>
      </w:r>
      <w:r w:rsidRPr="00081DAC">
        <w:rPr>
          <w:rFonts w:cs="Calibri"/>
          <w:sz w:val="20"/>
          <w:szCs w:val="20"/>
          <w:lang w:val="es-ES"/>
        </w:rPr>
        <w:t xml:space="preserve"> injustificada toda vez que, al cercenarle su capacidad jurídica sin buscar obtener su consentimiento previo, libre, pleno e informado, restringió la autonomía, integridad y salud del señor Guachalá para tomar una decisión sobre su salud mental mediante el tratamiento médico ejercido. La Comisión también consideró que el Estado vulneró los derechos a la vida e integridad persona</w:t>
      </w:r>
      <w:r w:rsidR="009914D6">
        <w:rPr>
          <w:rFonts w:cs="Calibri"/>
          <w:sz w:val="20"/>
          <w:szCs w:val="20"/>
          <w:lang w:val="es-ES"/>
        </w:rPr>
        <w:t>l del señor Guachalá debido al</w:t>
      </w:r>
      <w:r w:rsidRPr="00081DAC">
        <w:rPr>
          <w:rFonts w:cs="Calibri"/>
          <w:sz w:val="20"/>
          <w:szCs w:val="20"/>
          <w:lang w:val="es-ES"/>
        </w:rPr>
        <w:t xml:space="preserve"> </w:t>
      </w:r>
      <w:r w:rsidR="009914D6">
        <w:rPr>
          <w:rFonts w:cs="Calibri"/>
          <w:sz w:val="20"/>
          <w:szCs w:val="20"/>
          <w:lang w:val="es-ES"/>
        </w:rPr>
        <w:t xml:space="preserve">incumplimiento de su </w:t>
      </w:r>
      <w:r w:rsidRPr="00081DAC">
        <w:rPr>
          <w:rFonts w:cs="Calibri"/>
          <w:sz w:val="20"/>
          <w:szCs w:val="20"/>
          <w:lang w:val="es-ES"/>
        </w:rPr>
        <w:t xml:space="preserve">deber de investigar seriamente los hechos para lograr su debido esclarecimiento así como de la presunción de responsabilidad cuando una persona desaparece bajo la custodia del Estado. </w:t>
      </w:r>
    </w:p>
    <w:p w:rsidR="004933A3" w:rsidRPr="00081DAC" w:rsidRDefault="004933A3" w:rsidP="00081D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cs="Calibri"/>
          <w:sz w:val="20"/>
          <w:szCs w:val="20"/>
          <w:lang w:val="es-ES"/>
        </w:rPr>
      </w:pPr>
    </w:p>
    <w:p w:rsidR="006C2CDC" w:rsidRPr="00081DAC" w:rsidRDefault="006C2CDC" w:rsidP="00081DA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20"/>
        <w:jc w:val="both"/>
        <w:rPr>
          <w:rFonts w:cs="Calibri"/>
          <w:sz w:val="20"/>
          <w:szCs w:val="20"/>
          <w:lang w:val="es-ES"/>
        </w:rPr>
      </w:pPr>
      <w:r w:rsidRPr="00081DAC">
        <w:rPr>
          <w:rFonts w:cs="Calibri"/>
          <w:sz w:val="20"/>
          <w:szCs w:val="20"/>
          <w:lang w:val="es-ES"/>
        </w:rPr>
        <w:t xml:space="preserve">Asimismo, la CIDH consideró que el Estado ecuatoriano violó los derechos a las garantías judiciales y protección judicial en tanto i) </w:t>
      </w:r>
      <w:r w:rsidRPr="00081DAC">
        <w:rPr>
          <w:rFonts w:cs="Calibri"/>
          <w:sz w:val="20"/>
          <w:szCs w:val="20"/>
          <w:lang w:val="es-PE" w:eastAsia="ko-KR"/>
        </w:rPr>
        <w:t xml:space="preserve">ni la investigación penal, administrativa, ni los recursos de </w:t>
      </w:r>
      <w:r w:rsidRPr="00081DAC">
        <w:rPr>
          <w:rFonts w:cs="Calibri"/>
          <w:sz w:val="20"/>
          <w:szCs w:val="20"/>
          <w:lang w:val="es-ES"/>
        </w:rPr>
        <w:t>exhibición</w:t>
      </w:r>
      <w:r w:rsidRPr="00081DAC">
        <w:rPr>
          <w:rFonts w:cs="Calibri"/>
          <w:sz w:val="20"/>
          <w:szCs w:val="20"/>
          <w:lang w:val="es-PE" w:eastAsia="ko-KR"/>
        </w:rPr>
        <w:t xml:space="preserve"> personal y queja ante la Defensoría del Pueblo, fueron llevados a cabo con la debida diligencia que era exigible a las autoridades a cargo de los procesos internos en el presente caso</w:t>
      </w:r>
      <w:r w:rsidRPr="00081DAC">
        <w:rPr>
          <w:rFonts w:cs="Calibri"/>
          <w:sz w:val="20"/>
          <w:szCs w:val="20"/>
          <w:lang w:val="es-ES"/>
        </w:rPr>
        <w:t xml:space="preserve">; y ii) </w:t>
      </w:r>
      <w:r w:rsidRPr="00081DAC">
        <w:rPr>
          <w:rFonts w:cs="Calibri"/>
          <w:sz w:val="20"/>
          <w:szCs w:val="20"/>
          <w:lang w:val="es-ES_tradnl"/>
        </w:rPr>
        <w:t xml:space="preserve">los casi 16 años que han transcurrido desde la interposición de la denuncia sin que el Estado haya logrado esclarecer los hechos, determinar las sanciones aplicables e identificar el destino o paradero de Luis Eduardo Guachalá, constituye un plazo excesivo que no ha sido justificado adecuadamente. </w:t>
      </w:r>
      <w:r w:rsidRPr="00081DAC">
        <w:rPr>
          <w:rFonts w:cs="Calibri"/>
          <w:sz w:val="20"/>
          <w:szCs w:val="20"/>
          <w:lang w:val="es-ES"/>
        </w:rPr>
        <w:t xml:space="preserve">Finalmente, la Comisión consideró que Ecuador violó el derecho a la integridad personal de la madre del señor Guachalá y su núcleo familiar en tanto </w:t>
      </w:r>
      <w:r w:rsidRPr="00081DAC">
        <w:rPr>
          <w:rFonts w:cs="Calibri"/>
          <w:sz w:val="20"/>
          <w:szCs w:val="20"/>
          <w:lang w:val="es-CO"/>
        </w:rPr>
        <w:t>sufrieron profundamente por la desaparición de su ser querido, lo que se ha venido agravando y profundizando como consecuencia de la falta de esclarecimiento y justicia sobre las circunstancias de la misma.</w:t>
      </w:r>
    </w:p>
    <w:p w:rsidR="00413065" w:rsidRPr="00081DAC" w:rsidRDefault="00413065" w:rsidP="00081DAC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Calibri"/>
          <w:sz w:val="20"/>
          <w:szCs w:val="20"/>
          <w:lang w:val="es-CO"/>
        </w:rPr>
      </w:pPr>
    </w:p>
    <w:p w:rsidR="00325DC3" w:rsidRPr="00081DAC" w:rsidRDefault="00325DC3" w:rsidP="00081DAC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720"/>
        <w:jc w:val="both"/>
        <w:rPr>
          <w:rFonts w:ascii="Calibri" w:hAnsi="Calibri" w:cs="Calibri"/>
          <w:sz w:val="20"/>
          <w:szCs w:val="20"/>
          <w:lang w:val="es-CO"/>
        </w:rPr>
      </w:pPr>
    </w:p>
    <w:p w:rsidR="00325DC3" w:rsidRPr="00081DAC" w:rsidRDefault="00325DC3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napToGrid w:val="0"/>
          <w:sz w:val="20"/>
          <w:szCs w:val="20"/>
          <w:lang w:val="es-CO"/>
        </w:rPr>
      </w:pPr>
      <w:r w:rsidRPr="00081DAC">
        <w:rPr>
          <w:rFonts w:cs="Calibri"/>
          <w:snapToGrid w:val="0"/>
          <w:sz w:val="20"/>
          <w:szCs w:val="20"/>
          <w:lang w:val="es-ES_tradnl"/>
        </w:rPr>
        <w:t>Señor</w:t>
      </w:r>
    </w:p>
    <w:p w:rsidR="00081DAC" w:rsidRPr="00081DAC" w:rsidRDefault="00325DC3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napToGrid w:val="0"/>
          <w:sz w:val="20"/>
          <w:szCs w:val="20"/>
          <w:lang w:val="es-CO"/>
        </w:rPr>
      </w:pPr>
      <w:r w:rsidRPr="00081DAC">
        <w:rPr>
          <w:rFonts w:cs="Calibri"/>
          <w:snapToGrid w:val="0"/>
          <w:sz w:val="20"/>
          <w:szCs w:val="20"/>
          <w:lang w:val="es-CO"/>
        </w:rPr>
        <w:t xml:space="preserve">Pablo </w:t>
      </w:r>
      <w:r w:rsidRPr="00081DAC">
        <w:rPr>
          <w:rFonts w:cs="Calibri"/>
          <w:sz w:val="20"/>
          <w:szCs w:val="20"/>
          <w:lang w:val="es-ES"/>
        </w:rPr>
        <w:t>Saavedra</w:t>
      </w:r>
      <w:r w:rsidR="00081DAC" w:rsidRPr="00081DAC">
        <w:rPr>
          <w:rFonts w:cs="Calibri"/>
          <w:snapToGrid w:val="0"/>
          <w:sz w:val="20"/>
          <w:szCs w:val="20"/>
          <w:lang w:val="es-CO"/>
        </w:rPr>
        <w:t xml:space="preserve"> Alessandri</w:t>
      </w:r>
    </w:p>
    <w:p w:rsidR="00325DC3" w:rsidRPr="00081DAC" w:rsidRDefault="00325DC3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napToGrid w:val="0"/>
          <w:sz w:val="20"/>
          <w:szCs w:val="20"/>
          <w:lang w:val="es-CO"/>
        </w:rPr>
      </w:pPr>
      <w:r w:rsidRPr="00081DAC">
        <w:rPr>
          <w:rFonts w:cs="Calibri"/>
          <w:snapToGrid w:val="0"/>
          <w:sz w:val="20"/>
          <w:szCs w:val="20"/>
          <w:lang w:val="es-CO"/>
        </w:rPr>
        <w:t>Secretario</w:t>
      </w:r>
    </w:p>
    <w:p w:rsidR="00325DC3" w:rsidRPr="00081DAC" w:rsidRDefault="00325DC3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napToGrid w:val="0"/>
          <w:sz w:val="20"/>
          <w:szCs w:val="20"/>
          <w:lang w:val="es-ES_tradnl"/>
        </w:rPr>
      </w:pPr>
      <w:r w:rsidRPr="00081DAC">
        <w:rPr>
          <w:rFonts w:cs="Calibri"/>
          <w:snapToGrid w:val="0"/>
          <w:sz w:val="20"/>
          <w:szCs w:val="20"/>
          <w:lang w:val="es-ES_tradnl"/>
        </w:rPr>
        <w:t>Corte Interamericana de Derechos Humanos</w:t>
      </w:r>
    </w:p>
    <w:p w:rsidR="00325DC3" w:rsidRPr="00081DAC" w:rsidRDefault="00325DC3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napToGrid w:val="0"/>
          <w:sz w:val="20"/>
          <w:szCs w:val="20"/>
          <w:lang w:val="es-ES_tradnl"/>
        </w:rPr>
      </w:pPr>
      <w:r w:rsidRPr="00081DAC">
        <w:rPr>
          <w:rFonts w:cs="Calibri"/>
          <w:snapToGrid w:val="0"/>
          <w:sz w:val="20"/>
          <w:szCs w:val="20"/>
          <w:lang w:val="es-ES_tradnl"/>
        </w:rPr>
        <w:t>San José, Costa Rica</w:t>
      </w:r>
    </w:p>
    <w:p w:rsidR="00413065" w:rsidRPr="00081DAC" w:rsidRDefault="00413065" w:rsidP="00081DAC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  <w:sz w:val="20"/>
          <w:szCs w:val="20"/>
          <w:lang w:val="es-CO"/>
        </w:rPr>
      </w:pPr>
      <w:r w:rsidRPr="00081DAC">
        <w:rPr>
          <w:rFonts w:ascii="Calibri" w:hAnsi="Calibri" w:cs="Calibri"/>
          <w:sz w:val="20"/>
          <w:szCs w:val="20"/>
          <w:lang w:val="es-CO"/>
        </w:rPr>
        <w:lastRenderedPageBreak/>
        <w:t xml:space="preserve">El Estado </w:t>
      </w:r>
      <w:r w:rsidR="004933A3" w:rsidRPr="00081DAC">
        <w:rPr>
          <w:rFonts w:ascii="Calibri" w:hAnsi="Calibri" w:cs="Calibri"/>
          <w:sz w:val="20"/>
          <w:szCs w:val="20"/>
          <w:lang w:val="es-CO"/>
        </w:rPr>
        <w:t>ecuatoriano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ratificó la Convención Americana sobre Derechos Humanos el </w:t>
      </w:r>
      <w:r w:rsidR="004933A3" w:rsidRPr="00081DAC">
        <w:rPr>
          <w:rFonts w:ascii="Calibri" w:hAnsi="Calibri" w:cs="Calibri"/>
          <w:sz w:val="20"/>
          <w:szCs w:val="20"/>
          <w:lang w:val="es-CO"/>
        </w:rPr>
        <w:t>28 de diciembre de 1977 y aceptó la competencia contenciosa de la Corte el 24 de julio de 1984</w:t>
      </w:r>
      <w:r w:rsidRPr="00081DAC">
        <w:rPr>
          <w:rFonts w:ascii="Calibri" w:hAnsi="Calibri" w:cs="Calibri"/>
          <w:sz w:val="20"/>
          <w:szCs w:val="20"/>
          <w:lang w:val="es-CO"/>
        </w:rPr>
        <w:t>.</w:t>
      </w:r>
    </w:p>
    <w:p w:rsidR="00135D7E" w:rsidRPr="00081DAC" w:rsidRDefault="00135D7E" w:rsidP="00081DA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  <w:lang w:val="es-CO"/>
        </w:rPr>
      </w:pPr>
    </w:p>
    <w:p w:rsidR="00C202C7" w:rsidRPr="00081DAC" w:rsidRDefault="00C202C7" w:rsidP="00081DAC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  <w:sz w:val="20"/>
          <w:szCs w:val="20"/>
          <w:lang w:val="es-CO"/>
        </w:rPr>
      </w:pPr>
      <w:r w:rsidRPr="00081DAC">
        <w:rPr>
          <w:rFonts w:ascii="Calibri" w:hAnsi="Calibri" w:cs="Calibri"/>
          <w:sz w:val="20"/>
          <w:szCs w:val="20"/>
          <w:lang w:val="es-CO"/>
        </w:rPr>
        <w:t xml:space="preserve">La CIDH ha designado </w:t>
      </w:r>
      <w:r w:rsidR="00AE0DD1" w:rsidRPr="00081DAC">
        <w:rPr>
          <w:rFonts w:ascii="Calibri" w:hAnsi="Calibri" w:cs="Calibri"/>
          <w:sz w:val="20"/>
          <w:szCs w:val="20"/>
          <w:lang w:val="es-CO"/>
        </w:rPr>
        <w:t>a la Presidenta Esmeralda Arosemena de Troitiño</w:t>
      </w:r>
      <w:r w:rsidR="00D05B09" w:rsidRPr="00081DAC">
        <w:rPr>
          <w:rFonts w:ascii="Calibri" w:hAnsi="Calibri" w:cs="Calibri"/>
          <w:sz w:val="20"/>
          <w:szCs w:val="20"/>
          <w:lang w:val="es-CO"/>
        </w:rPr>
        <w:t xml:space="preserve">, </w:t>
      </w:r>
      <w:r w:rsidRPr="00081DAC">
        <w:rPr>
          <w:rFonts w:ascii="Calibri" w:hAnsi="Calibri" w:cs="Calibri"/>
          <w:sz w:val="20"/>
          <w:szCs w:val="20"/>
          <w:lang w:val="es-CO"/>
        </w:rPr>
        <w:t>al Secretario Ejecutivo Paulo Abr</w:t>
      </w:r>
      <w:r w:rsidRPr="00081DAC">
        <w:rPr>
          <w:rFonts w:ascii="Calibri" w:hAnsi="Calibri" w:cs="Calibri"/>
          <w:sz w:val="20"/>
          <w:szCs w:val="20"/>
          <w:lang w:val="es-PE"/>
        </w:rPr>
        <w:t>ão</w:t>
      </w:r>
      <w:r w:rsidR="00766136" w:rsidRPr="00081DAC">
        <w:rPr>
          <w:rFonts w:ascii="Calibri" w:hAnsi="Calibri" w:cs="Calibri"/>
          <w:sz w:val="20"/>
          <w:szCs w:val="20"/>
          <w:lang w:val="es-PE"/>
        </w:rPr>
        <w:t xml:space="preserve"> y a la Relatora Especial sobre Derechos Económicos, Sociales y Culturales, Soledad García, 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como sus </w:t>
      </w:r>
      <w:r w:rsidR="00105F0F" w:rsidRPr="00081DAC">
        <w:rPr>
          <w:rFonts w:ascii="Calibri" w:hAnsi="Calibri" w:cs="Calibri"/>
          <w:sz w:val="20"/>
          <w:szCs w:val="20"/>
          <w:lang w:val="es-CO"/>
        </w:rPr>
        <w:t>D</w:t>
      </w:r>
      <w:r w:rsidR="00AE0DD1" w:rsidRPr="00081DAC">
        <w:rPr>
          <w:rFonts w:ascii="Calibri" w:hAnsi="Calibri" w:cs="Calibri"/>
          <w:sz w:val="20"/>
          <w:szCs w:val="20"/>
          <w:lang w:val="es-CO"/>
        </w:rPr>
        <w:t>elegada</w:t>
      </w:r>
      <w:r w:rsidR="00766136" w:rsidRPr="00081DAC">
        <w:rPr>
          <w:rFonts w:ascii="Calibri" w:hAnsi="Calibri" w:cs="Calibri"/>
          <w:sz w:val="20"/>
          <w:szCs w:val="20"/>
          <w:lang w:val="es-CO"/>
        </w:rPr>
        <w:t>s</w:t>
      </w:r>
      <w:r w:rsidR="00D05B09" w:rsidRPr="00081DAC">
        <w:rPr>
          <w:rFonts w:ascii="Calibri" w:hAnsi="Calibri" w:cs="Calibri"/>
          <w:sz w:val="20"/>
          <w:szCs w:val="20"/>
          <w:lang w:val="es-CO"/>
        </w:rPr>
        <w:t xml:space="preserve"> y </w:t>
      </w:r>
      <w:r w:rsidR="00FF47D3" w:rsidRPr="00081DAC">
        <w:rPr>
          <w:rFonts w:ascii="Calibri" w:hAnsi="Calibri" w:cs="Calibri"/>
          <w:sz w:val="20"/>
          <w:szCs w:val="20"/>
          <w:lang w:val="es-CO"/>
        </w:rPr>
        <w:t>D</w:t>
      </w:r>
      <w:r w:rsidR="00AE0DD1" w:rsidRPr="00081DAC">
        <w:rPr>
          <w:rFonts w:ascii="Calibri" w:hAnsi="Calibri" w:cs="Calibri"/>
          <w:sz w:val="20"/>
          <w:szCs w:val="20"/>
          <w:lang w:val="es-CO"/>
        </w:rPr>
        <w:t>elegado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. </w:t>
      </w:r>
      <w:r w:rsidR="00105F0F" w:rsidRPr="00081DAC">
        <w:rPr>
          <w:rFonts w:ascii="Calibri" w:hAnsi="Calibri" w:cs="Calibri"/>
          <w:sz w:val="20"/>
          <w:szCs w:val="20"/>
          <w:lang w:val="es-CO"/>
        </w:rPr>
        <w:t xml:space="preserve"> </w:t>
      </w:r>
      <w:r w:rsidRPr="00081DAC">
        <w:rPr>
          <w:rFonts w:ascii="Calibri" w:hAnsi="Calibri" w:cs="Calibri"/>
          <w:sz w:val="20"/>
          <w:szCs w:val="20"/>
          <w:lang w:val="es-CO"/>
        </w:rPr>
        <w:t>Asimismo, Silvia Serrano Guzmán</w:t>
      </w:r>
      <w:r w:rsidR="00766136" w:rsidRPr="00081DAC">
        <w:rPr>
          <w:rFonts w:ascii="Calibri" w:hAnsi="Calibri" w:cs="Calibri"/>
          <w:sz w:val="20"/>
          <w:szCs w:val="20"/>
          <w:lang w:val="es-CO"/>
        </w:rPr>
        <w:t xml:space="preserve">, </w:t>
      </w:r>
      <w:r w:rsidR="004F4D25" w:rsidRPr="00081DAC">
        <w:rPr>
          <w:rFonts w:ascii="Calibri" w:hAnsi="Calibri" w:cs="Calibri"/>
          <w:sz w:val="20"/>
          <w:szCs w:val="20"/>
          <w:lang w:val="es-CO"/>
        </w:rPr>
        <w:t>Erick Acuña Pereda</w:t>
      </w:r>
      <w:r w:rsidR="00766136" w:rsidRPr="00081DAC">
        <w:rPr>
          <w:rFonts w:ascii="Calibri" w:hAnsi="Calibri" w:cs="Calibri"/>
          <w:sz w:val="20"/>
          <w:szCs w:val="20"/>
          <w:lang w:val="es-CO"/>
        </w:rPr>
        <w:t xml:space="preserve"> y Luis </w:t>
      </w:r>
      <w:r w:rsidR="00AE5F3F" w:rsidRPr="00081DAC">
        <w:rPr>
          <w:rFonts w:ascii="Calibri" w:hAnsi="Calibri" w:cs="Calibri"/>
          <w:sz w:val="20"/>
          <w:szCs w:val="20"/>
          <w:lang w:val="es-CO"/>
        </w:rPr>
        <w:t xml:space="preserve">Carlos </w:t>
      </w:r>
      <w:r w:rsidR="00766136" w:rsidRPr="00081DAC">
        <w:rPr>
          <w:rFonts w:ascii="Calibri" w:hAnsi="Calibri" w:cs="Calibri"/>
          <w:sz w:val="20"/>
          <w:szCs w:val="20"/>
          <w:lang w:val="es-CO"/>
        </w:rPr>
        <w:t>Buob Concha,</w:t>
      </w:r>
      <w:r w:rsidR="00666A14" w:rsidRPr="00081DAC">
        <w:rPr>
          <w:rFonts w:ascii="Calibri" w:hAnsi="Calibri" w:cs="Calibri"/>
          <w:sz w:val="20"/>
          <w:szCs w:val="20"/>
          <w:lang w:val="es-CO"/>
        </w:rPr>
        <w:t xml:space="preserve"> </w:t>
      </w:r>
      <w:r w:rsidRPr="00081DAC">
        <w:rPr>
          <w:rFonts w:ascii="Calibri" w:hAnsi="Calibri" w:cs="Calibri"/>
          <w:sz w:val="20"/>
          <w:szCs w:val="20"/>
          <w:lang w:val="es-ES"/>
        </w:rPr>
        <w:t>abogada</w:t>
      </w:r>
      <w:r w:rsidR="004F4D25" w:rsidRPr="00081DAC">
        <w:rPr>
          <w:rFonts w:ascii="Calibri" w:hAnsi="Calibri" w:cs="Calibri"/>
          <w:sz w:val="20"/>
          <w:szCs w:val="20"/>
          <w:lang w:val="es-ES"/>
        </w:rPr>
        <w:t xml:space="preserve"> y abogado</w:t>
      </w:r>
      <w:r w:rsidR="00766136" w:rsidRPr="00081DAC">
        <w:rPr>
          <w:rFonts w:ascii="Calibri" w:hAnsi="Calibri" w:cs="Calibri"/>
          <w:sz w:val="20"/>
          <w:szCs w:val="20"/>
          <w:lang w:val="es-ES"/>
        </w:rPr>
        <w:t>s</w:t>
      </w:r>
      <w:r w:rsidRPr="00081DAC">
        <w:rPr>
          <w:rFonts w:ascii="Calibri" w:hAnsi="Calibri" w:cs="Calibri"/>
          <w:sz w:val="20"/>
          <w:szCs w:val="20"/>
          <w:lang w:val="es-ES"/>
        </w:rPr>
        <w:t xml:space="preserve"> de la Secretaría Ejecutiva, </w:t>
      </w:r>
      <w:r w:rsidR="004F3A87" w:rsidRPr="00081DAC">
        <w:rPr>
          <w:rFonts w:ascii="Calibri" w:hAnsi="Calibri" w:cs="Calibri"/>
          <w:sz w:val="20"/>
          <w:szCs w:val="20"/>
          <w:lang w:val="es-CO"/>
        </w:rPr>
        <w:t xml:space="preserve">actuarán como </w:t>
      </w:r>
      <w:r w:rsidR="009914D6">
        <w:rPr>
          <w:rFonts w:ascii="Calibri" w:hAnsi="Calibri" w:cs="Calibri"/>
          <w:sz w:val="20"/>
          <w:szCs w:val="20"/>
          <w:lang w:val="es-CO"/>
        </w:rPr>
        <w:t>A</w:t>
      </w:r>
      <w:r w:rsidR="004F3A87" w:rsidRPr="00081DAC">
        <w:rPr>
          <w:rFonts w:ascii="Calibri" w:hAnsi="Calibri" w:cs="Calibri"/>
          <w:sz w:val="20"/>
          <w:szCs w:val="20"/>
          <w:lang w:val="es-CO"/>
        </w:rPr>
        <w:t>sesor</w:t>
      </w:r>
      <w:r w:rsidR="00B01C88" w:rsidRPr="00081DAC">
        <w:rPr>
          <w:rFonts w:ascii="Calibri" w:hAnsi="Calibri" w:cs="Calibri"/>
          <w:sz w:val="20"/>
          <w:szCs w:val="20"/>
          <w:lang w:val="es-CO"/>
        </w:rPr>
        <w:t>a</w:t>
      </w:r>
      <w:r w:rsidR="004F4D25" w:rsidRPr="00081DAC">
        <w:rPr>
          <w:rFonts w:ascii="Calibri" w:hAnsi="Calibri" w:cs="Calibri"/>
          <w:sz w:val="20"/>
          <w:szCs w:val="20"/>
          <w:lang w:val="es-CO"/>
        </w:rPr>
        <w:t xml:space="preserve"> y </w:t>
      </w:r>
      <w:r w:rsidR="009914D6">
        <w:rPr>
          <w:rFonts w:ascii="Calibri" w:hAnsi="Calibri" w:cs="Calibri"/>
          <w:sz w:val="20"/>
          <w:szCs w:val="20"/>
          <w:lang w:val="es-CO"/>
        </w:rPr>
        <w:t>A</w:t>
      </w:r>
      <w:r w:rsidR="0021685E" w:rsidRPr="00081DAC">
        <w:rPr>
          <w:rFonts w:ascii="Calibri" w:hAnsi="Calibri" w:cs="Calibri"/>
          <w:sz w:val="20"/>
          <w:szCs w:val="20"/>
          <w:lang w:val="es-CO"/>
        </w:rPr>
        <w:t>s</w:t>
      </w:r>
      <w:r w:rsidR="004F4D25" w:rsidRPr="00081DAC">
        <w:rPr>
          <w:rFonts w:ascii="Calibri" w:hAnsi="Calibri" w:cs="Calibri"/>
          <w:sz w:val="20"/>
          <w:szCs w:val="20"/>
          <w:lang w:val="es-CO"/>
        </w:rPr>
        <w:t>esor</w:t>
      </w:r>
      <w:r w:rsidR="009914D6">
        <w:rPr>
          <w:rFonts w:ascii="Calibri" w:hAnsi="Calibri" w:cs="Calibri"/>
          <w:sz w:val="20"/>
          <w:szCs w:val="20"/>
          <w:lang w:val="es-CO"/>
        </w:rPr>
        <w:t>es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</w:t>
      </w:r>
      <w:r w:rsidR="00105F0F" w:rsidRPr="00081DAC">
        <w:rPr>
          <w:rFonts w:ascii="Calibri" w:hAnsi="Calibri" w:cs="Calibri"/>
          <w:sz w:val="20"/>
          <w:szCs w:val="20"/>
          <w:lang w:val="es-CO"/>
        </w:rPr>
        <w:t>L</w:t>
      </w:r>
      <w:r w:rsidRPr="00081DAC">
        <w:rPr>
          <w:rFonts w:ascii="Calibri" w:hAnsi="Calibri" w:cs="Calibri"/>
          <w:sz w:val="20"/>
          <w:szCs w:val="20"/>
          <w:lang w:val="es-CO"/>
        </w:rPr>
        <w:t>egales.</w:t>
      </w:r>
    </w:p>
    <w:p w:rsidR="00C202C7" w:rsidRPr="00081DAC" w:rsidRDefault="00C202C7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  <w:lang w:val="es-CO"/>
        </w:rPr>
      </w:pPr>
    </w:p>
    <w:p w:rsidR="00C202C7" w:rsidRPr="00081DAC" w:rsidRDefault="00C202C7" w:rsidP="00081DAC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  <w:sz w:val="20"/>
          <w:szCs w:val="20"/>
          <w:lang w:val="es-AR"/>
        </w:rPr>
      </w:pPr>
      <w:r w:rsidRPr="00081DAC">
        <w:rPr>
          <w:rFonts w:ascii="Calibri" w:hAnsi="Calibri" w:cs="Calibri"/>
          <w:sz w:val="20"/>
          <w:szCs w:val="20"/>
          <w:lang w:val="es-CO"/>
        </w:rPr>
        <w:t>De conformidad con el artículo 35 del Reglamento de la Corte Interamericana, la Comisión adjunta copia del Informe de Fondo N</w:t>
      </w:r>
      <w:r w:rsidR="004D3B57" w:rsidRPr="00081DAC">
        <w:rPr>
          <w:rFonts w:ascii="Calibri" w:hAnsi="Calibri" w:cs="Calibri"/>
          <w:sz w:val="20"/>
          <w:szCs w:val="20"/>
          <w:lang w:val="es-CO"/>
        </w:rPr>
        <w:t>o.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</w:t>
      </w:r>
      <w:r w:rsidR="004D3B57" w:rsidRPr="00081DAC">
        <w:rPr>
          <w:rFonts w:ascii="Calibri" w:hAnsi="Calibri" w:cs="Calibri"/>
          <w:sz w:val="20"/>
          <w:szCs w:val="20"/>
          <w:lang w:val="es-CO"/>
        </w:rPr>
        <w:t>111</w:t>
      </w:r>
      <w:r w:rsidR="00187CF5" w:rsidRPr="00081DAC">
        <w:rPr>
          <w:rFonts w:ascii="Calibri" w:hAnsi="Calibri" w:cs="Calibri"/>
          <w:sz w:val="20"/>
          <w:szCs w:val="20"/>
          <w:lang w:val="es-CO"/>
        </w:rPr>
        <w:t>/</w:t>
      </w:r>
      <w:r w:rsidR="00413065" w:rsidRPr="00081DAC">
        <w:rPr>
          <w:rFonts w:ascii="Calibri" w:hAnsi="Calibri" w:cs="Calibri"/>
          <w:sz w:val="20"/>
          <w:szCs w:val="20"/>
          <w:lang w:val="es-CO"/>
        </w:rPr>
        <w:t>18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elaborado en observancia del artículo 50 de la Convención, así como copia de la totalidad del expediente ante la Comisión Interamericana (Apéndice I) y los anexos utilizados en la elaboración </w:t>
      </w:r>
      <w:r w:rsidR="00413065" w:rsidRPr="00081DAC">
        <w:rPr>
          <w:rFonts w:ascii="Calibri" w:hAnsi="Calibri" w:cs="Calibri"/>
          <w:sz w:val="20"/>
          <w:szCs w:val="20"/>
          <w:lang w:val="es-CO"/>
        </w:rPr>
        <w:t>de dicho informe</w:t>
      </w:r>
      <w:r w:rsidRPr="00081DAC">
        <w:rPr>
          <w:rFonts w:ascii="Calibri" w:hAnsi="Calibri" w:cs="Calibri"/>
          <w:sz w:val="20"/>
          <w:szCs w:val="20"/>
          <w:lang w:val="es-CO"/>
        </w:rPr>
        <w:t xml:space="preserve"> (Anexos). </w:t>
      </w:r>
    </w:p>
    <w:p w:rsidR="00187CF5" w:rsidRPr="00081DAC" w:rsidRDefault="00187CF5" w:rsidP="00081DAC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16"/>
          <w:szCs w:val="16"/>
          <w:lang w:val="es-ES"/>
        </w:rPr>
      </w:pPr>
    </w:p>
    <w:p w:rsidR="00C202C7" w:rsidRPr="00081DAC" w:rsidRDefault="00413065" w:rsidP="00081DAC">
      <w:pPr>
        <w:pStyle w:val="NormalWeb"/>
        <w:spacing w:before="0" w:beforeAutospacing="0" w:after="0" w:afterAutospacing="0"/>
        <w:ind w:firstLine="720"/>
        <w:jc w:val="both"/>
        <w:rPr>
          <w:rFonts w:ascii="Calibri" w:hAnsi="Calibri" w:cs="Calibri"/>
          <w:sz w:val="20"/>
          <w:szCs w:val="20"/>
          <w:lang w:val="es-AR"/>
        </w:rPr>
      </w:pPr>
      <w:r w:rsidRPr="00081DAC">
        <w:rPr>
          <w:rFonts w:ascii="Calibri" w:hAnsi="Calibri" w:cs="Calibri"/>
          <w:sz w:val="20"/>
          <w:szCs w:val="20"/>
          <w:lang w:val="es-CO"/>
        </w:rPr>
        <w:t>El</w:t>
      </w:r>
      <w:r w:rsidR="00C202C7" w:rsidRPr="00081DAC">
        <w:rPr>
          <w:rFonts w:ascii="Calibri" w:hAnsi="Calibri" w:cs="Calibri"/>
          <w:sz w:val="20"/>
          <w:szCs w:val="20"/>
          <w:lang w:val="es-CO"/>
        </w:rPr>
        <w:t xml:space="preserve"> Informe de Fondo 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 xml:space="preserve">fue notificado al Estado el </w:t>
      </w:r>
      <w:r w:rsidR="008443F6" w:rsidRPr="00081DAC">
        <w:rPr>
          <w:rFonts w:ascii="Calibri" w:hAnsi="Calibri" w:cs="Calibri"/>
          <w:sz w:val="20"/>
          <w:szCs w:val="20"/>
          <w:lang w:val="es-AR"/>
        </w:rPr>
        <w:t>11 de enero de 2019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>, otorgándole dos meses para informar sobre el cumpli</w:t>
      </w:r>
      <w:r w:rsidR="00731C30" w:rsidRPr="00081DAC">
        <w:rPr>
          <w:rFonts w:ascii="Calibri" w:hAnsi="Calibri" w:cs="Calibri"/>
          <w:sz w:val="20"/>
          <w:szCs w:val="20"/>
          <w:lang w:val="es-AR"/>
        </w:rPr>
        <w:t xml:space="preserve">miento de las recomendaciones. 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 xml:space="preserve">La Comisión Interamericana otorgó </w:t>
      </w:r>
      <w:r w:rsidR="000B1993" w:rsidRPr="00081DAC">
        <w:rPr>
          <w:rFonts w:ascii="Calibri" w:hAnsi="Calibri" w:cs="Calibri"/>
          <w:sz w:val="20"/>
          <w:szCs w:val="20"/>
          <w:lang w:val="es-AR"/>
        </w:rPr>
        <w:t>una</w:t>
      </w:r>
      <w:r w:rsidR="006F06D6" w:rsidRPr="00081DAC">
        <w:rPr>
          <w:rFonts w:ascii="Calibri" w:hAnsi="Calibri" w:cs="Calibri"/>
          <w:sz w:val="20"/>
          <w:szCs w:val="20"/>
          <w:lang w:val="es-AR"/>
        </w:rPr>
        <w:t xml:space="preserve"> primera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 xml:space="preserve"> prórroga </w:t>
      </w:r>
      <w:r w:rsidR="000B1993" w:rsidRPr="00081DAC">
        <w:rPr>
          <w:rFonts w:ascii="Calibri" w:hAnsi="Calibri" w:cs="Calibri"/>
          <w:sz w:val="20"/>
          <w:szCs w:val="20"/>
          <w:lang w:val="es-AR"/>
        </w:rPr>
        <w:t xml:space="preserve">de tres meses 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 xml:space="preserve">al </w:t>
      </w:r>
      <w:r w:rsidRPr="00081DAC">
        <w:rPr>
          <w:rFonts w:ascii="Calibri" w:hAnsi="Calibri" w:cs="Calibri"/>
          <w:sz w:val="20"/>
          <w:szCs w:val="20"/>
          <w:lang w:val="es-AR"/>
        </w:rPr>
        <w:t xml:space="preserve">Estado </w:t>
      </w:r>
      <w:r w:rsidR="000B1993" w:rsidRPr="00081DAC">
        <w:rPr>
          <w:rFonts w:ascii="Calibri" w:hAnsi="Calibri" w:cs="Calibri"/>
          <w:sz w:val="20"/>
          <w:szCs w:val="20"/>
          <w:lang w:val="es-AR"/>
        </w:rPr>
        <w:t xml:space="preserve">ecuatoriano 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 xml:space="preserve">a fin de que informara sobre el cumplimiento de las recomendaciones. </w:t>
      </w:r>
      <w:r w:rsidR="0063605E" w:rsidRPr="00081DAC">
        <w:rPr>
          <w:rFonts w:ascii="Calibri" w:hAnsi="Calibri" w:cs="Calibri"/>
          <w:sz w:val="20"/>
          <w:szCs w:val="20"/>
          <w:lang w:val="es-AR"/>
        </w:rPr>
        <w:t>En su segundo informe, e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 xml:space="preserve">l Estado </w:t>
      </w:r>
      <w:r w:rsidR="004D0DF8" w:rsidRPr="00081DAC">
        <w:rPr>
          <w:rFonts w:ascii="Calibri" w:hAnsi="Calibri" w:cs="Calibri"/>
          <w:sz w:val="20"/>
          <w:szCs w:val="20"/>
          <w:lang w:val="es-AR"/>
        </w:rPr>
        <w:t>no aportó</w:t>
      </w:r>
      <w:r w:rsidR="00C202C7" w:rsidRPr="00081DAC">
        <w:rPr>
          <w:rFonts w:ascii="Calibri" w:hAnsi="Calibri" w:cs="Calibri"/>
          <w:sz w:val="20"/>
          <w:szCs w:val="20"/>
          <w:lang w:val="es-AR"/>
        </w:rPr>
        <w:t xml:space="preserve"> información</w:t>
      </w:r>
      <w:r w:rsidR="00187CF5" w:rsidRPr="00081DAC">
        <w:rPr>
          <w:rFonts w:ascii="Calibri" w:hAnsi="Calibri" w:cs="Calibri"/>
          <w:sz w:val="20"/>
          <w:szCs w:val="20"/>
          <w:lang w:val="es-AR"/>
        </w:rPr>
        <w:t xml:space="preserve"> </w:t>
      </w:r>
      <w:r w:rsidR="000B1993" w:rsidRPr="00081DAC">
        <w:rPr>
          <w:rFonts w:ascii="Calibri" w:hAnsi="Calibri" w:cs="Calibri"/>
          <w:sz w:val="20"/>
          <w:szCs w:val="20"/>
          <w:lang w:val="es-AR"/>
        </w:rPr>
        <w:t xml:space="preserve">actualizada y detallada </w:t>
      </w:r>
      <w:r w:rsidR="00187CF5" w:rsidRPr="00081DAC">
        <w:rPr>
          <w:rFonts w:ascii="Calibri" w:hAnsi="Calibri" w:cs="Calibri"/>
          <w:sz w:val="20"/>
          <w:szCs w:val="20"/>
          <w:lang w:val="es-AR"/>
        </w:rPr>
        <w:t>sobre avances concretos en el cumplimiento de</w:t>
      </w:r>
      <w:r w:rsidR="0063605E" w:rsidRPr="00081DAC">
        <w:rPr>
          <w:rFonts w:ascii="Calibri" w:hAnsi="Calibri" w:cs="Calibri"/>
          <w:sz w:val="20"/>
          <w:szCs w:val="20"/>
          <w:lang w:val="es-AR"/>
        </w:rPr>
        <w:t xml:space="preserve"> todas las recomendaciones, particularmente las relativas a la reparación integral, la búsqueda de la víctima y la relativa a investigación y justicia.</w:t>
      </w:r>
      <w:r w:rsidR="00195283" w:rsidRPr="00081DAC">
        <w:rPr>
          <w:rFonts w:ascii="Calibri" w:hAnsi="Calibri" w:cs="Calibri"/>
          <w:sz w:val="20"/>
          <w:szCs w:val="20"/>
          <w:lang w:val="es-AR"/>
        </w:rPr>
        <w:t xml:space="preserve"> </w:t>
      </w:r>
    </w:p>
    <w:p w:rsidR="00C202C7" w:rsidRPr="00081DAC" w:rsidRDefault="00C202C7" w:rsidP="00081DAC">
      <w:pPr>
        <w:tabs>
          <w:tab w:val="left" w:pos="810"/>
        </w:tabs>
        <w:spacing w:after="0" w:line="240" w:lineRule="auto"/>
        <w:jc w:val="both"/>
        <w:rPr>
          <w:rFonts w:cs="Calibri"/>
          <w:sz w:val="16"/>
          <w:szCs w:val="16"/>
          <w:lang w:val="es-AR"/>
        </w:rPr>
      </w:pPr>
    </w:p>
    <w:p w:rsidR="00C202C7" w:rsidRPr="00081DAC" w:rsidRDefault="00C202C7" w:rsidP="00081DAC">
      <w:pPr>
        <w:tabs>
          <w:tab w:val="left" w:pos="81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AR"/>
        </w:rPr>
      </w:pPr>
      <w:r w:rsidRPr="00081DAC">
        <w:rPr>
          <w:rFonts w:cs="Calibri"/>
          <w:sz w:val="20"/>
          <w:szCs w:val="20"/>
          <w:lang w:val="es-AR"/>
        </w:rPr>
        <w:t>En virtud de lo anterior, l</w:t>
      </w:r>
      <w:r w:rsidRPr="00081DAC">
        <w:rPr>
          <w:rFonts w:cs="Calibri"/>
          <w:sz w:val="20"/>
          <w:szCs w:val="20"/>
          <w:lang w:val="es-CO"/>
        </w:rPr>
        <w:t>a Comisión Interamericana decidió someter a la jurisdicción de la Corte Interamericana la totalidad de los hechos y violaciones de derechos humanos descritos en el Informe de Fondo N</w:t>
      </w:r>
      <w:r w:rsidR="0057318E" w:rsidRPr="00081DAC">
        <w:rPr>
          <w:rFonts w:cs="Calibri"/>
          <w:sz w:val="20"/>
          <w:szCs w:val="20"/>
          <w:lang w:val="es-CO"/>
        </w:rPr>
        <w:t>o.</w:t>
      </w:r>
      <w:r w:rsidRPr="00081DAC">
        <w:rPr>
          <w:rFonts w:cs="Calibri"/>
          <w:sz w:val="20"/>
          <w:szCs w:val="20"/>
          <w:lang w:val="es-CO"/>
        </w:rPr>
        <w:t xml:space="preserve"> </w:t>
      </w:r>
      <w:r w:rsidR="0057318E" w:rsidRPr="00081DAC">
        <w:rPr>
          <w:rFonts w:cs="Calibri"/>
          <w:sz w:val="20"/>
          <w:szCs w:val="20"/>
          <w:lang w:val="es-CO"/>
        </w:rPr>
        <w:t>111</w:t>
      </w:r>
      <w:r w:rsidRPr="00081DAC">
        <w:rPr>
          <w:rFonts w:cs="Calibri"/>
          <w:sz w:val="20"/>
          <w:szCs w:val="20"/>
          <w:lang w:val="es-CO"/>
        </w:rPr>
        <w:t>/1</w:t>
      </w:r>
      <w:r w:rsidR="00413065" w:rsidRPr="00081DAC">
        <w:rPr>
          <w:rFonts w:cs="Calibri"/>
          <w:sz w:val="20"/>
          <w:szCs w:val="20"/>
          <w:lang w:val="es-CO"/>
        </w:rPr>
        <w:t>8</w:t>
      </w:r>
      <w:r w:rsidRPr="00081DAC">
        <w:rPr>
          <w:rFonts w:cs="Calibri"/>
          <w:sz w:val="20"/>
          <w:szCs w:val="20"/>
          <w:lang w:val="es-CO"/>
        </w:rPr>
        <w:t xml:space="preserve">, ante la necesidad de obtención de justicia </w:t>
      </w:r>
      <w:r w:rsidR="004523AD" w:rsidRPr="00081DAC">
        <w:rPr>
          <w:rFonts w:cs="Calibri"/>
          <w:sz w:val="20"/>
          <w:szCs w:val="20"/>
          <w:lang w:val="es-CO"/>
        </w:rPr>
        <w:t xml:space="preserve">y reparación </w:t>
      </w:r>
      <w:r w:rsidRPr="00081DAC">
        <w:rPr>
          <w:rFonts w:cs="Calibri"/>
          <w:sz w:val="20"/>
          <w:szCs w:val="20"/>
          <w:lang w:val="es-CO"/>
        </w:rPr>
        <w:t>para la</w:t>
      </w:r>
      <w:r w:rsidR="004523AD" w:rsidRPr="00081DAC">
        <w:rPr>
          <w:rFonts w:cs="Calibri"/>
          <w:sz w:val="20"/>
          <w:szCs w:val="20"/>
          <w:lang w:val="es-CO"/>
        </w:rPr>
        <w:t>s</w:t>
      </w:r>
      <w:r w:rsidRPr="00081DAC">
        <w:rPr>
          <w:rFonts w:cs="Calibri"/>
          <w:sz w:val="20"/>
          <w:szCs w:val="20"/>
          <w:lang w:val="es-CO"/>
        </w:rPr>
        <w:t xml:space="preserve"> víctima</w:t>
      </w:r>
      <w:r w:rsidR="004523AD" w:rsidRPr="00081DAC">
        <w:rPr>
          <w:rFonts w:cs="Calibri"/>
          <w:sz w:val="20"/>
          <w:szCs w:val="20"/>
          <w:lang w:val="es-CO"/>
        </w:rPr>
        <w:t>s</w:t>
      </w:r>
      <w:r w:rsidRPr="00081DAC">
        <w:rPr>
          <w:rFonts w:cs="Calibri"/>
          <w:sz w:val="20"/>
          <w:szCs w:val="20"/>
          <w:lang w:val="es-CO"/>
        </w:rPr>
        <w:t xml:space="preserve"> en el caso particular. </w:t>
      </w:r>
    </w:p>
    <w:p w:rsidR="00C202C7" w:rsidRPr="00081DAC" w:rsidRDefault="00C202C7" w:rsidP="00081DAC">
      <w:pPr>
        <w:tabs>
          <w:tab w:val="left" w:pos="0"/>
          <w:tab w:val="left" w:pos="810"/>
        </w:tabs>
        <w:spacing w:after="0" w:line="240" w:lineRule="auto"/>
        <w:jc w:val="both"/>
        <w:rPr>
          <w:rFonts w:cs="Calibri"/>
          <w:sz w:val="16"/>
          <w:szCs w:val="16"/>
          <w:lang w:val="es-AR"/>
        </w:rPr>
      </w:pPr>
    </w:p>
    <w:p w:rsidR="0057318E" w:rsidRPr="00081DAC" w:rsidRDefault="00C202C7" w:rsidP="00081DAC">
      <w:pPr>
        <w:tabs>
          <w:tab w:val="left" w:pos="81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CO"/>
        </w:rPr>
      </w:pPr>
      <w:r w:rsidRPr="00081DAC">
        <w:rPr>
          <w:rFonts w:cs="Calibri"/>
          <w:sz w:val="20"/>
          <w:szCs w:val="20"/>
          <w:lang w:val="es-CO"/>
        </w:rPr>
        <w:t>En ese sentido, la Comisión solicita a la Corte que concluya y declare que el</w:t>
      </w:r>
      <w:r w:rsidRPr="00081DAC">
        <w:rPr>
          <w:rFonts w:cs="Calibri"/>
          <w:sz w:val="20"/>
          <w:szCs w:val="20"/>
          <w:lang w:val="es-CL"/>
        </w:rPr>
        <w:t xml:space="preserve"> Estado de </w:t>
      </w:r>
      <w:r w:rsidR="0057318E" w:rsidRPr="00081DAC">
        <w:rPr>
          <w:rFonts w:cs="Calibri"/>
          <w:sz w:val="20"/>
          <w:szCs w:val="20"/>
          <w:lang w:val="es-CL"/>
        </w:rPr>
        <w:t>Ecuador</w:t>
      </w:r>
      <w:r w:rsidRPr="00081DAC">
        <w:rPr>
          <w:rFonts w:eastAsia="Times New Roman" w:cs="Calibri"/>
          <w:sz w:val="20"/>
          <w:szCs w:val="20"/>
          <w:lang w:val="es-ES_tradnl"/>
        </w:rPr>
        <w:t xml:space="preserve"> es </w:t>
      </w:r>
      <w:r w:rsidRPr="00081DAC">
        <w:rPr>
          <w:rFonts w:cs="Calibri"/>
          <w:sz w:val="20"/>
          <w:szCs w:val="20"/>
          <w:lang w:val="es-VE"/>
        </w:rPr>
        <w:t xml:space="preserve">responsable </w:t>
      </w:r>
      <w:r w:rsidR="001544C9" w:rsidRPr="00081DAC">
        <w:rPr>
          <w:rFonts w:cs="Calibri"/>
          <w:sz w:val="20"/>
          <w:szCs w:val="20"/>
          <w:lang w:val="es-CL"/>
        </w:rPr>
        <w:t xml:space="preserve">por la violación de </w:t>
      </w:r>
      <w:r w:rsidR="0057318E" w:rsidRPr="00081DAC">
        <w:rPr>
          <w:rFonts w:cs="Calibri"/>
          <w:sz w:val="20"/>
          <w:szCs w:val="20"/>
          <w:lang w:val="es-CL"/>
        </w:rPr>
        <w:t xml:space="preserve">los </w:t>
      </w:r>
      <w:r w:rsidR="0057318E" w:rsidRPr="00081DAC">
        <w:rPr>
          <w:rFonts w:cs="Calibri"/>
          <w:sz w:val="20"/>
          <w:szCs w:val="20"/>
          <w:lang w:val="es-CO"/>
        </w:rPr>
        <w:t xml:space="preserve">derechos al reconocimiento a la personalidad jurídica, vida, </w:t>
      </w:r>
      <w:r w:rsidR="0057318E" w:rsidRPr="00081DAC">
        <w:rPr>
          <w:rFonts w:cs="Calibri"/>
          <w:sz w:val="20"/>
          <w:szCs w:val="20"/>
          <w:lang w:val="es-ES"/>
        </w:rPr>
        <w:t>integridad</w:t>
      </w:r>
      <w:r w:rsidR="0057318E" w:rsidRPr="00081DAC">
        <w:rPr>
          <w:rFonts w:cs="Calibri"/>
          <w:sz w:val="20"/>
          <w:szCs w:val="20"/>
          <w:lang w:val="es-CO"/>
        </w:rPr>
        <w:t xml:space="preserve"> personal, libertad personal, igualdad y no di</w:t>
      </w:r>
      <w:r w:rsidR="00735566" w:rsidRPr="00081DAC">
        <w:rPr>
          <w:rFonts w:cs="Calibri"/>
          <w:sz w:val="20"/>
          <w:szCs w:val="20"/>
          <w:lang w:val="es-CO"/>
        </w:rPr>
        <w:t>scriminación, salud,</w:t>
      </w:r>
      <w:r w:rsidR="0057318E" w:rsidRPr="00081DAC">
        <w:rPr>
          <w:rFonts w:cs="Calibri"/>
          <w:sz w:val="20"/>
          <w:szCs w:val="20"/>
          <w:lang w:val="es-CO"/>
        </w:rPr>
        <w:t xml:space="preserve"> garantías judiciales y protección judicial establecidos en los artículos 3, 4.1, 5.1, 7.1, 7.3, 8.1, 13.1, 24, 25.1 y 26 de la Convención Americana, en relación con las obligaciones establecidas en los artículos 1.1 y 2 del mismo instrumento, en perjuicio de Luis Eduardo Guachalá Chimbó y sus familiares en los términos </w:t>
      </w:r>
      <w:r w:rsidR="000B1993" w:rsidRPr="00081DAC">
        <w:rPr>
          <w:rFonts w:cs="Calibri"/>
          <w:sz w:val="20"/>
          <w:szCs w:val="20"/>
          <w:lang w:val="es-CO"/>
        </w:rPr>
        <w:t>establecidos en su</w:t>
      </w:r>
      <w:r w:rsidR="0057318E" w:rsidRPr="00081DAC">
        <w:rPr>
          <w:rFonts w:cs="Calibri"/>
          <w:sz w:val="20"/>
          <w:szCs w:val="20"/>
          <w:lang w:val="es-CO"/>
        </w:rPr>
        <w:t xml:space="preserve"> </w:t>
      </w:r>
      <w:r w:rsidR="000B1993" w:rsidRPr="00081DAC">
        <w:rPr>
          <w:rFonts w:cs="Calibri"/>
          <w:sz w:val="20"/>
          <w:szCs w:val="20"/>
          <w:lang w:val="es-CO"/>
        </w:rPr>
        <w:t>Informe de Fondo.</w:t>
      </w:r>
    </w:p>
    <w:p w:rsidR="001544C9" w:rsidRPr="00081DAC" w:rsidRDefault="001544C9" w:rsidP="00081DAC">
      <w:pPr>
        <w:tabs>
          <w:tab w:val="left" w:pos="810"/>
        </w:tabs>
        <w:spacing w:after="0" w:line="240" w:lineRule="auto"/>
        <w:jc w:val="both"/>
        <w:rPr>
          <w:rFonts w:cs="Calibri"/>
          <w:sz w:val="16"/>
          <w:szCs w:val="16"/>
          <w:lang w:val="es-CL"/>
        </w:rPr>
      </w:pPr>
    </w:p>
    <w:p w:rsidR="00C202C7" w:rsidRPr="00081DAC" w:rsidRDefault="00C202C7" w:rsidP="00081DA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Calibri"/>
          <w:sz w:val="20"/>
          <w:szCs w:val="20"/>
          <w:lang w:val="es-CO"/>
        </w:rPr>
      </w:pPr>
      <w:r w:rsidRPr="00081DAC">
        <w:rPr>
          <w:rFonts w:cs="Calibri"/>
          <w:sz w:val="20"/>
          <w:szCs w:val="20"/>
          <w:lang w:val="es-CO"/>
        </w:rPr>
        <w:t>La Comisión solicita a la Corte Interamericana que establezca las siguientes medidas de reparación:</w:t>
      </w:r>
    </w:p>
    <w:p w:rsidR="00C202C7" w:rsidRPr="00081DAC" w:rsidRDefault="00C202C7" w:rsidP="00081DAC">
      <w:pPr>
        <w:tabs>
          <w:tab w:val="left" w:pos="720"/>
          <w:tab w:val="left" w:pos="810"/>
          <w:tab w:val="left" w:pos="1080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cs="Calibri"/>
          <w:sz w:val="16"/>
          <w:szCs w:val="16"/>
          <w:lang w:val="es-CO"/>
        </w:rPr>
      </w:pPr>
    </w:p>
    <w:p w:rsidR="00731C30" w:rsidRPr="00081DAC" w:rsidRDefault="00731C30" w:rsidP="00081DAC">
      <w:pPr>
        <w:pStyle w:val="Sangradetexto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720" w:firstLine="0"/>
        <w:jc w:val="both"/>
        <w:rPr>
          <w:rFonts w:ascii="Calibri" w:hAnsi="Calibri" w:cs="Calibri"/>
          <w:color w:val="auto"/>
          <w:sz w:val="20"/>
          <w:szCs w:val="20"/>
        </w:rPr>
      </w:pPr>
      <w:r w:rsidRPr="00081DAC">
        <w:rPr>
          <w:rFonts w:ascii="Calibri" w:hAnsi="Calibri" w:cs="Calibri"/>
          <w:color w:val="auto"/>
          <w:sz w:val="20"/>
          <w:szCs w:val="20"/>
        </w:rPr>
        <w:t>Reparar integralmente las violaciones de derechos humanos declaradas en el informe tanto en el aspecto material como inmaterial. El Estado deber</w:t>
      </w:r>
      <w:r w:rsidRPr="00081DAC">
        <w:rPr>
          <w:rFonts w:ascii="Calibri" w:hAnsi="Calibri" w:cs="Calibri"/>
          <w:color w:val="auto"/>
          <w:sz w:val="20"/>
          <w:szCs w:val="20"/>
          <w:lang w:val="es-CO"/>
        </w:rPr>
        <w:t xml:space="preserve">á disponer las medidas de compensación económica y satisfacción. </w:t>
      </w:r>
    </w:p>
    <w:p w:rsidR="00731C30" w:rsidRPr="00081DAC" w:rsidRDefault="00731C30" w:rsidP="00081DAC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720" w:firstLine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731C30" w:rsidRPr="00081DAC" w:rsidRDefault="00731C30" w:rsidP="00081DAC">
      <w:pPr>
        <w:pStyle w:val="Sangradetexto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720" w:firstLine="0"/>
        <w:jc w:val="both"/>
        <w:rPr>
          <w:rFonts w:ascii="Calibri" w:hAnsi="Calibri" w:cs="Calibri"/>
          <w:color w:val="auto"/>
          <w:sz w:val="20"/>
          <w:szCs w:val="20"/>
        </w:rPr>
      </w:pPr>
      <w:r w:rsidRPr="00081DAC">
        <w:rPr>
          <w:rFonts w:ascii="Calibri" w:hAnsi="Calibri" w:cs="Calibri"/>
          <w:color w:val="auto"/>
          <w:sz w:val="20"/>
          <w:szCs w:val="20"/>
        </w:rPr>
        <w:t xml:space="preserve">Emprender una búsqueda, a través de todos los medios disponibles, del destino o paradero de Luis Eduardo Guachalá Chimbó o de sus restos mortales. De ser el caso, disponer mecanismos adecuados de identificación y proceder a la devolución de los restos a los familiares. </w:t>
      </w:r>
    </w:p>
    <w:p w:rsidR="00731C30" w:rsidRPr="00081DAC" w:rsidRDefault="00731C30" w:rsidP="00081DAC">
      <w:pPr>
        <w:pStyle w:val="Listavistosa-nfasis1"/>
        <w:rPr>
          <w:rFonts w:ascii="Calibri" w:hAnsi="Calibri" w:cs="Calibri"/>
          <w:sz w:val="16"/>
          <w:szCs w:val="16"/>
          <w:lang w:val="es-PE"/>
        </w:rPr>
      </w:pPr>
    </w:p>
    <w:p w:rsidR="00731C30" w:rsidRPr="00081DAC" w:rsidRDefault="00731C30" w:rsidP="00081DAC">
      <w:pPr>
        <w:pStyle w:val="Sangradetexto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720" w:firstLine="0"/>
        <w:jc w:val="both"/>
        <w:rPr>
          <w:rFonts w:ascii="Calibri" w:hAnsi="Calibri" w:cs="Calibri"/>
          <w:color w:val="auto"/>
          <w:sz w:val="20"/>
          <w:szCs w:val="20"/>
        </w:rPr>
      </w:pPr>
      <w:r w:rsidRPr="00081DAC">
        <w:rPr>
          <w:rFonts w:ascii="Calibri" w:hAnsi="Calibri" w:cs="Calibri"/>
          <w:color w:val="auto"/>
          <w:sz w:val="20"/>
          <w:szCs w:val="20"/>
        </w:rPr>
        <w:t>En caso de que Luis Eduardo Guachalá Chimbó aparezca con vida, brindarle de manera gratuita y por el tiempo que sea necesario, y en concertación con él, el tratamiento en salud mental que requiera, de conformidad con los estándares establecidos en el informe.</w:t>
      </w:r>
    </w:p>
    <w:p w:rsidR="00731C30" w:rsidRPr="00081DAC" w:rsidRDefault="00731C30" w:rsidP="00081DAC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720" w:firstLine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731C30" w:rsidRPr="00081DAC" w:rsidRDefault="00731C30" w:rsidP="00081DAC">
      <w:pPr>
        <w:pStyle w:val="Sangradetexto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720" w:firstLine="0"/>
        <w:jc w:val="both"/>
        <w:rPr>
          <w:rFonts w:ascii="Calibri" w:hAnsi="Calibri" w:cs="Calibri"/>
          <w:color w:val="auto"/>
          <w:sz w:val="20"/>
          <w:szCs w:val="20"/>
        </w:rPr>
      </w:pPr>
      <w:r w:rsidRPr="00081DAC">
        <w:rPr>
          <w:rFonts w:ascii="Calibri" w:hAnsi="Calibri" w:cs="Calibri"/>
          <w:color w:val="auto"/>
          <w:sz w:val="20"/>
          <w:szCs w:val="20"/>
        </w:rPr>
        <w:t xml:space="preserve">Continuar las investigaciones de manera imparcial, efectiva y dentro de un plazo razonable con el objeto de esclarecer los hechos en forma completa, identificar a los autores e imponer las sanciones que correspondan. </w:t>
      </w:r>
    </w:p>
    <w:p w:rsidR="00731C30" w:rsidRPr="00081DAC" w:rsidRDefault="00731C30" w:rsidP="00081DAC">
      <w:pPr>
        <w:pStyle w:val="Sangradetexto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720" w:firstLine="0"/>
        <w:jc w:val="both"/>
        <w:rPr>
          <w:rFonts w:ascii="Calibri" w:hAnsi="Calibri" w:cs="Calibri"/>
          <w:color w:val="auto"/>
          <w:sz w:val="16"/>
          <w:szCs w:val="16"/>
          <w:lang w:val="es-ES"/>
        </w:rPr>
      </w:pPr>
    </w:p>
    <w:p w:rsidR="00731C30" w:rsidRPr="00081DAC" w:rsidRDefault="00731C30" w:rsidP="00081DAC">
      <w:pPr>
        <w:pStyle w:val="Sangradetextonormal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720" w:firstLine="0"/>
        <w:jc w:val="both"/>
        <w:rPr>
          <w:rFonts w:ascii="Calibri" w:hAnsi="Calibri" w:cs="Calibri"/>
          <w:color w:val="auto"/>
          <w:sz w:val="20"/>
          <w:szCs w:val="20"/>
        </w:rPr>
      </w:pPr>
      <w:r w:rsidRPr="00081DAC">
        <w:rPr>
          <w:rFonts w:ascii="Calibri" w:hAnsi="Calibri" w:cs="Calibri"/>
          <w:color w:val="auto"/>
          <w:sz w:val="20"/>
          <w:szCs w:val="20"/>
          <w:lang w:val="es-ES"/>
        </w:rPr>
        <w:t xml:space="preserve">Disponer medidas de no repetición que incluyan: i) </w:t>
      </w:r>
      <w:r w:rsidRPr="00081DAC">
        <w:rPr>
          <w:rFonts w:ascii="Calibri" w:hAnsi="Calibri" w:cs="Calibri"/>
          <w:color w:val="auto"/>
          <w:sz w:val="20"/>
          <w:szCs w:val="20"/>
        </w:rPr>
        <w:t>Una revisión de la legislación interna y de las prácticas arraigadas en cuando a los procesos de toma de decisión de las personas con discapacidad, a fin de asegurar que tanto el marco normativo como la práctica sea compatible con los estándares internacionales descritos en el informe de fondo; ii</w:t>
      </w:r>
      <w:r w:rsidR="0069274B" w:rsidRPr="00081DAC">
        <w:rPr>
          <w:rFonts w:ascii="Calibri" w:hAnsi="Calibri" w:cs="Calibri"/>
          <w:color w:val="auto"/>
          <w:sz w:val="20"/>
          <w:szCs w:val="20"/>
        </w:rPr>
        <w:t xml:space="preserve"> </w:t>
      </w:r>
      <w:r w:rsidRPr="00081DAC">
        <w:rPr>
          <w:rFonts w:ascii="Calibri" w:hAnsi="Calibri" w:cs="Calibri"/>
          <w:color w:val="auto"/>
          <w:sz w:val="20"/>
          <w:szCs w:val="20"/>
        </w:rPr>
        <w:t xml:space="preserve">)Elaborar un plan integral a efectos de revisar la política de internamiento de personas en instituciones públicas de salud mental y dirigirla hacia la desinstitucionalización conforme a los estándares internacionales en la materia, asegurando las condiciones de seguridad personal y las  garantías necesarias para </w:t>
      </w:r>
      <w:r w:rsidR="0069274B" w:rsidRPr="00081DAC">
        <w:rPr>
          <w:rFonts w:ascii="Calibri" w:hAnsi="Calibri" w:cs="Calibri"/>
          <w:color w:val="auto"/>
          <w:sz w:val="20"/>
          <w:szCs w:val="20"/>
        </w:rPr>
        <w:t xml:space="preserve">su inclusión en la comunidad; </w:t>
      </w:r>
      <w:r w:rsidRPr="00081DAC">
        <w:rPr>
          <w:rFonts w:ascii="Calibri" w:hAnsi="Calibri" w:cs="Calibri"/>
          <w:color w:val="auto"/>
          <w:sz w:val="20"/>
          <w:szCs w:val="20"/>
        </w:rPr>
        <w:t xml:space="preserve">iii) Adoptar medidas específicas para erradicar la coacción y los tratamientos psiquiátricos forzosos así como asegurar el consentimiento informado en materia de salud mental, tanto en lo relativo al internamiento como en lo relativo al tratamiento, conforme a los estándares descritos en el </w:t>
      </w:r>
      <w:r w:rsidR="0069274B" w:rsidRPr="00081DAC">
        <w:rPr>
          <w:rFonts w:ascii="Calibri" w:hAnsi="Calibri" w:cs="Calibri"/>
          <w:color w:val="auto"/>
          <w:sz w:val="20"/>
          <w:szCs w:val="20"/>
        </w:rPr>
        <w:t>informe; y</w:t>
      </w:r>
      <w:r w:rsidRPr="00081DAC">
        <w:rPr>
          <w:rFonts w:ascii="Calibri" w:hAnsi="Calibri" w:cs="Calibri"/>
          <w:color w:val="auto"/>
          <w:sz w:val="20"/>
          <w:szCs w:val="20"/>
        </w:rPr>
        <w:t xml:space="preserve"> iv) Incorporar los componentes del derecho a la salud mental en las estrategias y planes de salud generales, priorizando servicios de atención psicosocial y comunitaria.</w:t>
      </w:r>
    </w:p>
    <w:p w:rsidR="00C202C7" w:rsidRPr="00081DAC" w:rsidRDefault="00C202C7" w:rsidP="00081DAC">
      <w:pPr>
        <w:tabs>
          <w:tab w:val="left" w:pos="720"/>
          <w:tab w:val="left" w:pos="810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cs="Calibri"/>
          <w:sz w:val="20"/>
          <w:szCs w:val="20"/>
          <w:lang w:val="es-ES"/>
        </w:rPr>
      </w:pPr>
    </w:p>
    <w:p w:rsidR="00BA68CB" w:rsidRPr="00081DAC" w:rsidRDefault="00BA68CB" w:rsidP="00081DAC">
      <w:pPr>
        <w:tabs>
          <w:tab w:val="left" w:pos="360"/>
          <w:tab w:val="left" w:pos="720"/>
        </w:tabs>
        <w:spacing w:after="0" w:line="240" w:lineRule="auto"/>
        <w:jc w:val="both"/>
        <w:rPr>
          <w:rFonts w:cs="Calibri"/>
          <w:sz w:val="20"/>
          <w:szCs w:val="20"/>
          <w:lang w:val="es-CO"/>
        </w:rPr>
      </w:pPr>
      <w:r w:rsidRPr="00081DAC">
        <w:rPr>
          <w:rFonts w:cs="Calibri"/>
          <w:sz w:val="20"/>
          <w:szCs w:val="20"/>
          <w:lang w:val="es-CO"/>
        </w:rPr>
        <w:tab/>
      </w:r>
      <w:r w:rsidRPr="00081DAC">
        <w:rPr>
          <w:rFonts w:cs="Calibri"/>
          <w:sz w:val="20"/>
          <w:szCs w:val="20"/>
          <w:lang w:val="es-CO"/>
        </w:rPr>
        <w:tab/>
      </w:r>
      <w:r w:rsidR="0009784A" w:rsidRPr="00081DAC">
        <w:rPr>
          <w:rFonts w:cs="Calibri"/>
          <w:sz w:val="20"/>
          <w:szCs w:val="20"/>
          <w:lang w:val="es-CO"/>
        </w:rPr>
        <w:t>Además de la necesidad de obtención de justicia y reparación, la Comisión destaca que el presente caso</w:t>
      </w:r>
      <w:r w:rsidR="00321AAF" w:rsidRPr="00081DAC">
        <w:rPr>
          <w:rFonts w:cs="Calibri"/>
          <w:sz w:val="20"/>
          <w:szCs w:val="20"/>
          <w:lang w:val="es-CO"/>
        </w:rPr>
        <w:t xml:space="preserve"> involucra cuestiones de orden público interamericano.</w:t>
      </w:r>
      <w:r w:rsidR="0009784A" w:rsidRPr="00081DAC">
        <w:rPr>
          <w:rFonts w:cs="Calibri"/>
          <w:sz w:val="20"/>
          <w:szCs w:val="20"/>
          <w:lang w:val="es-CO"/>
        </w:rPr>
        <w:t xml:space="preserve"> </w:t>
      </w:r>
      <w:r w:rsidR="00321AAF" w:rsidRPr="00081DAC">
        <w:rPr>
          <w:rFonts w:cs="Calibri"/>
          <w:sz w:val="20"/>
          <w:szCs w:val="20"/>
          <w:lang w:val="es-CO"/>
        </w:rPr>
        <w:t xml:space="preserve">Específicamente, la Honorable Corte podrá profundizar su jurisprudencia en cuanto a las obligaciones internacionales de los Estados </w:t>
      </w:r>
      <w:r w:rsidRPr="00081DAC">
        <w:rPr>
          <w:rFonts w:cs="Calibri"/>
          <w:sz w:val="20"/>
          <w:szCs w:val="20"/>
          <w:lang w:val="es-CO"/>
        </w:rPr>
        <w:t>en materia de derechos de las personas con discapacidad,</w:t>
      </w:r>
      <w:r w:rsidR="00321AAF" w:rsidRPr="00081DAC">
        <w:rPr>
          <w:rFonts w:cs="Calibri"/>
          <w:sz w:val="20"/>
          <w:szCs w:val="20"/>
          <w:lang w:val="es-CO"/>
        </w:rPr>
        <w:t xml:space="preserve"> pronunciándose por primera vez </w:t>
      </w:r>
      <w:r w:rsidRPr="00081DAC">
        <w:rPr>
          <w:rFonts w:cs="Calibri"/>
          <w:sz w:val="20"/>
          <w:szCs w:val="20"/>
          <w:lang w:val="es-CO"/>
        </w:rPr>
        <w:t>sobre el derecho a la capacidad jurídica, la institucionalización de personas con discapacidad y su relación con los derechos a la libertad personal, integridad personal, salud y consentimiento informado. Asimismo, la Corte podrá pronunciarse sobre las obligaciones del Estado</w:t>
      </w:r>
      <w:r w:rsidR="00E778A1" w:rsidRPr="00081DAC">
        <w:rPr>
          <w:rFonts w:cs="Calibri"/>
          <w:sz w:val="20"/>
          <w:szCs w:val="20"/>
          <w:lang w:val="es-CO"/>
        </w:rPr>
        <w:t xml:space="preserve"> en materia de búsqueda e investigación</w:t>
      </w:r>
      <w:r w:rsidRPr="00081DAC">
        <w:rPr>
          <w:rFonts w:cs="Calibri"/>
          <w:sz w:val="20"/>
          <w:szCs w:val="20"/>
          <w:lang w:val="es-CO"/>
        </w:rPr>
        <w:t xml:space="preserve"> </w:t>
      </w:r>
      <w:r w:rsidRPr="00081DAC">
        <w:rPr>
          <w:rFonts w:cs="Calibri"/>
          <w:sz w:val="20"/>
          <w:szCs w:val="20"/>
          <w:lang w:val="es-ES"/>
        </w:rPr>
        <w:t>cuando una persona desaparece bajo la custodia del Estado en centro de salud mental.</w:t>
      </w:r>
    </w:p>
    <w:p w:rsidR="00C202C7" w:rsidRPr="00081DAC" w:rsidRDefault="00C202C7" w:rsidP="00081DAC">
      <w:pPr>
        <w:spacing w:after="0" w:line="240" w:lineRule="auto"/>
        <w:jc w:val="both"/>
        <w:rPr>
          <w:rFonts w:cs="Calibri"/>
          <w:sz w:val="20"/>
          <w:szCs w:val="20"/>
          <w:lang w:val="es-ES"/>
        </w:rPr>
      </w:pPr>
    </w:p>
    <w:p w:rsidR="00C202C7" w:rsidRPr="00081DAC" w:rsidRDefault="00C202C7" w:rsidP="00081DA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Calibri"/>
          <w:sz w:val="20"/>
          <w:szCs w:val="20"/>
          <w:lang w:val="es-CL"/>
        </w:rPr>
      </w:pPr>
      <w:r w:rsidRPr="00081DAC">
        <w:rPr>
          <w:rFonts w:cs="Calibri"/>
          <w:sz w:val="20"/>
          <w:szCs w:val="20"/>
          <w:lang w:val="es-CL"/>
        </w:rPr>
        <w:t xml:space="preserve">En virtud de que estas cuestiones afectan de manera relevante el orden público interamericano, de conformidad con el artículo 35.1 f) del Reglamento de la Corte Interamericana, la Comisión se permite </w:t>
      </w:r>
      <w:r w:rsidR="004D0DF8" w:rsidRPr="00081DAC">
        <w:rPr>
          <w:rFonts w:cs="Calibri"/>
          <w:sz w:val="20"/>
          <w:szCs w:val="20"/>
          <w:lang w:val="es-CL"/>
        </w:rPr>
        <w:t>ofrecer las siguientes declaraciones periciales:</w:t>
      </w:r>
    </w:p>
    <w:p w:rsidR="00C202C7" w:rsidRPr="00081DAC" w:rsidRDefault="00C202C7" w:rsidP="00081DAC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right="480"/>
        <w:jc w:val="both"/>
        <w:rPr>
          <w:rFonts w:cs="Calibri"/>
          <w:sz w:val="20"/>
          <w:szCs w:val="20"/>
          <w:lang w:val="es-CL"/>
        </w:rPr>
      </w:pPr>
    </w:p>
    <w:p w:rsidR="00793895" w:rsidRPr="00081DAC" w:rsidRDefault="00793895" w:rsidP="00081DAC">
      <w:pPr>
        <w:tabs>
          <w:tab w:val="left" w:pos="720"/>
          <w:tab w:val="left" w:pos="9214"/>
        </w:tabs>
        <w:spacing w:after="0" w:line="240" w:lineRule="auto"/>
        <w:jc w:val="both"/>
        <w:rPr>
          <w:rFonts w:cs="Calibri"/>
          <w:sz w:val="20"/>
          <w:szCs w:val="20"/>
          <w:lang w:val="es-PE"/>
        </w:rPr>
      </w:pPr>
      <w:r w:rsidRPr="00081DAC">
        <w:rPr>
          <w:rFonts w:cs="Calibri"/>
          <w:b/>
          <w:sz w:val="20"/>
          <w:szCs w:val="20"/>
          <w:lang w:val="es-PE"/>
        </w:rPr>
        <w:tab/>
      </w:r>
      <w:r w:rsidR="0026196C" w:rsidRPr="00081DAC">
        <w:rPr>
          <w:rFonts w:cs="Calibri"/>
          <w:b/>
          <w:sz w:val="20"/>
          <w:szCs w:val="20"/>
          <w:lang w:val="es-PE"/>
        </w:rPr>
        <w:t>Perita/o cuyo nombre será informado a la brevedad</w:t>
      </w:r>
      <w:r w:rsidR="0026196C" w:rsidRPr="00081DAC">
        <w:rPr>
          <w:rFonts w:cs="Calibri"/>
          <w:sz w:val="20"/>
          <w:szCs w:val="20"/>
          <w:lang w:val="es-PE"/>
        </w:rPr>
        <w:t xml:space="preserve">, quien declarará sobre </w:t>
      </w:r>
      <w:r w:rsidR="001B0026" w:rsidRPr="00081DAC">
        <w:rPr>
          <w:rFonts w:cs="Calibri"/>
          <w:sz w:val="20"/>
          <w:szCs w:val="20"/>
          <w:lang w:val="es-ES"/>
        </w:rPr>
        <w:t xml:space="preserve">las obligaciones internacionales de los Estados respecto </w:t>
      </w:r>
      <w:r w:rsidR="005E724F" w:rsidRPr="00081DAC">
        <w:rPr>
          <w:rFonts w:cs="Calibri"/>
          <w:sz w:val="20"/>
          <w:szCs w:val="20"/>
          <w:lang w:val="es-ES"/>
        </w:rPr>
        <w:t xml:space="preserve">de las personas con discapacidad, particularmente </w:t>
      </w:r>
      <w:r w:rsidR="001B0026" w:rsidRPr="00081DAC">
        <w:rPr>
          <w:rFonts w:cs="Calibri"/>
          <w:sz w:val="20"/>
          <w:szCs w:val="20"/>
          <w:lang w:val="es-ES"/>
        </w:rPr>
        <w:t xml:space="preserve">el </w:t>
      </w:r>
      <w:r w:rsidR="005E724F" w:rsidRPr="00081DAC">
        <w:rPr>
          <w:rFonts w:cs="Calibri"/>
          <w:sz w:val="20"/>
          <w:szCs w:val="20"/>
          <w:lang w:val="es-ES"/>
        </w:rPr>
        <w:t xml:space="preserve">derecho al </w:t>
      </w:r>
      <w:r w:rsidR="001B0026" w:rsidRPr="00081DAC">
        <w:rPr>
          <w:rFonts w:cs="Calibri"/>
          <w:sz w:val="20"/>
          <w:szCs w:val="20"/>
          <w:lang w:val="es-ES"/>
        </w:rPr>
        <w:t>reconocimiento de la personalidad jurídica y la capacidad jurídica de</w:t>
      </w:r>
      <w:r w:rsidR="005E724F" w:rsidRPr="00081DAC">
        <w:rPr>
          <w:rFonts w:cs="Calibri"/>
          <w:sz w:val="20"/>
          <w:szCs w:val="20"/>
          <w:lang w:val="es-ES"/>
        </w:rPr>
        <w:t xml:space="preserve"> las</w:t>
      </w:r>
      <w:r w:rsidR="001B0026" w:rsidRPr="00081DAC">
        <w:rPr>
          <w:rFonts w:cs="Calibri"/>
          <w:sz w:val="20"/>
          <w:szCs w:val="20"/>
          <w:lang w:val="es-ES"/>
        </w:rPr>
        <w:t xml:space="preserve"> personas con discapacidad, </w:t>
      </w:r>
      <w:r w:rsidR="005E724F" w:rsidRPr="00081DAC">
        <w:rPr>
          <w:rFonts w:cs="Calibri"/>
          <w:sz w:val="20"/>
          <w:szCs w:val="20"/>
          <w:lang w:val="es-ES"/>
        </w:rPr>
        <w:t xml:space="preserve">con énfasis en las </w:t>
      </w:r>
      <w:r w:rsidR="001B0026" w:rsidRPr="00081DAC">
        <w:rPr>
          <w:rFonts w:cs="Calibri"/>
          <w:sz w:val="20"/>
          <w:szCs w:val="20"/>
          <w:lang w:val="es-ES"/>
        </w:rPr>
        <w:t>personas con discapacidad mental e intelectual.</w:t>
      </w:r>
      <w:r w:rsidR="001B0026" w:rsidRPr="00081DAC">
        <w:rPr>
          <w:rFonts w:cs="Calibri"/>
          <w:b/>
          <w:sz w:val="20"/>
          <w:szCs w:val="20"/>
          <w:lang w:val="es-ES"/>
        </w:rPr>
        <w:t xml:space="preserve"> </w:t>
      </w:r>
      <w:r w:rsidR="00867046" w:rsidRPr="00081DAC">
        <w:rPr>
          <w:rFonts w:cs="Calibri"/>
          <w:sz w:val="20"/>
          <w:szCs w:val="20"/>
          <w:lang w:val="es-ES"/>
        </w:rPr>
        <w:t>Asimismo, el/la perito/a analizará los estándares internacionales en materia de institucionalización de personas con discapacidad y su relación con el</w:t>
      </w:r>
      <w:r w:rsidR="000C4CDF" w:rsidRPr="00081DAC">
        <w:rPr>
          <w:rFonts w:cs="Calibri"/>
          <w:sz w:val="20"/>
          <w:szCs w:val="20"/>
          <w:lang w:val="es-ES"/>
        </w:rPr>
        <w:t xml:space="preserve"> derecho a la libertad personal, </w:t>
      </w:r>
      <w:r w:rsidR="00900346" w:rsidRPr="00081DAC">
        <w:rPr>
          <w:rFonts w:cs="Calibri"/>
          <w:sz w:val="20"/>
          <w:szCs w:val="20"/>
          <w:lang w:val="es-ES"/>
        </w:rPr>
        <w:t>entre otros derechos relevantes.</w:t>
      </w:r>
    </w:p>
    <w:p w:rsidR="004D0DF8" w:rsidRPr="00081DAC" w:rsidRDefault="004D0DF8" w:rsidP="00081DAC">
      <w:pPr>
        <w:tabs>
          <w:tab w:val="left" w:pos="720"/>
          <w:tab w:val="left" w:pos="9214"/>
        </w:tabs>
        <w:spacing w:after="0" w:line="240" w:lineRule="auto"/>
        <w:jc w:val="both"/>
        <w:rPr>
          <w:rFonts w:cs="Calibri"/>
          <w:sz w:val="20"/>
          <w:szCs w:val="20"/>
          <w:lang w:val="es-ES_tradnl" w:eastAsia="ar-SA"/>
        </w:rPr>
      </w:pPr>
      <w:r w:rsidRPr="00081DAC">
        <w:rPr>
          <w:rFonts w:eastAsia="Times New Roman" w:cs="Calibri"/>
          <w:sz w:val="20"/>
          <w:szCs w:val="20"/>
          <w:lang w:val="es-ES_tradnl"/>
        </w:rPr>
        <w:tab/>
      </w:r>
      <w:r w:rsidRPr="00081DAC">
        <w:rPr>
          <w:rFonts w:cs="Calibri"/>
          <w:sz w:val="20"/>
          <w:szCs w:val="20"/>
          <w:lang w:val="es-ES_tradnl" w:eastAsia="ar-SA"/>
        </w:rPr>
        <w:t xml:space="preserve"> </w:t>
      </w:r>
    </w:p>
    <w:p w:rsidR="00243EAF" w:rsidRPr="00081DAC" w:rsidRDefault="004D0DF8" w:rsidP="00081DAC">
      <w:pPr>
        <w:tabs>
          <w:tab w:val="left" w:pos="720"/>
          <w:tab w:val="left" w:pos="2880"/>
        </w:tabs>
        <w:spacing w:after="0" w:line="240" w:lineRule="auto"/>
        <w:jc w:val="both"/>
        <w:rPr>
          <w:rFonts w:cs="Calibri"/>
          <w:sz w:val="20"/>
          <w:szCs w:val="20"/>
          <w:lang w:val="es-ES"/>
        </w:rPr>
      </w:pPr>
      <w:r w:rsidRPr="00081DAC">
        <w:rPr>
          <w:rFonts w:eastAsia="Times New Roman" w:cs="Calibri"/>
          <w:b/>
          <w:sz w:val="20"/>
          <w:szCs w:val="20"/>
          <w:lang w:val="es-ES_tradnl"/>
        </w:rPr>
        <w:tab/>
        <w:t>Perito/a cuyo nombre será informado a la brevedad</w:t>
      </w:r>
      <w:r w:rsidR="009914D6">
        <w:rPr>
          <w:rFonts w:eastAsia="Times New Roman" w:cs="Calibri"/>
          <w:sz w:val="20"/>
          <w:szCs w:val="20"/>
          <w:lang w:val="es-ES_tradnl"/>
        </w:rPr>
        <w:t>, quien declarará sobre</w:t>
      </w:r>
      <w:r w:rsidR="00773D04" w:rsidRPr="00081DAC">
        <w:rPr>
          <w:rFonts w:cs="Calibri"/>
          <w:sz w:val="20"/>
          <w:szCs w:val="20"/>
          <w:lang w:val="es-ES"/>
        </w:rPr>
        <w:t xml:space="preserve"> </w:t>
      </w:r>
      <w:r w:rsidR="00AF11B5" w:rsidRPr="00081DAC">
        <w:rPr>
          <w:rFonts w:cs="Calibri"/>
          <w:sz w:val="20"/>
          <w:szCs w:val="20"/>
          <w:lang w:val="es-ES"/>
        </w:rPr>
        <w:t>las obligaciones</w:t>
      </w:r>
      <w:r w:rsidR="00773D04" w:rsidRPr="00081DAC">
        <w:rPr>
          <w:rFonts w:cs="Calibri"/>
          <w:sz w:val="20"/>
          <w:szCs w:val="20"/>
          <w:lang w:val="es-ES"/>
        </w:rPr>
        <w:t xml:space="preserve"> internacionales </w:t>
      </w:r>
      <w:r w:rsidR="00035988" w:rsidRPr="00081DAC">
        <w:rPr>
          <w:rFonts w:cs="Calibri"/>
          <w:sz w:val="20"/>
          <w:szCs w:val="20"/>
          <w:lang w:val="es-ES"/>
        </w:rPr>
        <w:t>de los Estados respecto de los derechos a la sal</w:t>
      </w:r>
      <w:r w:rsidR="00AE5F3F" w:rsidRPr="00081DAC">
        <w:rPr>
          <w:rFonts w:cs="Calibri"/>
          <w:sz w:val="20"/>
          <w:szCs w:val="20"/>
          <w:lang w:val="es-ES"/>
        </w:rPr>
        <w:t>u</w:t>
      </w:r>
      <w:r w:rsidR="00035988" w:rsidRPr="00081DAC">
        <w:rPr>
          <w:rFonts w:cs="Calibri"/>
          <w:sz w:val="20"/>
          <w:szCs w:val="20"/>
          <w:lang w:val="es-ES"/>
        </w:rPr>
        <w:t xml:space="preserve">d y a la </w:t>
      </w:r>
      <w:r w:rsidR="00AF11B5" w:rsidRPr="00081DAC">
        <w:rPr>
          <w:rFonts w:cs="Calibri"/>
          <w:sz w:val="20"/>
          <w:szCs w:val="20"/>
          <w:lang w:val="es-ES"/>
        </w:rPr>
        <w:t xml:space="preserve">integridad personal de personas con discapacidad en instituciones de salud mental. El/la perito/a se pronunciará sobre el derecho a la salud y consentimiento informado, así como a medidas de habilitación y rehabilitación de personas con discapacidad. </w:t>
      </w:r>
    </w:p>
    <w:p w:rsidR="00243EAF" w:rsidRPr="00081DAC" w:rsidRDefault="00243EAF" w:rsidP="00081DAC">
      <w:pPr>
        <w:tabs>
          <w:tab w:val="left" w:pos="720"/>
          <w:tab w:val="left" w:pos="2880"/>
        </w:tabs>
        <w:spacing w:after="0" w:line="240" w:lineRule="auto"/>
        <w:jc w:val="both"/>
        <w:rPr>
          <w:rFonts w:eastAsia="Times New Roman" w:cs="Calibri"/>
          <w:sz w:val="20"/>
          <w:szCs w:val="20"/>
          <w:lang w:val="es-ES_tradnl"/>
        </w:rPr>
      </w:pPr>
    </w:p>
    <w:p w:rsidR="004D0DF8" w:rsidRPr="00081DAC" w:rsidRDefault="00773D04" w:rsidP="00081DAC">
      <w:pPr>
        <w:tabs>
          <w:tab w:val="left" w:pos="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CO"/>
        </w:rPr>
      </w:pPr>
      <w:r w:rsidRPr="00081DAC">
        <w:rPr>
          <w:rFonts w:cs="Calibri"/>
          <w:sz w:val="20"/>
          <w:szCs w:val="20"/>
          <w:lang w:val="es-ES_tradnl"/>
        </w:rPr>
        <w:t>Las hojas de vida</w:t>
      </w:r>
      <w:r w:rsidR="004D0DF8" w:rsidRPr="00081DAC">
        <w:rPr>
          <w:rFonts w:cs="Calibri"/>
          <w:sz w:val="20"/>
          <w:szCs w:val="20"/>
          <w:lang w:val="es-ES_tradnl"/>
        </w:rPr>
        <w:t xml:space="preserve"> de los/as </w:t>
      </w:r>
      <w:r w:rsidR="004D0DF8" w:rsidRPr="00081DAC">
        <w:rPr>
          <w:rFonts w:cs="Calibri"/>
          <w:sz w:val="20"/>
          <w:szCs w:val="20"/>
          <w:lang w:val="es-AR"/>
        </w:rPr>
        <w:t xml:space="preserve">peritos/as ofrecidos/as </w:t>
      </w:r>
      <w:r w:rsidR="004D0DF8" w:rsidRPr="00081DAC">
        <w:rPr>
          <w:rFonts w:cs="Calibri"/>
          <w:sz w:val="20"/>
          <w:szCs w:val="20"/>
          <w:lang w:val="es-CO"/>
        </w:rPr>
        <w:t>serán incluido</w:t>
      </w:r>
      <w:r w:rsidRPr="00081DAC">
        <w:rPr>
          <w:rFonts w:cs="Calibri"/>
          <w:sz w:val="20"/>
          <w:szCs w:val="20"/>
          <w:lang w:val="es-CO"/>
        </w:rPr>
        <w:t>s</w:t>
      </w:r>
      <w:r w:rsidR="004D0DF8" w:rsidRPr="00081DAC">
        <w:rPr>
          <w:rFonts w:cs="Calibri"/>
          <w:sz w:val="20"/>
          <w:szCs w:val="20"/>
          <w:lang w:val="es-CO"/>
        </w:rPr>
        <w:t xml:space="preserve"> en los anexos al Informe de Fondo. </w:t>
      </w:r>
    </w:p>
    <w:p w:rsidR="00325DC3" w:rsidRPr="00081DAC" w:rsidRDefault="00325DC3" w:rsidP="00081D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0"/>
          <w:szCs w:val="20"/>
          <w:lang w:val="es-PE"/>
        </w:rPr>
      </w:pPr>
    </w:p>
    <w:p w:rsidR="00BA68CB" w:rsidRDefault="00C202C7" w:rsidP="007B1B55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ES_tradnl"/>
        </w:rPr>
      </w:pPr>
      <w:r w:rsidRPr="00081DAC">
        <w:rPr>
          <w:rFonts w:cs="Calibri"/>
          <w:sz w:val="20"/>
          <w:szCs w:val="20"/>
          <w:lang w:val="es-ES_tradnl"/>
        </w:rPr>
        <w:t>La Comisión pone en conocimiento de la Corte la siguiente información sobre quien actu</w:t>
      </w:r>
      <w:r w:rsidR="00F65150" w:rsidRPr="00081DAC">
        <w:rPr>
          <w:rFonts w:cs="Calibri"/>
          <w:sz w:val="20"/>
          <w:szCs w:val="20"/>
          <w:lang w:val="es-ES_tradnl"/>
        </w:rPr>
        <w:t xml:space="preserve">ó como parte peticionaria </w:t>
      </w:r>
      <w:r w:rsidRPr="00081DAC">
        <w:rPr>
          <w:rFonts w:cs="Calibri"/>
          <w:sz w:val="20"/>
          <w:szCs w:val="20"/>
          <w:lang w:val="es-ES_tradnl"/>
        </w:rPr>
        <w:t xml:space="preserve">a </w:t>
      </w:r>
      <w:r w:rsidR="007B1B55">
        <w:rPr>
          <w:rFonts w:cs="Calibri"/>
          <w:sz w:val="20"/>
          <w:szCs w:val="20"/>
          <w:lang w:val="es-ES_tradnl"/>
        </w:rPr>
        <w:t>lo largo del trámite del caso:</w:t>
      </w:r>
    </w:p>
    <w:p w:rsidR="007B1B55" w:rsidRPr="007B1B55" w:rsidRDefault="007B1B55" w:rsidP="007B1B55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ES_tradnl"/>
        </w:rPr>
      </w:pPr>
    </w:p>
    <w:p w:rsidR="007B1B55" w:rsidRPr="007B1B55" w:rsidRDefault="007B1B55" w:rsidP="007B1B55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7B1B55">
        <w:rPr>
          <w:bCs/>
          <w:iCs/>
          <w:sz w:val="20"/>
          <w:szCs w:val="20"/>
          <w:lang w:val="es-ES"/>
        </w:rPr>
        <w:t>Clínica de Derechos Humanos-PUCE</w:t>
      </w:r>
    </w:p>
    <w:p w:rsidR="00C10482" w:rsidRPr="007B1B55" w:rsidRDefault="008905A2" w:rsidP="007B1B55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8905A2">
        <w:rPr>
          <w:bCs/>
          <w:iCs/>
          <w:sz w:val="20"/>
          <w:szCs w:val="20"/>
          <w:highlight w:val="black"/>
          <w:lang w:val="es-ES"/>
        </w:rPr>
        <w:t>xxxxxxxxxxxxxxxxxxxx</w:t>
      </w:r>
    </w:p>
    <w:p w:rsidR="007B1B55" w:rsidRDefault="007B1B55" w:rsidP="007B1B55">
      <w:pPr>
        <w:spacing w:after="0" w:line="240" w:lineRule="auto"/>
        <w:jc w:val="center"/>
        <w:rPr>
          <w:rFonts w:cs="Calibri"/>
          <w:bCs/>
          <w:iCs/>
          <w:sz w:val="20"/>
          <w:szCs w:val="20"/>
          <w:lang w:val="es-ES"/>
        </w:rPr>
      </w:pPr>
    </w:p>
    <w:p w:rsidR="007B1B55" w:rsidRPr="007B1B55" w:rsidRDefault="007B1B55" w:rsidP="007B1B55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7B1B55">
        <w:rPr>
          <w:bCs/>
          <w:iCs/>
          <w:sz w:val="20"/>
          <w:szCs w:val="20"/>
          <w:lang w:val="es-ES"/>
        </w:rPr>
        <w:t>Hna. Elsie Monge</w:t>
      </w:r>
    </w:p>
    <w:p w:rsidR="007B1B55" w:rsidRPr="007B1B55" w:rsidRDefault="007B1B55" w:rsidP="007B1B55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7B1B55">
        <w:rPr>
          <w:bCs/>
          <w:iCs/>
          <w:sz w:val="20"/>
          <w:szCs w:val="20"/>
          <w:lang w:val="es-ES"/>
        </w:rPr>
        <w:t>Directora Ejecutiva</w:t>
      </w:r>
    </w:p>
    <w:p w:rsidR="007B1B55" w:rsidRPr="007B1B55" w:rsidRDefault="007B1B55" w:rsidP="007B1B55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7B1B55">
        <w:rPr>
          <w:bCs/>
          <w:iCs/>
          <w:sz w:val="20"/>
          <w:szCs w:val="20"/>
          <w:lang w:val="es-ES"/>
        </w:rPr>
        <w:t>Comisión Ecuménica de Derechos Humanos</w:t>
      </w:r>
    </w:p>
    <w:p w:rsidR="007B1B55" w:rsidRPr="008905A2" w:rsidRDefault="008905A2" w:rsidP="007B1B55">
      <w:pPr>
        <w:spacing w:after="0" w:line="240" w:lineRule="auto"/>
        <w:jc w:val="center"/>
        <w:rPr>
          <w:bCs/>
          <w:iCs/>
          <w:sz w:val="20"/>
          <w:szCs w:val="20"/>
          <w:highlight w:val="black"/>
          <w:lang w:val="es-ES"/>
        </w:rPr>
      </w:pPr>
      <w:r w:rsidRPr="008905A2">
        <w:rPr>
          <w:bCs/>
          <w:iCs/>
          <w:sz w:val="20"/>
          <w:szCs w:val="20"/>
          <w:highlight w:val="black"/>
          <w:lang w:val="es-ES"/>
        </w:rPr>
        <w:t>xxxxxxxxxxxxxxxxxxxxxx</w:t>
      </w:r>
    </w:p>
    <w:p w:rsidR="007B1B55" w:rsidRPr="008905A2" w:rsidRDefault="008905A2" w:rsidP="007B1B55">
      <w:pPr>
        <w:spacing w:after="0" w:line="240" w:lineRule="auto"/>
        <w:jc w:val="center"/>
        <w:rPr>
          <w:bCs/>
          <w:iCs/>
          <w:sz w:val="20"/>
          <w:szCs w:val="20"/>
          <w:highlight w:val="black"/>
          <w:lang w:val="es-ES"/>
        </w:rPr>
      </w:pPr>
      <w:r w:rsidRPr="008905A2">
        <w:rPr>
          <w:bCs/>
          <w:iCs/>
          <w:sz w:val="20"/>
          <w:szCs w:val="20"/>
          <w:highlight w:val="black"/>
          <w:lang w:val="es-ES"/>
        </w:rPr>
        <w:t>xxxxxxxxxxxxxxxxxxxxx</w:t>
      </w:r>
    </w:p>
    <w:p w:rsidR="007B1B55" w:rsidRPr="007B1B55" w:rsidRDefault="008905A2" w:rsidP="007B1B55">
      <w:pPr>
        <w:spacing w:after="0" w:line="240" w:lineRule="auto"/>
        <w:jc w:val="center"/>
        <w:rPr>
          <w:rFonts w:cs="Calibri"/>
          <w:bCs/>
          <w:iCs/>
          <w:sz w:val="20"/>
          <w:szCs w:val="20"/>
          <w:lang w:val="es-ES"/>
        </w:rPr>
      </w:pPr>
      <w:r w:rsidRPr="008905A2">
        <w:rPr>
          <w:bCs/>
          <w:iCs/>
          <w:sz w:val="20"/>
          <w:szCs w:val="20"/>
          <w:highlight w:val="black"/>
          <w:lang w:val="es-ES"/>
        </w:rPr>
        <w:t>xxxxxxxxxxxxxxxxxxxxx</w:t>
      </w:r>
    </w:p>
    <w:p w:rsidR="00C202C7" w:rsidRDefault="00C202C7" w:rsidP="00081DAC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PE"/>
        </w:rPr>
      </w:pPr>
    </w:p>
    <w:p w:rsidR="007B1B55" w:rsidRDefault="007B1B55" w:rsidP="00081DAC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PE"/>
        </w:rPr>
      </w:pPr>
    </w:p>
    <w:p w:rsidR="007B1B55" w:rsidRPr="007B1B55" w:rsidRDefault="007B1B55" w:rsidP="007B1B55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7B1B55">
        <w:rPr>
          <w:bCs/>
          <w:iCs/>
          <w:sz w:val="20"/>
          <w:szCs w:val="20"/>
          <w:lang w:val="es-ES"/>
        </w:rPr>
        <w:t>Fundación Regional de Asesoría en Derechos Humanos</w:t>
      </w:r>
    </w:p>
    <w:p w:rsidR="007B1B55" w:rsidRPr="007B1B55" w:rsidRDefault="008905A2" w:rsidP="007B1B55">
      <w:pPr>
        <w:spacing w:after="0" w:line="240" w:lineRule="auto"/>
        <w:jc w:val="center"/>
        <w:rPr>
          <w:bCs/>
          <w:iCs/>
          <w:sz w:val="20"/>
          <w:szCs w:val="20"/>
          <w:lang w:val="es-ES"/>
        </w:rPr>
      </w:pPr>
      <w:r w:rsidRPr="008905A2">
        <w:rPr>
          <w:bCs/>
          <w:iCs/>
          <w:sz w:val="20"/>
          <w:szCs w:val="20"/>
          <w:highlight w:val="black"/>
          <w:lang w:val="es-ES"/>
        </w:rPr>
        <w:t>xxxxxxxxxxxxxxxxxxx</w:t>
      </w:r>
    </w:p>
    <w:p w:rsidR="007B1B55" w:rsidRDefault="007B1B55" w:rsidP="007B1B55">
      <w:pPr>
        <w:tabs>
          <w:tab w:val="left" w:pos="0"/>
          <w:tab w:val="left" w:pos="810"/>
        </w:tabs>
        <w:spacing w:after="0" w:line="240" w:lineRule="auto"/>
        <w:ind w:firstLine="720"/>
        <w:jc w:val="center"/>
        <w:rPr>
          <w:rFonts w:cs="Calibri"/>
          <w:sz w:val="20"/>
          <w:szCs w:val="20"/>
          <w:lang w:val="es-PE"/>
        </w:rPr>
      </w:pPr>
    </w:p>
    <w:p w:rsidR="007B1B55" w:rsidRPr="007B1B55" w:rsidRDefault="007B1B55" w:rsidP="007B1B55">
      <w:pPr>
        <w:spacing w:after="0" w:line="240" w:lineRule="auto"/>
        <w:jc w:val="center"/>
        <w:rPr>
          <w:bCs/>
          <w:iCs/>
          <w:sz w:val="20"/>
          <w:szCs w:val="20"/>
          <w:lang w:val="pt-BR"/>
        </w:rPr>
      </w:pPr>
      <w:r w:rsidRPr="007B1B55">
        <w:rPr>
          <w:bCs/>
          <w:iCs/>
          <w:sz w:val="20"/>
          <w:szCs w:val="20"/>
          <w:lang w:val="pt-BR"/>
        </w:rPr>
        <w:t>David Cordero Heredia</w:t>
      </w:r>
    </w:p>
    <w:p w:rsidR="007B1B55" w:rsidRPr="007B1B55" w:rsidRDefault="008905A2" w:rsidP="007B1B55">
      <w:pPr>
        <w:spacing w:after="0" w:line="240" w:lineRule="auto"/>
        <w:jc w:val="center"/>
        <w:rPr>
          <w:bCs/>
          <w:iCs/>
          <w:sz w:val="20"/>
          <w:szCs w:val="20"/>
          <w:lang w:val="pt-BR"/>
        </w:rPr>
      </w:pPr>
      <w:r w:rsidRPr="008905A2">
        <w:rPr>
          <w:bCs/>
          <w:iCs/>
          <w:sz w:val="20"/>
          <w:szCs w:val="20"/>
          <w:highlight w:val="black"/>
          <w:lang w:val="pt-BR"/>
        </w:rPr>
        <w:t>xxxxxxxxxxxxxxxxxxxxxxx</w:t>
      </w:r>
    </w:p>
    <w:p w:rsidR="007B1B55" w:rsidRPr="007B1B55" w:rsidRDefault="007B1B55" w:rsidP="007B1B55">
      <w:pPr>
        <w:tabs>
          <w:tab w:val="left" w:pos="0"/>
          <w:tab w:val="left" w:pos="810"/>
        </w:tabs>
        <w:spacing w:after="0" w:line="240" w:lineRule="auto"/>
        <w:ind w:firstLine="720"/>
        <w:jc w:val="center"/>
        <w:rPr>
          <w:rFonts w:cs="Calibri"/>
          <w:sz w:val="20"/>
          <w:szCs w:val="20"/>
          <w:lang w:val="pt-BR"/>
        </w:rPr>
      </w:pPr>
    </w:p>
    <w:p w:rsidR="00C202C7" w:rsidRPr="00081DAC" w:rsidRDefault="00C202C7" w:rsidP="00081DAC">
      <w:pPr>
        <w:tabs>
          <w:tab w:val="left" w:pos="0"/>
          <w:tab w:val="left" w:pos="810"/>
        </w:tabs>
        <w:spacing w:after="0" w:line="240" w:lineRule="auto"/>
        <w:ind w:firstLine="720"/>
        <w:jc w:val="both"/>
        <w:rPr>
          <w:rFonts w:cs="Calibri"/>
          <w:sz w:val="20"/>
          <w:szCs w:val="20"/>
          <w:lang w:val="es-CO"/>
        </w:rPr>
      </w:pPr>
      <w:r w:rsidRPr="00081DAC">
        <w:rPr>
          <w:rFonts w:cs="Calibri"/>
          <w:sz w:val="20"/>
          <w:szCs w:val="20"/>
          <w:lang w:val="es-CO"/>
        </w:rPr>
        <w:t>Aprovecho la oportunidad para saludar a usted muy atentamente,</w:t>
      </w:r>
    </w:p>
    <w:p w:rsidR="00C202C7" w:rsidRDefault="00C202C7" w:rsidP="00081DAC">
      <w:pPr>
        <w:tabs>
          <w:tab w:val="left" w:pos="810"/>
        </w:tabs>
        <w:suppressAutoHyphens/>
        <w:spacing w:after="0" w:line="240" w:lineRule="auto"/>
        <w:rPr>
          <w:rFonts w:cs="Calibri"/>
          <w:snapToGrid w:val="0"/>
          <w:sz w:val="20"/>
          <w:szCs w:val="20"/>
          <w:lang w:val="es-CO"/>
        </w:rPr>
      </w:pPr>
    </w:p>
    <w:p w:rsidR="007B1B55" w:rsidRDefault="007B1B55" w:rsidP="00081DAC">
      <w:pPr>
        <w:tabs>
          <w:tab w:val="left" w:pos="810"/>
        </w:tabs>
        <w:suppressAutoHyphens/>
        <w:spacing w:after="0" w:line="240" w:lineRule="auto"/>
        <w:rPr>
          <w:rFonts w:cs="Calibri"/>
          <w:snapToGrid w:val="0"/>
          <w:sz w:val="20"/>
          <w:szCs w:val="20"/>
          <w:lang w:val="es-CO"/>
        </w:rPr>
      </w:pPr>
    </w:p>
    <w:p w:rsidR="007B1B55" w:rsidRDefault="007B1B55" w:rsidP="00081DAC">
      <w:pPr>
        <w:tabs>
          <w:tab w:val="left" w:pos="810"/>
        </w:tabs>
        <w:suppressAutoHyphens/>
        <w:spacing w:after="0" w:line="240" w:lineRule="auto"/>
        <w:rPr>
          <w:rFonts w:cs="Calibri"/>
          <w:snapToGrid w:val="0"/>
          <w:sz w:val="20"/>
          <w:szCs w:val="20"/>
          <w:lang w:val="es-CO"/>
        </w:rPr>
      </w:pPr>
    </w:p>
    <w:p w:rsidR="007B1B55" w:rsidRDefault="007B1B55" w:rsidP="00081DAC">
      <w:pPr>
        <w:tabs>
          <w:tab w:val="left" w:pos="810"/>
        </w:tabs>
        <w:suppressAutoHyphens/>
        <w:spacing w:after="0" w:line="240" w:lineRule="auto"/>
        <w:rPr>
          <w:rFonts w:cs="Calibri"/>
          <w:snapToGrid w:val="0"/>
          <w:sz w:val="20"/>
          <w:szCs w:val="20"/>
          <w:lang w:val="es-CO"/>
        </w:rPr>
      </w:pPr>
    </w:p>
    <w:p w:rsidR="007B1B55" w:rsidRPr="00081DAC" w:rsidRDefault="007B1B55" w:rsidP="00081DAC">
      <w:pPr>
        <w:tabs>
          <w:tab w:val="left" w:pos="810"/>
        </w:tabs>
        <w:suppressAutoHyphens/>
        <w:spacing w:after="0" w:line="240" w:lineRule="auto"/>
        <w:rPr>
          <w:rFonts w:cs="Calibri"/>
          <w:snapToGrid w:val="0"/>
          <w:sz w:val="20"/>
          <w:szCs w:val="20"/>
          <w:lang w:val="es-CO"/>
        </w:rPr>
      </w:pPr>
    </w:p>
    <w:p w:rsidR="007B1B55" w:rsidRDefault="004E1680" w:rsidP="007B1B55">
      <w:pPr>
        <w:tabs>
          <w:tab w:val="left" w:pos="-720"/>
        </w:tabs>
        <w:spacing w:after="0" w:line="240" w:lineRule="auto"/>
        <w:ind w:left="-90"/>
        <w:jc w:val="center"/>
        <w:rPr>
          <w:rFonts w:cs="Calibri"/>
          <w:sz w:val="20"/>
          <w:szCs w:val="20"/>
          <w:lang w:val="pt-BR"/>
        </w:rPr>
      </w:pPr>
      <w:r>
        <w:rPr>
          <w:rFonts w:cs="Calibri"/>
          <w:sz w:val="20"/>
          <w:szCs w:val="20"/>
          <w:lang w:val="pt-BR"/>
        </w:rPr>
        <w:t xml:space="preserve">María </w:t>
      </w:r>
      <w:r w:rsidR="006C2CDC" w:rsidRPr="00081DAC">
        <w:rPr>
          <w:rFonts w:cs="Calibri"/>
          <w:sz w:val="20"/>
          <w:szCs w:val="20"/>
          <w:lang w:val="pt-BR"/>
        </w:rPr>
        <w:t>Claudia Pulido</w:t>
      </w:r>
    </w:p>
    <w:p w:rsidR="00325DC3" w:rsidRPr="00081DAC" w:rsidRDefault="006C2CDC" w:rsidP="007B1B55">
      <w:pPr>
        <w:tabs>
          <w:tab w:val="left" w:pos="-720"/>
        </w:tabs>
        <w:spacing w:after="0" w:line="240" w:lineRule="auto"/>
        <w:ind w:left="-90"/>
        <w:jc w:val="center"/>
        <w:rPr>
          <w:rFonts w:cs="Calibri"/>
          <w:sz w:val="20"/>
          <w:szCs w:val="20"/>
          <w:lang w:val="pt-BR"/>
        </w:rPr>
      </w:pPr>
      <w:r w:rsidRPr="00081DAC">
        <w:rPr>
          <w:rFonts w:cs="Calibri"/>
          <w:sz w:val="20"/>
          <w:szCs w:val="20"/>
          <w:lang w:val="pt-BR"/>
        </w:rPr>
        <w:t>Secretari</w:t>
      </w:r>
      <w:r w:rsidR="00325DC3" w:rsidRPr="00081DAC">
        <w:rPr>
          <w:rFonts w:cs="Calibri"/>
          <w:sz w:val="20"/>
          <w:szCs w:val="20"/>
          <w:lang w:val="pt-BR"/>
        </w:rPr>
        <w:t>a Ejecutiva</w:t>
      </w:r>
      <w:r w:rsidRPr="00081DAC">
        <w:rPr>
          <w:rFonts w:cs="Calibri"/>
          <w:sz w:val="20"/>
          <w:szCs w:val="20"/>
          <w:lang w:val="pt-BR"/>
        </w:rPr>
        <w:t xml:space="preserve"> Adjunta</w:t>
      </w:r>
    </w:p>
    <w:p w:rsidR="00325DC3" w:rsidRPr="00081DAC" w:rsidRDefault="00325DC3" w:rsidP="00081DAC">
      <w:pPr>
        <w:suppressAutoHyphens/>
        <w:spacing w:after="0" w:line="240" w:lineRule="auto"/>
        <w:rPr>
          <w:rFonts w:cs="Calibri"/>
          <w:sz w:val="20"/>
          <w:szCs w:val="20"/>
          <w:lang w:val="pt-BR"/>
        </w:rPr>
      </w:pPr>
    </w:p>
    <w:p w:rsidR="00325DC3" w:rsidRPr="00081DAC" w:rsidRDefault="00325DC3" w:rsidP="00081DAC">
      <w:pPr>
        <w:suppressAutoHyphens/>
        <w:spacing w:after="0" w:line="240" w:lineRule="auto"/>
        <w:rPr>
          <w:rFonts w:cs="Calibri"/>
          <w:sz w:val="20"/>
          <w:szCs w:val="20"/>
          <w:lang w:val="pt-BR"/>
        </w:rPr>
      </w:pPr>
    </w:p>
    <w:p w:rsidR="00325DC3" w:rsidRPr="00081DAC" w:rsidRDefault="00325DC3" w:rsidP="00081DAC">
      <w:pPr>
        <w:tabs>
          <w:tab w:val="left" w:pos="810"/>
        </w:tabs>
        <w:suppressAutoHyphens/>
        <w:spacing w:after="0" w:line="240" w:lineRule="auto"/>
        <w:rPr>
          <w:rFonts w:cs="Calibri"/>
          <w:snapToGrid w:val="0"/>
          <w:sz w:val="20"/>
          <w:szCs w:val="20"/>
          <w:lang w:val="pt-BR"/>
        </w:rPr>
      </w:pPr>
      <w:r w:rsidRPr="00081DAC">
        <w:rPr>
          <w:rFonts w:cs="Calibri"/>
          <w:snapToGrid w:val="0"/>
          <w:sz w:val="20"/>
          <w:szCs w:val="20"/>
          <w:lang w:val="pt-BR"/>
        </w:rPr>
        <w:t>Anexo</w:t>
      </w:r>
    </w:p>
    <w:p w:rsidR="00C33A3A" w:rsidRPr="00081DAC" w:rsidRDefault="00C33A3A" w:rsidP="00081DAC">
      <w:pPr>
        <w:spacing w:after="0" w:line="240" w:lineRule="auto"/>
        <w:rPr>
          <w:rFonts w:cs="Calibri"/>
          <w:sz w:val="20"/>
          <w:szCs w:val="20"/>
          <w:lang w:val="pt-BR"/>
        </w:rPr>
      </w:pPr>
    </w:p>
    <w:sectPr w:rsidR="00C33A3A" w:rsidRPr="00081DAC" w:rsidSect="00961C7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364" w:rsidRDefault="000F3364">
      <w:pPr>
        <w:spacing w:after="0" w:line="240" w:lineRule="auto"/>
      </w:pPr>
      <w:r>
        <w:separator/>
      </w:r>
    </w:p>
  </w:endnote>
  <w:endnote w:type="continuationSeparator" w:id="0">
    <w:p w:rsidR="000F3364" w:rsidRDefault="000F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46" w:rsidRPr="00A72869" w:rsidRDefault="00867046">
    <w:pPr>
      <w:pStyle w:val="Piedepgina"/>
      <w:jc w:val="center"/>
      <w:rPr>
        <w:color w:val="7F7F7F"/>
        <w:sz w:val="16"/>
      </w:rPr>
    </w:pPr>
    <w:r w:rsidRPr="00A72869">
      <w:rPr>
        <w:color w:val="7F7F7F"/>
        <w:sz w:val="16"/>
      </w:rPr>
      <w:fldChar w:fldCharType="begin"/>
    </w:r>
    <w:r w:rsidRPr="00A72869">
      <w:rPr>
        <w:color w:val="7F7F7F"/>
        <w:sz w:val="16"/>
      </w:rPr>
      <w:instrText xml:space="preserve"> PAGE   \* MERGEFORMAT </w:instrText>
    </w:r>
    <w:r w:rsidRPr="00A72869">
      <w:rPr>
        <w:color w:val="7F7F7F"/>
        <w:sz w:val="16"/>
      </w:rPr>
      <w:fldChar w:fldCharType="separate"/>
    </w:r>
    <w:r w:rsidR="00334437">
      <w:rPr>
        <w:noProof/>
        <w:color w:val="7F7F7F"/>
        <w:sz w:val="16"/>
      </w:rPr>
      <w:t>2</w:t>
    </w:r>
    <w:r w:rsidRPr="00A72869">
      <w:rPr>
        <w:noProof/>
        <w:color w:val="7F7F7F"/>
        <w:sz w:val="16"/>
      </w:rPr>
      <w:fldChar w:fldCharType="end"/>
    </w:r>
  </w:p>
  <w:p w:rsidR="00867046" w:rsidRDefault="00867046" w:rsidP="00C10482">
    <w:pPr>
      <w:pStyle w:val="Piedepgina"/>
      <w:spacing w:line="360" w:lineRule="auto"/>
    </w:pPr>
    <w:r>
      <w:pict>
        <v:rect id="_x0000_i1028" style="width:0;height:1.5pt" o:hralign="center" o:hrstd="t" o:hr="t" fillcolor="#a0a0a0" stroked="f"/>
      </w:pict>
    </w:r>
  </w:p>
  <w:p w:rsidR="00867046" w:rsidRDefault="00334437" w:rsidP="00C10482">
    <w:pPr>
      <w:pStyle w:val="Piedepgina"/>
      <w:jc w:val="center"/>
    </w:pPr>
    <w:r w:rsidRPr="00B803C5">
      <w:rPr>
        <w:noProof/>
      </w:rPr>
      <w:drawing>
        <wp:inline distT="0" distB="0" distL="0" distR="0">
          <wp:extent cx="5114925" cy="314325"/>
          <wp:effectExtent l="0" t="0" r="0" b="0"/>
          <wp:docPr id="6" name="Picture 1" descr="C:\Users\mfontana\Documents\Eva Fontana\GRAFICA CIDH\cartas\logos\footer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ontana\Documents\Eva Fontana\GRAFICA CIDH\cartas\logos\footer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7046" w:rsidRDefault="00867046" w:rsidP="00D24A83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46" w:rsidRDefault="00867046" w:rsidP="00961C78">
    <w:pPr>
      <w:pStyle w:val="Piedepgina"/>
      <w:spacing w:line="360" w:lineRule="auto"/>
    </w:pPr>
    <w:r>
      <w:pict>
        <v:rect id="_x0000_i1026" style="width:0;height:1.5pt" o:hralign="center" o:hrstd="t" o:hr="t" fillcolor="#a0a0a0" stroked="f"/>
      </w:pict>
    </w:r>
  </w:p>
  <w:p w:rsidR="00867046" w:rsidRDefault="00334437" w:rsidP="00961C78">
    <w:pPr>
      <w:pStyle w:val="Piedepgina"/>
      <w:jc w:val="center"/>
    </w:pPr>
    <w:r w:rsidRPr="00B803C5">
      <w:rPr>
        <w:noProof/>
      </w:rPr>
      <w:drawing>
        <wp:inline distT="0" distB="0" distL="0" distR="0">
          <wp:extent cx="5114925" cy="314325"/>
          <wp:effectExtent l="0" t="0" r="0" b="0"/>
          <wp:docPr id="9" name="Picture 1" descr="C:\Users\mfontana\Documents\Eva Fontana\GRAFICA CIDH\cartas\logos\footer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fontana\Documents\Eva Fontana\GRAFICA CIDH\cartas\logos\footer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364" w:rsidRDefault="000F3364">
      <w:pPr>
        <w:spacing w:after="0" w:line="240" w:lineRule="auto"/>
      </w:pPr>
      <w:r>
        <w:separator/>
      </w:r>
    </w:p>
  </w:footnote>
  <w:footnote w:type="continuationSeparator" w:id="0">
    <w:p w:rsidR="000F3364" w:rsidRDefault="000F3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46" w:rsidRPr="0058688A" w:rsidRDefault="00334437" w:rsidP="00961C78">
    <w:pPr>
      <w:pStyle w:val="Encabezado"/>
      <w:jc w:val="center"/>
      <w:rPr>
        <w:lang w:val="es-ES_tradnl"/>
      </w:rPr>
    </w:pPr>
    <w:r w:rsidRPr="00B803C5">
      <w:rPr>
        <w:noProof/>
      </w:rPr>
      <w:drawing>
        <wp:inline distT="0" distB="0" distL="0" distR="0">
          <wp:extent cx="2286000" cy="123825"/>
          <wp:effectExtent l="0" t="0" r="0" b="0"/>
          <wp:docPr id="5" name="Picture 4" descr="cidh-pe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idh-peq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23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7046" w:rsidRDefault="00867046">
    <w:pPr>
      <w:pStyle w:val="Encabezado"/>
    </w:pPr>
    <w:r>
      <w:pict>
        <v:rect id="_x0000_i1027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046" w:rsidRDefault="00334437" w:rsidP="00961C78">
    <w:pPr>
      <w:pStyle w:val="Encabezado"/>
    </w:pPr>
    <w:r w:rsidRPr="00B803C5">
      <w:rPr>
        <w:noProof/>
      </w:rPr>
      <w:drawing>
        <wp:inline distT="0" distB="0" distL="0" distR="0">
          <wp:extent cx="2352675" cy="457200"/>
          <wp:effectExtent l="0" t="0" r="0" b="0"/>
          <wp:docPr id="7" name="Picture 3" descr="C:\Users\mfontana\Documents\Eva Fontana\GRAFICA CIDH\cartas\logos\cidh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fontana\Documents\Eva Fontana\GRAFICA CIDH\cartas\logos\cidh-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67046">
      <w:tab/>
    </w:r>
    <w:r w:rsidR="00867046">
      <w:tab/>
    </w:r>
    <w:r w:rsidRPr="00B803C5">
      <w:rPr>
        <w:noProof/>
      </w:rPr>
      <w:drawing>
        <wp:inline distT="0" distB="0" distL="0" distR="0">
          <wp:extent cx="1647825" cy="476250"/>
          <wp:effectExtent l="0" t="0" r="0" b="0"/>
          <wp:docPr id="8" name="Picture 2" descr="C:\Users\mfontana\Documents\Eva Fontana\GRAFICA CIDH\cartas\logos\oea-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fontana\Documents\Eva Fontana\GRAFICA CIDH\cartas\logos\oea-e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67046" w:rsidRDefault="00867046" w:rsidP="00961C78">
    <w:pPr>
      <w:pStyle w:val="Encabezado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11C62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050020"/>
    <w:multiLevelType w:val="hybridMultilevel"/>
    <w:tmpl w:val="72909BA6"/>
    <w:lvl w:ilvl="0" w:tplc="10D4F5F8">
      <w:start w:val="1"/>
      <w:numFmt w:val="decimal"/>
      <w:lvlText w:val="%1."/>
      <w:lvlJc w:val="left"/>
      <w:pPr>
        <w:tabs>
          <w:tab w:val="num" w:pos="1429"/>
        </w:tabs>
        <w:ind w:firstLine="720"/>
      </w:pPr>
      <w:rPr>
        <w:rFonts w:ascii="Cambria" w:hAnsi="Cambria" w:cs="Times New Roman" w:hint="default"/>
        <w:b w:val="0"/>
        <w:i w:val="0"/>
        <w:color w:val="000000"/>
        <w:sz w:val="20"/>
        <w:szCs w:val="20"/>
        <w:lang w:val="es-P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6EDE0C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C58E6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  <w:sz w:val="20"/>
        <w:szCs w:val="2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023686"/>
    <w:multiLevelType w:val="hybridMultilevel"/>
    <w:tmpl w:val="F86E1812"/>
    <w:lvl w:ilvl="0" w:tplc="91D2B51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Cambria" w:hAnsi="Cambria" w:hint="default"/>
        <w:b w:val="0"/>
        <w:sz w:val="20"/>
        <w:szCs w:val="20"/>
        <w:lang w:val="es-CO"/>
      </w:rPr>
    </w:lvl>
    <w:lvl w:ilvl="1" w:tplc="D92C12E8">
      <w:start w:val="59"/>
      <w:numFmt w:val="decimal"/>
      <w:lvlText w:val="%2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2" w:tplc="99CCD1F2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AA5744"/>
    <w:multiLevelType w:val="hybridMultilevel"/>
    <w:tmpl w:val="4094EB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862D6"/>
    <w:multiLevelType w:val="hybridMultilevel"/>
    <w:tmpl w:val="50A8979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D03E6"/>
    <w:multiLevelType w:val="hybridMultilevel"/>
    <w:tmpl w:val="4CA83BF0"/>
    <w:lvl w:ilvl="0" w:tplc="58B8D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CC36F6"/>
    <w:multiLevelType w:val="hybridMultilevel"/>
    <w:tmpl w:val="009824F4"/>
    <w:lvl w:ilvl="0" w:tplc="CE203FF4">
      <w:start w:val="24"/>
      <w:numFmt w:val="decimal"/>
      <w:pStyle w:val="Style2"/>
      <w:lvlText w:val="%1."/>
      <w:lvlJc w:val="left"/>
      <w:pPr>
        <w:tabs>
          <w:tab w:val="num" w:pos="720"/>
        </w:tabs>
        <w:ind w:left="0" w:firstLine="720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 w:tplc="8818AAE4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2" w:tplc="ECA8A366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 w:tplc="CFE897F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1D229B08">
      <w:start w:val="9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Univers" w:eastAsia="Times New Roman" w:hAnsi="Univer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2C7"/>
    <w:rsid w:val="00035988"/>
    <w:rsid w:val="00044921"/>
    <w:rsid w:val="00053E53"/>
    <w:rsid w:val="00055616"/>
    <w:rsid w:val="00081755"/>
    <w:rsid w:val="00081DAC"/>
    <w:rsid w:val="00084AEF"/>
    <w:rsid w:val="0009784A"/>
    <w:rsid w:val="000B1993"/>
    <w:rsid w:val="000C4CDF"/>
    <w:rsid w:val="000F3364"/>
    <w:rsid w:val="00105F0F"/>
    <w:rsid w:val="0011084B"/>
    <w:rsid w:val="00135D7E"/>
    <w:rsid w:val="001505F9"/>
    <w:rsid w:val="001544C9"/>
    <w:rsid w:val="00187CF5"/>
    <w:rsid w:val="00195283"/>
    <w:rsid w:val="001A427D"/>
    <w:rsid w:val="001B0026"/>
    <w:rsid w:val="001D1B34"/>
    <w:rsid w:val="001D6BEF"/>
    <w:rsid w:val="001E30F2"/>
    <w:rsid w:val="0021685E"/>
    <w:rsid w:val="002216BE"/>
    <w:rsid w:val="00236478"/>
    <w:rsid w:val="002430D7"/>
    <w:rsid w:val="00243EAF"/>
    <w:rsid w:val="0026196C"/>
    <w:rsid w:val="00296F15"/>
    <w:rsid w:val="00321AAF"/>
    <w:rsid w:val="003228A4"/>
    <w:rsid w:val="00325DC3"/>
    <w:rsid w:val="00334437"/>
    <w:rsid w:val="00342D9D"/>
    <w:rsid w:val="0037450F"/>
    <w:rsid w:val="003D6D13"/>
    <w:rsid w:val="003E22F5"/>
    <w:rsid w:val="003E2C21"/>
    <w:rsid w:val="00404249"/>
    <w:rsid w:val="004123C4"/>
    <w:rsid w:val="00413065"/>
    <w:rsid w:val="004428CE"/>
    <w:rsid w:val="004523AD"/>
    <w:rsid w:val="004933A3"/>
    <w:rsid w:val="004D0DF8"/>
    <w:rsid w:val="004D3B57"/>
    <w:rsid w:val="004E1680"/>
    <w:rsid w:val="004F3A87"/>
    <w:rsid w:val="004F4D25"/>
    <w:rsid w:val="0057318E"/>
    <w:rsid w:val="00591207"/>
    <w:rsid w:val="005A2C7E"/>
    <w:rsid w:val="005A5276"/>
    <w:rsid w:val="005C151F"/>
    <w:rsid w:val="005C3424"/>
    <w:rsid w:val="005E724F"/>
    <w:rsid w:val="005F150C"/>
    <w:rsid w:val="00601E07"/>
    <w:rsid w:val="00607EEE"/>
    <w:rsid w:val="0062010F"/>
    <w:rsid w:val="0063605E"/>
    <w:rsid w:val="00666A14"/>
    <w:rsid w:val="006700D4"/>
    <w:rsid w:val="00682785"/>
    <w:rsid w:val="0069274B"/>
    <w:rsid w:val="006A11C4"/>
    <w:rsid w:val="006C2CDC"/>
    <w:rsid w:val="006F06D6"/>
    <w:rsid w:val="00710BC5"/>
    <w:rsid w:val="007161B5"/>
    <w:rsid w:val="0072377E"/>
    <w:rsid w:val="00731C30"/>
    <w:rsid w:val="00735566"/>
    <w:rsid w:val="0073657A"/>
    <w:rsid w:val="00766136"/>
    <w:rsid w:val="00773D04"/>
    <w:rsid w:val="007773DF"/>
    <w:rsid w:val="00793895"/>
    <w:rsid w:val="007B0474"/>
    <w:rsid w:val="007B1B55"/>
    <w:rsid w:val="007C05C1"/>
    <w:rsid w:val="00834F40"/>
    <w:rsid w:val="008443F6"/>
    <w:rsid w:val="008567DE"/>
    <w:rsid w:val="00867046"/>
    <w:rsid w:val="008905A2"/>
    <w:rsid w:val="00895AC7"/>
    <w:rsid w:val="0089699C"/>
    <w:rsid w:val="008C0BCA"/>
    <w:rsid w:val="00900346"/>
    <w:rsid w:val="009066C8"/>
    <w:rsid w:val="00920D93"/>
    <w:rsid w:val="00945A08"/>
    <w:rsid w:val="00950641"/>
    <w:rsid w:val="00961C78"/>
    <w:rsid w:val="009914D6"/>
    <w:rsid w:val="009E15EB"/>
    <w:rsid w:val="00A5705D"/>
    <w:rsid w:val="00A77E28"/>
    <w:rsid w:val="00AE0DD1"/>
    <w:rsid w:val="00AE3F3B"/>
    <w:rsid w:val="00AE5F3F"/>
    <w:rsid w:val="00AF11B5"/>
    <w:rsid w:val="00B01C88"/>
    <w:rsid w:val="00B2117F"/>
    <w:rsid w:val="00B5607A"/>
    <w:rsid w:val="00B65751"/>
    <w:rsid w:val="00BA68CB"/>
    <w:rsid w:val="00BC2958"/>
    <w:rsid w:val="00BD19C2"/>
    <w:rsid w:val="00BD631D"/>
    <w:rsid w:val="00C01008"/>
    <w:rsid w:val="00C10482"/>
    <w:rsid w:val="00C202C7"/>
    <w:rsid w:val="00C208FE"/>
    <w:rsid w:val="00C33A3A"/>
    <w:rsid w:val="00C77F5C"/>
    <w:rsid w:val="00CC02C3"/>
    <w:rsid w:val="00CE228A"/>
    <w:rsid w:val="00CE774E"/>
    <w:rsid w:val="00D05B09"/>
    <w:rsid w:val="00D12A55"/>
    <w:rsid w:val="00D13234"/>
    <w:rsid w:val="00D24A83"/>
    <w:rsid w:val="00D518EC"/>
    <w:rsid w:val="00D64649"/>
    <w:rsid w:val="00D857E6"/>
    <w:rsid w:val="00D9441C"/>
    <w:rsid w:val="00DF585C"/>
    <w:rsid w:val="00E569F8"/>
    <w:rsid w:val="00E778A1"/>
    <w:rsid w:val="00E95107"/>
    <w:rsid w:val="00EB49A7"/>
    <w:rsid w:val="00EB7E8F"/>
    <w:rsid w:val="00EC3738"/>
    <w:rsid w:val="00EF2F97"/>
    <w:rsid w:val="00EF50A2"/>
    <w:rsid w:val="00F0083A"/>
    <w:rsid w:val="00F07416"/>
    <w:rsid w:val="00F156C0"/>
    <w:rsid w:val="00F550D9"/>
    <w:rsid w:val="00F61E57"/>
    <w:rsid w:val="00F65150"/>
    <w:rsid w:val="00F906C6"/>
    <w:rsid w:val="00FA6331"/>
    <w:rsid w:val="00FA66A3"/>
    <w:rsid w:val="00FE1854"/>
    <w:rsid w:val="00FF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4DE8D2-12EF-481E-93AE-16BE99E1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202C7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EncabezadoCar">
    <w:name w:val="Encabezado Car"/>
    <w:link w:val="Encabezado"/>
    <w:rsid w:val="00C202C7"/>
    <w:rPr>
      <w:rFonts w:eastAsia="MS Mincho"/>
      <w:sz w:val="22"/>
      <w:szCs w:val="22"/>
    </w:rPr>
  </w:style>
  <w:style w:type="paragraph" w:styleId="Piedepgina">
    <w:name w:val="footer"/>
    <w:basedOn w:val="Normal"/>
    <w:link w:val="PiedepginaCar"/>
    <w:unhideWhenUsed/>
    <w:rsid w:val="00C202C7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PiedepginaCar">
    <w:name w:val="Pie de página Car"/>
    <w:link w:val="Piedepgina"/>
    <w:rsid w:val="00C202C7"/>
    <w:rPr>
      <w:rFonts w:eastAsia="MS Mincho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C202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ipervnculo">
    <w:name w:val="Hyperlink"/>
    <w:uiPriority w:val="99"/>
    <w:unhideWhenUsed/>
    <w:rsid w:val="00C202C7"/>
    <w:rPr>
      <w:color w:val="0563C1"/>
      <w:u w:val="single"/>
    </w:rPr>
  </w:style>
  <w:style w:type="paragraph" w:styleId="Sangradetextonormal">
    <w:name w:val="Body Text Indent"/>
    <w:link w:val="SangradetextonormalCar"/>
    <w:rsid w:val="00C202C7"/>
    <w:pPr>
      <w:pBdr>
        <w:top w:val="nil"/>
        <w:left w:val="nil"/>
        <w:bottom w:val="nil"/>
        <w:right w:val="nil"/>
        <w:between w:val="nil"/>
        <w:bar w:val="nil"/>
      </w:pBdr>
      <w:ind w:left="2160" w:hanging="720"/>
    </w:pPr>
    <w:rPr>
      <w:rFonts w:ascii="Times New Roman" w:eastAsia="Times New Roman" w:hAnsi="Times New Roman"/>
      <w:color w:val="000000"/>
      <w:sz w:val="24"/>
      <w:szCs w:val="24"/>
      <w:u w:color="000000"/>
      <w:bdr w:val="nil"/>
      <w:lang w:val="es-ES_tradnl" w:eastAsia="es-ES"/>
    </w:rPr>
  </w:style>
  <w:style w:type="character" w:customStyle="1" w:styleId="SangradetextonormalCar">
    <w:name w:val="Sangría de texto normal Car"/>
    <w:link w:val="Sangradetextonormal"/>
    <w:rsid w:val="00C202C7"/>
    <w:rPr>
      <w:rFonts w:ascii="Times New Roman" w:eastAsia="Times New Roman" w:hAnsi="Times New Roman"/>
      <w:color w:val="000000"/>
      <w:sz w:val="24"/>
      <w:szCs w:val="24"/>
      <w:u w:color="000000"/>
      <w:bdr w:val="nil"/>
      <w:lang w:val="es-ES_tradnl" w:eastAsia="es-ES"/>
    </w:rPr>
  </w:style>
  <w:style w:type="paragraph" w:customStyle="1" w:styleId="Style2">
    <w:name w:val="Style2"/>
    <w:basedOn w:val="Normal"/>
    <w:qFormat/>
    <w:rsid w:val="009066C8"/>
    <w:pPr>
      <w:numPr>
        <w:numId w:val="2"/>
      </w:numPr>
      <w:spacing w:after="0" w:line="240" w:lineRule="auto"/>
      <w:jc w:val="both"/>
    </w:pPr>
    <w:rPr>
      <w:rFonts w:ascii="Cambria" w:eastAsia="Arial Unicode MS" w:hAnsi="Cambria"/>
      <w:sz w:val="20"/>
      <w:szCs w:val="20"/>
      <w:bdr w:val="nil"/>
      <w:lang w:val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EB49A7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  <w:ind w:left="360"/>
    </w:pPr>
    <w:rPr>
      <w:rFonts w:ascii="Times New Roman" w:eastAsia="Arial Unicode MS" w:hAnsi="Times New Roman"/>
      <w:sz w:val="16"/>
      <w:szCs w:val="16"/>
      <w:bdr w:val="nil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EB49A7"/>
    <w:rPr>
      <w:rFonts w:ascii="Times New Roman" w:eastAsia="Arial Unicode MS" w:hAnsi="Times New Roman"/>
      <w:sz w:val="16"/>
      <w:szCs w:val="16"/>
      <w:bdr w:val="nil"/>
    </w:rPr>
  </w:style>
  <w:style w:type="paragraph" w:styleId="Listavistosa-nfasis1">
    <w:name w:val="Colorful List Accent 1"/>
    <w:basedOn w:val="Normal"/>
    <w:uiPriority w:val="34"/>
    <w:qFormat/>
    <w:rsid w:val="006700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/>
      <w:sz w:val="24"/>
      <w:szCs w:val="24"/>
      <w:bdr w:val="ni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1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61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4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305BF-E2AF-49E1-B63D-5D17FABD0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1616</Words>
  <Characters>9217</Characters>
  <Application>Microsoft Office Word</Application>
  <DocSecurity>0</DocSecurity>
  <Lines>76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</dc:creator>
  <cp:keywords/>
  <cp:lastModifiedBy>Liliana Tojo</cp:lastModifiedBy>
  <cp:revision>2</cp:revision>
  <cp:lastPrinted>2019-07-11T20:37:00Z</cp:lastPrinted>
  <dcterms:created xsi:type="dcterms:W3CDTF">2019-12-06T17:29:00Z</dcterms:created>
  <dcterms:modified xsi:type="dcterms:W3CDTF">2019-12-06T17:29:00Z</dcterms:modified>
</cp:coreProperties>
</file>