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765" w:rsidRPr="000F1E4F" w:rsidRDefault="00FA0765" w:rsidP="00B06614">
      <w:pPr>
        <w:contextualSpacing/>
        <w:jc w:val="center"/>
        <w:rPr>
          <w:rFonts w:ascii="Verdana" w:hAnsi="Verdana"/>
          <w:b/>
          <w:sz w:val="20"/>
          <w:lang w:val="es-MX"/>
        </w:rPr>
      </w:pPr>
      <w:r w:rsidRPr="000F1E4F">
        <w:rPr>
          <w:rFonts w:ascii="Verdana" w:hAnsi="Verdana"/>
          <w:b/>
          <w:sz w:val="20"/>
          <w:lang w:val="es-MX"/>
        </w:rPr>
        <w:t xml:space="preserve">RESOLUCIÓN DE LA </w:t>
      </w:r>
    </w:p>
    <w:p w:rsidR="0017363E" w:rsidRDefault="00FA0765" w:rsidP="00B06614">
      <w:pPr>
        <w:contextualSpacing/>
        <w:jc w:val="center"/>
        <w:rPr>
          <w:rFonts w:eastAsia="Calibri"/>
          <w:lang w:eastAsia="es-CR"/>
        </w:rPr>
      </w:pPr>
      <w:r w:rsidRPr="00B71CCB">
        <w:rPr>
          <w:rFonts w:ascii="Verdana" w:hAnsi="Verdana"/>
          <w:b/>
          <w:sz w:val="20"/>
          <w:lang w:val="es-MX"/>
        </w:rPr>
        <w:t xml:space="preserve">CORTE </w:t>
      </w:r>
      <w:r w:rsidRPr="0017363E">
        <w:rPr>
          <w:rFonts w:ascii="Verdana" w:hAnsi="Verdana"/>
          <w:b/>
          <w:sz w:val="20"/>
          <w:lang w:val="es-MX"/>
        </w:rPr>
        <w:t>INTERAMERICANA</w:t>
      </w:r>
      <w:r w:rsidRPr="00B71CCB">
        <w:rPr>
          <w:rFonts w:ascii="Verdana" w:hAnsi="Verdana"/>
          <w:b/>
          <w:sz w:val="20"/>
          <w:lang w:val="es-MX"/>
        </w:rPr>
        <w:t xml:space="preserve"> DE DERECHOS HUMANOS</w:t>
      </w:r>
      <w:r w:rsidR="00CA7486">
        <w:rPr>
          <w:rFonts w:ascii="Verdana" w:hAnsi="Verdana"/>
          <w:b/>
          <w:sz w:val="20"/>
          <w:lang w:val="es-MX"/>
        </w:rPr>
        <w:t>*</w:t>
      </w:r>
    </w:p>
    <w:p w:rsidR="005763C1" w:rsidRPr="00105F53" w:rsidRDefault="005763C1" w:rsidP="00B06614">
      <w:pPr>
        <w:contextualSpacing/>
        <w:jc w:val="center"/>
        <w:rPr>
          <w:rFonts w:ascii="Verdana" w:eastAsia="Calibri" w:hAnsi="Verdana"/>
          <w:sz w:val="14"/>
          <w:szCs w:val="14"/>
          <w:lang w:eastAsia="es-CR"/>
        </w:rPr>
      </w:pPr>
    </w:p>
    <w:p w:rsidR="0065520B" w:rsidRDefault="00966E85" w:rsidP="00B06614">
      <w:pPr>
        <w:contextualSpacing/>
        <w:jc w:val="center"/>
        <w:rPr>
          <w:rFonts w:ascii="Verdana" w:hAnsi="Verdana"/>
          <w:b/>
          <w:smallCaps/>
          <w:sz w:val="20"/>
        </w:rPr>
      </w:pPr>
      <w:r w:rsidRPr="007E7F74">
        <w:rPr>
          <w:rFonts w:ascii="Verdana" w:hAnsi="Verdana"/>
          <w:b/>
          <w:smallCaps/>
          <w:sz w:val="20"/>
        </w:rPr>
        <w:t xml:space="preserve">DE </w:t>
      </w:r>
      <w:r w:rsidR="009B7B3D">
        <w:rPr>
          <w:rFonts w:ascii="Verdana" w:hAnsi="Verdana"/>
          <w:b/>
          <w:smallCaps/>
          <w:sz w:val="20"/>
        </w:rPr>
        <w:t>22</w:t>
      </w:r>
      <w:r w:rsidR="00B82CB7" w:rsidRPr="007E7F74">
        <w:rPr>
          <w:rFonts w:ascii="Verdana" w:hAnsi="Verdana"/>
          <w:b/>
          <w:smallCaps/>
          <w:sz w:val="20"/>
        </w:rPr>
        <w:t xml:space="preserve"> </w:t>
      </w:r>
      <w:r w:rsidR="0065520B" w:rsidRPr="007E7F74">
        <w:rPr>
          <w:rFonts w:ascii="Verdana" w:hAnsi="Verdana"/>
          <w:b/>
          <w:smallCaps/>
          <w:sz w:val="20"/>
        </w:rPr>
        <w:t>DE</w:t>
      </w:r>
      <w:r w:rsidR="00AF1972" w:rsidRPr="00AB04CC">
        <w:rPr>
          <w:rFonts w:ascii="Verdana" w:hAnsi="Verdana"/>
          <w:b/>
          <w:smallCaps/>
          <w:sz w:val="20"/>
        </w:rPr>
        <w:t xml:space="preserve"> </w:t>
      </w:r>
      <w:r w:rsidR="00CA7486">
        <w:rPr>
          <w:rFonts w:ascii="Verdana" w:hAnsi="Verdana"/>
          <w:b/>
          <w:smallCaps/>
          <w:sz w:val="20"/>
        </w:rPr>
        <w:t>NOVIEMBRE</w:t>
      </w:r>
      <w:r w:rsidR="00E73956">
        <w:rPr>
          <w:rFonts w:ascii="Verdana" w:hAnsi="Verdana"/>
          <w:b/>
          <w:smallCaps/>
          <w:sz w:val="20"/>
        </w:rPr>
        <w:t xml:space="preserve"> </w:t>
      </w:r>
      <w:r w:rsidR="00AF1972" w:rsidRPr="00AB04CC">
        <w:rPr>
          <w:rFonts w:ascii="Verdana" w:hAnsi="Verdana"/>
          <w:b/>
          <w:smallCaps/>
          <w:sz w:val="20"/>
        </w:rPr>
        <w:t xml:space="preserve">DE </w:t>
      </w:r>
      <w:r w:rsidR="0065520B" w:rsidRPr="00AB04CC">
        <w:rPr>
          <w:rFonts w:ascii="Verdana" w:hAnsi="Verdana"/>
          <w:b/>
          <w:smallCaps/>
          <w:sz w:val="20"/>
        </w:rPr>
        <w:t>201</w:t>
      </w:r>
      <w:r>
        <w:rPr>
          <w:rFonts w:ascii="Verdana" w:hAnsi="Verdana"/>
          <w:b/>
          <w:smallCaps/>
          <w:sz w:val="20"/>
        </w:rPr>
        <w:t>9</w:t>
      </w:r>
    </w:p>
    <w:p w:rsidR="00A050E0" w:rsidRDefault="00A050E0" w:rsidP="00A050E0">
      <w:pPr>
        <w:contextualSpacing/>
        <w:jc w:val="center"/>
        <w:rPr>
          <w:rFonts w:ascii="Verdana" w:hAnsi="Verdana"/>
          <w:b/>
          <w:sz w:val="20"/>
          <w:szCs w:val="20"/>
        </w:rPr>
      </w:pPr>
    </w:p>
    <w:p w:rsidR="00A050E0" w:rsidRPr="00A050E0" w:rsidRDefault="00A050E0" w:rsidP="00A050E0">
      <w:pPr>
        <w:contextualSpacing/>
        <w:jc w:val="center"/>
        <w:rPr>
          <w:rFonts w:ascii="Verdana" w:hAnsi="Verdana"/>
          <w:b/>
          <w:i/>
          <w:sz w:val="20"/>
          <w:szCs w:val="20"/>
        </w:rPr>
      </w:pPr>
      <w:r w:rsidRPr="00A050E0">
        <w:rPr>
          <w:rFonts w:ascii="Verdana" w:hAnsi="Verdana"/>
          <w:b/>
          <w:i/>
          <w:sz w:val="20"/>
          <w:szCs w:val="20"/>
        </w:rPr>
        <w:t>CASO ISAZA URIBE Y OTROS VS. COLOMBIA</w:t>
      </w:r>
    </w:p>
    <w:p w:rsidR="005763C1" w:rsidRPr="00496FE7" w:rsidRDefault="005763C1" w:rsidP="00B06614">
      <w:pPr>
        <w:contextualSpacing/>
        <w:jc w:val="center"/>
        <w:rPr>
          <w:rFonts w:ascii="Verdana" w:hAnsi="Verdana"/>
          <w:b/>
          <w:smallCaps/>
          <w:sz w:val="14"/>
          <w:szCs w:val="14"/>
        </w:rPr>
      </w:pPr>
    </w:p>
    <w:p w:rsidR="00CA7486" w:rsidRDefault="00CA7486" w:rsidP="00B06614">
      <w:pPr>
        <w:contextualSpacing/>
        <w:jc w:val="center"/>
        <w:rPr>
          <w:rFonts w:ascii="Verdana" w:hAnsi="Verdana"/>
          <w:b/>
          <w:smallCaps/>
          <w:sz w:val="20"/>
          <w:szCs w:val="20"/>
        </w:rPr>
      </w:pPr>
      <w:r>
        <w:rPr>
          <w:rFonts w:ascii="Verdana" w:hAnsi="Verdana"/>
          <w:b/>
          <w:smallCaps/>
          <w:sz w:val="20"/>
          <w:szCs w:val="20"/>
        </w:rPr>
        <w:t>SUPERVISIÓN DE CUMPLIMIENTO DE SENTENCIA Y</w:t>
      </w:r>
    </w:p>
    <w:p w:rsidR="00E73956" w:rsidRDefault="00F40386" w:rsidP="00B06614">
      <w:pPr>
        <w:contextualSpacing/>
        <w:jc w:val="center"/>
        <w:rPr>
          <w:rFonts w:ascii="Verdana" w:hAnsi="Verdana"/>
          <w:b/>
          <w:smallCaps/>
          <w:sz w:val="20"/>
          <w:szCs w:val="20"/>
        </w:rPr>
      </w:pPr>
      <w:r>
        <w:rPr>
          <w:rFonts w:ascii="Verdana" w:hAnsi="Verdana"/>
          <w:b/>
          <w:smallCaps/>
          <w:sz w:val="20"/>
          <w:szCs w:val="20"/>
        </w:rPr>
        <w:t xml:space="preserve">REINTEGRO AL </w:t>
      </w:r>
      <w:r w:rsidR="0065520B" w:rsidRPr="00F10321">
        <w:rPr>
          <w:rFonts w:ascii="Verdana" w:hAnsi="Verdana"/>
          <w:b/>
          <w:smallCaps/>
          <w:sz w:val="20"/>
          <w:szCs w:val="20"/>
        </w:rPr>
        <w:t>FONDO DE ASISTENCIA LEGAL DE VÍCTIMAS</w:t>
      </w:r>
    </w:p>
    <w:p w:rsidR="00C1325B" w:rsidRDefault="00C1325B" w:rsidP="00B06614">
      <w:pPr>
        <w:contextualSpacing/>
        <w:jc w:val="both"/>
        <w:rPr>
          <w:rFonts w:ascii="Verdana" w:hAnsi="Verdana"/>
          <w:sz w:val="10"/>
          <w:szCs w:val="10"/>
        </w:rPr>
      </w:pPr>
    </w:p>
    <w:p w:rsidR="00105F53" w:rsidRPr="00496FE7" w:rsidRDefault="00105F53" w:rsidP="00B06614">
      <w:pPr>
        <w:contextualSpacing/>
        <w:jc w:val="both"/>
        <w:rPr>
          <w:rFonts w:ascii="Verdana" w:hAnsi="Verdana"/>
          <w:sz w:val="10"/>
          <w:szCs w:val="10"/>
        </w:rPr>
      </w:pPr>
    </w:p>
    <w:p w:rsidR="0065520B" w:rsidRPr="00F10321" w:rsidRDefault="0065520B" w:rsidP="00B06614">
      <w:pPr>
        <w:contextualSpacing/>
        <w:rPr>
          <w:rFonts w:ascii="Verdana" w:hAnsi="Verdana"/>
          <w:b/>
          <w:sz w:val="20"/>
        </w:rPr>
      </w:pPr>
      <w:r w:rsidRPr="00F10321">
        <w:rPr>
          <w:rFonts w:ascii="Verdana" w:hAnsi="Verdana"/>
          <w:b/>
          <w:sz w:val="20"/>
        </w:rPr>
        <w:t>VISTO:</w:t>
      </w:r>
    </w:p>
    <w:p w:rsidR="0065520B" w:rsidRPr="00496FE7" w:rsidRDefault="0065520B" w:rsidP="00B06614">
      <w:pPr>
        <w:contextualSpacing/>
        <w:rPr>
          <w:rFonts w:ascii="Verdana" w:hAnsi="Verdana"/>
          <w:sz w:val="10"/>
          <w:szCs w:val="10"/>
        </w:rPr>
      </w:pPr>
    </w:p>
    <w:p w:rsidR="00FE1438" w:rsidRPr="00722A99" w:rsidRDefault="00EE4992" w:rsidP="00B06614">
      <w:pPr>
        <w:pStyle w:val="Cuadrculamedia1-nfasis2"/>
        <w:numPr>
          <w:ilvl w:val="0"/>
          <w:numId w:val="14"/>
        </w:numPr>
        <w:ind w:left="0" w:firstLine="0"/>
        <w:contextualSpacing/>
        <w:jc w:val="both"/>
        <w:rPr>
          <w:rFonts w:ascii="Verdana" w:eastAsia="Calibri" w:hAnsi="Verdana"/>
          <w:sz w:val="20"/>
          <w:szCs w:val="20"/>
          <w:lang w:eastAsia="en-US"/>
        </w:rPr>
      </w:pPr>
      <w:bookmarkStart w:id="0" w:name="_Ref536711835"/>
      <w:r w:rsidRPr="00DA67F6">
        <w:rPr>
          <w:rFonts w:ascii="Verdana" w:eastAsia="Calibri" w:hAnsi="Verdana"/>
          <w:sz w:val="20"/>
          <w:szCs w:val="20"/>
          <w:lang w:eastAsia="en-US"/>
        </w:rPr>
        <w:t xml:space="preserve">La Sentencia de </w:t>
      </w:r>
      <w:r w:rsidR="00FE1438" w:rsidRPr="00DA67F6">
        <w:rPr>
          <w:rFonts w:ascii="Verdana" w:eastAsia="Calibri" w:hAnsi="Verdana"/>
          <w:sz w:val="20"/>
          <w:szCs w:val="20"/>
          <w:lang w:eastAsia="en-US"/>
        </w:rPr>
        <w:t xml:space="preserve">fondo, reparaciones y costas </w:t>
      </w:r>
      <w:r w:rsidR="00C03F79">
        <w:rPr>
          <w:rFonts w:ascii="Verdana" w:eastAsia="Calibri" w:hAnsi="Verdana"/>
          <w:sz w:val="20"/>
          <w:szCs w:val="20"/>
          <w:lang w:eastAsia="en-US"/>
        </w:rPr>
        <w:t xml:space="preserve">(en adelante “la Sentencia”) </w:t>
      </w:r>
      <w:r w:rsidR="00FE1438" w:rsidRPr="00DA67F6">
        <w:rPr>
          <w:rFonts w:ascii="Verdana" w:eastAsia="Calibri" w:hAnsi="Verdana"/>
          <w:sz w:val="20"/>
          <w:szCs w:val="20"/>
          <w:lang w:eastAsia="en-US"/>
        </w:rPr>
        <w:t>dictada por la Corte Interamericana de Derechos Humanos (en adelante “la Corte”, “la Corte Intera</w:t>
      </w:r>
      <w:r w:rsidRPr="00DA67F6">
        <w:rPr>
          <w:rFonts w:ascii="Verdana" w:eastAsia="Calibri" w:hAnsi="Verdana"/>
          <w:sz w:val="20"/>
          <w:szCs w:val="20"/>
          <w:lang w:eastAsia="en-US"/>
        </w:rPr>
        <w:t xml:space="preserve">mericana” o “el Tribunal”) el 20 de </w:t>
      </w:r>
      <w:r w:rsidR="00CA7486">
        <w:rPr>
          <w:rFonts w:ascii="Verdana" w:eastAsia="Calibri" w:hAnsi="Verdana"/>
          <w:sz w:val="20"/>
          <w:szCs w:val="20"/>
          <w:lang w:eastAsia="en-US"/>
        </w:rPr>
        <w:t>noviembre de 2018</w:t>
      </w:r>
      <w:r w:rsidR="00FE1438" w:rsidRPr="00FE1438">
        <w:rPr>
          <w:rFonts w:ascii="Verdana" w:eastAsia="Calibri" w:hAnsi="Verdana"/>
          <w:sz w:val="20"/>
          <w:szCs w:val="20"/>
          <w:vertAlign w:val="superscript"/>
          <w:lang w:eastAsia="en-US"/>
        </w:rPr>
        <w:footnoteReference w:id="1"/>
      </w:r>
      <w:r w:rsidR="00FE1438" w:rsidRPr="00DA67F6">
        <w:rPr>
          <w:rFonts w:ascii="Verdana" w:eastAsia="Calibri" w:hAnsi="Verdana"/>
          <w:sz w:val="20"/>
          <w:szCs w:val="20"/>
          <w:lang w:eastAsia="en-US"/>
        </w:rPr>
        <w:t>. En dicha Sentencia</w:t>
      </w:r>
      <w:r w:rsidR="00FE1438" w:rsidRPr="00722A99">
        <w:rPr>
          <w:rFonts w:ascii="Verdana" w:eastAsia="Calibri" w:hAnsi="Verdana"/>
          <w:sz w:val="20"/>
          <w:szCs w:val="20"/>
          <w:lang w:eastAsia="en-US"/>
        </w:rPr>
        <w:t xml:space="preserve">, </w:t>
      </w:r>
      <w:r w:rsidR="00722A99" w:rsidRPr="00722A99">
        <w:rPr>
          <w:rFonts w:ascii="Verdana" w:eastAsia="Calibri" w:hAnsi="Verdana"/>
          <w:sz w:val="20"/>
          <w:szCs w:val="20"/>
          <w:lang w:eastAsia="en-US"/>
        </w:rPr>
        <w:t xml:space="preserve">la Corte </w:t>
      </w:r>
      <w:r w:rsidR="00722A99" w:rsidRPr="00722A99">
        <w:rPr>
          <w:rFonts w:ascii="Verdana" w:hAnsi="Verdana"/>
          <w:sz w:val="20"/>
          <w:szCs w:val="20"/>
        </w:rPr>
        <w:t xml:space="preserve">declaró </w:t>
      </w:r>
      <w:r w:rsidR="00D77FF5" w:rsidRPr="00722A99">
        <w:rPr>
          <w:rFonts w:ascii="Verdana" w:hAnsi="Verdana"/>
          <w:sz w:val="20"/>
          <w:szCs w:val="20"/>
        </w:rPr>
        <w:t xml:space="preserve">internacionalmente </w:t>
      </w:r>
      <w:r w:rsidR="00722A99" w:rsidRPr="00722A99">
        <w:rPr>
          <w:rFonts w:ascii="Verdana" w:hAnsi="Verdana"/>
          <w:sz w:val="20"/>
          <w:szCs w:val="20"/>
        </w:rPr>
        <w:t>responsable al Estado de Colombia por la desaparición forzada del señor Víctor Manuel Isaza Uribe, ocurrida el 19 de noviembre de 1987</w:t>
      </w:r>
      <w:r w:rsidR="00722A99">
        <w:rPr>
          <w:rFonts w:ascii="Verdana" w:hAnsi="Verdana"/>
          <w:sz w:val="20"/>
          <w:szCs w:val="20"/>
        </w:rPr>
        <w:t xml:space="preserve">, </w:t>
      </w:r>
      <w:r w:rsidR="00722A99" w:rsidRPr="00722A99">
        <w:rPr>
          <w:rFonts w:ascii="Verdana" w:hAnsi="Verdana"/>
          <w:sz w:val="20"/>
          <w:szCs w:val="20"/>
        </w:rPr>
        <w:t>en el municipio de Puerto Nare, Departamento de Antioquia, cuando un grupo de hombres no identificados lo sustrajeron de la cárcel del municipio, mientras se encontraba en detención preventiva. Él era miembro del Sindicato Único de Trabajadores de la Industria de Materiales de la Construcción (SUTIMAC) y simpatizante del partido político Unión Patriótica (UP). La Corte consideró responsable al Estado por la violación de los derechos a la personalidad jurídica, a la vida, a la integridad personal, a la libertad pe</w:t>
      </w:r>
      <w:r w:rsidR="00722A99">
        <w:rPr>
          <w:rFonts w:ascii="Verdana" w:hAnsi="Verdana"/>
          <w:sz w:val="20"/>
          <w:szCs w:val="20"/>
        </w:rPr>
        <w:t>rsonal</w:t>
      </w:r>
      <w:r w:rsidR="00FA73B1">
        <w:rPr>
          <w:rFonts w:ascii="Verdana" w:hAnsi="Verdana"/>
          <w:sz w:val="20"/>
          <w:szCs w:val="20"/>
        </w:rPr>
        <w:t>,</w:t>
      </w:r>
      <w:r w:rsidR="00722A99">
        <w:rPr>
          <w:rFonts w:ascii="Verdana" w:hAnsi="Verdana"/>
          <w:sz w:val="20"/>
          <w:szCs w:val="20"/>
        </w:rPr>
        <w:t xml:space="preserve"> a la libertad sindical</w:t>
      </w:r>
      <w:r w:rsidR="00FA73B1">
        <w:rPr>
          <w:rFonts w:ascii="Verdana" w:hAnsi="Verdana"/>
          <w:sz w:val="20"/>
          <w:szCs w:val="20"/>
        </w:rPr>
        <w:t>, a las garantías judiciales y a la protección judicial</w:t>
      </w:r>
      <w:r w:rsidR="00722A99">
        <w:rPr>
          <w:rFonts w:ascii="Verdana" w:hAnsi="Verdana"/>
          <w:sz w:val="20"/>
          <w:szCs w:val="20"/>
        </w:rPr>
        <w:t xml:space="preserve"> en perjuicio del señor Isaza Uribe. El Tribunal también estableció que Colombia era responsable por la violación </w:t>
      </w:r>
      <w:r w:rsidR="00FA73B1" w:rsidRPr="00FA73B1">
        <w:rPr>
          <w:rFonts w:ascii="Verdana" w:hAnsi="Verdana"/>
          <w:sz w:val="20"/>
          <w:szCs w:val="20"/>
        </w:rPr>
        <w:t xml:space="preserve">de </w:t>
      </w:r>
      <w:r w:rsidR="00722A99" w:rsidRPr="00FA73B1">
        <w:rPr>
          <w:rFonts w:ascii="Verdana" w:hAnsi="Verdana"/>
          <w:sz w:val="20"/>
          <w:szCs w:val="20"/>
        </w:rPr>
        <w:t>los dere</w:t>
      </w:r>
      <w:r w:rsidR="00FA73B1" w:rsidRPr="00FA73B1">
        <w:rPr>
          <w:rFonts w:ascii="Verdana" w:hAnsi="Verdana"/>
          <w:sz w:val="20"/>
          <w:szCs w:val="20"/>
        </w:rPr>
        <w:t>chos a las garantías judiciales y</w:t>
      </w:r>
      <w:r w:rsidR="00722A99" w:rsidRPr="00FA73B1">
        <w:rPr>
          <w:rFonts w:ascii="Verdana" w:hAnsi="Verdana"/>
          <w:sz w:val="20"/>
          <w:szCs w:val="20"/>
        </w:rPr>
        <w:t xml:space="preserve"> a la protección judicial</w:t>
      </w:r>
      <w:r w:rsidR="00FA73B1" w:rsidRPr="00FA73B1">
        <w:rPr>
          <w:rFonts w:ascii="Verdana" w:hAnsi="Verdana"/>
          <w:sz w:val="20"/>
          <w:szCs w:val="20"/>
        </w:rPr>
        <w:t>, así como del derecho</w:t>
      </w:r>
      <w:r w:rsidR="00722A99" w:rsidRPr="00FA73B1">
        <w:rPr>
          <w:rFonts w:ascii="Verdana" w:hAnsi="Verdana"/>
          <w:sz w:val="20"/>
          <w:szCs w:val="20"/>
        </w:rPr>
        <w:t xml:space="preserve"> a conocer</w:t>
      </w:r>
      <w:r w:rsidR="00722A99" w:rsidRPr="00722A99">
        <w:rPr>
          <w:rFonts w:ascii="Verdana" w:hAnsi="Verdana"/>
          <w:sz w:val="20"/>
          <w:szCs w:val="20"/>
        </w:rPr>
        <w:t xml:space="preserve"> la verdad y del derecho a la integridad personal de los familiares</w:t>
      </w:r>
      <w:r w:rsidR="00FA73B1">
        <w:rPr>
          <w:rFonts w:ascii="Verdana" w:hAnsi="Verdana"/>
          <w:sz w:val="20"/>
          <w:szCs w:val="20"/>
        </w:rPr>
        <w:t xml:space="preserve"> de la referida víctima</w:t>
      </w:r>
      <w:r w:rsidR="00FA73B1">
        <w:rPr>
          <w:rStyle w:val="Refdenotaalpie"/>
          <w:sz w:val="20"/>
          <w:szCs w:val="20"/>
        </w:rPr>
        <w:footnoteReference w:id="2"/>
      </w:r>
      <w:r w:rsidR="00722A99" w:rsidRPr="00722A99">
        <w:rPr>
          <w:rFonts w:ascii="Verdana" w:hAnsi="Verdana"/>
          <w:sz w:val="20"/>
          <w:szCs w:val="20"/>
        </w:rPr>
        <w:t>.</w:t>
      </w:r>
      <w:r w:rsidR="00722A99" w:rsidRPr="00722A99">
        <w:rPr>
          <w:rFonts w:ascii="Verdana" w:eastAsia="Calibri" w:hAnsi="Verdana"/>
          <w:sz w:val="20"/>
          <w:szCs w:val="20"/>
          <w:lang w:eastAsia="en-US"/>
        </w:rPr>
        <w:t xml:space="preserve"> </w:t>
      </w:r>
      <w:r w:rsidR="00FE1438" w:rsidRPr="00722A99">
        <w:rPr>
          <w:rFonts w:ascii="Verdana" w:eastAsia="Calibri" w:hAnsi="Verdana"/>
          <w:sz w:val="20"/>
          <w:szCs w:val="20"/>
          <w:lang w:eastAsia="en-US"/>
        </w:rPr>
        <w:t xml:space="preserve">El Tribunal estableció que su Sentencia constituía por sí </w:t>
      </w:r>
      <w:r w:rsidR="00D93E1D">
        <w:rPr>
          <w:rFonts w:ascii="Verdana" w:eastAsia="Calibri" w:hAnsi="Verdana"/>
          <w:sz w:val="20"/>
          <w:szCs w:val="20"/>
          <w:lang w:eastAsia="en-US"/>
        </w:rPr>
        <w:t>misma una forma de reparación y</w:t>
      </w:r>
      <w:r w:rsidR="00D77FF5">
        <w:rPr>
          <w:rFonts w:ascii="Verdana" w:eastAsia="Calibri" w:hAnsi="Verdana"/>
          <w:sz w:val="20"/>
          <w:szCs w:val="20"/>
          <w:lang w:eastAsia="en-US"/>
        </w:rPr>
        <w:t>, adicionalmente, ordenó al Estado</w:t>
      </w:r>
      <w:r w:rsidR="00D77FF5" w:rsidRPr="00722A99">
        <w:rPr>
          <w:rFonts w:ascii="Verdana" w:eastAsia="Calibri" w:hAnsi="Verdana"/>
          <w:sz w:val="20"/>
          <w:szCs w:val="20"/>
          <w:lang w:eastAsia="en-US"/>
        </w:rPr>
        <w:t xml:space="preserve"> de</w:t>
      </w:r>
      <w:r w:rsidR="00D77FF5">
        <w:rPr>
          <w:rFonts w:ascii="Verdana" w:eastAsia="Calibri" w:hAnsi="Verdana"/>
          <w:sz w:val="20"/>
          <w:szCs w:val="20"/>
          <w:lang w:eastAsia="en-US"/>
        </w:rPr>
        <w:t>terminadas</w:t>
      </w:r>
      <w:r w:rsidR="00D77FF5" w:rsidRPr="00722A99">
        <w:rPr>
          <w:rFonts w:ascii="Verdana" w:eastAsia="Calibri" w:hAnsi="Verdana"/>
          <w:sz w:val="20"/>
          <w:szCs w:val="20"/>
          <w:lang w:eastAsia="en-US"/>
        </w:rPr>
        <w:t xml:space="preserve"> medidas de reparación, así como el reintegro al </w:t>
      </w:r>
      <w:r w:rsidR="00D77FF5" w:rsidRPr="00722A99">
        <w:rPr>
          <w:rFonts w:ascii="Verdana" w:hAnsi="Verdana"/>
          <w:sz w:val="20"/>
          <w:szCs w:val="20"/>
        </w:rPr>
        <w:t>Fondo de Asistencia Legal de Víctimas de la Corte Interamericana (en adelante “el Fondo de Asistencia”)</w:t>
      </w:r>
      <w:r w:rsidR="00D77FF5">
        <w:rPr>
          <w:rFonts w:ascii="Verdana" w:hAnsi="Verdana"/>
          <w:sz w:val="20"/>
          <w:szCs w:val="20"/>
        </w:rPr>
        <w:t xml:space="preserve"> (</w:t>
      </w:r>
      <w:r w:rsidR="00D77FF5">
        <w:rPr>
          <w:rFonts w:ascii="Verdana" w:hAnsi="Verdana"/>
          <w:i/>
          <w:sz w:val="20"/>
          <w:szCs w:val="20"/>
        </w:rPr>
        <w:t xml:space="preserve">infra </w:t>
      </w:r>
      <w:r w:rsidR="00D77FF5">
        <w:rPr>
          <w:rFonts w:ascii="Verdana" w:hAnsi="Verdana"/>
          <w:sz w:val="20"/>
          <w:szCs w:val="20"/>
        </w:rPr>
        <w:t>Considerando 1)</w:t>
      </w:r>
      <w:r w:rsidR="00FE1438" w:rsidRPr="00722A99">
        <w:rPr>
          <w:rFonts w:ascii="Verdana" w:eastAsia="Calibri" w:hAnsi="Verdana"/>
          <w:sz w:val="20"/>
          <w:szCs w:val="20"/>
          <w:lang w:eastAsia="en-US"/>
        </w:rPr>
        <w:t>.</w:t>
      </w:r>
      <w:bookmarkEnd w:id="0"/>
      <w:r w:rsidR="00FE1438" w:rsidRPr="00722A99">
        <w:rPr>
          <w:rFonts w:ascii="Verdana" w:eastAsia="Calibri" w:hAnsi="Verdana"/>
          <w:sz w:val="20"/>
          <w:szCs w:val="20"/>
          <w:lang w:eastAsia="en-US"/>
        </w:rPr>
        <w:t xml:space="preserve"> </w:t>
      </w:r>
    </w:p>
    <w:p w:rsidR="00747893" w:rsidRPr="00496FE7" w:rsidRDefault="00747893" w:rsidP="00B06614">
      <w:pPr>
        <w:pStyle w:val="Cuadrculamedia1-nfasis2"/>
        <w:ind w:left="0"/>
        <w:contextualSpacing/>
        <w:jc w:val="both"/>
        <w:rPr>
          <w:rFonts w:ascii="Verdana" w:eastAsia="Calibri" w:hAnsi="Verdana"/>
          <w:sz w:val="10"/>
          <w:szCs w:val="10"/>
          <w:lang w:eastAsia="en-US"/>
        </w:rPr>
      </w:pPr>
    </w:p>
    <w:p w:rsidR="00EE30BB" w:rsidRPr="00EE30BB" w:rsidRDefault="00EE30BB" w:rsidP="00B06614">
      <w:pPr>
        <w:numPr>
          <w:ilvl w:val="0"/>
          <w:numId w:val="14"/>
        </w:numPr>
        <w:ind w:left="0" w:firstLine="0"/>
        <w:contextualSpacing/>
        <w:jc w:val="both"/>
        <w:rPr>
          <w:rFonts w:ascii="Verdana" w:hAnsi="Verdana"/>
          <w:b/>
          <w:sz w:val="20"/>
          <w:szCs w:val="20"/>
        </w:rPr>
      </w:pPr>
      <w:bookmarkStart w:id="1" w:name="_Ref504383791"/>
      <w:r>
        <w:rPr>
          <w:rFonts w:ascii="Verdana" w:hAnsi="Verdana"/>
          <w:sz w:val="20"/>
          <w:szCs w:val="20"/>
        </w:rPr>
        <w:t xml:space="preserve">Los informes presentados por el Estado el 21 de junio, 5 de julio y 29 de octubre de 2019. </w:t>
      </w:r>
    </w:p>
    <w:p w:rsidR="00EE30BB" w:rsidRPr="00496FE7" w:rsidRDefault="00EE30BB" w:rsidP="00D43320">
      <w:pPr>
        <w:pStyle w:val="Prrafodelista"/>
      </w:pPr>
    </w:p>
    <w:p w:rsidR="007E7F74" w:rsidRDefault="00EE30BB" w:rsidP="00B06614">
      <w:pPr>
        <w:numPr>
          <w:ilvl w:val="0"/>
          <w:numId w:val="14"/>
        </w:numPr>
        <w:ind w:left="0" w:firstLine="0"/>
        <w:contextualSpacing/>
        <w:jc w:val="both"/>
        <w:rPr>
          <w:rFonts w:ascii="Verdana" w:hAnsi="Verdana"/>
          <w:b/>
          <w:sz w:val="20"/>
          <w:szCs w:val="20"/>
        </w:rPr>
      </w:pPr>
      <w:r>
        <w:rPr>
          <w:rFonts w:ascii="Verdana" w:hAnsi="Verdana"/>
          <w:sz w:val="20"/>
          <w:szCs w:val="20"/>
        </w:rPr>
        <w:t>Los escritos de observaciones presentados por los representantes de las víctimas</w:t>
      </w:r>
      <w:r w:rsidR="00AC5CAA">
        <w:rPr>
          <w:rStyle w:val="Refdenotaalpie"/>
          <w:sz w:val="20"/>
          <w:szCs w:val="20"/>
        </w:rPr>
        <w:footnoteReference w:id="3"/>
      </w:r>
      <w:r>
        <w:rPr>
          <w:rFonts w:ascii="Verdana" w:hAnsi="Verdana"/>
          <w:sz w:val="20"/>
          <w:szCs w:val="20"/>
        </w:rPr>
        <w:t xml:space="preserve"> el 23 de ju</w:t>
      </w:r>
      <w:r w:rsidR="00EF53FB">
        <w:rPr>
          <w:rFonts w:ascii="Verdana" w:hAnsi="Verdana"/>
          <w:sz w:val="20"/>
          <w:szCs w:val="20"/>
        </w:rPr>
        <w:t>l</w:t>
      </w:r>
      <w:r>
        <w:rPr>
          <w:rFonts w:ascii="Verdana" w:hAnsi="Verdana"/>
          <w:sz w:val="20"/>
          <w:szCs w:val="20"/>
        </w:rPr>
        <w:t>io y 27 de agosto de 2019.</w:t>
      </w:r>
    </w:p>
    <w:p w:rsidR="007E7F74" w:rsidRPr="00496FE7" w:rsidRDefault="007E7F74" w:rsidP="00D43320">
      <w:pPr>
        <w:pStyle w:val="Prrafodelista"/>
      </w:pPr>
    </w:p>
    <w:p w:rsidR="007523FD" w:rsidRPr="007523FD" w:rsidRDefault="007523FD" w:rsidP="00B06614">
      <w:pPr>
        <w:numPr>
          <w:ilvl w:val="0"/>
          <w:numId w:val="14"/>
        </w:numPr>
        <w:ind w:left="0" w:firstLine="0"/>
        <w:contextualSpacing/>
        <w:jc w:val="both"/>
        <w:rPr>
          <w:rFonts w:ascii="Verdana" w:hAnsi="Verdana"/>
          <w:b/>
          <w:sz w:val="20"/>
          <w:szCs w:val="20"/>
        </w:rPr>
      </w:pPr>
      <w:r>
        <w:rPr>
          <w:rFonts w:ascii="Verdana" w:hAnsi="Verdana"/>
          <w:sz w:val="20"/>
          <w:szCs w:val="20"/>
        </w:rPr>
        <w:t xml:space="preserve">El escrito de observaciones presentado por la Comisión Interamericana de Derechos Humanos (en adelante “la Comisión Interamericana” o “la Comisión”) el 29 de agosto de 2019. </w:t>
      </w:r>
    </w:p>
    <w:p w:rsidR="007E7F74" w:rsidRPr="00496FE7" w:rsidRDefault="007E7F74" w:rsidP="00D43320">
      <w:pPr>
        <w:pStyle w:val="Prrafodelista"/>
      </w:pPr>
    </w:p>
    <w:bookmarkEnd w:id="1"/>
    <w:p w:rsidR="0065520B" w:rsidRPr="00D43320" w:rsidRDefault="0065520B" w:rsidP="00D43320">
      <w:pPr>
        <w:pStyle w:val="Prrafodelista"/>
        <w:rPr>
          <w:b/>
        </w:rPr>
      </w:pPr>
      <w:r w:rsidRPr="00D43320">
        <w:rPr>
          <w:b/>
        </w:rPr>
        <w:t>CONSIDERANDO QUE:</w:t>
      </w:r>
    </w:p>
    <w:p w:rsidR="00747893" w:rsidRPr="00A057CA" w:rsidRDefault="00747893" w:rsidP="00B06614">
      <w:pPr>
        <w:tabs>
          <w:tab w:val="left" w:pos="680"/>
        </w:tabs>
        <w:contextualSpacing/>
        <w:jc w:val="both"/>
        <w:rPr>
          <w:rFonts w:ascii="Verdana" w:hAnsi="Verdana"/>
          <w:sz w:val="20"/>
          <w:szCs w:val="20"/>
        </w:rPr>
      </w:pPr>
    </w:p>
    <w:p w:rsidR="007523FD" w:rsidRPr="00B06614" w:rsidRDefault="00D43320" w:rsidP="00D43320">
      <w:pPr>
        <w:pStyle w:val="Prrafodelista"/>
        <w:rPr>
          <w:b/>
        </w:rPr>
      </w:pPr>
      <w:r>
        <w:t>1.</w:t>
      </w:r>
      <w:r>
        <w:tab/>
        <w:t xml:space="preserve"> </w:t>
      </w:r>
      <w:bookmarkStart w:id="2" w:name="_Ref21962517"/>
      <w:r w:rsidR="007523FD" w:rsidRPr="00512230">
        <w:t xml:space="preserve">En el ejercicio de </w:t>
      </w:r>
      <w:r w:rsidR="007523FD" w:rsidRPr="00512230">
        <w:rPr>
          <w:lang w:val="es-ES"/>
        </w:rPr>
        <w:t xml:space="preserve">su función jurisdiccional de </w:t>
      </w:r>
      <w:r w:rsidR="007523FD" w:rsidRPr="00512230">
        <w:t>supervisar el cumplimiento de sus decisiones</w:t>
      </w:r>
      <w:r w:rsidR="007523FD" w:rsidRPr="00512230">
        <w:rPr>
          <w:rStyle w:val="Refdenotaalpie"/>
        </w:rPr>
        <w:footnoteReference w:id="4"/>
      </w:r>
      <w:r w:rsidR="007523FD" w:rsidRPr="00512230">
        <w:t>, la Corte ha venido supervisando la ejecución de la Sentencia emitida en el presente caso en el 2018 (</w:t>
      </w:r>
      <w:r w:rsidR="007523FD" w:rsidRPr="00512230">
        <w:rPr>
          <w:i/>
        </w:rPr>
        <w:t>supra</w:t>
      </w:r>
      <w:r w:rsidR="007523FD" w:rsidRPr="00512230">
        <w:t xml:space="preserve"> Visto</w:t>
      </w:r>
      <w:r w:rsidR="00EB49E5">
        <w:t xml:space="preserve"> 1</w:t>
      </w:r>
      <w:r w:rsidR="007523FD" w:rsidRPr="00512230">
        <w:t xml:space="preserve">). En dicho fallo la Corte dispuso </w:t>
      </w:r>
      <w:r w:rsidR="007523FD">
        <w:t>ocho</w:t>
      </w:r>
      <w:r w:rsidR="007523FD" w:rsidRPr="00512230">
        <w:t xml:space="preserve"> medidas de reparación (</w:t>
      </w:r>
      <w:r w:rsidR="007523FD" w:rsidRPr="00512230">
        <w:rPr>
          <w:i/>
        </w:rPr>
        <w:t>infra</w:t>
      </w:r>
      <w:r w:rsidR="007523FD" w:rsidRPr="00512230">
        <w:t xml:space="preserve"> Considerando </w:t>
      </w:r>
      <w:r w:rsidR="00F503B8">
        <w:t>3</w:t>
      </w:r>
      <w:r w:rsidR="007523FD">
        <w:t xml:space="preserve"> y punto resolutivo </w:t>
      </w:r>
      <w:r w:rsidR="00F503B8">
        <w:t>3</w:t>
      </w:r>
      <w:r w:rsidR="007523FD" w:rsidRPr="00512230">
        <w:t xml:space="preserve">). Además, se dispuso que el Estado debía reintegrar al Fondo de Asistencia Legal </w:t>
      </w:r>
      <w:r w:rsidR="007523FD" w:rsidRPr="00512230">
        <w:lastRenderedPageBreak/>
        <w:t>de las Víctimas de la Corte la cantidad erogada durante la tramitación de la etapa de fondo del presente caso (</w:t>
      </w:r>
      <w:r w:rsidR="007523FD" w:rsidRPr="00512230">
        <w:rPr>
          <w:i/>
        </w:rPr>
        <w:t>infra</w:t>
      </w:r>
      <w:r w:rsidR="007523FD" w:rsidRPr="00512230">
        <w:t xml:space="preserve"> Considerando</w:t>
      </w:r>
      <w:r w:rsidR="00B31130">
        <w:t xml:space="preserve"> 7</w:t>
      </w:r>
      <w:r w:rsidR="007523FD" w:rsidRPr="00512230">
        <w:t>).</w:t>
      </w:r>
      <w:bookmarkEnd w:id="2"/>
      <w:r w:rsidR="007523FD" w:rsidRPr="00512230">
        <w:t xml:space="preserve"> </w:t>
      </w:r>
    </w:p>
    <w:p w:rsidR="00B06614" w:rsidRPr="00496FE7" w:rsidRDefault="00B06614" w:rsidP="00D43320">
      <w:pPr>
        <w:pStyle w:val="Prrafodelista"/>
      </w:pPr>
    </w:p>
    <w:p w:rsidR="007523FD" w:rsidRPr="00B06614" w:rsidRDefault="00D43320" w:rsidP="00D43320">
      <w:pPr>
        <w:pStyle w:val="Prrafodelista"/>
        <w:rPr>
          <w:b/>
          <w:szCs w:val="24"/>
        </w:rPr>
      </w:pPr>
      <w:r>
        <w:t xml:space="preserve">2. </w:t>
      </w:r>
      <w:r>
        <w:tab/>
      </w:r>
      <w:r w:rsidR="007523FD" w:rsidRPr="00512230">
        <w:t>De conformidad con lo establecido en el artículo 68.1 de la Convención Americana</w:t>
      </w:r>
      <w:r w:rsidR="007523FD">
        <w:t xml:space="preserve"> sobre Derechos Humanos</w:t>
      </w:r>
      <w:r w:rsidR="007523FD" w:rsidRPr="00512230">
        <w:t>,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bookmarkStart w:id="3" w:name="_Ref21964606"/>
      <w:r w:rsidR="007523FD" w:rsidRPr="00512230">
        <w:rPr>
          <w:rStyle w:val="Refdenotaalpie"/>
        </w:rPr>
        <w:footnoteReference w:id="5"/>
      </w:r>
      <w:bookmarkEnd w:id="3"/>
      <w:r w:rsidR="007523FD" w:rsidRPr="00512230">
        <w:t>.</w:t>
      </w:r>
      <w:r w:rsidR="007523FD" w:rsidRPr="00512230">
        <w:rPr>
          <w:rFonts w:ascii="Times New Roman" w:hAnsi="Times New Roman"/>
          <w:sz w:val="24"/>
          <w:szCs w:val="24"/>
        </w:rPr>
        <w:t xml:space="preserve"> </w:t>
      </w:r>
      <w:r w:rsidR="007523FD" w:rsidRPr="00512230">
        <w:t>Los Estados Parte en la Convención deben garantizar el cumplimiento de las disposiciones convencionales y sus efectos propios (</w:t>
      </w:r>
      <w:r w:rsidR="007523FD" w:rsidRPr="00512230">
        <w:rPr>
          <w:i/>
        </w:rPr>
        <w:t>effet utile</w:t>
      </w:r>
      <w:r w:rsidR="007523FD" w:rsidRPr="00512230">
        <w:t>) en el plano de sus respectivos derechos internos. Estas obligaciones deben ser interpretadas y aplicadas de manera que la garantía protegida sea verdaderamente práctica y eficaz, teniendo presente la naturaleza especial de los tratados de derechos humanos</w:t>
      </w:r>
      <w:r w:rsidR="007523FD" w:rsidRPr="00512230">
        <w:rPr>
          <w:rStyle w:val="Refdenotaalpie"/>
        </w:rPr>
        <w:footnoteReference w:id="6"/>
      </w:r>
      <w:r w:rsidR="007523FD" w:rsidRPr="00512230">
        <w:t>.</w:t>
      </w:r>
    </w:p>
    <w:p w:rsidR="00B06614" w:rsidRPr="00496FE7" w:rsidRDefault="00B06614" w:rsidP="00D43320">
      <w:pPr>
        <w:pStyle w:val="Prrafodelista"/>
      </w:pPr>
    </w:p>
    <w:p w:rsidR="00747893" w:rsidRPr="00B06614" w:rsidRDefault="00D43320" w:rsidP="00D43320">
      <w:pPr>
        <w:pStyle w:val="Prrafodelista"/>
        <w:rPr>
          <w:b/>
        </w:rPr>
      </w:pPr>
      <w:r>
        <w:t xml:space="preserve">3. </w:t>
      </w:r>
      <w:r>
        <w:tab/>
      </w:r>
      <w:r w:rsidR="007523FD" w:rsidRPr="007523FD">
        <w:t xml:space="preserve">Seguidamente, la Corte valorará la información presentada por las partes y la Comisión Interamericana respecto </w:t>
      </w:r>
      <w:r w:rsidR="00B31130">
        <w:t xml:space="preserve">de </w:t>
      </w:r>
      <w:r w:rsidR="007523FD">
        <w:t xml:space="preserve">las medidas </w:t>
      </w:r>
      <w:r w:rsidR="007523FD" w:rsidRPr="00B06614">
        <w:t>relativas a</w:t>
      </w:r>
      <w:r w:rsidR="00B06614">
        <w:t xml:space="preserve"> la</w:t>
      </w:r>
      <w:r w:rsidR="007523FD" w:rsidRPr="00B06614">
        <w:t xml:space="preserve"> difusión y publicación de la Sentencia, así como sobre el reintegro al Fondo de Asistencia Legal de Víctimas. Debido a que aún no ha vencido el plazo de un año, contado a partir de la notificación de la Sentencia, para que el Estado presente su primer informe sobre el cumplimiento de las otras medidas dispuestas en la misma, el Tribunal se pronunciará sobre dichas medidas en una posterior resolución (</w:t>
      </w:r>
      <w:r w:rsidR="007523FD" w:rsidRPr="00496FE7">
        <w:rPr>
          <w:i/>
        </w:rPr>
        <w:t>supra</w:t>
      </w:r>
      <w:r w:rsidR="007523FD" w:rsidRPr="00B06614">
        <w:t xml:space="preserve"> Considera</w:t>
      </w:r>
      <w:r w:rsidR="00496FE7">
        <w:t>ndo 1 e infra punto resolutivo 3</w:t>
      </w:r>
      <w:r w:rsidR="007523FD" w:rsidRPr="00B06614">
        <w:t>).</w:t>
      </w:r>
      <w:r w:rsidR="00E42C18">
        <w:t xml:space="preserve"> </w:t>
      </w:r>
      <w:r w:rsidR="00A057CA">
        <w:t xml:space="preserve">La Corte </w:t>
      </w:r>
      <w:r w:rsidR="00E42C18">
        <w:t xml:space="preserve">estructurará sus consideraciones de la siguiente manera: </w:t>
      </w:r>
    </w:p>
    <w:p w:rsidR="00496FE7" w:rsidRPr="00A057CA" w:rsidRDefault="00496FE7" w:rsidP="00B06614">
      <w:pPr>
        <w:contextualSpacing/>
        <w:jc w:val="both"/>
        <w:rPr>
          <w:rFonts w:ascii="Verdana" w:hAnsi="Verdana"/>
          <w:sz w:val="20"/>
          <w:szCs w:val="20"/>
        </w:rPr>
      </w:pPr>
    </w:p>
    <w:p w:rsidR="00E42C18" w:rsidRPr="00E42C18" w:rsidRDefault="00E42C18" w:rsidP="00E42C18">
      <w:pPr>
        <w:pStyle w:val="TDC1"/>
        <w:tabs>
          <w:tab w:val="left" w:pos="440"/>
          <w:tab w:val="right" w:leader="dot" w:pos="10070"/>
        </w:tabs>
        <w:ind w:left="1080" w:hanging="360"/>
        <w:rPr>
          <w:rFonts w:ascii="Verdana" w:hAnsi="Verdana"/>
          <w:noProof/>
          <w:sz w:val="18"/>
          <w:szCs w:val="18"/>
        </w:rPr>
      </w:pPr>
      <w:r w:rsidRPr="00E42C18">
        <w:rPr>
          <w:rFonts w:ascii="Verdana" w:hAnsi="Verdana"/>
          <w:b/>
          <w:bCs/>
          <w:sz w:val="18"/>
          <w:szCs w:val="18"/>
          <w:lang w:val="es-ES"/>
        </w:rPr>
        <w:fldChar w:fldCharType="begin"/>
      </w:r>
      <w:r w:rsidRPr="00E42C18">
        <w:rPr>
          <w:rFonts w:ascii="Verdana" w:hAnsi="Verdana"/>
          <w:b/>
          <w:bCs/>
          <w:sz w:val="18"/>
          <w:szCs w:val="18"/>
          <w:lang w:val="es-ES"/>
        </w:rPr>
        <w:instrText xml:space="preserve"> TOC \o "1-3" \h \z \u </w:instrText>
      </w:r>
      <w:r w:rsidRPr="00E42C18">
        <w:rPr>
          <w:rFonts w:ascii="Verdana" w:hAnsi="Verdana"/>
          <w:b/>
          <w:bCs/>
          <w:sz w:val="18"/>
          <w:szCs w:val="18"/>
          <w:lang w:val="es-ES"/>
        </w:rPr>
        <w:fldChar w:fldCharType="separate"/>
      </w:r>
      <w:hyperlink w:anchor="_Toc24542533" w:history="1">
        <w:r w:rsidRPr="00E42C18">
          <w:rPr>
            <w:rStyle w:val="Hipervnculo"/>
            <w:rFonts w:ascii="Verdana" w:hAnsi="Verdana"/>
            <w:noProof/>
            <w:sz w:val="18"/>
            <w:szCs w:val="18"/>
          </w:rPr>
          <w:t>A.</w:t>
        </w:r>
        <w:r w:rsidRPr="00E42C18">
          <w:rPr>
            <w:rFonts w:ascii="Verdana" w:hAnsi="Verdana"/>
            <w:noProof/>
            <w:sz w:val="18"/>
            <w:szCs w:val="18"/>
          </w:rPr>
          <w:tab/>
        </w:r>
        <w:r w:rsidRPr="00E42C18">
          <w:rPr>
            <w:rStyle w:val="Hipervnculo"/>
            <w:rFonts w:ascii="Verdana" w:hAnsi="Verdana"/>
            <w:noProof/>
            <w:sz w:val="18"/>
            <w:szCs w:val="18"/>
          </w:rPr>
          <w:t>Publicación y difusión de la Sentencia</w:t>
        </w:r>
        <w:r w:rsidRPr="00E42C18">
          <w:rPr>
            <w:rFonts w:ascii="Verdana" w:hAnsi="Verdana"/>
            <w:noProof/>
            <w:webHidden/>
            <w:sz w:val="18"/>
            <w:szCs w:val="18"/>
          </w:rPr>
          <w:tab/>
        </w:r>
        <w:r w:rsidRPr="00E42C18">
          <w:rPr>
            <w:rFonts w:ascii="Verdana" w:hAnsi="Verdana"/>
            <w:noProof/>
            <w:webHidden/>
            <w:sz w:val="18"/>
            <w:szCs w:val="18"/>
          </w:rPr>
          <w:fldChar w:fldCharType="begin"/>
        </w:r>
        <w:r w:rsidRPr="00E42C18">
          <w:rPr>
            <w:rFonts w:ascii="Verdana" w:hAnsi="Verdana"/>
            <w:noProof/>
            <w:webHidden/>
            <w:sz w:val="18"/>
            <w:szCs w:val="18"/>
          </w:rPr>
          <w:instrText xml:space="preserve"> PAGEREF _Toc24542533 \h </w:instrText>
        </w:r>
        <w:r w:rsidRPr="00E42C18">
          <w:rPr>
            <w:rFonts w:ascii="Verdana" w:hAnsi="Verdana"/>
            <w:noProof/>
            <w:webHidden/>
            <w:sz w:val="18"/>
            <w:szCs w:val="18"/>
          </w:rPr>
        </w:r>
        <w:r w:rsidRPr="00E42C18">
          <w:rPr>
            <w:rFonts w:ascii="Verdana" w:hAnsi="Verdana"/>
            <w:noProof/>
            <w:webHidden/>
            <w:sz w:val="18"/>
            <w:szCs w:val="18"/>
          </w:rPr>
          <w:fldChar w:fldCharType="separate"/>
        </w:r>
        <w:r w:rsidR="00C6492C">
          <w:rPr>
            <w:rFonts w:ascii="Verdana" w:hAnsi="Verdana"/>
            <w:noProof/>
            <w:webHidden/>
            <w:sz w:val="18"/>
            <w:szCs w:val="18"/>
          </w:rPr>
          <w:t>2</w:t>
        </w:r>
        <w:r w:rsidRPr="00E42C18">
          <w:rPr>
            <w:rFonts w:ascii="Verdana" w:hAnsi="Verdana"/>
            <w:noProof/>
            <w:webHidden/>
            <w:sz w:val="18"/>
            <w:szCs w:val="18"/>
          </w:rPr>
          <w:fldChar w:fldCharType="end"/>
        </w:r>
      </w:hyperlink>
    </w:p>
    <w:p w:rsidR="00E42C18" w:rsidRPr="00E42C18" w:rsidRDefault="00E42C18" w:rsidP="00E42C18">
      <w:pPr>
        <w:pStyle w:val="TDC1"/>
        <w:tabs>
          <w:tab w:val="left" w:pos="440"/>
          <w:tab w:val="right" w:leader="dot" w:pos="10070"/>
        </w:tabs>
        <w:ind w:left="1080" w:hanging="360"/>
        <w:rPr>
          <w:rFonts w:ascii="Verdana" w:hAnsi="Verdana"/>
          <w:noProof/>
          <w:sz w:val="18"/>
          <w:szCs w:val="18"/>
        </w:rPr>
      </w:pPr>
      <w:hyperlink w:anchor="_Toc24542534" w:history="1">
        <w:r w:rsidRPr="00E42C18">
          <w:rPr>
            <w:rStyle w:val="Hipervnculo"/>
            <w:rFonts w:ascii="Verdana" w:hAnsi="Verdana"/>
            <w:noProof/>
            <w:sz w:val="18"/>
            <w:szCs w:val="18"/>
          </w:rPr>
          <w:t>B.</w:t>
        </w:r>
        <w:r w:rsidRPr="00E42C18">
          <w:rPr>
            <w:rFonts w:ascii="Verdana" w:hAnsi="Verdana"/>
            <w:noProof/>
            <w:sz w:val="18"/>
            <w:szCs w:val="18"/>
          </w:rPr>
          <w:tab/>
        </w:r>
        <w:r w:rsidRPr="00E42C18">
          <w:rPr>
            <w:rStyle w:val="Hipervnculo"/>
            <w:rFonts w:ascii="Verdana" w:hAnsi="Verdana"/>
            <w:noProof/>
            <w:sz w:val="18"/>
            <w:szCs w:val="18"/>
          </w:rPr>
          <w:t>Reintegro al Fondo de Asistencia Legal de Víctimas</w:t>
        </w:r>
        <w:r w:rsidRPr="00E42C18">
          <w:rPr>
            <w:rFonts w:ascii="Verdana" w:hAnsi="Verdana"/>
            <w:noProof/>
            <w:webHidden/>
            <w:sz w:val="18"/>
            <w:szCs w:val="18"/>
          </w:rPr>
          <w:tab/>
        </w:r>
        <w:r w:rsidRPr="00E42C18">
          <w:rPr>
            <w:rFonts w:ascii="Verdana" w:hAnsi="Verdana"/>
            <w:noProof/>
            <w:webHidden/>
            <w:sz w:val="18"/>
            <w:szCs w:val="18"/>
          </w:rPr>
          <w:fldChar w:fldCharType="begin"/>
        </w:r>
        <w:r w:rsidRPr="00E42C18">
          <w:rPr>
            <w:rFonts w:ascii="Verdana" w:hAnsi="Verdana"/>
            <w:noProof/>
            <w:webHidden/>
            <w:sz w:val="18"/>
            <w:szCs w:val="18"/>
          </w:rPr>
          <w:instrText xml:space="preserve"> PAGEREF _Toc24542534 \h </w:instrText>
        </w:r>
        <w:r w:rsidRPr="00E42C18">
          <w:rPr>
            <w:rFonts w:ascii="Verdana" w:hAnsi="Verdana"/>
            <w:noProof/>
            <w:webHidden/>
            <w:sz w:val="18"/>
            <w:szCs w:val="18"/>
          </w:rPr>
        </w:r>
        <w:r w:rsidRPr="00E42C18">
          <w:rPr>
            <w:rFonts w:ascii="Verdana" w:hAnsi="Verdana"/>
            <w:noProof/>
            <w:webHidden/>
            <w:sz w:val="18"/>
            <w:szCs w:val="18"/>
          </w:rPr>
          <w:fldChar w:fldCharType="separate"/>
        </w:r>
        <w:r w:rsidR="00C6492C">
          <w:rPr>
            <w:rFonts w:ascii="Verdana" w:hAnsi="Verdana"/>
            <w:noProof/>
            <w:webHidden/>
            <w:sz w:val="18"/>
            <w:szCs w:val="18"/>
          </w:rPr>
          <w:t>3</w:t>
        </w:r>
        <w:r w:rsidRPr="00E42C18">
          <w:rPr>
            <w:rFonts w:ascii="Verdana" w:hAnsi="Verdana"/>
            <w:noProof/>
            <w:webHidden/>
            <w:sz w:val="18"/>
            <w:szCs w:val="18"/>
          </w:rPr>
          <w:fldChar w:fldCharType="end"/>
        </w:r>
      </w:hyperlink>
    </w:p>
    <w:p w:rsidR="00E42C18" w:rsidRDefault="00E42C18" w:rsidP="00E42C18">
      <w:pPr>
        <w:ind w:left="1080" w:hanging="360"/>
        <w:rPr>
          <w:rFonts w:ascii="Verdana" w:hAnsi="Verdana"/>
          <w:sz w:val="10"/>
          <w:szCs w:val="10"/>
        </w:rPr>
      </w:pPr>
      <w:r w:rsidRPr="00E42C18">
        <w:rPr>
          <w:rFonts w:ascii="Verdana" w:hAnsi="Verdana"/>
          <w:b/>
          <w:bCs/>
          <w:sz w:val="18"/>
          <w:szCs w:val="18"/>
          <w:lang w:val="es-ES"/>
        </w:rPr>
        <w:fldChar w:fldCharType="end"/>
      </w:r>
    </w:p>
    <w:p w:rsidR="00E42C18" w:rsidRPr="00A057CA" w:rsidRDefault="00E42C18" w:rsidP="00B06614">
      <w:pPr>
        <w:contextualSpacing/>
        <w:jc w:val="both"/>
        <w:rPr>
          <w:rFonts w:ascii="Verdana" w:hAnsi="Verdana"/>
          <w:sz w:val="20"/>
          <w:szCs w:val="20"/>
        </w:rPr>
      </w:pPr>
    </w:p>
    <w:p w:rsidR="00B06614" w:rsidRPr="00A057CA" w:rsidRDefault="00B06614" w:rsidP="00D43320">
      <w:pPr>
        <w:pStyle w:val="Ttulo1"/>
      </w:pPr>
      <w:bookmarkStart w:id="4" w:name="_Toc11773442"/>
      <w:bookmarkStart w:id="5" w:name="_Toc24542533"/>
      <w:r w:rsidRPr="00A057CA">
        <w:t>Publicación y difusión de la Sentencia</w:t>
      </w:r>
      <w:bookmarkEnd w:id="4"/>
      <w:bookmarkEnd w:id="5"/>
    </w:p>
    <w:p w:rsidR="00496FE7" w:rsidRPr="00A057CA" w:rsidRDefault="00496FE7" w:rsidP="00D43320">
      <w:pPr>
        <w:pStyle w:val="Prrafodelista"/>
      </w:pPr>
    </w:p>
    <w:p w:rsidR="00B06614" w:rsidRPr="00E32457" w:rsidRDefault="00B06614" w:rsidP="00D43320">
      <w:pPr>
        <w:pStyle w:val="Prrafodelista"/>
        <w:numPr>
          <w:ilvl w:val="0"/>
          <w:numId w:val="17"/>
        </w:numPr>
        <w:rPr>
          <w:i/>
        </w:rPr>
      </w:pPr>
      <w:r w:rsidRPr="00E32457">
        <w:rPr>
          <w:i/>
        </w:rPr>
        <w:t>Medidas ordenadas por la Corte</w:t>
      </w:r>
    </w:p>
    <w:p w:rsidR="00B06614" w:rsidRPr="00A057CA" w:rsidRDefault="00B06614" w:rsidP="00D43320">
      <w:pPr>
        <w:pStyle w:val="Prrafodelista"/>
      </w:pPr>
    </w:p>
    <w:p w:rsidR="00B06614" w:rsidRPr="00B06614" w:rsidRDefault="00D43320" w:rsidP="00D43320">
      <w:pPr>
        <w:pStyle w:val="Prrafodelista"/>
      </w:pPr>
      <w:r>
        <w:t xml:space="preserve">4. </w:t>
      </w:r>
      <w:bookmarkStart w:id="6" w:name="_Ref21964103"/>
      <w:r>
        <w:tab/>
      </w:r>
      <w:r w:rsidR="00B06614" w:rsidRPr="00B06614">
        <w:t xml:space="preserve">En el punto resolutivo décimo tercero y en el párrafo 188 de la Sentencia, la Corte dispuso que el Estado debía, en el plazo de seis meses contados a </w:t>
      </w:r>
      <w:r w:rsidR="00B06614">
        <w:t>partir de la notificación de la</w:t>
      </w:r>
      <w:r w:rsidR="00B06614" w:rsidRPr="00B06614">
        <w:t xml:space="preserve"> Sentencia, realizar las siguientes publicaciones: a) el resumen oficial de la Sentencia, por una sola vez, en el diario oficial en un tamaño de letra legible y adecuado; b) </w:t>
      </w:r>
      <w:r w:rsidR="007D75B9" w:rsidRPr="00B06614">
        <w:t xml:space="preserve">el </w:t>
      </w:r>
      <w:r w:rsidR="007D75B9">
        <w:t xml:space="preserve">resumen oficial de la Sentencia, </w:t>
      </w:r>
      <w:r w:rsidR="00B06614" w:rsidRPr="00B06614">
        <w:t>por una sola vez, en un diario de amplia circulación a nivel nacional en un tamaño de letra legible y adecuado, y c) la Sentencia, en su integridad, disponible al menos por un período de un año, en un sitio web oficial, de manera accesible al público y desde la página de inicio del sitio web. Asimismo, se dispuso que el Estado debía informar de forma inmediata a esta Corte una vez que procediera a realizar cada una de las publicaciones dispuestas</w:t>
      </w:r>
      <w:bookmarkEnd w:id="6"/>
      <w:r w:rsidR="00B06614" w:rsidRPr="00B06614">
        <w:t>, independientemente del plazo de un año para presentar su primer informe dispuesto en la parte resolutiva de la Sentencia.</w:t>
      </w:r>
    </w:p>
    <w:p w:rsidR="00496FE7" w:rsidRDefault="00496FE7" w:rsidP="00D43320">
      <w:pPr>
        <w:pStyle w:val="Prrafodelista"/>
      </w:pPr>
    </w:p>
    <w:p w:rsidR="00E42C18" w:rsidRPr="00D43320" w:rsidRDefault="00E42C18" w:rsidP="00D43320">
      <w:pPr>
        <w:pStyle w:val="Prrafodelista"/>
      </w:pPr>
    </w:p>
    <w:p w:rsidR="00B06614" w:rsidRPr="00E32457" w:rsidRDefault="00B06614" w:rsidP="00D43320">
      <w:pPr>
        <w:pStyle w:val="Prrafodelista"/>
        <w:numPr>
          <w:ilvl w:val="0"/>
          <w:numId w:val="17"/>
        </w:numPr>
        <w:rPr>
          <w:i/>
        </w:rPr>
      </w:pPr>
      <w:r w:rsidRPr="00E32457">
        <w:rPr>
          <w:i/>
        </w:rPr>
        <w:t xml:space="preserve">Consideraciones de la Corte </w:t>
      </w:r>
    </w:p>
    <w:p w:rsidR="00B06614" w:rsidRPr="00D43320" w:rsidRDefault="00B06614" w:rsidP="00C6492C">
      <w:pPr>
        <w:spacing w:after="120"/>
        <w:contextualSpacing/>
        <w:jc w:val="both"/>
        <w:rPr>
          <w:rFonts w:ascii="Verdana" w:hAnsi="Verdana"/>
          <w:sz w:val="20"/>
          <w:szCs w:val="20"/>
        </w:rPr>
      </w:pPr>
    </w:p>
    <w:p w:rsidR="009C46D3" w:rsidRDefault="00D43320" w:rsidP="00C6492C">
      <w:pPr>
        <w:pStyle w:val="Prrafodelista"/>
        <w:spacing w:after="120"/>
      </w:pPr>
      <w:r>
        <w:t xml:space="preserve">5. </w:t>
      </w:r>
      <w:r>
        <w:tab/>
      </w:r>
      <w:r w:rsidR="00B06614" w:rsidRPr="009C46D3">
        <w:t>La Corte ha constatado, con base en el comprobante aportado por el Estado</w:t>
      </w:r>
      <w:r w:rsidR="009C46D3">
        <w:rPr>
          <w:rStyle w:val="Refdenotaalpie"/>
        </w:rPr>
        <w:footnoteReference w:id="7"/>
      </w:r>
      <w:r w:rsidR="00B06614" w:rsidRPr="009C46D3">
        <w:t xml:space="preserve">, que </w:t>
      </w:r>
      <w:r w:rsidR="009C46D3">
        <w:t>Colombia</w:t>
      </w:r>
      <w:r w:rsidR="00B06614" w:rsidRPr="009C46D3">
        <w:t xml:space="preserve"> cumplió, dentro del plazo establecido en el Fallo, con publicar el resumen oficial de la </w:t>
      </w:r>
      <w:r w:rsidR="009C46D3" w:rsidRPr="009C46D3">
        <w:t xml:space="preserve">Sentencia en el Diario Oficial. </w:t>
      </w:r>
      <w:r w:rsidR="00F972C6">
        <w:t>Por su parte</w:t>
      </w:r>
      <w:r w:rsidR="009C46D3">
        <w:t>, los representantes de la víctimas</w:t>
      </w:r>
      <w:r w:rsidR="00FE7B3A">
        <w:t xml:space="preserve"> señalaron que si bien la referida publicación se “realiz[ó] en los términos ordenados” en la Sentencia, la medida “p[erdió] su eficacia […] al no ser informada, oportunamente, a los familiares de las víctimas y sus representantes”</w:t>
      </w:r>
      <w:r w:rsidR="00FE7B3A">
        <w:rPr>
          <w:rStyle w:val="Refdenotaalpie"/>
        </w:rPr>
        <w:footnoteReference w:id="8"/>
      </w:r>
      <w:r w:rsidR="00FE7B3A">
        <w:t xml:space="preserve">. </w:t>
      </w:r>
      <w:r w:rsidR="00C01FFF">
        <w:t>Al respecto, esta Corte coincide con los representantes en cuanto a la importancia de que las víctimas se encuentren informadas de la publicación con inmediatez para que puedan tener acceso a la misma en la época en que se efectúa. Sin embargo, al evaluar el cumplimiento de la publicación, la Corte debe tomar en cuenta que la Sentencia no dispuso que el Estado debiera informar a los representantes antes de realizarla</w:t>
      </w:r>
      <w:r w:rsidR="00C01FFF">
        <w:rPr>
          <w:rStyle w:val="Refdenotaalpie"/>
        </w:rPr>
        <w:footnoteReference w:id="9"/>
      </w:r>
      <w:r w:rsidR="00C01FFF">
        <w:t xml:space="preserve">. </w:t>
      </w:r>
    </w:p>
    <w:p w:rsidR="00C01FFF" w:rsidRPr="00C01FFF" w:rsidRDefault="00C01FFF" w:rsidP="00C6492C">
      <w:pPr>
        <w:pStyle w:val="Prrafodelista"/>
        <w:spacing w:after="120"/>
      </w:pPr>
    </w:p>
    <w:p w:rsidR="00B06614" w:rsidRPr="006418A0" w:rsidRDefault="00D43320" w:rsidP="00C6492C">
      <w:pPr>
        <w:pStyle w:val="Prrafodelista"/>
        <w:spacing w:after="120"/>
      </w:pPr>
      <w:r>
        <w:t xml:space="preserve">6. </w:t>
      </w:r>
      <w:bookmarkStart w:id="7" w:name="_Ref22028951"/>
      <w:r>
        <w:tab/>
      </w:r>
      <w:r w:rsidR="00B06614" w:rsidRPr="006418A0">
        <w:t xml:space="preserve">En virtud de lo anterior, el Tribunal considera que </w:t>
      </w:r>
      <w:r w:rsidR="006418A0" w:rsidRPr="006418A0">
        <w:t>Colombia</w:t>
      </w:r>
      <w:r w:rsidR="00B06614" w:rsidRPr="006418A0">
        <w:t xml:space="preserve"> ha dado cumplimiento</w:t>
      </w:r>
      <w:r w:rsidR="006152A4">
        <w:t xml:space="preserve"> parcial a las medidas ordenada</w:t>
      </w:r>
      <w:r w:rsidR="00FD6430">
        <w:t>s</w:t>
      </w:r>
      <w:r w:rsidR="006152A4">
        <w:t xml:space="preserve"> en el </w:t>
      </w:r>
      <w:r w:rsidR="006152A4" w:rsidRPr="006418A0">
        <w:t>punto resolutivo décimo tercero de la Sentencia</w:t>
      </w:r>
      <w:r w:rsidR="006152A4">
        <w:t>, ya que cumplió con la medida</w:t>
      </w:r>
      <w:r w:rsidR="006152A4" w:rsidRPr="006418A0">
        <w:t xml:space="preserve"> </w:t>
      </w:r>
      <w:r w:rsidR="006152A4">
        <w:t>de</w:t>
      </w:r>
      <w:r w:rsidR="006418A0" w:rsidRPr="006418A0">
        <w:t xml:space="preserve"> publicación y difusión del resumen oficial de la Sentencia en el diario oficial, quedando pendiente de cumplimiento la publicación del resumen oficial de la Sentencia en un diario de amplia circulaci</w:t>
      </w:r>
      <w:r w:rsidR="006418A0">
        <w:t>ón nacional, así como</w:t>
      </w:r>
      <w:r w:rsidR="006418A0" w:rsidRPr="006418A0">
        <w:t xml:space="preserve"> </w:t>
      </w:r>
      <w:r w:rsidR="007B109F">
        <w:t xml:space="preserve">la publicación </w:t>
      </w:r>
      <w:r w:rsidR="006418A0" w:rsidRPr="006418A0">
        <w:t>de</w:t>
      </w:r>
      <w:r w:rsidR="006152A4">
        <w:t>l texto íntegro de</w:t>
      </w:r>
      <w:r w:rsidR="006418A0" w:rsidRPr="006418A0">
        <w:t xml:space="preserve"> la Sentencia en un sitio web oficial</w:t>
      </w:r>
      <w:r w:rsidR="006152A4">
        <w:t>.</w:t>
      </w:r>
      <w:r w:rsidR="006418A0" w:rsidRPr="006418A0">
        <w:t xml:space="preserve"> </w:t>
      </w:r>
      <w:bookmarkEnd w:id="7"/>
    </w:p>
    <w:p w:rsidR="00496FE7" w:rsidRPr="00D43320" w:rsidRDefault="00496FE7" w:rsidP="00C6492C">
      <w:pPr>
        <w:pStyle w:val="Prrafodelista"/>
        <w:spacing w:after="120"/>
      </w:pPr>
      <w:bookmarkStart w:id="8" w:name="_Toc11773444"/>
    </w:p>
    <w:p w:rsidR="00B06614" w:rsidRPr="00D43320" w:rsidRDefault="00B06614" w:rsidP="00C6492C">
      <w:pPr>
        <w:pStyle w:val="Ttulo1"/>
        <w:spacing w:after="120"/>
      </w:pPr>
      <w:bookmarkStart w:id="9" w:name="_Toc24542534"/>
      <w:r w:rsidRPr="00D43320">
        <w:t>Reintegro al Fondo de Asistencia Legal de Víctimas</w:t>
      </w:r>
      <w:bookmarkEnd w:id="8"/>
      <w:bookmarkEnd w:id="9"/>
    </w:p>
    <w:p w:rsidR="008464F3" w:rsidRPr="00D43320" w:rsidRDefault="008464F3" w:rsidP="00C6492C">
      <w:pPr>
        <w:pStyle w:val="Prrafodelista"/>
        <w:spacing w:after="120"/>
      </w:pPr>
      <w:bookmarkStart w:id="10" w:name="_Ref21964190"/>
    </w:p>
    <w:p w:rsidR="00B06614" w:rsidRDefault="00D43320" w:rsidP="00C6492C">
      <w:pPr>
        <w:pStyle w:val="Prrafodelista"/>
        <w:spacing w:after="120"/>
      </w:pPr>
      <w:r>
        <w:t xml:space="preserve">7. </w:t>
      </w:r>
      <w:r>
        <w:tab/>
      </w:r>
      <w:r w:rsidR="00B06614" w:rsidRPr="00A962E4">
        <w:t xml:space="preserve">En el punto resolutivo </w:t>
      </w:r>
      <w:r w:rsidR="00A962E4" w:rsidRPr="00A962E4">
        <w:t>décimo quinto</w:t>
      </w:r>
      <w:r w:rsidR="00B06614" w:rsidRPr="00A962E4">
        <w:t xml:space="preserve"> y </w:t>
      </w:r>
      <w:r w:rsidR="00A962E4" w:rsidRPr="00A962E4">
        <w:t>el párrafo 213</w:t>
      </w:r>
      <w:r w:rsidR="00B06614" w:rsidRPr="00A962E4">
        <w:t xml:space="preserve"> de la </w:t>
      </w:r>
      <w:r w:rsidR="00A962E4" w:rsidRPr="00A962E4">
        <w:t>Sentencia, la Corte ordenó</w:t>
      </w:r>
      <w:r w:rsidR="00B06614" w:rsidRPr="00A962E4">
        <w:t xml:space="preserve"> al Estado reintegrar al Fondo </w:t>
      </w:r>
      <w:r w:rsidR="00A962E4" w:rsidRPr="00A962E4">
        <w:t>de Asistencia Legal de Víctimas</w:t>
      </w:r>
      <w:r w:rsidR="00B06614" w:rsidRPr="00A962E4">
        <w:t xml:space="preserve"> la cantidad de US</w:t>
      </w:r>
      <w:r w:rsidR="00A962E4" w:rsidRPr="00A962E4">
        <w:t xml:space="preserve">D </w:t>
      </w:r>
      <w:r w:rsidR="00B06614" w:rsidRPr="00A962E4">
        <w:t>$</w:t>
      </w:r>
      <w:r w:rsidR="00A962E4" w:rsidRPr="00A962E4">
        <w:t>1</w:t>
      </w:r>
      <w:r w:rsidR="00B06614" w:rsidRPr="00A962E4">
        <w:t>,</w:t>
      </w:r>
      <w:r w:rsidR="00A962E4" w:rsidRPr="00A962E4">
        <w:t>172</w:t>
      </w:r>
      <w:r w:rsidR="00B06614" w:rsidRPr="00A962E4">
        <w:t>.</w:t>
      </w:r>
      <w:r w:rsidR="00A962E4" w:rsidRPr="00A962E4">
        <w:t>7</w:t>
      </w:r>
      <w:r w:rsidR="00B06614" w:rsidRPr="00A962E4">
        <w:t>0 (</w:t>
      </w:r>
      <w:r w:rsidR="00A962E4" w:rsidRPr="00A962E4">
        <w:t xml:space="preserve">mil ciento setenta y dos </w:t>
      </w:r>
      <w:r w:rsidR="00B06614" w:rsidRPr="00A962E4">
        <w:t xml:space="preserve">dólares de los Estados Unidos de América con </w:t>
      </w:r>
      <w:r w:rsidR="00A962E4" w:rsidRPr="00A962E4">
        <w:t>setenta</w:t>
      </w:r>
      <w:r w:rsidR="00B06614" w:rsidRPr="00A962E4">
        <w:t xml:space="preserve"> centavos) </w:t>
      </w:r>
      <w:r w:rsidR="00A962E4" w:rsidRPr="00A962E4">
        <w:t>“por concepto de los gastos pagados en aplicación del Fondo” durante la tramitación del caso</w:t>
      </w:r>
      <w:r w:rsidR="00E012BA">
        <w:t>.</w:t>
      </w:r>
      <w:r w:rsidR="00B06614" w:rsidRPr="00A962E4">
        <w:t xml:space="preserve"> Se estableció que </w:t>
      </w:r>
      <w:r w:rsidR="00A962E4" w:rsidRPr="00A962E4">
        <w:t>dicho monto deb</w:t>
      </w:r>
      <w:r w:rsidR="00B06614" w:rsidRPr="00A962E4">
        <w:t>ía ser reintegrado a la Corte Interamericana en el plazo de seis meses, contados a partir de la notificación de la Sentencia.</w:t>
      </w:r>
      <w:bookmarkEnd w:id="10"/>
      <w:r w:rsidR="00B06614" w:rsidRPr="00A962E4">
        <w:t xml:space="preserve"> </w:t>
      </w:r>
    </w:p>
    <w:p w:rsidR="0096602C" w:rsidRPr="00496FE7" w:rsidRDefault="0096602C" w:rsidP="00C6492C">
      <w:pPr>
        <w:pStyle w:val="Prrafodelista"/>
        <w:spacing w:after="120"/>
      </w:pPr>
    </w:p>
    <w:p w:rsidR="00B06614" w:rsidRDefault="00D43320" w:rsidP="00C6492C">
      <w:pPr>
        <w:pStyle w:val="Prrafodelista"/>
        <w:spacing w:after="120"/>
      </w:pPr>
      <w:r>
        <w:t xml:space="preserve">8. </w:t>
      </w:r>
      <w:r>
        <w:tab/>
      </w:r>
      <w:r w:rsidR="00B06614" w:rsidRPr="00512230">
        <w:t xml:space="preserve">El Tribunal confirma que, mediante transferencia bancaria realizada el </w:t>
      </w:r>
      <w:r w:rsidR="00F5142D">
        <w:t>19 d</w:t>
      </w:r>
      <w:r w:rsidR="00B06614" w:rsidRPr="00512230">
        <w:t xml:space="preserve">e </w:t>
      </w:r>
      <w:r w:rsidR="00F5142D">
        <w:t>junio</w:t>
      </w:r>
      <w:r w:rsidR="00B06614" w:rsidRPr="00512230">
        <w:t xml:space="preserve"> de 2019, el Estado cumplió con reintegrar al Fondo de Asistencia Legal de Víctimas </w:t>
      </w:r>
      <w:r w:rsidR="00F5142D">
        <w:t xml:space="preserve">la cantidad dispuesta en el párrafo 213 de la Sentencia </w:t>
      </w:r>
      <w:r w:rsidR="00B06614" w:rsidRPr="00512230">
        <w:t>(</w:t>
      </w:r>
      <w:r w:rsidR="00B06614" w:rsidRPr="00512230">
        <w:rPr>
          <w:i/>
        </w:rPr>
        <w:t xml:space="preserve">supra </w:t>
      </w:r>
      <w:r w:rsidR="00B06614" w:rsidRPr="00512230">
        <w:t xml:space="preserve">Considerando </w:t>
      </w:r>
      <w:r w:rsidR="003314E3">
        <w:t>7</w:t>
      </w:r>
      <w:r w:rsidR="00B06614" w:rsidRPr="00512230">
        <w:t>)</w:t>
      </w:r>
      <w:r w:rsidR="00F5142D">
        <w:t xml:space="preserve"> y dentro del plazo establecido en la Sentencia</w:t>
      </w:r>
      <w:r w:rsidR="00B06614" w:rsidRPr="00512230">
        <w:t xml:space="preserve">. En consecuencia, el Tribunal da por cumplido el punto resolutivo </w:t>
      </w:r>
      <w:r w:rsidR="003314E3">
        <w:t>décimo quinto</w:t>
      </w:r>
      <w:r w:rsidR="00B06614" w:rsidRPr="00512230">
        <w:t xml:space="preserve"> de la Sentencia.</w:t>
      </w:r>
    </w:p>
    <w:p w:rsidR="00F5142D" w:rsidRPr="00496FE7" w:rsidRDefault="00F5142D" w:rsidP="00C6492C">
      <w:pPr>
        <w:pStyle w:val="Prrafodelista"/>
        <w:spacing w:after="120"/>
      </w:pPr>
    </w:p>
    <w:p w:rsidR="00B06614" w:rsidRPr="00512230" w:rsidRDefault="00D43320" w:rsidP="00C6492C">
      <w:pPr>
        <w:pStyle w:val="Prrafodelista"/>
        <w:spacing w:after="120"/>
      </w:pPr>
      <w:bookmarkStart w:id="11" w:name="_Ref22029476"/>
      <w:r>
        <w:t xml:space="preserve">9. </w:t>
      </w:r>
      <w:r>
        <w:tab/>
      </w:r>
      <w:r w:rsidR="00B06614" w:rsidRPr="00512230">
        <w:t>El Tribunal recuerda que la creación del Fondo de Asistencia Legal del Sistema Interamericano fue aprobada en el 2008 por la Asamblea General de la OEA</w:t>
      </w:r>
      <w:r w:rsidR="00B06614" w:rsidRPr="00512230">
        <w:rPr>
          <w:rStyle w:val="Refdenotaalpie"/>
        </w:rPr>
        <w:footnoteReference w:id="10"/>
      </w:r>
      <w:r w:rsidR="00B06614" w:rsidRPr="00512230">
        <w:t>, y se aprobó que tuviera dos cuentas separadas: una para la Comisión Interamericana y otra para la Corte Interamericana</w:t>
      </w:r>
      <w:r w:rsidR="00B06614" w:rsidRPr="00512230">
        <w:rPr>
          <w:rStyle w:val="Refdenotaalpie"/>
        </w:rPr>
        <w:footnoteReference w:id="11"/>
      </w:r>
      <w:r w:rsidR="00B06614" w:rsidRPr="00512230">
        <w:t>. En lo que respecta al financiamiento del Fondo de Asistencia de la Corte, el Tribunal recuerda que desde su funcionamiento a partir del 2010, este ha dependido de los aportes de capital voluntarios de fuentes cooperantes y del aporte de un Estado miembro de la OEA</w:t>
      </w:r>
      <w:r w:rsidR="00B06614" w:rsidRPr="00512230">
        <w:rPr>
          <w:rStyle w:val="Refdenotaalpie"/>
        </w:rPr>
        <w:footnoteReference w:id="12"/>
      </w:r>
      <w:r w:rsidR="00B06614" w:rsidRPr="00512230">
        <w:t xml:space="preserve">, así como de los reintegros que realicen los Estados responsables, razón por la cual los recursos </w:t>
      </w:r>
      <w:r w:rsidR="00B06614" w:rsidRPr="00512230">
        <w:rPr>
          <w:bCs/>
        </w:rPr>
        <w:t xml:space="preserve">disponibles en el mismo son limitados. Es por ello que el </w:t>
      </w:r>
      <w:r w:rsidR="00B06614" w:rsidRPr="00512230">
        <w:t>Tribunal</w:t>
      </w:r>
      <w:r w:rsidR="00B06614" w:rsidRPr="00512230">
        <w:rPr>
          <w:bCs/>
        </w:rPr>
        <w:t xml:space="preserve"> </w:t>
      </w:r>
      <w:r w:rsidR="00B06614" w:rsidRPr="00512230">
        <w:t xml:space="preserve">resalta la voluntad de cumplimiento de sus obligaciones internacionales demostrada por el Estado de </w:t>
      </w:r>
      <w:r w:rsidR="00F5142D">
        <w:t>Colombia</w:t>
      </w:r>
      <w:r w:rsidR="00B06614" w:rsidRPr="00512230">
        <w:t xml:space="preserve"> al reintegrar los recursos al referido Fondo de Asistencia. El reintegro realizado por </w:t>
      </w:r>
      <w:r w:rsidR="00F5142D">
        <w:t>Colombia</w:t>
      </w:r>
      <w:r w:rsidR="00B06614" w:rsidRPr="00512230">
        <w:t xml:space="preserve"> contribuirá a la sostenibilidad de dicho Fondo, el cual está dirigido a brindar asistencia económica a las presuntas víctimas que carecen de recursos económicos suficientes para sufragar los gastos del litigio ante la Corte Interamericana, garantizando su acceso a la justicia en términos igualitarios.</w:t>
      </w:r>
      <w:bookmarkEnd w:id="11"/>
    </w:p>
    <w:p w:rsidR="00105F53" w:rsidRDefault="00105F53" w:rsidP="00C6492C">
      <w:pPr>
        <w:spacing w:after="120"/>
        <w:ind w:right="366"/>
        <w:contextualSpacing/>
        <w:jc w:val="both"/>
        <w:rPr>
          <w:rFonts w:ascii="Verdana" w:hAnsi="Verdana"/>
          <w:b/>
          <w:sz w:val="20"/>
          <w:szCs w:val="20"/>
        </w:rPr>
      </w:pPr>
    </w:p>
    <w:p w:rsidR="00D43320" w:rsidRPr="00D43320" w:rsidRDefault="00D43320" w:rsidP="00C6492C">
      <w:pPr>
        <w:spacing w:after="120"/>
        <w:ind w:right="366"/>
        <w:contextualSpacing/>
        <w:jc w:val="both"/>
        <w:rPr>
          <w:rFonts w:ascii="Verdana" w:hAnsi="Verdana"/>
          <w:b/>
          <w:sz w:val="20"/>
          <w:szCs w:val="20"/>
        </w:rPr>
      </w:pPr>
    </w:p>
    <w:p w:rsidR="0065520B" w:rsidRPr="00D43320" w:rsidRDefault="0065520B" w:rsidP="00C6492C">
      <w:pPr>
        <w:spacing w:after="120"/>
        <w:ind w:right="366"/>
        <w:contextualSpacing/>
        <w:jc w:val="both"/>
        <w:rPr>
          <w:rFonts w:ascii="Verdana" w:hAnsi="Verdana"/>
          <w:b/>
          <w:sz w:val="20"/>
          <w:szCs w:val="20"/>
        </w:rPr>
      </w:pPr>
      <w:r w:rsidRPr="00D43320">
        <w:rPr>
          <w:rFonts w:ascii="Verdana" w:hAnsi="Verdana"/>
          <w:b/>
          <w:sz w:val="20"/>
          <w:szCs w:val="20"/>
        </w:rPr>
        <w:t>POR TANTO:</w:t>
      </w:r>
    </w:p>
    <w:p w:rsidR="00747893" w:rsidRPr="00D43320" w:rsidRDefault="00747893" w:rsidP="00C6492C">
      <w:pPr>
        <w:spacing w:after="120"/>
        <w:ind w:right="366"/>
        <w:contextualSpacing/>
        <w:jc w:val="both"/>
        <w:rPr>
          <w:rFonts w:ascii="Verdana" w:hAnsi="Verdana"/>
          <w:b/>
          <w:sz w:val="20"/>
          <w:szCs w:val="20"/>
        </w:rPr>
      </w:pPr>
    </w:p>
    <w:p w:rsidR="0065520B" w:rsidRPr="00D43320" w:rsidRDefault="0065520B" w:rsidP="00C6492C">
      <w:pPr>
        <w:spacing w:after="120"/>
        <w:ind w:right="366"/>
        <w:contextualSpacing/>
        <w:jc w:val="both"/>
        <w:rPr>
          <w:rFonts w:ascii="Verdana" w:hAnsi="Verdana"/>
          <w:b/>
          <w:sz w:val="20"/>
          <w:szCs w:val="20"/>
        </w:rPr>
      </w:pPr>
      <w:r w:rsidRPr="00D43320">
        <w:rPr>
          <w:rFonts w:ascii="Verdana" w:hAnsi="Verdana"/>
          <w:b/>
          <w:sz w:val="20"/>
          <w:szCs w:val="20"/>
        </w:rPr>
        <w:t>LA CORTE INTERAMERICANA DE DERECHOS HUMANOS,</w:t>
      </w:r>
    </w:p>
    <w:p w:rsidR="008556BE" w:rsidRPr="00D43320" w:rsidRDefault="008556BE" w:rsidP="00C6492C">
      <w:pPr>
        <w:spacing w:after="120"/>
        <w:jc w:val="both"/>
        <w:rPr>
          <w:rFonts w:ascii="Verdana" w:hAnsi="Verdana"/>
          <w:sz w:val="20"/>
          <w:szCs w:val="20"/>
        </w:rPr>
      </w:pPr>
    </w:p>
    <w:p w:rsidR="008556BE" w:rsidRPr="00512230" w:rsidRDefault="008556BE" w:rsidP="00C6492C">
      <w:pPr>
        <w:spacing w:after="120"/>
        <w:jc w:val="both"/>
        <w:rPr>
          <w:rFonts w:ascii="Verdana" w:hAnsi="Verdana" w:cs="Verdana"/>
          <w:sz w:val="20"/>
        </w:rPr>
      </w:pPr>
      <w:r w:rsidRPr="00512230">
        <w:rPr>
          <w:rFonts w:ascii="Verdana" w:hAnsi="Verdana"/>
          <w:sz w:val="20"/>
          <w:szCs w:val="20"/>
        </w:rPr>
        <w:t xml:space="preserve">en el ejercicio de sus atribuciones de supervisión del cumplimiento de sus decisiones, de conformidad con los artículos 33, 62.1, 62.3, 65, 67 y 68.1 de la Convención Americana sobre Derechos Humanos, 24, 25 y 30 del Estatuto, y 31.2 y 69 de su Reglamento, </w:t>
      </w:r>
      <w:r w:rsidRPr="00512230">
        <w:rPr>
          <w:rFonts w:ascii="Verdana" w:hAnsi="Verdana"/>
          <w:sz w:val="20"/>
        </w:rPr>
        <w:t xml:space="preserve">así como con los artículos 1, 4 y 5 del Reglamento del Fondo de Asistencia Legal de Víctimas, </w:t>
      </w:r>
    </w:p>
    <w:p w:rsidR="0065520B" w:rsidRPr="00496FE7" w:rsidRDefault="0065520B" w:rsidP="00C6492C">
      <w:pPr>
        <w:spacing w:after="120"/>
        <w:ind w:right="366"/>
        <w:contextualSpacing/>
        <w:jc w:val="both"/>
        <w:rPr>
          <w:rFonts w:ascii="Verdana" w:hAnsi="Verdana"/>
          <w:sz w:val="10"/>
          <w:szCs w:val="10"/>
        </w:rPr>
      </w:pPr>
    </w:p>
    <w:p w:rsidR="0065520B" w:rsidRDefault="0065520B" w:rsidP="00C6492C">
      <w:pPr>
        <w:spacing w:after="120"/>
        <w:ind w:right="366"/>
        <w:contextualSpacing/>
        <w:jc w:val="both"/>
        <w:rPr>
          <w:rFonts w:ascii="Verdana" w:hAnsi="Verdana"/>
          <w:b/>
          <w:caps/>
          <w:sz w:val="20"/>
          <w:szCs w:val="20"/>
        </w:rPr>
      </w:pPr>
      <w:r w:rsidRPr="00F10321">
        <w:rPr>
          <w:rFonts w:ascii="Verdana" w:hAnsi="Verdana"/>
          <w:b/>
          <w:caps/>
          <w:sz w:val="20"/>
          <w:szCs w:val="20"/>
        </w:rPr>
        <w:t>Resuelve:</w:t>
      </w:r>
    </w:p>
    <w:p w:rsidR="00747893" w:rsidRPr="00496FE7" w:rsidRDefault="00747893" w:rsidP="00C6492C">
      <w:pPr>
        <w:spacing w:after="120"/>
        <w:ind w:right="366"/>
        <w:contextualSpacing/>
        <w:jc w:val="both"/>
        <w:rPr>
          <w:rFonts w:ascii="Verdana" w:hAnsi="Verdana"/>
          <w:b/>
          <w:caps/>
          <w:sz w:val="10"/>
          <w:szCs w:val="10"/>
        </w:rPr>
      </w:pPr>
    </w:p>
    <w:p w:rsidR="0065520B" w:rsidRPr="00585A47" w:rsidRDefault="00135B77" w:rsidP="00C6492C">
      <w:pPr>
        <w:numPr>
          <w:ilvl w:val="0"/>
          <w:numId w:val="1"/>
        </w:numPr>
        <w:spacing w:after="120"/>
        <w:ind w:left="0" w:firstLine="0"/>
        <w:contextualSpacing/>
        <w:jc w:val="both"/>
        <w:rPr>
          <w:rFonts w:ascii="Verdana" w:hAnsi="Verdana"/>
          <w:sz w:val="20"/>
          <w:szCs w:val="20"/>
        </w:rPr>
      </w:pPr>
      <w:bookmarkStart w:id="12" w:name="_Ref504383433"/>
      <w:r w:rsidRPr="00135B77">
        <w:rPr>
          <w:rFonts w:ascii="Verdana" w:hAnsi="Verdana"/>
          <w:sz w:val="20"/>
          <w:szCs w:val="20"/>
          <w:lang w:val="es-MX"/>
        </w:rPr>
        <w:t xml:space="preserve">Declarar, de conformidad con lo señalado en los Considerandos </w:t>
      </w:r>
      <w:r w:rsidR="00856A16">
        <w:rPr>
          <w:rFonts w:ascii="Verdana" w:hAnsi="Verdana"/>
          <w:sz w:val="20"/>
          <w:szCs w:val="20"/>
          <w:lang w:val="es-MX"/>
        </w:rPr>
        <w:t>5 y 6</w:t>
      </w:r>
      <w:r w:rsidRPr="00135B77">
        <w:rPr>
          <w:rFonts w:ascii="Verdana" w:hAnsi="Verdana"/>
          <w:sz w:val="20"/>
          <w:szCs w:val="20"/>
          <w:lang w:val="es-MX"/>
        </w:rPr>
        <w:t xml:space="preserve"> de la presente Resolución</w:t>
      </w:r>
      <w:r w:rsidRPr="00585A47">
        <w:rPr>
          <w:rFonts w:ascii="Verdana" w:hAnsi="Verdana"/>
          <w:sz w:val="20"/>
          <w:szCs w:val="20"/>
          <w:lang w:val="es-MX"/>
        </w:rPr>
        <w:t xml:space="preserve">, </w:t>
      </w:r>
      <w:r w:rsidR="00585A47" w:rsidRPr="00585A47">
        <w:rPr>
          <w:rFonts w:ascii="Verdana" w:hAnsi="Verdana"/>
          <w:sz w:val="20"/>
          <w:szCs w:val="20"/>
          <w:lang w:val="es-MX"/>
        </w:rPr>
        <w:t xml:space="preserve">que </w:t>
      </w:r>
      <w:r w:rsidR="00585A47">
        <w:rPr>
          <w:rFonts w:ascii="Verdana" w:hAnsi="Verdana"/>
          <w:sz w:val="20"/>
          <w:szCs w:val="20"/>
          <w:lang w:val="es-MX"/>
        </w:rPr>
        <w:t>el Estado</w:t>
      </w:r>
      <w:r w:rsidR="00585A47" w:rsidRPr="00585A47">
        <w:rPr>
          <w:rFonts w:ascii="Verdana" w:hAnsi="Verdana"/>
          <w:sz w:val="20"/>
          <w:szCs w:val="20"/>
          <w:lang w:val="es-MX"/>
        </w:rPr>
        <w:t xml:space="preserve"> ha dado cumplimiento parcial a las medidas ordenadas en el punto resolutivo décimo tercero de la Sentencia, ya que cumplió con la medida de publicación y difusión del resumen oficial de la Sentencia en el diario oficial, quedando pendiente de cumplimiento la publicación del resumen oficial de la Sentencia en un diario de amplia circulación nacional, así como </w:t>
      </w:r>
      <w:r w:rsidR="007B109F">
        <w:rPr>
          <w:rFonts w:ascii="Verdana" w:hAnsi="Verdana"/>
          <w:sz w:val="20"/>
          <w:szCs w:val="20"/>
          <w:lang w:val="es-MX"/>
        </w:rPr>
        <w:t xml:space="preserve">la publicación </w:t>
      </w:r>
      <w:r w:rsidR="00585A47" w:rsidRPr="00585A47">
        <w:rPr>
          <w:rFonts w:ascii="Verdana" w:hAnsi="Verdana"/>
          <w:sz w:val="20"/>
          <w:szCs w:val="20"/>
          <w:lang w:val="es-MX"/>
        </w:rPr>
        <w:t>del texto íntegro de la Sentencia en un sitio web oficial</w:t>
      </w:r>
      <w:r w:rsidRPr="00585A47">
        <w:rPr>
          <w:rFonts w:ascii="Verdana" w:hAnsi="Verdana"/>
          <w:sz w:val="20"/>
          <w:szCs w:val="20"/>
          <w:lang w:val="es-MX"/>
        </w:rPr>
        <w:t>.</w:t>
      </w:r>
      <w:bookmarkEnd w:id="12"/>
      <w:r w:rsidR="00747893" w:rsidRPr="00585A47">
        <w:rPr>
          <w:rFonts w:ascii="Verdana" w:hAnsi="Verdana"/>
          <w:sz w:val="20"/>
          <w:szCs w:val="20"/>
        </w:rPr>
        <w:t xml:space="preserve"> </w:t>
      </w:r>
    </w:p>
    <w:p w:rsidR="007953AF" w:rsidRPr="00496FE7" w:rsidRDefault="007953AF" w:rsidP="00C6492C">
      <w:pPr>
        <w:pStyle w:val="Default"/>
        <w:spacing w:after="120"/>
        <w:contextualSpacing/>
        <w:jc w:val="both"/>
        <w:rPr>
          <w:sz w:val="10"/>
          <w:szCs w:val="10"/>
        </w:rPr>
      </w:pPr>
    </w:p>
    <w:p w:rsidR="007953AF" w:rsidRPr="00616BC5" w:rsidRDefault="00865C16" w:rsidP="00C6492C">
      <w:pPr>
        <w:pStyle w:val="Default"/>
        <w:numPr>
          <w:ilvl w:val="0"/>
          <w:numId w:val="1"/>
        </w:numPr>
        <w:spacing w:after="120"/>
        <w:ind w:left="0" w:firstLine="0"/>
        <w:contextualSpacing/>
        <w:jc w:val="both"/>
        <w:rPr>
          <w:sz w:val="20"/>
          <w:szCs w:val="20"/>
        </w:rPr>
      </w:pPr>
      <w:r w:rsidRPr="00512230">
        <w:rPr>
          <w:sz w:val="20"/>
          <w:szCs w:val="20"/>
          <w:lang w:val="es-MX"/>
        </w:rPr>
        <w:t xml:space="preserve">Declarar, de conformidad con lo señalado en </w:t>
      </w:r>
      <w:r w:rsidR="00856A16">
        <w:rPr>
          <w:sz w:val="20"/>
          <w:szCs w:val="20"/>
          <w:lang w:val="es-MX"/>
        </w:rPr>
        <w:t>los Considerandos 7 y 8</w:t>
      </w:r>
      <w:r w:rsidRPr="00512230">
        <w:rPr>
          <w:sz w:val="20"/>
          <w:szCs w:val="20"/>
          <w:lang w:val="es-MX"/>
        </w:rPr>
        <w:t xml:space="preserve"> de la presente Resolución, que el Estado ha cumplido con reintegrar </w:t>
      </w:r>
      <w:r>
        <w:rPr>
          <w:sz w:val="20"/>
          <w:szCs w:val="20"/>
          <w:lang w:val="es-MX"/>
        </w:rPr>
        <w:t>al</w:t>
      </w:r>
      <w:r w:rsidRPr="00512230">
        <w:rPr>
          <w:sz w:val="20"/>
          <w:szCs w:val="20"/>
          <w:lang w:val="es-MX"/>
        </w:rPr>
        <w:t xml:space="preserve"> Fondo de Asistencia Legal de Víctimas de la Corte Interamericana de Derechos Humanos la cantidad dispuesta en el párrafo </w:t>
      </w:r>
      <w:r>
        <w:rPr>
          <w:sz w:val="20"/>
          <w:szCs w:val="20"/>
          <w:lang w:val="es-MX"/>
        </w:rPr>
        <w:t>213</w:t>
      </w:r>
      <w:r w:rsidRPr="00512230">
        <w:rPr>
          <w:sz w:val="20"/>
          <w:szCs w:val="20"/>
          <w:lang w:val="es-MX"/>
        </w:rPr>
        <w:t xml:space="preserve"> y el punto resolutivo </w:t>
      </w:r>
      <w:r>
        <w:rPr>
          <w:sz w:val="20"/>
          <w:szCs w:val="20"/>
          <w:lang w:val="es-MX"/>
        </w:rPr>
        <w:t>décimo quinto</w:t>
      </w:r>
      <w:r w:rsidRPr="00512230">
        <w:rPr>
          <w:sz w:val="20"/>
          <w:szCs w:val="20"/>
          <w:lang w:val="es-MX"/>
        </w:rPr>
        <w:t xml:space="preserve"> de la Sentencia</w:t>
      </w:r>
      <w:r w:rsidR="007953AF" w:rsidRPr="00616BC5">
        <w:rPr>
          <w:sz w:val="20"/>
          <w:szCs w:val="20"/>
        </w:rPr>
        <w:t xml:space="preserve">. </w:t>
      </w:r>
    </w:p>
    <w:p w:rsidR="00747893" w:rsidRPr="00496FE7" w:rsidRDefault="00747893" w:rsidP="00C6492C">
      <w:pPr>
        <w:spacing w:after="120"/>
        <w:contextualSpacing/>
        <w:jc w:val="both"/>
        <w:rPr>
          <w:rFonts w:ascii="Verdana" w:hAnsi="Verdana"/>
          <w:sz w:val="10"/>
          <w:szCs w:val="10"/>
        </w:rPr>
      </w:pPr>
    </w:p>
    <w:p w:rsidR="00911172" w:rsidRPr="00911172" w:rsidRDefault="00911172" w:rsidP="00C6492C">
      <w:pPr>
        <w:numPr>
          <w:ilvl w:val="0"/>
          <w:numId w:val="1"/>
        </w:numPr>
        <w:spacing w:after="120"/>
        <w:ind w:left="0" w:firstLine="0"/>
        <w:contextualSpacing/>
        <w:jc w:val="both"/>
        <w:rPr>
          <w:rFonts w:ascii="Verdana" w:hAnsi="Verdana" w:cs="Courier New"/>
          <w:noProof/>
          <w:sz w:val="20"/>
          <w:szCs w:val="20"/>
          <w:lang w:val="es-AR"/>
        </w:rPr>
      </w:pPr>
      <w:r w:rsidRPr="00911172">
        <w:rPr>
          <w:rFonts w:ascii="Verdana" w:hAnsi="Verdana"/>
          <w:sz w:val="20"/>
          <w:szCs w:val="20"/>
        </w:rPr>
        <w:t>Mantener abierto el procedimiento de supervisión de cumplimiento de las siguientes medidas, que conforme a lo indicado en el Considerando 3 de la presente Resolución, serán valoradas en una posterior resolución:</w:t>
      </w:r>
    </w:p>
    <w:p w:rsidR="00911172" w:rsidRPr="00E42C18" w:rsidRDefault="00911172" w:rsidP="00C6492C">
      <w:pPr>
        <w:pStyle w:val="Prrafodelista"/>
        <w:spacing w:after="120"/>
        <w:rPr>
          <w:noProof/>
        </w:rPr>
      </w:pPr>
    </w:p>
    <w:p w:rsidR="00C26BFC" w:rsidRPr="00D43320" w:rsidRDefault="00C26BFC" w:rsidP="00C6492C">
      <w:pPr>
        <w:pStyle w:val="Puesto"/>
        <w:numPr>
          <w:ilvl w:val="0"/>
          <w:numId w:val="19"/>
        </w:numPr>
        <w:spacing w:before="240" w:after="120"/>
        <w:ind w:left="714" w:hanging="357"/>
        <w:jc w:val="both"/>
        <w:rPr>
          <w:b w:val="0"/>
          <w:smallCaps w:val="0"/>
          <w:noProof/>
          <w:lang w:val="es-CR"/>
        </w:rPr>
      </w:pPr>
      <w:r w:rsidRPr="00D43320">
        <w:rPr>
          <w:b w:val="0"/>
          <w:smallCaps w:val="0"/>
          <w:lang w:val="es-CR"/>
        </w:rPr>
        <w:t>continuar con las investigaciones y procesos judiciales en curso a efectos de determinar los hechos y las responsabilidades correspondientes (</w:t>
      </w:r>
      <w:r w:rsidRPr="00D43320">
        <w:rPr>
          <w:b w:val="0"/>
          <w:i/>
          <w:smallCaps w:val="0"/>
          <w:lang w:val="es-CR"/>
        </w:rPr>
        <w:t>punto resolutivo noveno de la Sentencia</w:t>
      </w:r>
      <w:r w:rsidRPr="00D43320">
        <w:rPr>
          <w:b w:val="0"/>
          <w:smallCaps w:val="0"/>
          <w:lang w:val="es-CR"/>
        </w:rPr>
        <w:t>);</w:t>
      </w:r>
    </w:p>
    <w:p w:rsidR="00C26BFC" w:rsidRPr="00D43320" w:rsidRDefault="00C26BFC" w:rsidP="00C6492C">
      <w:pPr>
        <w:pStyle w:val="Puesto"/>
        <w:numPr>
          <w:ilvl w:val="0"/>
          <w:numId w:val="19"/>
        </w:numPr>
        <w:spacing w:before="240" w:after="120"/>
        <w:ind w:left="714" w:hanging="357"/>
        <w:jc w:val="both"/>
        <w:rPr>
          <w:b w:val="0"/>
          <w:smallCaps w:val="0"/>
          <w:noProof/>
          <w:lang w:val="es-CR"/>
        </w:rPr>
      </w:pPr>
      <w:r w:rsidRPr="00D43320">
        <w:rPr>
          <w:b w:val="0"/>
          <w:smallCaps w:val="0"/>
          <w:lang w:val="es-CR"/>
        </w:rPr>
        <w:t>efectuar una búsqueda rigurosa por las vías pertinentes para determinar, a la mayor brevedad, el paradero de Víctor Manuel Isaza Uribe (</w:t>
      </w:r>
      <w:r w:rsidRPr="00D43320">
        <w:rPr>
          <w:b w:val="0"/>
          <w:i/>
          <w:smallCaps w:val="0"/>
          <w:lang w:val="es-CR"/>
        </w:rPr>
        <w:t>punto resolutivo décimo de la Sentencia</w:t>
      </w:r>
      <w:r w:rsidRPr="00D43320">
        <w:rPr>
          <w:b w:val="0"/>
          <w:smallCaps w:val="0"/>
          <w:lang w:val="es-CR"/>
        </w:rPr>
        <w:t>);</w:t>
      </w:r>
    </w:p>
    <w:p w:rsidR="00C26BFC" w:rsidRPr="00D43320" w:rsidRDefault="00C26BFC" w:rsidP="00C6492C">
      <w:pPr>
        <w:pStyle w:val="Puesto"/>
        <w:numPr>
          <w:ilvl w:val="0"/>
          <w:numId w:val="19"/>
        </w:numPr>
        <w:spacing w:before="240" w:after="120"/>
        <w:ind w:left="714" w:hanging="357"/>
        <w:jc w:val="both"/>
        <w:rPr>
          <w:b w:val="0"/>
          <w:smallCaps w:val="0"/>
          <w:noProof/>
          <w:lang w:val="es-CR"/>
        </w:rPr>
      </w:pPr>
      <w:r w:rsidRPr="00D43320">
        <w:rPr>
          <w:b w:val="0"/>
          <w:smallCaps w:val="0"/>
          <w:lang w:val="es-CR"/>
        </w:rPr>
        <w:t>brindar el tratamiento psicológico o psiquiátrico a las víctimas que así lo soliciten (</w:t>
      </w:r>
      <w:r w:rsidRPr="00D43320">
        <w:rPr>
          <w:b w:val="0"/>
          <w:i/>
          <w:smallCaps w:val="0"/>
          <w:lang w:val="es-CR"/>
        </w:rPr>
        <w:t>punto resolutivo décimo primero de la Sentencia</w:t>
      </w:r>
      <w:r w:rsidRPr="00D43320">
        <w:rPr>
          <w:b w:val="0"/>
          <w:smallCaps w:val="0"/>
          <w:lang w:val="es-CR"/>
        </w:rPr>
        <w:t>);</w:t>
      </w:r>
    </w:p>
    <w:p w:rsidR="00C26BFC" w:rsidRPr="00D43320" w:rsidRDefault="00C26BFC" w:rsidP="00C6492C">
      <w:pPr>
        <w:pStyle w:val="Puesto"/>
        <w:numPr>
          <w:ilvl w:val="0"/>
          <w:numId w:val="19"/>
        </w:numPr>
        <w:spacing w:before="240" w:after="120"/>
        <w:ind w:left="714" w:hanging="357"/>
        <w:jc w:val="both"/>
        <w:rPr>
          <w:b w:val="0"/>
          <w:smallCaps w:val="0"/>
          <w:noProof/>
          <w:lang w:val="es-CR"/>
        </w:rPr>
      </w:pPr>
      <w:r w:rsidRPr="00D43320">
        <w:rPr>
          <w:b w:val="0"/>
          <w:smallCaps w:val="0"/>
          <w:lang w:val="es-CR"/>
        </w:rPr>
        <w:t>realizar un acto público de reconocimiento de responsabilidad internacional en Colombia, en relación con los hechos de este caso (</w:t>
      </w:r>
      <w:r w:rsidRPr="00D43320">
        <w:rPr>
          <w:b w:val="0"/>
          <w:i/>
          <w:smallCaps w:val="0"/>
          <w:lang w:val="es-CR"/>
        </w:rPr>
        <w:t>punto resolutivo décimo segundo de la Sentencia</w:t>
      </w:r>
      <w:r w:rsidRPr="00D43320">
        <w:rPr>
          <w:b w:val="0"/>
          <w:smallCaps w:val="0"/>
          <w:lang w:val="es-CR"/>
        </w:rPr>
        <w:t>);</w:t>
      </w:r>
    </w:p>
    <w:p w:rsidR="00215AE8" w:rsidRPr="00D43320" w:rsidRDefault="0062511C" w:rsidP="00C6492C">
      <w:pPr>
        <w:pStyle w:val="Puesto"/>
        <w:numPr>
          <w:ilvl w:val="0"/>
          <w:numId w:val="19"/>
        </w:numPr>
        <w:spacing w:before="240" w:after="120"/>
        <w:ind w:left="714" w:hanging="357"/>
        <w:jc w:val="both"/>
        <w:rPr>
          <w:b w:val="0"/>
          <w:smallCaps w:val="0"/>
          <w:noProof/>
          <w:lang w:val="es-CR"/>
        </w:rPr>
      </w:pPr>
      <w:r>
        <w:rPr>
          <w:b w:val="0"/>
          <w:smallCaps w:val="0"/>
          <w:lang w:val="es-CR"/>
        </w:rPr>
        <w:t xml:space="preserve">realizar </w:t>
      </w:r>
      <w:r w:rsidR="00215AE8" w:rsidRPr="00D43320">
        <w:rPr>
          <w:b w:val="0"/>
          <w:smallCaps w:val="0"/>
          <w:lang w:val="es-CR"/>
        </w:rPr>
        <w:t>la publicación del resumen oficial de la Sentencia en un diario de amplia circulación nacional y la publicación del texto íntegro de la Sentencia en un sitio web oficial (</w:t>
      </w:r>
      <w:r w:rsidR="00215AE8" w:rsidRPr="00D43320">
        <w:rPr>
          <w:b w:val="0"/>
          <w:i/>
          <w:smallCaps w:val="0"/>
          <w:lang w:val="es-CR"/>
        </w:rPr>
        <w:t>punto resolutivo décimo tercero de la Sentencia</w:t>
      </w:r>
      <w:r w:rsidR="00215AE8" w:rsidRPr="00D43320">
        <w:rPr>
          <w:b w:val="0"/>
          <w:smallCaps w:val="0"/>
          <w:lang w:val="es-CR"/>
        </w:rPr>
        <w:t>);</w:t>
      </w:r>
    </w:p>
    <w:p w:rsidR="00C26BFC" w:rsidRPr="00D43320" w:rsidRDefault="00C26BFC" w:rsidP="00C6492C">
      <w:pPr>
        <w:pStyle w:val="Puesto"/>
        <w:numPr>
          <w:ilvl w:val="0"/>
          <w:numId w:val="19"/>
        </w:numPr>
        <w:spacing w:before="240" w:after="120"/>
        <w:ind w:left="714" w:hanging="357"/>
        <w:jc w:val="both"/>
        <w:rPr>
          <w:b w:val="0"/>
          <w:smallCaps w:val="0"/>
          <w:noProof/>
          <w:lang w:val="es-CR"/>
        </w:rPr>
      </w:pPr>
      <w:r w:rsidRPr="00D43320">
        <w:rPr>
          <w:b w:val="0"/>
          <w:smallCaps w:val="0"/>
          <w:lang w:val="es-CR"/>
        </w:rPr>
        <w:t>fortalecer los mecanismos de protección para sindicalistas, representantes y organizaciones sindicales (</w:t>
      </w:r>
      <w:r w:rsidRPr="00D43320">
        <w:rPr>
          <w:b w:val="0"/>
          <w:i/>
          <w:smallCaps w:val="0"/>
          <w:lang w:val="es-CR"/>
        </w:rPr>
        <w:t>punto resolutivo décimo cuarto de la Sentencia</w:t>
      </w:r>
      <w:r w:rsidR="009C181D" w:rsidRPr="00D43320">
        <w:rPr>
          <w:b w:val="0"/>
          <w:smallCaps w:val="0"/>
          <w:lang w:val="es-CR"/>
        </w:rPr>
        <w:t>);</w:t>
      </w:r>
      <w:r w:rsidRPr="00D43320">
        <w:rPr>
          <w:b w:val="0"/>
          <w:smallCaps w:val="0"/>
          <w:lang w:val="es-CR"/>
        </w:rPr>
        <w:t xml:space="preserve"> </w:t>
      </w:r>
    </w:p>
    <w:p w:rsidR="009C181D" w:rsidRPr="00D43320" w:rsidRDefault="00C26BFC" w:rsidP="00C6492C">
      <w:pPr>
        <w:pStyle w:val="Puesto"/>
        <w:numPr>
          <w:ilvl w:val="0"/>
          <w:numId w:val="19"/>
        </w:numPr>
        <w:spacing w:before="240" w:after="120"/>
        <w:ind w:left="714" w:hanging="357"/>
        <w:jc w:val="both"/>
        <w:rPr>
          <w:b w:val="0"/>
          <w:smallCaps w:val="0"/>
          <w:noProof/>
          <w:lang w:val="es-CR"/>
        </w:rPr>
      </w:pPr>
      <w:r w:rsidRPr="00D43320">
        <w:rPr>
          <w:b w:val="0"/>
          <w:smallCaps w:val="0"/>
          <w:lang w:val="es-CR"/>
        </w:rPr>
        <w:t>pagar las cantidades fijadas en la Sentencia por concepto de indemnizaciones compensatorias por daños materiales e inmateriales</w:t>
      </w:r>
      <w:r w:rsidR="009C181D" w:rsidRPr="00D43320">
        <w:rPr>
          <w:b w:val="0"/>
          <w:smallCaps w:val="0"/>
          <w:lang w:val="es-CR"/>
        </w:rPr>
        <w:t xml:space="preserve"> (</w:t>
      </w:r>
      <w:r w:rsidR="009C181D" w:rsidRPr="00D43320">
        <w:rPr>
          <w:b w:val="0"/>
          <w:i/>
          <w:smallCaps w:val="0"/>
          <w:lang w:val="es-CR"/>
        </w:rPr>
        <w:t>punto resolutivo décimo quinto de la Sentencia</w:t>
      </w:r>
      <w:r w:rsidR="009C181D" w:rsidRPr="00D43320">
        <w:rPr>
          <w:b w:val="0"/>
          <w:smallCaps w:val="0"/>
          <w:lang w:val="es-CR"/>
        </w:rPr>
        <w:t>)</w:t>
      </w:r>
      <w:r w:rsidRPr="00D43320">
        <w:rPr>
          <w:b w:val="0"/>
          <w:smallCaps w:val="0"/>
          <w:lang w:val="es-CR"/>
        </w:rPr>
        <w:t>,</w:t>
      </w:r>
      <w:r w:rsidR="009C181D" w:rsidRPr="00D43320">
        <w:rPr>
          <w:b w:val="0"/>
          <w:smallCaps w:val="0"/>
          <w:lang w:val="es-CR"/>
        </w:rPr>
        <w:t xml:space="preserve"> y</w:t>
      </w:r>
      <w:r w:rsidRPr="00D43320">
        <w:rPr>
          <w:b w:val="0"/>
          <w:smallCaps w:val="0"/>
          <w:lang w:val="es-CR"/>
        </w:rPr>
        <w:t xml:space="preserve"> </w:t>
      </w:r>
    </w:p>
    <w:p w:rsidR="00C26BFC" w:rsidRPr="00D43320" w:rsidRDefault="009C181D" w:rsidP="00C6492C">
      <w:pPr>
        <w:pStyle w:val="Puesto"/>
        <w:numPr>
          <w:ilvl w:val="0"/>
          <w:numId w:val="19"/>
        </w:numPr>
        <w:spacing w:before="240" w:after="120"/>
        <w:ind w:left="714" w:hanging="357"/>
        <w:jc w:val="both"/>
        <w:rPr>
          <w:b w:val="0"/>
          <w:smallCaps w:val="0"/>
          <w:noProof/>
          <w:lang w:val="es-CR"/>
        </w:rPr>
      </w:pPr>
      <w:r w:rsidRPr="00D43320">
        <w:rPr>
          <w:b w:val="0"/>
          <w:smallCaps w:val="0"/>
          <w:lang w:val="es-CR"/>
        </w:rPr>
        <w:t xml:space="preserve">realizar </w:t>
      </w:r>
      <w:r w:rsidR="00C26BFC" w:rsidRPr="00D43320">
        <w:rPr>
          <w:b w:val="0"/>
          <w:smallCaps w:val="0"/>
          <w:lang w:val="es-CR"/>
        </w:rPr>
        <w:t>el reintegro de costas y gastos (punto resolutivo décimo quinto de la Sentencia).</w:t>
      </w:r>
    </w:p>
    <w:p w:rsidR="00911172" w:rsidRPr="00496FE7" w:rsidRDefault="00911172" w:rsidP="00C6492C">
      <w:pPr>
        <w:pStyle w:val="Prrafodelista"/>
        <w:spacing w:after="120"/>
        <w:rPr>
          <w:noProof/>
        </w:rPr>
      </w:pPr>
    </w:p>
    <w:p w:rsidR="00747893" w:rsidRPr="005F25E8" w:rsidRDefault="009E094C" w:rsidP="00C6492C">
      <w:pPr>
        <w:numPr>
          <w:ilvl w:val="0"/>
          <w:numId w:val="1"/>
        </w:numPr>
        <w:spacing w:after="120"/>
        <w:ind w:left="0" w:firstLine="0"/>
        <w:contextualSpacing/>
        <w:jc w:val="both"/>
        <w:rPr>
          <w:rFonts w:ascii="Verdana" w:hAnsi="Verdana" w:cs="Courier New"/>
          <w:noProof/>
          <w:sz w:val="20"/>
          <w:lang w:val="es-AR"/>
        </w:rPr>
      </w:pPr>
      <w:r w:rsidRPr="009F5C40">
        <w:rPr>
          <w:rFonts w:ascii="Verdana" w:hAnsi="Verdana"/>
          <w:sz w:val="20"/>
          <w:szCs w:val="20"/>
        </w:rPr>
        <w:t>Disponer q</w:t>
      </w:r>
      <w:r w:rsidR="0065520B" w:rsidRPr="009F5C40">
        <w:rPr>
          <w:rFonts w:ascii="Verdana" w:hAnsi="Verdana"/>
          <w:sz w:val="20"/>
          <w:szCs w:val="20"/>
        </w:rPr>
        <w:t xml:space="preserve">ue la </w:t>
      </w:r>
      <w:r w:rsidR="0065520B" w:rsidRPr="009F5C40">
        <w:rPr>
          <w:rFonts w:ascii="Verdana" w:hAnsi="Verdana" w:cs="Verdana"/>
          <w:sz w:val="20"/>
          <w:szCs w:val="20"/>
        </w:rPr>
        <w:t xml:space="preserve">Secretaría de la Corte Interamericana </w:t>
      </w:r>
      <w:r w:rsidR="0065520B" w:rsidRPr="009F5C40">
        <w:rPr>
          <w:rFonts w:ascii="Verdana" w:hAnsi="Verdana" w:cs="TTE3F96A70t00"/>
          <w:sz w:val="20"/>
        </w:rPr>
        <w:t>de Derechos Humanos</w:t>
      </w:r>
      <w:r w:rsidR="0065520B" w:rsidRPr="009F5C40">
        <w:rPr>
          <w:rFonts w:ascii="Verdana" w:hAnsi="Verdana" w:cs="Verdana"/>
          <w:sz w:val="20"/>
          <w:szCs w:val="20"/>
        </w:rPr>
        <w:t xml:space="preserve"> notifique la presente Resolución </w:t>
      </w:r>
      <w:r w:rsidR="002B4F4B" w:rsidRPr="009F5C40">
        <w:rPr>
          <w:rFonts w:ascii="Verdana" w:hAnsi="Verdana" w:cs="Verdana"/>
          <w:sz w:val="20"/>
          <w:szCs w:val="20"/>
        </w:rPr>
        <w:t>a</w:t>
      </w:r>
      <w:r w:rsidR="00B6160D" w:rsidRPr="009F5C40">
        <w:rPr>
          <w:rFonts w:ascii="Verdana" w:hAnsi="Verdana" w:cs="Verdana"/>
          <w:sz w:val="20"/>
          <w:szCs w:val="20"/>
        </w:rPr>
        <w:t xml:space="preserve">l Estado de </w:t>
      </w:r>
      <w:r w:rsidR="0062511C">
        <w:rPr>
          <w:rFonts w:ascii="Verdana" w:hAnsi="Verdana" w:cs="Verdana"/>
          <w:sz w:val="20"/>
          <w:szCs w:val="20"/>
        </w:rPr>
        <w:t>Colombia</w:t>
      </w:r>
      <w:r w:rsidR="007D3DA8" w:rsidRPr="009F5C40">
        <w:rPr>
          <w:rFonts w:ascii="Verdana" w:hAnsi="Verdana" w:cs="Verdana"/>
          <w:sz w:val="20"/>
          <w:szCs w:val="20"/>
        </w:rPr>
        <w:t>,</w:t>
      </w:r>
      <w:r w:rsidR="00CA2E20" w:rsidRPr="009F5C40">
        <w:rPr>
          <w:rFonts w:ascii="Verdana" w:hAnsi="Verdana" w:cs="Verdana"/>
          <w:sz w:val="20"/>
          <w:szCs w:val="20"/>
        </w:rPr>
        <w:t xml:space="preserve"> a</w:t>
      </w:r>
      <w:r w:rsidR="007D3DA8" w:rsidRPr="009F5C40">
        <w:rPr>
          <w:rFonts w:ascii="Verdana" w:hAnsi="Verdana" w:cs="Verdana"/>
          <w:sz w:val="20"/>
          <w:szCs w:val="20"/>
        </w:rPr>
        <w:t xml:space="preserve"> </w:t>
      </w:r>
      <w:r w:rsidR="0065520B" w:rsidRPr="009F5C40">
        <w:rPr>
          <w:rFonts w:ascii="Verdana" w:hAnsi="Verdana" w:cs="Verdana"/>
          <w:sz w:val="20"/>
          <w:szCs w:val="20"/>
        </w:rPr>
        <w:t>los representantes de la</w:t>
      </w:r>
      <w:r w:rsidR="00F07FA5" w:rsidRPr="009F5C40">
        <w:rPr>
          <w:rFonts w:ascii="Verdana" w:hAnsi="Verdana" w:cs="Verdana"/>
          <w:sz w:val="20"/>
          <w:szCs w:val="20"/>
        </w:rPr>
        <w:t>s</w:t>
      </w:r>
      <w:r w:rsidR="0065520B" w:rsidRPr="009F5C40">
        <w:rPr>
          <w:rFonts w:ascii="Verdana" w:hAnsi="Verdana" w:cs="Verdana"/>
          <w:sz w:val="20"/>
          <w:szCs w:val="20"/>
        </w:rPr>
        <w:t xml:space="preserve"> víctima</w:t>
      </w:r>
      <w:r w:rsidR="00F07FA5" w:rsidRPr="009F5C40">
        <w:rPr>
          <w:rFonts w:ascii="Verdana" w:hAnsi="Verdana" w:cs="Verdana"/>
          <w:sz w:val="20"/>
          <w:szCs w:val="20"/>
        </w:rPr>
        <w:t>s</w:t>
      </w:r>
      <w:r w:rsidR="0065520B" w:rsidRPr="009F5C40">
        <w:rPr>
          <w:rFonts w:ascii="Verdana" w:hAnsi="Verdana" w:cs="Verdana"/>
          <w:sz w:val="20"/>
          <w:szCs w:val="20"/>
        </w:rPr>
        <w:t xml:space="preserve"> y </w:t>
      </w:r>
      <w:r w:rsidR="00CA2E20" w:rsidRPr="009F5C40">
        <w:rPr>
          <w:rFonts w:ascii="Verdana" w:hAnsi="Verdana" w:cs="Verdana"/>
          <w:sz w:val="20"/>
          <w:szCs w:val="20"/>
        </w:rPr>
        <w:t xml:space="preserve">a </w:t>
      </w:r>
      <w:r w:rsidR="007D3DA8" w:rsidRPr="009F5C40">
        <w:rPr>
          <w:rFonts w:ascii="Verdana" w:hAnsi="Verdana" w:cs="Verdana"/>
          <w:sz w:val="20"/>
          <w:szCs w:val="20"/>
        </w:rPr>
        <w:t>la Comisión Interamericana de Derechos Humanos</w:t>
      </w:r>
      <w:r w:rsidR="0065520B" w:rsidRPr="009F5C40">
        <w:rPr>
          <w:rFonts w:ascii="Verdana" w:hAnsi="Verdana"/>
          <w:sz w:val="20"/>
          <w:szCs w:val="20"/>
        </w:rPr>
        <w:t>.</w:t>
      </w:r>
    </w:p>
    <w:p w:rsidR="005F25E8" w:rsidRDefault="005F25E8" w:rsidP="005F25E8">
      <w:pPr>
        <w:tabs>
          <w:tab w:val="left" w:pos="1410"/>
        </w:tabs>
        <w:rPr>
          <w:rFonts w:ascii="Verdana" w:hAnsi="Verdana" w:cs="Courier New"/>
          <w:sz w:val="20"/>
          <w:lang w:val="es-AR"/>
        </w:rPr>
      </w:pPr>
    </w:p>
    <w:p w:rsidR="00AD5746" w:rsidRDefault="00AD5746" w:rsidP="005F25E8">
      <w:pPr>
        <w:tabs>
          <w:tab w:val="left" w:pos="1410"/>
        </w:tabs>
        <w:rPr>
          <w:rFonts w:ascii="Verdana" w:hAnsi="Verdana" w:cs="Courier New"/>
          <w:sz w:val="20"/>
          <w:lang w:val="es-AR"/>
        </w:rPr>
      </w:pPr>
    </w:p>
    <w:p w:rsidR="00AD5746" w:rsidRDefault="00AD5746" w:rsidP="005F25E8">
      <w:pPr>
        <w:tabs>
          <w:tab w:val="left" w:pos="1410"/>
        </w:tabs>
        <w:rPr>
          <w:rFonts w:ascii="Verdana" w:hAnsi="Verdana" w:cs="Courier New"/>
          <w:sz w:val="20"/>
          <w:lang w:val="es-AR"/>
        </w:rPr>
      </w:pPr>
    </w:p>
    <w:p w:rsidR="005F25E8" w:rsidRDefault="005F25E8" w:rsidP="005F25E8">
      <w:pPr>
        <w:keepNext/>
        <w:jc w:val="both"/>
        <w:outlineLvl w:val="0"/>
        <w:rPr>
          <w:rFonts w:ascii="Verdana" w:hAnsi="Verdana" w:cs="Arial"/>
          <w:sz w:val="20"/>
        </w:rPr>
      </w:pPr>
      <w:r>
        <w:rPr>
          <w:rFonts w:ascii="Verdana" w:hAnsi="Verdana" w:cs="Courier New"/>
          <w:noProof/>
          <w:sz w:val="20"/>
          <w:lang w:val="es-AR"/>
        </w:rPr>
        <w:t xml:space="preserve">Corte IDH. </w:t>
      </w:r>
      <w:r>
        <w:rPr>
          <w:rFonts w:ascii="Verdana" w:hAnsi="Verdana"/>
          <w:bCs/>
          <w:i/>
          <w:sz w:val="20"/>
        </w:rPr>
        <w:t xml:space="preserve">Caso Isaza Uribe y otros </w:t>
      </w:r>
      <w:r w:rsidRPr="0086117B">
        <w:rPr>
          <w:rFonts w:ascii="Verdana" w:hAnsi="Verdana"/>
          <w:bCs/>
          <w:i/>
          <w:sz w:val="20"/>
        </w:rPr>
        <w:t xml:space="preserve">Vs. Colombia. </w:t>
      </w:r>
      <w:r w:rsidRPr="00561AFE">
        <w:rPr>
          <w:rFonts w:ascii="Verdana" w:hAnsi="Verdana"/>
          <w:bCs/>
          <w:sz w:val="20"/>
        </w:rPr>
        <w:t>Supervisión de Cumplimiento de Sentencia</w:t>
      </w:r>
      <w:r>
        <w:rPr>
          <w:rFonts w:ascii="Verdana" w:hAnsi="Verdana"/>
          <w:bCs/>
          <w:sz w:val="20"/>
        </w:rPr>
        <w:t xml:space="preserve"> y Reintegro al Fondo de Asistencia Legal de Víctimas</w:t>
      </w:r>
      <w:r w:rsidRPr="00561AFE">
        <w:rPr>
          <w:rFonts w:ascii="Verdana" w:hAnsi="Verdana"/>
          <w:bCs/>
          <w:sz w:val="20"/>
        </w:rPr>
        <w:t>.</w:t>
      </w:r>
      <w:r>
        <w:rPr>
          <w:rFonts w:ascii="Verdana" w:hAnsi="Verdana" w:cs="Arial"/>
          <w:i/>
          <w:sz w:val="20"/>
        </w:rPr>
        <w:t xml:space="preserve"> </w:t>
      </w:r>
      <w:r>
        <w:rPr>
          <w:rFonts w:ascii="Verdana" w:hAnsi="Verdana"/>
          <w:sz w:val="20"/>
          <w:lang w:val="es-ES"/>
        </w:rPr>
        <w:t>Resolución de la Corte Interamericana de Derechos Humanos de 22 de noviembre</w:t>
      </w:r>
      <w:r>
        <w:rPr>
          <w:rFonts w:ascii="Verdana" w:hAnsi="Verdana"/>
          <w:sz w:val="20"/>
        </w:rPr>
        <w:t xml:space="preserve"> de 2019</w:t>
      </w:r>
      <w:r>
        <w:rPr>
          <w:rFonts w:ascii="Verdana" w:hAnsi="Verdana"/>
          <w:sz w:val="20"/>
          <w:lang w:val="es-ES"/>
        </w:rPr>
        <w:t xml:space="preserve">. </w:t>
      </w:r>
    </w:p>
    <w:p w:rsidR="005F25E8" w:rsidRDefault="005F25E8" w:rsidP="005F25E8">
      <w:pPr>
        <w:rPr>
          <w:rFonts w:ascii="Verdana" w:hAnsi="Verdana"/>
          <w:sz w:val="20"/>
          <w:lang w:val="es-ES"/>
        </w:rPr>
      </w:pPr>
    </w:p>
    <w:p w:rsidR="005F25E8" w:rsidRDefault="005F25E8" w:rsidP="005F25E8">
      <w:pPr>
        <w:rPr>
          <w:rFonts w:ascii="Verdana" w:hAnsi="Verdana"/>
          <w:sz w:val="20"/>
          <w:lang w:val="es-ES"/>
        </w:rPr>
      </w:pPr>
    </w:p>
    <w:p w:rsidR="005F25E8" w:rsidRDefault="005F25E8" w:rsidP="005F25E8">
      <w:pPr>
        <w:rPr>
          <w:rFonts w:ascii="Verdana" w:hAnsi="Verdana"/>
          <w:sz w:val="20"/>
          <w:lang w:val="es-ES"/>
        </w:rPr>
      </w:pPr>
    </w:p>
    <w:p w:rsidR="005F25E8" w:rsidRDefault="005F25E8" w:rsidP="005F25E8">
      <w:pPr>
        <w:rPr>
          <w:rFonts w:ascii="Verdana" w:hAnsi="Verdana"/>
          <w:sz w:val="20"/>
          <w:lang w:val="es-ES"/>
        </w:rPr>
      </w:pPr>
    </w:p>
    <w:p w:rsidR="005F25E8" w:rsidRDefault="005F25E8" w:rsidP="005F25E8">
      <w:pPr>
        <w:jc w:val="center"/>
        <w:rPr>
          <w:rFonts w:ascii="Verdana" w:hAnsi="Verdana"/>
          <w:sz w:val="20"/>
          <w:lang w:val="pt-BR"/>
        </w:rPr>
      </w:pPr>
      <w:r>
        <w:rPr>
          <w:rFonts w:ascii="Verdana" w:hAnsi="Verdana"/>
          <w:sz w:val="20"/>
          <w:lang w:val="pt-BR"/>
        </w:rPr>
        <w:t xml:space="preserve">Eduardo Vio Grossi </w:t>
      </w:r>
    </w:p>
    <w:p w:rsidR="005F25E8" w:rsidRDefault="005F25E8" w:rsidP="005F25E8">
      <w:pPr>
        <w:jc w:val="center"/>
        <w:rPr>
          <w:rFonts w:ascii="Verdana" w:hAnsi="Verdana"/>
          <w:sz w:val="20"/>
          <w:lang w:val="pt-BR"/>
        </w:rPr>
      </w:pPr>
      <w:r>
        <w:rPr>
          <w:rFonts w:ascii="Verdana" w:hAnsi="Verdana"/>
          <w:sz w:val="20"/>
          <w:lang w:val="pt-BR"/>
        </w:rPr>
        <w:t>Presidente en ejercicio</w:t>
      </w:r>
    </w:p>
    <w:p w:rsidR="005F25E8" w:rsidRDefault="005F25E8" w:rsidP="005F25E8">
      <w:pPr>
        <w:jc w:val="both"/>
        <w:rPr>
          <w:rFonts w:ascii="Verdana" w:hAnsi="Verdana"/>
          <w:sz w:val="20"/>
          <w:lang w:val="pt-BR"/>
        </w:rPr>
      </w:pPr>
    </w:p>
    <w:p w:rsidR="005F25E8" w:rsidRDefault="005F25E8" w:rsidP="005F25E8">
      <w:pPr>
        <w:jc w:val="both"/>
        <w:rPr>
          <w:rFonts w:ascii="Verdana" w:hAnsi="Verdana"/>
          <w:sz w:val="20"/>
          <w:lang w:val="pt-BR"/>
        </w:rPr>
      </w:pPr>
    </w:p>
    <w:p w:rsidR="005F25E8" w:rsidRDefault="005F25E8" w:rsidP="005F25E8">
      <w:pPr>
        <w:rPr>
          <w:rFonts w:ascii="Verdana" w:hAnsi="Verdana"/>
          <w:sz w:val="20"/>
          <w:lang w:val="pt-BR"/>
        </w:rPr>
      </w:pPr>
      <w:r>
        <w:rPr>
          <w:rFonts w:ascii="Verdana" w:hAnsi="Verdana"/>
          <w:sz w:val="20"/>
          <w:lang w:val="pt-BR"/>
        </w:rPr>
        <w:t>Elizabeth Odio Benito</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Eugenio Raúl Zaffaroni</w:t>
      </w:r>
    </w:p>
    <w:p w:rsidR="005F25E8" w:rsidRDefault="005F25E8" w:rsidP="005F25E8">
      <w:pPr>
        <w:rPr>
          <w:rFonts w:ascii="Verdana" w:hAnsi="Verdana"/>
          <w:sz w:val="20"/>
          <w:lang w:val="pt-BR"/>
        </w:rPr>
      </w:pPr>
    </w:p>
    <w:p w:rsidR="005F25E8" w:rsidRDefault="005F25E8" w:rsidP="005F25E8">
      <w:pPr>
        <w:jc w:val="both"/>
        <w:rPr>
          <w:rFonts w:ascii="Verdana" w:hAnsi="Verdana"/>
          <w:sz w:val="20"/>
          <w:lang w:val="pt-BR"/>
        </w:rPr>
      </w:pPr>
    </w:p>
    <w:p w:rsidR="005F25E8" w:rsidRDefault="005F25E8" w:rsidP="00AD5746">
      <w:pPr>
        <w:rPr>
          <w:rFonts w:ascii="Verdana" w:hAnsi="Verdana"/>
          <w:sz w:val="20"/>
        </w:rPr>
      </w:pPr>
      <w:r>
        <w:rPr>
          <w:rFonts w:ascii="Verdana" w:hAnsi="Verdana"/>
          <w:sz w:val="20"/>
          <w:lang w:val="pt-BR"/>
        </w:rPr>
        <w:t>L. Patricio Pazmiño Freire</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w:t>
      </w:r>
      <w:r>
        <w:rPr>
          <w:rFonts w:ascii="Verdana" w:hAnsi="Verdana"/>
          <w:sz w:val="20"/>
        </w:rPr>
        <w:t>Ricardo C. Pérez Manrique</w:t>
      </w:r>
    </w:p>
    <w:p w:rsidR="005F25E8" w:rsidRDefault="005F25E8" w:rsidP="005F25E8">
      <w:pPr>
        <w:rPr>
          <w:rFonts w:ascii="Verdana" w:hAnsi="Verdana"/>
          <w:sz w:val="20"/>
          <w:lang w:val="pt-BR"/>
        </w:rPr>
      </w:pPr>
    </w:p>
    <w:p w:rsidR="005F25E8" w:rsidRDefault="005F25E8" w:rsidP="005F25E8">
      <w:pPr>
        <w:rPr>
          <w:rFonts w:ascii="Verdana" w:hAnsi="Verdana"/>
          <w:sz w:val="20"/>
          <w:lang w:val="pt-BR"/>
        </w:rPr>
      </w:pPr>
    </w:p>
    <w:p w:rsidR="005F25E8" w:rsidRDefault="005F25E8" w:rsidP="005F25E8">
      <w:pPr>
        <w:jc w:val="center"/>
        <w:rPr>
          <w:rFonts w:ascii="Verdana" w:hAnsi="Verdana"/>
          <w:sz w:val="20"/>
          <w:lang w:val="pt-BR"/>
        </w:rPr>
      </w:pPr>
      <w:r>
        <w:rPr>
          <w:rFonts w:ascii="Verdana" w:hAnsi="Verdana"/>
          <w:sz w:val="20"/>
          <w:lang w:val="pt-BR"/>
        </w:rPr>
        <w:t>Pablo Saavedra Alessandri</w:t>
      </w:r>
    </w:p>
    <w:p w:rsidR="005F25E8" w:rsidRDefault="005F25E8" w:rsidP="005F25E8">
      <w:pPr>
        <w:jc w:val="center"/>
        <w:rPr>
          <w:rFonts w:ascii="Verdana" w:hAnsi="Verdana"/>
          <w:sz w:val="20"/>
          <w:lang w:val="pt-BR"/>
        </w:rPr>
      </w:pPr>
      <w:r>
        <w:rPr>
          <w:rFonts w:ascii="Verdana" w:hAnsi="Verdana"/>
          <w:sz w:val="20"/>
          <w:lang w:val="pt-BR"/>
        </w:rPr>
        <w:t>Secretario</w:t>
      </w:r>
    </w:p>
    <w:p w:rsidR="005F25E8" w:rsidRDefault="005F25E8" w:rsidP="005F25E8">
      <w:pPr>
        <w:rPr>
          <w:rFonts w:ascii="Verdana" w:hAnsi="Verdana"/>
          <w:sz w:val="20"/>
          <w:lang w:val="pt-BR"/>
        </w:rPr>
      </w:pPr>
    </w:p>
    <w:p w:rsidR="005F25E8" w:rsidRDefault="005F25E8" w:rsidP="005F25E8">
      <w:pPr>
        <w:jc w:val="both"/>
        <w:rPr>
          <w:rFonts w:ascii="Verdana" w:hAnsi="Verdana"/>
          <w:sz w:val="20"/>
          <w:lang w:val="pt-BR"/>
        </w:rPr>
      </w:pPr>
      <w:r>
        <w:rPr>
          <w:rFonts w:ascii="Verdana" w:hAnsi="Verdana"/>
          <w:sz w:val="20"/>
          <w:lang w:val="pt-BR"/>
        </w:rPr>
        <w:t>Comuníquese y ejecútese,</w:t>
      </w:r>
    </w:p>
    <w:p w:rsidR="005F25E8" w:rsidRDefault="005F25E8" w:rsidP="005F25E8">
      <w:pPr>
        <w:jc w:val="both"/>
        <w:rPr>
          <w:rFonts w:ascii="Verdana" w:hAnsi="Verdana"/>
          <w:sz w:val="20"/>
          <w:lang w:val="pt-BR"/>
        </w:rPr>
      </w:pPr>
    </w:p>
    <w:p w:rsidR="005F25E8" w:rsidRDefault="005F25E8" w:rsidP="005F25E8">
      <w:pPr>
        <w:jc w:val="both"/>
        <w:rPr>
          <w:rFonts w:ascii="Verdana" w:hAnsi="Verdana"/>
          <w:sz w:val="20"/>
          <w:lang w:val="pt-BR"/>
        </w:rPr>
      </w:pPr>
    </w:p>
    <w:p w:rsidR="005F25E8" w:rsidRDefault="005F25E8" w:rsidP="005F25E8">
      <w:pPr>
        <w:ind w:left="4956"/>
        <w:jc w:val="center"/>
        <w:rPr>
          <w:rFonts w:ascii="Verdana" w:hAnsi="Verdana"/>
          <w:sz w:val="20"/>
          <w:lang w:val="pt-BR"/>
        </w:rPr>
      </w:pPr>
      <w:bookmarkStart w:id="13" w:name="_GoBack"/>
      <w:bookmarkEnd w:id="13"/>
      <w:r>
        <w:rPr>
          <w:rFonts w:ascii="Verdana" w:hAnsi="Verdana"/>
          <w:sz w:val="20"/>
          <w:lang w:val="pt-BR"/>
        </w:rPr>
        <w:t xml:space="preserve">Eduardo Vio Grossi </w:t>
      </w:r>
    </w:p>
    <w:p w:rsidR="005F25E8" w:rsidRDefault="005F25E8" w:rsidP="005F25E8">
      <w:pPr>
        <w:ind w:left="4956"/>
        <w:jc w:val="center"/>
        <w:rPr>
          <w:rFonts w:ascii="Verdana" w:hAnsi="Verdana"/>
          <w:sz w:val="20"/>
          <w:lang w:val="pt-BR"/>
        </w:rPr>
      </w:pPr>
      <w:r>
        <w:rPr>
          <w:rFonts w:ascii="Verdana" w:hAnsi="Verdana"/>
          <w:sz w:val="20"/>
          <w:lang w:val="pt-BR"/>
        </w:rPr>
        <w:t>Presidente en ejercicio</w:t>
      </w:r>
    </w:p>
    <w:p w:rsidR="005F25E8" w:rsidRDefault="005F25E8" w:rsidP="005F25E8">
      <w:pPr>
        <w:jc w:val="both"/>
        <w:rPr>
          <w:rFonts w:ascii="Verdana" w:hAnsi="Verdana"/>
          <w:sz w:val="20"/>
          <w:lang w:val="pt-BR"/>
        </w:rPr>
      </w:pPr>
    </w:p>
    <w:p w:rsidR="005F25E8" w:rsidRDefault="005F25E8" w:rsidP="005F25E8">
      <w:pPr>
        <w:jc w:val="both"/>
        <w:rPr>
          <w:rFonts w:ascii="Verdana" w:hAnsi="Verdana"/>
          <w:sz w:val="20"/>
          <w:lang w:val="pt-BR"/>
        </w:rPr>
      </w:pPr>
    </w:p>
    <w:p w:rsidR="005F25E8" w:rsidRDefault="005F25E8" w:rsidP="005F25E8">
      <w:pPr>
        <w:jc w:val="both"/>
        <w:rPr>
          <w:rFonts w:ascii="Verdana" w:hAnsi="Verdana"/>
          <w:sz w:val="20"/>
          <w:lang w:val="pt-BR"/>
        </w:rPr>
      </w:pPr>
    </w:p>
    <w:p w:rsidR="005F25E8" w:rsidRDefault="005F25E8" w:rsidP="005F25E8">
      <w:pPr>
        <w:jc w:val="both"/>
        <w:rPr>
          <w:rFonts w:ascii="Verdana" w:hAnsi="Verdana"/>
          <w:sz w:val="20"/>
          <w:lang w:val="pt-BR"/>
        </w:rPr>
      </w:pPr>
    </w:p>
    <w:p w:rsidR="005F25E8" w:rsidRDefault="005F25E8" w:rsidP="005F25E8">
      <w:pPr>
        <w:jc w:val="both"/>
        <w:rPr>
          <w:rFonts w:ascii="Verdana" w:hAnsi="Verdana"/>
          <w:sz w:val="20"/>
          <w:lang w:val="es-ES"/>
        </w:rPr>
      </w:pPr>
      <w:r>
        <w:rPr>
          <w:rFonts w:ascii="Verdana" w:hAnsi="Verdana"/>
          <w:sz w:val="20"/>
          <w:lang w:val="es-ES"/>
        </w:rPr>
        <w:t>Pablo Saavedra Alessandri</w:t>
      </w:r>
    </w:p>
    <w:p w:rsidR="005F25E8" w:rsidRDefault="005F25E8" w:rsidP="005F25E8">
      <w:pPr>
        <w:rPr>
          <w:rFonts w:ascii="Verdana" w:hAnsi="Verdana"/>
          <w:sz w:val="20"/>
        </w:rPr>
      </w:pPr>
      <w:r>
        <w:rPr>
          <w:rFonts w:ascii="Verdana" w:hAnsi="Verdana"/>
          <w:sz w:val="20"/>
          <w:lang w:val="es-ES"/>
        </w:rPr>
        <w:tab/>
      </w:r>
      <w:r>
        <w:rPr>
          <w:rFonts w:ascii="Verdana" w:hAnsi="Verdana"/>
          <w:sz w:val="20"/>
        </w:rPr>
        <w:t>Secretario</w:t>
      </w:r>
    </w:p>
    <w:p w:rsidR="005F25E8" w:rsidRDefault="005F25E8" w:rsidP="005F25E8">
      <w:pPr>
        <w:rPr>
          <w:rFonts w:ascii="Verdana" w:hAnsi="Verdana"/>
          <w:sz w:val="20"/>
        </w:rPr>
      </w:pPr>
    </w:p>
    <w:p w:rsidR="005F25E8" w:rsidRDefault="005F25E8" w:rsidP="005F25E8"/>
    <w:p w:rsidR="005F25E8" w:rsidRPr="005F25E8" w:rsidRDefault="005F25E8" w:rsidP="005F25E8">
      <w:pPr>
        <w:tabs>
          <w:tab w:val="left" w:pos="1410"/>
        </w:tabs>
        <w:rPr>
          <w:rFonts w:ascii="Verdana" w:hAnsi="Verdana" w:cs="Courier New"/>
          <w:sz w:val="20"/>
          <w:lang w:val="es-AR"/>
        </w:rPr>
      </w:pPr>
    </w:p>
    <w:sectPr w:rsidR="005F25E8" w:rsidRPr="005F25E8" w:rsidSect="00F04DE1">
      <w:headerReference w:type="default" r:id="rId8"/>
      <w:footerReference w:type="default" r:id="rId9"/>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2869" w:rsidRDefault="00BC2869" w:rsidP="0065520B">
      <w:r>
        <w:separator/>
      </w:r>
    </w:p>
  </w:endnote>
  <w:endnote w:type="continuationSeparator" w:id="0">
    <w:p w:rsidR="00BC2869" w:rsidRDefault="00BC2869" w:rsidP="00655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TTE3F96A70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6FB" w:rsidRPr="003456FB" w:rsidRDefault="003456FB">
    <w:pPr>
      <w:pStyle w:val="Piedepgina"/>
      <w:jc w:val="center"/>
      <w:rPr>
        <w:rFonts w:ascii="Verdana" w:hAnsi="Verdana"/>
        <w:sz w:val="16"/>
        <w:szCs w:val="16"/>
        <w:lang w:val="es-CR"/>
      </w:rPr>
    </w:pPr>
    <w:r>
      <w:rPr>
        <w:rFonts w:ascii="Verdana" w:hAnsi="Verdana"/>
        <w:sz w:val="16"/>
        <w:szCs w:val="16"/>
        <w:lang w:val="es-CR"/>
      </w:rPr>
      <w:t>-</w:t>
    </w:r>
    <w:r w:rsidRPr="003456FB">
      <w:rPr>
        <w:rFonts w:ascii="Verdana" w:hAnsi="Verdana"/>
        <w:sz w:val="16"/>
        <w:szCs w:val="16"/>
      </w:rPr>
      <w:fldChar w:fldCharType="begin"/>
    </w:r>
    <w:r w:rsidRPr="003456FB">
      <w:rPr>
        <w:rFonts w:ascii="Verdana" w:hAnsi="Verdana"/>
        <w:sz w:val="16"/>
        <w:szCs w:val="16"/>
      </w:rPr>
      <w:instrText>PAGE   \* MERGEFORMAT</w:instrText>
    </w:r>
    <w:r w:rsidRPr="003456FB">
      <w:rPr>
        <w:rFonts w:ascii="Verdana" w:hAnsi="Verdana"/>
        <w:sz w:val="16"/>
        <w:szCs w:val="16"/>
      </w:rPr>
      <w:fldChar w:fldCharType="separate"/>
    </w:r>
    <w:r w:rsidR="00AD5746" w:rsidRPr="00AD5746">
      <w:rPr>
        <w:rFonts w:ascii="Verdana" w:hAnsi="Verdana"/>
        <w:noProof/>
        <w:sz w:val="16"/>
        <w:szCs w:val="16"/>
        <w:lang w:val="es-ES"/>
      </w:rPr>
      <w:t>2</w:t>
    </w:r>
    <w:r w:rsidRPr="003456FB">
      <w:rPr>
        <w:rFonts w:ascii="Verdana" w:hAnsi="Verdana"/>
        <w:sz w:val="16"/>
        <w:szCs w:val="16"/>
      </w:rPr>
      <w:fldChar w:fldCharType="end"/>
    </w:r>
    <w:r>
      <w:rPr>
        <w:rFonts w:ascii="Verdana" w:hAnsi="Verdana"/>
        <w:sz w:val="16"/>
        <w:szCs w:val="16"/>
        <w:lang w:val="es-CR"/>
      </w:rPr>
      <w:t>-</w:t>
    </w:r>
  </w:p>
  <w:p w:rsidR="003456FB" w:rsidRDefault="003456F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2869" w:rsidRDefault="00BC2869" w:rsidP="0065520B">
      <w:r>
        <w:separator/>
      </w:r>
    </w:p>
  </w:footnote>
  <w:footnote w:type="continuationSeparator" w:id="0">
    <w:p w:rsidR="00BC2869" w:rsidRDefault="00BC2869" w:rsidP="0065520B">
      <w:r>
        <w:continuationSeparator/>
      </w:r>
    </w:p>
  </w:footnote>
  <w:footnote w:id="1">
    <w:p w:rsidR="00CA7486" w:rsidRPr="00FE7B3A" w:rsidRDefault="00CA7486" w:rsidP="007A2D2D">
      <w:pPr>
        <w:pStyle w:val="Textonotapie"/>
        <w:widowControl w:val="0"/>
        <w:tabs>
          <w:tab w:val="left" w:pos="540"/>
        </w:tabs>
        <w:jc w:val="both"/>
        <w:rPr>
          <w:rFonts w:ascii="Verdana" w:hAnsi="Verdana"/>
          <w:sz w:val="16"/>
          <w:szCs w:val="16"/>
          <w:lang w:val="es-CR"/>
        </w:rPr>
      </w:pPr>
      <w:r w:rsidRPr="00FE7B3A">
        <w:rPr>
          <w:rFonts w:ascii="Verdana" w:hAnsi="Verdana"/>
          <w:sz w:val="16"/>
          <w:szCs w:val="16"/>
          <w:vertAlign w:val="superscript"/>
          <w:lang w:val="es-CR"/>
        </w:rPr>
        <w:t>*</w:t>
      </w:r>
      <w:r w:rsidRPr="00FE7B3A">
        <w:rPr>
          <w:rFonts w:ascii="Verdana" w:hAnsi="Verdana"/>
          <w:sz w:val="16"/>
          <w:szCs w:val="16"/>
          <w:lang w:val="es-CR"/>
        </w:rPr>
        <w:tab/>
        <w:t>El Juez Humberto Antonio Sierra Porto, de nacionalidad colombiana, no participó en la deliberación de la Sentencia del presente caso ni en el conocimiento y deliberación de la presente Resolución, de conformidad con lo dispuesto en el artículo 19.1 del Reglamento de la Corte.</w:t>
      </w:r>
      <w:r w:rsidR="00C03F79">
        <w:rPr>
          <w:rFonts w:ascii="Verdana" w:hAnsi="Verdana"/>
          <w:sz w:val="16"/>
          <w:szCs w:val="16"/>
          <w:lang w:val="es-CR"/>
        </w:rPr>
        <w:t xml:space="preserve"> </w:t>
      </w:r>
      <w:r w:rsidR="00C03F79" w:rsidRPr="0042338C">
        <w:rPr>
          <w:rFonts w:ascii="Verdana" w:hAnsi="Verdana"/>
          <w:sz w:val="16"/>
          <w:szCs w:val="16"/>
          <w:lang w:val="es-CR"/>
        </w:rPr>
        <w:t>Asimismo, el Juez Eduardo Ferrer Mac-Gregor Poisot no participó en la deliberación y firma de la presente Resolución por razones de fuerza mayor</w:t>
      </w:r>
      <w:r w:rsidR="00C03F79">
        <w:rPr>
          <w:rFonts w:ascii="Verdana" w:hAnsi="Verdana"/>
          <w:sz w:val="16"/>
          <w:szCs w:val="16"/>
          <w:lang w:val="es-CR"/>
        </w:rPr>
        <w:t>.</w:t>
      </w:r>
    </w:p>
    <w:p w:rsidR="006B64BE" w:rsidRPr="00FE7B3A" w:rsidRDefault="006B64BE" w:rsidP="007A2D2D">
      <w:pPr>
        <w:pStyle w:val="Textonotapie"/>
        <w:widowControl w:val="0"/>
        <w:tabs>
          <w:tab w:val="left" w:pos="547"/>
        </w:tabs>
        <w:jc w:val="both"/>
        <w:rPr>
          <w:rFonts w:ascii="Verdana" w:hAnsi="Verdana"/>
          <w:sz w:val="16"/>
          <w:szCs w:val="16"/>
          <w:lang w:val="es-CR"/>
        </w:rPr>
      </w:pPr>
      <w:r w:rsidRPr="00FE7B3A">
        <w:rPr>
          <w:rStyle w:val="Refdenotaalpie"/>
          <w:sz w:val="16"/>
          <w:szCs w:val="16"/>
          <w:lang w:val="es-CR"/>
        </w:rPr>
        <w:footnoteRef/>
      </w:r>
      <w:r w:rsidRPr="00FE7B3A">
        <w:rPr>
          <w:rFonts w:ascii="Verdana" w:hAnsi="Verdana"/>
          <w:sz w:val="16"/>
          <w:szCs w:val="16"/>
          <w:lang w:val="es-CR"/>
        </w:rPr>
        <w:t xml:space="preserve"> </w:t>
      </w:r>
      <w:r w:rsidRPr="00FE7B3A">
        <w:rPr>
          <w:rFonts w:ascii="Verdana" w:hAnsi="Verdana"/>
          <w:sz w:val="16"/>
          <w:szCs w:val="16"/>
          <w:lang w:val="es-CR"/>
        </w:rPr>
        <w:tab/>
      </w:r>
      <w:r w:rsidRPr="00FE7B3A">
        <w:rPr>
          <w:rFonts w:ascii="Verdana" w:hAnsi="Verdana"/>
          <w:i/>
          <w:sz w:val="16"/>
          <w:szCs w:val="16"/>
          <w:lang w:val="es-CR"/>
        </w:rPr>
        <w:t xml:space="preserve">Cfr. </w:t>
      </w:r>
      <w:r w:rsidR="000A7F22" w:rsidRPr="00FE7B3A">
        <w:rPr>
          <w:rStyle w:val="Textoennegrita"/>
          <w:rFonts w:ascii="Verdana" w:hAnsi="Verdana"/>
          <w:b w:val="0"/>
          <w:i/>
          <w:color w:val="000000"/>
          <w:sz w:val="16"/>
          <w:szCs w:val="16"/>
          <w:shd w:val="clear" w:color="auto" w:fill="FFFFFF"/>
          <w:lang w:val="es-CR"/>
        </w:rPr>
        <w:t xml:space="preserve">Caso Isaza Uribe y otros Vs. Colombia. Fondo, Reparaciones y Costas. </w:t>
      </w:r>
      <w:r w:rsidR="000A7F22" w:rsidRPr="00FE7B3A">
        <w:rPr>
          <w:rStyle w:val="Textoennegrita"/>
          <w:rFonts w:ascii="Verdana" w:hAnsi="Verdana"/>
          <w:b w:val="0"/>
          <w:color w:val="000000"/>
          <w:sz w:val="16"/>
          <w:szCs w:val="16"/>
          <w:shd w:val="clear" w:color="auto" w:fill="FFFFFF"/>
          <w:lang w:val="es-CR"/>
        </w:rPr>
        <w:t>Sentencia de 20 de noviembre de 2018. Serie C No. 363</w:t>
      </w:r>
      <w:r w:rsidR="00EE4992" w:rsidRPr="00FE7B3A">
        <w:rPr>
          <w:rStyle w:val="Textoennegrita"/>
          <w:rFonts w:ascii="Verdana" w:hAnsi="Verdana"/>
          <w:b w:val="0"/>
          <w:color w:val="000000"/>
          <w:sz w:val="16"/>
          <w:szCs w:val="16"/>
          <w:shd w:val="clear" w:color="auto" w:fill="FFFFFF"/>
          <w:lang w:val="es-CR"/>
        </w:rPr>
        <w:t>.</w:t>
      </w:r>
      <w:r w:rsidRPr="00FE7B3A">
        <w:rPr>
          <w:rFonts w:ascii="Verdana" w:hAnsi="Verdana"/>
          <w:sz w:val="16"/>
          <w:szCs w:val="16"/>
          <w:lang w:val="es-CR"/>
        </w:rPr>
        <w:t xml:space="preserve"> El texto íntegro de la Sentencia se encuentra disponible en: </w:t>
      </w:r>
      <w:hyperlink r:id="rId1" w:history="1">
        <w:r w:rsidR="000A7F22" w:rsidRPr="00FE7B3A">
          <w:rPr>
            <w:rStyle w:val="Hipervnculo"/>
            <w:rFonts w:ascii="Verdana" w:hAnsi="Verdana"/>
            <w:sz w:val="16"/>
            <w:szCs w:val="16"/>
            <w:lang w:val="es-CR"/>
          </w:rPr>
          <w:t>http://www.corteidh.or.cr/docs/casos/articulos/seriec_363_esp.pdf</w:t>
        </w:r>
      </w:hyperlink>
      <w:r w:rsidRPr="00FE7B3A">
        <w:rPr>
          <w:rFonts w:ascii="Verdana" w:hAnsi="Verdana"/>
          <w:sz w:val="16"/>
          <w:szCs w:val="16"/>
          <w:lang w:val="es-CR"/>
        </w:rPr>
        <w:t xml:space="preserve">. La Sentencia fue notificada al Estado el </w:t>
      </w:r>
      <w:r w:rsidR="000A7F22" w:rsidRPr="00FE7B3A">
        <w:rPr>
          <w:rFonts w:ascii="Verdana" w:hAnsi="Verdana"/>
          <w:sz w:val="16"/>
          <w:szCs w:val="16"/>
          <w:lang w:val="es-CR"/>
        </w:rPr>
        <w:t>19</w:t>
      </w:r>
      <w:r w:rsidR="00DA67F6" w:rsidRPr="00FE7B3A">
        <w:rPr>
          <w:rFonts w:ascii="Verdana" w:hAnsi="Verdana"/>
          <w:sz w:val="16"/>
          <w:szCs w:val="16"/>
          <w:lang w:val="es-CR"/>
        </w:rPr>
        <w:t xml:space="preserve"> de </w:t>
      </w:r>
      <w:r w:rsidR="000A7F22" w:rsidRPr="00FE7B3A">
        <w:rPr>
          <w:rFonts w:ascii="Verdana" w:hAnsi="Verdana"/>
          <w:sz w:val="16"/>
          <w:szCs w:val="16"/>
          <w:lang w:val="es-CR"/>
        </w:rPr>
        <w:t>diciembre</w:t>
      </w:r>
      <w:r w:rsidR="00DA67F6" w:rsidRPr="00FE7B3A">
        <w:rPr>
          <w:rFonts w:ascii="Verdana" w:hAnsi="Verdana"/>
          <w:sz w:val="16"/>
          <w:szCs w:val="16"/>
          <w:lang w:val="es-CR"/>
        </w:rPr>
        <w:t xml:space="preserve"> de 2018. </w:t>
      </w:r>
    </w:p>
  </w:footnote>
  <w:footnote w:id="2">
    <w:p w:rsidR="00FA73B1" w:rsidRPr="00FE7B3A" w:rsidRDefault="00FA73B1" w:rsidP="007A2D2D">
      <w:pPr>
        <w:pStyle w:val="Textonotapie"/>
        <w:widowControl w:val="0"/>
        <w:tabs>
          <w:tab w:val="left" w:pos="547"/>
        </w:tabs>
        <w:jc w:val="both"/>
        <w:rPr>
          <w:rFonts w:ascii="Verdana" w:hAnsi="Verdana"/>
          <w:sz w:val="16"/>
          <w:szCs w:val="16"/>
          <w:lang w:val="es-CR"/>
        </w:rPr>
      </w:pPr>
      <w:r w:rsidRPr="00FE7B3A">
        <w:rPr>
          <w:rStyle w:val="Refdenotaalpie"/>
          <w:sz w:val="16"/>
          <w:szCs w:val="16"/>
          <w:lang w:val="es-CR"/>
        </w:rPr>
        <w:footnoteRef/>
      </w:r>
      <w:r w:rsidRPr="00FE7B3A">
        <w:rPr>
          <w:rFonts w:ascii="Verdana" w:hAnsi="Verdana"/>
          <w:sz w:val="16"/>
          <w:szCs w:val="16"/>
          <w:lang w:val="es-CR"/>
        </w:rPr>
        <w:t xml:space="preserve"> </w:t>
      </w:r>
      <w:r w:rsidRPr="00FE7B3A">
        <w:rPr>
          <w:rFonts w:ascii="Verdana" w:hAnsi="Verdana"/>
          <w:sz w:val="16"/>
          <w:szCs w:val="16"/>
          <w:lang w:val="es-CR"/>
        </w:rPr>
        <w:tab/>
        <w:t>Dichos familiares son Carmenza Vélez (esposa), Jhony Alexander Isaza Vélez (hijo) y Haner Alexis Isaza Vélez (hijo).</w:t>
      </w:r>
    </w:p>
  </w:footnote>
  <w:footnote w:id="3">
    <w:p w:rsidR="00AC5CAA" w:rsidRPr="00AC5CAA" w:rsidRDefault="00AC5CAA" w:rsidP="007A2D2D">
      <w:pPr>
        <w:pStyle w:val="Textonotapie"/>
        <w:widowControl w:val="0"/>
        <w:tabs>
          <w:tab w:val="left" w:pos="540"/>
        </w:tabs>
        <w:rPr>
          <w:rFonts w:ascii="Verdana" w:hAnsi="Verdana"/>
          <w:sz w:val="16"/>
          <w:szCs w:val="16"/>
          <w:lang w:val="es-CR"/>
        </w:rPr>
      </w:pPr>
      <w:r w:rsidRPr="00AC5CAA">
        <w:rPr>
          <w:rStyle w:val="Refdenotaalpie"/>
          <w:sz w:val="16"/>
          <w:szCs w:val="16"/>
        </w:rPr>
        <w:footnoteRef/>
      </w:r>
      <w:r w:rsidRPr="00AC5CAA">
        <w:rPr>
          <w:rFonts w:ascii="Verdana" w:hAnsi="Verdana"/>
          <w:sz w:val="16"/>
          <w:szCs w:val="16"/>
        </w:rPr>
        <w:t xml:space="preserve"> </w:t>
      </w:r>
      <w:r w:rsidRPr="00AC5CAA">
        <w:rPr>
          <w:rFonts w:ascii="Verdana" w:hAnsi="Verdana"/>
          <w:sz w:val="16"/>
          <w:szCs w:val="16"/>
          <w:lang w:val="es-CR"/>
        </w:rPr>
        <w:tab/>
        <w:t xml:space="preserve">Las víctimas del presente caso son representadas por la Comisión Colombiana de Juristas. </w:t>
      </w:r>
    </w:p>
  </w:footnote>
  <w:footnote w:id="4">
    <w:p w:rsidR="007523FD" w:rsidRPr="00FE7B3A" w:rsidRDefault="007523FD" w:rsidP="00584073">
      <w:pPr>
        <w:pStyle w:val="Textonotapie"/>
        <w:widowControl w:val="0"/>
        <w:tabs>
          <w:tab w:val="left" w:pos="547"/>
        </w:tabs>
        <w:jc w:val="both"/>
        <w:rPr>
          <w:rFonts w:ascii="Verdana" w:hAnsi="Verdana"/>
          <w:sz w:val="16"/>
          <w:szCs w:val="16"/>
          <w:lang w:val="es-CR"/>
        </w:rPr>
      </w:pPr>
      <w:r w:rsidRPr="00FE7B3A">
        <w:rPr>
          <w:rStyle w:val="Refdenotaalpie"/>
          <w:sz w:val="16"/>
          <w:szCs w:val="16"/>
          <w:lang w:val="es-CR"/>
        </w:rPr>
        <w:footnoteRef/>
      </w:r>
      <w:r w:rsidR="00584073">
        <w:rPr>
          <w:rFonts w:ascii="Verdana" w:hAnsi="Verdana"/>
          <w:sz w:val="16"/>
          <w:szCs w:val="16"/>
          <w:lang w:val="es-CR"/>
        </w:rPr>
        <w:tab/>
      </w:r>
      <w:r w:rsidRPr="00FE7B3A">
        <w:rPr>
          <w:rFonts w:ascii="Verdana" w:hAnsi="Verdana"/>
          <w:sz w:val="16"/>
          <w:szCs w:val="16"/>
          <w:lang w:val="es-CR"/>
        </w:rPr>
        <w:t>Facultad que además se desprende de lo dispuesto en los artículos 33, 62.1, 62.3 y 65 de la Convención Americana y 30 de su Estatuto y se encuentra regulada en el artículo 69 de su Reglamento.</w:t>
      </w:r>
    </w:p>
  </w:footnote>
  <w:footnote w:id="5">
    <w:p w:rsidR="007523FD" w:rsidRPr="00FE7B3A" w:rsidRDefault="007523FD" w:rsidP="00584073">
      <w:pPr>
        <w:pStyle w:val="Textonotapie"/>
        <w:widowControl w:val="0"/>
        <w:tabs>
          <w:tab w:val="left" w:pos="547"/>
        </w:tabs>
        <w:ind w:right="4"/>
        <w:jc w:val="both"/>
        <w:rPr>
          <w:rFonts w:ascii="Verdana" w:hAnsi="Verdana"/>
          <w:b/>
          <w:color w:val="000000"/>
          <w:sz w:val="16"/>
          <w:szCs w:val="16"/>
          <w:lang w:val="es-CR"/>
        </w:rPr>
      </w:pPr>
      <w:r w:rsidRPr="00FE7B3A">
        <w:rPr>
          <w:rStyle w:val="Refdenotaalpie"/>
          <w:sz w:val="16"/>
          <w:szCs w:val="16"/>
          <w:lang w:val="es-CR"/>
        </w:rPr>
        <w:footnoteRef/>
      </w:r>
      <w:r w:rsidRPr="00FE7B3A">
        <w:rPr>
          <w:rFonts w:ascii="Verdana" w:hAnsi="Verdana"/>
          <w:i/>
          <w:color w:val="000000"/>
          <w:sz w:val="16"/>
          <w:szCs w:val="16"/>
          <w:lang w:val="es-CR"/>
        </w:rPr>
        <w:tab/>
        <w:t xml:space="preserve">Cfr. Caso Cinco Pensionistas Vs. Perú. Supervisión de cumplimiento de Sentencia. </w:t>
      </w:r>
      <w:r w:rsidRPr="00FE7B3A">
        <w:rPr>
          <w:rFonts w:ascii="Verdana" w:hAnsi="Verdana"/>
          <w:color w:val="000000"/>
          <w:sz w:val="16"/>
          <w:szCs w:val="16"/>
          <w:lang w:val="es-CR"/>
        </w:rPr>
        <w:t xml:space="preserve">Resolución de la Corte Interamericana de Derechos Humanos de 17 de noviembre de 2004, Considerando 5, y </w:t>
      </w:r>
      <w:r w:rsidR="00A057CA" w:rsidRPr="004C77ED">
        <w:rPr>
          <w:rStyle w:val="Textoennegrita"/>
          <w:rFonts w:ascii="Verdana" w:hAnsi="Verdana"/>
          <w:b w:val="0"/>
          <w:i/>
          <w:color w:val="000000"/>
          <w:sz w:val="16"/>
          <w:szCs w:val="16"/>
          <w:shd w:val="clear" w:color="auto" w:fill="FFFFFF"/>
          <w:lang w:val="es-ES_tradnl"/>
        </w:rPr>
        <w:t>Caso Carvajal Vs. Colombia. Supervisión de Cumplimiento de Sentencia.</w:t>
      </w:r>
      <w:r w:rsidR="00A057CA" w:rsidRPr="004C77ED">
        <w:rPr>
          <w:rStyle w:val="Textoennegrita"/>
          <w:rFonts w:ascii="Verdana" w:hAnsi="Verdana"/>
          <w:b w:val="0"/>
          <w:color w:val="000000"/>
          <w:sz w:val="16"/>
          <w:szCs w:val="16"/>
          <w:shd w:val="clear" w:color="auto" w:fill="FFFFFF"/>
          <w:lang w:val="es-ES_tradnl"/>
        </w:rPr>
        <w:t xml:space="preserve"> Resolución de la Corte Interamericana de Derechos Humanos de 7 de octubre de 2019</w:t>
      </w:r>
      <w:r w:rsidR="00A057CA" w:rsidRPr="004C77ED">
        <w:rPr>
          <w:rFonts w:ascii="Verdana" w:hAnsi="Verdana"/>
          <w:sz w:val="16"/>
          <w:szCs w:val="16"/>
          <w:lang w:val="es-ES_tradnl"/>
        </w:rPr>
        <w:t>, Considerando 2.</w:t>
      </w:r>
      <w:r w:rsidRPr="00FE7B3A">
        <w:rPr>
          <w:rStyle w:val="Textoennegrita"/>
          <w:rFonts w:ascii="Verdana" w:hAnsi="Verdana"/>
          <w:b w:val="0"/>
          <w:color w:val="000000"/>
          <w:sz w:val="16"/>
          <w:szCs w:val="16"/>
          <w:shd w:val="clear" w:color="auto" w:fill="FFFFFF"/>
          <w:lang w:val="es-CR"/>
        </w:rPr>
        <w:t xml:space="preserve"> </w:t>
      </w:r>
    </w:p>
  </w:footnote>
  <w:footnote w:id="6">
    <w:p w:rsidR="007523FD" w:rsidRPr="00FE7B3A" w:rsidRDefault="007523FD" w:rsidP="00584073">
      <w:pPr>
        <w:pStyle w:val="Textonotapie"/>
        <w:widowControl w:val="0"/>
        <w:tabs>
          <w:tab w:val="left" w:pos="547"/>
        </w:tabs>
        <w:ind w:right="4"/>
        <w:jc w:val="both"/>
        <w:rPr>
          <w:rFonts w:ascii="Verdana" w:hAnsi="Verdana"/>
          <w:b/>
          <w:color w:val="000000"/>
          <w:sz w:val="16"/>
          <w:szCs w:val="16"/>
          <w:lang w:val="es-CR"/>
        </w:rPr>
      </w:pPr>
      <w:r w:rsidRPr="00FE7B3A">
        <w:rPr>
          <w:rStyle w:val="Refdenotaalpie"/>
          <w:sz w:val="16"/>
          <w:szCs w:val="16"/>
          <w:lang w:val="es-CR"/>
        </w:rPr>
        <w:footnoteRef/>
      </w:r>
      <w:r w:rsidRPr="00FE7B3A">
        <w:rPr>
          <w:rFonts w:ascii="Verdana" w:hAnsi="Verdana"/>
          <w:sz w:val="16"/>
          <w:szCs w:val="16"/>
          <w:lang w:val="es-CR"/>
        </w:rPr>
        <w:tab/>
      </w:r>
      <w:r w:rsidRPr="00FE7B3A">
        <w:rPr>
          <w:rFonts w:ascii="Verdana" w:hAnsi="Verdana"/>
          <w:i/>
          <w:sz w:val="16"/>
          <w:szCs w:val="16"/>
          <w:lang w:val="es-CR"/>
        </w:rPr>
        <w:t>Cfr. Caso Ivcher Bronstein Vs. Perú. Competencia</w:t>
      </w:r>
      <w:r w:rsidRPr="00FE7B3A">
        <w:rPr>
          <w:rFonts w:ascii="Verdana" w:hAnsi="Verdana"/>
          <w:sz w:val="16"/>
          <w:szCs w:val="16"/>
          <w:lang w:val="es-CR"/>
        </w:rPr>
        <w:t xml:space="preserve">. Sentencia de la Corte Interamericana de Derechos Humanos de 24 de septiembre de 1999. Serie C No. 54, párr. 37, y </w:t>
      </w:r>
      <w:r w:rsidR="00A057CA" w:rsidRPr="004C77ED">
        <w:rPr>
          <w:rStyle w:val="Textoennegrita"/>
          <w:rFonts w:ascii="Verdana" w:hAnsi="Verdana"/>
          <w:b w:val="0"/>
          <w:i/>
          <w:color w:val="000000"/>
          <w:sz w:val="16"/>
          <w:szCs w:val="16"/>
          <w:shd w:val="clear" w:color="auto" w:fill="FFFFFF"/>
          <w:lang w:val="es-ES_tradnl"/>
        </w:rPr>
        <w:t>Caso Carvajal Vs. Colombia</w:t>
      </w:r>
      <w:r w:rsidRPr="00FE7B3A">
        <w:rPr>
          <w:rFonts w:ascii="Verdana" w:hAnsi="Verdana"/>
          <w:i/>
          <w:color w:val="000000"/>
          <w:sz w:val="16"/>
          <w:szCs w:val="16"/>
          <w:lang w:val="es-CR"/>
        </w:rPr>
        <w:t xml:space="preserve">, supra </w:t>
      </w:r>
      <w:r w:rsidRPr="00FE7B3A">
        <w:rPr>
          <w:rFonts w:ascii="Verdana" w:hAnsi="Verdana"/>
          <w:color w:val="000000"/>
          <w:sz w:val="16"/>
          <w:szCs w:val="16"/>
          <w:lang w:val="es-CR"/>
        </w:rPr>
        <w:t xml:space="preserve">nota </w:t>
      </w:r>
      <w:r w:rsidRPr="00FE7B3A">
        <w:rPr>
          <w:rFonts w:ascii="Verdana" w:hAnsi="Verdana"/>
          <w:color w:val="000000"/>
          <w:sz w:val="16"/>
          <w:szCs w:val="16"/>
          <w:lang w:val="es-CR"/>
        </w:rPr>
        <w:fldChar w:fldCharType="begin"/>
      </w:r>
      <w:r w:rsidRPr="00FE7B3A">
        <w:rPr>
          <w:rFonts w:ascii="Verdana" w:hAnsi="Verdana"/>
          <w:color w:val="000000"/>
          <w:sz w:val="16"/>
          <w:szCs w:val="16"/>
          <w:lang w:val="es-CR"/>
        </w:rPr>
        <w:instrText xml:space="preserve"> NOTEREF _Ref21964606 \h </w:instrText>
      </w:r>
      <w:r w:rsidRPr="00FE7B3A">
        <w:rPr>
          <w:rFonts w:ascii="Verdana" w:hAnsi="Verdana"/>
          <w:color w:val="000000"/>
          <w:sz w:val="16"/>
          <w:szCs w:val="16"/>
          <w:lang w:val="es-CR"/>
        </w:rPr>
      </w:r>
      <w:r w:rsidR="009C46D3" w:rsidRPr="00FE7B3A">
        <w:rPr>
          <w:rFonts w:ascii="Verdana" w:hAnsi="Verdana"/>
          <w:color w:val="000000"/>
          <w:sz w:val="16"/>
          <w:szCs w:val="16"/>
          <w:lang w:val="es-CR"/>
        </w:rPr>
        <w:instrText xml:space="preserve"> \* MERGEFORMAT </w:instrText>
      </w:r>
      <w:r w:rsidRPr="00FE7B3A">
        <w:rPr>
          <w:rFonts w:ascii="Verdana" w:hAnsi="Verdana"/>
          <w:color w:val="000000"/>
          <w:sz w:val="16"/>
          <w:szCs w:val="16"/>
          <w:lang w:val="es-CR"/>
        </w:rPr>
        <w:fldChar w:fldCharType="separate"/>
      </w:r>
      <w:r w:rsidR="00C6492C">
        <w:rPr>
          <w:rFonts w:ascii="Verdana" w:hAnsi="Verdana"/>
          <w:color w:val="000000"/>
          <w:sz w:val="16"/>
          <w:szCs w:val="16"/>
          <w:lang w:val="es-CR"/>
        </w:rPr>
        <w:t>5</w:t>
      </w:r>
      <w:r w:rsidRPr="00FE7B3A">
        <w:rPr>
          <w:rFonts w:ascii="Verdana" w:hAnsi="Verdana"/>
          <w:color w:val="000000"/>
          <w:sz w:val="16"/>
          <w:szCs w:val="16"/>
          <w:lang w:val="es-CR"/>
        </w:rPr>
        <w:fldChar w:fldCharType="end"/>
      </w:r>
      <w:r w:rsidRPr="00FE7B3A">
        <w:rPr>
          <w:rFonts w:ascii="Verdana" w:hAnsi="Verdana"/>
          <w:color w:val="000000"/>
          <w:sz w:val="16"/>
          <w:szCs w:val="16"/>
          <w:lang w:val="es-CR"/>
        </w:rPr>
        <w:t xml:space="preserve">, Considerando </w:t>
      </w:r>
      <w:r w:rsidR="00D67F3C">
        <w:rPr>
          <w:rFonts w:ascii="Verdana" w:hAnsi="Verdana"/>
          <w:color w:val="000000"/>
          <w:sz w:val="16"/>
          <w:szCs w:val="16"/>
          <w:lang w:val="es-CR"/>
        </w:rPr>
        <w:t>2</w:t>
      </w:r>
      <w:r w:rsidRPr="00D67F3C">
        <w:rPr>
          <w:rStyle w:val="Textoennegrita"/>
          <w:rFonts w:ascii="Verdana" w:hAnsi="Verdana"/>
          <w:b w:val="0"/>
          <w:color w:val="000000"/>
          <w:sz w:val="16"/>
          <w:szCs w:val="16"/>
          <w:shd w:val="clear" w:color="auto" w:fill="FFFFFF"/>
          <w:lang w:val="es-CR"/>
        </w:rPr>
        <w:t>.</w:t>
      </w:r>
    </w:p>
  </w:footnote>
  <w:footnote w:id="7">
    <w:p w:rsidR="009C46D3" w:rsidRPr="00FE7B3A" w:rsidRDefault="009C46D3" w:rsidP="00FD225D">
      <w:pPr>
        <w:pStyle w:val="Textonotapie"/>
        <w:widowControl w:val="0"/>
        <w:tabs>
          <w:tab w:val="left" w:pos="547"/>
        </w:tabs>
        <w:jc w:val="both"/>
        <w:rPr>
          <w:rFonts w:ascii="Verdana" w:hAnsi="Verdana"/>
          <w:b/>
          <w:sz w:val="16"/>
          <w:szCs w:val="16"/>
          <w:lang w:val="es-CR"/>
        </w:rPr>
      </w:pPr>
      <w:r w:rsidRPr="00FE7B3A">
        <w:rPr>
          <w:rStyle w:val="Refdenotaalpie"/>
          <w:sz w:val="16"/>
          <w:szCs w:val="16"/>
        </w:rPr>
        <w:footnoteRef/>
      </w:r>
      <w:r w:rsidRPr="00FE7B3A">
        <w:rPr>
          <w:rFonts w:ascii="Verdana" w:hAnsi="Verdana"/>
          <w:sz w:val="16"/>
          <w:szCs w:val="16"/>
        </w:rPr>
        <w:t xml:space="preserve"> </w:t>
      </w:r>
      <w:r w:rsidRPr="00FE7B3A">
        <w:rPr>
          <w:rFonts w:ascii="Verdana" w:hAnsi="Verdana"/>
          <w:sz w:val="16"/>
          <w:szCs w:val="16"/>
          <w:lang w:val="es-CR"/>
        </w:rPr>
        <w:tab/>
      </w:r>
      <w:r w:rsidRPr="00496FE7">
        <w:rPr>
          <w:rFonts w:ascii="Verdana" w:hAnsi="Verdana"/>
          <w:i/>
          <w:sz w:val="16"/>
          <w:szCs w:val="16"/>
          <w:lang w:val="es-CR"/>
        </w:rPr>
        <w:t>Cfr</w:t>
      </w:r>
      <w:r w:rsidRPr="00FE7B3A">
        <w:rPr>
          <w:rFonts w:ascii="Verdana" w:hAnsi="Verdana"/>
          <w:sz w:val="16"/>
          <w:szCs w:val="16"/>
          <w:lang w:val="es-CR"/>
        </w:rPr>
        <w:t>. Copia de la publicación realizada en la edición No. 50.859 del Diario Oficial de 6 de febrero de 2019, págs. 41-4</w:t>
      </w:r>
      <w:r w:rsidR="00DE316D">
        <w:rPr>
          <w:rFonts w:ascii="Verdana" w:hAnsi="Verdana"/>
          <w:sz w:val="16"/>
          <w:szCs w:val="16"/>
          <w:lang w:val="es-CR"/>
        </w:rPr>
        <w:t>3</w:t>
      </w:r>
      <w:r w:rsidRPr="00FE7B3A">
        <w:rPr>
          <w:rFonts w:ascii="Verdana" w:hAnsi="Verdana"/>
          <w:sz w:val="16"/>
          <w:szCs w:val="16"/>
          <w:lang w:val="es-CR"/>
        </w:rPr>
        <w:t xml:space="preserve"> (anexo al informe estatal de 21 de junio de 2019).</w:t>
      </w:r>
    </w:p>
  </w:footnote>
  <w:footnote w:id="8">
    <w:p w:rsidR="00FE7B3A" w:rsidRPr="00FE7B3A" w:rsidRDefault="00FE7B3A" w:rsidP="00FD225D">
      <w:pPr>
        <w:pStyle w:val="Textonotapie"/>
        <w:widowControl w:val="0"/>
        <w:tabs>
          <w:tab w:val="left" w:pos="547"/>
        </w:tabs>
        <w:jc w:val="both"/>
        <w:rPr>
          <w:rFonts w:ascii="Verdana" w:hAnsi="Verdana"/>
          <w:b/>
          <w:sz w:val="16"/>
          <w:szCs w:val="16"/>
          <w:lang w:val="es-CR"/>
        </w:rPr>
      </w:pPr>
      <w:r w:rsidRPr="00FE7B3A">
        <w:rPr>
          <w:rStyle w:val="Refdenotaalpie"/>
          <w:sz w:val="16"/>
          <w:szCs w:val="16"/>
        </w:rPr>
        <w:footnoteRef/>
      </w:r>
      <w:r w:rsidRPr="00FE7B3A">
        <w:rPr>
          <w:rFonts w:ascii="Verdana" w:hAnsi="Verdana"/>
          <w:sz w:val="16"/>
          <w:szCs w:val="16"/>
        </w:rPr>
        <w:t xml:space="preserve"> </w:t>
      </w:r>
      <w:r w:rsidRPr="00FE7B3A">
        <w:rPr>
          <w:rFonts w:ascii="Verdana" w:hAnsi="Verdana"/>
          <w:sz w:val="16"/>
          <w:szCs w:val="16"/>
          <w:lang w:val="es-CR"/>
        </w:rPr>
        <w:tab/>
      </w:r>
      <w:r>
        <w:rPr>
          <w:rFonts w:ascii="Verdana" w:hAnsi="Verdana"/>
          <w:i/>
          <w:sz w:val="16"/>
          <w:szCs w:val="16"/>
          <w:lang w:val="es-CR"/>
        </w:rPr>
        <w:t xml:space="preserve">Cfr. </w:t>
      </w:r>
      <w:r>
        <w:rPr>
          <w:rFonts w:ascii="Verdana" w:hAnsi="Verdana"/>
          <w:sz w:val="16"/>
          <w:szCs w:val="16"/>
          <w:lang w:val="es-CR"/>
        </w:rPr>
        <w:t xml:space="preserve">Escrito de observaciones de los representantes de las víctimas de 23 de julio de 2019. </w:t>
      </w:r>
    </w:p>
  </w:footnote>
  <w:footnote w:id="9">
    <w:p w:rsidR="00C01FFF" w:rsidRPr="00E0394A" w:rsidRDefault="00C01FFF" w:rsidP="00FD225D">
      <w:pPr>
        <w:pStyle w:val="Textonotapie"/>
        <w:widowControl w:val="0"/>
        <w:tabs>
          <w:tab w:val="left" w:pos="547"/>
        </w:tabs>
        <w:jc w:val="both"/>
        <w:rPr>
          <w:rFonts w:ascii="Verdana" w:hAnsi="Verdana"/>
          <w:b/>
          <w:sz w:val="16"/>
          <w:szCs w:val="16"/>
          <w:lang w:val="es-CR"/>
        </w:rPr>
      </w:pPr>
      <w:r w:rsidRPr="00F371D9">
        <w:rPr>
          <w:rStyle w:val="Refdenotaalpie"/>
          <w:sz w:val="16"/>
          <w:szCs w:val="16"/>
          <w:lang w:val="es-CR"/>
        </w:rPr>
        <w:footnoteRef/>
      </w:r>
      <w:r w:rsidRPr="00F371D9">
        <w:rPr>
          <w:rFonts w:ascii="Verdana" w:hAnsi="Verdana"/>
          <w:sz w:val="16"/>
          <w:szCs w:val="16"/>
          <w:lang w:val="es-CR"/>
        </w:rPr>
        <w:t xml:space="preserve"> </w:t>
      </w:r>
      <w:r w:rsidRPr="00E0394A">
        <w:rPr>
          <w:rFonts w:ascii="Verdana" w:hAnsi="Verdana"/>
          <w:b/>
          <w:sz w:val="16"/>
          <w:szCs w:val="16"/>
          <w:lang w:val="es-CR"/>
        </w:rPr>
        <w:tab/>
      </w:r>
      <w:r w:rsidR="00DE316D" w:rsidRPr="009E2368">
        <w:rPr>
          <w:rFonts w:ascii="Verdana" w:hAnsi="Verdana"/>
          <w:sz w:val="16"/>
          <w:szCs w:val="16"/>
          <w:lang w:val="es-AR"/>
        </w:rPr>
        <w:t xml:space="preserve">En igual sentido, ver </w:t>
      </w:r>
      <w:r w:rsidR="00DE316D" w:rsidRPr="009E2368">
        <w:rPr>
          <w:rFonts w:ascii="Verdana" w:hAnsi="Verdana"/>
          <w:i/>
          <w:iCs/>
          <w:sz w:val="16"/>
          <w:szCs w:val="16"/>
          <w:lang w:val="es-AR"/>
        </w:rPr>
        <w:t xml:space="preserve">Caso Pueblo Indígena Kichwa de Sarayaku Vs. Ecuador. Supervisión de </w:t>
      </w:r>
      <w:r w:rsidR="00DE316D" w:rsidRPr="0063571C">
        <w:rPr>
          <w:rFonts w:ascii="Verdana" w:hAnsi="Verdana"/>
          <w:i/>
          <w:sz w:val="16"/>
          <w:szCs w:val="16"/>
          <w:lang w:val="es-CR"/>
        </w:rPr>
        <w:t>Cumplimiento</w:t>
      </w:r>
      <w:r w:rsidR="00DE316D" w:rsidRPr="009E2368">
        <w:rPr>
          <w:rFonts w:ascii="Verdana" w:hAnsi="Verdana"/>
          <w:i/>
          <w:iCs/>
          <w:sz w:val="16"/>
          <w:szCs w:val="16"/>
          <w:lang w:val="es-AR"/>
        </w:rPr>
        <w:t xml:space="preserve"> de Sentencia</w:t>
      </w:r>
      <w:r w:rsidR="00DE316D" w:rsidRPr="009E2368">
        <w:rPr>
          <w:rFonts w:ascii="Verdana" w:hAnsi="Verdana"/>
          <w:sz w:val="16"/>
          <w:szCs w:val="16"/>
          <w:lang w:val="es-AR"/>
        </w:rPr>
        <w:t>. Resolución de la Corte Interamericana de Derechos Humanos de 22 de junio de 2016,</w:t>
      </w:r>
      <w:r w:rsidR="00DE316D">
        <w:rPr>
          <w:rFonts w:ascii="Verdana" w:hAnsi="Verdana"/>
          <w:sz w:val="16"/>
          <w:szCs w:val="16"/>
          <w:lang w:val="es-AR"/>
        </w:rPr>
        <w:t xml:space="preserve"> Considerando</w:t>
      </w:r>
      <w:r w:rsidR="00DE316D" w:rsidRPr="009E2368">
        <w:rPr>
          <w:rFonts w:ascii="Verdana" w:hAnsi="Verdana"/>
          <w:sz w:val="16"/>
          <w:szCs w:val="16"/>
          <w:lang w:val="es-AR"/>
        </w:rPr>
        <w:t xml:space="preserve"> </w:t>
      </w:r>
      <w:r w:rsidR="00DE316D">
        <w:rPr>
          <w:rFonts w:ascii="Verdana" w:hAnsi="Verdana"/>
          <w:sz w:val="16"/>
          <w:szCs w:val="16"/>
          <w:lang w:val="es-AR"/>
        </w:rPr>
        <w:t xml:space="preserve">28; </w:t>
      </w:r>
      <w:r w:rsidR="00DE316D" w:rsidRPr="00E161F1">
        <w:rPr>
          <w:rFonts w:ascii="Verdana" w:hAnsi="Verdana"/>
          <w:i/>
          <w:sz w:val="16"/>
          <w:szCs w:val="16"/>
          <w:lang w:val="es-AR"/>
        </w:rPr>
        <w:t>Caso Vélez Restrepo y familiares Vs. Colombia. Supervisión de Cumplimiento de Sentencia.</w:t>
      </w:r>
      <w:r w:rsidR="00DE316D" w:rsidRPr="00E161F1">
        <w:rPr>
          <w:rFonts w:ascii="Verdana" w:hAnsi="Verdana"/>
          <w:sz w:val="16"/>
          <w:szCs w:val="16"/>
          <w:lang w:val="es-AR"/>
        </w:rPr>
        <w:t xml:space="preserve"> Resolución de la Corte</w:t>
      </w:r>
      <w:r w:rsidR="00DE316D">
        <w:rPr>
          <w:rFonts w:ascii="Verdana" w:hAnsi="Verdana"/>
          <w:sz w:val="16"/>
          <w:szCs w:val="16"/>
          <w:lang w:val="es-AR"/>
        </w:rPr>
        <w:t xml:space="preserve"> </w:t>
      </w:r>
      <w:r w:rsidR="00DE316D" w:rsidRPr="00E161F1">
        <w:rPr>
          <w:rFonts w:ascii="Verdana" w:hAnsi="Verdana"/>
          <w:sz w:val="16"/>
          <w:szCs w:val="16"/>
          <w:lang w:val="es-AR"/>
        </w:rPr>
        <w:t>Interamericana de Derechos Humanos de 30 de agosto de 2017, Considerando 11</w:t>
      </w:r>
      <w:r w:rsidR="00DE316D">
        <w:rPr>
          <w:rFonts w:ascii="Verdana" w:hAnsi="Verdana"/>
          <w:sz w:val="16"/>
          <w:szCs w:val="16"/>
          <w:lang w:val="es-AR"/>
        </w:rPr>
        <w:t>,</w:t>
      </w:r>
      <w:r w:rsidR="00DE316D" w:rsidRPr="009E2368">
        <w:rPr>
          <w:rFonts w:ascii="Verdana" w:hAnsi="Verdana"/>
          <w:sz w:val="16"/>
          <w:szCs w:val="16"/>
          <w:lang w:val="es-AR"/>
        </w:rPr>
        <w:t xml:space="preserve"> y </w:t>
      </w:r>
      <w:r w:rsidR="00DE316D" w:rsidRPr="009E2368">
        <w:rPr>
          <w:rFonts w:ascii="Verdana" w:hAnsi="Verdana"/>
          <w:i/>
          <w:iCs/>
          <w:sz w:val="16"/>
          <w:szCs w:val="16"/>
          <w:lang w:val="es-AR"/>
        </w:rPr>
        <w:t>Caso Masacre de Santo Domingo Vs. Colombia. Supervisión de Cumplimiento de Sentencia</w:t>
      </w:r>
      <w:r w:rsidR="00DE316D" w:rsidRPr="009E2368">
        <w:rPr>
          <w:rFonts w:ascii="Verdana" w:hAnsi="Verdana"/>
          <w:sz w:val="16"/>
          <w:szCs w:val="16"/>
          <w:lang w:val="es-AR"/>
        </w:rPr>
        <w:t xml:space="preserve">. Resolución de la Corte Interamericana de Derechos Humanos de 22 de noviembre de 2018, </w:t>
      </w:r>
      <w:r w:rsidR="00DE316D">
        <w:rPr>
          <w:rFonts w:ascii="Verdana" w:hAnsi="Verdana"/>
          <w:sz w:val="16"/>
          <w:szCs w:val="16"/>
          <w:lang w:val="es-AR"/>
        </w:rPr>
        <w:t>Considerando</w:t>
      </w:r>
      <w:r w:rsidR="00DE316D" w:rsidRPr="009E2368">
        <w:rPr>
          <w:rFonts w:ascii="Verdana" w:hAnsi="Verdana"/>
          <w:sz w:val="16"/>
          <w:szCs w:val="16"/>
          <w:lang w:val="es-AR"/>
        </w:rPr>
        <w:t xml:space="preserve"> 14.</w:t>
      </w:r>
    </w:p>
  </w:footnote>
  <w:footnote w:id="10">
    <w:p w:rsidR="00B06614" w:rsidRPr="00FE7B3A" w:rsidRDefault="00B06614" w:rsidP="00FD225D">
      <w:pPr>
        <w:pStyle w:val="Textonotapie"/>
        <w:widowControl w:val="0"/>
        <w:tabs>
          <w:tab w:val="left" w:pos="547"/>
        </w:tabs>
        <w:jc w:val="both"/>
        <w:rPr>
          <w:rFonts w:ascii="Verdana" w:hAnsi="Verdana"/>
          <w:sz w:val="16"/>
          <w:szCs w:val="16"/>
          <w:lang w:val="es-CR"/>
        </w:rPr>
      </w:pPr>
      <w:r w:rsidRPr="00FE7B3A">
        <w:rPr>
          <w:rStyle w:val="Refdenotaalpie"/>
          <w:sz w:val="16"/>
          <w:szCs w:val="16"/>
          <w:lang w:val="es-CR"/>
        </w:rPr>
        <w:footnoteRef/>
      </w:r>
      <w:r w:rsidRPr="00FE7B3A">
        <w:rPr>
          <w:rFonts w:ascii="Verdana" w:hAnsi="Verdana"/>
          <w:sz w:val="16"/>
          <w:szCs w:val="16"/>
          <w:lang w:val="es-CR"/>
        </w:rPr>
        <w:t xml:space="preserve"> </w:t>
      </w:r>
      <w:r w:rsidRPr="00FE7B3A">
        <w:rPr>
          <w:rFonts w:ascii="Verdana" w:hAnsi="Verdana"/>
          <w:sz w:val="16"/>
          <w:szCs w:val="16"/>
          <w:lang w:val="es-CR"/>
        </w:rPr>
        <w:tab/>
        <w:t xml:space="preserve">Con el “objeto [de] facilitar acceso al sistema interamericano de derechos humanos a aquellas personas que actualmente no tienen los recursos necesarios para llevar su caso al sistema”. </w:t>
      </w:r>
      <w:r w:rsidRPr="00FE7B3A">
        <w:rPr>
          <w:rFonts w:ascii="Verdana" w:hAnsi="Verdana"/>
          <w:i/>
          <w:sz w:val="16"/>
          <w:szCs w:val="16"/>
          <w:lang w:val="es-CR"/>
        </w:rPr>
        <w:t>Cfr.</w:t>
      </w:r>
      <w:r w:rsidRPr="00FE7B3A">
        <w:rPr>
          <w:rFonts w:ascii="Verdana" w:hAnsi="Verdana"/>
          <w:sz w:val="16"/>
          <w:szCs w:val="16"/>
          <w:lang w:val="es-CR"/>
        </w:rPr>
        <w:t xml:space="preserve"> AG/RES. 2426 (XXXVIII-O/08) Resolución adoptada por la Asamblea General de la OEA durante la celebración del XXXVIII Período Ordinario de Sesiones de la OEA, en la cuarta sesión plenaria, celebrada el 3 de junio de 2008, “Creación del Fondo de Asistencia Legal del Sistema Interamericano de Derechos Humanos”, párrafo dispositivo 2.a.</w:t>
      </w:r>
    </w:p>
  </w:footnote>
  <w:footnote w:id="11">
    <w:p w:rsidR="00B06614" w:rsidRPr="00FE7B3A" w:rsidRDefault="00B06614" w:rsidP="00FD225D">
      <w:pPr>
        <w:pStyle w:val="Textonotapie"/>
        <w:widowControl w:val="0"/>
        <w:tabs>
          <w:tab w:val="left" w:pos="547"/>
        </w:tabs>
        <w:jc w:val="both"/>
        <w:rPr>
          <w:rFonts w:ascii="Verdana" w:hAnsi="Verdana"/>
          <w:sz w:val="16"/>
          <w:szCs w:val="16"/>
          <w:lang w:val="es-CR"/>
        </w:rPr>
      </w:pPr>
      <w:r w:rsidRPr="00FE7B3A">
        <w:rPr>
          <w:rStyle w:val="Refdenotaalpie"/>
          <w:sz w:val="16"/>
          <w:szCs w:val="16"/>
          <w:lang w:val="es-CR"/>
        </w:rPr>
        <w:footnoteRef/>
      </w:r>
      <w:r w:rsidRPr="00FE7B3A">
        <w:rPr>
          <w:rFonts w:ascii="Verdana" w:hAnsi="Verdana"/>
          <w:sz w:val="16"/>
          <w:szCs w:val="16"/>
          <w:lang w:val="es-CR"/>
        </w:rPr>
        <w:t xml:space="preserve"> </w:t>
      </w:r>
      <w:r w:rsidRPr="00FE7B3A">
        <w:rPr>
          <w:rFonts w:ascii="Verdana" w:hAnsi="Verdana"/>
          <w:sz w:val="16"/>
          <w:szCs w:val="16"/>
          <w:lang w:val="es-CR"/>
        </w:rPr>
        <w:tab/>
        <w:t xml:space="preserve">El artículo 2.1 del Reglamento del Fondo de Asistencia Legal de Víctimas del Sistema Interamericano, estipuló que éste se financia por medio de los “[a]portes de capital voluntarios de los Estados miembros de la OEA, de los Estados Observadores Permanentes, y de otros Estados y donantes que deseen colaborar”. </w:t>
      </w:r>
      <w:r w:rsidRPr="00FE7B3A">
        <w:rPr>
          <w:rFonts w:ascii="Verdana" w:hAnsi="Verdana"/>
          <w:i/>
          <w:sz w:val="16"/>
          <w:szCs w:val="16"/>
          <w:lang w:val="es-CR"/>
        </w:rPr>
        <w:t>Cfr.</w:t>
      </w:r>
      <w:r w:rsidRPr="00FE7B3A">
        <w:rPr>
          <w:rFonts w:ascii="Verdana" w:hAnsi="Verdana"/>
          <w:sz w:val="16"/>
          <w:szCs w:val="16"/>
          <w:lang w:val="es-CR"/>
        </w:rPr>
        <w:t xml:space="preserve"> CP/RES. 963 (1728/09), Resolución adoptada el 11 de noviembre de 2009 por el Consejo Permanente de la OEA, “Reglamento para el Funcionamiento del Fondo de Asistencia Legal del Sistema Interamericano de Derechos Humanos”, artículo 2.1. </w:t>
      </w:r>
    </w:p>
  </w:footnote>
  <w:footnote w:id="12">
    <w:p w:rsidR="00B06614" w:rsidRPr="00FE7B3A" w:rsidRDefault="00B06614" w:rsidP="00D43320">
      <w:pPr>
        <w:pStyle w:val="Textonotapie"/>
        <w:widowControl w:val="0"/>
        <w:tabs>
          <w:tab w:val="left" w:pos="547"/>
        </w:tabs>
        <w:jc w:val="both"/>
        <w:rPr>
          <w:rFonts w:ascii="Verdana" w:hAnsi="Verdana"/>
          <w:sz w:val="16"/>
          <w:szCs w:val="16"/>
          <w:lang w:val="es-CR"/>
        </w:rPr>
      </w:pPr>
      <w:r w:rsidRPr="00FE7B3A">
        <w:rPr>
          <w:rStyle w:val="Refdenotaalpie"/>
          <w:sz w:val="16"/>
          <w:szCs w:val="16"/>
          <w:lang w:val="es-CR"/>
        </w:rPr>
        <w:footnoteRef/>
      </w:r>
      <w:r w:rsidRPr="00FE7B3A">
        <w:rPr>
          <w:rFonts w:ascii="Verdana" w:hAnsi="Verdana"/>
          <w:sz w:val="16"/>
          <w:szCs w:val="16"/>
          <w:lang w:val="es-CR"/>
        </w:rPr>
        <w:t xml:space="preserve"> </w:t>
      </w:r>
      <w:r w:rsidRPr="00FE7B3A">
        <w:rPr>
          <w:rFonts w:ascii="Verdana" w:hAnsi="Verdana"/>
          <w:sz w:val="16"/>
          <w:szCs w:val="16"/>
          <w:lang w:val="es-CR"/>
        </w:rPr>
        <w:tab/>
        <w:t xml:space="preserve">El Fondo de Asistencia Legal de Víctimas de la Corte Interamericana no cuenta con recursos del presupuesto ordinario de la OEA. Hasta la fecha los fondos han provenido de proyectos de cooperación firmados por el Tribunal con Noruega y Dinamarca, y del aporte voluntario realizado por Colombia. Al respecto ver: Informe Anual de la Corte Interamericana de Derechos Humanos de 2018, págs. 158 a 171, disponible en: </w:t>
      </w:r>
      <w:hyperlink r:id="rId2" w:history="1">
        <w:r w:rsidRPr="00FE7B3A">
          <w:rPr>
            <w:rStyle w:val="Hipervnculo"/>
            <w:rFonts w:ascii="Verdana" w:hAnsi="Verdana"/>
            <w:sz w:val="16"/>
            <w:szCs w:val="16"/>
            <w:lang w:val="es-CR"/>
          </w:rPr>
          <w:t>http://www.corteidh.or.cr/tablas/informe2018/espanol.pdf</w:t>
        </w:r>
      </w:hyperlink>
      <w:r w:rsidRPr="00FE7B3A">
        <w:rPr>
          <w:rFonts w:ascii="Verdana" w:hAnsi="Verdana"/>
          <w:sz w:val="16"/>
          <w:szCs w:val="16"/>
          <w:lang w:val="es-CR"/>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4BE" w:rsidRPr="00A75F01" w:rsidRDefault="006B64BE">
    <w:pPr>
      <w:pStyle w:val="Encabezado"/>
      <w:jc w:val="center"/>
      <w:rPr>
        <w:rFonts w:ascii="Verdana" w:hAnsi="Verdana"/>
        <w:noProof/>
        <w:sz w:val="20"/>
        <w:szCs w:val="20"/>
        <w:lang w:val="es-CR"/>
      </w:rPr>
    </w:pPr>
  </w:p>
  <w:p w:rsidR="006B64BE" w:rsidRDefault="006B64BE" w:rsidP="00A830DE">
    <w:pPr>
      <w:pStyle w:val="Encabezado"/>
    </w:pPr>
  </w:p>
  <w:p w:rsidR="006B64BE" w:rsidRDefault="006B64BE">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3A80CD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1B2048"/>
    <w:multiLevelType w:val="hybridMultilevel"/>
    <w:tmpl w:val="749ACE7C"/>
    <w:lvl w:ilvl="0" w:tplc="4F1AEC80">
      <w:start w:val="1"/>
      <w:numFmt w:val="decimal"/>
      <w:lvlText w:val="%1."/>
      <w:lvlJc w:val="left"/>
      <w:pPr>
        <w:ind w:left="1065" w:hanging="705"/>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63970B8"/>
    <w:multiLevelType w:val="hybridMultilevel"/>
    <w:tmpl w:val="28A0F28A"/>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7336EF5"/>
    <w:multiLevelType w:val="hybridMultilevel"/>
    <w:tmpl w:val="2FB6C44E"/>
    <w:lvl w:ilvl="0" w:tplc="6A744E00">
      <w:start w:val="1"/>
      <w:numFmt w:val="decimal"/>
      <w:lvlText w:val="%1."/>
      <w:lvlJc w:val="left"/>
      <w:pPr>
        <w:ind w:left="360" w:hanging="360"/>
      </w:pPr>
      <w:rPr>
        <w:rFonts w:hint="default"/>
        <w:b/>
        <w:i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 w15:restartNumberingAfterBreak="0">
    <w:nsid w:val="0ACB3B95"/>
    <w:multiLevelType w:val="hybridMultilevel"/>
    <w:tmpl w:val="8D5EF89C"/>
    <w:lvl w:ilvl="0" w:tplc="06541EC8">
      <w:start w:val="1"/>
      <w:numFmt w:val="decimal"/>
      <w:lvlText w:val="%1."/>
      <w:lvlJc w:val="left"/>
      <w:pPr>
        <w:ind w:left="720" w:hanging="360"/>
      </w:pPr>
      <w:rPr>
        <w:b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5" w15:restartNumberingAfterBreak="0">
    <w:nsid w:val="188F68DD"/>
    <w:multiLevelType w:val="hybridMultilevel"/>
    <w:tmpl w:val="5EBE15E0"/>
    <w:lvl w:ilvl="0" w:tplc="924E4690">
      <w:start w:val="1"/>
      <w:numFmt w:val="decimal"/>
      <w:lvlText w:val="%1."/>
      <w:lvlJc w:val="left"/>
      <w:pPr>
        <w:ind w:left="144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1185F3C"/>
    <w:multiLevelType w:val="hybridMultilevel"/>
    <w:tmpl w:val="C12A0F32"/>
    <w:lvl w:ilvl="0" w:tplc="71F64FA2">
      <w:start w:val="1"/>
      <w:numFmt w:val="decimal"/>
      <w:lvlText w:val="%1."/>
      <w:lvlJc w:val="left"/>
      <w:pPr>
        <w:ind w:left="720" w:hanging="360"/>
      </w:pPr>
      <w:rPr>
        <w:rFonts w:hint="default"/>
        <w:b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76E55E3"/>
    <w:multiLevelType w:val="hybridMultilevel"/>
    <w:tmpl w:val="09985A76"/>
    <w:lvl w:ilvl="0" w:tplc="68420E5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FF03B4F"/>
    <w:multiLevelType w:val="hybridMultilevel"/>
    <w:tmpl w:val="D372765C"/>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2563C3E"/>
    <w:multiLevelType w:val="hybridMultilevel"/>
    <w:tmpl w:val="AA6435CC"/>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8A1355E"/>
    <w:multiLevelType w:val="hybridMultilevel"/>
    <w:tmpl w:val="E3B403A0"/>
    <w:lvl w:ilvl="0" w:tplc="8D2669C8">
      <w:start w:val="1"/>
      <w:numFmt w:val="decimal"/>
      <w:lvlText w:val="%1."/>
      <w:lvlJc w:val="left"/>
      <w:pPr>
        <w:ind w:left="360" w:hanging="360"/>
      </w:pPr>
      <w:rPr>
        <w:rFonts w:ascii="Verdana" w:eastAsia="Calibri" w:hAnsi="Verdana" w:cs="Verdana" w:hint="default"/>
        <w:b/>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1" w15:restartNumberingAfterBreak="0">
    <w:nsid w:val="3DEC42A0"/>
    <w:multiLevelType w:val="hybridMultilevel"/>
    <w:tmpl w:val="BA34EBCC"/>
    <w:lvl w:ilvl="0" w:tplc="A760A140">
      <w:start w:val="1"/>
      <w:numFmt w:val="decimal"/>
      <w:lvlText w:val="%1."/>
      <w:lvlJc w:val="left"/>
      <w:pPr>
        <w:ind w:left="720" w:hanging="360"/>
      </w:pPr>
      <w:rPr>
        <w:rFonts w:ascii="Verdana" w:hAnsi="Verdana" w:hint="default"/>
        <w:b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3DF657DA"/>
    <w:multiLevelType w:val="hybridMultilevel"/>
    <w:tmpl w:val="59547E54"/>
    <w:lvl w:ilvl="0" w:tplc="BD1A3934">
      <w:start w:val="1"/>
      <w:numFmt w:val="decimal"/>
      <w:lvlText w:val="A.%1."/>
      <w:lvlJc w:val="left"/>
      <w:pPr>
        <w:ind w:left="720" w:hanging="360"/>
      </w:pPr>
      <w:rPr>
        <w:rFonts w:hint="default"/>
        <w:b w:val="0"/>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450C2DCB"/>
    <w:multiLevelType w:val="hybridMultilevel"/>
    <w:tmpl w:val="A1FA60C2"/>
    <w:lvl w:ilvl="0" w:tplc="B3C4F042">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613C7923"/>
    <w:multiLevelType w:val="hybridMultilevel"/>
    <w:tmpl w:val="620E1CCC"/>
    <w:lvl w:ilvl="0" w:tplc="2A98595C">
      <w:start w:val="1"/>
      <w:numFmt w:val="lowerLetter"/>
      <w:pStyle w:val="Puesto"/>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0E40A8"/>
    <w:multiLevelType w:val="hybridMultilevel"/>
    <w:tmpl w:val="A0E01A8E"/>
    <w:lvl w:ilvl="0" w:tplc="0B5E4FAE">
      <w:start w:val="1"/>
      <w:numFmt w:val="upperLetter"/>
      <w:pStyle w:val="Ttulo1"/>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778455DB"/>
    <w:multiLevelType w:val="hybridMultilevel"/>
    <w:tmpl w:val="DB1EB88E"/>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7C047983"/>
    <w:multiLevelType w:val="hybridMultilevel"/>
    <w:tmpl w:val="0EB45F0A"/>
    <w:lvl w:ilvl="0" w:tplc="8F3EC32E">
      <w:start w:val="1"/>
      <w:numFmt w:val="decimal"/>
      <w:lvlText w:val="%1."/>
      <w:lvlJc w:val="left"/>
      <w:pPr>
        <w:ind w:left="720" w:hanging="360"/>
      </w:pPr>
      <w:rPr>
        <w:rFonts w:ascii="Verdana" w:hAnsi="Verdana"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5"/>
  </w:num>
  <w:num w:numId="2">
    <w:abstractNumId w:val="3"/>
  </w:num>
  <w:num w:numId="3">
    <w:abstractNumId w:val="10"/>
  </w:num>
  <w:num w:numId="4">
    <w:abstractNumId w:val="7"/>
  </w:num>
  <w:num w:numId="5">
    <w:abstractNumId w:val="0"/>
  </w:num>
  <w:num w:numId="6">
    <w:abstractNumId w:val="17"/>
  </w:num>
  <w:num w:numId="7">
    <w:abstractNumId w:val="1"/>
  </w:num>
  <w:num w:numId="8">
    <w:abstractNumId w:val="9"/>
  </w:num>
  <w:num w:numId="9">
    <w:abstractNumId w:val="6"/>
  </w:num>
  <w:num w:numId="10">
    <w:abstractNumId w:val="13"/>
  </w:num>
  <w:num w:numId="11">
    <w:abstractNumId w:val="2"/>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5"/>
  </w:num>
  <w:num w:numId="17">
    <w:abstractNumId w:val="12"/>
  </w:num>
  <w:num w:numId="18">
    <w:abstractNumId w:val="14"/>
  </w:num>
  <w:num w:numId="19">
    <w:abstractNumId w:val="1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s-ES" w:vendorID="64" w:dllVersion="131078" w:nlCheck="1" w:checkStyle="0"/>
  <w:activeWritingStyle w:appName="MSWord" w:lang="es-CR" w:vendorID="64" w:dllVersion="131078" w:nlCheck="1" w:checkStyle="0"/>
  <w:activeWritingStyle w:appName="MSWord" w:lang="es-AR" w:vendorID="64" w:dllVersion="131078" w:nlCheck="1" w:checkStyle="0"/>
  <w:activeWritingStyle w:appName="MSWord" w:lang="es-MX" w:vendorID="64" w:dllVersion="131078" w:nlCheck="1" w:checkStyle="0"/>
  <w:activeWritingStyle w:appName="MSWord" w:lang="es-ES_tradnl" w:vendorID="64" w:dllVersion="131078" w:nlCheck="1" w:checkStyle="0"/>
  <w:activeWritingStyle w:appName="MSWord" w:lang="es-MX" w:vendorID="64" w:dllVersion="4096" w:nlCheck="1" w:checkStyle="0"/>
  <w:activeWritingStyle w:appName="MSWord" w:lang="es-CR" w:vendorID="64" w:dllVersion="4096" w:nlCheck="1" w:checkStyle="0"/>
  <w:activeWritingStyle w:appName="MSWord" w:lang="es-ES_tradnl" w:vendorID="64" w:dllVersion="4096" w:nlCheck="1" w:checkStyle="0"/>
  <w:activeWritingStyle w:appName="MSWord" w:lang="es-AR" w:vendorID="64" w:dllVersion="4096" w:nlCheck="1" w:checkStyle="0"/>
  <w:activeWritingStyle w:appName="MSWord" w:lang="es-ES" w:vendorID="64" w:dllVersion="4096" w:nlCheck="1" w:checkStyle="0"/>
  <w:activeWritingStyle w:appName="MSWord" w:lang="pt-BR" w:vendorID="64" w:dllVersion="4096" w:nlCheck="1" w:checkStyle="0"/>
  <w:defaultTabStop w:val="706"/>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20B"/>
    <w:rsid w:val="00000F38"/>
    <w:rsid w:val="00002792"/>
    <w:rsid w:val="00006348"/>
    <w:rsid w:val="00007302"/>
    <w:rsid w:val="00007EEB"/>
    <w:rsid w:val="00011A45"/>
    <w:rsid w:val="0001586D"/>
    <w:rsid w:val="0003198B"/>
    <w:rsid w:val="000411F3"/>
    <w:rsid w:val="000418EE"/>
    <w:rsid w:val="00053E2A"/>
    <w:rsid w:val="00055C2E"/>
    <w:rsid w:val="00057DDD"/>
    <w:rsid w:val="000629DF"/>
    <w:rsid w:val="00066893"/>
    <w:rsid w:val="0006755D"/>
    <w:rsid w:val="000676F8"/>
    <w:rsid w:val="00070050"/>
    <w:rsid w:val="000741B4"/>
    <w:rsid w:val="000817ED"/>
    <w:rsid w:val="00087CE8"/>
    <w:rsid w:val="000906E9"/>
    <w:rsid w:val="000944C6"/>
    <w:rsid w:val="000A08E5"/>
    <w:rsid w:val="000A7F22"/>
    <w:rsid w:val="000B2984"/>
    <w:rsid w:val="000C163F"/>
    <w:rsid w:val="000D3AB1"/>
    <w:rsid w:val="000E07DA"/>
    <w:rsid w:val="000E39CA"/>
    <w:rsid w:val="000E5B55"/>
    <w:rsid w:val="000E6152"/>
    <w:rsid w:val="000F33D4"/>
    <w:rsid w:val="000F614E"/>
    <w:rsid w:val="0010107F"/>
    <w:rsid w:val="00101148"/>
    <w:rsid w:val="00101760"/>
    <w:rsid w:val="00105F53"/>
    <w:rsid w:val="00107D81"/>
    <w:rsid w:val="001264D4"/>
    <w:rsid w:val="0013292A"/>
    <w:rsid w:val="00135B77"/>
    <w:rsid w:val="001362A5"/>
    <w:rsid w:val="00137D31"/>
    <w:rsid w:val="00140C83"/>
    <w:rsid w:val="00142A27"/>
    <w:rsid w:val="001457B1"/>
    <w:rsid w:val="00154AEB"/>
    <w:rsid w:val="0016151F"/>
    <w:rsid w:val="00165540"/>
    <w:rsid w:val="00165749"/>
    <w:rsid w:val="00171A49"/>
    <w:rsid w:val="0017363E"/>
    <w:rsid w:val="001819E8"/>
    <w:rsid w:val="001822FD"/>
    <w:rsid w:val="001832EF"/>
    <w:rsid w:val="00197C19"/>
    <w:rsid w:val="001A2269"/>
    <w:rsid w:val="001A254F"/>
    <w:rsid w:val="001B394E"/>
    <w:rsid w:val="001C3239"/>
    <w:rsid w:val="001C541C"/>
    <w:rsid w:val="001C5EC6"/>
    <w:rsid w:val="001C627E"/>
    <w:rsid w:val="001D73F5"/>
    <w:rsid w:val="001E1D26"/>
    <w:rsid w:val="001E4D18"/>
    <w:rsid w:val="001E5A40"/>
    <w:rsid w:val="001E6645"/>
    <w:rsid w:val="001F18A9"/>
    <w:rsid w:val="00204BF2"/>
    <w:rsid w:val="00210C83"/>
    <w:rsid w:val="00215AE8"/>
    <w:rsid w:val="0021622B"/>
    <w:rsid w:val="002177A8"/>
    <w:rsid w:val="00221351"/>
    <w:rsid w:val="0022197D"/>
    <w:rsid w:val="002253CD"/>
    <w:rsid w:val="00230E6E"/>
    <w:rsid w:val="0024162C"/>
    <w:rsid w:val="002436F9"/>
    <w:rsid w:val="00244418"/>
    <w:rsid w:val="00263548"/>
    <w:rsid w:val="002810E0"/>
    <w:rsid w:val="002860E3"/>
    <w:rsid w:val="00296450"/>
    <w:rsid w:val="00296B93"/>
    <w:rsid w:val="002A4BCC"/>
    <w:rsid w:val="002A4D28"/>
    <w:rsid w:val="002B1627"/>
    <w:rsid w:val="002B4F4B"/>
    <w:rsid w:val="002D260D"/>
    <w:rsid w:val="002D5646"/>
    <w:rsid w:val="002D69F1"/>
    <w:rsid w:val="002E7D03"/>
    <w:rsid w:val="002F5BC5"/>
    <w:rsid w:val="00300969"/>
    <w:rsid w:val="0031129C"/>
    <w:rsid w:val="00311838"/>
    <w:rsid w:val="003119FE"/>
    <w:rsid w:val="00320837"/>
    <w:rsid w:val="0032195B"/>
    <w:rsid w:val="00321A6E"/>
    <w:rsid w:val="003314E3"/>
    <w:rsid w:val="00333A55"/>
    <w:rsid w:val="00336F0F"/>
    <w:rsid w:val="00337D3B"/>
    <w:rsid w:val="003408A3"/>
    <w:rsid w:val="00343CDF"/>
    <w:rsid w:val="003456FB"/>
    <w:rsid w:val="0034609B"/>
    <w:rsid w:val="003468F3"/>
    <w:rsid w:val="0035777D"/>
    <w:rsid w:val="00371076"/>
    <w:rsid w:val="003712B9"/>
    <w:rsid w:val="00372925"/>
    <w:rsid w:val="00372E06"/>
    <w:rsid w:val="003801B5"/>
    <w:rsid w:val="003805C1"/>
    <w:rsid w:val="00381BA1"/>
    <w:rsid w:val="003836FD"/>
    <w:rsid w:val="00386274"/>
    <w:rsid w:val="003938AA"/>
    <w:rsid w:val="00394007"/>
    <w:rsid w:val="003A2E33"/>
    <w:rsid w:val="003A5DDC"/>
    <w:rsid w:val="003B3976"/>
    <w:rsid w:val="003C101C"/>
    <w:rsid w:val="003C7197"/>
    <w:rsid w:val="003D073C"/>
    <w:rsid w:val="003D22BE"/>
    <w:rsid w:val="003D3C2B"/>
    <w:rsid w:val="003D5F4E"/>
    <w:rsid w:val="003E2962"/>
    <w:rsid w:val="003E4D6A"/>
    <w:rsid w:val="003F5319"/>
    <w:rsid w:val="003F7FE7"/>
    <w:rsid w:val="00401824"/>
    <w:rsid w:val="00411882"/>
    <w:rsid w:val="00423BFC"/>
    <w:rsid w:val="004249DE"/>
    <w:rsid w:val="00424A36"/>
    <w:rsid w:val="004256F4"/>
    <w:rsid w:val="00426818"/>
    <w:rsid w:val="0043434E"/>
    <w:rsid w:val="00434B40"/>
    <w:rsid w:val="00443034"/>
    <w:rsid w:val="00444BEC"/>
    <w:rsid w:val="004517BE"/>
    <w:rsid w:val="0045463F"/>
    <w:rsid w:val="00455DE8"/>
    <w:rsid w:val="00460732"/>
    <w:rsid w:val="00464D96"/>
    <w:rsid w:val="004722E5"/>
    <w:rsid w:val="004853A8"/>
    <w:rsid w:val="00496FE7"/>
    <w:rsid w:val="004A0CD9"/>
    <w:rsid w:val="004A4094"/>
    <w:rsid w:val="004A5BD4"/>
    <w:rsid w:val="004C6EF8"/>
    <w:rsid w:val="004D6B6D"/>
    <w:rsid w:val="004E0553"/>
    <w:rsid w:val="004E42C7"/>
    <w:rsid w:val="004E493A"/>
    <w:rsid w:val="004F4966"/>
    <w:rsid w:val="00503E62"/>
    <w:rsid w:val="005067D4"/>
    <w:rsid w:val="005160B4"/>
    <w:rsid w:val="00526DE4"/>
    <w:rsid w:val="005313ED"/>
    <w:rsid w:val="005317EC"/>
    <w:rsid w:val="005328C3"/>
    <w:rsid w:val="00545C89"/>
    <w:rsid w:val="00561F42"/>
    <w:rsid w:val="005734F9"/>
    <w:rsid w:val="00575E62"/>
    <w:rsid w:val="005763C1"/>
    <w:rsid w:val="0058109C"/>
    <w:rsid w:val="00584073"/>
    <w:rsid w:val="00585226"/>
    <w:rsid w:val="00585A47"/>
    <w:rsid w:val="00585E45"/>
    <w:rsid w:val="00595FF1"/>
    <w:rsid w:val="00596AE5"/>
    <w:rsid w:val="005A1859"/>
    <w:rsid w:val="005A2690"/>
    <w:rsid w:val="005A29A1"/>
    <w:rsid w:val="005A5FA7"/>
    <w:rsid w:val="005B0583"/>
    <w:rsid w:val="005B0B51"/>
    <w:rsid w:val="005B3DAB"/>
    <w:rsid w:val="005B7714"/>
    <w:rsid w:val="005C081E"/>
    <w:rsid w:val="005C0F77"/>
    <w:rsid w:val="005C13DA"/>
    <w:rsid w:val="005C31BF"/>
    <w:rsid w:val="005C4BB8"/>
    <w:rsid w:val="005C5211"/>
    <w:rsid w:val="005C75B8"/>
    <w:rsid w:val="005C7717"/>
    <w:rsid w:val="005D4406"/>
    <w:rsid w:val="005E48EC"/>
    <w:rsid w:val="005E5FB5"/>
    <w:rsid w:val="005F25E8"/>
    <w:rsid w:val="005F7C45"/>
    <w:rsid w:val="00605625"/>
    <w:rsid w:val="006060F7"/>
    <w:rsid w:val="006073EB"/>
    <w:rsid w:val="00613522"/>
    <w:rsid w:val="00613A26"/>
    <w:rsid w:val="006152A4"/>
    <w:rsid w:val="0061533F"/>
    <w:rsid w:val="006168A8"/>
    <w:rsid w:val="0062511C"/>
    <w:rsid w:val="00625640"/>
    <w:rsid w:val="0063510A"/>
    <w:rsid w:val="006415FF"/>
    <w:rsid w:val="006417D7"/>
    <w:rsid w:val="006418A0"/>
    <w:rsid w:val="00642D02"/>
    <w:rsid w:val="0064526F"/>
    <w:rsid w:val="00645E23"/>
    <w:rsid w:val="0065520B"/>
    <w:rsid w:val="00655E2D"/>
    <w:rsid w:val="00660348"/>
    <w:rsid w:val="0066130C"/>
    <w:rsid w:val="006624B7"/>
    <w:rsid w:val="00664E56"/>
    <w:rsid w:val="00667C8F"/>
    <w:rsid w:val="00673DCD"/>
    <w:rsid w:val="006740B6"/>
    <w:rsid w:val="006777FB"/>
    <w:rsid w:val="00677935"/>
    <w:rsid w:val="006830A4"/>
    <w:rsid w:val="00692823"/>
    <w:rsid w:val="006979BA"/>
    <w:rsid w:val="006A40CD"/>
    <w:rsid w:val="006A53AF"/>
    <w:rsid w:val="006B64BE"/>
    <w:rsid w:val="006B7911"/>
    <w:rsid w:val="006C0DDE"/>
    <w:rsid w:val="006D1801"/>
    <w:rsid w:val="006D27C0"/>
    <w:rsid w:val="00701B76"/>
    <w:rsid w:val="00706107"/>
    <w:rsid w:val="00707546"/>
    <w:rsid w:val="00707915"/>
    <w:rsid w:val="00711E3E"/>
    <w:rsid w:val="00722A99"/>
    <w:rsid w:val="00727E5D"/>
    <w:rsid w:val="0073073D"/>
    <w:rsid w:val="00730A69"/>
    <w:rsid w:val="00747893"/>
    <w:rsid w:val="00750E54"/>
    <w:rsid w:val="007523FD"/>
    <w:rsid w:val="007547B9"/>
    <w:rsid w:val="00762573"/>
    <w:rsid w:val="00766901"/>
    <w:rsid w:val="00770894"/>
    <w:rsid w:val="0077307A"/>
    <w:rsid w:val="007762CE"/>
    <w:rsid w:val="00776847"/>
    <w:rsid w:val="00781556"/>
    <w:rsid w:val="00792F4F"/>
    <w:rsid w:val="007953AF"/>
    <w:rsid w:val="007A1810"/>
    <w:rsid w:val="007A255C"/>
    <w:rsid w:val="007A2D2D"/>
    <w:rsid w:val="007B109F"/>
    <w:rsid w:val="007C0C51"/>
    <w:rsid w:val="007D1F4E"/>
    <w:rsid w:val="007D3DA8"/>
    <w:rsid w:val="007D3FBE"/>
    <w:rsid w:val="007D75B9"/>
    <w:rsid w:val="007E7081"/>
    <w:rsid w:val="007E75FF"/>
    <w:rsid w:val="007E7CBD"/>
    <w:rsid w:val="007E7F74"/>
    <w:rsid w:val="007F0685"/>
    <w:rsid w:val="00800660"/>
    <w:rsid w:val="00800889"/>
    <w:rsid w:val="008020D2"/>
    <w:rsid w:val="00812937"/>
    <w:rsid w:val="00813E35"/>
    <w:rsid w:val="008160C1"/>
    <w:rsid w:val="0081674C"/>
    <w:rsid w:val="008350FF"/>
    <w:rsid w:val="00843FEA"/>
    <w:rsid w:val="008464F3"/>
    <w:rsid w:val="008548C9"/>
    <w:rsid w:val="008556BE"/>
    <w:rsid w:val="00856311"/>
    <w:rsid w:val="00856A16"/>
    <w:rsid w:val="00857CD3"/>
    <w:rsid w:val="00861269"/>
    <w:rsid w:val="00863B8D"/>
    <w:rsid w:val="00865AA7"/>
    <w:rsid w:val="00865C16"/>
    <w:rsid w:val="0087767F"/>
    <w:rsid w:val="00880B7E"/>
    <w:rsid w:val="008836DC"/>
    <w:rsid w:val="00887164"/>
    <w:rsid w:val="008972DD"/>
    <w:rsid w:val="008A61D8"/>
    <w:rsid w:val="008B781F"/>
    <w:rsid w:val="008C2E56"/>
    <w:rsid w:val="008D3376"/>
    <w:rsid w:val="008D60DE"/>
    <w:rsid w:val="008E34CC"/>
    <w:rsid w:val="008E54C6"/>
    <w:rsid w:val="008F01C7"/>
    <w:rsid w:val="008F1DED"/>
    <w:rsid w:val="008F76C9"/>
    <w:rsid w:val="009067B5"/>
    <w:rsid w:val="00907279"/>
    <w:rsid w:val="00911172"/>
    <w:rsid w:val="00912502"/>
    <w:rsid w:val="009178F6"/>
    <w:rsid w:val="0092020F"/>
    <w:rsid w:val="00932472"/>
    <w:rsid w:val="009366A1"/>
    <w:rsid w:val="00942872"/>
    <w:rsid w:val="00947347"/>
    <w:rsid w:val="0095299F"/>
    <w:rsid w:val="00962D21"/>
    <w:rsid w:val="0096602C"/>
    <w:rsid w:val="00966E85"/>
    <w:rsid w:val="009710A4"/>
    <w:rsid w:val="00972493"/>
    <w:rsid w:val="00982815"/>
    <w:rsid w:val="00985F14"/>
    <w:rsid w:val="009860D1"/>
    <w:rsid w:val="00990623"/>
    <w:rsid w:val="00992A26"/>
    <w:rsid w:val="009A1B4E"/>
    <w:rsid w:val="009B4516"/>
    <w:rsid w:val="009B7B3D"/>
    <w:rsid w:val="009C181D"/>
    <w:rsid w:val="009C46D3"/>
    <w:rsid w:val="009D0265"/>
    <w:rsid w:val="009D1286"/>
    <w:rsid w:val="009E094C"/>
    <w:rsid w:val="009F28E5"/>
    <w:rsid w:val="009F5C40"/>
    <w:rsid w:val="00A019B7"/>
    <w:rsid w:val="00A050E0"/>
    <w:rsid w:val="00A057CA"/>
    <w:rsid w:val="00A13E9F"/>
    <w:rsid w:val="00A430C6"/>
    <w:rsid w:val="00A53D07"/>
    <w:rsid w:val="00A54AA4"/>
    <w:rsid w:val="00A55184"/>
    <w:rsid w:val="00A60E7D"/>
    <w:rsid w:val="00A64F67"/>
    <w:rsid w:val="00A66378"/>
    <w:rsid w:val="00A73C47"/>
    <w:rsid w:val="00A75F01"/>
    <w:rsid w:val="00A830DE"/>
    <w:rsid w:val="00A83818"/>
    <w:rsid w:val="00A85A67"/>
    <w:rsid w:val="00A95F2D"/>
    <w:rsid w:val="00A962E4"/>
    <w:rsid w:val="00AA3654"/>
    <w:rsid w:val="00AA5A58"/>
    <w:rsid w:val="00AA78DB"/>
    <w:rsid w:val="00AB04CC"/>
    <w:rsid w:val="00AB48F8"/>
    <w:rsid w:val="00AC0007"/>
    <w:rsid w:val="00AC5CAA"/>
    <w:rsid w:val="00AD283A"/>
    <w:rsid w:val="00AD5746"/>
    <w:rsid w:val="00AE1402"/>
    <w:rsid w:val="00AF021A"/>
    <w:rsid w:val="00AF1972"/>
    <w:rsid w:val="00B01B45"/>
    <w:rsid w:val="00B06614"/>
    <w:rsid w:val="00B12113"/>
    <w:rsid w:val="00B129ED"/>
    <w:rsid w:val="00B172B8"/>
    <w:rsid w:val="00B17B0F"/>
    <w:rsid w:val="00B17B64"/>
    <w:rsid w:val="00B228F7"/>
    <w:rsid w:val="00B2680C"/>
    <w:rsid w:val="00B31130"/>
    <w:rsid w:val="00B37020"/>
    <w:rsid w:val="00B416F8"/>
    <w:rsid w:val="00B451D0"/>
    <w:rsid w:val="00B558C5"/>
    <w:rsid w:val="00B6160D"/>
    <w:rsid w:val="00B61CA0"/>
    <w:rsid w:val="00B6380A"/>
    <w:rsid w:val="00B6584A"/>
    <w:rsid w:val="00B6682A"/>
    <w:rsid w:val="00B7367C"/>
    <w:rsid w:val="00B74D01"/>
    <w:rsid w:val="00B817EE"/>
    <w:rsid w:val="00B82A00"/>
    <w:rsid w:val="00B82CB7"/>
    <w:rsid w:val="00B82DF7"/>
    <w:rsid w:val="00B866DE"/>
    <w:rsid w:val="00B96979"/>
    <w:rsid w:val="00BA3B12"/>
    <w:rsid w:val="00BA4549"/>
    <w:rsid w:val="00BB5B08"/>
    <w:rsid w:val="00BC2119"/>
    <w:rsid w:val="00BC2869"/>
    <w:rsid w:val="00BC5816"/>
    <w:rsid w:val="00BD357A"/>
    <w:rsid w:val="00BD358F"/>
    <w:rsid w:val="00BE0057"/>
    <w:rsid w:val="00BE0DAF"/>
    <w:rsid w:val="00BE219D"/>
    <w:rsid w:val="00BF2A3D"/>
    <w:rsid w:val="00C01A61"/>
    <w:rsid w:val="00C01FFF"/>
    <w:rsid w:val="00C03F79"/>
    <w:rsid w:val="00C11B7F"/>
    <w:rsid w:val="00C122F0"/>
    <w:rsid w:val="00C12CC4"/>
    <w:rsid w:val="00C1325B"/>
    <w:rsid w:val="00C14EA7"/>
    <w:rsid w:val="00C23C3B"/>
    <w:rsid w:val="00C26BFC"/>
    <w:rsid w:val="00C305B3"/>
    <w:rsid w:val="00C31E3E"/>
    <w:rsid w:val="00C33F7A"/>
    <w:rsid w:val="00C3585B"/>
    <w:rsid w:val="00C506D3"/>
    <w:rsid w:val="00C50B6D"/>
    <w:rsid w:val="00C520B4"/>
    <w:rsid w:val="00C61044"/>
    <w:rsid w:val="00C63C15"/>
    <w:rsid w:val="00C64467"/>
    <w:rsid w:val="00C6492C"/>
    <w:rsid w:val="00C83A92"/>
    <w:rsid w:val="00C91262"/>
    <w:rsid w:val="00C92E60"/>
    <w:rsid w:val="00CA0BD3"/>
    <w:rsid w:val="00CA2E20"/>
    <w:rsid w:val="00CA4358"/>
    <w:rsid w:val="00CA462B"/>
    <w:rsid w:val="00CA4D9C"/>
    <w:rsid w:val="00CA7486"/>
    <w:rsid w:val="00CB63AE"/>
    <w:rsid w:val="00CD23D6"/>
    <w:rsid w:val="00CD3346"/>
    <w:rsid w:val="00CD5401"/>
    <w:rsid w:val="00CE061B"/>
    <w:rsid w:val="00CE2356"/>
    <w:rsid w:val="00CE6BF8"/>
    <w:rsid w:val="00CF3059"/>
    <w:rsid w:val="00CF45D6"/>
    <w:rsid w:val="00D0007E"/>
    <w:rsid w:val="00D01395"/>
    <w:rsid w:val="00D021FE"/>
    <w:rsid w:val="00D11644"/>
    <w:rsid w:val="00D1436E"/>
    <w:rsid w:val="00D230DE"/>
    <w:rsid w:val="00D258F8"/>
    <w:rsid w:val="00D27DC0"/>
    <w:rsid w:val="00D32431"/>
    <w:rsid w:val="00D3273D"/>
    <w:rsid w:val="00D4075C"/>
    <w:rsid w:val="00D43320"/>
    <w:rsid w:val="00D44BEB"/>
    <w:rsid w:val="00D54C91"/>
    <w:rsid w:val="00D56D1B"/>
    <w:rsid w:val="00D63CAC"/>
    <w:rsid w:val="00D67F3C"/>
    <w:rsid w:val="00D72282"/>
    <w:rsid w:val="00D72E47"/>
    <w:rsid w:val="00D73C6E"/>
    <w:rsid w:val="00D76D85"/>
    <w:rsid w:val="00D77FF5"/>
    <w:rsid w:val="00D8206B"/>
    <w:rsid w:val="00D92D9F"/>
    <w:rsid w:val="00D93E1D"/>
    <w:rsid w:val="00D9762B"/>
    <w:rsid w:val="00DA0E34"/>
    <w:rsid w:val="00DA578A"/>
    <w:rsid w:val="00DA67F6"/>
    <w:rsid w:val="00DB7F9B"/>
    <w:rsid w:val="00DC2794"/>
    <w:rsid w:val="00DC36D5"/>
    <w:rsid w:val="00DE2FC4"/>
    <w:rsid w:val="00DE316D"/>
    <w:rsid w:val="00DF2221"/>
    <w:rsid w:val="00E012BA"/>
    <w:rsid w:val="00E02976"/>
    <w:rsid w:val="00E10995"/>
    <w:rsid w:val="00E10ADA"/>
    <w:rsid w:val="00E10E93"/>
    <w:rsid w:val="00E12DCD"/>
    <w:rsid w:val="00E30F64"/>
    <w:rsid w:val="00E32457"/>
    <w:rsid w:val="00E420FE"/>
    <w:rsid w:val="00E42C18"/>
    <w:rsid w:val="00E53F65"/>
    <w:rsid w:val="00E55372"/>
    <w:rsid w:val="00E56C67"/>
    <w:rsid w:val="00E5717B"/>
    <w:rsid w:val="00E70B00"/>
    <w:rsid w:val="00E70FDA"/>
    <w:rsid w:val="00E73956"/>
    <w:rsid w:val="00E80EB7"/>
    <w:rsid w:val="00E960E6"/>
    <w:rsid w:val="00EA075E"/>
    <w:rsid w:val="00EA29A0"/>
    <w:rsid w:val="00EB49E5"/>
    <w:rsid w:val="00EC18B3"/>
    <w:rsid w:val="00EC7035"/>
    <w:rsid w:val="00EC7EC2"/>
    <w:rsid w:val="00ED329E"/>
    <w:rsid w:val="00ED533E"/>
    <w:rsid w:val="00ED6058"/>
    <w:rsid w:val="00ED6F8F"/>
    <w:rsid w:val="00EE1F07"/>
    <w:rsid w:val="00EE30BB"/>
    <w:rsid w:val="00EE4992"/>
    <w:rsid w:val="00EF53FB"/>
    <w:rsid w:val="00EF6200"/>
    <w:rsid w:val="00F002C0"/>
    <w:rsid w:val="00F04DE1"/>
    <w:rsid w:val="00F07FA5"/>
    <w:rsid w:val="00F2351E"/>
    <w:rsid w:val="00F25AE1"/>
    <w:rsid w:val="00F35E34"/>
    <w:rsid w:val="00F37FE3"/>
    <w:rsid w:val="00F40386"/>
    <w:rsid w:val="00F47208"/>
    <w:rsid w:val="00F503B8"/>
    <w:rsid w:val="00F5142D"/>
    <w:rsid w:val="00F52E19"/>
    <w:rsid w:val="00F54D3E"/>
    <w:rsid w:val="00F60CAE"/>
    <w:rsid w:val="00F66FEB"/>
    <w:rsid w:val="00F8532B"/>
    <w:rsid w:val="00F855B1"/>
    <w:rsid w:val="00F93576"/>
    <w:rsid w:val="00F972C6"/>
    <w:rsid w:val="00F97D92"/>
    <w:rsid w:val="00FA0765"/>
    <w:rsid w:val="00FA1146"/>
    <w:rsid w:val="00FA4BDB"/>
    <w:rsid w:val="00FA73B1"/>
    <w:rsid w:val="00FB76F5"/>
    <w:rsid w:val="00FC5BBF"/>
    <w:rsid w:val="00FD225D"/>
    <w:rsid w:val="00FD34C0"/>
    <w:rsid w:val="00FD365D"/>
    <w:rsid w:val="00FD6430"/>
    <w:rsid w:val="00FE1438"/>
    <w:rsid w:val="00FE14AC"/>
    <w:rsid w:val="00FE21C8"/>
    <w:rsid w:val="00FE3285"/>
    <w:rsid w:val="00FE77CA"/>
    <w:rsid w:val="00FE79A2"/>
    <w:rsid w:val="00FE7B3A"/>
    <w:rsid w:val="00FF59A7"/>
    <w:rsid w:val="00FF7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0436F2"/>
  <w15:chartTrackingRefBased/>
  <w15:docId w15:val="{EEA9FA42-F1B2-4EA4-98E9-803AF08C8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20B"/>
    <w:rPr>
      <w:rFonts w:ascii="Times New Roman" w:eastAsia="Times New Roman" w:hAnsi="Times New Roman"/>
      <w:sz w:val="24"/>
      <w:szCs w:val="24"/>
      <w:lang w:val="es-CR" w:eastAsia="es-ES"/>
    </w:rPr>
  </w:style>
  <w:style w:type="paragraph" w:styleId="Ttulo1">
    <w:name w:val="heading 1"/>
    <w:basedOn w:val="Prrafodelista"/>
    <w:next w:val="Normal"/>
    <w:link w:val="Ttulo1Car"/>
    <w:uiPriority w:val="9"/>
    <w:qFormat/>
    <w:rsid w:val="0096602C"/>
    <w:pPr>
      <w:numPr>
        <w:numId w:val="16"/>
      </w:numPr>
      <w:outlineLvl w:val="0"/>
    </w:pPr>
    <w:rPr>
      <w:b/>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uesto">
    <w:name w:val="Puesto"/>
    <w:basedOn w:val="Normal"/>
    <w:link w:val="PuestoCar"/>
    <w:uiPriority w:val="10"/>
    <w:qFormat/>
    <w:rsid w:val="0065520B"/>
    <w:pPr>
      <w:jc w:val="center"/>
    </w:pPr>
    <w:rPr>
      <w:rFonts w:ascii="Verdana" w:hAnsi="Verdana"/>
      <w:b/>
      <w:smallCaps/>
      <w:sz w:val="20"/>
      <w:lang w:val="x-none"/>
    </w:rPr>
  </w:style>
  <w:style w:type="character" w:customStyle="1" w:styleId="PuestoCar">
    <w:name w:val="Puesto Car"/>
    <w:link w:val="Puesto"/>
    <w:uiPriority w:val="10"/>
    <w:rsid w:val="0065520B"/>
    <w:rPr>
      <w:rFonts w:ascii="Verdana" w:eastAsia="Times New Roman" w:hAnsi="Verdana" w:cs="Times New Roman"/>
      <w:b/>
      <w:smallCaps/>
      <w:sz w:val="20"/>
      <w:szCs w:val="24"/>
      <w:lang w:eastAsia="es-ES"/>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C"/>
    <w:basedOn w:val="Normal"/>
    <w:link w:val="TextonotapieCar1"/>
    <w:qFormat/>
    <w:rsid w:val="0065520B"/>
    <w:rPr>
      <w:lang w:val="x-none"/>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C Car"/>
    <w:link w:val="Textonotapie"/>
    <w:qFormat/>
    <w:rsid w:val="0065520B"/>
    <w:rPr>
      <w:rFonts w:ascii="Times New Roman" w:eastAsia="Times New Roman" w:hAnsi="Times New Roman" w:cs="Times New Roman"/>
      <w:sz w:val="24"/>
      <w:szCs w:val="24"/>
      <w:lang w:eastAsia="es-ES"/>
    </w:rPr>
  </w:style>
  <w:style w:type="character" w:styleId="Refdenotaalpie">
    <w:name w:val="footnote reference"/>
    <w:aliases w:val="Texto de nota al pie,Footnotes refss,Appel note de bas de page,Footnote number,referencia nota al pie,BVI fnr,f,4_G,16 Point,Superscript 6 Point,Footnote Reference Char3,Footnote Reference Char1 Char,Footnote Reference Char Char Char"/>
    <w:qFormat/>
    <w:rsid w:val="00FA73B1"/>
    <w:rPr>
      <w:rFonts w:ascii="Verdana" w:hAnsi="Verdana"/>
      <w:vertAlign w:val="superscript"/>
    </w:rPr>
  </w:style>
  <w:style w:type="paragraph" w:styleId="Encabezado">
    <w:name w:val="header"/>
    <w:basedOn w:val="Normal"/>
    <w:link w:val="EncabezadoCar"/>
    <w:uiPriority w:val="99"/>
    <w:unhideWhenUsed/>
    <w:rsid w:val="0065520B"/>
    <w:pPr>
      <w:tabs>
        <w:tab w:val="center" w:pos="4419"/>
        <w:tab w:val="right" w:pos="8838"/>
      </w:tabs>
    </w:pPr>
    <w:rPr>
      <w:lang w:val="x-none"/>
    </w:rPr>
  </w:style>
  <w:style w:type="character" w:customStyle="1" w:styleId="EncabezadoCar">
    <w:name w:val="Encabezado Car"/>
    <w:link w:val="Encabezado"/>
    <w:uiPriority w:val="99"/>
    <w:rsid w:val="0065520B"/>
    <w:rPr>
      <w:rFonts w:ascii="Times New Roman" w:eastAsia="Times New Roman" w:hAnsi="Times New Roman" w:cs="Times New Roman"/>
      <w:sz w:val="24"/>
      <w:szCs w:val="24"/>
      <w:lang w:eastAsia="es-ES"/>
    </w:rPr>
  </w:style>
  <w:style w:type="character" w:styleId="Textoennegrita">
    <w:name w:val="Strong"/>
    <w:uiPriority w:val="22"/>
    <w:qFormat/>
    <w:rsid w:val="00B172B8"/>
    <w:rPr>
      <w:b/>
      <w:bCs/>
    </w:rPr>
  </w:style>
  <w:style w:type="paragraph" w:styleId="Sombreadovistoso-nfasis3">
    <w:name w:val="Colorful Shading Accent 3"/>
    <w:basedOn w:val="Normal"/>
    <w:uiPriority w:val="34"/>
    <w:qFormat/>
    <w:rsid w:val="00FC5BBF"/>
    <w:pPr>
      <w:spacing w:after="200" w:line="276" w:lineRule="auto"/>
      <w:ind w:left="720"/>
      <w:contextualSpacing/>
    </w:pPr>
    <w:rPr>
      <w:rFonts w:ascii="Calibri" w:eastAsia="Calibri" w:hAnsi="Calibri"/>
      <w:sz w:val="22"/>
      <w:szCs w:val="22"/>
      <w:lang w:eastAsia="en-US"/>
    </w:rPr>
  </w:style>
  <w:style w:type="character" w:styleId="Hipervnculo">
    <w:name w:val="Hyperlink"/>
    <w:uiPriority w:val="99"/>
    <w:unhideWhenUsed/>
    <w:rsid w:val="00DE2FC4"/>
    <w:rPr>
      <w:color w:val="0000FF"/>
      <w:u w:val="single"/>
    </w:rPr>
  </w:style>
  <w:style w:type="paragraph" w:styleId="Textodeglobo">
    <w:name w:val="Balloon Text"/>
    <w:basedOn w:val="Normal"/>
    <w:link w:val="TextodegloboCar"/>
    <w:uiPriority w:val="99"/>
    <w:semiHidden/>
    <w:unhideWhenUsed/>
    <w:rsid w:val="00F40386"/>
    <w:rPr>
      <w:rFonts w:ascii="Tahoma" w:hAnsi="Tahoma"/>
      <w:sz w:val="16"/>
      <w:szCs w:val="16"/>
    </w:rPr>
  </w:style>
  <w:style w:type="character" w:customStyle="1" w:styleId="TextodegloboCar">
    <w:name w:val="Texto de globo Car"/>
    <w:link w:val="Textodeglobo"/>
    <w:uiPriority w:val="99"/>
    <w:semiHidden/>
    <w:rsid w:val="00F40386"/>
    <w:rPr>
      <w:rFonts w:ascii="Tahoma" w:eastAsia="Times New Roman" w:hAnsi="Tahoma" w:cs="Tahoma"/>
      <w:sz w:val="16"/>
      <w:szCs w:val="16"/>
      <w:lang w:val="es-CR" w:eastAsia="es-ES"/>
    </w:rPr>
  </w:style>
  <w:style w:type="character" w:styleId="Refdecomentario">
    <w:name w:val="annotation reference"/>
    <w:uiPriority w:val="99"/>
    <w:unhideWhenUsed/>
    <w:rsid w:val="00F40386"/>
    <w:rPr>
      <w:sz w:val="16"/>
      <w:szCs w:val="16"/>
    </w:rPr>
  </w:style>
  <w:style w:type="paragraph" w:styleId="Textocomentario">
    <w:name w:val="annotation text"/>
    <w:basedOn w:val="Normal"/>
    <w:link w:val="TextocomentarioCar"/>
    <w:uiPriority w:val="99"/>
    <w:unhideWhenUsed/>
    <w:rsid w:val="00F40386"/>
    <w:rPr>
      <w:sz w:val="20"/>
      <w:szCs w:val="20"/>
    </w:rPr>
  </w:style>
  <w:style w:type="character" w:customStyle="1" w:styleId="TextocomentarioCar">
    <w:name w:val="Texto comentario Car"/>
    <w:link w:val="Textocomentario"/>
    <w:uiPriority w:val="99"/>
    <w:rsid w:val="00F40386"/>
    <w:rPr>
      <w:rFonts w:ascii="Times New Roman" w:eastAsia="Times New Roman" w:hAnsi="Times New Roman"/>
      <w:lang w:val="es-CR" w:eastAsia="es-ES"/>
    </w:rPr>
  </w:style>
  <w:style w:type="paragraph" w:styleId="Asuntodelcomentario">
    <w:name w:val="annotation subject"/>
    <w:basedOn w:val="Textocomentario"/>
    <w:next w:val="Textocomentario"/>
    <w:link w:val="AsuntodelcomentarioCar"/>
    <w:uiPriority w:val="99"/>
    <w:semiHidden/>
    <w:unhideWhenUsed/>
    <w:rsid w:val="00F40386"/>
    <w:rPr>
      <w:b/>
      <w:bCs/>
    </w:rPr>
  </w:style>
  <w:style w:type="character" w:customStyle="1" w:styleId="AsuntodelcomentarioCar">
    <w:name w:val="Asunto del comentario Car"/>
    <w:link w:val="Asuntodelcomentario"/>
    <w:uiPriority w:val="99"/>
    <w:semiHidden/>
    <w:rsid w:val="00F40386"/>
    <w:rPr>
      <w:rFonts w:ascii="Times New Roman" w:eastAsia="Times New Roman" w:hAnsi="Times New Roman"/>
      <w:b/>
      <w:bCs/>
      <w:lang w:val="es-CR" w:eastAsia="es-ES"/>
    </w:rPr>
  </w:style>
  <w:style w:type="character" w:customStyle="1" w:styleId="apple-converted-space">
    <w:name w:val="apple-converted-space"/>
    <w:basedOn w:val="Fuentedeprrafopredeter"/>
    <w:rsid w:val="00CE061B"/>
  </w:style>
  <w:style w:type="paragraph" w:styleId="Piedepgina">
    <w:name w:val="footer"/>
    <w:basedOn w:val="Normal"/>
    <w:link w:val="PiedepginaCar"/>
    <w:uiPriority w:val="99"/>
    <w:unhideWhenUsed/>
    <w:rsid w:val="00066893"/>
    <w:pPr>
      <w:tabs>
        <w:tab w:val="center" w:pos="4419"/>
        <w:tab w:val="right" w:pos="8838"/>
      </w:tabs>
    </w:pPr>
    <w:rPr>
      <w:lang w:val="x-none"/>
    </w:rPr>
  </w:style>
  <w:style w:type="character" w:customStyle="1" w:styleId="PiedepginaCar">
    <w:name w:val="Pie de página Car"/>
    <w:link w:val="Piedepgina"/>
    <w:uiPriority w:val="99"/>
    <w:rsid w:val="00066893"/>
    <w:rPr>
      <w:rFonts w:ascii="Times New Roman" w:eastAsia="Times New Roman" w:hAnsi="Times New Roman"/>
      <w:sz w:val="24"/>
      <w:szCs w:val="24"/>
      <w:lang w:eastAsia="es-ES"/>
    </w:rPr>
  </w:style>
  <w:style w:type="character" w:styleId="Nmerodelnea">
    <w:name w:val="line number"/>
    <w:uiPriority w:val="99"/>
    <w:semiHidden/>
    <w:unhideWhenUsed/>
    <w:rsid w:val="00066893"/>
  </w:style>
  <w:style w:type="character" w:styleId="Hipervnculovisitado">
    <w:name w:val="FollowedHyperlink"/>
    <w:uiPriority w:val="99"/>
    <w:semiHidden/>
    <w:unhideWhenUsed/>
    <w:rsid w:val="00BA4549"/>
    <w:rPr>
      <w:color w:val="800080"/>
      <w:u w:val="single"/>
    </w:rPr>
  </w:style>
  <w:style w:type="paragraph" w:customStyle="1" w:styleId="Default">
    <w:name w:val="Default"/>
    <w:rsid w:val="00055C2E"/>
    <w:pPr>
      <w:autoSpaceDE w:val="0"/>
      <w:autoSpaceDN w:val="0"/>
      <w:adjustRightInd w:val="0"/>
    </w:pPr>
    <w:rPr>
      <w:rFonts w:ascii="Verdana" w:hAnsi="Verdana" w:cs="Verdana"/>
      <w:color w:val="000000"/>
      <w:sz w:val="24"/>
      <w:szCs w:val="24"/>
      <w:lang w:val="es-CR" w:eastAsia="es-CR"/>
    </w:rPr>
  </w:style>
  <w:style w:type="paragraph" w:styleId="Cuadrculamedia1-nfasis2">
    <w:name w:val="Medium Grid 1 Accent 2"/>
    <w:basedOn w:val="Normal"/>
    <w:uiPriority w:val="34"/>
    <w:qFormat/>
    <w:rsid w:val="00FE1438"/>
    <w:pPr>
      <w:ind w:left="720"/>
    </w:pPr>
  </w:style>
  <w:style w:type="paragraph" w:styleId="Listavistosa-nfasis1">
    <w:name w:val="Colorful List Accent 1"/>
    <w:basedOn w:val="Normal"/>
    <w:uiPriority w:val="34"/>
    <w:qFormat/>
    <w:rsid w:val="00747893"/>
    <w:pPr>
      <w:ind w:left="720"/>
    </w:pPr>
  </w:style>
  <w:style w:type="paragraph" w:styleId="Prrafodelista">
    <w:name w:val="List Paragraph"/>
    <w:aliases w:val="Footnote,Párrafo de lista1,Colorful List - Accent 11"/>
    <w:basedOn w:val="Normal"/>
    <w:link w:val="PrrafodelistaCar"/>
    <w:autoRedefine/>
    <w:uiPriority w:val="34"/>
    <w:qFormat/>
    <w:rsid w:val="00D43320"/>
    <w:pPr>
      <w:jc w:val="both"/>
    </w:pPr>
    <w:rPr>
      <w:rFonts w:ascii="Verdana" w:hAnsi="Verdana" w:cs="Verdana"/>
      <w:sz w:val="20"/>
      <w:szCs w:val="20"/>
      <w:lang w:val="es-MX"/>
    </w:rPr>
  </w:style>
  <w:style w:type="character" w:customStyle="1" w:styleId="PrrafodelistaCar">
    <w:name w:val="Párrafo de lista Car"/>
    <w:aliases w:val="Footnote Car,Párrafo de lista1 Car,Colorful List - Accent 11 Car"/>
    <w:link w:val="Prrafodelista"/>
    <w:uiPriority w:val="34"/>
    <w:locked/>
    <w:rsid w:val="00D43320"/>
    <w:rPr>
      <w:rFonts w:ascii="Verdana" w:eastAsia="Times New Roman" w:hAnsi="Verdana" w:cs="Verdana"/>
      <w:lang w:val="es-MX" w:eastAsia="es-ES"/>
    </w:rPr>
  </w:style>
  <w:style w:type="character" w:customStyle="1" w:styleId="Ttulo1Car">
    <w:name w:val="Título 1 Car"/>
    <w:link w:val="Ttulo1"/>
    <w:uiPriority w:val="9"/>
    <w:rsid w:val="0096602C"/>
    <w:rPr>
      <w:rFonts w:ascii="Verdana" w:eastAsia="Times New Roman" w:hAnsi="Verdana" w:cs="Verdana"/>
      <w:b/>
      <w:lang w:val="es-MX" w:eastAsia="es-ES"/>
    </w:rPr>
  </w:style>
  <w:style w:type="paragraph" w:styleId="TtulodeTDC">
    <w:name w:val="Título de TDC"/>
    <w:basedOn w:val="Ttulo1"/>
    <w:next w:val="Normal"/>
    <w:uiPriority w:val="39"/>
    <w:unhideWhenUsed/>
    <w:qFormat/>
    <w:rsid w:val="00E42C18"/>
    <w:pPr>
      <w:keepNext/>
      <w:keepLines/>
      <w:numPr>
        <w:numId w:val="0"/>
      </w:numPr>
      <w:spacing w:before="240" w:line="259" w:lineRule="auto"/>
      <w:jc w:val="left"/>
      <w:outlineLvl w:val="9"/>
    </w:pPr>
    <w:rPr>
      <w:rFonts w:ascii="Calibri Light" w:hAnsi="Calibri Light" w:cs="Times New Roman"/>
      <w:b w:val="0"/>
      <w:color w:val="2E74B5"/>
      <w:sz w:val="32"/>
      <w:szCs w:val="32"/>
      <w:lang w:val="en-US" w:eastAsia="en-US"/>
    </w:rPr>
  </w:style>
  <w:style w:type="paragraph" w:styleId="TDC1">
    <w:name w:val="toc 1"/>
    <w:basedOn w:val="Normal"/>
    <w:next w:val="Normal"/>
    <w:autoRedefine/>
    <w:uiPriority w:val="39"/>
    <w:unhideWhenUsed/>
    <w:rsid w:val="00E42C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6597">
      <w:bodyDiv w:val="1"/>
      <w:marLeft w:val="0"/>
      <w:marRight w:val="0"/>
      <w:marTop w:val="0"/>
      <w:marBottom w:val="0"/>
      <w:divBdr>
        <w:top w:val="none" w:sz="0" w:space="0" w:color="auto"/>
        <w:left w:val="none" w:sz="0" w:space="0" w:color="auto"/>
        <w:bottom w:val="none" w:sz="0" w:space="0" w:color="auto"/>
        <w:right w:val="none" w:sz="0" w:space="0" w:color="auto"/>
      </w:divBdr>
    </w:div>
    <w:div w:id="211818446">
      <w:bodyDiv w:val="1"/>
      <w:marLeft w:val="0"/>
      <w:marRight w:val="0"/>
      <w:marTop w:val="0"/>
      <w:marBottom w:val="0"/>
      <w:divBdr>
        <w:top w:val="none" w:sz="0" w:space="0" w:color="auto"/>
        <w:left w:val="none" w:sz="0" w:space="0" w:color="auto"/>
        <w:bottom w:val="none" w:sz="0" w:space="0" w:color="auto"/>
        <w:right w:val="none" w:sz="0" w:space="0" w:color="auto"/>
      </w:divBdr>
    </w:div>
    <w:div w:id="592126604">
      <w:bodyDiv w:val="1"/>
      <w:marLeft w:val="0"/>
      <w:marRight w:val="0"/>
      <w:marTop w:val="0"/>
      <w:marBottom w:val="0"/>
      <w:divBdr>
        <w:top w:val="none" w:sz="0" w:space="0" w:color="auto"/>
        <w:left w:val="none" w:sz="0" w:space="0" w:color="auto"/>
        <w:bottom w:val="none" w:sz="0" w:space="0" w:color="auto"/>
        <w:right w:val="none" w:sz="0" w:space="0" w:color="auto"/>
      </w:divBdr>
    </w:div>
    <w:div w:id="762803090">
      <w:bodyDiv w:val="1"/>
      <w:marLeft w:val="0"/>
      <w:marRight w:val="0"/>
      <w:marTop w:val="0"/>
      <w:marBottom w:val="0"/>
      <w:divBdr>
        <w:top w:val="none" w:sz="0" w:space="0" w:color="auto"/>
        <w:left w:val="none" w:sz="0" w:space="0" w:color="auto"/>
        <w:bottom w:val="none" w:sz="0" w:space="0" w:color="auto"/>
        <w:right w:val="none" w:sz="0" w:space="0" w:color="auto"/>
      </w:divBdr>
    </w:div>
    <w:div w:id="876310589">
      <w:bodyDiv w:val="1"/>
      <w:marLeft w:val="0"/>
      <w:marRight w:val="0"/>
      <w:marTop w:val="0"/>
      <w:marBottom w:val="0"/>
      <w:divBdr>
        <w:top w:val="none" w:sz="0" w:space="0" w:color="auto"/>
        <w:left w:val="none" w:sz="0" w:space="0" w:color="auto"/>
        <w:bottom w:val="none" w:sz="0" w:space="0" w:color="auto"/>
        <w:right w:val="none" w:sz="0" w:space="0" w:color="auto"/>
      </w:divBdr>
    </w:div>
    <w:div w:id="1202471784">
      <w:bodyDiv w:val="1"/>
      <w:marLeft w:val="0"/>
      <w:marRight w:val="0"/>
      <w:marTop w:val="0"/>
      <w:marBottom w:val="0"/>
      <w:divBdr>
        <w:top w:val="none" w:sz="0" w:space="0" w:color="auto"/>
        <w:left w:val="none" w:sz="0" w:space="0" w:color="auto"/>
        <w:bottom w:val="none" w:sz="0" w:space="0" w:color="auto"/>
        <w:right w:val="none" w:sz="0" w:space="0" w:color="auto"/>
      </w:divBdr>
    </w:div>
    <w:div w:id="1251742523">
      <w:bodyDiv w:val="1"/>
      <w:marLeft w:val="0"/>
      <w:marRight w:val="0"/>
      <w:marTop w:val="0"/>
      <w:marBottom w:val="0"/>
      <w:divBdr>
        <w:top w:val="none" w:sz="0" w:space="0" w:color="auto"/>
        <w:left w:val="none" w:sz="0" w:space="0" w:color="auto"/>
        <w:bottom w:val="none" w:sz="0" w:space="0" w:color="auto"/>
        <w:right w:val="none" w:sz="0" w:space="0" w:color="auto"/>
      </w:divBdr>
    </w:div>
    <w:div w:id="1277248300">
      <w:bodyDiv w:val="1"/>
      <w:marLeft w:val="0"/>
      <w:marRight w:val="0"/>
      <w:marTop w:val="0"/>
      <w:marBottom w:val="0"/>
      <w:divBdr>
        <w:top w:val="none" w:sz="0" w:space="0" w:color="auto"/>
        <w:left w:val="none" w:sz="0" w:space="0" w:color="auto"/>
        <w:bottom w:val="none" w:sz="0" w:space="0" w:color="auto"/>
        <w:right w:val="none" w:sz="0" w:space="0" w:color="auto"/>
      </w:divBdr>
    </w:div>
    <w:div w:id="1627852072">
      <w:bodyDiv w:val="1"/>
      <w:marLeft w:val="0"/>
      <w:marRight w:val="0"/>
      <w:marTop w:val="0"/>
      <w:marBottom w:val="0"/>
      <w:divBdr>
        <w:top w:val="none" w:sz="0" w:space="0" w:color="auto"/>
        <w:left w:val="none" w:sz="0" w:space="0" w:color="auto"/>
        <w:bottom w:val="none" w:sz="0" w:space="0" w:color="auto"/>
        <w:right w:val="none" w:sz="0" w:space="0" w:color="auto"/>
      </w:divBdr>
    </w:div>
    <w:div w:id="1728409170">
      <w:bodyDiv w:val="1"/>
      <w:marLeft w:val="0"/>
      <w:marRight w:val="0"/>
      <w:marTop w:val="0"/>
      <w:marBottom w:val="0"/>
      <w:divBdr>
        <w:top w:val="none" w:sz="0" w:space="0" w:color="auto"/>
        <w:left w:val="none" w:sz="0" w:space="0" w:color="auto"/>
        <w:bottom w:val="none" w:sz="0" w:space="0" w:color="auto"/>
        <w:right w:val="none" w:sz="0" w:space="0" w:color="auto"/>
      </w:divBdr>
      <w:divsChild>
        <w:div w:id="498883788">
          <w:marLeft w:val="0"/>
          <w:marRight w:val="0"/>
          <w:marTop w:val="0"/>
          <w:marBottom w:val="0"/>
          <w:divBdr>
            <w:top w:val="none" w:sz="0" w:space="0" w:color="auto"/>
            <w:left w:val="none" w:sz="0" w:space="0" w:color="auto"/>
            <w:bottom w:val="none" w:sz="0" w:space="0" w:color="auto"/>
            <w:right w:val="none" w:sz="0" w:space="0" w:color="auto"/>
          </w:divBdr>
          <w:divsChild>
            <w:div w:id="17437110">
              <w:marLeft w:val="0"/>
              <w:marRight w:val="0"/>
              <w:marTop w:val="0"/>
              <w:marBottom w:val="0"/>
              <w:divBdr>
                <w:top w:val="none" w:sz="0" w:space="0" w:color="auto"/>
                <w:left w:val="none" w:sz="0" w:space="0" w:color="auto"/>
                <w:bottom w:val="none" w:sz="0" w:space="0" w:color="auto"/>
                <w:right w:val="none" w:sz="0" w:space="0" w:color="auto"/>
              </w:divBdr>
              <w:divsChild>
                <w:div w:id="1898710620">
                  <w:marLeft w:val="0"/>
                  <w:marRight w:val="0"/>
                  <w:marTop w:val="0"/>
                  <w:marBottom w:val="0"/>
                  <w:divBdr>
                    <w:top w:val="none" w:sz="0" w:space="0" w:color="auto"/>
                    <w:left w:val="none" w:sz="0" w:space="0" w:color="auto"/>
                    <w:bottom w:val="none" w:sz="0" w:space="0" w:color="auto"/>
                    <w:right w:val="none" w:sz="0" w:space="0" w:color="auto"/>
                  </w:divBdr>
                </w:div>
              </w:divsChild>
            </w:div>
            <w:div w:id="275674021">
              <w:marLeft w:val="-15"/>
              <w:marRight w:val="0"/>
              <w:marTop w:val="0"/>
              <w:marBottom w:val="0"/>
              <w:divBdr>
                <w:top w:val="none" w:sz="0" w:space="0" w:color="auto"/>
                <w:left w:val="none" w:sz="0" w:space="0" w:color="auto"/>
                <w:bottom w:val="none" w:sz="0" w:space="0" w:color="auto"/>
                <w:right w:val="none" w:sz="0" w:space="0" w:color="auto"/>
              </w:divBdr>
            </w:div>
            <w:div w:id="461968983">
              <w:marLeft w:val="0"/>
              <w:marRight w:val="0"/>
              <w:marTop w:val="0"/>
              <w:marBottom w:val="0"/>
              <w:divBdr>
                <w:top w:val="none" w:sz="0" w:space="0" w:color="auto"/>
                <w:left w:val="none" w:sz="0" w:space="0" w:color="auto"/>
                <w:bottom w:val="none" w:sz="0" w:space="0" w:color="auto"/>
                <w:right w:val="none" w:sz="0" w:space="0" w:color="auto"/>
              </w:divBdr>
            </w:div>
            <w:div w:id="564485780">
              <w:marLeft w:val="75"/>
              <w:marRight w:val="0"/>
              <w:marTop w:val="0"/>
              <w:marBottom w:val="0"/>
              <w:divBdr>
                <w:top w:val="none" w:sz="0" w:space="0" w:color="auto"/>
                <w:left w:val="none" w:sz="0" w:space="0" w:color="auto"/>
                <w:bottom w:val="none" w:sz="0" w:space="0" w:color="auto"/>
                <w:right w:val="none" w:sz="0" w:space="0" w:color="auto"/>
              </w:divBdr>
            </w:div>
          </w:divsChild>
        </w:div>
        <w:div w:id="607741875">
          <w:marLeft w:val="0"/>
          <w:marRight w:val="225"/>
          <w:marTop w:val="75"/>
          <w:marBottom w:val="0"/>
          <w:divBdr>
            <w:top w:val="none" w:sz="0" w:space="0" w:color="auto"/>
            <w:left w:val="none" w:sz="0" w:space="0" w:color="auto"/>
            <w:bottom w:val="none" w:sz="0" w:space="0" w:color="auto"/>
            <w:right w:val="none" w:sz="0" w:space="0" w:color="auto"/>
          </w:divBdr>
          <w:divsChild>
            <w:div w:id="149444351">
              <w:marLeft w:val="0"/>
              <w:marRight w:val="0"/>
              <w:marTop w:val="0"/>
              <w:marBottom w:val="0"/>
              <w:divBdr>
                <w:top w:val="none" w:sz="0" w:space="0" w:color="auto"/>
                <w:left w:val="none" w:sz="0" w:space="0" w:color="auto"/>
                <w:bottom w:val="none" w:sz="0" w:space="0" w:color="auto"/>
                <w:right w:val="none" w:sz="0" w:space="0" w:color="auto"/>
              </w:divBdr>
              <w:divsChild>
                <w:div w:id="1153451350">
                  <w:marLeft w:val="0"/>
                  <w:marRight w:val="0"/>
                  <w:marTop w:val="0"/>
                  <w:marBottom w:val="0"/>
                  <w:divBdr>
                    <w:top w:val="none" w:sz="0" w:space="0" w:color="auto"/>
                    <w:left w:val="none" w:sz="0" w:space="0" w:color="auto"/>
                    <w:bottom w:val="none" w:sz="0" w:space="0" w:color="auto"/>
                    <w:right w:val="none" w:sz="0" w:space="0" w:color="auto"/>
                  </w:divBdr>
                  <w:divsChild>
                    <w:div w:id="1684629736">
                      <w:marLeft w:val="0"/>
                      <w:marRight w:val="0"/>
                      <w:marTop w:val="0"/>
                      <w:marBottom w:val="0"/>
                      <w:divBdr>
                        <w:top w:val="none" w:sz="0" w:space="0" w:color="auto"/>
                        <w:left w:val="none" w:sz="0" w:space="0" w:color="auto"/>
                        <w:bottom w:val="none" w:sz="0" w:space="0" w:color="auto"/>
                        <w:right w:val="none" w:sz="0" w:space="0" w:color="auto"/>
                      </w:divBdr>
                      <w:divsChild>
                        <w:div w:id="198974344">
                          <w:marLeft w:val="0"/>
                          <w:marRight w:val="0"/>
                          <w:marTop w:val="0"/>
                          <w:marBottom w:val="0"/>
                          <w:divBdr>
                            <w:top w:val="none" w:sz="0" w:space="0" w:color="auto"/>
                            <w:left w:val="none" w:sz="0" w:space="0" w:color="auto"/>
                            <w:bottom w:val="none" w:sz="0" w:space="0" w:color="auto"/>
                            <w:right w:val="none" w:sz="0" w:space="0" w:color="auto"/>
                          </w:divBdr>
                        </w:div>
                        <w:div w:id="237398020">
                          <w:marLeft w:val="0"/>
                          <w:marRight w:val="0"/>
                          <w:marTop w:val="0"/>
                          <w:marBottom w:val="0"/>
                          <w:divBdr>
                            <w:top w:val="none" w:sz="0" w:space="0" w:color="auto"/>
                            <w:left w:val="none" w:sz="0" w:space="0" w:color="auto"/>
                            <w:bottom w:val="none" w:sz="0" w:space="0" w:color="auto"/>
                            <w:right w:val="none" w:sz="0" w:space="0" w:color="auto"/>
                          </w:divBdr>
                        </w:div>
                        <w:div w:id="473568266">
                          <w:marLeft w:val="0"/>
                          <w:marRight w:val="0"/>
                          <w:marTop w:val="0"/>
                          <w:marBottom w:val="0"/>
                          <w:divBdr>
                            <w:top w:val="none" w:sz="0" w:space="0" w:color="auto"/>
                            <w:left w:val="none" w:sz="0" w:space="0" w:color="auto"/>
                            <w:bottom w:val="none" w:sz="0" w:space="0" w:color="auto"/>
                            <w:right w:val="none" w:sz="0" w:space="0" w:color="auto"/>
                          </w:divBdr>
                        </w:div>
                        <w:div w:id="897713426">
                          <w:marLeft w:val="0"/>
                          <w:marRight w:val="0"/>
                          <w:marTop w:val="0"/>
                          <w:marBottom w:val="0"/>
                          <w:divBdr>
                            <w:top w:val="none" w:sz="0" w:space="0" w:color="auto"/>
                            <w:left w:val="none" w:sz="0" w:space="0" w:color="auto"/>
                            <w:bottom w:val="none" w:sz="0" w:space="0" w:color="auto"/>
                            <w:right w:val="none" w:sz="0" w:space="0" w:color="auto"/>
                          </w:divBdr>
                        </w:div>
                        <w:div w:id="970137882">
                          <w:marLeft w:val="0"/>
                          <w:marRight w:val="0"/>
                          <w:marTop w:val="0"/>
                          <w:marBottom w:val="0"/>
                          <w:divBdr>
                            <w:top w:val="none" w:sz="0" w:space="0" w:color="auto"/>
                            <w:left w:val="none" w:sz="0" w:space="0" w:color="auto"/>
                            <w:bottom w:val="none" w:sz="0" w:space="0" w:color="auto"/>
                            <w:right w:val="none" w:sz="0" w:space="0" w:color="auto"/>
                          </w:divBdr>
                        </w:div>
                        <w:div w:id="1040324428">
                          <w:marLeft w:val="0"/>
                          <w:marRight w:val="0"/>
                          <w:marTop w:val="0"/>
                          <w:marBottom w:val="0"/>
                          <w:divBdr>
                            <w:top w:val="none" w:sz="0" w:space="0" w:color="auto"/>
                            <w:left w:val="none" w:sz="0" w:space="0" w:color="auto"/>
                            <w:bottom w:val="none" w:sz="0" w:space="0" w:color="auto"/>
                            <w:right w:val="none" w:sz="0" w:space="0" w:color="auto"/>
                          </w:divBdr>
                        </w:div>
                        <w:div w:id="1405569531">
                          <w:marLeft w:val="0"/>
                          <w:marRight w:val="0"/>
                          <w:marTop w:val="0"/>
                          <w:marBottom w:val="0"/>
                          <w:divBdr>
                            <w:top w:val="none" w:sz="0" w:space="0" w:color="auto"/>
                            <w:left w:val="none" w:sz="0" w:space="0" w:color="auto"/>
                            <w:bottom w:val="none" w:sz="0" w:space="0" w:color="auto"/>
                            <w:right w:val="none" w:sz="0" w:space="0" w:color="auto"/>
                          </w:divBdr>
                        </w:div>
                        <w:div w:id="1637030576">
                          <w:marLeft w:val="0"/>
                          <w:marRight w:val="0"/>
                          <w:marTop w:val="0"/>
                          <w:marBottom w:val="0"/>
                          <w:divBdr>
                            <w:top w:val="none" w:sz="0" w:space="0" w:color="auto"/>
                            <w:left w:val="none" w:sz="0" w:space="0" w:color="auto"/>
                            <w:bottom w:val="none" w:sz="0" w:space="0" w:color="auto"/>
                            <w:right w:val="none" w:sz="0" w:space="0" w:color="auto"/>
                          </w:divBdr>
                        </w:div>
                        <w:div w:id="1750273448">
                          <w:marLeft w:val="0"/>
                          <w:marRight w:val="0"/>
                          <w:marTop w:val="0"/>
                          <w:marBottom w:val="0"/>
                          <w:divBdr>
                            <w:top w:val="none" w:sz="0" w:space="0" w:color="auto"/>
                            <w:left w:val="none" w:sz="0" w:space="0" w:color="auto"/>
                            <w:bottom w:val="none" w:sz="0" w:space="0" w:color="auto"/>
                            <w:right w:val="none" w:sz="0" w:space="0" w:color="auto"/>
                          </w:divBdr>
                        </w:div>
                        <w:div w:id="1884050408">
                          <w:marLeft w:val="0"/>
                          <w:marRight w:val="0"/>
                          <w:marTop w:val="0"/>
                          <w:marBottom w:val="0"/>
                          <w:divBdr>
                            <w:top w:val="none" w:sz="0" w:space="0" w:color="auto"/>
                            <w:left w:val="none" w:sz="0" w:space="0" w:color="auto"/>
                            <w:bottom w:val="none" w:sz="0" w:space="0" w:color="auto"/>
                            <w:right w:val="none" w:sz="0" w:space="0" w:color="auto"/>
                          </w:divBdr>
                        </w:div>
                        <w:div w:id="1989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corteidh.or.cr/tablas/informe2018/espanol.pdf" TargetMode="External"/><Relationship Id="rId1" Type="http://schemas.openxmlformats.org/officeDocument/2006/relationships/hyperlink" Target="http://www.corteidh.or.cr/docs/casos/articulos/seriec_355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8A682C-0AAE-4416-80A2-69C5397E8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2072</Words>
  <Characters>10837</Characters>
  <Application>Microsoft Office Word</Application>
  <DocSecurity>0</DocSecurity>
  <Lines>190</Lines>
  <Paragraphs>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12872</CharactersWithSpaces>
  <SharedDoc>false</SharedDoc>
  <HLinks>
    <vt:vector size="24" baseType="variant">
      <vt:variant>
        <vt:i4>1441846</vt:i4>
      </vt:variant>
      <vt:variant>
        <vt:i4>8</vt:i4>
      </vt:variant>
      <vt:variant>
        <vt:i4>0</vt:i4>
      </vt:variant>
      <vt:variant>
        <vt:i4>5</vt:i4>
      </vt:variant>
      <vt:variant>
        <vt:lpwstr/>
      </vt:variant>
      <vt:variant>
        <vt:lpwstr>_Toc24542534</vt:lpwstr>
      </vt:variant>
      <vt:variant>
        <vt:i4>1114166</vt:i4>
      </vt:variant>
      <vt:variant>
        <vt:i4>2</vt:i4>
      </vt:variant>
      <vt:variant>
        <vt:i4>0</vt:i4>
      </vt:variant>
      <vt:variant>
        <vt:i4>5</vt:i4>
      </vt:variant>
      <vt:variant>
        <vt:lpwstr/>
      </vt:variant>
      <vt:variant>
        <vt:lpwstr>_Toc24542533</vt:lpwstr>
      </vt:variant>
      <vt:variant>
        <vt:i4>4456534</vt:i4>
      </vt:variant>
      <vt:variant>
        <vt:i4>6</vt:i4>
      </vt:variant>
      <vt:variant>
        <vt:i4>0</vt:i4>
      </vt:variant>
      <vt:variant>
        <vt:i4>5</vt:i4>
      </vt:variant>
      <vt:variant>
        <vt:lpwstr>http://www.corteidh.or.cr/tablas/informe2018/espanol.pdf</vt:lpwstr>
      </vt:variant>
      <vt:variant>
        <vt:lpwstr/>
      </vt:variant>
      <vt:variant>
        <vt:i4>5570642</vt:i4>
      </vt:variant>
      <vt:variant>
        <vt:i4>0</vt:i4>
      </vt:variant>
      <vt:variant>
        <vt:i4>0</vt:i4>
      </vt:variant>
      <vt:variant>
        <vt:i4>5</vt:i4>
      </vt:variant>
      <vt:variant>
        <vt:lpwstr>http://www.corteidh.or.cr/docs/casos/articulos/seriec_355_esp.pdf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Liliana Tojo</cp:lastModifiedBy>
  <cp:revision>2</cp:revision>
  <cp:lastPrinted>2019-12-17T14:20:00Z</cp:lastPrinted>
  <dcterms:created xsi:type="dcterms:W3CDTF">2020-01-08T16:15:00Z</dcterms:created>
  <dcterms:modified xsi:type="dcterms:W3CDTF">2020-01-08T16:15:00Z</dcterms:modified>
</cp:coreProperties>
</file>