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20592" w:rsidRDefault="00020592" w:rsidP="005B54DD">
      <w:pPr>
        <w:spacing w:after="0" w:line="240" w:lineRule="auto"/>
        <w:jc w:val="center"/>
        <w:rPr>
          <w:rFonts w:ascii="Verdana" w:hAnsi="Verdana"/>
          <w:b/>
          <w:sz w:val="20"/>
          <w:szCs w:val="20"/>
          <w:lang w:val="es-CR"/>
        </w:rPr>
      </w:pPr>
      <w:bookmarkStart w:id="0" w:name="_GoBack"/>
      <w:bookmarkEnd w:id="0"/>
    </w:p>
    <w:p w:rsidR="002B1661" w:rsidRDefault="002B1661" w:rsidP="005B54DD">
      <w:pPr>
        <w:spacing w:after="0" w:line="240" w:lineRule="auto"/>
        <w:jc w:val="center"/>
        <w:rPr>
          <w:rFonts w:ascii="Verdana" w:hAnsi="Verdana"/>
          <w:b/>
          <w:sz w:val="20"/>
          <w:szCs w:val="20"/>
          <w:lang w:val="es-CR"/>
        </w:rPr>
      </w:pPr>
    </w:p>
    <w:p w:rsidR="002B1661" w:rsidRDefault="002B1661" w:rsidP="005B54DD">
      <w:pPr>
        <w:spacing w:after="0" w:line="240" w:lineRule="auto"/>
        <w:jc w:val="center"/>
        <w:rPr>
          <w:rFonts w:ascii="Verdana" w:hAnsi="Verdana"/>
          <w:b/>
          <w:sz w:val="20"/>
          <w:szCs w:val="20"/>
          <w:lang w:val="es-CR"/>
        </w:rPr>
      </w:pPr>
    </w:p>
    <w:p w:rsidR="00780EEC" w:rsidRDefault="00780EEC" w:rsidP="005B54DD">
      <w:pPr>
        <w:spacing w:after="0" w:line="240" w:lineRule="auto"/>
        <w:jc w:val="center"/>
        <w:rPr>
          <w:rFonts w:ascii="Verdana" w:hAnsi="Verdana"/>
          <w:b/>
          <w:sz w:val="20"/>
          <w:szCs w:val="20"/>
          <w:lang w:val="es-CR"/>
        </w:rPr>
      </w:pPr>
    </w:p>
    <w:p w:rsidR="00780EEC" w:rsidRDefault="00780EEC" w:rsidP="005B54DD">
      <w:pPr>
        <w:spacing w:after="0" w:line="240" w:lineRule="auto"/>
        <w:jc w:val="center"/>
        <w:rPr>
          <w:rFonts w:ascii="Verdana" w:hAnsi="Verdana"/>
          <w:b/>
          <w:sz w:val="20"/>
          <w:szCs w:val="20"/>
          <w:lang w:val="es-CR"/>
        </w:rPr>
      </w:pPr>
    </w:p>
    <w:p w:rsidR="002B1661" w:rsidRDefault="002B1661" w:rsidP="005B54DD">
      <w:pPr>
        <w:spacing w:after="0" w:line="240" w:lineRule="auto"/>
        <w:jc w:val="center"/>
        <w:rPr>
          <w:rFonts w:ascii="Verdana" w:hAnsi="Verdana"/>
          <w:b/>
          <w:sz w:val="20"/>
          <w:szCs w:val="20"/>
          <w:lang w:val="es-CR"/>
        </w:rPr>
      </w:pPr>
    </w:p>
    <w:p w:rsidR="005F3B70" w:rsidRPr="001618E6" w:rsidRDefault="005F3B70" w:rsidP="005B54DD">
      <w:pPr>
        <w:spacing w:after="0" w:line="240" w:lineRule="auto"/>
        <w:jc w:val="center"/>
        <w:rPr>
          <w:rFonts w:ascii="Verdana" w:hAnsi="Verdana"/>
          <w:b/>
          <w:sz w:val="20"/>
          <w:szCs w:val="20"/>
          <w:lang w:val="es-CR"/>
        </w:rPr>
      </w:pPr>
    </w:p>
    <w:p w:rsidR="00F56ACD" w:rsidRPr="001618E6" w:rsidRDefault="00745AE4" w:rsidP="005B54DD">
      <w:pPr>
        <w:spacing w:after="0" w:line="240" w:lineRule="auto"/>
        <w:jc w:val="center"/>
        <w:rPr>
          <w:rFonts w:ascii="Verdana" w:hAnsi="Verdana"/>
          <w:b/>
          <w:sz w:val="20"/>
          <w:szCs w:val="20"/>
          <w:lang w:val="es-CR"/>
        </w:rPr>
      </w:pPr>
      <w:r w:rsidRPr="001618E6">
        <w:rPr>
          <w:rFonts w:ascii="Verdana" w:hAnsi="Verdana"/>
          <w:b/>
          <w:sz w:val="20"/>
          <w:szCs w:val="20"/>
          <w:lang w:val="es-CR"/>
        </w:rPr>
        <w:t>RESOLUCIÓN DE LA</w:t>
      </w:r>
    </w:p>
    <w:p w:rsidR="00FF7EEA" w:rsidRPr="001618E6" w:rsidRDefault="00745AE4" w:rsidP="005B54DD">
      <w:pPr>
        <w:spacing w:after="0" w:line="240" w:lineRule="auto"/>
        <w:jc w:val="center"/>
        <w:rPr>
          <w:rFonts w:ascii="Verdana" w:hAnsi="Verdana"/>
          <w:b/>
          <w:smallCaps/>
          <w:sz w:val="20"/>
          <w:lang w:val="es-CR"/>
        </w:rPr>
      </w:pPr>
      <w:r w:rsidRPr="001618E6">
        <w:rPr>
          <w:rFonts w:ascii="Verdana" w:hAnsi="Verdana"/>
          <w:b/>
          <w:sz w:val="20"/>
          <w:szCs w:val="20"/>
          <w:lang w:val="es-CR"/>
        </w:rPr>
        <w:t>CORTE INTERAMERICANA DE DERECHOS HUMANOS</w:t>
      </w:r>
      <w:r w:rsidR="004C7B35" w:rsidRPr="001618E6">
        <w:rPr>
          <w:rStyle w:val="Refdenotaalpie"/>
          <w:rFonts w:ascii="Verdana" w:hAnsi="Verdana"/>
          <w:b/>
          <w:smallCaps/>
          <w:sz w:val="20"/>
        </w:rPr>
        <w:footnoteReference w:customMarkFollows="1" w:id="1"/>
        <w:sym w:font="Symbol" w:char="F02A"/>
      </w:r>
      <w:r w:rsidR="00FF7EEA" w:rsidRPr="001618E6">
        <w:rPr>
          <w:rStyle w:val="Refdenotaalpie"/>
          <w:rFonts w:ascii="Verdana" w:hAnsi="Verdana"/>
          <w:b/>
          <w:smallCaps/>
          <w:sz w:val="20"/>
          <w:lang w:val="es-CR"/>
        </w:rPr>
        <w:t xml:space="preserve"> </w:t>
      </w:r>
    </w:p>
    <w:p w:rsidR="00AD4184" w:rsidRPr="001618E6" w:rsidRDefault="00AD4184" w:rsidP="005B54DD">
      <w:pPr>
        <w:spacing w:after="0" w:line="240" w:lineRule="auto"/>
        <w:jc w:val="center"/>
        <w:rPr>
          <w:rFonts w:ascii="Verdana" w:hAnsi="Verdana"/>
          <w:b/>
          <w:sz w:val="20"/>
          <w:szCs w:val="20"/>
          <w:lang w:val="es-CR"/>
        </w:rPr>
      </w:pPr>
    </w:p>
    <w:p w:rsidR="00745AE4" w:rsidRPr="001618E6" w:rsidRDefault="00671120" w:rsidP="005B54DD">
      <w:pPr>
        <w:spacing w:after="0" w:line="240" w:lineRule="auto"/>
        <w:jc w:val="center"/>
        <w:rPr>
          <w:rFonts w:ascii="Verdana" w:hAnsi="Verdana"/>
          <w:b/>
          <w:sz w:val="20"/>
          <w:szCs w:val="20"/>
          <w:lang w:val="es-CR"/>
        </w:rPr>
      </w:pPr>
      <w:r w:rsidRPr="001618E6">
        <w:rPr>
          <w:rFonts w:ascii="Verdana" w:hAnsi="Verdana"/>
          <w:b/>
          <w:sz w:val="20"/>
          <w:szCs w:val="20"/>
          <w:lang w:val="es-CR"/>
        </w:rPr>
        <w:t xml:space="preserve">DE </w:t>
      </w:r>
      <w:r w:rsidR="004335DA">
        <w:rPr>
          <w:rFonts w:ascii="Verdana" w:hAnsi="Verdana"/>
          <w:b/>
          <w:sz w:val="20"/>
          <w:szCs w:val="20"/>
          <w:lang w:val="es-CR"/>
        </w:rPr>
        <w:t>22</w:t>
      </w:r>
      <w:r w:rsidR="00020592" w:rsidRPr="001618E6">
        <w:rPr>
          <w:rFonts w:ascii="Verdana" w:hAnsi="Verdana"/>
          <w:b/>
          <w:sz w:val="20"/>
          <w:szCs w:val="20"/>
          <w:lang w:val="es-CR"/>
        </w:rPr>
        <w:t xml:space="preserve"> DE </w:t>
      </w:r>
      <w:r w:rsidR="00713D74">
        <w:rPr>
          <w:rFonts w:ascii="Verdana" w:hAnsi="Verdana"/>
          <w:b/>
          <w:sz w:val="20"/>
          <w:szCs w:val="20"/>
          <w:lang w:val="es-CR"/>
        </w:rPr>
        <w:t>NOVIEMBRE</w:t>
      </w:r>
      <w:r w:rsidR="00713D74" w:rsidRPr="001618E6">
        <w:rPr>
          <w:rFonts w:ascii="Verdana" w:hAnsi="Verdana"/>
          <w:b/>
          <w:sz w:val="20"/>
          <w:szCs w:val="20"/>
          <w:lang w:val="es-CR"/>
        </w:rPr>
        <w:t xml:space="preserve"> </w:t>
      </w:r>
      <w:r w:rsidR="00745AE4" w:rsidRPr="001618E6">
        <w:rPr>
          <w:rFonts w:ascii="Verdana" w:hAnsi="Verdana"/>
          <w:b/>
          <w:sz w:val="20"/>
          <w:szCs w:val="20"/>
          <w:lang w:val="es-CR"/>
        </w:rPr>
        <w:t xml:space="preserve">DE </w:t>
      </w:r>
      <w:r w:rsidR="008E5B90" w:rsidRPr="001618E6">
        <w:rPr>
          <w:rFonts w:ascii="Verdana" w:hAnsi="Verdana"/>
          <w:b/>
          <w:sz w:val="20"/>
          <w:szCs w:val="20"/>
          <w:lang w:val="es-CR"/>
        </w:rPr>
        <w:t>2019</w:t>
      </w:r>
    </w:p>
    <w:p w:rsidR="00AD4184" w:rsidRPr="001618E6" w:rsidRDefault="00AD4184" w:rsidP="005B54DD">
      <w:pPr>
        <w:spacing w:after="0" w:line="240" w:lineRule="auto"/>
        <w:jc w:val="center"/>
        <w:rPr>
          <w:rFonts w:ascii="Verdana" w:hAnsi="Verdana"/>
          <w:b/>
          <w:sz w:val="20"/>
          <w:szCs w:val="20"/>
          <w:lang w:val="es-CR"/>
        </w:rPr>
      </w:pPr>
    </w:p>
    <w:p w:rsidR="00AD4184" w:rsidRPr="001618E6" w:rsidRDefault="00FC7AC8" w:rsidP="005B54DD">
      <w:pPr>
        <w:spacing w:after="0" w:line="240" w:lineRule="auto"/>
        <w:jc w:val="center"/>
        <w:rPr>
          <w:rFonts w:ascii="Verdana" w:hAnsi="Verdana"/>
          <w:b/>
          <w:i/>
          <w:sz w:val="20"/>
          <w:szCs w:val="20"/>
          <w:lang w:val="es-CR"/>
        </w:rPr>
      </w:pPr>
      <w:r w:rsidRPr="001618E6">
        <w:rPr>
          <w:rFonts w:ascii="Verdana" w:hAnsi="Verdana"/>
          <w:b/>
          <w:i/>
          <w:sz w:val="20"/>
          <w:szCs w:val="20"/>
          <w:lang w:val="es-CR"/>
        </w:rPr>
        <w:t xml:space="preserve">CASO </w:t>
      </w:r>
      <w:r w:rsidR="007A3097" w:rsidRPr="001618E6">
        <w:rPr>
          <w:rFonts w:ascii="Verdana" w:hAnsi="Verdana"/>
          <w:b/>
          <w:i/>
          <w:sz w:val="20"/>
          <w:szCs w:val="20"/>
          <w:lang w:val="es-CR"/>
        </w:rPr>
        <w:t>CABALLERO DELGADO Y SANTANA</w:t>
      </w:r>
      <w:r w:rsidRPr="001618E6">
        <w:rPr>
          <w:rFonts w:ascii="Verdana" w:hAnsi="Verdana"/>
          <w:b/>
          <w:i/>
          <w:sz w:val="20"/>
          <w:szCs w:val="20"/>
          <w:lang w:val="es-CR"/>
        </w:rPr>
        <w:t xml:space="preserve"> VS. COLOMBIA</w:t>
      </w:r>
    </w:p>
    <w:p w:rsidR="001D32C4" w:rsidRDefault="001D32C4" w:rsidP="005B54DD">
      <w:pPr>
        <w:spacing w:after="0" w:line="240" w:lineRule="auto"/>
        <w:jc w:val="center"/>
        <w:rPr>
          <w:rFonts w:ascii="Verdana" w:hAnsi="Verdana"/>
          <w:b/>
          <w:sz w:val="20"/>
          <w:szCs w:val="20"/>
          <w:lang w:val="es-CR"/>
        </w:rPr>
      </w:pPr>
    </w:p>
    <w:p w:rsidR="00340BD2" w:rsidRPr="001618E6" w:rsidRDefault="00745AE4" w:rsidP="005B54DD">
      <w:pPr>
        <w:spacing w:after="0" w:line="240" w:lineRule="auto"/>
        <w:jc w:val="center"/>
        <w:rPr>
          <w:rFonts w:ascii="Verdana" w:hAnsi="Verdana"/>
          <w:b/>
          <w:sz w:val="20"/>
          <w:szCs w:val="20"/>
          <w:lang w:val="es-CR"/>
        </w:rPr>
      </w:pPr>
      <w:r w:rsidRPr="001618E6">
        <w:rPr>
          <w:rFonts w:ascii="Verdana" w:hAnsi="Verdana"/>
          <w:b/>
          <w:sz w:val="20"/>
          <w:szCs w:val="20"/>
          <w:lang w:val="es-CR"/>
        </w:rPr>
        <w:t>SUPERVISI</w:t>
      </w:r>
      <w:r w:rsidR="008E5B90" w:rsidRPr="001618E6">
        <w:rPr>
          <w:rFonts w:ascii="Verdana" w:hAnsi="Verdana"/>
          <w:b/>
          <w:sz w:val="20"/>
          <w:szCs w:val="20"/>
          <w:lang w:val="es-CR"/>
        </w:rPr>
        <w:t>ÓN DE CUMPLIMIENTO DE SENTENCIA</w:t>
      </w:r>
    </w:p>
    <w:p w:rsidR="008E5B90" w:rsidRPr="001618E6" w:rsidRDefault="008E5B90" w:rsidP="005B54DD">
      <w:pPr>
        <w:spacing w:after="0" w:line="240" w:lineRule="auto"/>
        <w:jc w:val="center"/>
        <w:rPr>
          <w:rFonts w:ascii="Verdana" w:hAnsi="Verdana"/>
          <w:b/>
          <w:sz w:val="20"/>
          <w:szCs w:val="20"/>
          <w:lang w:val="es-CR"/>
        </w:rPr>
      </w:pPr>
    </w:p>
    <w:p w:rsidR="00CD4DDE" w:rsidRPr="001618E6" w:rsidRDefault="005A1B3D" w:rsidP="005B54DD">
      <w:pPr>
        <w:spacing w:after="0" w:line="240" w:lineRule="auto"/>
        <w:jc w:val="both"/>
        <w:rPr>
          <w:rFonts w:ascii="Verdana" w:hAnsi="Verdana"/>
          <w:b/>
          <w:sz w:val="20"/>
          <w:szCs w:val="20"/>
          <w:lang w:val="es-CR"/>
        </w:rPr>
      </w:pPr>
      <w:r w:rsidRPr="001618E6">
        <w:rPr>
          <w:rFonts w:ascii="Verdana" w:hAnsi="Verdana"/>
          <w:b/>
          <w:sz w:val="20"/>
          <w:szCs w:val="20"/>
          <w:lang w:val="es-CR"/>
        </w:rPr>
        <w:t>VISTO:</w:t>
      </w:r>
      <w:r w:rsidR="006D19D6" w:rsidRPr="001618E6">
        <w:rPr>
          <w:rFonts w:ascii="Verdana" w:hAnsi="Verdana"/>
          <w:b/>
          <w:sz w:val="20"/>
          <w:szCs w:val="20"/>
          <w:lang w:val="es-CR"/>
        </w:rPr>
        <w:t xml:space="preserve"> </w:t>
      </w:r>
    </w:p>
    <w:p w:rsidR="005B54DD" w:rsidRPr="001618E6" w:rsidRDefault="005B54DD" w:rsidP="005B54DD">
      <w:pPr>
        <w:spacing w:after="0" w:line="240" w:lineRule="auto"/>
        <w:jc w:val="both"/>
        <w:rPr>
          <w:rFonts w:ascii="Verdana" w:hAnsi="Verdana"/>
          <w:b/>
          <w:sz w:val="20"/>
          <w:szCs w:val="20"/>
          <w:lang w:val="es-CR"/>
        </w:rPr>
      </w:pPr>
    </w:p>
    <w:p w:rsidR="000A17AB" w:rsidRPr="002C343E" w:rsidRDefault="005A1B3D" w:rsidP="006E0F3F">
      <w:pPr>
        <w:pStyle w:val="Listavistosa-nfasis12"/>
        <w:numPr>
          <w:ilvl w:val="0"/>
          <w:numId w:val="1"/>
        </w:numPr>
        <w:spacing w:after="0" w:line="240" w:lineRule="auto"/>
        <w:ind w:left="0" w:firstLine="0"/>
        <w:contextualSpacing w:val="0"/>
        <w:rPr>
          <w:color w:val="000000"/>
          <w:sz w:val="20"/>
          <w:szCs w:val="20"/>
          <w:shd w:val="clear" w:color="auto" w:fill="FFFFFF"/>
          <w:lang w:val="es-CR"/>
        </w:rPr>
      </w:pPr>
      <w:r w:rsidRPr="001618E6">
        <w:rPr>
          <w:sz w:val="20"/>
          <w:szCs w:val="20"/>
          <w:lang w:val="es-CR"/>
        </w:rPr>
        <w:t>La</w:t>
      </w:r>
      <w:r w:rsidR="007E57CB">
        <w:rPr>
          <w:sz w:val="20"/>
          <w:szCs w:val="20"/>
          <w:lang w:val="es-CR"/>
        </w:rPr>
        <w:t>s</w:t>
      </w:r>
      <w:r w:rsidRPr="001618E6">
        <w:rPr>
          <w:sz w:val="20"/>
          <w:szCs w:val="20"/>
          <w:lang w:val="es-CR"/>
        </w:rPr>
        <w:t xml:space="preserve"> Sentencia</w:t>
      </w:r>
      <w:r w:rsidR="007E57CB">
        <w:rPr>
          <w:sz w:val="20"/>
          <w:szCs w:val="20"/>
          <w:lang w:val="es-CR"/>
        </w:rPr>
        <w:t>s</w:t>
      </w:r>
      <w:r w:rsidRPr="001618E6">
        <w:rPr>
          <w:sz w:val="20"/>
          <w:szCs w:val="20"/>
          <w:lang w:val="es-CR"/>
        </w:rPr>
        <w:t xml:space="preserve"> d</w:t>
      </w:r>
      <w:r w:rsidR="00FC7AC8" w:rsidRPr="001618E6">
        <w:rPr>
          <w:sz w:val="20"/>
          <w:szCs w:val="20"/>
          <w:lang w:val="es-CR"/>
        </w:rPr>
        <w:t>e</w:t>
      </w:r>
      <w:r w:rsidR="00FC7AC8" w:rsidRPr="001618E6">
        <w:rPr>
          <w:color w:val="000000"/>
          <w:sz w:val="20"/>
          <w:szCs w:val="20"/>
          <w:lang w:val="es-MX"/>
        </w:rPr>
        <w:t xml:space="preserve"> fondo</w:t>
      </w:r>
      <w:r w:rsidR="007A3097" w:rsidRPr="001618E6">
        <w:rPr>
          <w:color w:val="000000"/>
          <w:sz w:val="20"/>
          <w:szCs w:val="20"/>
          <w:lang w:val="es-MX"/>
        </w:rPr>
        <w:t xml:space="preserve"> </w:t>
      </w:r>
      <w:r w:rsidRPr="001618E6">
        <w:rPr>
          <w:sz w:val="20"/>
          <w:szCs w:val="20"/>
          <w:lang w:val="es-CR"/>
        </w:rPr>
        <w:t xml:space="preserve">(en adelante “la Sentencia”) </w:t>
      </w:r>
      <w:r w:rsidR="007E57CB">
        <w:rPr>
          <w:sz w:val="20"/>
          <w:szCs w:val="20"/>
          <w:lang w:val="es-CR"/>
        </w:rPr>
        <w:t>y de reparaciones y costas (en adelante “la Sentencia de reparaciones”) emitidas</w:t>
      </w:r>
      <w:r w:rsidR="007E57CB" w:rsidRPr="001618E6">
        <w:rPr>
          <w:sz w:val="20"/>
          <w:szCs w:val="20"/>
          <w:lang w:val="es-CR"/>
        </w:rPr>
        <w:t xml:space="preserve"> </w:t>
      </w:r>
      <w:r w:rsidRPr="001618E6">
        <w:rPr>
          <w:sz w:val="20"/>
          <w:szCs w:val="20"/>
          <w:lang w:val="es-CR"/>
        </w:rPr>
        <w:t>por la Corte Interamericana de Derechos Humanos (en adelante “la Corte Interamerican</w:t>
      </w:r>
      <w:r w:rsidR="00AD277C" w:rsidRPr="001618E6">
        <w:rPr>
          <w:sz w:val="20"/>
          <w:szCs w:val="20"/>
          <w:lang w:val="es-CR"/>
        </w:rPr>
        <w:t>a”, “la Corte” o “el Tribunal”)</w:t>
      </w:r>
      <w:r w:rsidR="007E57CB">
        <w:rPr>
          <w:sz w:val="20"/>
          <w:szCs w:val="20"/>
          <w:lang w:val="es-CR"/>
        </w:rPr>
        <w:t>, respectivamente,</w:t>
      </w:r>
      <w:r w:rsidR="00AD277C" w:rsidRPr="001618E6">
        <w:rPr>
          <w:sz w:val="20"/>
          <w:szCs w:val="20"/>
          <w:lang w:val="es-CR"/>
        </w:rPr>
        <w:t xml:space="preserve"> el </w:t>
      </w:r>
      <w:r w:rsidR="007A3097" w:rsidRPr="001618E6">
        <w:rPr>
          <w:sz w:val="20"/>
          <w:szCs w:val="20"/>
          <w:lang w:val="es-CR"/>
        </w:rPr>
        <w:t>8 de diciembre de 1995</w:t>
      </w:r>
      <w:r w:rsidR="00886837" w:rsidRPr="001618E6">
        <w:rPr>
          <w:rStyle w:val="Refdenotaalpie"/>
          <w:sz w:val="20"/>
          <w:szCs w:val="20"/>
          <w:lang w:val="es-MX"/>
        </w:rPr>
        <w:footnoteReference w:id="2"/>
      </w:r>
      <w:r w:rsidR="007E57CB">
        <w:rPr>
          <w:sz w:val="20"/>
          <w:szCs w:val="20"/>
          <w:lang w:val="es-CR"/>
        </w:rPr>
        <w:t xml:space="preserve"> y </w:t>
      </w:r>
      <w:r w:rsidR="004335DA">
        <w:rPr>
          <w:sz w:val="20"/>
          <w:szCs w:val="20"/>
          <w:lang w:val="es-CR"/>
        </w:rPr>
        <w:t xml:space="preserve">el </w:t>
      </w:r>
      <w:r w:rsidR="007E57CB">
        <w:rPr>
          <w:sz w:val="20"/>
          <w:szCs w:val="20"/>
          <w:lang w:val="es-CR"/>
        </w:rPr>
        <w:t>29 de enero de 1997</w:t>
      </w:r>
      <w:r w:rsidR="007E57CB" w:rsidRPr="001618E6">
        <w:rPr>
          <w:rStyle w:val="Refdenotaalpie"/>
          <w:sz w:val="20"/>
          <w:szCs w:val="20"/>
          <w:lang w:val="es-CR"/>
        </w:rPr>
        <w:footnoteReference w:id="3"/>
      </w:r>
      <w:r w:rsidR="001C0DED" w:rsidRPr="001618E6">
        <w:rPr>
          <w:sz w:val="20"/>
          <w:szCs w:val="20"/>
          <w:lang w:val="es-CR"/>
        </w:rPr>
        <w:t xml:space="preserve">. </w:t>
      </w:r>
      <w:r w:rsidR="00D15A71" w:rsidRPr="001618E6">
        <w:rPr>
          <w:sz w:val="20"/>
          <w:szCs w:val="20"/>
          <w:lang w:val="es-CR"/>
        </w:rPr>
        <w:t>El Tribunal declaró la responsabilidad internacional de</w:t>
      </w:r>
      <w:r w:rsidR="007E57CB">
        <w:rPr>
          <w:sz w:val="20"/>
          <w:szCs w:val="20"/>
          <w:lang w:val="es-CR"/>
        </w:rPr>
        <w:t xml:space="preserve"> </w:t>
      </w:r>
      <w:r w:rsidR="00D15A71" w:rsidRPr="001618E6">
        <w:rPr>
          <w:sz w:val="20"/>
          <w:szCs w:val="20"/>
          <w:lang w:val="es-CR"/>
        </w:rPr>
        <w:t>l</w:t>
      </w:r>
      <w:r w:rsidR="007E57CB">
        <w:rPr>
          <w:sz w:val="20"/>
          <w:szCs w:val="20"/>
          <w:lang w:val="es-CR"/>
        </w:rPr>
        <w:t>a República de Colombia (en adelante “el</w:t>
      </w:r>
      <w:r w:rsidR="00D15A71" w:rsidRPr="001618E6">
        <w:rPr>
          <w:sz w:val="20"/>
          <w:szCs w:val="20"/>
          <w:lang w:val="es-CR"/>
        </w:rPr>
        <w:t xml:space="preserve"> Estado</w:t>
      </w:r>
      <w:r w:rsidR="007E57CB">
        <w:rPr>
          <w:sz w:val="20"/>
          <w:szCs w:val="20"/>
          <w:lang w:val="es-CR"/>
        </w:rPr>
        <w:t>” o “Colombia”)</w:t>
      </w:r>
      <w:r w:rsidR="00D15A71" w:rsidRPr="001618E6">
        <w:rPr>
          <w:sz w:val="20"/>
          <w:szCs w:val="20"/>
          <w:lang w:val="es-CR"/>
        </w:rPr>
        <w:t xml:space="preserve"> por</w:t>
      </w:r>
      <w:r w:rsidR="007178E1" w:rsidRPr="001618E6">
        <w:rPr>
          <w:sz w:val="20"/>
          <w:szCs w:val="20"/>
          <w:lang w:val="es-CR"/>
        </w:rPr>
        <w:t xml:space="preserve"> la detención y desaparición forzada </w:t>
      </w:r>
      <w:r w:rsidR="004C5BB0">
        <w:rPr>
          <w:sz w:val="20"/>
          <w:szCs w:val="20"/>
          <w:lang w:val="es-CR"/>
        </w:rPr>
        <w:t>de</w:t>
      </w:r>
      <w:r w:rsidR="00D13D56">
        <w:rPr>
          <w:sz w:val="20"/>
          <w:szCs w:val="20"/>
          <w:lang w:val="es-CR"/>
        </w:rPr>
        <w:t>l señor</w:t>
      </w:r>
      <w:r w:rsidR="007178E1" w:rsidRPr="001618E6">
        <w:rPr>
          <w:sz w:val="20"/>
          <w:szCs w:val="20"/>
          <w:lang w:val="es-CR"/>
        </w:rPr>
        <w:t xml:space="preserve"> Isidro Caballero Delgado y </w:t>
      </w:r>
      <w:r w:rsidR="00D13D56">
        <w:rPr>
          <w:sz w:val="20"/>
          <w:szCs w:val="20"/>
          <w:lang w:val="es-CR"/>
        </w:rPr>
        <w:t xml:space="preserve">la señora </w:t>
      </w:r>
      <w:r w:rsidR="007178E1" w:rsidRPr="001618E6">
        <w:rPr>
          <w:sz w:val="20"/>
          <w:szCs w:val="20"/>
          <w:lang w:val="es-CR"/>
        </w:rPr>
        <w:t xml:space="preserve">María del Carmen Santana </w:t>
      </w:r>
      <w:r w:rsidR="00D13D56">
        <w:rPr>
          <w:sz w:val="20"/>
          <w:szCs w:val="20"/>
          <w:lang w:val="es-CR"/>
        </w:rPr>
        <w:t xml:space="preserve">el 7 de febrero de 1989, </w:t>
      </w:r>
      <w:r w:rsidR="007178E1" w:rsidRPr="001618E6">
        <w:rPr>
          <w:sz w:val="20"/>
          <w:szCs w:val="20"/>
          <w:lang w:val="es-CR"/>
        </w:rPr>
        <w:t>por parte de miembros del Ejército colombiano y por civiles que actuaban como militares.</w:t>
      </w:r>
      <w:r w:rsidR="004C5BB0" w:rsidRPr="00D13D56">
        <w:rPr>
          <w:sz w:val="20"/>
          <w:szCs w:val="20"/>
          <w:lang w:val="es-CR"/>
        </w:rPr>
        <w:t xml:space="preserve"> </w:t>
      </w:r>
      <w:r w:rsidR="006A1EB6" w:rsidRPr="001618E6">
        <w:rPr>
          <w:sz w:val="20"/>
          <w:szCs w:val="20"/>
          <w:lang w:val="es-CR"/>
        </w:rPr>
        <w:t xml:space="preserve">La Corte </w:t>
      </w:r>
      <w:r w:rsidR="00D13D56">
        <w:rPr>
          <w:sz w:val="20"/>
          <w:szCs w:val="20"/>
          <w:lang w:val="es-CR"/>
        </w:rPr>
        <w:t xml:space="preserve">determinó que el Estado era </w:t>
      </w:r>
      <w:r w:rsidR="006A1EB6" w:rsidRPr="001618E6">
        <w:rPr>
          <w:sz w:val="20"/>
          <w:szCs w:val="20"/>
          <w:lang w:val="es-CR"/>
        </w:rPr>
        <w:t xml:space="preserve">responsable internacionalmente por la violación </w:t>
      </w:r>
      <w:r w:rsidR="00D13D56">
        <w:rPr>
          <w:sz w:val="20"/>
          <w:szCs w:val="20"/>
          <w:lang w:val="es-CR"/>
        </w:rPr>
        <w:t>de</w:t>
      </w:r>
      <w:r w:rsidR="007178E1" w:rsidRPr="001618E6">
        <w:rPr>
          <w:sz w:val="20"/>
          <w:szCs w:val="20"/>
          <w:lang w:val="es-CR"/>
        </w:rPr>
        <w:t xml:space="preserve"> los derechos a la </w:t>
      </w:r>
      <w:r w:rsidR="00D13D56">
        <w:rPr>
          <w:sz w:val="20"/>
          <w:szCs w:val="20"/>
          <w:lang w:val="es-CR"/>
        </w:rPr>
        <w:t xml:space="preserve">vida y a la </w:t>
      </w:r>
      <w:r w:rsidR="007178E1" w:rsidRPr="001618E6">
        <w:rPr>
          <w:sz w:val="20"/>
          <w:szCs w:val="20"/>
          <w:lang w:val="es-CR"/>
        </w:rPr>
        <w:t>libertad personal</w:t>
      </w:r>
      <w:r w:rsidR="00D13D56">
        <w:rPr>
          <w:sz w:val="20"/>
          <w:szCs w:val="20"/>
          <w:lang w:val="es-CR"/>
        </w:rPr>
        <w:t xml:space="preserve">, </w:t>
      </w:r>
      <w:r w:rsidR="007178E1" w:rsidRPr="001618E6">
        <w:rPr>
          <w:sz w:val="20"/>
          <w:szCs w:val="20"/>
          <w:lang w:val="es-CR"/>
        </w:rPr>
        <w:t xml:space="preserve">en perjuicio </w:t>
      </w:r>
      <w:r w:rsidR="006A1EB6" w:rsidRPr="001618E6">
        <w:rPr>
          <w:sz w:val="20"/>
          <w:szCs w:val="20"/>
          <w:lang w:val="es-CR"/>
        </w:rPr>
        <w:t>del señor</w:t>
      </w:r>
      <w:r w:rsidR="007178E1" w:rsidRPr="001618E6">
        <w:rPr>
          <w:sz w:val="20"/>
          <w:szCs w:val="20"/>
          <w:lang w:val="es-CR"/>
        </w:rPr>
        <w:t xml:space="preserve"> Caballero </w:t>
      </w:r>
      <w:r w:rsidR="00D13D56">
        <w:rPr>
          <w:sz w:val="20"/>
          <w:szCs w:val="20"/>
          <w:lang w:val="es-CR"/>
        </w:rPr>
        <w:t xml:space="preserve">Delgado </w:t>
      </w:r>
      <w:r w:rsidR="006A1EB6" w:rsidRPr="001618E6">
        <w:rPr>
          <w:sz w:val="20"/>
          <w:szCs w:val="20"/>
          <w:lang w:val="es-CR"/>
        </w:rPr>
        <w:t>y de la señora</w:t>
      </w:r>
      <w:r w:rsidR="007178E1" w:rsidRPr="001618E6">
        <w:rPr>
          <w:sz w:val="20"/>
          <w:szCs w:val="20"/>
          <w:lang w:val="es-CR"/>
        </w:rPr>
        <w:t xml:space="preserve"> Santana</w:t>
      </w:r>
      <w:r w:rsidR="006A1EB6" w:rsidRPr="001618E6">
        <w:rPr>
          <w:sz w:val="20"/>
          <w:szCs w:val="20"/>
          <w:lang w:val="es-CR"/>
        </w:rPr>
        <w:t>. En virtud de lo anterior, el Tribunal ordenó</w:t>
      </w:r>
      <w:r w:rsidR="00EE469E" w:rsidRPr="001618E6">
        <w:rPr>
          <w:sz w:val="20"/>
          <w:szCs w:val="20"/>
          <w:lang w:val="es-CR"/>
        </w:rPr>
        <w:t xml:space="preserve"> al Estado determinadas medidas de reparación (</w:t>
      </w:r>
      <w:r w:rsidR="00EE469E" w:rsidRPr="001618E6">
        <w:rPr>
          <w:i/>
          <w:sz w:val="20"/>
          <w:szCs w:val="20"/>
          <w:lang w:val="es-CR"/>
        </w:rPr>
        <w:t>infra</w:t>
      </w:r>
      <w:r w:rsidR="0076796B">
        <w:rPr>
          <w:sz w:val="20"/>
          <w:szCs w:val="20"/>
          <w:lang w:val="es-CR"/>
        </w:rPr>
        <w:t xml:space="preserve"> C</w:t>
      </w:r>
      <w:r w:rsidR="00EE469E" w:rsidRPr="001618E6">
        <w:rPr>
          <w:sz w:val="20"/>
          <w:szCs w:val="20"/>
          <w:lang w:val="es-CR"/>
        </w:rPr>
        <w:t>onsiderando 1).</w:t>
      </w:r>
      <w:r w:rsidR="00D13D56">
        <w:rPr>
          <w:sz w:val="20"/>
          <w:szCs w:val="20"/>
          <w:lang w:val="es-CR"/>
        </w:rPr>
        <w:t xml:space="preserve"> </w:t>
      </w:r>
    </w:p>
    <w:p w:rsidR="002C343E" w:rsidRPr="002C343E" w:rsidRDefault="002C343E" w:rsidP="002C343E">
      <w:pPr>
        <w:pStyle w:val="Listavistosa-nfasis12"/>
        <w:spacing w:after="0" w:line="240" w:lineRule="auto"/>
        <w:ind w:left="0"/>
        <w:contextualSpacing w:val="0"/>
        <w:rPr>
          <w:color w:val="000000"/>
          <w:sz w:val="20"/>
          <w:szCs w:val="20"/>
          <w:shd w:val="clear" w:color="auto" w:fill="FFFFFF"/>
          <w:lang w:val="es-CR"/>
        </w:rPr>
      </w:pPr>
    </w:p>
    <w:p w:rsidR="002C343E" w:rsidRPr="001618E6" w:rsidRDefault="002C343E" w:rsidP="006E0F3F">
      <w:pPr>
        <w:pStyle w:val="Listavistosa-nfasis12"/>
        <w:numPr>
          <w:ilvl w:val="0"/>
          <w:numId w:val="1"/>
        </w:numPr>
        <w:spacing w:after="0" w:line="240" w:lineRule="auto"/>
        <w:ind w:left="0" w:firstLine="0"/>
        <w:contextualSpacing w:val="0"/>
        <w:rPr>
          <w:color w:val="000000"/>
          <w:sz w:val="20"/>
          <w:szCs w:val="20"/>
          <w:shd w:val="clear" w:color="auto" w:fill="FFFFFF"/>
          <w:lang w:val="es-CR"/>
        </w:rPr>
      </w:pPr>
      <w:r>
        <w:rPr>
          <w:color w:val="000000"/>
          <w:sz w:val="20"/>
          <w:szCs w:val="20"/>
          <w:shd w:val="clear" w:color="auto" w:fill="FFFFFF"/>
          <w:lang w:val="es-CR"/>
        </w:rPr>
        <w:t xml:space="preserve">Las </w:t>
      </w:r>
      <w:r w:rsidR="0017706D">
        <w:rPr>
          <w:color w:val="000000"/>
          <w:sz w:val="20"/>
          <w:szCs w:val="20"/>
          <w:shd w:val="clear" w:color="auto" w:fill="FFFFFF"/>
          <w:lang w:val="es-CR"/>
        </w:rPr>
        <w:t>cinco</w:t>
      </w:r>
      <w:r w:rsidR="0027431B">
        <w:rPr>
          <w:color w:val="000000"/>
          <w:sz w:val="20"/>
          <w:szCs w:val="20"/>
          <w:shd w:val="clear" w:color="auto" w:fill="FFFFFF"/>
          <w:lang w:val="es-CR"/>
        </w:rPr>
        <w:t xml:space="preserve"> </w:t>
      </w:r>
      <w:r>
        <w:rPr>
          <w:color w:val="000000"/>
          <w:sz w:val="20"/>
          <w:szCs w:val="20"/>
          <w:shd w:val="clear" w:color="auto" w:fill="FFFFFF"/>
          <w:lang w:val="es-CR"/>
        </w:rPr>
        <w:t>Resoluciones de supervisión de cumplimiento de sentencia emitidas</w:t>
      </w:r>
      <w:r w:rsidR="002B1661">
        <w:rPr>
          <w:color w:val="000000"/>
          <w:sz w:val="20"/>
          <w:szCs w:val="20"/>
          <w:shd w:val="clear" w:color="auto" w:fill="FFFFFF"/>
          <w:lang w:val="es-CR"/>
        </w:rPr>
        <w:t xml:space="preserve"> por la Corte </w:t>
      </w:r>
      <w:r w:rsidR="0027431B">
        <w:rPr>
          <w:color w:val="000000"/>
          <w:sz w:val="20"/>
          <w:szCs w:val="20"/>
          <w:shd w:val="clear" w:color="auto" w:fill="FFFFFF"/>
          <w:lang w:val="es-CR"/>
        </w:rPr>
        <w:t>los días 27 de noviembre de 2002, 27 de noviembre de 2003, 6 de febrero de 2008, 17 de noviembre de 2009 y 27 de febrero de 2012</w:t>
      </w:r>
      <w:r w:rsidR="0027431B">
        <w:rPr>
          <w:rStyle w:val="Refdenotaalpie"/>
          <w:color w:val="000000"/>
          <w:sz w:val="20"/>
          <w:szCs w:val="20"/>
          <w:shd w:val="clear" w:color="auto" w:fill="FFFFFF"/>
          <w:lang w:val="es-CR"/>
        </w:rPr>
        <w:footnoteReference w:id="4"/>
      </w:r>
      <w:r w:rsidR="0027431B">
        <w:rPr>
          <w:color w:val="000000"/>
          <w:sz w:val="20"/>
          <w:szCs w:val="20"/>
          <w:shd w:val="clear" w:color="auto" w:fill="FFFFFF"/>
          <w:lang w:val="es-CR"/>
        </w:rPr>
        <w:t>.</w:t>
      </w:r>
    </w:p>
    <w:p w:rsidR="005B54DD" w:rsidRPr="001618E6" w:rsidRDefault="005B54DD" w:rsidP="005B54DD">
      <w:pPr>
        <w:pStyle w:val="Listavistosa-nfasis12"/>
        <w:spacing w:after="0" w:line="240" w:lineRule="auto"/>
        <w:ind w:left="0"/>
        <w:contextualSpacing w:val="0"/>
        <w:rPr>
          <w:color w:val="000000"/>
          <w:sz w:val="20"/>
          <w:szCs w:val="20"/>
          <w:shd w:val="clear" w:color="auto" w:fill="FFFFFF"/>
          <w:lang w:val="es-CR"/>
        </w:rPr>
      </w:pPr>
    </w:p>
    <w:p w:rsidR="00E410FD" w:rsidRPr="001618E6" w:rsidRDefault="00E410FD" w:rsidP="005B54DD">
      <w:pPr>
        <w:pStyle w:val="Listavistosa-nfasis12"/>
        <w:numPr>
          <w:ilvl w:val="0"/>
          <w:numId w:val="1"/>
        </w:numPr>
        <w:spacing w:after="0" w:line="240" w:lineRule="auto"/>
        <w:ind w:left="0" w:firstLine="0"/>
        <w:contextualSpacing w:val="0"/>
        <w:rPr>
          <w:color w:val="000000"/>
          <w:sz w:val="20"/>
          <w:szCs w:val="20"/>
          <w:shd w:val="clear" w:color="auto" w:fill="FFFFFF"/>
          <w:lang w:val="es-CR"/>
        </w:rPr>
      </w:pPr>
      <w:r w:rsidRPr="001618E6">
        <w:rPr>
          <w:sz w:val="20"/>
          <w:lang w:val="es-CR"/>
        </w:rPr>
        <w:t xml:space="preserve">Los informes presentados por el Estado entre </w:t>
      </w:r>
      <w:r w:rsidR="00797625" w:rsidRPr="001618E6">
        <w:rPr>
          <w:sz w:val="20"/>
          <w:lang w:val="es-CR"/>
        </w:rPr>
        <w:t>septiembre</w:t>
      </w:r>
      <w:r w:rsidRPr="001618E6">
        <w:rPr>
          <w:sz w:val="20"/>
          <w:lang w:val="es-CR"/>
        </w:rPr>
        <w:t xml:space="preserve"> de </w:t>
      </w:r>
      <w:r w:rsidR="00797625" w:rsidRPr="001618E6">
        <w:rPr>
          <w:sz w:val="20"/>
          <w:lang w:val="es-CR"/>
        </w:rPr>
        <w:t>2012</w:t>
      </w:r>
      <w:r w:rsidRPr="001618E6">
        <w:rPr>
          <w:sz w:val="20"/>
          <w:lang w:val="es-CR"/>
        </w:rPr>
        <w:t xml:space="preserve"> y </w:t>
      </w:r>
      <w:r w:rsidR="00797625" w:rsidRPr="001618E6">
        <w:rPr>
          <w:sz w:val="20"/>
          <w:lang w:val="es-CR"/>
        </w:rPr>
        <w:t>marzo</w:t>
      </w:r>
      <w:r w:rsidRPr="001618E6">
        <w:rPr>
          <w:sz w:val="20"/>
          <w:lang w:val="es-CR"/>
        </w:rPr>
        <w:t xml:space="preserve"> de </w:t>
      </w:r>
      <w:r w:rsidR="0097417E" w:rsidRPr="001618E6">
        <w:rPr>
          <w:sz w:val="20"/>
          <w:lang w:val="es-CR"/>
        </w:rPr>
        <w:t>2019.</w:t>
      </w:r>
    </w:p>
    <w:p w:rsidR="005B54DD" w:rsidRPr="001618E6" w:rsidRDefault="005B54DD" w:rsidP="005B54DD">
      <w:pPr>
        <w:pStyle w:val="Listavistosa-nfasis12"/>
        <w:spacing w:after="0" w:line="240" w:lineRule="auto"/>
        <w:ind w:left="0"/>
        <w:contextualSpacing w:val="0"/>
        <w:rPr>
          <w:color w:val="000000"/>
          <w:sz w:val="20"/>
          <w:szCs w:val="20"/>
          <w:shd w:val="clear" w:color="auto" w:fill="FFFFFF"/>
          <w:lang w:val="es-CR"/>
        </w:rPr>
      </w:pPr>
    </w:p>
    <w:p w:rsidR="00E96F7A" w:rsidRPr="001618E6" w:rsidRDefault="00E96F7A" w:rsidP="005B54DD">
      <w:pPr>
        <w:pStyle w:val="Listavistosa-nfasis12"/>
        <w:numPr>
          <w:ilvl w:val="0"/>
          <w:numId w:val="1"/>
        </w:numPr>
        <w:spacing w:after="0" w:line="240" w:lineRule="auto"/>
        <w:ind w:left="0" w:firstLine="0"/>
        <w:contextualSpacing w:val="0"/>
        <w:rPr>
          <w:color w:val="000000"/>
          <w:sz w:val="20"/>
          <w:szCs w:val="20"/>
          <w:shd w:val="clear" w:color="auto" w:fill="FFFFFF"/>
          <w:lang w:val="es-CR"/>
        </w:rPr>
      </w:pPr>
      <w:r w:rsidRPr="001618E6">
        <w:rPr>
          <w:color w:val="000000"/>
          <w:sz w:val="20"/>
          <w:szCs w:val="20"/>
          <w:shd w:val="clear" w:color="auto" w:fill="FFFFFF"/>
          <w:lang w:val="es-CR"/>
        </w:rPr>
        <w:t xml:space="preserve">Los escritos de observaciones presentados por </w:t>
      </w:r>
      <w:r w:rsidR="00576560" w:rsidRPr="001618E6">
        <w:rPr>
          <w:color w:val="000000"/>
          <w:sz w:val="20"/>
          <w:szCs w:val="20"/>
          <w:shd w:val="clear" w:color="auto" w:fill="FFFFFF"/>
          <w:lang w:val="es-CR"/>
        </w:rPr>
        <w:t>los</w:t>
      </w:r>
      <w:r w:rsidRPr="001618E6">
        <w:rPr>
          <w:color w:val="000000"/>
          <w:sz w:val="20"/>
          <w:szCs w:val="20"/>
          <w:shd w:val="clear" w:color="auto" w:fill="FFFFFF"/>
          <w:lang w:val="es-CR"/>
        </w:rPr>
        <w:t xml:space="preserve"> representante</w:t>
      </w:r>
      <w:r w:rsidR="00576560" w:rsidRPr="001618E6">
        <w:rPr>
          <w:color w:val="000000"/>
          <w:sz w:val="20"/>
          <w:szCs w:val="20"/>
          <w:shd w:val="clear" w:color="auto" w:fill="FFFFFF"/>
          <w:lang w:val="es-CR"/>
        </w:rPr>
        <w:t>s</w:t>
      </w:r>
      <w:r w:rsidRPr="001618E6">
        <w:rPr>
          <w:color w:val="000000"/>
          <w:sz w:val="20"/>
          <w:szCs w:val="20"/>
          <w:shd w:val="clear" w:color="auto" w:fill="FFFFFF"/>
          <w:lang w:val="es-CR"/>
        </w:rPr>
        <w:t xml:space="preserve"> de la</w:t>
      </w:r>
      <w:r w:rsidR="00576560" w:rsidRPr="001618E6">
        <w:rPr>
          <w:color w:val="000000"/>
          <w:sz w:val="20"/>
          <w:szCs w:val="20"/>
          <w:shd w:val="clear" w:color="auto" w:fill="FFFFFF"/>
          <w:lang w:val="es-CR"/>
        </w:rPr>
        <w:t>s</w:t>
      </w:r>
      <w:r w:rsidRPr="001618E6">
        <w:rPr>
          <w:color w:val="000000"/>
          <w:sz w:val="20"/>
          <w:szCs w:val="20"/>
          <w:shd w:val="clear" w:color="auto" w:fill="FFFFFF"/>
          <w:lang w:val="es-CR"/>
        </w:rPr>
        <w:t xml:space="preserve"> víctima</w:t>
      </w:r>
      <w:r w:rsidR="00576560" w:rsidRPr="001618E6">
        <w:rPr>
          <w:color w:val="000000"/>
          <w:sz w:val="20"/>
          <w:szCs w:val="20"/>
          <w:shd w:val="clear" w:color="auto" w:fill="FFFFFF"/>
          <w:lang w:val="es-CR"/>
        </w:rPr>
        <w:t>s</w:t>
      </w:r>
      <w:r w:rsidRPr="001618E6">
        <w:rPr>
          <w:color w:val="000000"/>
          <w:sz w:val="20"/>
          <w:szCs w:val="20"/>
          <w:shd w:val="clear" w:color="auto" w:fill="FFFFFF"/>
          <w:lang w:val="es-CR"/>
        </w:rPr>
        <w:t xml:space="preserve"> (en adelante “</w:t>
      </w:r>
      <w:r w:rsidR="00C57014" w:rsidRPr="001618E6">
        <w:rPr>
          <w:color w:val="000000"/>
          <w:sz w:val="20"/>
          <w:szCs w:val="20"/>
          <w:shd w:val="clear" w:color="auto" w:fill="FFFFFF"/>
          <w:lang w:val="es-CR"/>
        </w:rPr>
        <w:t>l</w:t>
      </w:r>
      <w:r w:rsidR="00576560" w:rsidRPr="001618E6">
        <w:rPr>
          <w:color w:val="000000"/>
          <w:sz w:val="20"/>
          <w:szCs w:val="20"/>
          <w:shd w:val="clear" w:color="auto" w:fill="FFFFFF"/>
          <w:lang w:val="es-CR"/>
        </w:rPr>
        <w:t>os</w:t>
      </w:r>
      <w:r w:rsidRPr="001618E6">
        <w:rPr>
          <w:color w:val="000000"/>
          <w:sz w:val="20"/>
          <w:szCs w:val="20"/>
          <w:shd w:val="clear" w:color="auto" w:fill="FFFFFF"/>
          <w:lang w:val="es-CR"/>
        </w:rPr>
        <w:t xml:space="preserve"> representantes”)</w:t>
      </w:r>
      <w:r w:rsidRPr="001618E6">
        <w:rPr>
          <w:rStyle w:val="Refdenotaalpie"/>
          <w:color w:val="000000"/>
          <w:sz w:val="20"/>
          <w:szCs w:val="20"/>
          <w:shd w:val="clear" w:color="auto" w:fill="FFFFFF"/>
          <w:lang w:val="es-CR"/>
        </w:rPr>
        <w:footnoteReference w:id="5"/>
      </w:r>
      <w:r w:rsidR="00D53BD8" w:rsidRPr="001618E6">
        <w:rPr>
          <w:color w:val="000000"/>
          <w:sz w:val="20"/>
          <w:szCs w:val="20"/>
          <w:shd w:val="clear" w:color="auto" w:fill="FFFFFF"/>
          <w:lang w:val="es-CR"/>
        </w:rPr>
        <w:t xml:space="preserve"> entre octubre</w:t>
      </w:r>
      <w:r w:rsidR="00072210" w:rsidRPr="001618E6">
        <w:rPr>
          <w:sz w:val="20"/>
          <w:lang w:val="es-CR"/>
        </w:rPr>
        <w:t xml:space="preserve"> de </w:t>
      </w:r>
      <w:r w:rsidR="00D53BD8" w:rsidRPr="001618E6">
        <w:rPr>
          <w:sz w:val="20"/>
          <w:lang w:val="es-CR"/>
        </w:rPr>
        <w:t>2012</w:t>
      </w:r>
      <w:r w:rsidR="00576560" w:rsidRPr="001618E6">
        <w:rPr>
          <w:sz w:val="20"/>
          <w:lang w:val="es-CR"/>
        </w:rPr>
        <w:t xml:space="preserve"> y </w:t>
      </w:r>
      <w:r w:rsidR="00D53BD8" w:rsidRPr="001618E6">
        <w:rPr>
          <w:sz w:val="20"/>
          <w:lang w:val="es-CR"/>
        </w:rPr>
        <w:t>abril</w:t>
      </w:r>
      <w:r w:rsidR="00072210" w:rsidRPr="001618E6">
        <w:rPr>
          <w:sz w:val="20"/>
          <w:lang w:val="es-CR"/>
        </w:rPr>
        <w:t xml:space="preserve"> de </w:t>
      </w:r>
      <w:r w:rsidR="00576560" w:rsidRPr="001618E6">
        <w:rPr>
          <w:sz w:val="20"/>
          <w:lang w:val="es-CR"/>
        </w:rPr>
        <w:t>2019</w:t>
      </w:r>
      <w:r w:rsidRPr="001618E6">
        <w:rPr>
          <w:color w:val="000000"/>
          <w:sz w:val="20"/>
          <w:szCs w:val="20"/>
          <w:shd w:val="clear" w:color="auto" w:fill="FFFFFF"/>
          <w:lang w:val="es-CR"/>
        </w:rPr>
        <w:t>.</w:t>
      </w:r>
    </w:p>
    <w:p w:rsidR="00E73730" w:rsidRPr="001618E6" w:rsidRDefault="00E73730" w:rsidP="00E73730">
      <w:pPr>
        <w:pStyle w:val="Listavistosa-nfasis12"/>
        <w:spacing w:after="0" w:line="240" w:lineRule="auto"/>
        <w:ind w:left="0"/>
        <w:contextualSpacing w:val="0"/>
        <w:rPr>
          <w:color w:val="000000"/>
          <w:sz w:val="20"/>
          <w:szCs w:val="20"/>
          <w:shd w:val="clear" w:color="auto" w:fill="FFFFFF"/>
          <w:lang w:val="es-CR"/>
        </w:rPr>
      </w:pPr>
    </w:p>
    <w:p w:rsidR="00D67FF7" w:rsidRPr="001618E6" w:rsidRDefault="00D53BD8" w:rsidP="005B54DD">
      <w:pPr>
        <w:pStyle w:val="Listavistosa-nfasis12"/>
        <w:numPr>
          <w:ilvl w:val="0"/>
          <w:numId w:val="1"/>
        </w:numPr>
        <w:spacing w:after="0" w:line="240" w:lineRule="auto"/>
        <w:ind w:left="0" w:firstLine="0"/>
        <w:contextualSpacing w:val="0"/>
        <w:rPr>
          <w:color w:val="000000"/>
          <w:sz w:val="20"/>
          <w:szCs w:val="20"/>
          <w:shd w:val="clear" w:color="auto" w:fill="FFFFFF"/>
          <w:lang w:val="es-CR"/>
        </w:rPr>
      </w:pPr>
      <w:r w:rsidRPr="001618E6">
        <w:rPr>
          <w:color w:val="000000"/>
          <w:sz w:val="20"/>
          <w:szCs w:val="20"/>
          <w:shd w:val="clear" w:color="auto" w:fill="FFFFFF"/>
          <w:lang w:val="es-CR"/>
        </w:rPr>
        <w:lastRenderedPageBreak/>
        <w:t>Los escritos</w:t>
      </w:r>
      <w:r w:rsidR="00E73730" w:rsidRPr="001618E6">
        <w:rPr>
          <w:color w:val="000000"/>
          <w:sz w:val="20"/>
          <w:szCs w:val="20"/>
          <w:shd w:val="clear" w:color="auto" w:fill="FFFFFF"/>
          <w:lang w:val="es-CR"/>
        </w:rPr>
        <w:t xml:space="preserve"> de observaciones presentado</w:t>
      </w:r>
      <w:r w:rsidR="002B1661">
        <w:rPr>
          <w:color w:val="000000"/>
          <w:sz w:val="20"/>
          <w:szCs w:val="20"/>
          <w:shd w:val="clear" w:color="auto" w:fill="FFFFFF"/>
          <w:lang w:val="es-CR"/>
        </w:rPr>
        <w:t>s</w:t>
      </w:r>
      <w:r w:rsidR="00E73730" w:rsidRPr="001618E6">
        <w:rPr>
          <w:color w:val="000000"/>
          <w:sz w:val="20"/>
          <w:szCs w:val="20"/>
          <w:shd w:val="clear" w:color="auto" w:fill="FFFFFF"/>
          <w:lang w:val="es-CR"/>
        </w:rPr>
        <w:t xml:space="preserve"> por la Comisión Interamericana de Derechos Humanos (en adelante </w:t>
      </w:r>
      <w:r w:rsidR="00FB6AC6">
        <w:rPr>
          <w:color w:val="000000"/>
          <w:sz w:val="20"/>
          <w:szCs w:val="20"/>
          <w:shd w:val="clear" w:color="auto" w:fill="FFFFFF"/>
          <w:lang w:val="es-CR"/>
        </w:rPr>
        <w:t xml:space="preserve">“la Comisión” o </w:t>
      </w:r>
      <w:r w:rsidR="00C57014" w:rsidRPr="001618E6">
        <w:rPr>
          <w:color w:val="000000"/>
          <w:sz w:val="20"/>
          <w:szCs w:val="20"/>
          <w:shd w:val="clear" w:color="auto" w:fill="FFFFFF"/>
          <w:lang w:val="es-CR"/>
        </w:rPr>
        <w:t xml:space="preserve">“la Comisión Interamericana”) </w:t>
      </w:r>
      <w:r w:rsidRPr="001618E6">
        <w:rPr>
          <w:color w:val="000000"/>
          <w:sz w:val="20"/>
          <w:szCs w:val="20"/>
          <w:shd w:val="clear" w:color="auto" w:fill="FFFFFF"/>
          <w:lang w:val="es-CR"/>
        </w:rPr>
        <w:t>entre noviembre de 2012 y julio de 2019.</w:t>
      </w:r>
    </w:p>
    <w:p w:rsidR="00D67FF7" w:rsidRPr="00982566" w:rsidRDefault="00D67FF7" w:rsidP="00982566">
      <w:pPr>
        <w:pStyle w:val="Refdenotaalpie"/>
        <w:spacing w:after="0" w:line="240" w:lineRule="auto"/>
        <w:jc w:val="both"/>
        <w:rPr>
          <w:lang w:val="es-CR"/>
        </w:rPr>
      </w:pPr>
    </w:p>
    <w:p w:rsidR="00D53BD8" w:rsidRPr="00982566" w:rsidRDefault="00FB6AC6" w:rsidP="005B54DD">
      <w:pPr>
        <w:pStyle w:val="Listavistosa-nfasis12"/>
        <w:numPr>
          <w:ilvl w:val="0"/>
          <w:numId w:val="1"/>
        </w:numPr>
        <w:spacing w:after="0" w:line="240" w:lineRule="auto"/>
        <w:ind w:left="0" w:firstLine="0"/>
        <w:contextualSpacing w:val="0"/>
        <w:rPr>
          <w:color w:val="000000"/>
          <w:sz w:val="20"/>
          <w:szCs w:val="20"/>
          <w:shd w:val="clear" w:color="auto" w:fill="FFFFFF"/>
          <w:lang w:val="es-CR"/>
        </w:rPr>
      </w:pPr>
      <w:r w:rsidRPr="00FB6AC6">
        <w:rPr>
          <w:sz w:val="20"/>
          <w:szCs w:val="20"/>
          <w:lang w:val="es-CR"/>
        </w:rPr>
        <w:t>El informe presentado por la Defensoría del Pueblo de la República de Colombia el 14 de mayo de 2019</w:t>
      </w:r>
      <w:r w:rsidRPr="001A64FD">
        <w:rPr>
          <w:rStyle w:val="Refdenotaalpie"/>
          <w:sz w:val="20"/>
          <w:szCs w:val="20"/>
        </w:rPr>
        <w:footnoteReference w:id="6"/>
      </w:r>
      <w:r w:rsidRPr="00FB6AC6">
        <w:rPr>
          <w:sz w:val="20"/>
          <w:szCs w:val="20"/>
          <w:lang w:val="es-CR"/>
        </w:rPr>
        <w:t xml:space="preserve"> (</w:t>
      </w:r>
      <w:r w:rsidRPr="00FB6AC6">
        <w:rPr>
          <w:i/>
          <w:sz w:val="20"/>
          <w:szCs w:val="20"/>
          <w:lang w:val="es-CR"/>
        </w:rPr>
        <w:t>infra</w:t>
      </w:r>
      <w:r w:rsidRPr="00FB6AC6">
        <w:rPr>
          <w:sz w:val="20"/>
          <w:szCs w:val="20"/>
          <w:lang w:val="es-CR"/>
        </w:rPr>
        <w:t xml:space="preserve"> Considerando</w:t>
      </w:r>
      <w:r w:rsidR="00F534B5">
        <w:rPr>
          <w:sz w:val="20"/>
          <w:szCs w:val="20"/>
          <w:lang w:val="es-CR"/>
        </w:rPr>
        <w:t>s 3 y</w:t>
      </w:r>
      <w:r w:rsidRPr="00FB6AC6">
        <w:rPr>
          <w:sz w:val="20"/>
          <w:szCs w:val="20"/>
          <w:lang w:val="es-CR"/>
        </w:rPr>
        <w:t xml:space="preserve"> </w:t>
      </w:r>
      <w:r>
        <w:rPr>
          <w:sz w:val="20"/>
          <w:szCs w:val="20"/>
          <w:lang w:val="es-CR"/>
        </w:rPr>
        <w:t>14</w:t>
      </w:r>
      <w:r w:rsidRPr="00FB6AC6">
        <w:rPr>
          <w:sz w:val="20"/>
          <w:szCs w:val="20"/>
          <w:lang w:val="es-CR"/>
        </w:rPr>
        <w:t>)</w:t>
      </w:r>
      <w:r w:rsidR="00D67FF7" w:rsidRPr="00982566">
        <w:rPr>
          <w:sz w:val="20"/>
          <w:szCs w:val="20"/>
          <w:lang w:val="es-CR"/>
        </w:rPr>
        <w:t>.</w:t>
      </w:r>
    </w:p>
    <w:p w:rsidR="00340BD2" w:rsidRPr="001618E6" w:rsidRDefault="00340BD2" w:rsidP="005B54DD">
      <w:pPr>
        <w:pStyle w:val="Listavistosa-nfasis12"/>
        <w:spacing w:after="0" w:line="240" w:lineRule="auto"/>
        <w:ind w:left="0"/>
        <w:contextualSpacing w:val="0"/>
        <w:rPr>
          <w:b/>
          <w:szCs w:val="16"/>
          <w:lang w:val="es-CR"/>
        </w:rPr>
      </w:pPr>
    </w:p>
    <w:p w:rsidR="00253240" w:rsidRPr="001618E6" w:rsidRDefault="005921C0" w:rsidP="005B54DD">
      <w:pPr>
        <w:pStyle w:val="Listavistosa-nfasis12"/>
        <w:spacing w:after="0" w:line="240" w:lineRule="auto"/>
        <w:ind w:left="0"/>
        <w:contextualSpacing w:val="0"/>
        <w:rPr>
          <w:b/>
          <w:sz w:val="20"/>
          <w:lang w:val="es-MX"/>
        </w:rPr>
      </w:pPr>
      <w:r w:rsidRPr="001618E6">
        <w:rPr>
          <w:b/>
          <w:sz w:val="20"/>
          <w:szCs w:val="20"/>
          <w:lang w:val="es-CR"/>
        </w:rPr>
        <w:t>C</w:t>
      </w:r>
      <w:r w:rsidR="008F5FD0" w:rsidRPr="001618E6">
        <w:rPr>
          <w:b/>
          <w:sz w:val="20"/>
          <w:lang w:val="es-MX"/>
        </w:rPr>
        <w:t xml:space="preserve">ONSIDERANDO QUE: </w:t>
      </w:r>
    </w:p>
    <w:p w:rsidR="005B54DD" w:rsidRPr="001618E6" w:rsidRDefault="005B54DD" w:rsidP="005B54DD">
      <w:pPr>
        <w:pStyle w:val="Listavistosa-nfasis12"/>
        <w:spacing w:after="0" w:line="240" w:lineRule="auto"/>
        <w:ind w:left="0"/>
        <w:contextualSpacing w:val="0"/>
        <w:rPr>
          <w:b/>
          <w:sz w:val="20"/>
          <w:lang w:val="es-MX"/>
        </w:rPr>
      </w:pPr>
    </w:p>
    <w:p w:rsidR="00612C47" w:rsidRPr="001618E6" w:rsidRDefault="008F5FD0" w:rsidP="005367A9">
      <w:pPr>
        <w:pStyle w:val="Listavistosa-nfasis12"/>
        <w:numPr>
          <w:ilvl w:val="0"/>
          <w:numId w:val="2"/>
        </w:numPr>
        <w:spacing w:after="0" w:line="240" w:lineRule="auto"/>
        <w:ind w:left="0" w:firstLine="0"/>
        <w:contextualSpacing w:val="0"/>
        <w:rPr>
          <w:b/>
          <w:sz w:val="20"/>
          <w:lang w:val="es-MX"/>
        </w:rPr>
      </w:pPr>
      <w:r w:rsidRPr="001618E6">
        <w:rPr>
          <w:sz w:val="20"/>
          <w:lang w:val="es-CR"/>
        </w:rPr>
        <w:t xml:space="preserve">En el ejercicio de </w:t>
      </w:r>
      <w:r w:rsidRPr="001618E6">
        <w:rPr>
          <w:sz w:val="20"/>
          <w:lang w:val="es-ES"/>
        </w:rPr>
        <w:t xml:space="preserve">su función jurisdiccional de </w:t>
      </w:r>
      <w:r w:rsidRPr="001618E6">
        <w:rPr>
          <w:sz w:val="20"/>
          <w:lang w:val="es-CR"/>
        </w:rPr>
        <w:t>supervisar el cumplimiento de sus decisiones</w:t>
      </w:r>
      <w:r w:rsidRPr="001618E6">
        <w:rPr>
          <w:rStyle w:val="Refdenotaalpie"/>
          <w:sz w:val="20"/>
        </w:rPr>
        <w:footnoteReference w:id="7"/>
      </w:r>
      <w:r w:rsidRPr="001618E6">
        <w:rPr>
          <w:sz w:val="20"/>
          <w:lang w:val="es-CR"/>
        </w:rPr>
        <w:t xml:space="preserve">, la Corte ha venido </w:t>
      </w:r>
      <w:r w:rsidR="00253240" w:rsidRPr="001618E6">
        <w:rPr>
          <w:sz w:val="20"/>
          <w:lang w:val="es-CR"/>
        </w:rPr>
        <w:t>supervisando</w:t>
      </w:r>
      <w:r w:rsidRPr="001618E6">
        <w:rPr>
          <w:sz w:val="20"/>
          <w:lang w:val="es-CR"/>
        </w:rPr>
        <w:t xml:space="preserve"> la ejecución de la Sentencia </w:t>
      </w:r>
      <w:r w:rsidR="00C76406" w:rsidRPr="001618E6">
        <w:rPr>
          <w:sz w:val="20"/>
          <w:lang w:val="es-CR"/>
        </w:rPr>
        <w:t xml:space="preserve">y la Sentencia de reparaciones emitidas </w:t>
      </w:r>
      <w:r w:rsidR="00CE3157" w:rsidRPr="001618E6">
        <w:rPr>
          <w:sz w:val="20"/>
          <w:lang w:val="es-MX"/>
        </w:rPr>
        <w:t xml:space="preserve">hace más de </w:t>
      </w:r>
      <w:r w:rsidR="00D16219">
        <w:rPr>
          <w:sz w:val="20"/>
          <w:lang w:val="es-MX"/>
        </w:rPr>
        <w:t>23</w:t>
      </w:r>
      <w:r w:rsidR="00CE3157" w:rsidRPr="001618E6">
        <w:rPr>
          <w:sz w:val="20"/>
          <w:lang w:val="es-MX"/>
        </w:rPr>
        <w:t xml:space="preserve"> años</w:t>
      </w:r>
      <w:r w:rsidR="00340BD2" w:rsidRPr="001618E6">
        <w:rPr>
          <w:sz w:val="20"/>
          <w:lang w:val="es-MX"/>
        </w:rPr>
        <w:t xml:space="preserve"> </w:t>
      </w:r>
      <w:r w:rsidRPr="001618E6">
        <w:rPr>
          <w:sz w:val="20"/>
          <w:lang w:val="es-MX"/>
        </w:rPr>
        <w:t>(</w:t>
      </w:r>
      <w:r w:rsidRPr="001618E6">
        <w:rPr>
          <w:i/>
          <w:sz w:val="20"/>
          <w:lang w:val="es-MX"/>
        </w:rPr>
        <w:t>supra</w:t>
      </w:r>
      <w:r w:rsidRPr="001618E6">
        <w:rPr>
          <w:sz w:val="20"/>
          <w:lang w:val="es-MX"/>
        </w:rPr>
        <w:t xml:space="preserve"> Visto </w:t>
      </w:r>
      <w:r w:rsidR="008E283B" w:rsidRPr="001618E6">
        <w:rPr>
          <w:sz w:val="20"/>
          <w:lang w:val="es-MX"/>
        </w:rPr>
        <w:t xml:space="preserve">1). </w:t>
      </w:r>
      <w:r w:rsidR="002F61B1">
        <w:rPr>
          <w:sz w:val="20"/>
          <w:szCs w:val="20"/>
          <w:lang w:val="es-CR"/>
        </w:rPr>
        <w:t xml:space="preserve">El Tribunal ha emitido </w:t>
      </w:r>
      <w:r w:rsidR="00B44AF4">
        <w:rPr>
          <w:sz w:val="20"/>
          <w:szCs w:val="20"/>
          <w:lang w:val="es-CR"/>
        </w:rPr>
        <w:t>cinco</w:t>
      </w:r>
      <w:r w:rsidR="002F61B1">
        <w:rPr>
          <w:sz w:val="20"/>
          <w:szCs w:val="20"/>
          <w:lang w:val="es-CR"/>
        </w:rPr>
        <w:t xml:space="preserve"> resoluciones de supervisión de cumplimiento entre los años 2002 y 2012 (</w:t>
      </w:r>
      <w:r w:rsidR="002F61B1">
        <w:rPr>
          <w:i/>
          <w:sz w:val="20"/>
          <w:szCs w:val="20"/>
          <w:lang w:val="es-CR"/>
        </w:rPr>
        <w:t xml:space="preserve">supra </w:t>
      </w:r>
      <w:r w:rsidR="00D16219">
        <w:rPr>
          <w:sz w:val="20"/>
          <w:szCs w:val="20"/>
          <w:lang w:val="es-CR"/>
        </w:rPr>
        <w:t>Visto 2</w:t>
      </w:r>
      <w:r w:rsidR="002F61B1">
        <w:rPr>
          <w:sz w:val="20"/>
          <w:szCs w:val="20"/>
          <w:lang w:val="es-CR"/>
        </w:rPr>
        <w:t xml:space="preserve">), en las cuales declaró que el Estado ha dado cumplimiento </w:t>
      </w:r>
      <w:r w:rsidR="00EF007C">
        <w:rPr>
          <w:sz w:val="20"/>
          <w:szCs w:val="20"/>
          <w:lang w:val="es-CR"/>
        </w:rPr>
        <w:t xml:space="preserve">total </w:t>
      </w:r>
      <w:r w:rsidR="002F61B1">
        <w:rPr>
          <w:sz w:val="20"/>
          <w:szCs w:val="20"/>
          <w:lang w:val="es-CR"/>
        </w:rPr>
        <w:t>al pago de las medidas de carácter pecuniario</w:t>
      </w:r>
      <w:r w:rsidR="002F61B1">
        <w:rPr>
          <w:rStyle w:val="Refdenotaalpie"/>
          <w:sz w:val="20"/>
          <w:szCs w:val="20"/>
          <w:lang w:val="es-CR"/>
        </w:rPr>
        <w:footnoteReference w:id="8"/>
      </w:r>
      <w:r w:rsidR="002F61B1">
        <w:rPr>
          <w:sz w:val="20"/>
          <w:szCs w:val="20"/>
          <w:lang w:val="es-CR"/>
        </w:rPr>
        <w:t>, encontrándose pendientes de cumplimiento dos medidas</w:t>
      </w:r>
      <w:r w:rsidR="005367A9" w:rsidRPr="001618E6">
        <w:rPr>
          <w:sz w:val="20"/>
          <w:szCs w:val="20"/>
          <w:lang w:val="es-CR"/>
        </w:rPr>
        <w:t xml:space="preserve"> (</w:t>
      </w:r>
      <w:r w:rsidR="005367A9" w:rsidRPr="001618E6">
        <w:rPr>
          <w:i/>
          <w:sz w:val="20"/>
          <w:szCs w:val="20"/>
          <w:lang w:val="es-CR"/>
        </w:rPr>
        <w:t>infra</w:t>
      </w:r>
      <w:r w:rsidR="00CE3157" w:rsidRPr="001618E6">
        <w:rPr>
          <w:sz w:val="20"/>
          <w:szCs w:val="20"/>
          <w:lang w:val="es-CR"/>
        </w:rPr>
        <w:t xml:space="preserve"> Considerando 3</w:t>
      </w:r>
      <w:r w:rsidR="005367A9" w:rsidRPr="001618E6">
        <w:rPr>
          <w:sz w:val="20"/>
          <w:szCs w:val="20"/>
          <w:lang w:val="es-CR"/>
        </w:rPr>
        <w:t>)</w:t>
      </w:r>
      <w:r w:rsidR="006F0994" w:rsidRPr="001618E6">
        <w:rPr>
          <w:rFonts w:cs="Verdana"/>
          <w:sz w:val="20"/>
          <w:szCs w:val="20"/>
          <w:lang w:val="es-CO"/>
        </w:rPr>
        <w:t>.</w:t>
      </w:r>
    </w:p>
    <w:p w:rsidR="005367A9" w:rsidRPr="001618E6" w:rsidRDefault="005367A9" w:rsidP="005367A9">
      <w:pPr>
        <w:pStyle w:val="Listavistosa-nfasis12"/>
        <w:spacing w:after="0" w:line="240" w:lineRule="auto"/>
        <w:ind w:left="0"/>
        <w:contextualSpacing w:val="0"/>
        <w:rPr>
          <w:b/>
          <w:sz w:val="20"/>
          <w:lang w:val="es-MX"/>
        </w:rPr>
      </w:pPr>
    </w:p>
    <w:p w:rsidR="00612C47" w:rsidRPr="001618E6" w:rsidRDefault="0028181B" w:rsidP="005B54DD">
      <w:pPr>
        <w:pStyle w:val="Listavistosa-nfasis12"/>
        <w:numPr>
          <w:ilvl w:val="0"/>
          <w:numId w:val="2"/>
        </w:numPr>
        <w:spacing w:after="0" w:line="240" w:lineRule="auto"/>
        <w:ind w:left="0" w:firstLine="0"/>
        <w:contextualSpacing w:val="0"/>
        <w:rPr>
          <w:b/>
          <w:sz w:val="20"/>
          <w:lang w:val="es-MX"/>
        </w:rPr>
      </w:pPr>
      <w:r w:rsidRPr="001618E6">
        <w:rPr>
          <w:sz w:val="20"/>
          <w:szCs w:val="20"/>
          <w:lang w:val="es-CR"/>
        </w:rPr>
        <w:t>De conformidad con lo establecido en el artículo 68.1 de la Convención Americana, “[l]os Estados Partes en la Convención se comprometen a cumplir la decisión de la Corte en todo caso en que sean partes”. Esta obligación incluye el deber del Estado de informar a la Corte sobre las medidas adoptadas para cumplir cada uno de los puntos ordenados, lo cual es fundamental para evaluar el estado de cumplimiento de la Sentencia en su conjunto</w:t>
      </w:r>
      <w:r w:rsidR="005923F4" w:rsidRPr="001618E6">
        <w:rPr>
          <w:rStyle w:val="Refdenotaalpie"/>
          <w:sz w:val="20"/>
          <w:szCs w:val="20"/>
        </w:rPr>
        <w:footnoteReference w:id="9"/>
      </w:r>
      <w:r w:rsidR="005923F4" w:rsidRPr="001618E6">
        <w:rPr>
          <w:sz w:val="20"/>
          <w:szCs w:val="20"/>
          <w:lang w:val="es-CR"/>
        </w:rPr>
        <w:t>.</w:t>
      </w:r>
      <w:r w:rsidR="006A08FC" w:rsidRPr="001618E6">
        <w:rPr>
          <w:sz w:val="24"/>
          <w:szCs w:val="24"/>
          <w:lang w:val="es-CR"/>
        </w:rPr>
        <w:t xml:space="preserve"> </w:t>
      </w:r>
      <w:r w:rsidR="00FB3834" w:rsidRPr="001618E6">
        <w:rPr>
          <w:sz w:val="20"/>
          <w:szCs w:val="20"/>
          <w:lang w:val="es-CR"/>
        </w:rPr>
        <w:t>Los Estados Parte en la Convención deben garantizar el cumplimiento de las disposiciones convencionales y sus efectos propios (</w:t>
      </w:r>
      <w:r w:rsidR="00FB3834" w:rsidRPr="001618E6">
        <w:rPr>
          <w:i/>
          <w:sz w:val="20"/>
          <w:szCs w:val="20"/>
          <w:lang w:val="es-CR"/>
        </w:rPr>
        <w:t>effet utile</w:t>
      </w:r>
      <w:r w:rsidR="00FB3834" w:rsidRPr="001618E6">
        <w:rPr>
          <w:sz w:val="20"/>
          <w:szCs w:val="20"/>
          <w:lang w:val="es-CR"/>
        </w:rPr>
        <w:t>) en el plano de sus respectivos derechos internos. Estas obligaciones deben ser interpretadas y aplicadas de manera que la garantía protegida sea verdaderamente práctica y eficaz, teniendo presente la naturaleza especial de los tratados de derechos humanos</w:t>
      </w:r>
      <w:r w:rsidR="00FB3834" w:rsidRPr="001618E6">
        <w:rPr>
          <w:rStyle w:val="Refdenotaalpie"/>
          <w:sz w:val="20"/>
          <w:szCs w:val="20"/>
          <w:lang w:val="es-CR"/>
        </w:rPr>
        <w:footnoteReference w:id="10"/>
      </w:r>
      <w:r w:rsidR="00FB3834" w:rsidRPr="001618E6">
        <w:rPr>
          <w:sz w:val="20"/>
          <w:szCs w:val="20"/>
          <w:lang w:val="es-CR"/>
        </w:rPr>
        <w:t>.</w:t>
      </w:r>
    </w:p>
    <w:p w:rsidR="005367A9" w:rsidRPr="001618E6" w:rsidRDefault="005367A9" w:rsidP="005367A9">
      <w:pPr>
        <w:pStyle w:val="Listavistosa-nfasis12"/>
        <w:spacing w:after="0" w:line="240" w:lineRule="auto"/>
        <w:ind w:left="0"/>
        <w:contextualSpacing w:val="0"/>
        <w:rPr>
          <w:b/>
          <w:sz w:val="20"/>
          <w:lang w:val="es-MX"/>
        </w:rPr>
      </w:pPr>
    </w:p>
    <w:p w:rsidR="00E81655" w:rsidRPr="00AE6887" w:rsidRDefault="0000588E" w:rsidP="00AE6887">
      <w:pPr>
        <w:pStyle w:val="Listavistosa-nfasis12"/>
        <w:numPr>
          <w:ilvl w:val="0"/>
          <w:numId w:val="2"/>
        </w:numPr>
        <w:spacing w:after="0" w:line="240" w:lineRule="auto"/>
        <w:ind w:left="0" w:firstLine="0"/>
        <w:contextualSpacing w:val="0"/>
        <w:rPr>
          <w:sz w:val="20"/>
          <w:szCs w:val="20"/>
          <w:lang w:val="es-CR"/>
        </w:rPr>
      </w:pPr>
      <w:r w:rsidRPr="00AE6887">
        <w:rPr>
          <w:sz w:val="20"/>
          <w:szCs w:val="20"/>
          <w:lang w:val="es-CR"/>
        </w:rPr>
        <w:t>En la presente Resolución, la</w:t>
      </w:r>
      <w:r w:rsidR="00DD4CC9" w:rsidRPr="00AE6887">
        <w:rPr>
          <w:sz w:val="20"/>
          <w:szCs w:val="20"/>
          <w:lang w:val="es-CR"/>
        </w:rPr>
        <w:t xml:space="preserve"> Corte se pronunciará sobre la </w:t>
      </w:r>
      <w:r w:rsidR="00687DED" w:rsidRPr="00AE6887">
        <w:rPr>
          <w:sz w:val="20"/>
          <w:szCs w:val="20"/>
          <w:lang w:val="es-CR"/>
        </w:rPr>
        <w:t>obligación de</w:t>
      </w:r>
      <w:r w:rsidR="006D0B3A" w:rsidRPr="00982566">
        <w:rPr>
          <w:sz w:val="20"/>
          <w:szCs w:val="20"/>
          <w:lang w:val="es-CR"/>
        </w:rPr>
        <w:t xml:space="preserve"> investigar, juzgar y, de ser el caso, sancionar (</w:t>
      </w:r>
      <w:r w:rsidR="006D0B3A" w:rsidRPr="00982566">
        <w:rPr>
          <w:i/>
          <w:sz w:val="20"/>
          <w:szCs w:val="20"/>
          <w:lang w:val="es-CR"/>
        </w:rPr>
        <w:t xml:space="preserve">infra </w:t>
      </w:r>
      <w:r w:rsidR="006D0B3A" w:rsidRPr="00982566">
        <w:rPr>
          <w:sz w:val="20"/>
          <w:szCs w:val="20"/>
          <w:lang w:val="es-CR"/>
        </w:rPr>
        <w:t xml:space="preserve">Considerando </w:t>
      </w:r>
      <w:r w:rsidR="00D16219">
        <w:rPr>
          <w:sz w:val="20"/>
          <w:szCs w:val="20"/>
          <w:lang w:val="es-CR"/>
        </w:rPr>
        <w:t>4</w:t>
      </w:r>
      <w:r w:rsidR="006D0B3A" w:rsidRPr="00982566">
        <w:rPr>
          <w:sz w:val="20"/>
          <w:szCs w:val="20"/>
          <w:lang w:val="es-CR"/>
        </w:rPr>
        <w:t>)</w:t>
      </w:r>
      <w:r w:rsidR="00DE79CE" w:rsidRPr="00982566">
        <w:rPr>
          <w:sz w:val="20"/>
          <w:szCs w:val="20"/>
          <w:lang w:val="es-CR"/>
        </w:rPr>
        <w:t>.</w:t>
      </w:r>
      <w:r w:rsidR="00E81655" w:rsidRPr="00982566">
        <w:rPr>
          <w:sz w:val="20"/>
          <w:szCs w:val="20"/>
          <w:lang w:val="es-CR"/>
        </w:rPr>
        <w:t xml:space="preserve"> En una posterior resolución</w:t>
      </w:r>
      <w:r w:rsidR="002F5FB4" w:rsidRPr="00982566">
        <w:rPr>
          <w:sz w:val="20"/>
          <w:szCs w:val="20"/>
          <w:lang w:val="es-CR"/>
        </w:rPr>
        <w:t xml:space="preserve"> el Tribunal</w:t>
      </w:r>
      <w:r w:rsidR="00E81655" w:rsidRPr="00982566">
        <w:rPr>
          <w:sz w:val="20"/>
          <w:szCs w:val="20"/>
          <w:lang w:val="es-CR"/>
        </w:rPr>
        <w:t xml:space="preserve"> se </w:t>
      </w:r>
      <w:r w:rsidR="002F5FB4" w:rsidRPr="00982566">
        <w:rPr>
          <w:sz w:val="20"/>
          <w:szCs w:val="20"/>
          <w:lang w:val="es-CR"/>
        </w:rPr>
        <w:t xml:space="preserve">pronunciará sobre </w:t>
      </w:r>
      <w:r w:rsidR="00E81655" w:rsidRPr="00982566">
        <w:rPr>
          <w:sz w:val="20"/>
          <w:szCs w:val="20"/>
          <w:lang w:val="es-CR"/>
        </w:rPr>
        <w:t xml:space="preserve">la medida de reparación </w:t>
      </w:r>
      <w:r w:rsidR="002F5FB4" w:rsidRPr="00982566">
        <w:rPr>
          <w:sz w:val="20"/>
          <w:szCs w:val="20"/>
          <w:lang w:val="es-CR"/>
        </w:rPr>
        <w:t xml:space="preserve">relativa </w:t>
      </w:r>
      <w:r w:rsidR="00E81655" w:rsidRPr="00982566">
        <w:rPr>
          <w:sz w:val="20"/>
          <w:szCs w:val="20"/>
          <w:lang w:val="es-CR"/>
        </w:rPr>
        <w:t xml:space="preserve">a </w:t>
      </w:r>
      <w:r w:rsidR="002F5FB4" w:rsidRPr="00982566">
        <w:rPr>
          <w:sz w:val="20"/>
          <w:szCs w:val="20"/>
          <w:lang w:val="es-CR"/>
        </w:rPr>
        <w:t>“</w:t>
      </w:r>
      <w:r w:rsidR="00E81655" w:rsidRPr="00982566">
        <w:rPr>
          <w:sz w:val="20"/>
          <w:szCs w:val="20"/>
          <w:lang w:val="es-CR"/>
        </w:rPr>
        <w:t>continuar los esfuerzos para localizar los restos de las víctimas y entregarlos a sus familiares</w:t>
      </w:r>
      <w:r w:rsidR="002F5FB4" w:rsidRPr="00982566">
        <w:rPr>
          <w:sz w:val="20"/>
          <w:szCs w:val="20"/>
          <w:lang w:val="es-CR"/>
        </w:rPr>
        <w:t>”</w:t>
      </w:r>
      <w:r w:rsidR="00E81655" w:rsidRPr="00982566">
        <w:rPr>
          <w:sz w:val="20"/>
          <w:szCs w:val="20"/>
          <w:lang w:val="es-CR"/>
        </w:rPr>
        <w:t xml:space="preserve">, en el marco de la supervisión conjunta sobre </w:t>
      </w:r>
      <w:r w:rsidR="002F5FB4" w:rsidRPr="00982566">
        <w:rPr>
          <w:sz w:val="20"/>
          <w:szCs w:val="20"/>
          <w:lang w:val="es-CR"/>
        </w:rPr>
        <w:t>el cumplimiento de la medida de reparación relativa a determinar el</w:t>
      </w:r>
      <w:r w:rsidR="00E81655" w:rsidRPr="00982566">
        <w:rPr>
          <w:sz w:val="20"/>
          <w:szCs w:val="20"/>
          <w:lang w:val="es-CR"/>
        </w:rPr>
        <w:t xml:space="preserve"> paradero </w:t>
      </w:r>
      <w:r w:rsidR="002F5FB4" w:rsidRPr="00982566">
        <w:rPr>
          <w:sz w:val="20"/>
          <w:szCs w:val="20"/>
          <w:lang w:val="es-CR"/>
        </w:rPr>
        <w:t xml:space="preserve">de las víctimas o localizar, identificar y entregar sus restos mortales, ordenada en las Sentencias </w:t>
      </w:r>
      <w:r w:rsidR="00E81655" w:rsidRPr="00982566">
        <w:rPr>
          <w:sz w:val="20"/>
          <w:szCs w:val="20"/>
          <w:lang w:val="es-CR"/>
        </w:rPr>
        <w:t>de seis casos colombianos.</w:t>
      </w:r>
      <w:r w:rsidR="00D67FF7" w:rsidRPr="00982566">
        <w:rPr>
          <w:sz w:val="20"/>
          <w:szCs w:val="20"/>
          <w:lang w:val="es-CR"/>
        </w:rPr>
        <w:t xml:space="preserve"> </w:t>
      </w:r>
      <w:r w:rsidR="00140DDE" w:rsidRPr="00982566">
        <w:rPr>
          <w:sz w:val="20"/>
          <w:szCs w:val="20"/>
          <w:lang w:val="es-ES_tradnl" w:eastAsia="es-CR"/>
        </w:rPr>
        <w:t>Asimismo, en la presente Resolución la Corte valorará</w:t>
      </w:r>
      <w:r w:rsidR="00D67FF7" w:rsidRPr="00982566">
        <w:rPr>
          <w:sz w:val="20"/>
          <w:szCs w:val="20"/>
          <w:lang w:val="es-ES_tradnl" w:eastAsia="es-CR"/>
        </w:rPr>
        <w:t>, además de la información y de las observaciones escritas presentadas por las partes y la Comisión, el informe presentado por la Defensoría del Pueblo de Colombia (</w:t>
      </w:r>
      <w:r w:rsidR="00D67FF7" w:rsidRPr="00982566">
        <w:rPr>
          <w:i/>
          <w:sz w:val="20"/>
          <w:szCs w:val="20"/>
          <w:lang w:val="es-ES_tradnl" w:eastAsia="es-CR"/>
        </w:rPr>
        <w:t xml:space="preserve">supra </w:t>
      </w:r>
      <w:r w:rsidR="00D67FF7" w:rsidRPr="00982566">
        <w:rPr>
          <w:sz w:val="20"/>
          <w:szCs w:val="20"/>
          <w:lang w:val="es-ES_tradnl" w:eastAsia="es-CR"/>
        </w:rPr>
        <w:t xml:space="preserve">Visto 6). Este será valorado por </w:t>
      </w:r>
      <w:r w:rsidR="000A1016" w:rsidRPr="00982566">
        <w:rPr>
          <w:sz w:val="20"/>
          <w:szCs w:val="20"/>
          <w:lang w:val="es-ES_tradnl" w:eastAsia="es-CR"/>
        </w:rPr>
        <w:t>el Tribunal</w:t>
      </w:r>
      <w:r w:rsidR="00D67FF7" w:rsidRPr="00982566">
        <w:rPr>
          <w:sz w:val="20"/>
          <w:szCs w:val="20"/>
          <w:lang w:val="es-ES_tradnl" w:eastAsia="es-CR"/>
        </w:rPr>
        <w:t xml:space="preserve"> como “otra fuente de información” que le permita apreciar el cumplimiento de lo ordenado, conforme lo dispuesto en el artículo 69.2 de su Reglamento de la Corte</w:t>
      </w:r>
      <w:r w:rsidR="000E5E8D">
        <w:rPr>
          <w:rStyle w:val="Refdenotaalpie"/>
          <w:sz w:val="20"/>
          <w:szCs w:val="20"/>
          <w:lang w:val="es-ES_tradnl" w:eastAsia="es-CR"/>
        </w:rPr>
        <w:footnoteReference w:id="11"/>
      </w:r>
      <w:r w:rsidR="00D67FF7" w:rsidRPr="00982566">
        <w:rPr>
          <w:sz w:val="20"/>
          <w:szCs w:val="20"/>
          <w:lang w:val="es-ES_tradnl" w:eastAsia="es-CR"/>
        </w:rPr>
        <w:t>, y se entiende que esta información es distinta a la que brinda el Estado en su carácter de parte de este proceso de supervisión de cumplimiento</w:t>
      </w:r>
      <w:r w:rsidR="00D67FF7" w:rsidRPr="000412A5">
        <w:rPr>
          <w:rStyle w:val="Refdenotaalpie"/>
          <w:sz w:val="20"/>
          <w:szCs w:val="20"/>
          <w:lang w:val="es-ES_tradnl" w:eastAsia="es-CR"/>
        </w:rPr>
        <w:footnoteReference w:id="12"/>
      </w:r>
      <w:r w:rsidR="00D67FF7" w:rsidRPr="00AE6887">
        <w:rPr>
          <w:sz w:val="20"/>
          <w:szCs w:val="20"/>
          <w:lang w:val="es-ES_tradnl" w:eastAsia="es-CR"/>
        </w:rPr>
        <w:t>.</w:t>
      </w:r>
    </w:p>
    <w:p w:rsidR="00E81655" w:rsidRPr="001618E6" w:rsidRDefault="00E81655" w:rsidP="002F5FB4">
      <w:pPr>
        <w:pStyle w:val="Prrafodelista"/>
        <w:spacing w:after="0" w:line="240" w:lineRule="auto"/>
        <w:rPr>
          <w:rFonts w:ascii="Verdana" w:hAnsi="Verdana"/>
          <w:sz w:val="20"/>
          <w:szCs w:val="20"/>
          <w:lang w:val="es-CR"/>
        </w:rPr>
      </w:pPr>
    </w:p>
    <w:p w:rsidR="00881D56" w:rsidRPr="001618E6" w:rsidRDefault="009D49FF" w:rsidP="002F5FB4">
      <w:pPr>
        <w:pStyle w:val="Listavistosa-nfasis12"/>
        <w:spacing w:after="0" w:line="240" w:lineRule="auto"/>
        <w:ind w:left="0" w:firstLine="644"/>
        <w:contextualSpacing w:val="0"/>
        <w:rPr>
          <w:i/>
          <w:sz w:val="20"/>
          <w:lang w:val="es-MX"/>
        </w:rPr>
      </w:pPr>
      <w:r w:rsidRPr="001618E6">
        <w:rPr>
          <w:i/>
          <w:sz w:val="20"/>
          <w:lang w:val="es-MX"/>
        </w:rPr>
        <w:t xml:space="preserve">A. </w:t>
      </w:r>
      <w:r w:rsidR="00881D56" w:rsidRPr="001618E6">
        <w:rPr>
          <w:i/>
          <w:sz w:val="20"/>
          <w:lang w:val="es-MX"/>
        </w:rPr>
        <w:t xml:space="preserve">Medida ordenada por la Corte </w:t>
      </w:r>
      <w:r w:rsidR="00E81655" w:rsidRPr="001618E6">
        <w:rPr>
          <w:i/>
          <w:sz w:val="20"/>
          <w:lang w:val="es-MX"/>
        </w:rPr>
        <w:t>y supervisión realizada en resoluciones anteriores</w:t>
      </w:r>
    </w:p>
    <w:p w:rsidR="00A06239" w:rsidRPr="001618E6" w:rsidRDefault="00A06239" w:rsidP="002F5FB4">
      <w:pPr>
        <w:pStyle w:val="Listavistosa-nfasis12"/>
        <w:spacing w:after="0" w:line="240" w:lineRule="auto"/>
        <w:ind w:left="0"/>
        <w:contextualSpacing w:val="0"/>
        <w:rPr>
          <w:sz w:val="20"/>
          <w:szCs w:val="20"/>
          <w:lang w:val="es-CR"/>
        </w:rPr>
      </w:pPr>
    </w:p>
    <w:p w:rsidR="00035F27" w:rsidRPr="00AE6887" w:rsidRDefault="001364A7" w:rsidP="002F5FB4">
      <w:pPr>
        <w:pStyle w:val="Listavistosa-nfasis12"/>
        <w:numPr>
          <w:ilvl w:val="0"/>
          <w:numId w:val="2"/>
        </w:numPr>
        <w:spacing w:after="0" w:line="240" w:lineRule="auto"/>
        <w:ind w:left="0" w:firstLine="0"/>
        <w:contextualSpacing w:val="0"/>
        <w:rPr>
          <w:sz w:val="20"/>
          <w:szCs w:val="20"/>
          <w:lang w:val="es-CR"/>
        </w:rPr>
      </w:pPr>
      <w:r>
        <w:rPr>
          <w:sz w:val="20"/>
          <w:szCs w:val="20"/>
          <w:lang w:val="es-CO"/>
        </w:rPr>
        <w:t>En</w:t>
      </w:r>
      <w:r w:rsidR="003E1AF5" w:rsidRPr="00AE6887">
        <w:rPr>
          <w:sz w:val="20"/>
          <w:szCs w:val="20"/>
          <w:lang w:val="es-CO"/>
        </w:rPr>
        <w:t xml:space="preserve"> los párrafos 57 y 58 </w:t>
      </w:r>
      <w:r w:rsidR="001B4CFC">
        <w:rPr>
          <w:sz w:val="20"/>
          <w:szCs w:val="20"/>
          <w:lang w:val="es-CO"/>
        </w:rPr>
        <w:t>de la Sentencia</w:t>
      </w:r>
      <w:r w:rsidR="003E1AF5" w:rsidRPr="00AE6887">
        <w:rPr>
          <w:sz w:val="20"/>
          <w:szCs w:val="20"/>
          <w:lang w:val="es-CO"/>
        </w:rPr>
        <w:t>, el Tribunal constató que “</w:t>
      </w:r>
      <w:r w:rsidR="003E1AF5" w:rsidRPr="00982566">
        <w:rPr>
          <w:sz w:val="20"/>
          <w:szCs w:val="20"/>
          <w:lang w:val="es-CR"/>
        </w:rPr>
        <w:t>Colombia ha realizado una investigación judicial prolongada, no exenta de deficiencias, para encontrar y sancionar a los responsables de la detención y desaparición de Isidro Caballero Delgado y María del Carmen Santana y este proceso no ha terminado”. Si bien la Corte sostuvo que la obligación de investigar es “una obligación de medio o comportamiento que no es incumplida por el solo hecho de que la investigación no produzca un resultado satisfactorio”, también indicó que “para garantizar plenamente los derechos reconocidos por la Convención, no es suficiente que el Gobierno emprenda una investigación y trate de sancionar a los culpables, sino que es necesario, además, que toda esta actividad del Gobierno culmine con la reparación a la parte lesionada, lo que en este caso no ha ocurrido”.</w:t>
      </w:r>
      <w:r w:rsidR="00542825" w:rsidRPr="00982566">
        <w:rPr>
          <w:sz w:val="20"/>
          <w:szCs w:val="20"/>
          <w:lang w:val="es-CR"/>
        </w:rPr>
        <w:t xml:space="preserve"> </w:t>
      </w:r>
      <w:r>
        <w:rPr>
          <w:sz w:val="20"/>
          <w:szCs w:val="20"/>
          <w:lang w:val="es-CR"/>
        </w:rPr>
        <w:t>El</w:t>
      </w:r>
      <w:r w:rsidR="00542825" w:rsidRPr="00982566">
        <w:rPr>
          <w:sz w:val="20"/>
          <w:szCs w:val="20"/>
          <w:lang w:val="es-CR"/>
        </w:rPr>
        <w:t xml:space="preserve"> Tribunal concluyó</w:t>
      </w:r>
      <w:r w:rsidR="001D5B4A">
        <w:rPr>
          <w:sz w:val="20"/>
          <w:szCs w:val="20"/>
          <w:lang w:val="es-CR"/>
        </w:rPr>
        <w:t xml:space="preserve"> en el párrafo 59 del Fallo internacional</w:t>
      </w:r>
      <w:r w:rsidR="00542825" w:rsidRPr="00982566">
        <w:rPr>
          <w:sz w:val="20"/>
          <w:szCs w:val="20"/>
          <w:lang w:val="es-CR"/>
        </w:rPr>
        <w:t xml:space="preserve"> que “al no haber reparado Colombia las consecuencias de las violaciones realizadas por sus agentes, ha dejado de cumplir las obligaciones que le impone el </w:t>
      </w:r>
      <w:r w:rsidR="00C27C6F">
        <w:rPr>
          <w:sz w:val="20"/>
          <w:szCs w:val="20"/>
          <w:lang w:val="es-CR"/>
        </w:rPr>
        <w:t>[…]</w:t>
      </w:r>
      <w:r w:rsidR="00542825" w:rsidRPr="00982566">
        <w:rPr>
          <w:sz w:val="20"/>
          <w:szCs w:val="20"/>
          <w:lang w:val="es-CR"/>
        </w:rPr>
        <w:t xml:space="preserve"> artículo 1.1 de la Convención”</w:t>
      </w:r>
      <w:r w:rsidRPr="00AE6887">
        <w:rPr>
          <w:sz w:val="20"/>
          <w:szCs w:val="20"/>
          <w:lang w:val="es-CR"/>
        </w:rPr>
        <w:t xml:space="preserve"> y, en consecuencia, </w:t>
      </w:r>
      <w:r w:rsidR="001B4CFC">
        <w:rPr>
          <w:sz w:val="20"/>
          <w:szCs w:val="20"/>
          <w:lang w:val="es-CR"/>
        </w:rPr>
        <w:t>dispuso e</w:t>
      </w:r>
      <w:r w:rsidR="001B4CFC" w:rsidRPr="001618E6">
        <w:rPr>
          <w:sz w:val="20"/>
          <w:szCs w:val="20"/>
          <w:lang w:val="es-MX"/>
        </w:rPr>
        <w:t xml:space="preserve">n el punto </w:t>
      </w:r>
      <w:r w:rsidR="00DE79CE">
        <w:rPr>
          <w:sz w:val="20"/>
          <w:szCs w:val="20"/>
          <w:lang w:val="es-MX"/>
        </w:rPr>
        <w:t>resolutivo</w:t>
      </w:r>
      <w:r w:rsidR="001B4CFC" w:rsidRPr="001618E6">
        <w:rPr>
          <w:sz w:val="20"/>
          <w:szCs w:val="20"/>
          <w:lang w:val="es-MX"/>
        </w:rPr>
        <w:t xml:space="preserve"> quinto </w:t>
      </w:r>
      <w:r w:rsidR="001D5B4A">
        <w:rPr>
          <w:sz w:val="20"/>
          <w:szCs w:val="20"/>
          <w:lang w:val="es-MX"/>
        </w:rPr>
        <w:t>de la referida Sentencia</w:t>
      </w:r>
      <w:r w:rsidR="001B4CFC">
        <w:rPr>
          <w:sz w:val="20"/>
          <w:szCs w:val="20"/>
          <w:lang w:val="es-MX"/>
        </w:rPr>
        <w:t xml:space="preserve"> </w:t>
      </w:r>
      <w:r w:rsidR="001B4CFC" w:rsidRPr="0073131C">
        <w:rPr>
          <w:sz w:val="20"/>
          <w:szCs w:val="20"/>
          <w:lang w:val="es-MX"/>
        </w:rPr>
        <w:t>que</w:t>
      </w:r>
      <w:r w:rsidR="001B4CFC" w:rsidRPr="0073131C">
        <w:rPr>
          <w:sz w:val="20"/>
          <w:szCs w:val="20"/>
          <w:lang w:val="es-CO"/>
        </w:rPr>
        <w:t xml:space="preserve"> el Estado </w:t>
      </w:r>
      <w:r w:rsidR="0035424D">
        <w:rPr>
          <w:sz w:val="20"/>
          <w:szCs w:val="20"/>
          <w:lang w:val="es-CO"/>
        </w:rPr>
        <w:t>está obligado a</w:t>
      </w:r>
      <w:r w:rsidR="001B4CFC" w:rsidRPr="0073131C">
        <w:rPr>
          <w:sz w:val="20"/>
          <w:szCs w:val="20"/>
          <w:lang w:val="es-CO"/>
        </w:rPr>
        <w:t xml:space="preserve"> “continuar los procedimientos judiciales por la desaparición y presunta muerte” del señor Isidro Caballero Delgado y la señora María del Carmen Santana “y su sanción conforme a su derecho interno”.</w:t>
      </w:r>
    </w:p>
    <w:p w:rsidR="004844FA" w:rsidRPr="001618E6" w:rsidRDefault="004844FA" w:rsidP="004844FA">
      <w:pPr>
        <w:pStyle w:val="Listavistosa-nfasis12"/>
        <w:spacing w:after="0" w:line="240" w:lineRule="auto"/>
        <w:ind w:left="0"/>
        <w:contextualSpacing w:val="0"/>
        <w:rPr>
          <w:sz w:val="20"/>
          <w:szCs w:val="20"/>
          <w:lang w:val="es-CR"/>
        </w:rPr>
      </w:pPr>
    </w:p>
    <w:p w:rsidR="004844FA" w:rsidRPr="00FB56D6" w:rsidRDefault="004844FA" w:rsidP="00FB56D6">
      <w:pPr>
        <w:pStyle w:val="Listavistosa-nfasis12"/>
        <w:numPr>
          <w:ilvl w:val="0"/>
          <w:numId w:val="2"/>
        </w:numPr>
        <w:spacing w:after="0" w:line="240" w:lineRule="auto"/>
        <w:ind w:left="0" w:firstLine="0"/>
        <w:contextualSpacing w:val="0"/>
        <w:rPr>
          <w:sz w:val="20"/>
          <w:szCs w:val="20"/>
          <w:lang w:val="es-CR"/>
        </w:rPr>
      </w:pPr>
      <w:r w:rsidRPr="00AE6887">
        <w:rPr>
          <w:sz w:val="20"/>
          <w:szCs w:val="20"/>
          <w:lang w:val="es-CO"/>
        </w:rPr>
        <w:t xml:space="preserve">En la Resolución de supervisión de cumplimiento emitida por la Corte </w:t>
      </w:r>
      <w:r w:rsidR="007D0A0E" w:rsidRPr="00AE6887">
        <w:rPr>
          <w:sz w:val="20"/>
          <w:szCs w:val="20"/>
          <w:lang w:val="es-CO"/>
        </w:rPr>
        <w:t>en</w:t>
      </w:r>
      <w:r w:rsidR="00893ED4" w:rsidRPr="00AE6887">
        <w:rPr>
          <w:sz w:val="20"/>
          <w:szCs w:val="20"/>
          <w:lang w:val="es-CO"/>
        </w:rPr>
        <w:t xml:space="preserve"> noviembre de 2002, el Tribunal </w:t>
      </w:r>
      <w:r w:rsidRPr="00982566">
        <w:rPr>
          <w:sz w:val="20"/>
          <w:szCs w:val="20"/>
          <w:lang w:val="es-CO"/>
        </w:rPr>
        <w:t xml:space="preserve">constató </w:t>
      </w:r>
      <w:r w:rsidR="007D0A0E" w:rsidRPr="00982566">
        <w:rPr>
          <w:sz w:val="20"/>
          <w:szCs w:val="20"/>
          <w:lang w:val="es-CO"/>
        </w:rPr>
        <w:t>“</w:t>
      </w:r>
      <w:r w:rsidRPr="00982566">
        <w:rPr>
          <w:sz w:val="20"/>
          <w:szCs w:val="20"/>
          <w:lang w:val="es-CO"/>
        </w:rPr>
        <w:t>con preocupación</w:t>
      </w:r>
      <w:r w:rsidR="007D0A0E" w:rsidRPr="00982566">
        <w:rPr>
          <w:sz w:val="20"/>
          <w:szCs w:val="20"/>
          <w:lang w:val="es-CO"/>
        </w:rPr>
        <w:t>”</w:t>
      </w:r>
      <w:r w:rsidRPr="00982566">
        <w:rPr>
          <w:sz w:val="20"/>
          <w:szCs w:val="20"/>
          <w:lang w:val="es-CO"/>
        </w:rPr>
        <w:t xml:space="preserve"> que </w:t>
      </w:r>
      <w:r w:rsidR="00893ED4" w:rsidRPr="00982566">
        <w:rPr>
          <w:sz w:val="20"/>
          <w:szCs w:val="20"/>
          <w:lang w:val="es-CO"/>
        </w:rPr>
        <w:t xml:space="preserve">el </w:t>
      </w:r>
      <w:r w:rsidR="007D0A0E" w:rsidRPr="00982566">
        <w:rPr>
          <w:sz w:val="20"/>
          <w:szCs w:val="20"/>
          <w:lang w:val="es-CO"/>
        </w:rPr>
        <w:t>“</w:t>
      </w:r>
      <w:r w:rsidR="00893ED4" w:rsidRPr="00982566">
        <w:rPr>
          <w:sz w:val="20"/>
          <w:szCs w:val="20"/>
          <w:lang w:val="es-CO"/>
        </w:rPr>
        <w:t xml:space="preserve">desarrollo de los procedimientos judiciales </w:t>
      </w:r>
      <w:r w:rsidR="00884CE6">
        <w:rPr>
          <w:sz w:val="20"/>
          <w:szCs w:val="20"/>
          <w:lang w:val="es-CO"/>
        </w:rPr>
        <w:t>[para]</w:t>
      </w:r>
      <w:r w:rsidR="00893ED4" w:rsidRPr="00AE6887">
        <w:rPr>
          <w:sz w:val="20"/>
          <w:szCs w:val="20"/>
          <w:lang w:val="es-CO"/>
        </w:rPr>
        <w:t xml:space="preserve"> la identificación y castigo de los responsables de los hechos del caso</w:t>
      </w:r>
      <w:r w:rsidR="007D0A0E" w:rsidRPr="00AE6887">
        <w:rPr>
          <w:sz w:val="20"/>
          <w:szCs w:val="20"/>
          <w:lang w:val="es-CO"/>
        </w:rPr>
        <w:t>”</w:t>
      </w:r>
      <w:r w:rsidR="00893ED4" w:rsidRPr="00AE6887">
        <w:rPr>
          <w:sz w:val="20"/>
          <w:szCs w:val="20"/>
          <w:lang w:val="es-CO"/>
        </w:rPr>
        <w:t xml:space="preserve"> se encontraba</w:t>
      </w:r>
      <w:r w:rsidR="00A003D0">
        <w:rPr>
          <w:sz w:val="20"/>
          <w:szCs w:val="20"/>
          <w:lang w:val="es-CO"/>
        </w:rPr>
        <w:t>n</w:t>
      </w:r>
      <w:r w:rsidR="00893ED4" w:rsidRPr="00AE6887">
        <w:rPr>
          <w:sz w:val="20"/>
          <w:szCs w:val="20"/>
          <w:lang w:val="es-CO"/>
        </w:rPr>
        <w:t xml:space="preserve"> aún pendiente</w:t>
      </w:r>
      <w:r w:rsidR="00595859">
        <w:rPr>
          <w:sz w:val="20"/>
          <w:szCs w:val="20"/>
          <w:lang w:val="es-CO"/>
        </w:rPr>
        <w:t>s</w:t>
      </w:r>
      <w:r w:rsidR="00893ED4" w:rsidRPr="00AE6887">
        <w:rPr>
          <w:sz w:val="20"/>
          <w:szCs w:val="20"/>
          <w:lang w:val="es-CO"/>
        </w:rPr>
        <w:t xml:space="preserve"> de cumplimiento</w:t>
      </w:r>
      <w:r w:rsidR="007D0A0E">
        <w:rPr>
          <w:rStyle w:val="Refdenotaalpie"/>
          <w:sz w:val="20"/>
          <w:szCs w:val="20"/>
          <w:lang w:val="es-CO"/>
        </w:rPr>
        <w:footnoteReference w:id="13"/>
      </w:r>
      <w:r w:rsidR="00893ED4" w:rsidRPr="00AE6887">
        <w:rPr>
          <w:sz w:val="20"/>
          <w:szCs w:val="20"/>
          <w:lang w:val="es-CO"/>
        </w:rPr>
        <w:t xml:space="preserve">. </w:t>
      </w:r>
      <w:r w:rsidR="007D0A0E" w:rsidRPr="00AE6887">
        <w:rPr>
          <w:sz w:val="20"/>
          <w:szCs w:val="20"/>
          <w:lang w:val="es-CO"/>
        </w:rPr>
        <w:t xml:space="preserve">Posteriormente, en </w:t>
      </w:r>
      <w:r w:rsidR="00740810" w:rsidRPr="00AE6887">
        <w:rPr>
          <w:sz w:val="20"/>
          <w:szCs w:val="20"/>
          <w:lang w:val="es-CO"/>
        </w:rPr>
        <w:t>su</w:t>
      </w:r>
      <w:r w:rsidR="007D0A0E" w:rsidRPr="00AE6887">
        <w:rPr>
          <w:sz w:val="20"/>
          <w:szCs w:val="20"/>
          <w:lang w:val="es-CO"/>
        </w:rPr>
        <w:t xml:space="preserve"> Resolución </w:t>
      </w:r>
      <w:r w:rsidR="00F86FA2" w:rsidRPr="00AE6887">
        <w:rPr>
          <w:sz w:val="20"/>
          <w:szCs w:val="20"/>
          <w:lang w:val="es-CO"/>
        </w:rPr>
        <w:t>de supervisión de cumplimiento</w:t>
      </w:r>
      <w:r w:rsidR="007D0A0E" w:rsidRPr="00AE6887">
        <w:rPr>
          <w:sz w:val="20"/>
          <w:szCs w:val="20"/>
          <w:lang w:val="es-CO"/>
        </w:rPr>
        <w:t xml:space="preserve"> de noviembre de 2003</w:t>
      </w:r>
      <w:r w:rsidR="00F21AE4">
        <w:rPr>
          <w:rStyle w:val="Refdenotaalpie"/>
          <w:sz w:val="20"/>
          <w:szCs w:val="20"/>
          <w:lang w:val="es-CO"/>
        </w:rPr>
        <w:footnoteReference w:id="14"/>
      </w:r>
      <w:r w:rsidR="007D0A0E" w:rsidRPr="00AE6887">
        <w:rPr>
          <w:sz w:val="20"/>
          <w:szCs w:val="20"/>
          <w:lang w:val="es-CO"/>
        </w:rPr>
        <w:t xml:space="preserve">, </w:t>
      </w:r>
      <w:r w:rsidR="007D0A0E" w:rsidRPr="00982566">
        <w:rPr>
          <w:sz w:val="20"/>
          <w:szCs w:val="20"/>
          <w:lang w:val="es-CO"/>
        </w:rPr>
        <w:t xml:space="preserve">la Corte constató que </w:t>
      </w:r>
      <w:r w:rsidR="00F86FA2" w:rsidRPr="00982566">
        <w:rPr>
          <w:sz w:val="20"/>
          <w:szCs w:val="20"/>
          <w:lang w:val="es-CO"/>
        </w:rPr>
        <w:t xml:space="preserve">se llevaron a cabo dos procesos penales: i) un primer proceso que inició en 1989 y “culminó con una sentencia </w:t>
      </w:r>
      <w:r w:rsidR="00F86FA2" w:rsidRPr="00982566">
        <w:rPr>
          <w:sz w:val="20"/>
          <w:szCs w:val="20"/>
          <w:lang w:val="es-CR"/>
        </w:rPr>
        <w:t>absolutoria en 1990, sin que los familiares de las víctimas hubieran participado como sujetos procesales”, y ii) un segundo proceso que en 1997 “traslad[ó] a la jurisdicción militar la investigación contra [un] Mayor General” y “culminó [en 1998] con la exoneración de responsabilidad” del referido militar</w:t>
      </w:r>
      <w:r w:rsidR="00A003D0">
        <w:rPr>
          <w:sz w:val="20"/>
          <w:szCs w:val="20"/>
          <w:lang w:val="es-CR"/>
        </w:rPr>
        <w:t xml:space="preserve"> (</w:t>
      </w:r>
      <w:r w:rsidR="00A003D0">
        <w:rPr>
          <w:i/>
          <w:sz w:val="20"/>
          <w:szCs w:val="20"/>
          <w:lang w:val="es-CR"/>
        </w:rPr>
        <w:t xml:space="preserve">infra </w:t>
      </w:r>
      <w:r w:rsidR="00A003D0">
        <w:rPr>
          <w:sz w:val="20"/>
          <w:szCs w:val="20"/>
          <w:lang w:val="es-CR"/>
        </w:rPr>
        <w:t>Considerando 9)</w:t>
      </w:r>
      <w:r w:rsidR="00F86FA2" w:rsidRPr="00982566">
        <w:rPr>
          <w:sz w:val="20"/>
          <w:szCs w:val="20"/>
          <w:lang w:val="es-CR"/>
        </w:rPr>
        <w:t xml:space="preserve">. </w:t>
      </w:r>
      <w:r w:rsidR="00EB17C0" w:rsidRPr="00FB56D6">
        <w:rPr>
          <w:sz w:val="20"/>
          <w:szCs w:val="20"/>
          <w:lang w:val="es-CO"/>
        </w:rPr>
        <w:t xml:space="preserve">En </w:t>
      </w:r>
      <w:r w:rsidR="008B3DD0" w:rsidRPr="00FB56D6">
        <w:rPr>
          <w:sz w:val="20"/>
          <w:szCs w:val="20"/>
          <w:lang w:val="es-CO"/>
        </w:rPr>
        <w:t xml:space="preserve">virtud de </w:t>
      </w:r>
      <w:r w:rsidR="00B86888" w:rsidRPr="00FB56D6">
        <w:rPr>
          <w:sz w:val="20"/>
          <w:szCs w:val="20"/>
          <w:lang w:val="es-CO"/>
        </w:rPr>
        <w:t>lo anterior</w:t>
      </w:r>
      <w:r w:rsidR="008B3DD0" w:rsidRPr="00FB56D6">
        <w:rPr>
          <w:sz w:val="20"/>
          <w:szCs w:val="20"/>
          <w:lang w:val="es-CO"/>
        </w:rPr>
        <w:t xml:space="preserve">, </w:t>
      </w:r>
      <w:r w:rsidR="00B86888" w:rsidRPr="00FB56D6">
        <w:rPr>
          <w:sz w:val="20"/>
          <w:szCs w:val="20"/>
          <w:lang w:val="es-CO"/>
        </w:rPr>
        <w:t>la Corte le indicó al Estado que “</w:t>
      </w:r>
      <w:r w:rsidR="00B86888" w:rsidRPr="00FB56D6">
        <w:rPr>
          <w:sz w:val="20"/>
          <w:szCs w:val="20"/>
          <w:lang w:val="es-CR"/>
        </w:rPr>
        <w:t>es inadmisible interponer cualquier obstáculo de derecho interno mediante el cual se pretenda impedir la investigación y sanción de los responsables de las violaciones de derechos humanos”</w:t>
      </w:r>
      <w:r w:rsidR="00F21AE4">
        <w:rPr>
          <w:rStyle w:val="Refdenotaalpie"/>
          <w:sz w:val="20"/>
          <w:szCs w:val="20"/>
          <w:lang w:val="es-CR"/>
        </w:rPr>
        <w:footnoteReference w:id="15"/>
      </w:r>
      <w:r w:rsidR="00B86888" w:rsidRPr="00FB56D6">
        <w:rPr>
          <w:sz w:val="20"/>
          <w:szCs w:val="20"/>
          <w:lang w:val="es-CR"/>
        </w:rPr>
        <w:t>. Además, el Tribunal resaltó que</w:t>
      </w:r>
      <w:r w:rsidR="00F21AE4" w:rsidRPr="00FB56D6">
        <w:rPr>
          <w:sz w:val="20"/>
          <w:szCs w:val="20"/>
          <w:lang w:val="es-CR"/>
        </w:rPr>
        <w:t xml:space="preserve"> a la luz de</w:t>
      </w:r>
      <w:r w:rsidR="00B86888" w:rsidRPr="00FB56D6">
        <w:rPr>
          <w:sz w:val="20"/>
          <w:szCs w:val="20"/>
          <w:lang w:val="es-CR"/>
        </w:rPr>
        <w:t xml:space="preserve"> “la Sentencia C-004 de 2003 de la Corte Constitucional de Colombia</w:t>
      </w:r>
      <w:r w:rsidR="00F21AE4" w:rsidRPr="00FB56D6">
        <w:rPr>
          <w:sz w:val="20"/>
          <w:szCs w:val="20"/>
          <w:lang w:val="es-CR"/>
        </w:rPr>
        <w:t>” era posible interponer una “acción de revisión” (</w:t>
      </w:r>
      <w:r w:rsidR="00F21AE4" w:rsidRPr="00FB56D6">
        <w:rPr>
          <w:i/>
          <w:sz w:val="20"/>
          <w:szCs w:val="20"/>
          <w:lang w:val="es-CR"/>
        </w:rPr>
        <w:t>infra</w:t>
      </w:r>
      <w:r w:rsidR="00F21AE4" w:rsidRPr="00FB56D6">
        <w:rPr>
          <w:sz w:val="20"/>
          <w:szCs w:val="20"/>
          <w:lang w:val="es-CR"/>
        </w:rPr>
        <w:t xml:space="preserve"> Considerando</w:t>
      </w:r>
      <w:r w:rsidR="00E70FDD">
        <w:rPr>
          <w:sz w:val="20"/>
          <w:szCs w:val="20"/>
          <w:lang w:val="es-CR"/>
        </w:rPr>
        <w:t>s 9 y 10</w:t>
      </w:r>
      <w:r w:rsidR="00F21AE4" w:rsidRPr="00FB56D6">
        <w:rPr>
          <w:sz w:val="20"/>
          <w:szCs w:val="20"/>
          <w:lang w:val="es-CR"/>
        </w:rPr>
        <w:t>).</w:t>
      </w:r>
    </w:p>
    <w:p w:rsidR="00AF5B4B" w:rsidRPr="001618E6" w:rsidRDefault="00AF5B4B" w:rsidP="00314DFB">
      <w:pPr>
        <w:spacing w:after="0" w:line="240" w:lineRule="auto"/>
        <w:jc w:val="both"/>
        <w:rPr>
          <w:rFonts w:ascii="Verdana" w:hAnsi="Verdana"/>
          <w:sz w:val="20"/>
          <w:szCs w:val="20"/>
          <w:lang w:val="es-CR"/>
        </w:rPr>
      </w:pPr>
    </w:p>
    <w:p w:rsidR="00AF5B4B" w:rsidRPr="001618E6" w:rsidRDefault="00740810" w:rsidP="00963413">
      <w:pPr>
        <w:pStyle w:val="Listavistosa-nfasis12"/>
        <w:numPr>
          <w:ilvl w:val="0"/>
          <w:numId w:val="2"/>
        </w:numPr>
        <w:spacing w:after="0" w:line="240" w:lineRule="auto"/>
        <w:ind w:left="0" w:firstLine="0"/>
        <w:contextualSpacing w:val="0"/>
        <w:rPr>
          <w:sz w:val="20"/>
          <w:szCs w:val="20"/>
          <w:lang w:val="es-CR"/>
        </w:rPr>
      </w:pPr>
      <w:r w:rsidRPr="00740810">
        <w:rPr>
          <w:sz w:val="20"/>
          <w:szCs w:val="20"/>
          <w:lang w:val="es-CR"/>
        </w:rPr>
        <w:t>En las Resoluciones de supervisión de cumplimiento emitidas por la Corte en febrero de 2008</w:t>
      </w:r>
      <w:r>
        <w:rPr>
          <w:rStyle w:val="Refdenotaalpie"/>
          <w:sz w:val="20"/>
          <w:szCs w:val="20"/>
          <w:lang w:val="es-CR"/>
        </w:rPr>
        <w:footnoteReference w:id="16"/>
      </w:r>
      <w:r w:rsidRPr="00740810">
        <w:rPr>
          <w:sz w:val="20"/>
          <w:szCs w:val="20"/>
          <w:lang w:val="es-CR"/>
        </w:rPr>
        <w:t xml:space="preserve"> y noviembre de 2009</w:t>
      </w:r>
      <w:r>
        <w:rPr>
          <w:rStyle w:val="Refdenotaalpie"/>
          <w:sz w:val="20"/>
          <w:szCs w:val="20"/>
          <w:lang w:val="es-CR"/>
        </w:rPr>
        <w:footnoteReference w:id="17"/>
      </w:r>
      <w:r w:rsidRPr="00740810">
        <w:rPr>
          <w:sz w:val="20"/>
          <w:szCs w:val="20"/>
          <w:lang w:val="es-CR"/>
        </w:rPr>
        <w:t>, el Tribunal</w:t>
      </w:r>
      <w:r w:rsidR="00AB4564">
        <w:rPr>
          <w:sz w:val="20"/>
          <w:szCs w:val="20"/>
          <w:lang w:val="es-CR"/>
        </w:rPr>
        <w:t>, entre otros,</w:t>
      </w:r>
      <w:r w:rsidRPr="00740810">
        <w:rPr>
          <w:sz w:val="20"/>
          <w:szCs w:val="20"/>
          <w:lang w:val="es-CR"/>
        </w:rPr>
        <w:t xml:space="preserve"> reiteró lo señalado en la Resolución de noviembre de 2003 (</w:t>
      </w:r>
      <w:r w:rsidRPr="00740810">
        <w:rPr>
          <w:i/>
          <w:sz w:val="20"/>
          <w:szCs w:val="20"/>
          <w:lang w:val="es-CR"/>
        </w:rPr>
        <w:t xml:space="preserve">supra </w:t>
      </w:r>
      <w:r w:rsidRPr="00740810">
        <w:rPr>
          <w:sz w:val="20"/>
          <w:szCs w:val="20"/>
          <w:lang w:val="es-CR"/>
        </w:rPr>
        <w:t xml:space="preserve">Considerando </w:t>
      </w:r>
      <w:r w:rsidR="00AB4564">
        <w:rPr>
          <w:sz w:val="20"/>
          <w:szCs w:val="20"/>
          <w:lang w:val="es-CR"/>
        </w:rPr>
        <w:t>5</w:t>
      </w:r>
      <w:r w:rsidRPr="00740810">
        <w:rPr>
          <w:sz w:val="20"/>
          <w:szCs w:val="20"/>
          <w:lang w:val="es-CR"/>
        </w:rPr>
        <w:t>) respecto de la inadmisibilidad de interponer cualquier obstáculo de derecho interno mediante el cual se pretenda impedir la investigación y sanción de los responsables de las violaciones de derechos humanos, particularmente</w:t>
      </w:r>
      <w:r w:rsidR="00ED2331">
        <w:rPr>
          <w:sz w:val="20"/>
          <w:szCs w:val="20"/>
          <w:lang w:val="es-CR"/>
        </w:rPr>
        <w:t>,</w:t>
      </w:r>
      <w:r w:rsidRPr="00740810">
        <w:rPr>
          <w:sz w:val="20"/>
          <w:szCs w:val="20"/>
          <w:lang w:val="es-CR"/>
        </w:rPr>
        <w:t xml:space="preserve"> considerando que en el presente caso se encontró una violación a los derechos a la vida y a la libertad personal (</w:t>
      </w:r>
      <w:r w:rsidRPr="00740810">
        <w:rPr>
          <w:i/>
          <w:sz w:val="20"/>
          <w:szCs w:val="20"/>
          <w:lang w:val="es-CR"/>
        </w:rPr>
        <w:t xml:space="preserve">supra </w:t>
      </w:r>
      <w:r w:rsidRPr="00740810">
        <w:rPr>
          <w:sz w:val="20"/>
          <w:szCs w:val="20"/>
          <w:lang w:val="es-CR"/>
        </w:rPr>
        <w:t xml:space="preserve">Visto 1). </w:t>
      </w:r>
      <w:r w:rsidR="00AB4564">
        <w:rPr>
          <w:sz w:val="20"/>
          <w:szCs w:val="20"/>
          <w:lang w:val="es-CR"/>
        </w:rPr>
        <w:t>En la Resolución de 2009 l</w:t>
      </w:r>
      <w:r w:rsidRPr="00740810">
        <w:rPr>
          <w:sz w:val="20"/>
          <w:szCs w:val="20"/>
          <w:lang w:val="es-CR"/>
        </w:rPr>
        <w:t>a Corte resaltó que el Estado debía presentar “mayor información respecto de las medidas que ha emprendido para recabar evidencias que permitan avanzar en la investigación [que está radicada en la Unidad de Derechos Humanos de la Fiscalía General de la Nación] y, en su caso, en la promoción de una acción de revisión”.</w:t>
      </w:r>
      <w:r>
        <w:rPr>
          <w:sz w:val="20"/>
          <w:szCs w:val="20"/>
          <w:lang w:val="es-CR"/>
        </w:rPr>
        <w:t xml:space="preserve"> </w:t>
      </w:r>
    </w:p>
    <w:p w:rsidR="0068702D" w:rsidRPr="001618E6" w:rsidRDefault="0068702D" w:rsidP="0068702D">
      <w:pPr>
        <w:pStyle w:val="Listavistosa-nfasis12"/>
        <w:spacing w:after="0" w:line="240" w:lineRule="auto"/>
        <w:ind w:left="0"/>
        <w:contextualSpacing w:val="0"/>
        <w:rPr>
          <w:sz w:val="20"/>
          <w:szCs w:val="20"/>
          <w:lang w:val="es-CR"/>
        </w:rPr>
      </w:pPr>
    </w:p>
    <w:p w:rsidR="00006047" w:rsidRPr="001618E6" w:rsidRDefault="0068702D" w:rsidP="00FB14DE">
      <w:pPr>
        <w:pStyle w:val="Listavistosa-nfasis12"/>
        <w:numPr>
          <w:ilvl w:val="0"/>
          <w:numId w:val="2"/>
        </w:numPr>
        <w:spacing w:after="0" w:line="240" w:lineRule="auto"/>
        <w:ind w:left="0" w:firstLine="0"/>
        <w:contextualSpacing w:val="0"/>
        <w:rPr>
          <w:sz w:val="20"/>
          <w:szCs w:val="20"/>
          <w:lang w:val="es-CR"/>
        </w:rPr>
      </w:pPr>
      <w:r w:rsidRPr="001618E6">
        <w:rPr>
          <w:sz w:val="20"/>
          <w:szCs w:val="20"/>
          <w:lang w:val="es-CR"/>
        </w:rPr>
        <w:t>Finalmente, en la Resolución de supervisión de febrero de 2012</w:t>
      </w:r>
      <w:r w:rsidR="004B7D39">
        <w:rPr>
          <w:rStyle w:val="Refdenotaalpie"/>
          <w:sz w:val="20"/>
          <w:szCs w:val="20"/>
          <w:lang w:val="es-CR"/>
        </w:rPr>
        <w:footnoteReference w:id="18"/>
      </w:r>
      <w:r w:rsidRPr="001618E6">
        <w:rPr>
          <w:sz w:val="20"/>
          <w:szCs w:val="20"/>
          <w:lang w:val="es-CR"/>
        </w:rPr>
        <w:t xml:space="preserve">, la Corte </w:t>
      </w:r>
      <w:r w:rsidR="00C050BD" w:rsidRPr="001618E6">
        <w:rPr>
          <w:sz w:val="20"/>
          <w:szCs w:val="20"/>
          <w:lang w:val="es-CR"/>
        </w:rPr>
        <w:t>destacó que</w:t>
      </w:r>
      <w:r w:rsidR="00ED5155">
        <w:rPr>
          <w:sz w:val="20"/>
          <w:szCs w:val="20"/>
          <w:lang w:val="es-CR"/>
        </w:rPr>
        <w:t xml:space="preserve"> la información presentada por </w:t>
      </w:r>
      <w:r w:rsidR="0068009B" w:rsidRPr="001618E6">
        <w:rPr>
          <w:sz w:val="20"/>
          <w:szCs w:val="20"/>
          <w:lang w:val="es-CR"/>
        </w:rPr>
        <w:t>el Estado</w:t>
      </w:r>
      <w:r w:rsidR="00ED5155">
        <w:rPr>
          <w:sz w:val="20"/>
          <w:szCs w:val="20"/>
          <w:lang w:val="es-CR"/>
        </w:rPr>
        <w:t xml:space="preserve"> sobre la investigación</w:t>
      </w:r>
      <w:r w:rsidR="0068009B" w:rsidRPr="001618E6">
        <w:rPr>
          <w:sz w:val="20"/>
          <w:szCs w:val="20"/>
          <w:lang w:val="es-CR"/>
        </w:rPr>
        <w:t xml:space="preserve"> </w:t>
      </w:r>
      <w:r w:rsidR="00ED5155">
        <w:rPr>
          <w:sz w:val="20"/>
          <w:szCs w:val="20"/>
          <w:lang w:val="es-CR"/>
        </w:rPr>
        <w:t>era “insuficiente”, sin incluir “mayores detalles sobre las diligencias practicadas tales como los objetivos o sus resultados”</w:t>
      </w:r>
      <w:r w:rsidR="009066B7">
        <w:rPr>
          <w:sz w:val="20"/>
          <w:szCs w:val="20"/>
          <w:lang w:val="es-CR"/>
        </w:rPr>
        <w:t>, que le permitiesen al Tribunal “corroborar los avances en el cumplimiento de esta medida”.</w:t>
      </w:r>
      <w:r w:rsidR="00ED5155">
        <w:rPr>
          <w:sz w:val="20"/>
          <w:szCs w:val="20"/>
          <w:lang w:val="es-CR"/>
        </w:rPr>
        <w:t xml:space="preserve"> </w:t>
      </w:r>
      <w:r w:rsidR="003B67ED" w:rsidRPr="001618E6">
        <w:rPr>
          <w:sz w:val="20"/>
          <w:szCs w:val="20"/>
          <w:lang w:val="es-CR"/>
        </w:rPr>
        <w:t xml:space="preserve">En virtud de </w:t>
      </w:r>
      <w:r w:rsidR="009066B7">
        <w:rPr>
          <w:sz w:val="20"/>
          <w:szCs w:val="20"/>
          <w:lang w:val="es-CR"/>
        </w:rPr>
        <w:t>lo anterior</w:t>
      </w:r>
      <w:r w:rsidR="003B67ED" w:rsidRPr="001618E6">
        <w:rPr>
          <w:sz w:val="20"/>
          <w:szCs w:val="20"/>
          <w:lang w:val="es-CR"/>
        </w:rPr>
        <w:t xml:space="preserve">, </w:t>
      </w:r>
      <w:r w:rsidR="009066B7">
        <w:rPr>
          <w:sz w:val="20"/>
          <w:szCs w:val="20"/>
          <w:lang w:val="es-CR"/>
        </w:rPr>
        <w:t xml:space="preserve">la Corte </w:t>
      </w:r>
      <w:r w:rsidR="003B67ED" w:rsidRPr="001618E6">
        <w:rPr>
          <w:sz w:val="20"/>
          <w:szCs w:val="20"/>
          <w:lang w:val="es-CR"/>
        </w:rPr>
        <w:t xml:space="preserve">solicitó a </w:t>
      </w:r>
      <w:r w:rsidR="009066B7">
        <w:rPr>
          <w:sz w:val="20"/>
          <w:szCs w:val="20"/>
          <w:lang w:val="es-CR"/>
        </w:rPr>
        <w:t>Colombia información específica sobre: i) el estado de la investigación penal</w:t>
      </w:r>
      <w:r w:rsidR="003B67ED" w:rsidRPr="001618E6">
        <w:rPr>
          <w:rStyle w:val="Refdenotaalpie"/>
          <w:sz w:val="20"/>
          <w:szCs w:val="20"/>
          <w:lang w:val="es-CR"/>
        </w:rPr>
        <w:footnoteReference w:id="19"/>
      </w:r>
      <w:r w:rsidR="009066B7">
        <w:rPr>
          <w:sz w:val="20"/>
          <w:szCs w:val="20"/>
          <w:lang w:val="es-CR"/>
        </w:rPr>
        <w:t xml:space="preserve">; ii) la </w:t>
      </w:r>
      <w:r w:rsidR="009066B7" w:rsidRPr="00AE6887">
        <w:rPr>
          <w:sz w:val="20"/>
          <w:szCs w:val="20"/>
          <w:lang w:val="es-CR"/>
        </w:rPr>
        <w:t>“i</w:t>
      </w:r>
      <w:r w:rsidR="009066B7" w:rsidRPr="00982566">
        <w:rPr>
          <w:sz w:val="20"/>
          <w:szCs w:val="20"/>
          <w:lang w:val="es-CR"/>
        </w:rPr>
        <w:t>dentificación de problemáticas que impidan el adecuado cumplimiento de la obligación de investigar por parte del Estado, y que provoquen que el caso continúe en etapa de investigación previa, que no permitan la apertura de instrucción y, en particular, aquellas que dificulten la identificación de presuntos autores</w:t>
      </w:r>
      <w:r w:rsidR="009066B7">
        <w:rPr>
          <w:sz w:val="20"/>
          <w:szCs w:val="20"/>
          <w:lang w:val="es-CR"/>
        </w:rPr>
        <w:t>”</w:t>
      </w:r>
      <w:r w:rsidR="004B7D39">
        <w:rPr>
          <w:sz w:val="20"/>
          <w:szCs w:val="20"/>
          <w:lang w:val="es-CR"/>
        </w:rPr>
        <w:t>, y iii) las “circunstancias” que harían que “la interposición de una acción de revisión” fuese “viable”.</w:t>
      </w:r>
      <w:r w:rsidR="003B67ED" w:rsidRPr="001618E6">
        <w:rPr>
          <w:sz w:val="20"/>
          <w:szCs w:val="20"/>
          <w:lang w:val="es-CR"/>
        </w:rPr>
        <w:t xml:space="preserve"> </w:t>
      </w:r>
    </w:p>
    <w:p w:rsidR="00006047" w:rsidRPr="001618E6" w:rsidRDefault="00006047" w:rsidP="00006047">
      <w:pPr>
        <w:pStyle w:val="Listavistosa-nfasis12"/>
        <w:spacing w:after="0" w:line="240" w:lineRule="auto"/>
        <w:contextualSpacing w:val="0"/>
        <w:rPr>
          <w:sz w:val="20"/>
          <w:szCs w:val="20"/>
          <w:lang w:val="es-CR"/>
        </w:rPr>
      </w:pPr>
    </w:p>
    <w:p w:rsidR="00035F27" w:rsidRPr="001618E6" w:rsidRDefault="00AB4564" w:rsidP="005366E3">
      <w:pPr>
        <w:pStyle w:val="Listavistosa-nfasis12"/>
        <w:spacing w:after="0" w:line="240" w:lineRule="auto"/>
        <w:ind w:left="0" w:firstLine="720"/>
        <w:contextualSpacing w:val="0"/>
        <w:rPr>
          <w:i/>
          <w:sz w:val="20"/>
          <w:lang w:val="es-MX"/>
        </w:rPr>
      </w:pPr>
      <w:r>
        <w:rPr>
          <w:i/>
          <w:sz w:val="20"/>
          <w:lang w:val="es-MX"/>
        </w:rPr>
        <w:t>B</w:t>
      </w:r>
      <w:r w:rsidR="00035F27" w:rsidRPr="001618E6">
        <w:rPr>
          <w:i/>
          <w:sz w:val="20"/>
          <w:lang w:val="es-MX"/>
        </w:rPr>
        <w:t>. Consideraciones de la Corte</w:t>
      </w:r>
    </w:p>
    <w:p w:rsidR="001618E6" w:rsidRPr="001618E6" w:rsidRDefault="001618E6" w:rsidP="005366E3">
      <w:pPr>
        <w:pStyle w:val="Listavistosa-nfasis12"/>
        <w:spacing w:after="0" w:line="240" w:lineRule="auto"/>
        <w:ind w:left="0" w:firstLine="720"/>
        <w:contextualSpacing w:val="0"/>
        <w:rPr>
          <w:i/>
          <w:sz w:val="20"/>
          <w:lang w:val="es-MX"/>
        </w:rPr>
      </w:pPr>
    </w:p>
    <w:p w:rsidR="006B5D7D" w:rsidRDefault="00D25DA6" w:rsidP="00AE6887">
      <w:pPr>
        <w:numPr>
          <w:ilvl w:val="0"/>
          <w:numId w:val="2"/>
        </w:numPr>
        <w:spacing w:after="0" w:line="240" w:lineRule="auto"/>
        <w:ind w:left="0" w:firstLine="0"/>
        <w:jc w:val="both"/>
        <w:rPr>
          <w:rFonts w:ascii="Verdana" w:hAnsi="Verdana"/>
          <w:sz w:val="20"/>
          <w:lang w:val="es-MX"/>
        </w:rPr>
      </w:pPr>
      <w:r w:rsidRPr="00982566">
        <w:rPr>
          <w:rFonts w:ascii="Verdana" w:hAnsi="Verdana"/>
          <w:sz w:val="20"/>
          <w:lang w:val="es-MX"/>
        </w:rPr>
        <w:t xml:space="preserve">La Corte recuerda que </w:t>
      </w:r>
      <w:r w:rsidRPr="00982566">
        <w:rPr>
          <w:rFonts w:ascii="Verdana" w:hAnsi="Verdana"/>
          <w:sz w:val="20"/>
          <w:lang w:val="es-CR"/>
        </w:rPr>
        <w:t>en</w:t>
      </w:r>
      <w:r>
        <w:rPr>
          <w:rFonts w:ascii="Verdana" w:hAnsi="Verdana"/>
          <w:sz w:val="20"/>
          <w:lang w:val="es-CR"/>
        </w:rPr>
        <w:t xml:space="preserve"> razón de la detención y desaparición del señor Isidro Caballero Delgado y de la señora María del Carmen Santana por parte de miembros del Ejército colombiano y por civiles que actuaban como militares</w:t>
      </w:r>
      <w:r>
        <w:rPr>
          <w:rStyle w:val="Refdenotaalpie"/>
          <w:rFonts w:ascii="Verdana" w:hAnsi="Verdana"/>
          <w:sz w:val="20"/>
          <w:lang w:val="es-CR"/>
        </w:rPr>
        <w:footnoteReference w:id="20"/>
      </w:r>
      <w:r>
        <w:rPr>
          <w:rFonts w:ascii="Verdana" w:hAnsi="Verdana"/>
          <w:sz w:val="20"/>
          <w:lang w:val="es-CR"/>
        </w:rPr>
        <w:t xml:space="preserve">, </w:t>
      </w:r>
      <w:r w:rsidR="006B5D7D">
        <w:rPr>
          <w:rFonts w:ascii="Verdana" w:hAnsi="Verdana"/>
          <w:sz w:val="20"/>
          <w:lang w:val="es-CR"/>
        </w:rPr>
        <w:t>determinó</w:t>
      </w:r>
      <w:r w:rsidRPr="00982566">
        <w:rPr>
          <w:rFonts w:ascii="Verdana" w:hAnsi="Verdana"/>
          <w:sz w:val="20"/>
          <w:lang w:val="es-CR"/>
        </w:rPr>
        <w:t xml:space="preserve"> </w:t>
      </w:r>
      <w:r w:rsidR="006B5D7D">
        <w:rPr>
          <w:rFonts w:ascii="Verdana" w:hAnsi="Verdana"/>
          <w:sz w:val="20"/>
          <w:lang w:val="es-CR"/>
        </w:rPr>
        <w:t>en la Sentencia d</w:t>
      </w:r>
      <w:r w:rsidR="006B5D7D" w:rsidRPr="00FF25F4">
        <w:rPr>
          <w:rFonts w:ascii="Verdana" w:hAnsi="Verdana"/>
          <w:sz w:val="20"/>
          <w:lang w:val="es-CR"/>
        </w:rPr>
        <w:t xml:space="preserve">el presente caso </w:t>
      </w:r>
      <w:r>
        <w:rPr>
          <w:rFonts w:ascii="Verdana" w:hAnsi="Verdana"/>
          <w:sz w:val="20"/>
          <w:lang w:val="es-CR"/>
        </w:rPr>
        <w:t>que el Estado era internacionalmente responsable por la</w:t>
      </w:r>
      <w:r w:rsidRPr="00982566">
        <w:rPr>
          <w:rFonts w:ascii="Verdana" w:hAnsi="Verdana"/>
          <w:sz w:val="20"/>
          <w:lang w:val="es-CR"/>
        </w:rPr>
        <w:t xml:space="preserve"> violación a los derechos a la vida y a la libertad personal</w:t>
      </w:r>
      <w:r>
        <w:rPr>
          <w:rFonts w:ascii="Verdana" w:hAnsi="Verdana"/>
          <w:sz w:val="20"/>
          <w:lang w:val="es-CR"/>
        </w:rPr>
        <w:t xml:space="preserve"> de las referidas víctimas</w:t>
      </w:r>
      <w:r w:rsidRPr="00982566">
        <w:rPr>
          <w:rFonts w:ascii="Verdana" w:hAnsi="Verdana"/>
          <w:sz w:val="20"/>
          <w:lang w:val="es-CR"/>
        </w:rPr>
        <w:t xml:space="preserve"> </w:t>
      </w:r>
      <w:r w:rsidR="00DA4E35">
        <w:rPr>
          <w:rFonts w:ascii="Verdana" w:hAnsi="Verdana"/>
          <w:sz w:val="20"/>
          <w:lang w:val="es-CR"/>
        </w:rPr>
        <w:t>(</w:t>
      </w:r>
      <w:r w:rsidR="00DA4E35">
        <w:rPr>
          <w:rFonts w:ascii="Verdana" w:hAnsi="Verdana"/>
          <w:i/>
          <w:sz w:val="20"/>
          <w:lang w:val="es-CR"/>
        </w:rPr>
        <w:t xml:space="preserve">supra </w:t>
      </w:r>
      <w:r w:rsidR="00DA4E35">
        <w:rPr>
          <w:rFonts w:ascii="Verdana" w:hAnsi="Verdana"/>
          <w:sz w:val="20"/>
          <w:lang w:val="es-CR"/>
        </w:rPr>
        <w:t>Visto 1)</w:t>
      </w:r>
      <w:r>
        <w:rPr>
          <w:rFonts w:ascii="Verdana" w:hAnsi="Verdana"/>
          <w:sz w:val="20"/>
          <w:lang w:val="es-CR"/>
        </w:rPr>
        <w:t xml:space="preserve">. Asimismo, </w:t>
      </w:r>
      <w:r w:rsidR="003C6672" w:rsidRPr="00AE6887">
        <w:rPr>
          <w:rFonts w:ascii="Verdana" w:hAnsi="Verdana"/>
          <w:sz w:val="20"/>
          <w:lang w:val="es-CR"/>
        </w:rPr>
        <w:t>conforme a la</w:t>
      </w:r>
      <w:r w:rsidRPr="00982566">
        <w:rPr>
          <w:rFonts w:ascii="Verdana" w:hAnsi="Verdana"/>
          <w:sz w:val="20"/>
          <w:lang w:val="es-CR"/>
        </w:rPr>
        <w:t xml:space="preserve"> jurisprudencia constante</w:t>
      </w:r>
      <w:r w:rsidR="003C6672">
        <w:rPr>
          <w:rFonts w:ascii="Verdana" w:hAnsi="Verdana"/>
          <w:sz w:val="20"/>
          <w:lang w:val="es-CR"/>
        </w:rPr>
        <w:t xml:space="preserve"> del Tribunal</w:t>
      </w:r>
      <w:r w:rsidRPr="00982566">
        <w:rPr>
          <w:rFonts w:ascii="Verdana" w:hAnsi="Verdana"/>
          <w:sz w:val="20"/>
          <w:lang w:val="es-CR"/>
        </w:rPr>
        <w:t xml:space="preserve">, de dichas violaciones </w:t>
      </w:r>
      <w:r w:rsidR="006B5D7D">
        <w:rPr>
          <w:rFonts w:ascii="Verdana" w:hAnsi="Verdana"/>
          <w:sz w:val="20"/>
          <w:lang w:val="es-CR"/>
        </w:rPr>
        <w:t>surge</w:t>
      </w:r>
      <w:r w:rsidRPr="00982566">
        <w:rPr>
          <w:rFonts w:ascii="Verdana" w:hAnsi="Verdana"/>
          <w:sz w:val="20"/>
          <w:lang w:val="es-CR"/>
        </w:rPr>
        <w:t xml:space="preserve"> la obligación de investigar los hechos por parte del Estado</w:t>
      </w:r>
      <w:r>
        <w:rPr>
          <w:rFonts w:ascii="Verdana" w:hAnsi="Verdana"/>
          <w:sz w:val="20"/>
          <w:lang w:val="es-CR"/>
        </w:rPr>
        <w:t xml:space="preserve">. </w:t>
      </w:r>
      <w:r w:rsidR="006B5D7D">
        <w:rPr>
          <w:rFonts w:ascii="Verdana" w:hAnsi="Verdana"/>
          <w:sz w:val="20"/>
          <w:lang w:val="es-MX"/>
        </w:rPr>
        <w:t>No obstante lo anterior, la Corte ha constatado que a</w:t>
      </w:r>
      <w:r w:rsidR="00D74878">
        <w:rPr>
          <w:rFonts w:ascii="Verdana" w:hAnsi="Verdana"/>
          <w:sz w:val="20"/>
          <w:lang w:val="es-MX"/>
        </w:rPr>
        <w:t xml:space="preserve"> lo largo de la etapa de supervisión de cumplimiento de </w:t>
      </w:r>
      <w:r w:rsidR="006B5D7D">
        <w:rPr>
          <w:rFonts w:ascii="Verdana" w:hAnsi="Verdana"/>
          <w:sz w:val="20"/>
          <w:lang w:val="es-MX"/>
        </w:rPr>
        <w:t xml:space="preserve">la </w:t>
      </w:r>
      <w:r w:rsidR="00D74878">
        <w:rPr>
          <w:rFonts w:ascii="Verdana" w:hAnsi="Verdana"/>
          <w:sz w:val="20"/>
          <w:lang w:val="es-MX"/>
        </w:rPr>
        <w:t>Sentencia</w:t>
      </w:r>
      <w:r w:rsidR="006B5D7D">
        <w:rPr>
          <w:rFonts w:ascii="Verdana" w:hAnsi="Verdana"/>
          <w:sz w:val="20"/>
          <w:lang w:val="es-MX"/>
        </w:rPr>
        <w:t xml:space="preserve"> emitida hace más de 23 años</w:t>
      </w:r>
      <w:r w:rsidR="002A3936">
        <w:rPr>
          <w:rFonts w:ascii="Verdana" w:hAnsi="Verdana"/>
          <w:sz w:val="20"/>
          <w:lang w:val="es-MX"/>
        </w:rPr>
        <w:t xml:space="preserve"> </w:t>
      </w:r>
      <w:r w:rsidR="006B5D7D">
        <w:rPr>
          <w:rFonts w:ascii="Verdana" w:hAnsi="Verdana"/>
          <w:sz w:val="20"/>
          <w:lang w:val="es-MX"/>
        </w:rPr>
        <w:t>(</w:t>
      </w:r>
      <w:r w:rsidR="006B5D7D">
        <w:rPr>
          <w:rFonts w:ascii="Verdana" w:hAnsi="Verdana"/>
          <w:i/>
          <w:sz w:val="20"/>
          <w:lang w:val="es-MX"/>
        </w:rPr>
        <w:t xml:space="preserve">supra </w:t>
      </w:r>
      <w:r w:rsidR="006B5D7D">
        <w:rPr>
          <w:rFonts w:ascii="Verdana" w:hAnsi="Verdana"/>
          <w:sz w:val="20"/>
          <w:lang w:val="es-MX"/>
        </w:rPr>
        <w:t>Visto 1),</w:t>
      </w:r>
      <w:r w:rsidR="00D74878">
        <w:rPr>
          <w:rFonts w:ascii="Verdana" w:hAnsi="Verdana"/>
          <w:sz w:val="20"/>
          <w:lang w:val="es-MX"/>
        </w:rPr>
        <w:t xml:space="preserve"> el Estado ha presentado </w:t>
      </w:r>
      <w:r w:rsidR="00B61752">
        <w:rPr>
          <w:rFonts w:ascii="Verdana" w:hAnsi="Verdana"/>
          <w:sz w:val="20"/>
          <w:lang w:val="es-MX"/>
        </w:rPr>
        <w:t xml:space="preserve">escasa </w:t>
      </w:r>
      <w:r w:rsidR="00D74878">
        <w:rPr>
          <w:rFonts w:ascii="Verdana" w:hAnsi="Verdana"/>
          <w:sz w:val="20"/>
          <w:lang w:val="es-MX"/>
        </w:rPr>
        <w:t xml:space="preserve">información </w:t>
      </w:r>
      <w:r w:rsidR="00B61752">
        <w:rPr>
          <w:rFonts w:ascii="Verdana" w:hAnsi="Verdana"/>
          <w:sz w:val="20"/>
          <w:lang w:val="es-MX"/>
        </w:rPr>
        <w:t>que permita valorar un cumplimiento sustancial de la referida obligación</w:t>
      </w:r>
      <w:r w:rsidR="006B5D7D">
        <w:rPr>
          <w:rFonts w:ascii="Verdana" w:hAnsi="Verdana"/>
          <w:sz w:val="20"/>
          <w:lang w:val="es-MX"/>
        </w:rPr>
        <w:t xml:space="preserve"> (</w:t>
      </w:r>
      <w:r w:rsidR="00194934">
        <w:rPr>
          <w:rFonts w:ascii="Verdana" w:hAnsi="Verdana"/>
          <w:i/>
          <w:sz w:val="20"/>
          <w:lang w:val="es-MX"/>
        </w:rPr>
        <w:t>infra</w:t>
      </w:r>
      <w:r w:rsidR="006B5D7D">
        <w:rPr>
          <w:rFonts w:ascii="Verdana" w:hAnsi="Verdana"/>
          <w:i/>
          <w:sz w:val="20"/>
          <w:lang w:val="es-MX"/>
        </w:rPr>
        <w:t xml:space="preserve"> </w:t>
      </w:r>
      <w:r w:rsidR="006B5D7D">
        <w:rPr>
          <w:rFonts w:ascii="Verdana" w:hAnsi="Verdana"/>
          <w:sz w:val="20"/>
          <w:lang w:val="es-MX"/>
        </w:rPr>
        <w:t xml:space="preserve">Considerando </w:t>
      </w:r>
      <w:r w:rsidR="00DA4E35">
        <w:rPr>
          <w:rFonts w:ascii="Verdana" w:hAnsi="Verdana"/>
          <w:sz w:val="20"/>
          <w:lang w:val="es-MX"/>
        </w:rPr>
        <w:t>13</w:t>
      </w:r>
      <w:r w:rsidR="006B5D7D">
        <w:rPr>
          <w:rFonts w:ascii="Verdana" w:hAnsi="Verdana"/>
          <w:sz w:val="20"/>
          <w:lang w:val="es-MX"/>
        </w:rPr>
        <w:t>)</w:t>
      </w:r>
      <w:r w:rsidR="00B640D3">
        <w:rPr>
          <w:rFonts w:ascii="Verdana" w:hAnsi="Verdana"/>
          <w:sz w:val="20"/>
          <w:lang w:val="es-MX"/>
        </w:rPr>
        <w:t xml:space="preserve"> </w:t>
      </w:r>
      <w:r w:rsidR="00C24306">
        <w:rPr>
          <w:rFonts w:ascii="Verdana" w:hAnsi="Verdana"/>
          <w:sz w:val="20"/>
          <w:lang w:val="es-MX"/>
        </w:rPr>
        <w:t>y observa</w:t>
      </w:r>
      <w:r w:rsidR="0040486A">
        <w:rPr>
          <w:rFonts w:ascii="Verdana" w:hAnsi="Verdana"/>
          <w:sz w:val="20"/>
          <w:lang w:val="es-MX"/>
        </w:rPr>
        <w:t>,</w:t>
      </w:r>
      <w:r w:rsidR="00C24306">
        <w:rPr>
          <w:rFonts w:ascii="Verdana" w:hAnsi="Verdana"/>
          <w:sz w:val="20"/>
          <w:lang w:val="es-MX"/>
        </w:rPr>
        <w:t xml:space="preserve"> con </w:t>
      </w:r>
      <w:r w:rsidR="0040486A">
        <w:rPr>
          <w:rFonts w:ascii="Verdana" w:hAnsi="Verdana"/>
          <w:sz w:val="20"/>
          <w:lang w:val="es-MX"/>
        </w:rPr>
        <w:t xml:space="preserve">suma </w:t>
      </w:r>
      <w:r w:rsidR="00C24306">
        <w:rPr>
          <w:rFonts w:ascii="Verdana" w:hAnsi="Verdana"/>
          <w:sz w:val="20"/>
          <w:lang w:val="es-MX"/>
        </w:rPr>
        <w:t xml:space="preserve">preocupación </w:t>
      </w:r>
      <w:r w:rsidR="00B640D3">
        <w:rPr>
          <w:rFonts w:ascii="Verdana" w:hAnsi="Verdana"/>
          <w:sz w:val="20"/>
          <w:lang w:val="es-MX"/>
        </w:rPr>
        <w:t xml:space="preserve">que, 30 años después </w:t>
      </w:r>
      <w:r w:rsidR="0040486A">
        <w:rPr>
          <w:rFonts w:ascii="Verdana" w:hAnsi="Verdana"/>
          <w:sz w:val="20"/>
          <w:lang w:val="es-MX"/>
        </w:rPr>
        <w:t>del inicio de las desapariciones forzadas de las víctimas, la investigación</w:t>
      </w:r>
      <w:r w:rsidR="00B640D3">
        <w:rPr>
          <w:rFonts w:ascii="Verdana" w:hAnsi="Verdana"/>
          <w:sz w:val="20"/>
          <w:lang w:val="es-MX"/>
        </w:rPr>
        <w:t xml:space="preserve"> continúa “en etapa de instrucción”</w:t>
      </w:r>
      <w:r w:rsidR="00B640D3">
        <w:rPr>
          <w:rStyle w:val="Refdenotaalpie"/>
          <w:rFonts w:ascii="Verdana" w:hAnsi="Verdana"/>
          <w:sz w:val="20"/>
          <w:lang w:val="es-MX"/>
        </w:rPr>
        <w:footnoteReference w:id="21"/>
      </w:r>
      <w:r w:rsidR="00D74878">
        <w:rPr>
          <w:rFonts w:ascii="Verdana" w:hAnsi="Verdana"/>
          <w:sz w:val="20"/>
          <w:lang w:val="es-MX"/>
        </w:rPr>
        <w:t>.</w:t>
      </w:r>
      <w:r w:rsidR="00DA7372">
        <w:rPr>
          <w:rFonts w:ascii="Verdana" w:hAnsi="Verdana"/>
          <w:sz w:val="20"/>
          <w:lang w:val="es-MX"/>
        </w:rPr>
        <w:t xml:space="preserve"> </w:t>
      </w:r>
    </w:p>
    <w:p w:rsidR="006B5D7D" w:rsidRDefault="006B5D7D" w:rsidP="00982566">
      <w:pPr>
        <w:spacing w:after="0" w:line="240" w:lineRule="auto"/>
        <w:jc w:val="both"/>
        <w:rPr>
          <w:rFonts w:ascii="Verdana" w:hAnsi="Verdana"/>
          <w:sz w:val="20"/>
          <w:lang w:val="es-MX"/>
        </w:rPr>
      </w:pPr>
    </w:p>
    <w:p w:rsidR="006D7FE0" w:rsidRPr="00AE6887" w:rsidRDefault="006D7FE0" w:rsidP="00AE6887">
      <w:pPr>
        <w:numPr>
          <w:ilvl w:val="0"/>
          <w:numId w:val="2"/>
        </w:numPr>
        <w:spacing w:after="0" w:line="240" w:lineRule="auto"/>
        <w:ind w:left="0" w:firstLine="0"/>
        <w:jc w:val="both"/>
        <w:rPr>
          <w:rFonts w:ascii="Verdana" w:hAnsi="Verdana"/>
          <w:sz w:val="20"/>
          <w:szCs w:val="20"/>
          <w:lang w:val="es-MX"/>
        </w:rPr>
      </w:pPr>
      <w:r>
        <w:rPr>
          <w:rFonts w:ascii="Verdana" w:hAnsi="Verdana"/>
          <w:sz w:val="20"/>
          <w:lang w:val="es-MX"/>
        </w:rPr>
        <w:t xml:space="preserve">El Tribunal </w:t>
      </w:r>
      <w:r w:rsidR="0040486A" w:rsidRPr="00AE6887">
        <w:rPr>
          <w:rFonts w:ascii="Verdana" w:hAnsi="Verdana"/>
          <w:sz w:val="20"/>
          <w:lang w:val="es-MX"/>
        </w:rPr>
        <w:t xml:space="preserve">también </w:t>
      </w:r>
      <w:r w:rsidRPr="00AE6887">
        <w:rPr>
          <w:rFonts w:ascii="Verdana" w:hAnsi="Verdana"/>
          <w:sz w:val="20"/>
          <w:lang w:val="es-MX"/>
        </w:rPr>
        <w:t>recuerda que</w:t>
      </w:r>
      <w:r w:rsidR="009E61F3" w:rsidRPr="00982566">
        <w:rPr>
          <w:rFonts w:ascii="Verdana" w:hAnsi="Verdana"/>
          <w:sz w:val="20"/>
          <w:lang w:val="es-MX"/>
        </w:rPr>
        <w:t xml:space="preserve"> </w:t>
      </w:r>
      <w:r w:rsidR="0040486A" w:rsidRPr="00982566">
        <w:rPr>
          <w:rFonts w:ascii="Verdana" w:hAnsi="Verdana"/>
          <w:sz w:val="20"/>
          <w:lang w:val="es-MX"/>
        </w:rPr>
        <w:t>en el marco de los dos procesos penales iniciados por los hechos del caso</w:t>
      </w:r>
      <w:r w:rsidR="00194934" w:rsidRPr="00982566">
        <w:rPr>
          <w:rFonts w:ascii="Verdana" w:hAnsi="Verdana"/>
          <w:sz w:val="20"/>
          <w:lang w:val="es-MX"/>
        </w:rPr>
        <w:t xml:space="preserve"> (</w:t>
      </w:r>
      <w:r w:rsidR="00194934" w:rsidRPr="00982566">
        <w:rPr>
          <w:rFonts w:ascii="Verdana" w:hAnsi="Verdana"/>
          <w:i/>
          <w:sz w:val="20"/>
          <w:lang w:val="es-MX"/>
        </w:rPr>
        <w:t xml:space="preserve">supra </w:t>
      </w:r>
      <w:r w:rsidR="00194934" w:rsidRPr="00982566">
        <w:rPr>
          <w:rFonts w:ascii="Verdana" w:hAnsi="Verdana"/>
          <w:sz w:val="20"/>
          <w:lang w:val="es-MX"/>
        </w:rPr>
        <w:t>Considerando</w:t>
      </w:r>
      <w:r w:rsidR="008B36BF">
        <w:rPr>
          <w:rFonts w:ascii="Verdana" w:hAnsi="Verdana"/>
          <w:sz w:val="20"/>
          <w:lang w:val="es-MX"/>
        </w:rPr>
        <w:t xml:space="preserve"> 5</w:t>
      </w:r>
      <w:r w:rsidR="00194934">
        <w:rPr>
          <w:rFonts w:ascii="Verdana" w:hAnsi="Verdana"/>
          <w:sz w:val="20"/>
          <w:lang w:val="es-MX"/>
        </w:rPr>
        <w:t>)</w:t>
      </w:r>
      <w:r w:rsidR="0040486A">
        <w:rPr>
          <w:rFonts w:ascii="Verdana" w:hAnsi="Verdana"/>
          <w:sz w:val="20"/>
          <w:lang w:val="es-MX"/>
        </w:rPr>
        <w:t xml:space="preserve">, </w:t>
      </w:r>
      <w:r w:rsidR="009E61F3">
        <w:rPr>
          <w:rFonts w:ascii="Verdana" w:hAnsi="Verdana"/>
          <w:sz w:val="20"/>
          <w:lang w:val="es-MX"/>
        </w:rPr>
        <w:t>el 11 de septiembre de 1990</w:t>
      </w:r>
      <w:r w:rsidR="00F06CAB">
        <w:rPr>
          <w:rFonts w:ascii="Verdana" w:hAnsi="Verdana"/>
          <w:sz w:val="20"/>
          <w:lang w:val="es-MX"/>
        </w:rPr>
        <w:t xml:space="preserve"> el Juzgado Segundo de Orden Público de Valledupar </w:t>
      </w:r>
      <w:r w:rsidR="009E61F3">
        <w:rPr>
          <w:rFonts w:ascii="Verdana" w:hAnsi="Verdana"/>
          <w:sz w:val="20"/>
          <w:lang w:val="es-MX"/>
        </w:rPr>
        <w:t xml:space="preserve">emitió una sentencia mediante la cual </w:t>
      </w:r>
      <w:r w:rsidR="00F06CAB">
        <w:rPr>
          <w:rFonts w:ascii="Verdana" w:hAnsi="Verdana"/>
          <w:sz w:val="20"/>
          <w:lang w:val="es-MX"/>
        </w:rPr>
        <w:t xml:space="preserve">“absolvió” a cuatro “sindicados” por el “delito de secuestro” en perjuicio </w:t>
      </w:r>
      <w:r w:rsidR="00F06CAB" w:rsidRPr="00AE6887">
        <w:rPr>
          <w:rFonts w:ascii="Verdana" w:hAnsi="Verdana"/>
          <w:sz w:val="20"/>
          <w:lang w:val="es-MX"/>
        </w:rPr>
        <w:t>del señor Caballero Delgado y la señora Santana</w:t>
      </w:r>
      <w:r w:rsidR="00F06CAB">
        <w:rPr>
          <w:rStyle w:val="Refdenotaalpie"/>
          <w:rFonts w:ascii="Verdana" w:hAnsi="Verdana"/>
          <w:sz w:val="20"/>
          <w:lang w:val="es-MX"/>
        </w:rPr>
        <w:footnoteReference w:id="22"/>
      </w:r>
      <w:r w:rsidR="009E61F3">
        <w:rPr>
          <w:rFonts w:ascii="Verdana" w:hAnsi="Verdana"/>
          <w:sz w:val="20"/>
          <w:lang w:val="es-MX"/>
        </w:rPr>
        <w:t xml:space="preserve">, a la vez que </w:t>
      </w:r>
      <w:r w:rsidRPr="00AE6887">
        <w:rPr>
          <w:rFonts w:ascii="Verdana" w:hAnsi="Verdana"/>
          <w:sz w:val="20"/>
          <w:lang w:val="es-MX"/>
        </w:rPr>
        <w:t>el 10 de julio de 1998 el Tribunal Superior Militar de las Fuerzas Militares de Colombia emiti</w:t>
      </w:r>
      <w:r w:rsidRPr="00982566">
        <w:rPr>
          <w:rFonts w:ascii="Verdana" w:hAnsi="Verdana"/>
          <w:sz w:val="20"/>
          <w:lang w:val="es-MX"/>
        </w:rPr>
        <w:t xml:space="preserve">ó una decisión mediante la cual se declaró “la inexistencia de mérito para convocar a Consejo de Guerra [a un] Mayor General […] vinculado al proceso por los delitos de secuestro, desaparición y homicidio” en perjuicio </w:t>
      </w:r>
      <w:r w:rsidR="0040486A">
        <w:rPr>
          <w:rFonts w:ascii="Verdana" w:hAnsi="Verdana"/>
          <w:sz w:val="20"/>
          <w:lang w:val="es-MX"/>
        </w:rPr>
        <w:t>de las referidas víctimas</w:t>
      </w:r>
      <w:r>
        <w:rPr>
          <w:rStyle w:val="Refdenotaalpie"/>
          <w:rFonts w:ascii="Verdana" w:hAnsi="Verdana"/>
          <w:sz w:val="20"/>
          <w:lang w:val="es-MX"/>
        </w:rPr>
        <w:footnoteReference w:id="23"/>
      </w:r>
      <w:r w:rsidRPr="00AE6887">
        <w:rPr>
          <w:rFonts w:ascii="Verdana" w:hAnsi="Verdana"/>
          <w:sz w:val="20"/>
          <w:lang w:val="es-MX"/>
        </w:rPr>
        <w:t xml:space="preserve">. </w:t>
      </w:r>
      <w:r w:rsidR="00FD3CE7">
        <w:rPr>
          <w:rFonts w:ascii="Verdana" w:hAnsi="Verdana"/>
          <w:sz w:val="20"/>
          <w:lang w:val="es-MX"/>
        </w:rPr>
        <w:t xml:space="preserve">Al respecto, la Corte destacó </w:t>
      </w:r>
      <w:r w:rsidR="005C6837">
        <w:rPr>
          <w:rFonts w:ascii="Verdana" w:hAnsi="Verdana"/>
          <w:sz w:val="20"/>
          <w:lang w:val="es-MX"/>
        </w:rPr>
        <w:t xml:space="preserve">sistemáticamente </w:t>
      </w:r>
      <w:r w:rsidR="00FD3CE7">
        <w:rPr>
          <w:rFonts w:ascii="Verdana" w:hAnsi="Verdana"/>
          <w:sz w:val="20"/>
          <w:lang w:val="es-MX"/>
        </w:rPr>
        <w:t xml:space="preserve">desde su Resolución de supervisión de cumplimiento de noviembre de 2003 que el Estado, </w:t>
      </w:r>
      <w:r w:rsidR="00FD3CE7" w:rsidRPr="00AE6887">
        <w:rPr>
          <w:rFonts w:ascii="Verdana" w:hAnsi="Verdana"/>
          <w:sz w:val="20"/>
          <w:szCs w:val="20"/>
          <w:lang w:val="es-MX"/>
        </w:rPr>
        <w:t>bajo los paráme</w:t>
      </w:r>
      <w:r w:rsidR="00FD3CE7" w:rsidRPr="00982566">
        <w:rPr>
          <w:rFonts w:ascii="Verdana" w:hAnsi="Verdana"/>
          <w:sz w:val="20"/>
          <w:szCs w:val="20"/>
          <w:lang w:val="es-MX"/>
        </w:rPr>
        <w:t xml:space="preserve">tros de </w:t>
      </w:r>
      <w:r w:rsidR="000D351D" w:rsidRPr="00982566">
        <w:rPr>
          <w:rFonts w:ascii="Verdana" w:hAnsi="Verdana"/>
          <w:sz w:val="20"/>
          <w:szCs w:val="20"/>
          <w:lang w:val="es-MX"/>
        </w:rPr>
        <w:t>su</w:t>
      </w:r>
      <w:r w:rsidR="00FD3CE7" w:rsidRPr="00982566">
        <w:rPr>
          <w:rFonts w:ascii="Verdana" w:hAnsi="Verdana"/>
          <w:sz w:val="20"/>
          <w:szCs w:val="20"/>
          <w:lang w:val="es-MX"/>
        </w:rPr>
        <w:t xml:space="preserve"> Sentencia </w:t>
      </w:r>
      <w:r w:rsidR="000D351D" w:rsidRPr="00982566">
        <w:rPr>
          <w:rFonts w:ascii="Verdana" w:hAnsi="Verdana"/>
          <w:sz w:val="20"/>
          <w:szCs w:val="20"/>
          <w:lang w:val="es-MX"/>
        </w:rPr>
        <w:t xml:space="preserve">de fondo </w:t>
      </w:r>
      <w:r w:rsidR="00FD3CE7" w:rsidRPr="00982566">
        <w:rPr>
          <w:rFonts w:ascii="Verdana" w:hAnsi="Verdana"/>
          <w:sz w:val="20"/>
          <w:szCs w:val="20"/>
          <w:lang w:val="es-MX"/>
        </w:rPr>
        <w:t xml:space="preserve">y de la “[s]entencia </w:t>
      </w:r>
      <w:r w:rsidR="00FD3CE7" w:rsidRPr="00982566">
        <w:rPr>
          <w:rFonts w:ascii="Verdana" w:hAnsi="Verdana"/>
          <w:sz w:val="20"/>
          <w:szCs w:val="20"/>
          <w:lang w:val="es-CR"/>
        </w:rPr>
        <w:t>C-004 de 2003 de la Corte Constitucional de Colombia”</w:t>
      </w:r>
      <w:r w:rsidR="000D351D" w:rsidRPr="00982566">
        <w:rPr>
          <w:rFonts w:ascii="Verdana" w:hAnsi="Verdana"/>
          <w:sz w:val="20"/>
          <w:szCs w:val="20"/>
          <w:lang w:val="es-CR"/>
        </w:rPr>
        <w:t xml:space="preserve">, podría valorar la posibilidad de presentar una </w:t>
      </w:r>
      <w:r w:rsidR="005C6837">
        <w:rPr>
          <w:rFonts w:ascii="Verdana" w:hAnsi="Verdana"/>
          <w:sz w:val="20"/>
          <w:szCs w:val="20"/>
          <w:lang w:val="es-CR"/>
        </w:rPr>
        <w:t>“</w:t>
      </w:r>
      <w:r w:rsidR="000D351D" w:rsidRPr="00982566">
        <w:rPr>
          <w:rFonts w:ascii="Verdana" w:hAnsi="Verdana"/>
          <w:sz w:val="20"/>
          <w:szCs w:val="20"/>
          <w:lang w:val="es-CR"/>
        </w:rPr>
        <w:t>acción de revisión</w:t>
      </w:r>
      <w:r w:rsidR="005C6837">
        <w:rPr>
          <w:rFonts w:ascii="Verdana" w:hAnsi="Verdana"/>
          <w:sz w:val="20"/>
          <w:szCs w:val="20"/>
          <w:lang w:val="es-CR"/>
        </w:rPr>
        <w:t>”</w:t>
      </w:r>
      <w:r w:rsidR="000D351D" w:rsidRPr="00982566">
        <w:rPr>
          <w:rStyle w:val="Refdenotaalpie"/>
          <w:rFonts w:ascii="Verdana" w:hAnsi="Verdana"/>
          <w:sz w:val="20"/>
          <w:szCs w:val="20"/>
          <w:lang w:val="es-CR"/>
        </w:rPr>
        <w:footnoteReference w:id="24"/>
      </w:r>
      <w:r w:rsidR="000D351D" w:rsidRPr="00982566">
        <w:rPr>
          <w:rFonts w:ascii="Verdana" w:hAnsi="Verdana"/>
          <w:sz w:val="20"/>
          <w:szCs w:val="20"/>
          <w:lang w:val="es-CR"/>
        </w:rPr>
        <w:t>.</w:t>
      </w:r>
      <w:r w:rsidR="002B3023">
        <w:rPr>
          <w:rFonts w:ascii="Verdana" w:hAnsi="Verdana"/>
          <w:sz w:val="20"/>
          <w:szCs w:val="20"/>
          <w:lang w:val="es-CR"/>
        </w:rPr>
        <w:t xml:space="preserve"> Incluso</w:t>
      </w:r>
      <w:r w:rsidR="002B3023" w:rsidRPr="00AE6887">
        <w:rPr>
          <w:rFonts w:ascii="Verdana" w:hAnsi="Verdana"/>
          <w:sz w:val="20"/>
          <w:szCs w:val="20"/>
          <w:lang w:val="es-CR"/>
        </w:rPr>
        <w:t>, en su última Resolución de febrero de 2012, est</w:t>
      </w:r>
      <w:r w:rsidR="002B3023" w:rsidRPr="00982566">
        <w:rPr>
          <w:rFonts w:ascii="Verdana" w:hAnsi="Verdana"/>
          <w:sz w:val="20"/>
          <w:szCs w:val="20"/>
          <w:lang w:val="es-CR"/>
        </w:rPr>
        <w:t>e Tribunal solicitó al Estado referirse a las “circunstancias” que harían que la interposición del referido recurso fuese “viable” (</w:t>
      </w:r>
      <w:r w:rsidR="002B3023" w:rsidRPr="00982566">
        <w:rPr>
          <w:rFonts w:ascii="Verdana" w:hAnsi="Verdana"/>
          <w:i/>
          <w:sz w:val="20"/>
          <w:szCs w:val="20"/>
          <w:lang w:val="es-CR"/>
        </w:rPr>
        <w:t xml:space="preserve">supra </w:t>
      </w:r>
      <w:r w:rsidR="00217935">
        <w:rPr>
          <w:rFonts w:ascii="Verdana" w:hAnsi="Verdana"/>
          <w:sz w:val="20"/>
          <w:szCs w:val="20"/>
          <w:lang w:val="es-CR"/>
        </w:rPr>
        <w:t>Considerando 7</w:t>
      </w:r>
      <w:r w:rsidR="002B3023" w:rsidRPr="00982566">
        <w:rPr>
          <w:rFonts w:ascii="Verdana" w:hAnsi="Verdana"/>
          <w:sz w:val="20"/>
          <w:szCs w:val="20"/>
          <w:lang w:val="es-CR"/>
        </w:rPr>
        <w:t>).</w:t>
      </w:r>
    </w:p>
    <w:p w:rsidR="002B3023" w:rsidRDefault="002B3023" w:rsidP="00982566">
      <w:pPr>
        <w:spacing w:after="0" w:line="240" w:lineRule="auto"/>
        <w:jc w:val="both"/>
        <w:rPr>
          <w:rFonts w:ascii="Verdana" w:hAnsi="Verdana"/>
          <w:sz w:val="20"/>
          <w:lang w:val="es-MX"/>
        </w:rPr>
      </w:pPr>
    </w:p>
    <w:p w:rsidR="002B3023" w:rsidRPr="00AE6887" w:rsidRDefault="00194934" w:rsidP="00AE6887">
      <w:pPr>
        <w:numPr>
          <w:ilvl w:val="0"/>
          <w:numId w:val="2"/>
        </w:numPr>
        <w:spacing w:after="0" w:line="240" w:lineRule="auto"/>
        <w:ind w:left="0" w:firstLine="0"/>
        <w:jc w:val="both"/>
        <w:rPr>
          <w:rFonts w:ascii="Verdana" w:hAnsi="Verdana"/>
          <w:sz w:val="20"/>
          <w:lang w:val="es-MX"/>
        </w:rPr>
      </w:pPr>
      <w:r>
        <w:rPr>
          <w:rFonts w:ascii="Verdana" w:hAnsi="Verdana"/>
          <w:sz w:val="20"/>
          <w:lang w:val="es-MX"/>
        </w:rPr>
        <w:t>De conformidad con lo informado por las partes</w:t>
      </w:r>
      <w:r>
        <w:rPr>
          <w:rStyle w:val="Refdenotaalpie"/>
          <w:rFonts w:ascii="Verdana" w:hAnsi="Verdana"/>
          <w:sz w:val="20"/>
          <w:lang w:val="es-MX"/>
        </w:rPr>
        <w:footnoteReference w:id="25"/>
      </w:r>
      <w:r>
        <w:rPr>
          <w:rFonts w:ascii="Verdana" w:hAnsi="Verdana"/>
          <w:sz w:val="20"/>
          <w:lang w:val="es-MX"/>
        </w:rPr>
        <w:t>,</w:t>
      </w:r>
      <w:r w:rsidR="002B3023" w:rsidRPr="00AE6887">
        <w:rPr>
          <w:rFonts w:ascii="Verdana" w:hAnsi="Verdana"/>
          <w:sz w:val="20"/>
          <w:lang w:val="es-MX"/>
        </w:rPr>
        <w:t xml:space="preserve"> est</w:t>
      </w:r>
      <w:r w:rsidR="005C6837">
        <w:rPr>
          <w:rFonts w:ascii="Verdana" w:hAnsi="Verdana"/>
          <w:sz w:val="20"/>
          <w:lang w:val="es-MX"/>
        </w:rPr>
        <w:t>a</w:t>
      </w:r>
      <w:r w:rsidR="002B3023" w:rsidRPr="00AE6887">
        <w:rPr>
          <w:rFonts w:ascii="Verdana" w:hAnsi="Verdana"/>
          <w:sz w:val="20"/>
          <w:lang w:val="es-MX"/>
        </w:rPr>
        <w:t xml:space="preserve"> </w:t>
      </w:r>
      <w:r w:rsidR="005C6837">
        <w:rPr>
          <w:rFonts w:ascii="Verdana" w:hAnsi="Verdana"/>
          <w:sz w:val="20"/>
          <w:lang w:val="es-MX"/>
        </w:rPr>
        <w:t>Corte</w:t>
      </w:r>
      <w:r w:rsidR="002B3023" w:rsidRPr="00AE6887">
        <w:rPr>
          <w:rFonts w:ascii="Verdana" w:hAnsi="Verdana"/>
          <w:sz w:val="20"/>
          <w:lang w:val="es-MX"/>
        </w:rPr>
        <w:t xml:space="preserve"> valora positivamente que el Ministerio </w:t>
      </w:r>
      <w:r w:rsidR="002B3023" w:rsidRPr="00982566">
        <w:rPr>
          <w:rFonts w:ascii="Verdana" w:hAnsi="Verdana"/>
          <w:sz w:val="20"/>
          <w:lang w:val="es-MX"/>
        </w:rPr>
        <w:t xml:space="preserve">Público </w:t>
      </w:r>
      <w:r w:rsidR="001F3FE1">
        <w:rPr>
          <w:rFonts w:ascii="Verdana" w:hAnsi="Verdana"/>
          <w:sz w:val="20"/>
          <w:lang w:val="es-MX"/>
        </w:rPr>
        <w:t>presentó</w:t>
      </w:r>
      <w:r w:rsidR="001F3FE1">
        <w:rPr>
          <w:rStyle w:val="Refdenotaalpie"/>
          <w:rFonts w:ascii="Verdana" w:hAnsi="Verdana"/>
          <w:sz w:val="20"/>
          <w:lang w:val="es-MX"/>
        </w:rPr>
        <w:footnoteReference w:id="26"/>
      </w:r>
      <w:r w:rsidR="001F3FE1">
        <w:rPr>
          <w:rFonts w:ascii="Verdana" w:hAnsi="Verdana"/>
          <w:sz w:val="20"/>
          <w:lang w:val="es-MX"/>
        </w:rPr>
        <w:t xml:space="preserve"> </w:t>
      </w:r>
      <w:r w:rsidR="002B3023" w:rsidRPr="00AE6887">
        <w:rPr>
          <w:rFonts w:ascii="Verdana" w:hAnsi="Verdana"/>
          <w:sz w:val="20"/>
          <w:lang w:val="es-MX"/>
        </w:rPr>
        <w:t>respectiva</w:t>
      </w:r>
      <w:r w:rsidR="005C6837">
        <w:rPr>
          <w:rFonts w:ascii="Verdana" w:hAnsi="Verdana"/>
          <w:sz w:val="20"/>
          <w:lang w:val="es-MX"/>
        </w:rPr>
        <w:t>s</w:t>
      </w:r>
      <w:r w:rsidR="002B3023" w:rsidRPr="00AE6887">
        <w:rPr>
          <w:rFonts w:ascii="Verdana" w:hAnsi="Verdana"/>
          <w:sz w:val="20"/>
          <w:lang w:val="es-MX"/>
        </w:rPr>
        <w:t xml:space="preserve"> </w:t>
      </w:r>
      <w:r w:rsidR="005C6837">
        <w:rPr>
          <w:rFonts w:ascii="Verdana" w:hAnsi="Verdana"/>
          <w:sz w:val="20"/>
          <w:lang w:val="es-MX"/>
        </w:rPr>
        <w:t>demandas de</w:t>
      </w:r>
      <w:r w:rsidR="002B3023" w:rsidRPr="00AE6887">
        <w:rPr>
          <w:rFonts w:ascii="Verdana" w:hAnsi="Verdana"/>
          <w:sz w:val="20"/>
          <w:lang w:val="es-MX"/>
        </w:rPr>
        <w:t xml:space="preserve"> revisión de las referidas </w:t>
      </w:r>
      <w:r w:rsidR="005E7065">
        <w:rPr>
          <w:rFonts w:ascii="Verdana" w:hAnsi="Verdana"/>
          <w:sz w:val="20"/>
          <w:lang w:val="es-MX"/>
        </w:rPr>
        <w:t>sentencias</w:t>
      </w:r>
      <w:r w:rsidR="002B3023" w:rsidRPr="00AE6887">
        <w:rPr>
          <w:rFonts w:ascii="Verdana" w:hAnsi="Verdana"/>
          <w:sz w:val="20"/>
          <w:lang w:val="es-MX"/>
        </w:rPr>
        <w:t xml:space="preserve"> absolutorias (</w:t>
      </w:r>
      <w:r w:rsidR="002B3023" w:rsidRPr="00AE6887">
        <w:rPr>
          <w:rFonts w:ascii="Verdana" w:hAnsi="Verdana"/>
          <w:i/>
          <w:sz w:val="20"/>
          <w:lang w:val="es-MX"/>
        </w:rPr>
        <w:t xml:space="preserve">supra </w:t>
      </w:r>
      <w:r w:rsidR="00217935">
        <w:rPr>
          <w:rFonts w:ascii="Verdana" w:hAnsi="Verdana"/>
          <w:sz w:val="20"/>
          <w:lang w:val="es-MX"/>
        </w:rPr>
        <w:t>Considerando 9</w:t>
      </w:r>
      <w:r w:rsidR="002B3023" w:rsidRPr="00982566">
        <w:rPr>
          <w:rFonts w:ascii="Verdana" w:hAnsi="Verdana"/>
          <w:sz w:val="20"/>
          <w:lang w:val="es-MX"/>
        </w:rPr>
        <w:t>)</w:t>
      </w:r>
      <w:r w:rsidR="005C6837">
        <w:rPr>
          <w:rFonts w:ascii="Verdana" w:hAnsi="Verdana"/>
          <w:sz w:val="20"/>
          <w:lang w:val="es-MX"/>
        </w:rPr>
        <w:t xml:space="preserve"> y que posteriormente </w:t>
      </w:r>
      <w:r>
        <w:rPr>
          <w:rFonts w:ascii="Verdana" w:hAnsi="Verdana"/>
          <w:sz w:val="20"/>
          <w:lang w:val="es-MX"/>
        </w:rPr>
        <w:t>dichas demandas</w:t>
      </w:r>
      <w:r w:rsidR="009B50A3" w:rsidRPr="00AE6887">
        <w:rPr>
          <w:rFonts w:ascii="Verdana" w:hAnsi="Verdana"/>
          <w:sz w:val="20"/>
          <w:lang w:val="es-MX"/>
        </w:rPr>
        <w:t xml:space="preserve"> </w:t>
      </w:r>
      <w:r>
        <w:rPr>
          <w:rFonts w:ascii="Verdana" w:hAnsi="Verdana"/>
          <w:sz w:val="20"/>
          <w:lang w:val="es-MX"/>
        </w:rPr>
        <w:t xml:space="preserve">se </w:t>
      </w:r>
      <w:r w:rsidR="00AF1331" w:rsidRPr="00AE6887">
        <w:rPr>
          <w:rFonts w:ascii="Verdana" w:hAnsi="Verdana"/>
          <w:sz w:val="20"/>
          <w:lang w:val="es-MX"/>
        </w:rPr>
        <w:t>declararon “fundada[s]”</w:t>
      </w:r>
      <w:r w:rsidR="00824762">
        <w:rPr>
          <w:rFonts w:ascii="Verdana" w:hAnsi="Verdana"/>
          <w:sz w:val="20"/>
          <w:lang w:val="es-MX"/>
        </w:rPr>
        <w:t xml:space="preserve"> mediante:</w:t>
      </w:r>
      <w:r w:rsidR="00AF1331" w:rsidRPr="00AE6887">
        <w:rPr>
          <w:rFonts w:ascii="Verdana" w:hAnsi="Verdana"/>
          <w:sz w:val="20"/>
          <w:lang w:val="es-MX"/>
        </w:rPr>
        <w:t xml:space="preserve"> </w:t>
      </w:r>
      <w:r w:rsidR="005F0B60">
        <w:rPr>
          <w:rFonts w:ascii="Verdana" w:hAnsi="Verdana"/>
          <w:sz w:val="20"/>
          <w:lang w:val="es-MX"/>
        </w:rPr>
        <w:t xml:space="preserve">i) </w:t>
      </w:r>
      <w:r w:rsidR="00433B26">
        <w:rPr>
          <w:rFonts w:ascii="Verdana" w:hAnsi="Verdana"/>
          <w:sz w:val="20"/>
          <w:lang w:val="es-MX"/>
        </w:rPr>
        <w:t xml:space="preserve">la </w:t>
      </w:r>
      <w:r w:rsidR="005F0B60">
        <w:rPr>
          <w:rFonts w:ascii="Verdana" w:hAnsi="Verdana"/>
          <w:sz w:val="20"/>
          <w:lang w:val="es-MX"/>
        </w:rPr>
        <w:t>d</w:t>
      </w:r>
      <w:r w:rsidR="002B3023" w:rsidRPr="00AE6887">
        <w:rPr>
          <w:rFonts w:ascii="Verdana" w:hAnsi="Verdana"/>
          <w:sz w:val="20"/>
          <w:lang w:val="es-MX"/>
        </w:rPr>
        <w:t>ecisión de la Sala de Casación Penal de la Corte Suprema de Justicia de 30 de septiembre de 2015</w:t>
      </w:r>
      <w:r w:rsidR="004376A9">
        <w:rPr>
          <w:rStyle w:val="Refdenotaalpie"/>
          <w:rFonts w:ascii="Verdana" w:hAnsi="Verdana"/>
          <w:sz w:val="20"/>
          <w:lang w:val="es-MX"/>
        </w:rPr>
        <w:footnoteReference w:id="27"/>
      </w:r>
      <w:r w:rsidR="002B3023" w:rsidRPr="00AE6887">
        <w:rPr>
          <w:rFonts w:ascii="Verdana" w:hAnsi="Verdana"/>
          <w:sz w:val="20"/>
          <w:lang w:val="es-MX"/>
        </w:rPr>
        <w:t xml:space="preserve">, </w:t>
      </w:r>
      <w:r w:rsidR="00AF1331" w:rsidRPr="00AE6887">
        <w:rPr>
          <w:rFonts w:ascii="Verdana" w:hAnsi="Verdana"/>
          <w:sz w:val="20"/>
          <w:lang w:val="es-MX"/>
        </w:rPr>
        <w:t>a través de</w:t>
      </w:r>
      <w:r w:rsidR="005F0B60" w:rsidRPr="00982566">
        <w:rPr>
          <w:rFonts w:ascii="Verdana" w:hAnsi="Verdana"/>
          <w:sz w:val="20"/>
          <w:lang w:val="es-MX"/>
        </w:rPr>
        <w:t xml:space="preserve"> la cual, entre otros, </w:t>
      </w:r>
      <w:r w:rsidR="00217935">
        <w:rPr>
          <w:rFonts w:ascii="Verdana" w:hAnsi="Verdana"/>
          <w:sz w:val="20"/>
          <w:lang w:val="es-MX"/>
        </w:rPr>
        <w:t>“[</w:t>
      </w:r>
      <w:r w:rsidR="005F0B60">
        <w:rPr>
          <w:rFonts w:ascii="Verdana" w:hAnsi="Verdana"/>
          <w:sz w:val="20"/>
          <w:lang w:val="es-MX"/>
        </w:rPr>
        <w:t>d</w:t>
      </w:r>
      <w:r w:rsidR="00217935">
        <w:rPr>
          <w:rFonts w:ascii="Verdana" w:hAnsi="Verdana"/>
          <w:sz w:val="20"/>
          <w:lang w:val="es-MX"/>
        </w:rPr>
        <w:t>]</w:t>
      </w:r>
      <w:r w:rsidR="005F0B60">
        <w:rPr>
          <w:rFonts w:ascii="Verdana" w:hAnsi="Verdana"/>
          <w:sz w:val="20"/>
          <w:lang w:val="es-MX"/>
        </w:rPr>
        <w:t>ej</w:t>
      </w:r>
      <w:r w:rsidR="00217935">
        <w:rPr>
          <w:rFonts w:ascii="Verdana" w:hAnsi="Verdana"/>
          <w:sz w:val="20"/>
          <w:lang w:val="es-MX"/>
        </w:rPr>
        <w:t>[</w:t>
      </w:r>
      <w:r w:rsidR="005F0B60">
        <w:rPr>
          <w:rFonts w:ascii="Verdana" w:hAnsi="Verdana"/>
          <w:sz w:val="20"/>
          <w:lang w:val="es-MX"/>
        </w:rPr>
        <w:t>ó</w:t>
      </w:r>
      <w:r w:rsidR="00217935">
        <w:rPr>
          <w:rFonts w:ascii="Verdana" w:hAnsi="Verdana"/>
          <w:sz w:val="20"/>
          <w:lang w:val="es-MX"/>
        </w:rPr>
        <w:t>]</w:t>
      </w:r>
      <w:r w:rsidR="005F0B60">
        <w:rPr>
          <w:rFonts w:ascii="Verdana" w:hAnsi="Verdana"/>
          <w:sz w:val="20"/>
          <w:lang w:val="es-MX"/>
        </w:rPr>
        <w:t xml:space="preserve"> sin efecto las providencias proferidas por la justicia penal militar desde el 25 de agosto de 1997”, incluyendo la referida decisión del </w:t>
      </w:r>
      <w:r w:rsidR="005F0B60" w:rsidRPr="0073131C">
        <w:rPr>
          <w:rFonts w:ascii="Verdana" w:hAnsi="Verdana"/>
          <w:sz w:val="20"/>
          <w:lang w:val="es-MX"/>
        </w:rPr>
        <w:t>Tribunal Superior Militar</w:t>
      </w:r>
      <w:r w:rsidR="005F0B60">
        <w:rPr>
          <w:rFonts w:ascii="Verdana" w:hAnsi="Verdana"/>
          <w:sz w:val="20"/>
          <w:lang w:val="es-MX"/>
        </w:rPr>
        <w:t xml:space="preserve"> </w:t>
      </w:r>
      <w:r w:rsidR="00FF2FCB">
        <w:rPr>
          <w:rFonts w:ascii="Verdana" w:hAnsi="Verdana"/>
          <w:sz w:val="20"/>
          <w:lang w:val="es-MX"/>
        </w:rPr>
        <w:t xml:space="preserve">de </w:t>
      </w:r>
      <w:r w:rsidR="005F0B60" w:rsidRPr="0073131C">
        <w:rPr>
          <w:rFonts w:ascii="Verdana" w:hAnsi="Verdana"/>
          <w:sz w:val="20"/>
          <w:lang w:val="es-MX"/>
        </w:rPr>
        <w:t>10 de julio de 1998</w:t>
      </w:r>
      <w:r w:rsidR="005F0B60">
        <w:rPr>
          <w:rFonts w:ascii="Verdana" w:hAnsi="Verdana"/>
          <w:sz w:val="20"/>
          <w:lang w:val="es-MX"/>
        </w:rPr>
        <w:t xml:space="preserve"> emitida a favor de un </w:t>
      </w:r>
      <w:r w:rsidR="005F0B60" w:rsidRPr="0073131C">
        <w:rPr>
          <w:rFonts w:ascii="Verdana" w:hAnsi="Verdana"/>
          <w:sz w:val="20"/>
          <w:lang w:val="es-MX"/>
        </w:rPr>
        <w:t xml:space="preserve">Mayor General </w:t>
      </w:r>
      <w:r w:rsidR="005F0B60">
        <w:rPr>
          <w:rFonts w:ascii="Verdana" w:hAnsi="Verdana"/>
          <w:sz w:val="20"/>
          <w:lang w:val="es-MX"/>
        </w:rPr>
        <w:t>(</w:t>
      </w:r>
      <w:r w:rsidR="005F0B60">
        <w:rPr>
          <w:rFonts w:ascii="Verdana" w:hAnsi="Verdana"/>
          <w:i/>
          <w:sz w:val="20"/>
          <w:lang w:val="es-MX"/>
        </w:rPr>
        <w:t xml:space="preserve">supra </w:t>
      </w:r>
      <w:r w:rsidR="005F0B60">
        <w:rPr>
          <w:rFonts w:ascii="Verdana" w:hAnsi="Verdana"/>
          <w:sz w:val="20"/>
          <w:lang w:val="es-MX"/>
        </w:rPr>
        <w:t>Considera</w:t>
      </w:r>
      <w:r w:rsidR="00693D53">
        <w:rPr>
          <w:rFonts w:ascii="Verdana" w:hAnsi="Verdana"/>
          <w:sz w:val="20"/>
          <w:lang w:val="es-MX"/>
        </w:rPr>
        <w:t>ndo 9</w:t>
      </w:r>
      <w:r w:rsidR="005F0B60">
        <w:rPr>
          <w:rFonts w:ascii="Verdana" w:hAnsi="Verdana"/>
          <w:sz w:val="20"/>
          <w:lang w:val="es-MX"/>
        </w:rPr>
        <w:t>)</w:t>
      </w:r>
      <w:r w:rsidR="007E12E2">
        <w:rPr>
          <w:rStyle w:val="Refdenotaalpie"/>
          <w:rFonts w:ascii="Verdana" w:hAnsi="Verdana"/>
          <w:sz w:val="20"/>
          <w:lang w:val="es-MX"/>
        </w:rPr>
        <w:footnoteReference w:id="28"/>
      </w:r>
      <w:r w:rsidR="005F0B60">
        <w:rPr>
          <w:rFonts w:ascii="Verdana" w:hAnsi="Verdana"/>
          <w:sz w:val="20"/>
          <w:lang w:val="es-MX"/>
        </w:rPr>
        <w:t xml:space="preserve">; y ii) </w:t>
      </w:r>
      <w:r w:rsidR="00433B26">
        <w:rPr>
          <w:rFonts w:ascii="Verdana" w:hAnsi="Verdana"/>
          <w:sz w:val="20"/>
          <w:lang w:val="es-MX"/>
        </w:rPr>
        <w:t xml:space="preserve">la </w:t>
      </w:r>
      <w:r w:rsidR="007E12E2">
        <w:rPr>
          <w:rFonts w:ascii="Verdana" w:hAnsi="Verdana"/>
          <w:sz w:val="20"/>
          <w:lang w:val="es-MX"/>
        </w:rPr>
        <w:t>decisión del Tribunal Superior del Distrito Judicial de Valledupar de 24 de mayo de 2016</w:t>
      </w:r>
      <w:r w:rsidR="007E12E2">
        <w:rPr>
          <w:rStyle w:val="Refdenotaalpie"/>
          <w:rFonts w:ascii="Verdana" w:hAnsi="Verdana"/>
          <w:sz w:val="20"/>
          <w:lang w:val="es-MX"/>
        </w:rPr>
        <w:footnoteReference w:id="29"/>
      </w:r>
      <w:r w:rsidR="007E12E2">
        <w:rPr>
          <w:rFonts w:ascii="Verdana" w:hAnsi="Verdana"/>
          <w:sz w:val="20"/>
          <w:lang w:val="es-MX"/>
        </w:rPr>
        <w:t>, a través de la cual “declar[ó] sin valor la sentencia del extinto Juzgado Segundo de Orden Público de Valledupar, del 11 de septiembre de 1990, […] mediante la cual absolvió” a cuatro imputados</w:t>
      </w:r>
      <w:r w:rsidR="007E12E2">
        <w:rPr>
          <w:rStyle w:val="Refdenotaalpie"/>
          <w:rFonts w:ascii="Verdana" w:hAnsi="Verdana"/>
          <w:sz w:val="20"/>
          <w:lang w:val="es-MX"/>
        </w:rPr>
        <w:footnoteReference w:id="30"/>
      </w:r>
      <w:r w:rsidR="007E12E2">
        <w:rPr>
          <w:rFonts w:ascii="Verdana" w:hAnsi="Verdana"/>
          <w:sz w:val="20"/>
          <w:lang w:val="es-MX"/>
        </w:rPr>
        <w:t xml:space="preserve"> “por el presu</w:t>
      </w:r>
      <w:r w:rsidR="00FF2FCB">
        <w:rPr>
          <w:rFonts w:ascii="Verdana" w:hAnsi="Verdana"/>
          <w:sz w:val="20"/>
          <w:lang w:val="es-MX"/>
        </w:rPr>
        <w:t>nto punible de [s]</w:t>
      </w:r>
      <w:r w:rsidR="007E12E2">
        <w:rPr>
          <w:rFonts w:ascii="Verdana" w:hAnsi="Verdana"/>
          <w:sz w:val="20"/>
          <w:lang w:val="es-MX"/>
        </w:rPr>
        <w:t>ecuestro” en perjuicio de las víctimas.</w:t>
      </w:r>
      <w:r w:rsidR="005C6837">
        <w:rPr>
          <w:rFonts w:ascii="Verdana" w:hAnsi="Verdana"/>
          <w:sz w:val="20"/>
          <w:lang w:val="es-MX"/>
        </w:rPr>
        <w:t xml:space="preserve"> El Tribunal destaca positivamente que dichas decisiones se encuentran en firme.</w:t>
      </w:r>
      <w:r w:rsidR="005C6837" w:rsidRPr="0073131C">
        <w:rPr>
          <w:rFonts w:ascii="Verdana" w:hAnsi="Verdana"/>
          <w:sz w:val="20"/>
          <w:lang w:val="es-MX"/>
        </w:rPr>
        <w:t xml:space="preserve"> </w:t>
      </w:r>
    </w:p>
    <w:p w:rsidR="002B3023" w:rsidRDefault="002B3023" w:rsidP="00982566">
      <w:pPr>
        <w:spacing w:after="0" w:line="240" w:lineRule="auto"/>
        <w:jc w:val="both"/>
        <w:rPr>
          <w:rFonts w:ascii="Verdana" w:hAnsi="Verdana"/>
          <w:sz w:val="20"/>
          <w:lang w:val="es-MX"/>
        </w:rPr>
      </w:pPr>
    </w:p>
    <w:p w:rsidR="00B640D3" w:rsidRDefault="00DD199D" w:rsidP="00AE6887">
      <w:pPr>
        <w:numPr>
          <w:ilvl w:val="0"/>
          <w:numId w:val="2"/>
        </w:numPr>
        <w:spacing w:after="0" w:line="240" w:lineRule="auto"/>
        <w:ind w:left="0" w:firstLine="0"/>
        <w:jc w:val="both"/>
        <w:rPr>
          <w:rFonts w:ascii="Verdana" w:hAnsi="Verdana"/>
          <w:sz w:val="20"/>
          <w:lang w:val="es-MX"/>
        </w:rPr>
      </w:pPr>
      <w:r>
        <w:rPr>
          <w:rFonts w:ascii="Verdana" w:hAnsi="Verdana"/>
          <w:sz w:val="20"/>
          <w:lang w:val="es-MX"/>
        </w:rPr>
        <w:t xml:space="preserve">Esta Corte resalta positivamente </w:t>
      </w:r>
      <w:r w:rsidR="005C6837">
        <w:rPr>
          <w:rFonts w:ascii="Verdana" w:hAnsi="Verdana"/>
          <w:sz w:val="20"/>
          <w:lang w:val="es-MX"/>
        </w:rPr>
        <w:t>la actuación</w:t>
      </w:r>
      <w:r>
        <w:rPr>
          <w:rFonts w:ascii="Verdana" w:hAnsi="Verdana"/>
          <w:sz w:val="20"/>
          <w:lang w:val="es-MX"/>
        </w:rPr>
        <w:t xml:space="preserve"> </w:t>
      </w:r>
      <w:r w:rsidR="005C6837">
        <w:rPr>
          <w:rFonts w:ascii="Verdana" w:hAnsi="Verdana"/>
          <w:sz w:val="20"/>
          <w:lang w:val="es-MX"/>
        </w:rPr>
        <w:t>d</w:t>
      </w:r>
      <w:r>
        <w:rPr>
          <w:rFonts w:ascii="Verdana" w:hAnsi="Verdana"/>
          <w:sz w:val="20"/>
          <w:lang w:val="es-MX"/>
        </w:rPr>
        <w:t xml:space="preserve">el Ministerio Público </w:t>
      </w:r>
      <w:r w:rsidR="005C6837">
        <w:rPr>
          <w:rFonts w:ascii="Verdana" w:hAnsi="Verdana"/>
          <w:sz w:val="20"/>
          <w:lang w:val="es-MX"/>
        </w:rPr>
        <w:t xml:space="preserve">al </w:t>
      </w:r>
      <w:r>
        <w:rPr>
          <w:rFonts w:ascii="Verdana" w:hAnsi="Verdana"/>
          <w:sz w:val="20"/>
          <w:lang w:val="es-MX"/>
        </w:rPr>
        <w:t xml:space="preserve">plantear las referidas acciones de revisión, así como las decisiones </w:t>
      </w:r>
      <w:r w:rsidR="005C6837">
        <w:rPr>
          <w:rFonts w:ascii="Verdana" w:hAnsi="Verdana"/>
          <w:sz w:val="20"/>
          <w:lang w:val="es-MX"/>
        </w:rPr>
        <w:t xml:space="preserve">de los referidos tribunales internos </w:t>
      </w:r>
      <w:r>
        <w:rPr>
          <w:rFonts w:ascii="Verdana" w:hAnsi="Verdana"/>
          <w:sz w:val="20"/>
          <w:lang w:val="es-MX"/>
        </w:rPr>
        <w:t xml:space="preserve">que declararon </w:t>
      </w:r>
      <w:r w:rsidR="005C6837">
        <w:rPr>
          <w:rFonts w:ascii="Verdana" w:hAnsi="Verdana"/>
          <w:sz w:val="20"/>
          <w:lang w:val="es-MX"/>
        </w:rPr>
        <w:t xml:space="preserve">tales acciones como </w:t>
      </w:r>
      <w:r>
        <w:rPr>
          <w:rFonts w:ascii="Verdana" w:hAnsi="Verdana"/>
          <w:sz w:val="20"/>
          <w:lang w:val="es-MX"/>
        </w:rPr>
        <w:t xml:space="preserve">“fundadas”, en tanto </w:t>
      </w:r>
      <w:r w:rsidR="005C6837">
        <w:rPr>
          <w:rFonts w:ascii="Verdana" w:hAnsi="Verdana"/>
          <w:sz w:val="20"/>
          <w:lang w:val="es-MX"/>
        </w:rPr>
        <w:t>ello</w:t>
      </w:r>
      <w:r>
        <w:rPr>
          <w:rFonts w:ascii="Verdana" w:hAnsi="Verdana"/>
          <w:sz w:val="20"/>
          <w:lang w:val="es-MX"/>
        </w:rPr>
        <w:t xml:space="preserve"> </w:t>
      </w:r>
      <w:r w:rsidR="00203D09">
        <w:rPr>
          <w:rFonts w:ascii="Verdana" w:hAnsi="Verdana"/>
          <w:sz w:val="20"/>
          <w:lang w:val="es-MX"/>
        </w:rPr>
        <w:t>permitió</w:t>
      </w:r>
      <w:r w:rsidR="005C6837">
        <w:rPr>
          <w:rFonts w:ascii="Verdana" w:hAnsi="Verdana"/>
          <w:sz w:val="20"/>
          <w:lang w:val="es-MX"/>
        </w:rPr>
        <w:t xml:space="preserve"> </w:t>
      </w:r>
      <w:r>
        <w:rPr>
          <w:rFonts w:ascii="Verdana" w:hAnsi="Verdana"/>
          <w:sz w:val="20"/>
          <w:lang w:val="es-MX"/>
        </w:rPr>
        <w:t xml:space="preserve">levantar obstáculos de índole interna </w:t>
      </w:r>
      <w:r w:rsidR="005C6837">
        <w:rPr>
          <w:rFonts w:ascii="Verdana" w:hAnsi="Verdana"/>
          <w:sz w:val="20"/>
          <w:lang w:val="es-MX"/>
        </w:rPr>
        <w:t>–que ya habían sido destacados por este Tribunal con anterioridad</w:t>
      </w:r>
      <w:r w:rsidR="005C6837">
        <w:rPr>
          <w:rStyle w:val="Refdenotaalpie"/>
          <w:rFonts w:ascii="Verdana" w:hAnsi="Verdana"/>
          <w:sz w:val="20"/>
          <w:lang w:val="es-MX"/>
        </w:rPr>
        <w:footnoteReference w:id="31"/>
      </w:r>
      <w:r w:rsidR="005C6837">
        <w:rPr>
          <w:rFonts w:ascii="Verdana" w:hAnsi="Verdana"/>
          <w:sz w:val="20"/>
          <w:lang w:val="es-MX"/>
        </w:rPr>
        <w:t xml:space="preserve">- y </w:t>
      </w:r>
      <w:r>
        <w:rPr>
          <w:rFonts w:ascii="Verdana" w:hAnsi="Verdana"/>
          <w:sz w:val="20"/>
          <w:lang w:val="es-MX"/>
        </w:rPr>
        <w:t xml:space="preserve">que estaban </w:t>
      </w:r>
      <w:r w:rsidR="005C6837">
        <w:rPr>
          <w:rFonts w:ascii="Verdana" w:hAnsi="Verdana"/>
          <w:sz w:val="20"/>
          <w:lang w:val="es-MX"/>
        </w:rPr>
        <w:t>contribuyendo a</w:t>
      </w:r>
      <w:r>
        <w:rPr>
          <w:rFonts w:ascii="Verdana" w:hAnsi="Verdana"/>
          <w:sz w:val="20"/>
          <w:lang w:val="es-MX"/>
        </w:rPr>
        <w:t xml:space="preserve"> </w:t>
      </w:r>
      <w:r w:rsidR="005C6837">
        <w:rPr>
          <w:rFonts w:ascii="Verdana" w:hAnsi="Verdana"/>
          <w:sz w:val="20"/>
          <w:lang w:val="es-MX"/>
        </w:rPr>
        <w:t>impedir un adecuado</w:t>
      </w:r>
      <w:r>
        <w:rPr>
          <w:rFonts w:ascii="Verdana" w:hAnsi="Verdana"/>
          <w:sz w:val="20"/>
          <w:lang w:val="es-MX"/>
        </w:rPr>
        <w:t xml:space="preserve"> cumplimiento de la obligación de investigar, juzgar y, de ser el caso, sancionar los hechos del presente caso. </w:t>
      </w:r>
      <w:r w:rsidR="005C6837">
        <w:rPr>
          <w:rFonts w:ascii="Verdana" w:hAnsi="Verdana"/>
          <w:sz w:val="20"/>
          <w:lang w:val="es-MX"/>
        </w:rPr>
        <w:t xml:space="preserve">Además, </w:t>
      </w:r>
      <w:r w:rsidR="00BD7D53">
        <w:rPr>
          <w:rFonts w:ascii="Verdana" w:hAnsi="Verdana"/>
          <w:sz w:val="20"/>
          <w:lang w:val="es-MX"/>
        </w:rPr>
        <w:t>la Corte</w:t>
      </w:r>
      <w:r>
        <w:rPr>
          <w:rFonts w:ascii="Verdana" w:hAnsi="Verdana"/>
          <w:sz w:val="20"/>
          <w:lang w:val="es-MX"/>
        </w:rPr>
        <w:t xml:space="preserve"> destaca </w:t>
      </w:r>
      <w:r w:rsidR="005C6837">
        <w:rPr>
          <w:rFonts w:ascii="Verdana" w:hAnsi="Verdana"/>
          <w:sz w:val="20"/>
          <w:lang w:val="es-MX"/>
        </w:rPr>
        <w:t>positivamente que</w:t>
      </w:r>
      <w:r w:rsidR="00B3501B">
        <w:rPr>
          <w:rFonts w:ascii="Verdana" w:hAnsi="Verdana"/>
          <w:sz w:val="20"/>
          <w:lang w:val="es-MX"/>
        </w:rPr>
        <w:t>,</w:t>
      </w:r>
      <w:r w:rsidR="005C6837">
        <w:rPr>
          <w:rFonts w:ascii="Verdana" w:hAnsi="Verdana"/>
          <w:sz w:val="20"/>
          <w:lang w:val="es-MX"/>
        </w:rPr>
        <w:t xml:space="preserve"> en sus consideraciones</w:t>
      </w:r>
      <w:r w:rsidR="00B3501B">
        <w:rPr>
          <w:rFonts w:ascii="Verdana" w:hAnsi="Verdana"/>
          <w:sz w:val="20"/>
          <w:lang w:val="es-MX"/>
        </w:rPr>
        <w:t>,</w:t>
      </w:r>
      <w:r w:rsidR="005C6837">
        <w:rPr>
          <w:rFonts w:ascii="Verdana" w:hAnsi="Verdana"/>
          <w:sz w:val="20"/>
          <w:lang w:val="es-MX"/>
        </w:rPr>
        <w:t xml:space="preserve"> los respectivos tribunales internos hicieron referencia a la obligación que tiene el Estado de investigar, juzgar y, de ser el caso, sancionar, según fue determinada en </w:t>
      </w:r>
      <w:r w:rsidR="00203D09">
        <w:rPr>
          <w:rFonts w:ascii="Verdana" w:hAnsi="Verdana"/>
          <w:sz w:val="20"/>
          <w:lang w:val="es-MX"/>
        </w:rPr>
        <w:t>la Sentencia del presente caso</w:t>
      </w:r>
      <w:r w:rsidR="00B3501B">
        <w:rPr>
          <w:rFonts w:ascii="Verdana" w:hAnsi="Verdana"/>
          <w:sz w:val="20"/>
          <w:lang w:val="es-MX"/>
        </w:rPr>
        <w:t xml:space="preserve">, así como a la supervisión </w:t>
      </w:r>
      <w:r w:rsidR="003153A3">
        <w:rPr>
          <w:rFonts w:ascii="Verdana" w:hAnsi="Verdana"/>
          <w:sz w:val="20"/>
          <w:lang w:val="es-MX"/>
        </w:rPr>
        <w:t xml:space="preserve">que el Tribunal ha realizado </w:t>
      </w:r>
      <w:r w:rsidR="00B3501B">
        <w:rPr>
          <w:rFonts w:ascii="Verdana" w:hAnsi="Verdana"/>
          <w:sz w:val="20"/>
          <w:lang w:val="es-MX"/>
        </w:rPr>
        <w:t>de la misma</w:t>
      </w:r>
      <w:r w:rsidR="005C6837">
        <w:rPr>
          <w:rStyle w:val="Refdenotaalpie"/>
          <w:rFonts w:ascii="Verdana" w:hAnsi="Verdana"/>
          <w:sz w:val="20"/>
          <w:lang w:val="es-MX"/>
        </w:rPr>
        <w:footnoteReference w:id="32"/>
      </w:r>
      <w:r w:rsidR="005C6837">
        <w:rPr>
          <w:rFonts w:ascii="Verdana" w:hAnsi="Verdana"/>
          <w:sz w:val="20"/>
          <w:lang w:val="es-MX"/>
        </w:rPr>
        <w:t xml:space="preserve">. </w:t>
      </w:r>
    </w:p>
    <w:p w:rsidR="00203D09" w:rsidRDefault="00203D09" w:rsidP="00982566">
      <w:pPr>
        <w:spacing w:after="0" w:line="240" w:lineRule="auto"/>
        <w:jc w:val="both"/>
        <w:rPr>
          <w:rFonts w:ascii="Verdana" w:hAnsi="Verdana"/>
          <w:sz w:val="20"/>
          <w:lang w:val="es-MX"/>
        </w:rPr>
      </w:pPr>
    </w:p>
    <w:p w:rsidR="00203D09" w:rsidRPr="009A3849" w:rsidRDefault="00203D09" w:rsidP="00982566">
      <w:pPr>
        <w:widowControl w:val="0"/>
        <w:numPr>
          <w:ilvl w:val="0"/>
          <w:numId w:val="2"/>
        </w:numPr>
        <w:autoSpaceDE w:val="0"/>
        <w:autoSpaceDN w:val="0"/>
        <w:adjustRightInd w:val="0"/>
        <w:spacing w:after="0" w:line="240" w:lineRule="auto"/>
        <w:ind w:left="0" w:firstLine="0"/>
        <w:jc w:val="both"/>
        <w:rPr>
          <w:sz w:val="10"/>
          <w:szCs w:val="10"/>
          <w:lang w:val="es-CO"/>
        </w:rPr>
      </w:pPr>
      <w:r w:rsidRPr="00555F27">
        <w:rPr>
          <w:rFonts w:ascii="Verdana" w:hAnsi="Verdana"/>
          <w:sz w:val="20"/>
          <w:lang w:val="es-CR"/>
        </w:rPr>
        <w:t xml:space="preserve">Como </w:t>
      </w:r>
      <w:r w:rsidR="00BD7D53">
        <w:rPr>
          <w:rFonts w:ascii="Verdana" w:hAnsi="Verdana"/>
          <w:sz w:val="20"/>
          <w:lang w:val="es-CR"/>
        </w:rPr>
        <w:t>este Tribunal</w:t>
      </w:r>
      <w:r w:rsidRPr="00555F27">
        <w:rPr>
          <w:rFonts w:ascii="Verdana" w:hAnsi="Verdana"/>
          <w:sz w:val="20"/>
          <w:lang w:val="es-CR"/>
        </w:rPr>
        <w:t xml:space="preserve"> ha señalado con anterioridad</w:t>
      </w:r>
      <w:r w:rsidRPr="008461DE">
        <w:rPr>
          <w:rStyle w:val="Refdenotaalpie"/>
          <w:rFonts w:ascii="Verdana" w:hAnsi="Verdana"/>
          <w:sz w:val="20"/>
          <w:lang w:val="es-CR"/>
        </w:rPr>
        <w:footnoteReference w:id="33"/>
      </w:r>
      <w:r w:rsidRPr="00555F27">
        <w:rPr>
          <w:rFonts w:ascii="Verdana" w:hAnsi="Verdana"/>
          <w:sz w:val="20"/>
          <w:lang w:val="es-CR"/>
        </w:rPr>
        <w:t>, los tribunales internos también tienen –en el ámbito de sus competencias- un papel fundamental en el cumplimiento o implementación de las Sentencias de la Corte Interamericana, ya que deben velar por el acatamiento de las disposiciones convencionales. El que la Corte Interamericana determine el estado de cumplimiento de las medidas de reparación ordenadas en sus Sentencias, no excluye que los tribunales constitucionales asuman ese importante rol, tal como se desprende de la</w:t>
      </w:r>
      <w:r>
        <w:rPr>
          <w:rFonts w:ascii="Verdana" w:hAnsi="Verdana"/>
          <w:sz w:val="20"/>
          <w:lang w:val="es-CR"/>
        </w:rPr>
        <w:t>s</w:t>
      </w:r>
      <w:r w:rsidRPr="00555F27">
        <w:rPr>
          <w:rFonts w:ascii="Verdana" w:hAnsi="Verdana"/>
          <w:sz w:val="20"/>
          <w:lang w:val="es-CR"/>
        </w:rPr>
        <w:t xml:space="preserve"> referida</w:t>
      </w:r>
      <w:r>
        <w:rPr>
          <w:rFonts w:ascii="Verdana" w:hAnsi="Verdana"/>
          <w:sz w:val="20"/>
          <w:lang w:val="es-CR"/>
        </w:rPr>
        <w:t>s</w:t>
      </w:r>
      <w:r w:rsidRPr="00555F27">
        <w:rPr>
          <w:rFonts w:ascii="Verdana" w:hAnsi="Verdana"/>
          <w:sz w:val="20"/>
          <w:lang w:val="es-CR"/>
        </w:rPr>
        <w:t xml:space="preserve"> </w:t>
      </w:r>
      <w:r>
        <w:rPr>
          <w:rFonts w:ascii="Verdana" w:hAnsi="Verdana"/>
          <w:sz w:val="20"/>
          <w:lang w:val="es-CR"/>
        </w:rPr>
        <w:t>decisiones</w:t>
      </w:r>
      <w:r w:rsidRPr="00555F27">
        <w:rPr>
          <w:rFonts w:ascii="Verdana" w:hAnsi="Verdana"/>
          <w:sz w:val="20"/>
          <w:lang w:val="es-CR"/>
        </w:rPr>
        <w:t xml:space="preserve"> de</w:t>
      </w:r>
      <w:r>
        <w:rPr>
          <w:rFonts w:ascii="Verdana" w:hAnsi="Verdana"/>
          <w:sz w:val="20"/>
          <w:lang w:val="es-CR"/>
        </w:rPr>
        <w:t xml:space="preserve"> </w:t>
      </w:r>
      <w:r w:rsidRPr="00555F27">
        <w:rPr>
          <w:rFonts w:ascii="Verdana" w:hAnsi="Verdana"/>
          <w:sz w:val="20"/>
          <w:lang w:val="es-CR"/>
        </w:rPr>
        <w:t>l</w:t>
      </w:r>
      <w:r>
        <w:rPr>
          <w:rFonts w:ascii="Verdana" w:hAnsi="Verdana"/>
          <w:sz w:val="20"/>
          <w:lang w:val="es-CR"/>
        </w:rPr>
        <w:t>os</w:t>
      </w:r>
      <w:r w:rsidRPr="00555F27">
        <w:rPr>
          <w:rFonts w:ascii="Verdana" w:hAnsi="Verdana"/>
          <w:sz w:val="20"/>
          <w:lang w:val="es-CR"/>
        </w:rPr>
        <w:t xml:space="preserve"> tribunal</w:t>
      </w:r>
      <w:r>
        <w:rPr>
          <w:rFonts w:ascii="Verdana" w:hAnsi="Verdana"/>
          <w:sz w:val="20"/>
          <w:lang w:val="es-CR"/>
        </w:rPr>
        <w:t>es internos</w:t>
      </w:r>
      <w:r>
        <w:rPr>
          <w:rFonts w:ascii="Verdana" w:hAnsi="Verdana"/>
          <w:sz w:val="20"/>
          <w:szCs w:val="20"/>
          <w:lang w:val="es-CR"/>
        </w:rPr>
        <w:t xml:space="preserve"> colombianos (</w:t>
      </w:r>
      <w:r>
        <w:rPr>
          <w:rFonts w:ascii="Verdana" w:hAnsi="Verdana"/>
          <w:i/>
          <w:sz w:val="20"/>
          <w:szCs w:val="20"/>
          <w:lang w:val="es-CR"/>
        </w:rPr>
        <w:t xml:space="preserve">supra </w:t>
      </w:r>
      <w:r>
        <w:rPr>
          <w:rFonts w:ascii="Verdana" w:hAnsi="Verdana"/>
          <w:sz w:val="20"/>
          <w:szCs w:val="20"/>
          <w:lang w:val="es-CR"/>
        </w:rPr>
        <w:t>Considerando</w:t>
      </w:r>
      <w:r w:rsidR="004126EA">
        <w:rPr>
          <w:rFonts w:ascii="Verdana" w:hAnsi="Verdana"/>
          <w:sz w:val="20"/>
          <w:szCs w:val="20"/>
          <w:lang w:val="es-CR"/>
        </w:rPr>
        <w:t>s</w:t>
      </w:r>
      <w:r w:rsidR="00576C4F">
        <w:rPr>
          <w:rFonts w:ascii="Verdana" w:hAnsi="Verdana"/>
          <w:sz w:val="20"/>
          <w:szCs w:val="20"/>
          <w:lang w:val="es-CR"/>
        </w:rPr>
        <w:t xml:space="preserve"> 10</w:t>
      </w:r>
      <w:r w:rsidR="004126EA">
        <w:rPr>
          <w:rFonts w:ascii="Verdana" w:hAnsi="Verdana"/>
          <w:sz w:val="20"/>
          <w:szCs w:val="20"/>
          <w:lang w:val="es-CR"/>
        </w:rPr>
        <w:t xml:space="preserve"> y 11</w:t>
      </w:r>
      <w:r>
        <w:rPr>
          <w:rFonts w:ascii="Verdana" w:hAnsi="Verdana"/>
          <w:sz w:val="20"/>
          <w:szCs w:val="20"/>
          <w:lang w:val="es-CR"/>
        </w:rPr>
        <w:t>)</w:t>
      </w:r>
      <w:r w:rsidRPr="009A3849">
        <w:rPr>
          <w:rFonts w:ascii="Verdana" w:hAnsi="Verdana"/>
          <w:sz w:val="20"/>
          <w:szCs w:val="20"/>
          <w:lang w:val="es-CR"/>
        </w:rPr>
        <w:t>.</w:t>
      </w:r>
    </w:p>
    <w:p w:rsidR="007E12E2" w:rsidRDefault="007E12E2" w:rsidP="00982566">
      <w:pPr>
        <w:spacing w:after="0" w:line="240" w:lineRule="auto"/>
        <w:jc w:val="both"/>
        <w:rPr>
          <w:rFonts w:ascii="Verdana" w:hAnsi="Verdana"/>
          <w:sz w:val="20"/>
          <w:lang w:val="es-MX"/>
        </w:rPr>
      </w:pPr>
    </w:p>
    <w:p w:rsidR="006645B3" w:rsidRDefault="001C1502" w:rsidP="00AE6887">
      <w:pPr>
        <w:numPr>
          <w:ilvl w:val="0"/>
          <w:numId w:val="2"/>
        </w:numPr>
        <w:spacing w:after="0" w:line="240" w:lineRule="auto"/>
        <w:ind w:left="0" w:firstLine="0"/>
        <w:jc w:val="both"/>
        <w:rPr>
          <w:rFonts w:ascii="Verdana" w:hAnsi="Verdana"/>
          <w:sz w:val="20"/>
          <w:lang w:val="es-MX"/>
        </w:rPr>
      </w:pPr>
      <w:r>
        <w:rPr>
          <w:rFonts w:ascii="Verdana" w:hAnsi="Verdana"/>
          <w:sz w:val="20"/>
          <w:lang w:val="es-MX"/>
        </w:rPr>
        <w:t xml:space="preserve">No obstante lo anterior, </w:t>
      </w:r>
      <w:r w:rsidR="00A8188A">
        <w:rPr>
          <w:rFonts w:ascii="Verdana" w:hAnsi="Verdana"/>
          <w:sz w:val="20"/>
          <w:lang w:val="es-MX"/>
        </w:rPr>
        <w:t xml:space="preserve">el Tribunal </w:t>
      </w:r>
      <w:r w:rsidR="00FB30FA">
        <w:rPr>
          <w:rFonts w:ascii="Verdana" w:hAnsi="Verdana"/>
          <w:sz w:val="20"/>
          <w:lang w:val="es-MX"/>
        </w:rPr>
        <w:t>advierte</w:t>
      </w:r>
      <w:r>
        <w:rPr>
          <w:rFonts w:ascii="Verdana" w:hAnsi="Verdana"/>
          <w:sz w:val="20"/>
          <w:lang w:val="es-MX"/>
        </w:rPr>
        <w:t xml:space="preserve"> con preocupación </w:t>
      </w:r>
      <w:r w:rsidR="002A3936">
        <w:rPr>
          <w:rFonts w:ascii="Verdana" w:hAnsi="Verdana"/>
          <w:sz w:val="20"/>
          <w:lang w:val="es-MX"/>
        </w:rPr>
        <w:t>que 30 años después de los hechos</w:t>
      </w:r>
      <w:r>
        <w:rPr>
          <w:rFonts w:ascii="Verdana" w:hAnsi="Verdana"/>
          <w:sz w:val="20"/>
          <w:lang w:val="es-MX"/>
        </w:rPr>
        <w:t xml:space="preserve">, </w:t>
      </w:r>
      <w:r w:rsidRPr="00AE6887">
        <w:rPr>
          <w:rFonts w:ascii="Verdana" w:hAnsi="Verdana"/>
          <w:sz w:val="20"/>
          <w:lang w:val="es-MX"/>
        </w:rPr>
        <w:t>2</w:t>
      </w:r>
      <w:r w:rsidR="006645B3" w:rsidRPr="00982566">
        <w:rPr>
          <w:rFonts w:ascii="Verdana" w:hAnsi="Verdana"/>
          <w:sz w:val="20"/>
          <w:lang w:val="es-MX"/>
        </w:rPr>
        <w:t>3</w:t>
      </w:r>
      <w:r w:rsidRPr="00AE6887">
        <w:rPr>
          <w:rFonts w:ascii="Verdana" w:hAnsi="Verdana"/>
          <w:sz w:val="20"/>
          <w:lang w:val="es-MX"/>
        </w:rPr>
        <w:t xml:space="preserve"> años después de</w:t>
      </w:r>
      <w:r w:rsidR="00FB30FA" w:rsidRPr="00AE6887">
        <w:rPr>
          <w:rFonts w:ascii="Verdana" w:hAnsi="Verdana"/>
          <w:sz w:val="20"/>
          <w:lang w:val="es-MX"/>
        </w:rPr>
        <w:t xml:space="preserve"> emitida</w:t>
      </w:r>
      <w:r w:rsidRPr="00982566">
        <w:rPr>
          <w:rFonts w:ascii="Verdana" w:hAnsi="Verdana"/>
          <w:sz w:val="20"/>
          <w:lang w:val="es-MX"/>
        </w:rPr>
        <w:t xml:space="preserve"> la Sentencia</w:t>
      </w:r>
      <w:r w:rsidR="004245D5">
        <w:rPr>
          <w:rFonts w:ascii="Verdana" w:hAnsi="Verdana"/>
          <w:sz w:val="20"/>
          <w:lang w:val="es-MX"/>
        </w:rPr>
        <w:t xml:space="preserve"> (</w:t>
      </w:r>
      <w:r w:rsidR="004245D5">
        <w:rPr>
          <w:rFonts w:ascii="Verdana" w:hAnsi="Verdana"/>
          <w:i/>
          <w:sz w:val="20"/>
          <w:lang w:val="es-MX"/>
        </w:rPr>
        <w:t xml:space="preserve">supra </w:t>
      </w:r>
      <w:r w:rsidR="004245D5">
        <w:rPr>
          <w:rFonts w:ascii="Verdana" w:hAnsi="Verdana"/>
          <w:sz w:val="20"/>
          <w:lang w:val="es-MX"/>
        </w:rPr>
        <w:t>Visto 1)</w:t>
      </w:r>
      <w:r w:rsidRPr="00AE6887">
        <w:rPr>
          <w:rFonts w:ascii="Verdana" w:hAnsi="Verdana"/>
          <w:sz w:val="20"/>
          <w:lang w:val="es-MX"/>
        </w:rPr>
        <w:t xml:space="preserve"> y 4 años después de la primera decisión interna que declaró fundada</w:t>
      </w:r>
      <w:r>
        <w:rPr>
          <w:rFonts w:ascii="Verdana" w:hAnsi="Verdana"/>
          <w:sz w:val="20"/>
          <w:lang w:val="es-MX"/>
        </w:rPr>
        <w:t xml:space="preserve"> </w:t>
      </w:r>
      <w:r w:rsidR="00B45452">
        <w:rPr>
          <w:rFonts w:ascii="Verdana" w:hAnsi="Verdana"/>
          <w:sz w:val="20"/>
          <w:lang w:val="es-MX"/>
        </w:rPr>
        <w:t>la primera</w:t>
      </w:r>
      <w:r>
        <w:rPr>
          <w:rFonts w:ascii="Verdana" w:hAnsi="Verdana"/>
          <w:sz w:val="20"/>
          <w:lang w:val="es-MX"/>
        </w:rPr>
        <w:t xml:space="preserve"> de las </w:t>
      </w:r>
      <w:r w:rsidR="00B45452">
        <w:rPr>
          <w:rFonts w:ascii="Verdana" w:hAnsi="Verdana"/>
          <w:sz w:val="20"/>
          <w:lang w:val="es-MX"/>
        </w:rPr>
        <w:t xml:space="preserve">dos </w:t>
      </w:r>
      <w:r>
        <w:rPr>
          <w:rFonts w:ascii="Verdana" w:hAnsi="Verdana"/>
          <w:sz w:val="20"/>
          <w:lang w:val="es-MX"/>
        </w:rPr>
        <w:t>acciones de revisión interpuestas (</w:t>
      </w:r>
      <w:r>
        <w:rPr>
          <w:rFonts w:ascii="Verdana" w:hAnsi="Verdana"/>
          <w:i/>
          <w:sz w:val="20"/>
          <w:lang w:val="es-MX"/>
        </w:rPr>
        <w:t xml:space="preserve">supra </w:t>
      </w:r>
      <w:r>
        <w:rPr>
          <w:rFonts w:ascii="Verdana" w:hAnsi="Verdana"/>
          <w:sz w:val="20"/>
          <w:lang w:val="es-MX"/>
        </w:rPr>
        <w:t xml:space="preserve">Considerando </w:t>
      </w:r>
      <w:r w:rsidR="00576C4F">
        <w:rPr>
          <w:rFonts w:ascii="Verdana" w:hAnsi="Verdana"/>
          <w:sz w:val="20"/>
          <w:lang w:val="es-MX"/>
        </w:rPr>
        <w:t>10</w:t>
      </w:r>
      <w:r>
        <w:rPr>
          <w:rFonts w:ascii="Verdana" w:hAnsi="Verdana"/>
          <w:sz w:val="20"/>
          <w:lang w:val="es-MX"/>
        </w:rPr>
        <w:t>)</w:t>
      </w:r>
      <w:r w:rsidR="002A3936">
        <w:rPr>
          <w:rFonts w:ascii="Verdana" w:hAnsi="Verdana"/>
          <w:sz w:val="20"/>
          <w:lang w:val="es-MX"/>
        </w:rPr>
        <w:t xml:space="preserve">, la </w:t>
      </w:r>
      <w:r>
        <w:rPr>
          <w:rFonts w:ascii="Verdana" w:hAnsi="Verdana"/>
          <w:sz w:val="20"/>
          <w:lang w:val="es-MX"/>
        </w:rPr>
        <w:t xml:space="preserve">investigación penal </w:t>
      </w:r>
      <w:r w:rsidR="002A3936">
        <w:rPr>
          <w:rFonts w:ascii="Verdana" w:hAnsi="Verdana"/>
          <w:sz w:val="20"/>
          <w:lang w:val="es-MX"/>
        </w:rPr>
        <w:t>continua en “etapa de instrucción”</w:t>
      </w:r>
      <w:r w:rsidR="00FC7067">
        <w:rPr>
          <w:rStyle w:val="Refdenotaalpie"/>
          <w:rFonts w:ascii="Verdana" w:hAnsi="Verdana"/>
          <w:sz w:val="20"/>
          <w:lang w:val="es-MX"/>
        </w:rPr>
        <w:footnoteReference w:id="34"/>
      </w:r>
      <w:r w:rsidR="002A3936">
        <w:rPr>
          <w:rFonts w:ascii="Verdana" w:hAnsi="Verdana"/>
          <w:sz w:val="20"/>
          <w:lang w:val="es-MX"/>
        </w:rPr>
        <w:t xml:space="preserve">. Asimismo, la Corte </w:t>
      </w:r>
      <w:r w:rsidR="004F710C">
        <w:rPr>
          <w:rFonts w:ascii="Verdana" w:hAnsi="Verdana"/>
          <w:sz w:val="20"/>
          <w:lang w:val="es-MX"/>
        </w:rPr>
        <w:t>constata</w:t>
      </w:r>
      <w:r w:rsidR="002A3936">
        <w:rPr>
          <w:rFonts w:ascii="Verdana" w:hAnsi="Verdana"/>
          <w:sz w:val="20"/>
          <w:lang w:val="es-MX"/>
        </w:rPr>
        <w:t xml:space="preserve"> que</w:t>
      </w:r>
      <w:r w:rsidR="00A8188A">
        <w:rPr>
          <w:rFonts w:ascii="Verdana" w:hAnsi="Verdana"/>
          <w:sz w:val="20"/>
          <w:lang w:val="es-MX"/>
        </w:rPr>
        <w:t xml:space="preserve"> c</w:t>
      </w:r>
      <w:r w:rsidR="00B61752">
        <w:rPr>
          <w:rFonts w:ascii="Verdana" w:hAnsi="Verdana"/>
          <w:sz w:val="20"/>
          <w:lang w:val="es-MX"/>
        </w:rPr>
        <w:t>on posterioridad a la solicitud de información detallada realizada en la Resolución de supervisión de cumplimiento de febrero de 2012 (</w:t>
      </w:r>
      <w:r w:rsidR="00B61752">
        <w:rPr>
          <w:rFonts w:ascii="Verdana" w:hAnsi="Verdana"/>
          <w:i/>
          <w:sz w:val="20"/>
          <w:lang w:val="es-MX"/>
        </w:rPr>
        <w:t xml:space="preserve">supra </w:t>
      </w:r>
      <w:r w:rsidR="00B61752">
        <w:rPr>
          <w:rFonts w:ascii="Verdana" w:hAnsi="Verdana"/>
          <w:sz w:val="20"/>
          <w:lang w:val="es-MX"/>
        </w:rPr>
        <w:t xml:space="preserve">Considerando </w:t>
      </w:r>
      <w:r w:rsidR="00576C4F">
        <w:rPr>
          <w:rFonts w:ascii="Verdana" w:hAnsi="Verdana"/>
          <w:sz w:val="20"/>
          <w:lang w:val="es-MX"/>
        </w:rPr>
        <w:t>7</w:t>
      </w:r>
      <w:r w:rsidR="00B61752">
        <w:rPr>
          <w:rFonts w:ascii="Verdana" w:hAnsi="Verdana"/>
          <w:sz w:val="20"/>
          <w:lang w:val="es-MX"/>
        </w:rPr>
        <w:t>)</w:t>
      </w:r>
      <w:r w:rsidR="004F710C">
        <w:rPr>
          <w:rFonts w:ascii="Verdana" w:hAnsi="Verdana"/>
          <w:sz w:val="20"/>
          <w:lang w:val="es-MX"/>
        </w:rPr>
        <w:t xml:space="preserve"> sobre la investigación de los hechos</w:t>
      </w:r>
      <w:r w:rsidR="00B61752">
        <w:rPr>
          <w:rFonts w:ascii="Verdana" w:hAnsi="Verdana"/>
          <w:sz w:val="20"/>
          <w:lang w:val="es-MX"/>
        </w:rPr>
        <w:t xml:space="preserve">, </w:t>
      </w:r>
      <w:r w:rsidR="009D403C">
        <w:rPr>
          <w:rFonts w:ascii="Verdana" w:hAnsi="Verdana"/>
          <w:sz w:val="20"/>
          <w:lang w:val="es-MX"/>
        </w:rPr>
        <w:t xml:space="preserve">la información presentada por </w:t>
      </w:r>
      <w:r w:rsidR="00B61752">
        <w:rPr>
          <w:rFonts w:ascii="Verdana" w:hAnsi="Verdana"/>
          <w:sz w:val="20"/>
          <w:lang w:val="es-MX"/>
        </w:rPr>
        <w:t>e</w:t>
      </w:r>
      <w:r w:rsidR="00DD0930">
        <w:rPr>
          <w:rFonts w:ascii="Verdana" w:hAnsi="Verdana"/>
          <w:sz w:val="20"/>
          <w:lang w:val="es-MX"/>
        </w:rPr>
        <w:t>l Estado</w:t>
      </w:r>
      <w:r w:rsidR="002A3936">
        <w:rPr>
          <w:rFonts w:ascii="Verdana" w:hAnsi="Verdana"/>
          <w:sz w:val="20"/>
          <w:lang w:val="es-MX"/>
        </w:rPr>
        <w:t xml:space="preserve">: </w:t>
      </w:r>
    </w:p>
    <w:p w:rsidR="006645B3" w:rsidRDefault="006645B3" w:rsidP="00982566">
      <w:pPr>
        <w:spacing w:after="0" w:line="240" w:lineRule="auto"/>
        <w:ind w:left="1080"/>
        <w:jc w:val="both"/>
        <w:rPr>
          <w:rFonts w:ascii="Verdana" w:hAnsi="Verdana"/>
          <w:sz w:val="19"/>
          <w:szCs w:val="19"/>
          <w:lang w:val="es-MX"/>
        </w:rPr>
      </w:pPr>
    </w:p>
    <w:p w:rsidR="006645B3" w:rsidRPr="00982566" w:rsidRDefault="008B180C" w:rsidP="00982566">
      <w:pPr>
        <w:numPr>
          <w:ilvl w:val="0"/>
          <w:numId w:val="18"/>
        </w:numPr>
        <w:spacing w:after="0" w:line="240" w:lineRule="auto"/>
        <w:jc w:val="both"/>
        <w:rPr>
          <w:rFonts w:ascii="Verdana" w:hAnsi="Verdana"/>
          <w:sz w:val="19"/>
          <w:szCs w:val="19"/>
          <w:lang w:val="es-MX"/>
        </w:rPr>
      </w:pPr>
      <w:r w:rsidRPr="00982566">
        <w:rPr>
          <w:rFonts w:ascii="Verdana" w:hAnsi="Verdana"/>
          <w:sz w:val="19"/>
          <w:szCs w:val="19"/>
          <w:lang w:val="es-MX"/>
        </w:rPr>
        <w:t xml:space="preserve">se </w:t>
      </w:r>
      <w:r w:rsidR="002A3936" w:rsidRPr="00982566">
        <w:rPr>
          <w:rFonts w:ascii="Verdana" w:hAnsi="Verdana"/>
          <w:sz w:val="19"/>
          <w:szCs w:val="19"/>
          <w:lang w:val="es-MX"/>
        </w:rPr>
        <w:t>ha limitado</w:t>
      </w:r>
      <w:r w:rsidRPr="00982566">
        <w:rPr>
          <w:rFonts w:ascii="Verdana" w:hAnsi="Verdana"/>
          <w:sz w:val="19"/>
          <w:szCs w:val="19"/>
          <w:lang w:val="es-MX"/>
        </w:rPr>
        <w:t xml:space="preserve"> a enumerar de manera cronológica </w:t>
      </w:r>
      <w:r w:rsidR="00DD0930" w:rsidRPr="00982566">
        <w:rPr>
          <w:rFonts w:ascii="Verdana" w:hAnsi="Verdana"/>
          <w:sz w:val="19"/>
          <w:szCs w:val="19"/>
          <w:lang w:val="es-MX"/>
        </w:rPr>
        <w:t>las diligencias realizadas por la Fiscalía</w:t>
      </w:r>
      <w:r w:rsidR="002A3936" w:rsidRPr="00982566">
        <w:rPr>
          <w:rFonts w:ascii="Verdana" w:hAnsi="Verdana"/>
          <w:sz w:val="19"/>
          <w:szCs w:val="19"/>
          <w:lang w:val="es-MX"/>
        </w:rPr>
        <w:t xml:space="preserve"> encargada</w:t>
      </w:r>
      <w:r w:rsidR="002A3936" w:rsidRPr="00982566">
        <w:rPr>
          <w:rStyle w:val="Refdenotaalpie"/>
          <w:rFonts w:ascii="Verdana" w:hAnsi="Verdana"/>
          <w:sz w:val="19"/>
          <w:szCs w:val="19"/>
          <w:lang w:val="es-MX"/>
        </w:rPr>
        <w:footnoteReference w:id="35"/>
      </w:r>
      <w:r w:rsidR="00DD0930" w:rsidRPr="00982566">
        <w:rPr>
          <w:rFonts w:ascii="Verdana" w:hAnsi="Verdana"/>
          <w:sz w:val="19"/>
          <w:szCs w:val="19"/>
          <w:lang w:val="es-MX"/>
        </w:rPr>
        <w:t xml:space="preserve">, </w:t>
      </w:r>
      <w:r w:rsidR="005351DE">
        <w:rPr>
          <w:rFonts w:ascii="Verdana" w:hAnsi="Verdana"/>
          <w:sz w:val="19"/>
          <w:szCs w:val="19"/>
          <w:lang w:val="es-MX"/>
        </w:rPr>
        <w:t xml:space="preserve">generalmente </w:t>
      </w:r>
      <w:r w:rsidR="00DD0930" w:rsidRPr="00982566">
        <w:rPr>
          <w:rFonts w:ascii="Verdana" w:hAnsi="Verdana"/>
          <w:sz w:val="19"/>
          <w:szCs w:val="19"/>
          <w:lang w:val="es-MX"/>
        </w:rPr>
        <w:t>sin</w:t>
      </w:r>
      <w:r w:rsidR="00B61752" w:rsidRPr="00982566">
        <w:rPr>
          <w:rFonts w:ascii="Verdana" w:hAnsi="Verdana"/>
          <w:sz w:val="19"/>
          <w:szCs w:val="19"/>
          <w:lang w:val="es-MX"/>
        </w:rPr>
        <w:t xml:space="preserve"> indicar </w:t>
      </w:r>
      <w:r w:rsidR="002A3936" w:rsidRPr="00982566">
        <w:rPr>
          <w:rFonts w:ascii="Verdana" w:hAnsi="Verdana"/>
          <w:sz w:val="19"/>
          <w:szCs w:val="19"/>
          <w:lang w:val="es-MX"/>
        </w:rPr>
        <w:t xml:space="preserve">el objetivo de las mismas ni </w:t>
      </w:r>
      <w:r w:rsidR="00B61752" w:rsidRPr="00982566">
        <w:rPr>
          <w:rFonts w:ascii="Verdana" w:hAnsi="Verdana"/>
          <w:sz w:val="19"/>
          <w:szCs w:val="19"/>
          <w:lang w:val="es-MX"/>
        </w:rPr>
        <w:t>cómo</w:t>
      </w:r>
      <w:r w:rsidR="00DD0930" w:rsidRPr="00982566">
        <w:rPr>
          <w:rFonts w:ascii="Verdana" w:hAnsi="Verdana"/>
          <w:sz w:val="19"/>
          <w:szCs w:val="19"/>
          <w:lang w:val="es-MX"/>
        </w:rPr>
        <w:t xml:space="preserve"> </w:t>
      </w:r>
      <w:r w:rsidR="004126EA">
        <w:rPr>
          <w:rFonts w:ascii="Verdana" w:hAnsi="Verdana"/>
          <w:sz w:val="19"/>
          <w:szCs w:val="19"/>
          <w:lang w:val="es-MX"/>
        </w:rPr>
        <w:t>é</w:t>
      </w:r>
      <w:r w:rsidR="002A3936" w:rsidRPr="00982566">
        <w:rPr>
          <w:rFonts w:ascii="Verdana" w:hAnsi="Verdana"/>
          <w:sz w:val="19"/>
          <w:szCs w:val="19"/>
          <w:lang w:val="es-MX"/>
        </w:rPr>
        <w:t xml:space="preserve">stas </w:t>
      </w:r>
      <w:r w:rsidR="00B61752" w:rsidRPr="00982566">
        <w:rPr>
          <w:rFonts w:ascii="Verdana" w:hAnsi="Verdana"/>
          <w:sz w:val="19"/>
          <w:szCs w:val="19"/>
          <w:lang w:val="es-MX"/>
        </w:rPr>
        <w:t xml:space="preserve">podrían haber </w:t>
      </w:r>
      <w:r w:rsidR="00DD0930" w:rsidRPr="00982566">
        <w:rPr>
          <w:rFonts w:ascii="Verdana" w:hAnsi="Verdana"/>
          <w:sz w:val="19"/>
          <w:szCs w:val="19"/>
          <w:lang w:val="es-MX"/>
        </w:rPr>
        <w:t>tenido un impacto real en el desarrollo de las investigaciones</w:t>
      </w:r>
      <w:r w:rsidR="00A8188A" w:rsidRPr="00982566">
        <w:rPr>
          <w:rStyle w:val="Refdenotaalpie"/>
          <w:rFonts w:ascii="Verdana" w:hAnsi="Verdana"/>
          <w:sz w:val="19"/>
          <w:szCs w:val="19"/>
          <w:lang w:val="es-MX"/>
        </w:rPr>
        <w:footnoteReference w:id="36"/>
      </w:r>
      <w:r w:rsidR="002A3936" w:rsidRPr="00982566">
        <w:rPr>
          <w:rFonts w:ascii="Verdana" w:hAnsi="Verdana"/>
          <w:sz w:val="19"/>
          <w:szCs w:val="19"/>
          <w:lang w:val="es-MX"/>
        </w:rPr>
        <w:t xml:space="preserve">; </w:t>
      </w:r>
    </w:p>
    <w:p w:rsidR="006645B3" w:rsidRPr="00982566" w:rsidRDefault="006645B3" w:rsidP="00982566">
      <w:pPr>
        <w:numPr>
          <w:ilvl w:val="0"/>
          <w:numId w:val="18"/>
        </w:numPr>
        <w:spacing w:after="0" w:line="240" w:lineRule="auto"/>
        <w:jc w:val="both"/>
        <w:rPr>
          <w:rFonts w:ascii="Verdana" w:hAnsi="Verdana"/>
          <w:sz w:val="19"/>
          <w:szCs w:val="19"/>
          <w:lang w:val="es-MX"/>
        </w:rPr>
      </w:pPr>
      <w:r w:rsidRPr="00982566">
        <w:rPr>
          <w:rFonts w:ascii="Verdana" w:hAnsi="Verdana"/>
          <w:sz w:val="19"/>
          <w:szCs w:val="19"/>
          <w:lang w:val="es-MX"/>
        </w:rPr>
        <w:t>no ha hecho mayor referencia a las decisiones internas que declararon fundadas las acciones de revisión (</w:t>
      </w:r>
      <w:r w:rsidRPr="00982566">
        <w:rPr>
          <w:rFonts w:ascii="Verdana" w:hAnsi="Verdana"/>
          <w:i/>
          <w:sz w:val="19"/>
          <w:szCs w:val="19"/>
          <w:lang w:val="es-MX"/>
        </w:rPr>
        <w:t xml:space="preserve">supra </w:t>
      </w:r>
      <w:r w:rsidRPr="00982566">
        <w:rPr>
          <w:rFonts w:ascii="Verdana" w:hAnsi="Verdana"/>
          <w:sz w:val="19"/>
          <w:szCs w:val="19"/>
          <w:lang w:val="es-MX"/>
        </w:rPr>
        <w:t xml:space="preserve">Considerando </w:t>
      </w:r>
      <w:r w:rsidR="005351DE">
        <w:rPr>
          <w:rFonts w:ascii="Verdana" w:hAnsi="Verdana"/>
          <w:sz w:val="19"/>
          <w:szCs w:val="19"/>
          <w:lang w:val="es-MX"/>
        </w:rPr>
        <w:t>10</w:t>
      </w:r>
      <w:r w:rsidRPr="00982566">
        <w:rPr>
          <w:rFonts w:ascii="Verdana" w:hAnsi="Verdana"/>
          <w:sz w:val="19"/>
          <w:szCs w:val="19"/>
          <w:lang w:val="es-MX"/>
        </w:rPr>
        <w:t>)</w:t>
      </w:r>
      <w:r w:rsidR="004126EA">
        <w:rPr>
          <w:rFonts w:ascii="Verdana" w:hAnsi="Verdana"/>
          <w:sz w:val="19"/>
          <w:szCs w:val="19"/>
          <w:lang w:val="es-MX"/>
        </w:rPr>
        <w:t>,</w:t>
      </w:r>
      <w:r w:rsidRPr="00982566">
        <w:rPr>
          <w:rFonts w:ascii="Verdana" w:hAnsi="Verdana"/>
          <w:sz w:val="19"/>
          <w:szCs w:val="19"/>
          <w:lang w:val="es-MX"/>
        </w:rPr>
        <w:t xml:space="preserve"> ni </w:t>
      </w:r>
      <w:r w:rsidR="004126EA">
        <w:rPr>
          <w:rFonts w:ascii="Verdana" w:hAnsi="Verdana"/>
          <w:sz w:val="19"/>
          <w:szCs w:val="19"/>
          <w:lang w:val="es-MX"/>
        </w:rPr>
        <w:t xml:space="preserve">a </w:t>
      </w:r>
      <w:r w:rsidRPr="00982566">
        <w:rPr>
          <w:rFonts w:ascii="Verdana" w:hAnsi="Verdana"/>
          <w:sz w:val="19"/>
          <w:szCs w:val="19"/>
          <w:lang w:val="es-MX"/>
        </w:rPr>
        <w:t>cuál es el plan establecido para retomar dichas investigaciones;</w:t>
      </w:r>
    </w:p>
    <w:p w:rsidR="006645B3" w:rsidRPr="00982566" w:rsidRDefault="002A3936" w:rsidP="00982566">
      <w:pPr>
        <w:numPr>
          <w:ilvl w:val="0"/>
          <w:numId w:val="18"/>
        </w:numPr>
        <w:spacing w:after="0" w:line="240" w:lineRule="auto"/>
        <w:jc w:val="both"/>
        <w:rPr>
          <w:rFonts w:ascii="Verdana" w:hAnsi="Verdana"/>
          <w:sz w:val="19"/>
          <w:szCs w:val="19"/>
          <w:lang w:val="es-MX"/>
        </w:rPr>
      </w:pPr>
      <w:r w:rsidRPr="00982566">
        <w:rPr>
          <w:rFonts w:ascii="Verdana" w:hAnsi="Verdana"/>
          <w:sz w:val="19"/>
          <w:szCs w:val="19"/>
          <w:lang w:val="es-MX"/>
        </w:rPr>
        <w:t xml:space="preserve">no ha referido cuáles </w:t>
      </w:r>
      <w:r w:rsidR="006645B3" w:rsidRPr="00982566">
        <w:rPr>
          <w:rFonts w:ascii="Verdana" w:hAnsi="Verdana"/>
          <w:sz w:val="19"/>
          <w:szCs w:val="19"/>
          <w:lang w:val="es-MX"/>
        </w:rPr>
        <w:t>pueden ser</w:t>
      </w:r>
      <w:r w:rsidRPr="00982566">
        <w:rPr>
          <w:rFonts w:ascii="Verdana" w:hAnsi="Verdana"/>
          <w:sz w:val="19"/>
          <w:szCs w:val="19"/>
          <w:lang w:val="es-MX"/>
        </w:rPr>
        <w:t xml:space="preserve"> todas las posibles líneas de investigación; </w:t>
      </w:r>
    </w:p>
    <w:p w:rsidR="006645B3" w:rsidRPr="00982566" w:rsidRDefault="0044228D" w:rsidP="00982566">
      <w:pPr>
        <w:numPr>
          <w:ilvl w:val="0"/>
          <w:numId w:val="18"/>
        </w:numPr>
        <w:spacing w:after="0" w:line="240" w:lineRule="auto"/>
        <w:jc w:val="both"/>
        <w:rPr>
          <w:rFonts w:ascii="Verdana" w:hAnsi="Verdana"/>
          <w:sz w:val="19"/>
          <w:szCs w:val="19"/>
          <w:lang w:val="es-MX"/>
        </w:rPr>
      </w:pPr>
      <w:r w:rsidRPr="00982566">
        <w:rPr>
          <w:rFonts w:ascii="Verdana" w:hAnsi="Verdana"/>
          <w:sz w:val="19"/>
          <w:szCs w:val="19"/>
          <w:lang w:val="es-MX"/>
        </w:rPr>
        <w:t>justific</w:t>
      </w:r>
      <w:r w:rsidR="009D403C">
        <w:rPr>
          <w:rFonts w:ascii="Verdana" w:hAnsi="Verdana"/>
          <w:sz w:val="19"/>
          <w:szCs w:val="19"/>
          <w:lang w:val="es-MX"/>
        </w:rPr>
        <w:t>a</w:t>
      </w:r>
      <w:r w:rsidRPr="00982566">
        <w:rPr>
          <w:rFonts w:ascii="Verdana" w:hAnsi="Verdana"/>
          <w:sz w:val="19"/>
          <w:szCs w:val="19"/>
          <w:lang w:val="es-MX"/>
        </w:rPr>
        <w:t>, de manera general, la necesidad de practicar diligencias a personas que ya habían declarado con anterioridad</w:t>
      </w:r>
      <w:r w:rsidR="004126EA">
        <w:rPr>
          <w:rFonts w:ascii="Verdana" w:hAnsi="Verdana"/>
          <w:sz w:val="19"/>
          <w:szCs w:val="19"/>
          <w:lang w:val="es-MX"/>
        </w:rPr>
        <w:t>,</w:t>
      </w:r>
      <w:r w:rsidRPr="00982566">
        <w:rPr>
          <w:rFonts w:ascii="Verdana" w:hAnsi="Verdana"/>
          <w:sz w:val="19"/>
          <w:szCs w:val="19"/>
          <w:lang w:val="es-MX"/>
        </w:rPr>
        <w:t xml:space="preserve"> “con el objeto de establecer posibles acompañamientos en las inspecciones judiciales con fines de exhumación”</w:t>
      </w:r>
      <w:r w:rsidR="002A3936" w:rsidRPr="00982566">
        <w:rPr>
          <w:rFonts w:ascii="Verdana" w:hAnsi="Verdana"/>
          <w:sz w:val="19"/>
          <w:szCs w:val="19"/>
          <w:lang w:val="es-MX"/>
        </w:rPr>
        <w:t xml:space="preserve"> </w:t>
      </w:r>
      <w:r w:rsidRPr="00982566">
        <w:rPr>
          <w:rFonts w:ascii="Verdana" w:hAnsi="Verdana"/>
          <w:sz w:val="19"/>
          <w:szCs w:val="19"/>
          <w:lang w:val="es-MX"/>
        </w:rPr>
        <w:t>y que “profundi[cen] aspectos de sus intervenciones iniciales que den más claridad en la ejecución de actividades investigativas”</w:t>
      </w:r>
      <w:r w:rsidR="005351DE">
        <w:rPr>
          <w:rStyle w:val="Refdenotaalpie"/>
          <w:rFonts w:ascii="Verdana" w:hAnsi="Verdana"/>
          <w:sz w:val="19"/>
          <w:szCs w:val="19"/>
          <w:lang w:val="es-MX"/>
        </w:rPr>
        <w:footnoteReference w:id="37"/>
      </w:r>
      <w:r w:rsidR="006645B3" w:rsidRPr="00982566">
        <w:rPr>
          <w:rFonts w:ascii="Verdana" w:hAnsi="Verdana"/>
          <w:sz w:val="19"/>
          <w:szCs w:val="19"/>
          <w:lang w:val="es-MX"/>
        </w:rPr>
        <w:t>, sin indicar el resultado de las mismas, y</w:t>
      </w:r>
      <w:r w:rsidR="004F710C" w:rsidRPr="00982566">
        <w:rPr>
          <w:rFonts w:ascii="Verdana" w:hAnsi="Verdana"/>
          <w:sz w:val="19"/>
          <w:szCs w:val="19"/>
          <w:lang w:val="es-MX"/>
        </w:rPr>
        <w:t xml:space="preserve"> </w:t>
      </w:r>
    </w:p>
    <w:p w:rsidR="002A3936" w:rsidRPr="00982566" w:rsidRDefault="009D403C" w:rsidP="00982566">
      <w:pPr>
        <w:numPr>
          <w:ilvl w:val="0"/>
          <w:numId w:val="18"/>
        </w:numPr>
        <w:spacing w:after="0" w:line="240" w:lineRule="auto"/>
        <w:jc w:val="both"/>
        <w:rPr>
          <w:rFonts w:ascii="Verdana" w:hAnsi="Verdana"/>
          <w:sz w:val="19"/>
          <w:szCs w:val="19"/>
          <w:lang w:val="es-MX"/>
        </w:rPr>
      </w:pPr>
      <w:r>
        <w:rPr>
          <w:rFonts w:ascii="Verdana" w:hAnsi="Verdana"/>
          <w:sz w:val="19"/>
          <w:szCs w:val="19"/>
          <w:lang w:val="es-MX"/>
        </w:rPr>
        <w:t>refiere</w:t>
      </w:r>
      <w:r w:rsidR="0044228D" w:rsidRPr="00982566">
        <w:rPr>
          <w:rFonts w:ascii="Verdana" w:hAnsi="Verdana"/>
          <w:sz w:val="19"/>
          <w:szCs w:val="19"/>
          <w:lang w:val="es-MX"/>
        </w:rPr>
        <w:t xml:space="preserve"> </w:t>
      </w:r>
      <w:r w:rsidR="004F710C" w:rsidRPr="00982566">
        <w:rPr>
          <w:rFonts w:ascii="Verdana" w:hAnsi="Verdana"/>
          <w:sz w:val="19"/>
          <w:szCs w:val="19"/>
          <w:lang w:val="es-MX"/>
        </w:rPr>
        <w:t>que</w:t>
      </w:r>
      <w:r w:rsidR="0044228D" w:rsidRPr="00982566">
        <w:rPr>
          <w:rFonts w:ascii="Verdana" w:hAnsi="Verdana"/>
          <w:sz w:val="19"/>
          <w:szCs w:val="19"/>
          <w:lang w:val="es-MX"/>
        </w:rPr>
        <w:t xml:space="preserve"> un “obstáculo muy grande”</w:t>
      </w:r>
      <w:r w:rsidR="00B640D3" w:rsidRPr="00982566">
        <w:rPr>
          <w:rFonts w:ascii="Verdana" w:hAnsi="Verdana"/>
          <w:sz w:val="19"/>
          <w:szCs w:val="19"/>
          <w:lang w:val="es-MX"/>
        </w:rPr>
        <w:t xml:space="preserve"> </w:t>
      </w:r>
      <w:r w:rsidR="004F710C" w:rsidRPr="00982566">
        <w:rPr>
          <w:rFonts w:ascii="Verdana" w:hAnsi="Verdana"/>
          <w:sz w:val="19"/>
          <w:szCs w:val="19"/>
          <w:lang w:val="es-MX"/>
        </w:rPr>
        <w:t>para</w:t>
      </w:r>
      <w:r w:rsidR="0044228D" w:rsidRPr="00982566">
        <w:rPr>
          <w:rFonts w:ascii="Verdana" w:hAnsi="Verdana"/>
          <w:sz w:val="19"/>
          <w:szCs w:val="19"/>
          <w:lang w:val="es-MX"/>
        </w:rPr>
        <w:t xml:space="preserve"> la ejecución de la </w:t>
      </w:r>
      <w:r w:rsidR="004F710C" w:rsidRPr="00982566">
        <w:rPr>
          <w:rFonts w:ascii="Verdana" w:hAnsi="Verdana"/>
          <w:sz w:val="19"/>
          <w:szCs w:val="19"/>
          <w:lang w:val="es-MX"/>
        </w:rPr>
        <w:t>presente obligación es</w:t>
      </w:r>
      <w:r w:rsidR="0044228D" w:rsidRPr="00982566">
        <w:rPr>
          <w:rFonts w:ascii="Verdana" w:hAnsi="Verdana"/>
          <w:sz w:val="19"/>
          <w:szCs w:val="19"/>
          <w:lang w:val="es-MX"/>
        </w:rPr>
        <w:t xml:space="preserve"> “el paso transcurrido desde la época en que fueron desaparecidas las víctimas”</w:t>
      </w:r>
      <w:r w:rsidR="00653135" w:rsidRPr="00982566">
        <w:rPr>
          <w:rFonts w:ascii="Verdana" w:hAnsi="Verdana"/>
          <w:sz w:val="19"/>
          <w:szCs w:val="19"/>
          <w:lang w:val="es-MX"/>
        </w:rPr>
        <w:t>, el cual “ha hecho difícil la labor probatoria”</w:t>
      </w:r>
      <w:r w:rsidR="0044228D" w:rsidRPr="00982566">
        <w:rPr>
          <w:rStyle w:val="Refdenotaalpie"/>
          <w:rFonts w:ascii="Verdana" w:hAnsi="Verdana"/>
          <w:sz w:val="19"/>
          <w:szCs w:val="19"/>
          <w:lang w:val="es-MX"/>
        </w:rPr>
        <w:footnoteReference w:id="38"/>
      </w:r>
      <w:r w:rsidR="0044228D" w:rsidRPr="00982566">
        <w:rPr>
          <w:rFonts w:ascii="Verdana" w:hAnsi="Verdana"/>
          <w:sz w:val="19"/>
          <w:szCs w:val="19"/>
          <w:lang w:val="es-MX"/>
        </w:rPr>
        <w:t>.</w:t>
      </w:r>
    </w:p>
    <w:p w:rsidR="004F710C" w:rsidRDefault="004F710C" w:rsidP="00154E1C">
      <w:pPr>
        <w:spacing w:afterLines="120" w:after="288" w:line="240" w:lineRule="auto"/>
        <w:jc w:val="both"/>
        <w:rPr>
          <w:rFonts w:ascii="Verdana" w:hAnsi="Verdana"/>
          <w:sz w:val="20"/>
          <w:lang w:val="es-MX"/>
        </w:rPr>
      </w:pPr>
    </w:p>
    <w:p w:rsidR="00056031" w:rsidRPr="00982566" w:rsidRDefault="00056031" w:rsidP="00154E1C">
      <w:pPr>
        <w:numPr>
          <w:ilvl w:val="0"/>
          <w:numId w:val="2"/>
        </w:numPr>
        <w:spacing w:afterLines="120" w:after="288" w:line="240" w:lineRule="auto"/>
        <w:ind w:left="0" w:firstLine="0"/>
        <w:jc w:val="both"/>
        <w:rPr>
          <w:rFonts w:ascii="Verdana" w:hAnsi="Verdana"/>
          <w:sz w:val="20"/>
          <w:lang w:val="es-CR"/>
        </w:rPr>
      </w:pPr>
      <w:r w:rsidRPr="00982566">
        <w:rPr>
          <w:rFonts w:ascii="Verdana" w:hAnsi="Verdana"/>
          <w:sz w:val="20"/>
          <w:lang w:val="es-MX"/>
        </w:rPr>
        <w:t xml:space="preserve">Por otra parte, </w:t>
      </w:r>
      <w:r w:rsidR="009057A8">
        <w:rPr>
          <w:rFonts w:ascii="Verdana" w:hAnsi="Verdana"/>
          <w:sz w:val="20"/>
          <w:lang w:val="es-MX"/>
        </w:rPr>
        <w:t xml:space="preserve">la Corte observa que </w:t>
      </w:r>
      <w:r w:rsidRPr="00982566">
        <w:rPr>
          <w:rFonts w:ascii="Verdana" w:hAnsi="Verdana"/>
          <w:sz w:val="20"/>
          <w:lang w:val="es-MX"/>
        </w:rPr>
        <w:t>de acuerdo con el Informe presentado por la Defensoría del Pueblo (</w:t>
      </w:r>
      <w:r w:rsidRPr="00982566">
        <w:rPr>
          <w:rFonts w:ascii="Verdana" w:hAnsi="Verdana"/>
          <w:i/>
          <w:sz w:val="20"/>
          <w:lang w:val="es-MX"/>
        </w:rPr>
        <w:t>supra</w:t>
      </w:r>
      <w:r w:rsidRPr="00982566">
        <w:rPr>
          <w:rFonts w:ascii="Verdana" w:hAnsi="Verdana"/>
          <w:sz w:val="20"/>
          <w:lang w:val="es-MX"/>
        </w:rPr>
        <w:t xml:space="preserve"> Visto </w:t>
      </w:r>
      <w:r w:rsidR="009057A8">
        <w:rPr>
          <w:rFonts w:ascii="Verdana" w:hAnsi="Verdana"/>
          <w:sz w:val="20"/>
          <w:lang w:val="es-MX"/>
        </w:rPr>
        <w:t>6</w:t>
      </w:r>
      <w:r w:rsidRPr="00982566">
        <w:rPr>
          <w:rFonts w:ascii="Verdana" w:hAnsi="Verdana"/>
          <w:sz w:val="20"/>
          <w:lang w:val="es-MX"/>
        </w:rPr>
        <w:t xml:space="preserve"> y Considerando </w:t>
      </w:r>
      <w:r w:rsidR="009057A8">
        <w:rPr>
          <w:rFonts w:ascii="Verdana" w:hAnsi="Verdana"/>
          <w:sz w:val="20"/>
          <w:lang w:val="es-MX"/>
        </w:rPr>
        <w:t>3</w:t>
      </w:r>
      <w:r w:rsidRPr="00982566">
        <w:rPr>
          <w:rFonts w:ascii="Verdana" w:hAnsi="Verdana"/>
          <w:sz w:val="20"/>
          <w:lang w:val="es-MX"/>
        </w:rPr>
        <w:t>),</w:t>
      </w:r>
      <w:r w:rsidR="006C3280" w:rsidRPr="00982566">
        <w:rPr>
          <w:rFonts w:ascii="Verdana" w:hAnsi="Verdana"/>
          <w:sz w:val="20"/>
          <w:lang w:val="es-MX"/>
        </w:rPr>
        <w:t xml:space="preserve"> se consignó que</w:t>
      </w:r>
      <w:r w:rsidRPr="00982566">
        <w:rPr>
          <w:rFonts w:ascii="Verdana" w:hAnsi="Verdana"/>
          <w:sz w:val="20"/>
          <w:lang w:val="es-MX"/>
        </w:rPr>
        <w:t xml:space="preserve"> </w:t>
      </w:r>
      <w:r w:rsidR="006C3280" w:rsidRPr="00982566">
        <w:rPr>
          <w:rFonts w:ascii="Verdana" w:hAnsi="Verdana"/>
          <w:sz w:val="20"/>
          <w:lang w:val="es-MX"/>
        </w:rPr>
        <w:t>“</w:t>
      </w:r>
      <w:r w:rsidR="006C3280" w:rsidRPr="00982566">
        <w:rPr>
          <w:rFonts w:ascii="Verdana" w:hAnsi="Verdana" w:cs="Garamond"/>
          <w:sz w:val="20"/>
          <w:szCs w:val="20"/>
          <w:lang w:val="es-CR"/>
        </w:rPr>
        <w:t xml:space="preserve">[e]n las investigaciones judiciales nacionales sobre el caso </w:t>
      </w:r>
      <w:r w:rsidR="006C3280" w:rsidRPr="00982566">
        <w:rPr>
          <w:rFonts w:ascii="Verdana" w:hAnsi="Verdana" w:cs="Garamond-Italic"/>
          <w:i/>
          <w:iCs/>
          <w:sz w:val="20"/>
          <w:szCs w:val="20"/>
          <w:lang w:val="es-CR"/>
        </w:rPr>
        <w:t>Caballero Delgado y Santana</w:t>
      </w:r>
      <w:r w:rsidR="006C3280" w:rsidRPr="00982566">
        <w:rPr>
          <w:rFonts w:ascii="Verdana" w:hAnsi="Verdana" w:cs="Garamond"/>
          <w:sz w:val="20"/>
          <w:szCs w:val="20"/>
          <w:lang w:val="es-CR"/>
        </w:rPr>
        <w:t xml:space="preserve">, existe una confesión que dio toda la información sobre la autoría material, pero no se ha castigado a los culpables, aunque están identificados”. Asimismo, se indicó que </w:t>
      </w:r>
      <w:r w:rsidRPr="00982566">
        <w:rPr>
          <w:rFonts w:ascii="Verdana" w:hAnsi="Verdana"/>
          <w:sz w:val="20"/>
          <w:lang w:val="es-MX"/>
        </w:rPr>
        <w:t>“[s]egún lo reportado por la Fiscalía 28 especializada, el cambio de fiscalía realizado en septiembre de 2018 afectó la velocidad y el avance del proceso[, de forma que] a noviembre de 2018, el proceso seguía en etapa de instrucción, no contaba con ninguna persona condenada ni se había vinculado a varios de los militares que fueron absueltos por el fuero penal militar”</w:t>
      </w:r>
      <w:r>
        <w:rPr>
          <w:rStyle w:val="Refdenotaalpie"/>
          <w:rFonts w:ascii="Verdana" w:hAnsi="Verdana"/>
          <w:sz w:val="20"/>
          <w:lang w:val="es-MX"/>
        </w:rPr>
        <w:footnoteReference w:id="39"/>
      </w:r>
      <w:r w:rsidRPr="00982566">
        <w:rPr>
          <w:rFonts w:ascii="Verdana" w:hAnsi="Verdana"/>
          <w:sz w:val="20"/>
          <w:lang w:val="es-MX"/>
        </w:rPr>
        <w:t xml:space="preserve">. </w:t>
      </w:r>
    </w:p>
    <w:p w:rsidR="00056031" w:rsidRPr="00982566" w:rsidRDefault="00056031" w:rsidP="00154E1C">
      <w:pPr>
        <w:spacing w:afterLines="120" w:after="288" w:line="240" w:lineRule="auto"/>
        <w:jc w:val="both"/>
        <w:rPr>
          <w:rFonts w:ascii="Verdana" w:hAnsi="Verdana"/>
          <w:sz w:val="20"/>
          <w:lang w:val="es-CR"/>
        </w:rPr>
      </w:pPr>
    </w:p>
    <w:p w:rsidR="000B6662" w:rsidRDefault="000B6662" w:rsidP="00154E1C">
      <w:pPr>
        <w:numPr>
          <w:ilvl w:val="0"/>
          <w:numId w:val="2"/>
        </w:numPr>
        <w:spacing w:afterLines="120" w:after="288" w:line="240" w:lineRule="auto"/>
        <w:ind w:left="0" w:firstLine="0"/>
        <w:jc w:val="both"/>
        <w:rPr>
          <w:rFonts w:ascii="Verdana" w:hAnsi="Verdana"/>
          <w:sz w:val="20"/>
          <w:lang w:val="es-MX"/>
        </w:rPr>
      </w:pPr>
      <w:r>
        <w:rPr>
          <w:rFonts w:ascii="Verdana" w:hAnsi="Verdana"/>
          <w:sz w:val="20"/>
          <w:lang w:val="es-MX"/>
        </w:rPr>
        <w:t>Preocupa al Tribunal que pese a haber insistido en Resoluciones de supervisión de cumplimiento previas respecto de la importancia de recibir la debida información por parte del Estado para supervisar la presente medida y haber realizado solicitudes específicas y detalladas de información (</w:t>
      </w:r>
      <w:r>
        <w:rPr>
          <w:rFonts w:ascii="Verdana" w:hAnsi="Verdana"/>
          <w:i/>
          <w:sz w:val="20"/>
          <w:lang w:val="es-MX"/>
        </w:rPr>
        <w:t xml:space="preserve">supra </w:t>
      </w:r>
      <w:r>
        <w:rPr>
          <w:rFonts w:ascii="Verdana" w:hAnsi="Verdana"/>
          <w:sz w:val="20"/>
          <w:lang w:val="es-MX"/>
        </w:rPr>
        <w:t>Considerando</w:t>
      </w:r>
      <w:r w:rsidR="006A7E89">
        <w:rPr>
          <w:rFonts w:ascii="Verdana" w:hAnsi="Verdana"/>
          <w:sz w:val="20"/>
          <w:lang w:val="es-MX"/>
        </w:rPr>
        <w:t>s 5 a</w:t>
      </w:r>
      <w:r>
        <w:rPr>
          <w:rFonts w:ascii="Verdana" w:hAnsi="Verdana"/>
          <w:sz w:val="20"/>
          <w:lang w:val="es-MX"/>
        </w:rPr>
        <w:t xml:space="preserve"> </w:t>
      </w:r>
      <w:r w:rsidR="00937A1E">
        <w:rPr>
          <w:rFonts w:ascii="Verdana" w:hAnsi="Verdana"/>
          <w:sz w:val="20"/>
          <w:lang w:val="es-MX"/>
        </w:rPr>
        <w:t>7</w:t>
      </w:r>
      <w:r>
        <w:rPr>
          <w:rFonts w:ascii="Verdana" w:hAnsi="Verdana"/>
          <w:sz w:val="20"/>
          <w:lang w:val="es-MX"/>
        </w:rPr>
        <w:t>), el Estado continúe remitiendo información general sobre diversas diligencias realizadas</w:t>
      </w:r>
      <w:r w:rsidR="0052143D">
        <w:rPr>
          <w:rFonts w:ascii="Verdana" w:hAnsi="Verdana"/>
          <w:sz w:val="20"/>
          <w:lang w:val="es-MX"/>
        </w:rPr>
        <w:t>,</w:t>
      </w:r>
      <w:r>
        <w:rPr>
          <w:rFonts w:ascii="Verdana" w:hAnsi="Verdana"/>
          <w:sz w:val="20"/>
          <w:lang w:val="es-MX"/>
        </w:rPr>
        <w:t xml:space="preserve"> sin hacer alusión al objetivo o propósito de las mismas, sin evidenciar un plan sistemático y organizado de investigación</w:t>
      </w:r>
      <w:r w:rsidR="0052143D">
        <w:rPr>
          <w:rFonts w:ascii="Verdana" w:hAnsi="Verdana"/>
          <w:sz w:val="20"/>
          <w:lang w:val="es-MX"/>
        </w:rPr>
        <w:t>,</w:t>
      </w:r>
      <w:r>
        <w:rPr>
          <w:rFonts w:ascii="Verdana" w:hAnsi="Verdana"/>
          <w:sz w:val="20"/>
          <w:lang w:val="es-MX"/>
        </w:rPr>
        <w:t xml:space="preserve"> ni indicar cuáles son los pasos que ha tomado para retomar la investigación de las personas inicialmente sindicadas (</w:t>
      </w:r>
      <w:r>
        <w:rPr>
          <w:rFonts w:ascii="Verdana" w:hAnsi="Verdana"/>
          <w:i/>
          <w:sz w:val="20"/>
          <w:lang w:val="es-MX"/>
        </w:rPr>
        <w:t xml:space="preserve">supra </w:t>
      </w:r>
      <w:r>
        <w:rPr>
          <w:rFonts w:ascii="Verdana" w:hAnsi="Verdana"/>
          <w:sz w:val="20"/>
          <w:lang w:val="es-MX"/>
        </w:rPr>
        <w:t xml:space="preserve">Considerando </w:t>
      </w:r>
      <w:r w:rsidR="00937A1E">
        <w:rPr>
          <w:rFonts w:ascii="Verdana" w:hAnsi="Verdana"/>
          <w:sz w:val="20"/>
          <w:lang w:val="es-MX"/>
        </w:rPr>
        <w:t>10</w:t>
      </w:r>
      <w:r>
        <w:rPr>
          <w:rFonts w:ascii="Verdana" w:hAnsi="Verdana"/>
          <w:sz w:val="20"/>
          <w:lang w:val="es-MX"/>
        </w:rPr>
        <w:t>), o bien, si existen líneas alternativas de investigación</w:t>
      </w:r>
      <w:r w:rsidR="0052143D">
        <w:rPr>
          <w:rFonts w:ascii="Verdana" w:hAnsi="Verdana"/>
          <w:sz w:val="20"/>
          <w:lang w:val="es-MX"/>
        </w:rPr>
        <w:t>.</w:t>
      </w:r>
      <w:r>
        <w:rPr>
          <w:rFonts w:ascii="Verdana" w:hAnsi="Verdana"/>
          <w:sz w:val="20"/>
          <w:lang w:val="es-MX"/>
        </w:rPr>
        <w:t xml:space="preserve"> </w:t>
      </w:r>
      <w:r w:rsidR="0052143D">
        <w:rPr>
          <w:rFonts w:ascii="Verdana" w:hAnsi="Verdana"/>
          <w:sz w:val="20"/>
          <w:lang w:val="es-MX"/>
        </w:rPr>
        <w:t xml:space="preserve">El Estado </w:t>
      </w:r>
      <w:r>
        <w:rPr>
          <w:rFonts w:ascii="Verdana" w:hAnsi="Verdana"/>
          <w:sz w:val="20"/>
          <w:lang w:val="es-MX"/>
        </w:rPr>
        <w:t>tampoco ha referido cuáles son los</w:t>
      </w:r>
      <w:r w:rsidRPr="0073131C">
        <w:rPr>
          <w:rFonts w:ascii="Verdana" w:hAnsi="Verdana"/>
          <w:sz w:val="20"/>
          <w:lang w:val="es-MX"/>
        </w:rPr>
        <w:t xml:space="preserve"> mecanismos que están al alcance de la Fiscalía que le permitan cumplir con la obligación estatal de investiga</w:t>
      </w:r>
      <w:r w:rsidR="0052143D">
        <w:rPr>
          <w:rFonts w:ascii="Verdana" w:hAnsi="Verdana"/>
          <w:sz w:val="20"/>
          <w:lang w:val="es-MX"/>
        </w:rPr>
        <w:t>r</w:t>
      </w:r>
      <w:r w:rsidRPr="0073131C">
        <w:rPr>
          <w:rFonts w:ascii="Verdana" w:hAnsi="Verdana"/>
          <w:sz w:val="20"/>
          <w:lang w:val="es-MX"/>
        </w:rPr>
        <w:t xml:space="preserve"> los hechos del presente caso, y en especial aquellas que permitan dar celeridad a la investigación.</w:t>
      </w:r>
      <w:r w:rsidR="0052143D">
        <w:rPr>
          <w:rFonts w:ascii="Verdana" w:hAnsi="Verdana"/>
          <w:sz w:val="20"/>
          <w:lang w:val="es-MX"/>
        </w:rPr>
        <w:t xml:space="preserve"> Por último, si bien el Estado refiere que el paso del tiempo desde los hechos es un obstáculo para avanzar en la investigación,</w:t>
      </w:r>
      <w:r w:rsidR="0052143D" w:rsidRPr="001038BF">
        <w:rPr>
          <w:rFonts w:ascii="Verdana" w:hAnsi="Verdana"/>
          <w:sz w:val="20"/>
          <w:lang w:val="es-MX"/>
        </w:rPr>
        <w:t xml:space="preserve"> la Corte </w:t>
      </w:r>
      <w:r w:rsidR="0052143D">
        <w:rPr>
          <w:rFonts w:ascii="Verdana" w:hAnsi="Verdana"/>
          <w:sz w:val="20"/>
          <w:lang w:val="es-MX"/>
        </w:rPr>
        <w:t xml:space="preserve">advierte que a lo largo de la etapa de supervisión ha </w:t>
      </w:r>
      <w:r w:rsidR="00937A1E">
        <w:rPr>
          <w:rFonts w:ascii="Verdana" w:hAnsi="Verdana"/>
          <w:sz w:val="20"/>
          <w:lang w:val="es-MX"/>
        </w:rPr>
        <w:t>resaltado</w:t>
      </w:r>
      <w:r w:rsidR="0052143D">
        <w:rPr>
          <w:rFonts w:ascii="Verdana" w:hAnsi="Verdana"/>
          <w:sz w:val="20"/>
          <w:lang w:val="es-MX"/>
        </w:rPr>
        <w:t xml:space="preserve"> a </w:t>
      </w:r>
      <w:r w:rsidR="0052143D" w:rsidRPr="001038BF">
        <w:rPr>
          <w:rFonts w:ascii="Verdana" w:hAnsi="Verdana"/>
          <w:sz w:val="20"/>
          <w:lang w:val="es-MX"/>
        </w:rPr>
        <w:t xml:space="preserve">la inacción del Estado para </w:t>
      </w:r>
      <w:r w:rsidR="0052143D">
        <w:rPr>
          <w:rFonts w:ascii="Verdana" w:hAnsi="Verdana"/>
          <w:sz w:val="20"/>
          <w:lang w:val="es-MX"/>
        </w:rPr>
        <w:t xml:space="preserve">superar esos inconvenientes y </w:t>
      </w:r>
      <w:r w:rsidR="0052143D" w:rsidRPr="001038BF">
        <w:rPr>
          <w:rFonts w:ascii="Verdana" w:hAnsi="Verdana"/>
          <w:sz w:val="20"/>
          <w:lang w:val="es-MX"/>
        </w:rPr>
        <w:t xml:space="preserve">continuar con las investigaciones en contra de </w:t>
      </w:r>
      <w:r w:rsidR="0052143D">
        <w:rPr>
          <w:rFonts w:ascii="Verdana" w:hAnsi="Verdana"/>
          <w:sz w:val="20"/>
          <w:lang w:val="es-MX"/>
        </w:rPr>
        <w:t>las personas presuntamente</w:t>
      </w:r>
      <w:r w:rsidR="0052143D" w:rsidRPr="001038BF">
        <w:rPr>
          <w:rFonts w:ascii="Verdana" w:hAnsi="Verdana"/>
          <w:sz w:val="20"/>
          <w:lang w:val="es-MX"/>
        </w:rPr>
        <w:t xml:space="preserve"> responsables de los hechos</w:t>
      </w:r>
      <w:r w:rsidR="00980F88">
        <w:rPr>
          <w:rFonts w:ascii="Verdana" w:hAnsi="Verdana"/>
          <w:sz w:val="20"/>
          <w:lang w:val="es-MX"/>
        </w:rPr>
        <w:t xml:space="preserve"> (</w:t>
      </w:r>
      <w:r w:rsidR="00980F88">
        <w:rPr>
          <w:rFonts w:ascii="Verdana" w:hAnsi="Verdana"/>
          <w:i/>
          <w:sz w:val="20"/>
          <w:lang w:val="es-MX"/>
        </w:rPr>
        <w:t xml:space="preserve">supra </w:t>
      </w:r>
      <w:r w:rsidR="00937A1E">
        <w:rPr>
          <w:rFonts w:ascii="Verdana" w:hAnsi="Verdana"/>
          <w:sz w:val="20"/>
          <w:lang w:val="es-MX"/>
        </w:rPr>
        <w:t>Considerandos 5 a 7</w:t>
      </w:r>
      <w:r w:rsidR="00980F88">
        <w:rPr>
          <w:rFonts w:ascii="Verdana" w:hAnsi="Verdana"/>
          <w:sz w:val="20"/>
          <w:lang w:val="es-MX"/>
        </w:rPr>
        <w:t>)</w:t>
      </w:r>
      <w:r w:rsidR="0052143D" w:rsidRPr="001038BF">
        <w:rPr>
          <w:rFonts w:ascii="Verdana" w:hAnsi="Verdana"/>
          <w:sz w:val="20"/>
          <w:lang w:val="es-MX"/>
        </w:rPr>
        <w:t>.</w:t>
      </w:r>
    </w:p>
    <w:p w:rsidR="000B6662" w:rsidRDefault="000B6662" w:rsidP="00154E1C">
      <w:pPr>
        <w:spacing w:afterLines="120" w:after="288" w:line="240" w:lineRule="auto"/>
        <w:jc w:val="both"/>
        <w:rPr>
          <w:rFonts w:ascii="Verdana" w:hAnsi="Verdana"/>
          <w:sz w:val="20"/>
          <w:lang w:val="es-MX"/>
        </w:rPr>
      </w:pPr>
    </w:p>
    <w:p w:rsidR="005040FC" w:rsidRPr="00982566" w:rsidRDefault="000B6662" w:rsidP="00154E1C">
      <w:pPr>
        <w:numPr>
          <w:ilvl w:val="0"/>
          <w:numId w:val="2"/>
        </w:numPr>
        <w:spacing w:afterLines="120" w:after="288" w:line="240" w:lineRule="auto"/>
        <w:ind w:left="0" w:firstLine="0"/>
        <w:jc w:val="both"/>
        <w:rPr>
          <w:rFonts w:ascii="Verdana" w:hAnsi="Verdana"/>
          <w:sz w:val="20"/>
          <w:lang w:val="es-MX"/>
        </w:rPr>
      </w:pPr>
      <w:r>
        <w:rPr>
          <w:rFonts w:ascii="Verdana" w:hAnsi="Verdana"/>
          <w:sz w:val="20"/>
          <w:lang w:val="es-MX"/>
        </w:rPr>
        <w:t>Adicionalmente</w:t>
      </w:r>
      <w:r w:rsidR="004245D5">
        <w:rPr>
          <w:rFonts w:ascii="Verdana" w:hAnsi="Verdana"/>
          <w:sz w:val="20"/>
          <w:lang w:val="es-MX"/>
        </w:rPr>
        <w:t>, la Corte advierte que</w:t>
      </w:r>
      <w:r w:rsidR="00DF23F0">
        <w:rPr>
          <w:rFonts w:ascii="Verdana" w:hAnsi="Verdana"/>
          <w:sz w:val="20"/>
          <w:lang w:val="es-MX"/>
        </w:rPr>
        <w:t xml:space="preserve"> a lo largo de la presente etapa de supervisión y con posterioridad a la última Resolución de supervisión de cumplimiento,</w:t>
      </w:r>
      <w:r w:rsidR="004245D5">
        <w:rPr>
          <w:rFonts w:ascii="Verdana" w:hAnsi="Verdana"/>
          <w:sz w:val="20"/>
          <w:lang w:val="es-MX"/>
        </w:rPr>
        <w:t xml:space="preserve"> los representantes han hecho referencia a diversos obstáculos relacionados con las diligencias investigativas que mantienen a la investigación en etapa de instrucción, tales como: i) no se les ha permitido participar en el diseño y práctica de diligencias investigativas importantes</w:t>
      </w:r>
      <w:r w:rsidR="004245D5">
        <w:rPr>
          <w:rStyle w:val="Refdenotaalpie"/>
          <w:rFonts w:ascii="Verdana" w:hAnsi="Verdana"/>
          <w:sz w:val="20"/>
          <w:lang w:val="es-MX"/>
        </w:rPr>
        <w:footnoteReference w:id="40"/>
      </w:r>
      <w:r w:rsidR="004245D5">
        <w:rPr>
          <w:rFonts w:ascii="Verdana" w:hAnsi="Verdana"/>
          <w:sz w:val="20"/>
          <w:lang w:val="es-MX"/>
        </w:rPr>
        <w:t xml:space="preserve">; </w:t>
      </w:r>
      <w:r w:rsidR="004245D5" w:rsidRPr="00626FEC">
        <w:rPr>
          <w:rFonts w:ascii="Verdana" w:hAnsi="Verdana" w:cs="Arial"/>
          <w:sz w:val="20"/>
          <w:szCs w:val="20"/>
          <w:lang w:val="es-CR"/>
        </w:rPr>
        <w:t>i</w:t>
      </w:r>
      <w:r w:rsidR="004245D5">
        <w:rPr>
          <w:rFonts w:ascii="Verdana" w:hAnsi="Verdana" w:cs="Arial"/>
          <w:sz w:val="20"/>
          <w:szCs w:val="20"/>
          <w:lang w:val="es-CR"/>
        </w:rPr>
        <w:t>i</w:t>
      </w:r>
      <w:r w:rsidR="004245D5" w:rsidRPr="00626FEC">
        <w:rPr>
          <w:rFonts w:ascii="Verdana" w:hAnsi="Verdana" w:cs="Arial"/>
          <w:sz w:val="20"/>
          <w:szCs w:val="20"/>
          <w:lang w:val="es-CR"/>
        </w:rPr>
        <w:t>) existen</w:t>
      </w:r>
      <w:r w:rsidR="004245D5">
        <w:rPr>
          <w:rFonts w:ascii="Verdana" w:hAnsi="Verdana" w:cs="Arial"/>
          <w:sz w:val="20"/>
          <w:szCs w:val="20"/>
          <w:lang w:val="es-CR"/>
        </w:rPr>
        <w:t xml:space="preserve"> diligencias </w:t>
      </w:r>
      <w:r w:rsidR="00E47DFB">
        <w:rPr>
          <w:rFonts w:ascii="Verdana" w:hAnsi="Verdana" w:cs="Arial"/>
          <w:sz w:val="20"/>
          <w:szCs w:val="20"/>
          <w:lang w:val="es-CR"/>
        </w:rPr>
        <w:t>que parecieran estar “</w:t>
      </w:r>
      <w:r w:rsidR="004245D5">
        <w:rPr>
          <w:rFonts w:ascii="Verdana" w:hAnsi="Verdana" w:cs="Arial"/>
          <w:sz w:val="20"/>
          <w:szCs w:val="20"/>
          <w:lang w:val="es-CR"/>
        </w:rPr>
        <w:t>inconclusas</w:t>
      </w:r>
      <w:r w:rsidR="00E47DFB">
        <w:rPr>
          <w:rFonts w:ascii="Verdana" w:hAnsi="Verdana" w:cs="Arial"/>
          <w:sz w:val="20"/>
          <w:szCs w:val="20"/>
          <w:lang w:val="es-CR"/>
        </w:rPr>
        <w:t>”</w:t>
      </w:r>
      <w:r w:rsidR="004245D5">
        <w:rPr>
          <w:rFonts w:ascii="Verdana" w:hAnsi="Verdana" w:cs="Arial"/>
          <w:sz w:val="20"/>
          <w:szCs w:val="20"/>
          <w:lang w:val="es-CR"/>
        </w:rPr>
        <w:t>; iii</w:t>
      </w:r>
      <w:r w:rsidR="004245D5" w:rsidRPr="00626FEC">
        <w:rPr>
          <w:rFonts w:ascii="Verdana" w:hAnsi="Verdana" w:cs="Arial"/>
          <w:sz w:val="20"/>
          <w:szCs w:val="20"/>
          <w:lang w:val="es-CR"/>
        </w:rPr>
        <w:t xml:space="preserve">) </w:t>
      </w:r>
      <w:r w:rsidR="003046E7">
        <w:rPr>
          <w:rFonts w:ascii="Verdana" w:hAnsi="Verdana" w:cs="Arial"/>
          <w:sz w:val="20"/>
          <w:szCs w:val="20"/>
          <w:lang w:val="es-CR"/>
        </w:rPr>
        <w:t>se</w:t>
      </w:r>
      <w:r w:rsidR="004245D5" w:rsidRPr="00626FEC">
        <w:rPr>
          <w:rFonts w:ascii="Verdana" w:hAnsi="Verdana" w:cs="Arial"/>
          <w:sz w:val="20"/>
          <w:szCs w:val="20"/>
          <w:lang w:val="es-CR"/>
        </w:rPr>
        <w:t xml:space="preserve"> </w:t>
      </w:r>
      <w:r w:rsidR="00E47DFB">
        <w:rPr>
          <w:rFonts w:ascii="Verdana" w:hAnsi="Verdana" w:cs="Arial"/>
          <w:sz w:val="20"/>
          <w:szCs w:val="20"/>
          <w:lang w:val="es-CR"/>
        </w:rPr>
        <w:t>“</w:t>
      </w:r>
      <w:r w:rsidR="004245D5" w:rsidRPr="00626FEC">
        <w:rPr>
          <w:rFonts w:ascii="Verdana" w:hAnsi="Verdana" w:cs="Arial"/>
          <w:sz w:val="20"/>
          <w:szCs w:val="20"/>
          <w:lang w:val="es-CR"/>
        </w:rPr>
        <w:t>reitera</w:t>
      </w:r>
      <w:r w:rsidR="00E47DFB">
        <w:rPr>
          <w:rFonts w:ascii="Verdana" w:hAnsi="Verdana" w:cs="Arial"/>
          <w:sz w:val="20"/>
          <w:szCs w:val="20"/>
          <w:lang w:val="es-CR"/>
        </w:rPr>
        <w:t>[</w:t>
      </w:r>
      <w:r w:rsidR="003046E7">
        <w:rPr>
          <w:rFonts w:ascii="Verdana" w:hAnsi="Verdana" w:cs="Arial"/>
          <w:sz w:val="20"/>
          <w:szCs w:val="20"/>
          <w:lang w:val="es-CR"/>
        </w:rPr>
        <w:t>n</w:t>
      </w:r>
      <w:r w:rsidR="00E47DFB">
        <w:rPr>
          <w:rFonts w:ascii="Verdana" w:hAnsi="Verdana" w:cs="Arial"/>
          <w:sz w:val="20"/>
          <w:szCs w:val="20"/>
          <w:lang w:val="es-CR"/>
        </w:rPr>
        <w:t>]</w:t>
      </w:r>
      <w:r w:rsidR="004245D5" w:rsidRPr="00626FEC">
        <w:rPr>
          <w:rFonts w:ascii="Verdana" w:hAnsi="Verdana" w:cs="Arial"/>
          <w:sz w:val="20"/>
          <w:szCs w:val="20"/>
          <w:lang w:val="es-CR"/>
        </w:rPr>
        <w:t xml:space="preserve"> medios de prueba</w:t>
      </w:r>
      <w:r w:rsidR="00E47DFB">
        <w:rPr>
          <w:rFonts w:ascii="Verdana" w:hAnsi="Verdana" w:cs="Arial"/>
          <w:sz w:val="20"/>
          <w:szCs w:val="20"/>
          <w:lang w:val="es-CR"/>
        </w:rPr>
        <w:t>”</w:t>
      </w:r>
      <w:r w:rsidR="004245D5">
        <w:rPr>
          <w:rFonts w:ascii="Verdana" w:hAnsi="Verdana" w:cs="Arial"/>
          <w:sz w:val="20"/>
          <w:szCs w:val="20"/>
          <w:lang w:val="es-CR"/>
        </w:rPr>
        <w:t>; i</w:t>
      </w:r>
      <w:r w:rsidR="004245D5" w:rsidRPr="00626FEC">
        <w:rPr>
          <w:rFonts w:ascii="Verdana" w:hAnsi="Verdana" w:cs="Arial"/>
          <w:sz w:val="20"/>
          <w:szCs w:val="20"/>
          <w:lang w:val="es-CR"/>
        </w:rPr>
        <w:t>v)</w:t>
      </w:r>
      <w:r w:rsidR="00543EE9" w:rsidRPr="00543EE9">
        <w:rPr>
          <w:rFonts w:ascii="Verdana" w:hAnsi="Verdana" w:cs="Arial"/>
          <w:sz w:val="20"/>
          <w:szCs w:val="20"/>
          <w:lang w:val="es-CR"/>
        </w:rPr>
        <w:t xml:space="preserve"> </w:t>
      </w:r>
      <w:r w:rsidR="00543EE9">
        <w:rPr>
          <w:rFonts w:ascii="Verdana" w:hAnsi="Verdana" w:cs="Arial"/>
          <w:sz w:val="20"/>
          <w:szCs w:val="20"/>
          <w:lang w:val="es-CR"/>
        </w:rPr>
        <w:t>existen</w:t>
      </w:r>
      <w:r w:rsidR="00E47DFB">
        <w:rPr>
          <w:rFonts w:ascii="Verdana" w:hAnsi="Verdana" w:cs="Arial"/>
          <w:sz w:val="20"/>
          <w:szCs w:val="20"/>
          <w:lang w:val="es-CR"/>
        </w:rPr>
        <w:t xml:space="preserve"> otros</w:t>
      </w:r>
      <w:r w:rsidR="00543EE9">
        <w:rPr>
          <w:rFonts w:ascii="Verdana" w:hAnsi="Verdana" w:cs="Arial"/>
          <w:sz w:val="20"/>
          <w:szCs w:val="20"/>
          <w:lang w:val="es-CR"/>
        </w:rPr>
        <w:t xml:space="preserve"> </w:t>
      </w:r>
      <w:r w:rsidR="00E47DFB">
        <w:rPr>
          <w:rFonts w:ascii="Verdana" w:hAnsi="Verdana" w:cs="Arial"/>
          <w:sz w:val="20"/>
          <w:szCs w:val="20"/>
          <w:lang w:val="es-CR"/>
        </w:rPr>
        <w:t>“</w:t>
      </w:r>
      <w:r w:rsidR="00543EE9" w:rsidRPr="00626FEC">
        <w:rPr>
          <w:rFonts w:ascii="Verdana" w:hAnsi="Verdana" w:cs="Arial"/>
          <w:sz w:val="20"/>
          <w:szCs w:val="20"/>
          <w:lang w:val="es-CR"/>
        </w:rPr>
        <w:t>medios de prueba que se presentan de manera tan genérica, que resulta imposible su cumplimiento dentro del término de comisión decretado</w:t>
      </w:r>
      <w:r w:rsidR="00E47DFB">
        <w:rPr>
          <w:rFonts w:ascii="Verdana" w:hAnsi="Verdana" w:cs="Arial"/>
          <w:sz w:val="20"/>
          <w:szCs w:val="20"/>
          <w:lang w:val="es-CR"/>
        </w:rPr>
        <w:t>”</w:t>
      </w:r>
      <w:r w:rsidR="00543EE9">
        <w:rPr>
          <w:rStyle w:val="Refdenotaalpie"/>
          <w:rFonts w:ascii="Verdana" w:hAnsi="Verdana" w:cs="Arial"/>
          <w:sz w:val="20"/>
          <w:szCs w:val="20"/>
          <w:lang w:val="es-CR"/>
        </w:rPr>
        <w:footnoteReference w:id="41"/>
      </w:r>
      <w:r w:rsidR="00003BBF">
        <w:rPr>
          <w:rFonts w:ascii="Verdana" w:hAnsi="Verdana"/>
          <w:sz w:val="20"/>
          <w:szCs w:val="20"/>
          <w:lang w:val="es-CR"/>
        </w:rPr>
        <w:t>, y</w:t>
      </w:r>
      <w:r w:rsidR="003046E7">
        <w:rPr>
          <w:rFonts w:ascii="Verdana" w:hAnsi="Verdana" w:cs="Arial"/>
          <w:sz w:val="20"/>
          <w:szCs w:val="20"/>
          <w:lang w:val="es-CR"/>
        </w:rPr>
        <w:t xml:space="preserve"> </w:t>
      </w:r>
      <w:r w:rsidR="004245D5" w:rsidRPr="00626FEC">
        <w:rPr>
          <w:rFonts w:ascii="Verdana" w:hAnsi="Verdana" w:cs="Arial"/>
          <w:sz w:val="20"/>
          <w:szCs w:val="20"/>
          <w:lang w:val="es-CR"/>
        </w:rPr>
        <w:t>v)</w:t>
      </w:r>
      <w:r w:rsidR="00543EE9" w:rsidRPr="00543EE9">
        <w:rPr>
          <w:rFonts w:ascii="Verdana" w:hAnsi="Verdana" w:cs="Arial"/>
          <w:sz w:val="20"/>
          <w:szCs w:val="20"/>
          <w:lang w:val="es-CR"/>
        </w:rPr>
        <w:t xml:space="preserve"> </w:t>
      </w:r>
      <w:r w:rsidR="00543EE9">
        <w:rPr>
          <w:rFonts w:ascii="Verdana" w:hAnsi="Verdana" w:cs="Arial"/>
          <w:sz w:val="20"/>
          <w:szCs w:val="20"/>
          <w:lang w:val="es-CR"/>
        </w:rPr>
        <w:t xml:space="preserve">no se da seguimiento a informes policiales y </w:t>
      </w:r>
      <w:r w:rsidR="00543EE9" w:rsidRPr="00AE6887">
        <w:rPr>
          <w:rFonts w:ascii="Verdana" w:hAnsi="Verdana" w:cs="Arial"/>
          <w:sz w:val="20"/>
          <w:szCs w:val="20"/>
          <w:lang w:val="es-CR"/>
        </w:rPr>
        <w:t>estudios que han “</w:t>
      </w:r>
      <w:r w:rsidR="00543EE9" w:rsidRPr="00982566">
        <w:rPr>
          <w:rFonts w:ascii="Verdana" w:hAnsi="Verdana"/>
          <w:sz w:val="20"/>
          <w:szCs w:val="20"/>
          <w:lang w:val="es-CR"/>
        </w:rPr>
        <w:t>arroj[ad</w:t>
      </w:r>
      <w:r w:rsidR="00E55AA0">
        <w:rPr>
          <w:rFonts w:ascii="Verdana" w:hAnsi="Verdana"/>
          <w:sz w:val="20"/>
          <w:szCs w:val="20"/>
          <w:lang w:val="es-CR"/>
        </w:rPr>
        <w:t>o</w:t>
      </w:r>
      <w:r w:rsidR="00543EE9" w:rsidRPr="00982566">
        <w:rPr>
          <w:rFonts w:ascii="Verdana" w:hAnsi="Verdana"/>
          <w:sz w:val="20"/>
          <w:szCs w:val="20"/>
          <w:lang w:val="es-CR"/>
        </w:rPr>
        <w:t>] importantes resultados entorno al modus operandi y señalamientos hechos por testigos y declarantes sobre presuntos responsables</w:t>
      </w:r>
      <w:r w:rsidR="00543EE9" w:rsidRPr="00AE6887">
        <w:rPr>
          <w:rFonts w:ascii="Verdana" w:hAnsi="Verdana"/>
          <w:sz w:val="20"/>
          <w:szCs w:val="20"/>
          <w:lang w:val="es-CR"/>
        </w:rPr>
        <w:t>”</w:t>
      </w:r>
      <w:r w:rsidR="00543EE9" w:rsidRPr="00AE6887">
        <w:rPr>
          <w:rStyle w:val="Refdenotaalpie"/>
          <w:rFonts w:ascii="Verdana" w:hAnsi="Verdana"/>
          <w:sz w:val="20"/>
          <w:szCs w:val="20"/>
          <w:lang w:val="es-CR"/>
        </w:rPr>
        <w:footnoteReference w:id="42"/>
      </w:r>
      <w:r w:rsidR="004245D5" w:rsidRPr="00AE6887">
        <w:rPr>
          <w:rFonts w:ascii="Verdana" w:hAnsi="Verdana" w:cs="Arial"/>
          <w:sz w:val="20"/>
          <w:szCs w:val="20"/>
          <w:lang w:val="es-CR"/>
        </w:rPr>
        <w:t xml:space="preserve">. </w:t>
      </w:r>
    </w:p>
    <w:p w:rsidR="005040FC" w:rsidRPr="00982566" w:rsidRDefault="005040FC" w:rsidP="00154E1C">
      <w:pPr>
        <w:spacing w:afterLines="120" w:after="288" w:line="240" w:lineRule="auto"/>
        <w:jc w:val="both"/>
        <w:rPr>
          <w:rFonts w:ascii="Verdana" w:hAnsi="Verdana"/>
          <w:sz w:val="20"/>
          <w:lang w:val="es-MX"/>
        </w:rPr>
      </w:pPr>
    </w:p>
    <w:p w:rsidR="004245D5" w:rsidRPr="00AE6887" w:rsidRDefault="004245D5" w:rsidP="00154E1C">
      <w:pPr>
        <w:numPr>
          <w:ilvl w:val="0"/>
          <w:numId w:val="2"/>
        </w:numPr>
        <w:spacing w:afterLines="120" w:after="288" w:line="240" w:lineRule="auto"/>
        <w:ind w:left="0" w:firstLine="0"/>
        <w:jc w:val="both"/>
        <w:rPr>
          <w:rFonts w:ascii="Verdana" w:hAnsi="Verdana"/>
          <w:sz w:val="20"/>
          <w:lang w:val="es-MX"/>
        </w:rPr>
      </w:pPr>
      <w:r w:rsidRPr="00AE6887">
        <w:rPr>
          <w:rFonts w:ascii="Verdana" w:hAnsi="Verdana" w:cs="Arial"/>
          <w:sz w:val="20"/>
          <w:szCs w:val="20"/>
          <w:lang w:val="es-CR"/>
        </w:rPr>
        <w:t xml:space="preserve">Asimismo, </w:t>
      </w:r>
      <w:r w:rsidR="005040FC">
        <w:rPr>
          <w:rFonts w:ascii="Verdana" w:hAnsi="Verdana" w:cs="Arial"/>
          <w:sz w:val="20"/>
          <w:szCs w:val="20"/>
          <w:lang w:val="es-CR"/>
        </w:rPr>
        <w:t>el Tribunal advierte que los</w:t>
      </w:r>
      <w:r w:rsidRPr="00AE6887">
        <w:rPr>
          <w:rFonts w:ascii="Verdana" w:hAnsi="Verdana" w:cs="Arial"/>
          <w:sz w:val="20"/>
          <w:szCs w:val="20"/>
          <w:lang w:val="es-CR"/>
        </w:rPr>
        <w:t xml:space="preserve"> representantes </w:t>
      </w:r>
      <w:r w:rsidR="00003BBF">
        <w:rPr>
          <w:rFonts w:ascii="Verdana" w:hAnsi="Verdana" w:cs="Arial"/>
          <w:sz w:val="20"/>
          <w:szCs w:val="20"/>
          <w:lang w:val="es-CR"/>
        </w:rPr>
        <w:t>destacaron</w:t>
      </w:r>
      <w:r w:rsidRPr="00AE6887">
        <w:rPr>
          <w:rFonts w:ascii="Verdana" w:hAnsi="Verdana" w:cs="Arial"/>
          <w:sz w:val="20"/>
          <w:szCs w:val="20"/>
          <w:lang w:val="es-CR"/>
        </w:rPr>
        <w:t xml:space="preserve"> que </w:t>
      </w:r>
      <w:r w:rsidR="00EF66A4" w:rsidRPr="00982566">
        <w:rPr>
          <w:rFonts w:ascii="Verdana" w:hAnsi="Verdana"/>
          <w:sz w:val="20"/>
          <w:szCs w:val="20"/>
          <w:lang w:val="es-CR"/>
        </w:rPr>
        <w:t xml:space="preserve">“desde la adopción de las mencionadas decisiones [… que declararon fundadas las acciones de revisión,] la Fiscalía no […] ha tomado una sola decisión conducente a vincular y judicializar a los agentes estatales que participaron directa o indirectamente en la desaparición forzada de Isidro Caballero Delgado y María </w:t>
      </w:r>
      <w:r w:rsidR="0052143D" w:rsidRPr="00AE6887">
        <w:rPr>
          <w:rFonts w:ascii="Verdana" w:hAnsi="Verdana"/>
          <w:sz w:val="20"/>
          <w:szCs w:val="20"/>
          <w:lang w:val="es-CR"/>
        </w:rPr>
        <w:t>del Carmen Santana”</w:t>
      </w:r>
      <w:r w:rsidR="00EF66A4" w:rsidRPr="00982566">
        <w:rPr>
          <w:rStyle w:val="Refdenotaalpie"/>
          <w:rFonts w:ascii="Verdana" w:hAnsi="Verdana"/>
          <w:sz w:val="20"/>
          <w:szCs w:val="20"/>
          <w:lang w:val="es-CR"/>
        </w:rPr>
        <w:footnoteReference w:id="43"/>
      </w:r>
      <w:r w:rsidR="0052143D">
        <w:rPr>
          <w:rFonts w:ascii="Verdana" w:hAnsi="Verdana"/>
          <w:sz w:val="20"/>
          <w:szCs w:val="20"/>
          <w:lang w:val="es-CR"/>
        </w:rPr>
        <w:t>.</w:t>
      </w:r>
      <w:r w:rsidR="00EF66A4" w:rsidRPr="00982566">
        <w:rPr>
          <w:rFonts w:ascii="Verdana" w:hAnsi="Verdana"/>
          <w:sz w:val="20"/>
          <w:szCs w:val="20"/>
          <w:lang w:val="es-CR"/>
        </w:rPr>
        <w:t xml:space="preserve"> </w:t>
      </w:r>
      <w:r w:rsidR="00003BBF">
        <w:rPr>
          <w:rFonts w:ascii="Verdana" w:hAnsi="Verdana"/>
          <w:sz w:val="20"/>
          <w:szCs w:val="20"/>
          <w:lang w:val="es-CR"/>
        </w:rPr>
        <w:t>En sentido contrario,</w:t>
      </w:r>
      <w:r w:rsidR="00003BBF" w:rsidRPr="009829D1">
        <w:rPr>
          <w:rFonts w:ascii="Verdana" w:hAnsi="Verdana"/>
          <w:sz w:val="20"/>
          <w:szCs w:val="20"/>
          <w:lang w:val="es-CR"/>
        </w:rPr>
        <w:t xml:space="preserve"> </w:t>
      </w:r>
      <w:r w:rsidR="00003BBF">
        <w:rPr>
          <w:rFonts w:ascii="Verdana" w:hAnsi="Verdana"/>
          <w:sz w:val="20"/>
          <w:szCs w:val="20"/>
          <w:lang w:val="es-CR"/>
        </w:rPr>
        <w:t>afirmaron –sin que el Estado lo controvirtiera- que</w:t>
      </w:r>
      <w:r w:rsidR="00003BBF" w:rsidRPr="009829D1">
        <w:rPr>
          <w:rFonts w:ascii="Verdana" w:hAnsi="Verdana"/>
          <w:sz w:val="20"/>
          <w:szCs w:val="20"/>
          <w:lang w:val="es-CR"/>
        </w:rPr>
        <w:t xml:space="preserve"> “[l]a inactividad por parte del Estado en el impulso de la investigación la justifica en que el Despacho responsable del caso ‘tiene un número considerable de procesos con gran volumen de cuadernos, y atiende diligencias con detenidos en audiencia pública’”</w:t>
      </w:r>
      <w:r w:rsidR="00003BBF">
        <w:rPr>
          <w:rStyle w:val="Refdenotaalpie"/>
          <w:rFonts w:ascii="Verdana" w:hAnsi="Verdana"/>
          <w:sz w:val="20"/>
          <w:szCs w:val="20"/>
          <w:lang w:val="es-CR"/>
        </w:rPr>
        <w:footnoteReference w:id="44"/>
      </w:r>
      <w:r w:rsidR="00003BBF" w:rsidRPr="009829D1">
        <w:rPr>
          <w:rFonts w:ascii="Verdana" w:hAnsi="Verdana"/>
          <w:sz w:val="20"/>
          <w:szCs w:val="20"/>
          <w:lang w:val="es-CR"/>
        </w:rPr>
        <w:t xml:space="preserve">. </w:t>
      </w:r>
      <w:r w:rsidR="00003BBF">
        <w:rPr>
          <w:rFonts w:ascii="Verdana" w:hAnsi="Verdana"/>
          <w:sz w:val="20"/>
          <w:szCs w:val="20"/>
          <w:lang w:val="es-CR"/>
        </w:rPr>
        <w:t xml:space="preserve">Así, </w:t>
      </w:r>
      <w:r w:rsidR="005110AF">
        <w:rPr>
          <w:rFonts w:ascii="Verdana" w:hAnsi="Verdana"/>
          <w:sz w:val="20"/>
          <w:szCs w:val="20"/>
          <w:lang w:val="es-CR"/>
        </w:rPr>
        <w:t>la Corte</w:t>
      </w:r>
      <w:r w:rsidRPr="00AE6887">
        <w:rPr>
          <w:rFonts w:ascii="Verdana" w:hAnsi="Verdana" w:cs="Arial"/>
          <w:sz w:val="20"/>
          <w:szCs w:val="20"/>
          <w:lang w:val="es-CR"/>
        </w:rPr>
        <w:t xml:space="preserve"> coincide con los representantes cuando sostienen que </w:t>
      </w:r>
      <w:r w:rsidR="002177A6" w:rsidRPr="00982566">
        <w:rPr>
          <w:rFonts w:ascii="Verdana" w:hAnsi="Verdana" w:cs="Arial"/>
          <w:sz w:val="20"/>
          <w:szCs w:val="20"/>
          <w:lang w:val="es-CR"/>
        </w:rPr>
        <w:t>las diligencias reportadas por el Estado en su mayoría “</w:t>
      </w:r>
      <w:r w:rsidR="002177A6" w:rsidRPr="00982566">
        <w:rPr>
          <w:rFonts w:ascii="Verdana" w:hAnsi="Verdana"/>
          <w:sz w:val="20"/>
          <w:szCs w:val="20"/>
          <w:lang w:val="es-CR"/>
        </w:rPr>
        <w:t>constituyen actos de trámite, ninguno de ellos dirigido a impulsar de fondo la investigación</w:t>
      </w:r>
      <w:r w:rsidR="002177A6" w:rsidRPr="00AE6887">
        <w:rPr>
          <w:rFonts w:ascii="Verdana" w:hAnsi="Verdana"/>
          <w:sz w:val="20"/>
          <w:szCs w:val="20"/>
          <w:lang w:val="es-CR"/>
        </w:rPr>
        <w:t>”, así como que</w:t>
      </w:r>
      <w:r w:rsidR="002177A6" w:rsidRPr="00AE6887">
        <w:rPr>
          <w:rFonts w:ascii="Verdana" w:hAnsi="Verdana" w:cs="Arial"/>
          <w:sz w:val="20"/>
          <w:szCs w:val="20"/>
          <w:lang w:val="es-CR"/>
        </w:rPr>
        <w:t xml:space="preserve"> </w:t>
      </w:r>
      <w:r w:rsidRPr="00982566">
        <w:rPr>
          <w:rFonts w:ascii="Verdana" w:hAnsi="Verdana" w:cs="Arial"/>
          <w:sz w:val="20"/>
          <w:szCs w:val="20"/>
          <w:lang w:val="es-CR"/>
        </w:rPr>
        <w:t>“</w:t>
      </w:r>
      <w:r w:rsidRPr="00982566">
        <w:rPr>
          <w:rFonts w:ascii="Verdana" w:hAnsi="Verdana"/>
          <w:sz w:val="20"/>
          <w:szCs w:val="20"/>
          <w:lang w:val="es-CR"/>
        </w:rPr>
        <w:t>la falta de exhaustividad con la que se ha emprendido la investigación por parte de la Fiscalía General de la Nación ha propiciado la impunidad que actualmente rodea el caso</w:t>
      </w:r>
      <w:r w:rsidR="002177A6" w:rsidRPr="00982566">
        <w:rPr>
          <w:rFonts w:ascii="Verdana" w:hAnsi="Verdana"/>
          <w:sz w:val="20"/>
          <w:szCs w:val="20"/>
          <w:lang w:val="es-CR"/>
        </w:rPr>
        <w:t xml:space="preserve"> […], siendo [las diligencias reportadas] actividades adelantadas de forma aislada, insular y sin un objetivo claro que permita establecer certeramente lo ocurrido con ellas</w:t>
      </w:r>
      <w:r w:rsidRPr="00AE6887">
        <w:rPr>
          <w:rFonts w:ascii="Verdana" w:hAnsi="Verdana"/>
          <w:sz w:val="20"/>
          <w:szCs w:val="20"/>
          <w:lang w:val="es-CR"/>
        </w:rPr>
        <w:t>”</w:t>
      </w:r>
      <w:r w:rsidRPr="00AE6887">
        <w:rPr>
          <w:rStyle w:val="Refdenotaalpie"/>
          <w:rFonts w:ascii="Verdana" w:hAnsi="Verdana"/>
          <w:sz w:val="20"/>
          <w:szCs w:val="20"/>
          <w:lang w:val="es-CR"/>
        </w:rPr>
        <w:footnoteReference w:id="45"/>
      </w:r>
      <w:r w:rsidRPr="00AE6887">
        <w:rPr>
          <w:rFonts w:ascii="Verdana" w:hAnsi="Verdana"/>
          <w:sz w:val="20"/>
          <w:szCs w:val="20"/>
          <w:lang w:val="es-CR"/>
        </w:rPr>
        <w:t>.</w:t>
      </w:r>
    </w:p>
    <w:p w:rsidR="004245D5" w:rsidRDefault="004245D5" w:rsidP="00154E1C">
      <w:pPr>
        <w:spacing w:afterLines="120" w:after="288" w:line="240" w:lineRule="auto"/>
        <w:jc w:val="both"/>
        <w:rPr>
          <w:rFonts w:ascii="Verdana" w:hAnsi="Verdana"/>
          <w:sz w:val="20"/>
          <w:lang w:val="es-MX"/>
        </w:rPr>
      </w:pPr>
    </w:p>
    <w:p w:rsidR="00872988" w:rsidRDefault="00872988" w:rsidP="00154E1C">
      <w:pPr>
        <w:numPr>
          <w:ilvl w:val="0"/>
          <w:numId w:val="2"/>
        </w:numPr>
        <w:spacing w:afterLines="120" w:after="288" w:line="240" w:lineRule="auto"/>
        <w:ind w:left="0" w:firstLine="0"/>
        <w:jc w:val="both"/>
        <w:rPr>
          <w:rFonts w:ascii="Verdana" w:hAnsi="Verdana"/>
          <w:sz w:val="20"/>
          <w:lang w:val="es-MX"/>
        </w:rPr>
      </w:pPr>
      <w:r>
        <w:rPr>
          <w:rFonts w:ascii="Verdana" w:hAnsi="Verdana"/>
          <w:sz w:val="20"/>
          <w:lang w:val="es-MX"/>
        </w:rPr>
        <w:t>En sus más recientes observaciones de abril de 2019</w:t>
      </w:r>
      <w:r w:rsidR="00E55AA0">
        <w:rPr>
          <w:rFonts w:ascii="Verdana" w:hAnsi="Verdana"/>
          <w:sz w:val="20"/>
          <w:lang w:val="es-MX"/>
        </w:rPr>
        <w:t>,</w:t>
      </w:r>
      <w:r>
        <w:rPr>
          <w:rFonts w:ascii="Verdana" w:hAnsi="Verdana"/>
          <w:sz w:val="20"/>
          <w:lang w:val="es-MX"/>
        </w:rPr>
        <w:t xml:space="preserve"> los representantes informaron que en marzo de ese año “</w:t>
      </w:r>
      <w:r w:rsidRPr="00982566">
        <w:rPr>
          <w:rFonts w:ascii="Verdana" w:hAnsi="Verdana"/>
          <w:sz w:val="20"/>
          <w:szCs w:val="20"/>
          <w:lang w:val="es-CR"/>
        </w:rPr>
        <w:t>sostuvi[eron] una reunión con el Fiscal 48 de la Dirección Especializada Contra las Violaciones a Derechos Humanos [</w:t>
      </w:r>
      <w:r w:rsidR="0037013E">
        <w:rPr>
          <w:rFonts w:ascii="Verdana" w:hAnsi="Verdana"/>
          <w:sz w:val="20"/>
          <w:szCs w:val="20"/>
          <w:lang w:val="es-CR"/>
        </w:rPr>
        <w:t xml:space="preserve">… </w:t>
      </w:r>
      <w:r w:rsidRPr="00982566">
        <w:rPr>
          <w:rFonts w:ascii="Verdana" w:hAnsi="Verdana"/>
          <w:sz w:val="20"/>
          <w:szCs w:val="20"/>
          <w:lang w:val="es-CR"/>
        </w:rPr>
        <w:t>y] el Ministerio Público</w:t>
      </w:r>
      <w:r>
        <w:rPr>
          <w:rFonts w:ascii="Verdana" w:hAnsi="Verdana"/>
          <w:sz w:val="20"/>
          <w:szCs w:val="20"/>
          <w:lang w:val="es-CR"/>
        </w:rPr>
        <w:t>”, con el “</w:t>
      </w:r>
      <w:r w:rsidRPr="00982566">
        <w:rPr>
          <w:rFonts w:ascii="Verdana" w:hAnsi="Verdana"/>
          <w:sz w:val="20"/>
          <w:szCs w:val="20"/>
          <w:lang w:val="es-CR"/>
        </w:rPr>
        <w:t>objetivo</w:t>
      </w:r>
      <w:r>
        <w:rPr>
          <w:rFonts w:ascii="Verdana" w:hAnsi="Verdana"/>
          <w:sz w:val="20"/>
          <w:szCs w:val="20"/>
          <w:lang w:val="es-CR"/>
        </w:rPr>
        <w:t xml:space="preserve"> […] de</w:t>
      </w:r>
      <w:r w:rsidRPr="00982566">
        <w:rPr>
          <w:rFonts w:ascii="Verdana" w:hAnsi="Verdana"/>
          <w:sz w:val="20"/>
          <w:szCs w:val="20"/>
          <w:lang w:val="es-CR"/>
        </w:rPr>
        <w:t xml:space="preserve"> concertar actos de investigación orientados a impulsar el proceso</w:t>
      </w:r>
      <w:r>
        <w:rPr>
          <w:rFonts w:ascii="Verdana" w:hAnsi="Verdana"/>
          <w:sz w:val="20"/>
          <w:szCs w:val="20"/>
          <w:lang w:val="es-CR"/>
        </w:rPr>
        <w:t>”. Como resultado de dicho encuentro, el Fiscal 48 Especializado emitió una resolución el 26 de marzo de 2019 mediante la cual ordenó diferentes actos investigativos a la luz de las decisiones emitidas por la Sala de Casación Penal y el Tribunal Superior del Distrito Judicial de Valledupar (</w:t>
      </w:r>
      <w:r>
        <w:rPr>
          <w:rFonts w:ascii="Verdana" w:hAnsi="Verdana"/>
          <w:i/>
          <w:sz w:val="20"/>
          <w:szCs w:val="20"/>
          <w:lang w:val="es-CR"/>
        </w:rPr>
        <w:t xml:space="preserve">supra </w:t>
      </w:r>
      <w:r>
        <w:rPr>
          <w:rFonts w:ascii="Verdana" w:hAnsi="Verdana"/>
          <w:sz w:val="20"/>
          <w:szCs w:val="20"/>
          <w:lang w:val="es-CR"/>
        </w:rPr>
        <w:t xml:space="preserve">Considerando </w:t>
      </w:r>
      <w:r w:rsidR="0037013E">
        <w:rPr>
          <w:rFonts w:ascii="Verdana" w:hAnsi="Verdana"/>
          <w:sz w:val="20"/>
          <w:szCs w:val="20"/>
          <w:lang w:val="es-CR"/>
        </w:rPr>
        <w:t>10</w:t>
      </w:r>
      <w:r>
        <w:rPr>
          <w:rFonts w:ascii="Verdana" w:hAnsi="Verdana"/>
          <w:sz w:val="20"/>
          <w:szCs w:val="20"/>
          <w:lang w:val="es-CR"/>
        </w:rPr>
        <w:t>)</w:t>
      </w:r>
      <w:r w:rsidR="00B62BAF">
        <w:rPr>
          <w:rFonts w:ascii="Verdana" w:hAnsi="Verdana"/>
          <w:sz w:val="20"/>
          <w:szCs w:val="20"/>
          <w:lang w:val="es-CR"/>
        </w:rPr>
        <w:t>, tal como ordenar</w:t>
      </w:r>
      <w:r w:rsidR="002A408A">
        <w:rPr>
          <w:rFonts w:ascii="Verdana" w:hAnsi="Verdana"/>
          <w:sz w:val="20"/>
          <w:szCs w:val="20"/>
          <w:lang w:val="es-CR"/>
        </w:rPr>
        <w:t xml:space="preserve"> </w:t>
      </w:r>
      <w:r w:rsidR="00B62BAF">
        <w:rPr>
          <w:rFonts w:ascii="Verdana" w:hAnsi="Verdana"/>
          <w:sz w:val="20"/>
          <w:szCs w:val="20"/>
          <w:lang w:val="es-CR"/>
        </w:rPr>
        <w:t>“</w:t>
      </w:r>
      <w:r w:rsidR="002A408A">
        <w:rPr>
          <w:rFonts w:ascii="Verdana" w:hAnsi="Verdana"/>
          <w:sz w:val="20"/>
          <w:szCs w:val="20"/>
          <w:lang w:val="es-CR"/>
        </w:rPr>
        <w:t>la ubicación</w:t>
      </w:r>
      <w:r w:rsidR="00B62BAF">
        <w:rPr>
          <w:rFonts w:ascii="Verdana" w:hAnsi="Verdana"/>
          <w:sz w:val="20"/>
          <w:szCs w:val="20"/>
          <w:lang w:val="es-CR"/>
        </w:rPr>
        <w:t>”</w:t>
      </w:r>
      <w:r w:rsidR="002A408A">
        <w:rPr>
          <w:rFonts w:ascii="Verdana" w:hAnsi="Verdana"/>
          <w:sz w:val="20"/>
          <w:szCs w:val="20"/>
          <w:lang w:val="es-CR"/>
        </w:rPr>
        <w:t xml:space="preserve"> de un Mayor General, un Capitán y un Suboficial, que habían sido señalados </w:t>
      </w:r>
      <w:r w:rsidR="00B62BAF">
        <w:rPr>
          <w:rFonts w:ascii="Verdana" w:hAnsi="Verdana"/>
          <w:sz w:val="20"/>
          <w:szCs w:val="20"/>
          <w:lang w:val="es-CR"/>
        </w:rPr>
        <w:t xml:space="preserve">años atrás </w:t>
      </w:r>
      <w:r w:rsidR="002A408A">
        <w:rPr>
          <w:rFonts w:ascii="Verdana" w:hAnsi="Verdana"/>
          <w:sz w:val="20"/>
          <w:szCs w:val="20"/>
          <w:lang w:val="es-CR"/>
        </w:rPr>
        <w:t>como presuntos responsables de los hechos (</w:t>
      </w:r>
      <w:r w:rsidR="002A408A">
        <w:rPr>
          <w:rFonts w:ascii="Verdana" w:hAnsi="Verdana"/>
          <w:i/>
          <w:sz w:val="20"/>
          <w:szCs w:val="20"/>
          <w:lang w:val="es-CR"/>
        </w:rPr>
        <w:t xml:space="preserve">supra </w:t>
      </w:r>
      <w:r w:rsidR="002A408A">
        <w:rPr>
          <w:rFonts w:ascii="Verdana" w:hAnsi="Verdana"/>
          <w:sz w:val="20"/>
          <w:szCs w:val="20"/>
          <w:lang w:val="es-CR"/>
        </w:rPr>
        <w:t xml:space="preserve">Considerando </w:t>
      </w:r>
      <w:r w:rsidR="0037013E">
        <w:rPr>
          <w:rFonts w:ascii="Verdana" w:hAnsi="Verdana"/>
          <w:sz w:val="20"/>
          <w:szCs w:val="20"/>
          <w:lang w:val="es-CR"/>
        </w:rPr>
        <w:t>9</w:t>
      </w:r>
      <w:r w:rsidR="002A408A">
        <w:rPr>
          <w:rFonts w:ascii="Verdana" w:hAnsi="Verdana"/>
          <w:sz w:val="20"/>
          <w:szCs w:val="20"/>
          <w:lang w:val="es-CR"/>
        </w:rPr>
        <w:t>)</w:t>
      </w:r>
      <w:r w:rsidR="002A408A">
        <w:rPr>
          <w:rStyle w:val="Refdenotaalpie"/>
          <w:rFonts w:ascii="Verdana" w:hAnsi="Verdana"/>
          <w:sz w:val="20"/>
          <w:szCs w:val="20"/>
          <w:lang w:val="es-CR"/>
        </w:rPr>
        <w:footnoteReference w:id="46"/>
      </w:r>
      <w:r w:rsidR="002A408A">
        <w:rPr>
          <w:rFonts w:ascii="Verdana" w:hAnsi="Verdana"/>
          <w:sz w:val="20"/>
          <w:szCs w:val="20"/>
          <w:lang w:val="es-CR"/>
        </w:rPr>
        <w:t xml:space="preserve">. </w:t>
      </w:r>
      <w:r w:rsidR="00B62BAF">
        <w:rPr>
          <w:rFonts w:ascii="Verdana" w:hAnsi="Verdana"/>
          <w:sz w:val="20"/>
          <w:szCs w:val="20"/>
          <w:lang w:val="es-CR"/>
        </w:rPr>
        <w:t xml:space="preserve">No obstante lo anterior, la Corte observa que los representantes señalaron que: i) </w:t>
      </w:r>
      <w:r w:rsidR="00B62BAF" w:rsidRPr="00610365">
        <w:rPr>
          <w:rFonts w:ascii="Verdana" w:hAnsi="Verdana"/>
          <w:sz w:val="20"/>
          <w:szCs w:val="20"/>
          <w:lang w:val="es-CR"/>
        </w:rPr>
        <w:t xml:space="preserve">“pese al escenario favorable en el que se produjo la resolución de </w:t>
      </w:r>
      <w:r w:rsidR="0037013E">
        <w:rPr>
          <w:rFonts w:ascii="Verdana" w:hAnsi="Verdana"/>
          <w:sz w:val="20"/>
          <w:szCs w:val="20"/>
          <w:lang w:val="es-CR"/>
        </w:rPr>
        <w:t>[…]</w:t>
      </w:r>
      <w:r w:rsidR="00B62BAF" w:rsidRPr="00610365">
        <w:rPr>
          <w:rFonts w:ascii="Verdana" w:hAnsi="Verdana"/>
          <w:sz w:val="20"/>
          <w:szCs w:val="20"/>
          <w:lang w:val="es-CR"/>
        </w:rPr>
        <w:t xml:space="preserve"> referencia, lo cierto es que ésta fue proferida después de un largo período de inacción por part</w:t>
      </w:r>
      <w:r w:rsidR="00B62BAF">
        <w:rPr>
          <w:rFonts w:ascii="Verdana" w:hAnsi="Verdana"/>
          <w:sz w:val="20"/>
          <w:szCs w:val="20"/>
          <w:lang w:val="es-CR"/>
        </w:rPr>
        <w:t>e del ente investigador”; y ii) si lo ordenado no se traduce en “</w:t>
      </w:r>
      <w:r w:rsidR="00B62BAF" w:rsidRPr="007E7498">
        <w:rPr>
          <w:rFonts w:ascii="Verdana" w:hAnsi="Verdana"/>
          <w:sz w:val="20"/>
          <w:szCs w:val="20"/>
          <w:lang w:val="es-CR"/>
        </w:rPr>
        <w:t>la pronta y eficaz comparecencia de quienes fueron vinculados mediante la resolución del 26 de marzo de 2019</w:t>
      </w:r>
      <w:r w:rsidR="00B62BAF">
        <w:rPr>
          <w:rFonts w:ascii="Verdana" w:hAnsi="Verdana"/>
          <w:sz w:val="20"/>
          <w:szCs w:val="20"/>
          <w:lang w:val="es-CR"/>
        </w:rPr>
        <w:t>”, dicha actuación no constituirá por sí misma “</w:t>
      </w:r>
      <w:r w:rsidR="00B62BAF" w:rsidRPr="007E7498">
        <w:rPr>
          <w:rFonts w:ascii="Verdana" w:hAnsi="Verdana"/>
          <w:sz w:val="20"/>
          <w:szCs w:val="20"/>
          <w:lang w:val="es-CR"/>
        </w:rPr>
        <w:t>un impacto real en el avance de la investigación</w:t>
      </w:r>
      <w:r w:rsidR="00B62BAF">
        <w:rPr>
          <w:rFonts w:ascii="Verdana" w:hAnsi="Verdana"/>
          <w:sz w:val="20"/>
          <w:szCs w:val="20"/>
          <w:lang w:val="es-CR"/>
        </w:rPr>
        <w:t>” ni representará</w:t>
      </w:r>
      <w:r w:rsidR="00B62BAF" w:rsidRPr="007E7498">
        <w:rPr>
          <w:rFonts w:ascii="Verdana" w:hAnsi="Verdana"/>
          <w:sz w:val="20"/>
          <w:szCs w:val="20"/>
          <w:lang w:val="es-CR"/>
        </w:rPr>
        <w:t xml:space="preserve"> </w:t>
      </w:r>
      <w:r w:rsidR="00B62BAF">
        <w:rPr>
          <w:rFonts w:ascii="Verdana" w:hAnsi="Verdana"/>
          <w:sz w:val="20"/>
          <w:szCs w:val="20"/>
          <w:lang w:val="es-CR"/>
        </w:rPr>
        <w:t>“</w:t>
      </w:r>
      <w:r w:rsidR="00B62BAF" w:rsidRPr="007E7498">
        <w:rPr>
          <w:rFonts w:ascii="Verdana" w:hAnsi="Verdana"/>
          <w:sz w:val="20"/>
          <w:szCs w:val="20"/>
          <w:lang w:val="es-CR"/>
        </w:rPr>
        <w:t>una transformación real en las condiciones de impunidad en las que se mantiene la investigación”</w:t>
      </w:r>
      <w:r w:rsidR="00B62BAF">
        <w:rPr>
          <w:rStyle w:val="Refdenotaalpie"/>
          <w:rFonts w:ascii="Verdana" w:hAnsi="Verdana"/>
          <w:sz w:val="20"/>
          <w:szCs w:val="20"/>
          <w:lang w:val="es-CR"/>
        </w:rPr>
        <w:footnoteReference w:id="47"/>
      </w:r>
      <w:r w:rsidR="00B62BAF" w:rsidRPr="007E7498">
        <w:rPr>
          <w:rFonts w:ascii="Verdana" w:hAnsi="Verdana"/>
          <w:sz w:val="20"/>
          <w:szCs w:val="20"/>
          <w:lang w:val="es-CR"/>
        </w:rPr>
        <w:t>.</w:t>
      </w:r>
      <w:r w:rsidR="00B62BAF">
        <w:rPr>
          <w:rFonts w:ascii="Verdana" w:hAnsi="Verdana"/>
          <w:sz w:val="20"/>
          <w:szCs w:val="20"/>
          <w:lang w:val="es-CR"/>
        </w:rPr>
        <w:t xml:space="preserve"> El Estado no presentó información actualizada con posterioridad a dichas observaciones. </w:t>
      </w:r>
    </w:p>
    <w:p w:rsidR="00B62BAF" w:rsidRDefault="00B62BAF" w:rsidP="00154E1C">
      <w:pPr>
        <w:spacing w:afterLines="120" w:after="288" w:line="240" w:lineRule="auto"/>
        <w:jc w:val="both"/>
        <w:rPr>
          <w:rFonts w:ascii="Verdana" w:hAnsi="Verdana"/>
          <w:sz w:val="20"/>
          <w:lang w:val="es-MX"/>
        </w:rPr>
      </w:pPr>
    </w:p>
    <w:p w:rsidR="00C122D4" w:rsidRDefault="00C122D4" w:rsidP="00154E1C">
      <w:pPr>
        <w:numPr>
          <w:ilvl w:val="0"/>
          <w:numId w:val="2"/>
        </w:numPr>
        <w:spacing w:afterLines="120" w:after="288" w:line="240" w:lineRule="auto"/>
        <w:ind w:left="0" w:firstLine="0"/>
        <w:jc w:val="both"/>
        <w:rPr>
          <w:rFonts w:ascii="Verdana" w:hAnsi="Verdana"/>
          <w:sz w:val="20"/>
          <w:lang w:val="es-MX"/>
        </w:rPr>
      </w:pPr>
      <w:r w:rsidRPr="00DF1244">
        <w:rPr>
          <w:rFonts w:ascii="Verdana" w:hAnsi="Verdana"/>
          <w:sz w:val="20"/>
          <w:lang w:val="es-MX"/>
        </w:rPr>
        <w:t xml:space="preserve">Tomando en cuenta la información aquí señalada, la Corte </w:t>
      </w:r>
      <w:r w:rsidR="00501499">
        <w:rPr>
          <w:rFonts w:ascii="Verdana" w:hAnsi="Verdana"/>
          <w:sz w:val="20"/>
          <w:lang w:val="es-MX"/>
        </w:rPr>
        <w:t>reitera</w:t>
      </w:r>
      <w:r w:rsidR="00501499" w:rsidRPr="00DF1244">
        <w:rPr>
          <w:rFonts w:ascii="Verdana" w:hAnsi="Verdana"/>
          <w:sz w:val="20"/>
          <w:lang w:val="es-MX"/>
        </w:rPr>
        <w:t xml:space="preserve"> </w:t>
      </w:r>
      <w:r w:rsidRPr="00DF1244">
        <w:rPr>
          <w:rFonts w:ascii="Verdana" w:hAnsi="Verdana"/>
          <w:sz w:val="20"/>
          <w:lang w:val="es-MX"/>
        </w:rPr>
        <w:t>que a más de 30 años de la detención y desaparición de</w:t>
      </w:r>
      <w:r w:rsidR="00501499">
        <w:rPr>
          <w:rFonts w:ascii="Verdana" w:hAnsi="Verdana"/>
          <w:sz w:val="20"/>
          <w:lang w:val="es-MX"/>
        </w:rPr>
        <w:t>l señor</w:t>
      </w:r>
      <w:r w:rsidRPr="00DF1244">
        <w:rPr>
          <w:rFonts w:ascii="Verdana" w:hAnsi="Verdana"/>
          <w:sz w:val="20"/>
          <w:lang w:val="es-MX"/>
        </w:rPr>
        <w:t xml:space="preserve"> Isidro Caballero Delgado y </w:t>
      </w:r>
      <w:r w:rsidR="00501499">
        <w:rPr>
          <w:rFonts w:ascii="Verdana" w:hAnsi="Verdana"/>
          <w:sz w:val="20"/>
          <w:lang w:val="es-MX"/>
        </w:rPr>
        <w:t xml:space="preserve">la señora </w:t>
      </w:r>
      <w:r w:rsidRPr="00DF1244">
        <w:rPr>
          <w:rFonts w:ascii="Verdana" w:hAnsi="Verdana"/>
          <w:sz w:val="20"/>
          <w:lang w:val="es-MX"/>
        </w:rPr>
        <w:t>María del Carmen Santana</w:t>
      </w:r>
      <w:r w:rsidR="00501499">
        <w:rPr>
          <w:rFonts w:ascii="Verdana" w:hAnsi="Verdana"/>
          <w:sz w:val="20"/>
          <w:lang w:val="es-MX"/>
        </w:rPr>
        <w:t>,</w:t>
      </w:r>
      <w:r w:rsidRPr="00DF1244">
        <w:rPr>
          <w:rFonts w:ascii="Verdana" w:hAnsi="Verdana"/>
          <w:sz w:val="20"/>
          <w:lang w:val="es-MX"/>
        </w:rPr>
        <w:t xml:space="preserve"> y a más de </w:t>
      </w:r>
      <w:r w:rsidR="00501499">
        <w:rPr>
          <w:rFonts w:ascii="Verdana" w:hAnsi="Verdana"/>
          <w:sz w:val="20"/>
          <w:lang w:val="es-MX"/>
        </w:rPr>
        <w:t>23</w:t>
      </w:r>
      <w:r w:rsidR="00501499" w:rsidRPr="00DF1244">
        <w:rPr>
          <w:rFonts w:ascii="Verdana" w:hAnsi="Verdana"/>
          <w:sz w:val="20"/>
          <w:lang w:val="es-MX"/>
        </w:rPr>
        <w:t xml:space="preserve"> </w:t>
      </w:r>
      <w:r w:rsidRPr="00DF1244">
        <w:rPr>
          <w:rFonts w:ascii="Verdana" w:hAnsi="Verdana"/>
          <w:sz w:val="20"/>
          <w:lang w:val="es-MX"/>
        </w:rPr>
        <w:t>años de haberse emitido l</w:t>
      </w:r>
      <w:r w:rsidR="00501499">
        <w:rPr>
          <w:rFonts w:ascii="Verdana" w:hAnsi="Verdana"/>
          <w:sz w:val="20"/>
          <w:lang w:val="es-MX"/>
        </w:rPr>
        <w:t>a</w:t>
      </w:r>
      <w:r w:rsidRPr="00DF1244">
        <w:rPr>
          <w:rFonts w:ascii="Verdana" w:hAnsi="Verdana"/>
          <w:sz w:val="20"/>
          <w:lang w:val="es-MX"/>
        </w:rPr>
        <w:t xml:space="preserve"> Sentencia, de la información proporcionada por el Estado no se desprende una estrategia dirigida a investigar con la debida diligencia los hechos del presente caso. </w:t>
      </w:r>
    </w:p>
    <w:p w:rsidR="009829D1" w:rsidRDefault="009829D1" w:rsidP="00154E1C">
      <w:pPr>
        <w:spacing w:afterLines="120" w:after="288" w:line="240" w:lineRule="auto"/>
        <w:jc w:val="both"/>
        <w:rPr>
          <w:rFonts w:ascii="Verdana" w:hAnsi="Verdana"/>
          <w:sz w:val="20"/>
          <w:lang w:val="es-MX"/>
        </w:rPr>
      </w:pPr>
    </w:p>
    <w:p w:rsidR="009829D1" w:rsidRPr="00BA134F" w:rsidRDefault="00501499" w:rsidP="00154E1C">
      <w:pPr>
        <w:numPr>
          <w:ilvl w:val="0"/>
          <w:numId w:val="2"/>
        </w:numPr>
        <w:spacing w:afterLines="120" w:after="288" w:line="240" w:lineRule="auto"/>
        <w:ind w:left="0" w:firstLine="0"/>
        <w:jc w:val="both"/>
        <w:rPr>
          <w:rFonts w:ascii="Verdana" w:eastAsia="Times New Roman" w:hAnsi="Verdana"/>
          <w:color w:val="000000"/>
          <w:sz w:val="20"/>
          <w:lang w:val="es-ES_tradnl"/>
        </w:rPr>
      </w:pPr>
      <w:r>
        <w:rPr>
          <w:rFonts w:ascii="Verdana" w:hAnsi="Verdana"/>
          <w:sz w:val="20"/>
          <w:lang w:val="es-ES"/>
        </w:rPr>
        <w:t>En este sentido,</w:t>
      </w:r>
      <w:r w:rsidR="009829D1" w:rsidRPr="009829D1">
        <w:rPr>
          <w:rFonts w:ascii="Verdana" w:hAnsi="Verdana"/>
          <w:sz w:val="20"/>
          <w:lang w:val="es-ES"/>
        </w:rPr>
        <w:t xml:space="preserve"> </w:t>
      </w:r>
      <w:r>
        <w:rPr>
          <w:rFonts w:ascii="Verdana" w:hAnsi="Verdana"/>
          <w:sz w:val="20"/>
          <w:lang w:val="es-ES"/>
        </w:rPr>
        <w:t>el Tribunal recuerda</w:t>
      </w:r>
      <w:r>
        <w:rPr>
          <w:rFonts w:ascii="Verdana" w:hAnsi="Verdana"/>
          <w:sz w:val="20"/>
          <w:lang w:val="es-CR"/>
        </w:rPr>
        <w:t xml:space="preserve"> </w:t>
      </w:r>
      <w:r w:rsidR="009829D1" w:rsidRPr="009829D1">
        <w:rPr>
          <w:rFonts w:ascii="Verdana" w:hAnsi="Verdana"/>
          <w:sz w:val="20"/>
          <w:lang w:val="es-CR"/>
        </w:rPr>
        <w:t xml:space="preserve">su jurisprudencia reiterada </w:t>
      </w:r>
      <w:r>
        <w:rPr>
          <w:rFonts w:ascii="Verdana" w:hAnsi="Verdana"/>
          <w:sz w:val="20"/>
          <w:lang w:val="es-CR"/>
        </w:rPr>
        <w:t xml:space="preserve">relativa a </w:t>
      </w:r>
      <w:r w:rsidR="009829D1" w:rsidRPr="009829D1">
        <w:rPr>
          <w:rFonts w:ascii="Verdana" w:hAnsi="Verdana"/>
          <w:sz w:val="20"/>
          <w:lang w:val="es-CR"/>
        </w:rPr>
        <w:t xml:space="preserve">que el deber de investigar es una obligación de medio y no de resultado, que debe ser asumida por el Estado como un deber jurídico </w:t>
      </w:r>
      <w:r w:rsidR="009829D1" w:rsidRPr="009829D1">
        <w:rPr>
          <w:rFonts w:ascii="Verdana" w:hAnsi="Verdana"/>
          <w:sz w:val="20"/>
          <w:lang w:val="es-ES"/>
        </w:rPr>
        <w:t>propio</w:t>
      </w:r>
      <w:r w:rsidR="009829D1" w:rsidRPr="009829D1">
        <w:rPr>
          <w:rFonts w:ascii="Verdana" w:hAnsi="Verdana"/>
          <w:sz w:val="20"/>
          <w:lang w:val="es-CR"/>
        </w:rPr>
        <w:t xml:space="preserve"> y no como una simple formalidad condenada de antemano a ser infructuosa, o como una mera gestión de </w:t>
      </w:r>
      <w:r w:rsidR="009829D1" w:rsidRPr="009829D1">
        <w:rPr>
          <w:rFonts w:ascii="Verdana" w:hAnsi="Verdana" w:cs="Verdana"/>
          <w:sz w:val="20"/>
          <w:lang w:val="es-ES"/>
        </w:rPr>
        <w:t>intereses</w:t>
      </w:r>
      <w:r w:rsidR="009829D1" w:rsidRPr="009829D1">
        <w:rPr>
          <w:rFonts w:ascii="Verdana" w:hAnsi="Verdana"/>
          <w:sz w:val="20"/>
          <w:lang w:val="es-CR"/>
        </w:rPr>
        <w:t xml:space="preserve"> particulares</w:t>
      </w:r>
      <w:r w:rsidR="009829D1" w:rsidRPr="009829D1">
        <w:rPr>
          <w:rStyle w:val="Refdenotaalpie"/>
          <w:rFonts w:ascii="Verdana" w:hAnsi="Verdana"/>
          <w:sz w:val="20"/>
        </w:rPr>
        <w:footnoteReference w:id="48"/>
      </w:r>
      <w:r w:rsidR="009829D1" w:rsidRPr="009829D1">
        <w:rPr>
          <w:rFonts w:ascii="Verdana" w:hAnsi="Verdana"/>
          <w:sz w:val="20"/>
          <w:lang w:val="es-CR"/>
        </w:rPr>
        <w:t>, que dependa de la iniciativa procesal de las víctimas o de sus familiares o de la aportación privada de elementos probatorios</w:t>
      </w:r>
      <w:r w:rsidR="009829D1" w:rsidRPr="009829D1">
        <w:rPr>
          <w:rStyle w:val="Refdenotaalpie"/>
          <w:rFonts w:ascii="Verdana" w:hAnsi="Verdana"/>
          <w:sz w:val="20"/>
        </w:rPr>
        <w:footnoteReference w:id="49"/>
      </w:r>
      <w:r w:rsidR="009829D1" w:rsidRPr="009829D1">
        <w:rPr>
          <w:rFonts w:ascii="Verdana" w:hAnsi="Verdana"/>
          <w:sz w:val="20"/>
          <w:lang w:val="es-CR"/>
        </w:rPr>
        <w:t>. Asimismo, el Estado debe garantizar que las víctimas tengan “pleno acceso y capacidad de actuar” en todas las etapas de la investigación y juicio</w:t>
      </w:r>
      <w:r w:rsidR="009829D1" w:rsidRPr="009829D1">
        <w:rPr>
          <w:rStyle w:val="Refdenotaalpie"/>
          <w:rFonts w:ascii="Verdana" w:hAnsi="Verdana"/>
          <w:sz w:val="20"/>
        </w:rPr>
        <w:footnoteReference w:id="50"/>
      </w:r>
      <w:r w:rsidR="009829D1" w:rsidRPr="009829D1">
        <w:rPr>
          <w:rFonts w:ascii="Verdana" w:hAnsi="Verdana"/>
          <w:sz w:val="20"/>
          <w:lang w:val="es-CR"/>
        </w:rPr>
        <w:t>. La investigación debe ser seria, imparcial y efectiva, y estar orientada a la determinación de la verdad y a la persecución, captura, enjuiciamiento y eventual castigo de los autores de los hechos</w:t>
      </w:r>
      <w:r w:rsidR="009829D1" w:rsidRPr="009829D1">
        <w:rPr>
          <w:rStyle w:val="Refdenotaalpie"/>
          <w:rFonts w:ascii="Verdana" w:hAnsi="Verdana"/>
          <w:sz w:val="20"/>
        </w:rPr>
        <w:footnoteReference w:id="51"/>
      </w:r>
      <w:r w:rsidR="009829D1" w:rsidRPr="009829D1">
        <w:rPr>
          <w:rFonts w:ascii="Verdana" w:hAnsi="Verdana"/>
          <w:sz w:val="20"/>
          <w:lang w:val="es-CR"/>
        </w:rPr>
        <w:t>.</w:t>
      </w:r>
    </w:p>
    <w:p w:rsidR="00BA134F" w:rsidRPr="00BA134F" w:rsidRDefault="00BA134F" w:rsidP="00154E1C">
      <w:pPr>
        <w:spacing w:afterLines="120" w:after="288" w:line="240" w:lineRule="auto"/>
        <w:jc w:val="both"/>
        <w:rPr>
          <w:rFonts w:ascii="Verdana" w:hAnsi="Verdana"/>
          <w:sz w:val="20"/>
          <w:lang w:val="es-MX"/>
        </w:rPr>
      </w:pPr>
    </w:p>
    <w:p w:rsidR="00C2766B" w:rsidRPr="00982566" w:rsidRDefault="00BA134F" w:rsidP="00154E1C">
      <w:pPr>
        <w:numPr>
          <w:ilvl w:val="0"/>
          <w:numId w:val="2"/>
        </w:numPr>
        <w:spacing w:afterLines="120" w:after="288" w:line="240" w:lineRule="auto"/>
        <w:ind w:left="0" w:firstLine="0"/>
        <w:jc w:val="both"/>
        <w:rPr>
          <w:rFonts w:ascii="Verdana" w:hAnsi="Verdana"/>
          <w:sz w:val="20"/>
          <w:lang w:val="es-ES"/>
        </w:rPr>
      </w:pPr>
      <w:r w:rsidRPr="00982566">
        <w:rPr>
          <w:rFonts w:ascii="Verdana" w:hAnsi="Verdana"/>
          <w:sz w:val="20"/>
          <w:lang w:val="es-CR"/>
        </w:rPr>
        <w:t xml:space="preserve">Además, esta Corte ha indicado que el órgano que investiga una alegada violación de derechos humanos debe utilizar todos los medios disponibles para llevar a cabo, dentro de un plazo razonable, todas </w:t>
      </w:r>
      <w:r w:rsidRPr="00982566">
        <w:rPr>
          <w:rFonts w:ascii="Verdana" w:hAnsi="Verdana" w:cs="Verdana"/>
          <w:sz w:val="20"/>
          <w:lang w:val="es-ES"/>
        </w:rPr>
        <w:t>aquellas</w:t>
      </w:r>
      <w:r w:rsidRPr="00982566">
        <w:rPr>
          <w:rFonts w:ascii="Verdana" w:hAnsi="Verdana"/>
          <w:sz w:val="20"/>
          <w:lang w:val="es-CR"/>
        </w:rPr>
        <w:t xml:space="preserve"> actuaciones y averiguaciones que sean necesarias con el fin de intentar obtener el resultado que se persigue</w:t>
      </w:r>
      <w:r w:rsidRPr="00BA134F">
        <w:rPr>
          <w:rStyle w:val="Refdenotaalpie"/>
          <w:rFonts w:ascii="Verdana" w:hAnsi="Verdana"/>
          <w:sz w:val="20"/>
        </w:rPr>
        <w:footnoteReference w:id="52"/>
      </w:r>
      <w:r w:rsidRPr="00982566">
        <w:rPr>
          <w:rFonts w:ascii="Verdana" w:hAnsi="Verdana"/>
          <w:sz w:val="20"/>
          <w:lang w:val="es-CR"/>
        </w:rPr>
        <w:t>. Esta obligación de investigar con la debida diligencia adquiere particular intensidad e importancia ante la gravedad de los delitos cometidos y la naturaleza de los derechos lesionados. La Corte recuerda que la falta de diligencia tiene como consecuencia que conforme el tiempo vaya transcurriendo, se afecta indebidamente la posibilidad de obtener y presentar pruebas pertinentes que permitan esclarecer los hechos y determinar las responsabilidades que correspondan, con lo cual el Estado contribuye a la impunidad. Ésta ha sido definida por este Tribunal como la falta en su conjunto de investigación, persecución, captura, enjuiciamiento y condena de los responsables de las violaciones de los derechos protegidos por la Convención Americana</w:t>
      </w:r>
      <w:r w:rsidRPr="00BA134F">
        <w:rPr>
          <w:rStyle w:val="Refdenotaalpie"/>
          <w:rFonts w:ascii="Verdana" w:hAnsi="Verdana"/>
          <w:sz w:val="20"/>
        </w:rPr>
        <w:footnoteReference w:id="53"/>
      </w:r>
      <w:r w:rsidR="00C2766B" w:rsidRPr="00982566">
        <w:rPr>
          <w:rFonts w:ascii="Verdana" w:hAnsi="Verdana"/>
          <w:sz w:val="20"/>
          <w:lang w:val="es-CR"/>
        </w:rPr>
        <w:t xml:space="preserve">. </w:t>
      </w:r>
      <w:r w:rsidR="00C2766B">
        <w:rPr>
          <w:rFonts w:ascii="Verdana" w:hAnsi="Verdana"/>
          <w:sz w:val="20"/>
          <w:lang w:val="es-CR"/>
        </w:rPr>
        <w:t>El Tribunal</w:t>
      </w:r>
      <w:r w:rsidR="00C2766B" w:rsidRPr="00AE6887">
        <w:rPr>
          <w:rFonts w:ascii="Verdana" w:hAnsi="Verdana"/>
          <w:sz w:val="20"/>
          <w:lang w:val="es-CR"/>
        </w:rPr>
        <w:t xml:space="preserve"> constata que</w:t>
      </w:r>
      <w:r w:rsidR="00C2766B">
        <w:rPr>
          <w:rFonts w:ascii="Verdana" w:hAnsi="Verdana"/>
          <w:sz w:val="20"/>
          <w:lang w:val="es-CR"/>
        </w:rPr>
        <w:t xml:space="preserve"> </w:t>
      </w:r>
      <w:r w:rsidR="00C2766B" w:rsidRPr="00AE6887">
        <w:rPr>
          <w:rFonts w:ascii="Verdana" w:hAnsi="Verdana"/>
          <w:sz w:val="20"/>
          <w:lang w:val="es-CR"/>
        </w:rPr>
        <w:t xml:space="preserve">en el caso aquí evaluado prevalece la impunidad por la falta de </w:t>
      </w:r>
      <w:r w:rsidR="00E55AA0">
        <w:rPr>
          <w:rFonts w:ascii="Verdana" w:hAnsi="Verdana"/>
          <w:sz w:val="20"/>
          <w:lang w:val="es-CR"/>
        </w:rPr>
        <w:t>diligencia en</w:t>
      </w:r>
      <w:r w:rsidR="00C2766B" w:rsidRPr="00AE6887">
        <w:rPr>
          <w:rFonts w:ascii="Verdana" w:hAnsi="Verdana"/>
          <w:sz w:val="20"/>
          <w:lang w:val="es-CR"/>
        </w:rPr>
        <w:t xml:space="preserve"> las investigaciones y procesos penales y la de</w:t>
      </w:r>
      <w:r w:rsidR="00C2766B" w:rsidRPr="00F133F5">
        <w:rPr>
          <w:rFonts w:ascii="Verdana" w:hAnsi="Verdana"/>
          <w:sz w:val="20"/>
          <w:lang w:val="es-CR"/>
        </w:rPr>
        <w:t>mora injustificada en las mismas</w:t>
      </w:r>
      <w:r w:rsidR="00537CEF">
        <w:rPr>
          <w:rFonts w:ascii="Verdana" w:hAnsi="Verdana"/>
          <w:sz w:val="20"/>
          <w:lang w:val="es-CR"/>
        </w:rPr>
        <w:t>.</w:t>
      </w:r>
    </w:p>
    <w:p w:rsidR="00C2766B" w:rsidRPr="00982566" w:rsidRDefault="00C2766B" w:rsidP="00154E1C">
      <w:pPr>
        <w:spacing w:afterLines="120" w:after="288" w:line="240" w:lineRule="auto"/>
        <w:jc w:val="both"/>
        <w:rPr>
          <w:rFonts w:ascii="Verdana" w:hAnsi="Verdana"/>
          <w:color w:val="000000"/>
          <w:sz w:val="20"/>
          <w:lang w:val="es-MX"/>
        </w:rPr>
      </w:pPr>
    </w:p>
    <w:p w:rsidR="00501499" w:rsidRPr="00982566" w:rsidRDefault="00501499" w:rsidP="00154E1C">
      <w:pPr>
        <w:numPr>
          <w:ilvl w:val="0"/>
          <w:numId w:val="2"/>
        </w:numPr>
        <w:spacing w:afterLines="120" w:after="288" w:line="240" w:lineRule="auto"/>
        <w:ind w:left="0" w:firstLine="0"/>
        <w:jc w:val="both"/>
        <w:rPr>
          <w:rFonts w:ascii="Verdana" w:hAnsi="Verdana"/>
          <w:color w:val="000000"/>
          <w:sz w:val="20"/>
          <w:lang w:val="es-MX"/>
        </w:rPr>
      </w:pPr>
      <w:r>
        <w:rPr>
          <w:rFonts w:ascii="Verdana" w:hAnsi="Verdana"/>
          <w:sz w:val="20"/>
          <w:lang w:val="es-CR"/>
        </w:rPr>
        <w:t xml:space="preserve">Por </w:t>
      </w:r>
      <w:r w:rsidR="00C2766B">
        <w:rPr>
          <w:rFonts w:ascii="Verdana" w:hAnsi="Verdana"/>
          <w:sz w:val="20"/>
          <w:lang w:val="es-CR"/>
        </w:rPr>
        <w:t>todo lo anterior</w:t>
      </w:r>
      <w:r w:rsidR="00EF5C1E" w:rsidRPr="001F2A7E">
        <w:rPr>
          <w:rFonts w:ascii="Verdana" w:hAnsi="Verdana"/>
          <w:sz w:val="20"/>
          <w:lang w:val="es-MX"/>
        </w:rPr>
        <w:t xml:space="preserve">, el Tribunal concluye que se encuentra pendiente de cumplimiento la </w:t>
      </w:r>
      <w:r>
        <w:rPr>
          <w:rFonts w:ascii="Verdana" w:hAnsi="Verdana"/>
          <w:sz w:val="20"/>
          <w:lang w:val="es-MX"/>
        </w:rPr>
        <w:t>obligación de</w:t>
      </w:r>
      <w:r w:rsidR="00EF5C1E" w:rsidRPr="001F2A7E">
        <w:rPr>
          <w:rFonts w:ascii="Verdana" w:hAnsi="Verdana"/>
          <w:sz w:val="20"/>
          <w:lang w:val="es-MX"/>
        </w:rPr>
        <w:t xml:space="preserve"> </w:t>
      </w:r>
      <w:r w:rsidR="001647ED" w:rsidRPr="001F2A7E">
        <w:rPr>
          <w:rFonts w:ascii="Verdana" w:eastAsia="Times New Roman" w:hAnsi="Verdana"/>
          <w:sz w:val="20"/>
          <w:lang w:val="es-ES_tradnl"/>
        </w:rPr>
        <w:t xml:space="preserve">continuar los procedimientos judiciales por la desaparición y presunta muerte de </w:t>
      </w:r>
      <w:r w:rsidR="001647ED" w:rsidRPr="001F2A7E">
        <w:rPr>
          <w:rFonts w:ascii="Verdana" w:hAnsi="Verdana"/>
          <w:sz w:val="20"/>
          <w:szCs w:val="20"/>
          <w:lang w:val="es-CR"/>
        </w:rPr>
        <w:t>Isidro Caballero Delgado y María del Carmen Santana</w:t>
      </w:r>
      <w:r w:rsidR="00C938CA" w:rsidRPr="001F2A7E">
        <w:rPr>
          <w:rFonts w:ascii="Verdana" w:hAnsi="Verdana"/>
          <w:sz w:val="20"/>
          <w:szCs w:val="20"/>
          <w:lang w:val="es-CR"/>
        </w:rPr>
        <w:t xml:space="preserve"> y su sanción conforme a su derecho interno</w:t>
      </w:r>
      <w:r w:rsidR="00EF5C1E" w:rsidRPr="001F2A7E">
        <w:rPr>
          <w:rFonts w:ascii="Verdana" w:hAnsi="Verdana"/>
          <w:sz w:val="20"/>
          <w:lang w:val="es-MX"/>
        </w:rPr>
        <w:t>, según fue ordenad</w:t>
      </w:r>
      <w:r w:rsidR="00B71CCF">
        <w:rPr>
          <w:rFonts w:ascii="Verdana" w:hAnsi="Verdana"/>
          <w:sz w:val="20"/>
          <w:lang w:val="es-MX"/>
        </w:rPr>
        <w:t>a</w:t>
      </w:r>
      <w:r w:rsidR="00EF5C1E" w:rsidRPr="001F2A7E">
        <w:rPr>
          <w:rFonts w:ascii="Verdana" w:hAnsi="Verdana"/>
          <w:sz w:val="20"/>
          <w:lang w:val="es-MX"/>
        </w:rPr>
        <w:t xml:space="preserve"> en el punto dispositivo </w:t>
      </w:r>
      <w:r w:rsidR="001647ED" w:rsidRPr="001F2A7E">
        <w:rPr>
          <w:rFonts w:ascii="Verdana" w:hAnsi="Verdana"/>
          <w:sz w:val="20"/>
          <w:lang w:val="es-MX"/>
        </w:rPr>
        <w:t>quinto</w:t>
      </w:r>
      <w:r w:rsidR="00EF5C1E" w:rsidRPr="001F2A7E">
        <w:rPr>
          <w:rFonts w:ascii="Verdana" w:hAnsi="Verdana"/>
          <w:sz w:val="20"/>
          <w:lang w:val="es-MX"/>
        </w:rPr>
        <w:t xml:space="preserve"> de la Sentencia. </w:t>
      </w:r>
    </w:p>
    <w:p w:rsidR="00501499" w:rsidRPr="00982566" w:rsidRDefault="00501499" w:rsidP="00154E1C">
      <w:pPr>
        <w:spacing w:afterLines="120" w:after="288" w:line="240" w:lineRule="auto"/>
        <w:jc w:val="both"/>
        <w:rPr>
          <w:rFonts w:ascii="Verdana" w:hAnsi="Verdana"/>
          <w:color w:val="000000"/>
          <w:sz w:val="20"/>
          <w:lang w:val="es-MX"/>
        </w:rPr>
      </w:pPr>
    </w:p>
    <w:p w:rsidR="00EF5C1E" w:rsidRPr="001F2A7E" w:rsidRDefault="00DD5262" w:rsidP="00154E1C">
      <w:pPr>
        <w:numPr>
          <w:ilvl w:val="0"/>
          <w:numId w:val="2"/>
        </w:numPr>
        <w:spacing w:afterLines="120" w:after="288" w:line="240" w:lineRule="auto"/>
        <w:ind w:left="0" w:firstLine="0"/>
        <w:jc w:val="both"/>
        <w:rPr>
          <w:rFonts w:ascii="Verdana" w:hAnsi="Verdana"/>
          <w:color w:val="000000"/>
          <w:sz w:val="20"/>
          <w:lang w:val="es-MX"/>
        </w:rPr>
      </w:pPr>
      <w:r>
        <w:rPr>
          <w:rFonts w:ascii="Verdana" w:hAnsi="Verdana"/>
          <w:sz w:val="20"/>
          <w:lang w:val="es-MX"/>
        </w:rPr>
        <w:t>La Corte</w:t>
      </w:r>
      <w:r w:rsidRPr="001F2A7E">
        <w:rPr>
          <w:rFonts w:ascii="Verdana" w:hAnsi="Verdana"/>
          <w:sz w:val="20"/>
          <w:lang w:val="es-MX"/>
        </w:rPr>
        <w:t xml:space="preserve"> </w:t>
      </w:r>
      <w:r w:rsidR="00EF5C1E" w:rsidRPr="001F2A7E">
        <w:rPr>
          <w:rFonts w:ascii="Verdana" w:hAnsi="Verdana"/>
          <w:sz w:val="20"/>
          <w:lang w:val="es-MX"/>
        </w:rPr>
        <w:t xml:space="preserve">requiere que </w:t>
      </w:r>
      <w:r w:rsidR="001647ED" w:rsidRPr="001F2A7E">
        <w:rPr>
          <w:rFonts w:ascii="Verdana" w:hAnsi="Verdana"/>
          <w:sz w:val="20"/>
          <w:lang w:val="es-MX"/>
        </w:rPr>
        <w:t>Colombia</w:t>
      </w:r>
      <w:r w:rsidR="00EF5C1E" w:rsidRPr="001F2A7E">
        <w:rPr>
          <w:rFonts w:ascii="Verdana" w:hAnsi="Verdana"/>
          <w:sz w:val="20"/>
          <w:lang w:val="es-MX"/>
        </w:rPr>
        <w:t xml:space="preserve"> presente</w:t>
      </w:r>
      <w:r>
        <w:rPr>
          <w:rFonts w:ascii="Verdana" w:hAnsi="Verdana"/>
          <w:sz w:val="20"/>
          <w:lang w:val="es-MX"/>
        </w:rPr>
        <w:t xml:space="preserve">, dentro del plazo establecido en el punto resolutivo </w:t>
      </w:r>
      <w:r w:rsidR="004B0DBD">
        <w:rPr>
          <w:rFonts w:ascii="Verdana" w:hAnsi="Verdana"/>
          <w:sz w:val="20"/>
          <w:lang w:val="es-MX"/>
        </w:rPr>
        <w:t>2</w:t>
      </w:r>
      <w:r>
        <w:rPr>
          <w:rFonts w:ascii="Verdana" w:hAnsi="Verdana"/>
          <w:sz w:val="20"/>
          <w:lang w:val="es-MX"/>
        </w:rPr>
        <w:t xml:space="preserve"> de la presente Resolución,</w:t>
      </w:r>
      <w:r w:rsidR="00EF5C1E" w:rsidRPr="001F2A7E">
        <w:rPr>
          <w:rFonts w:ascii="Verdana" w:hAnsi="Verdana"/>
          <w:sz w:val="20"/>
          <w:lang w:val="es-MX"/>
        </w:rPr>
        <w:t xml:space="preserve"> información completa, detallada y actualizada sobre</w:t>
      </w:r>
      <w:r w:rsidR="001F2A7E" w:rsidRPr="001F2A7E">
        <w:rPr>
          <w:rFonts w:ascii="Verdana" w:hAnsi="Verdana"/>
          <w:sz w:val="20"/>
          <w:lang w:val="es-MX"/>
        </w:rPr>
        <w:t xml:space="preserve">: i) el estado actual de las investigaciones y las medidas adoptadas por Colombia para garantizar que las decisiones proferidas en </w:t>
      </w:r>
      <w:r w:rsidR="004B0DBD">
        <w:rPr>
          <w:rFonts w:ascii="Verdana" w:hAnsi="Verdana"/>
          <w:sz w:val="20"/>
          <w:lang w:val="es-MX"/>
        </w:rPr>
        <w:t xml:space="preserve">los años </w:t>
      </w:r>
      <w:r w:rsidR="001F2A7E" w:rsidRPr="001F2A7E">
        <w:rPr>
          <w:rFonts w:ascii="Verdana" w:hAnsi="Verdana"/>
          <w:sz w:val="20"/>
          <w:lang w:val="es-MX"/>
        </w:rPr>
        <w:t xml:space="preserve">2015, 2016 y 2019 </w:t>
      </w:r>
      <w:r w:rsidR="00AC1BCD">
        <w:rPr>
          <w:rFonts w:ascii="Verdana" w:hAnsi="Verdana"/>
          <w:sz w:val="20"/>
          <w:lang w:val="es-MX"/>
        </w:rPr>
        <w:t>(</w:t>
      </w:r>
      <w:r w:rsidR="00AC1BCD">
        <w:rPr>
          <w:rFonts w:ascii="Verdana" w:hAnsi="Verdana"/>
          <w:i/>
          <w:sz w:val="20"/>
          <w:lang w:val="es-MX"/>
        </w:rPr>
        <w:t xml:space="preserve">supra </w:t>
      </w:r>
      <w:r w:rsidR="00AC1BCD">
        <w:rPr>
          <w:rFonts w:ascii="Verdana" w:hAnsi="Verdana"/>
          <w:sz w:val="20"/>
          <w:lang w:val="es-MX"/>
        </w:rPr>
        <w:t xml:space="preserve">Considerandos 10 y 18) </w:t>
      </w:r>
      <w:r w:rsidR="001F2A7E" w:rsidRPr="001F2A7E">
        <w:rPr>
          <w:rFonts w:ascii="Verdana" w:hAnsi="Verdana"/>
          <w:sz w:val="20"/>
          <w:lang w:val="es-MX"/>
        </w:rPr>
        <w:t xml:space="preserve">tengan un impacto real en </w:t>
      </w:r>
      <w:r w:rsidR="00AF6102">
        <w:rPr>
          <w:rFonts w:ascii="Verdana" w:hAnsi="Verdana"/>
          <w:sz w:val="20"/>
          <w:lang w:val="es-MX"/>
        </w:rPr>
        <w:t xml:space="preserve">el avance de </w:t>
      </w:r>
      <w:r w:rsidR="001F2A7E" w:rsidRPr="001F2A7E">
        <w:rPr>
          <w:rFonts w:ascii="Verdana" w:hAnsi="Verdana"/>
          <w:sz w:val="20"/>
          <w:lang w:val="es-MX"/>
        </w:rPr>
        <w:t xml:space="preserve">las mismas; ii) los objetivos </w:t>
      </w:r>
      <w:r w:rsidR="00AF6102" w:rsidRPr="001F2A7E">
        <w:rPr>
          <w:rFonts w:ascii="Verdana" w:hAnsi="Verdana"/>
          <w:sz w:val="20"/>
          <w:lang w:val="es-MX"/>
        </w:rPr>
        <w:t xml:space="preserve">de las diligencias realizadas </w:t>
      </w:r>
      <w:r w:rsidR="001F2A7E" w:rsidRPr="001F2A7E">
        <w:rPr>
          <w:rFonts w:ascii="Verdana" w:hAnsi="Verdana"/>
          <w:sz w:val="20"/>
          <w:lang w:val="es-MX"/>
        </w:rPr>
        <w:t>y resultados obtenidos; iii) las líneas de investigación, alternativas y demás mecanismos que están al alcance de la Fiscalía y de los órganos judiciales internos, con el fin de cumplir con la obligación estatal de investigación de los hechos del presente caso, y en especial aquellas que permitan dar celeridad a la investigación, y iv) las acciones concretas del Estado tendientes a superar los obstáculos identificados por sí mismo y por los representantes</w:t>
      </w:r>
      <w:r w:rsidR="00817E70">
        <w:rPr>
          <w:rFonts w:ascii="Verdana" w:hAnsi="Verdana"/>
          <w:sz w:val="20"/>
          <w:lang w:val="es-MX"/>
        </w:rPr>
        <w:t xml:space="preserve"> (</w:t>
      </w:r>
      <w:r w:rsidR="00817E70">
        <w:rPr>
          <w:rFonts w:ascii="Verdana" w:hAnsi="Verdana"/>
          <w:i/>
          <w:sz w:val="20"/>
          <w:lang w:val="es-MX"/>
        </w:rPr>
        <w:t xml:space="preserve">supra </w:t>
      </w:r>
      <w:r w:rsidR="00817E70">
        <w:rPr>
          <w:rFonts w:ascii="Verdana" w:hAnsi="Verdana"/>
          <w:sz w:val="20"/>
          <w:lang w:val="es-MX"/>
        </w:rPr>
        <w:t>Considerandos 15 a 18)</w:t>
      </w:r>
      <w:r w:rsidR="001F2A7E" w:rsidRPr="001F2A7E">
        <w:rPr>
          <w:rFonts w:ascii="Verdana" w:hAnsi="Verdana"/>
          <w:sz w:val="20"/>
          <w:lang w:val="es-MX"/>
        </w:rPr>
        <w:t xml:space="preserve">. </w:t>
      </w:r>
      <w:r w:rsidR="004F4F32">
        <w:rPr>
          <w:rFonts w:ascii="Verdana" w:hAnsi="Verdana"/>
          <w:sz w:val="20"/>
          <w:lang w:val="es-MX"/>
        </w:rPr>
        <w:t>E</w:t>
      </w:r>
      <w:r w:rsidR="00AE1BDF">
        <w:rPr>
          <w:rFonts w:ascii="Verdana" w:hAnsi="Verdana"/>
          <w:sz w:val="20"/>
          <w:lang w:val="es-MX"/>
        </w:rPr>
        <w:t xml:space="preserve">l Estado deberá </w:t>
      </w:r>
      <w:r w:rsidR="00EF5C1E" w:rsidRPr="001F2A7E">
        <w:rPr>
          <w:rFonts w:ascii="Verdana" w:hAnsi="Verdana"/>
          <w:sz w:val="20"/>
          <w:lang w:val="es-MX"/>
        </w:rPr>
        <w:t>aportar</w:t>
      </w:r>
      <w:r w:rsidR="004F4F32">
        <w:rPr>
          <w:rFonts w:ascii="Verdana" w:hAnsi="Verdana"/>
          <w:sz w:val="20"/>
          <w:lang w:val="es-MX"/>
        </w:rPr>
        <w:t xml:space="preserve"> en el referido informe el</w:t>
      </w:r>
      <w:r w:rsidR="00EF5C1E" w:rsidRPr="001F2A7E">
        <w:rPr>
          <w:rFonts w:ascii="Verdana" w:hAnsi="Verdana"/>
          <w:sz w:val="20"/>
          <w:lang w:val="es-MX"/>
        </w:rPr>
        <w:t xml:space="preserve"> </w:t>
      </w:r>
      <w:r w:rsidR="004F4F32">
        <w:rPr>
          <w:rFonts w:ascii="Verdana" w:hAnsi="Verdana"/>
          <w:sz w:val="20"/>
          <w:lang w:val="es-MX"/>
        </w:rPr>
        <w:t xml:space="preserve">respectivo </w:t>
      </w:r>
      <w:r w:rsidR="00EF5C1E" w:rsidRPr="001F2A7E">
        <w:rPr>
          <w:rFonts w:ascii="Verdana" w:hAnsi="Verdana"/>
          <w:sz w:val="20"/>
          <w:lang w:val="es-MX"/>
        </w:rPr>
        <w:t>respaldo documental</w:t>
      </w:r>
      <w:r w:rsidR="004F4F32">
        <w:rPr>
          <w:rFonts w:ascii="Verdana" w:hAnsi="Verdana"/>
          <w:sz w:val="20"/>
          <w:lang w:val="es-MX"/>
        </w:rPr>
        <w:t>.</w:t>
      </w:r>
    </w:p>
    <w:p w:rsidR="009F78E3" w:rsidRPr="00FB56D6" w:rsidRDefault="009F78E3" w:rsidP="00154E1C">
      <w:pPr>
        <w:spacing w:afterLines="120" w:after="288" w:line="240" w:lineRule="auto"/>
        <w:jc w:val="both"/>
        <w:rPr>
          <w:rFonts w:ascii="Verdana" w:hAnsi="Verdana"/>
          <w:b/>
          <w:sz w:val="20"/>
          <w:szCs w:val="20"/>
          <w:lang w:val="es-MX"/>
        </w:rPr>
      </w:pPr>
      <w:r w:rsidRPr="00FB56D6">
        <w:rPr>
          <w:rFonts w:ascii="Verdana" w:hAnsi="Verdana"/>
          <w:b/>
          <w:sz w:val="20"/>
          <w:szCs w:val="20"/>
          <w:lang w:val="es-MX"/>
        </w:rPr>
        <w:t>POR TANTO:</w:t>
      </w:r>
    </w:p>
    <w:p w:rsidR="005366E3" w:rsidRPr="00FB56D6" w:rsidRDefault="005366E3" w:rsidP="00154E1C">
      <w:pPr>
        <w:pStyle w:val="Textoindependiente"/>
        <w:tabs>
          <w:tab w:val="left" w:pos="360"/>
          <w:tab w:val="left" w:pos="567"/>
        </w:tabs>
        <w:spacing w:afterLines="120" w:after="288" w:line="240" w:lineRule="auto"/>
        <w:rPr>
          <w:rFonts w:ascii="Verdana" w:hAnsi="Verdana"/>
          <w:b/>
          <w:sz w:val="20"/>
          <w:lang w:val="es-CR"/>
        </w:rPr>
      </w:pPr>
    </w:p>
    <w:p w:rsidR="001665BB" w:rsidRPr="001618E6" w:rsidRDefault="009F78E3" w:rsidP="00154E1C">
      <w:pPr>
        <w:pStyle w:val="Textoindependiente"/>
        <w:tabs>
          <w:tab w:val="left" w:pos="360"/>
          <w:tab w:val="left" w:pos="567"/>
        </w:tabs>
        <w:spacing w:afterLines="120" w:after="288" w:line="240" w:lineRule="auto"/>
        <w:rPr>
          <w:rFonts w:ascii="Verdana" w:hAnsi="Verdana"/>
          <w:b/>
          <w:sz w:val="20"/>
          <w:lang w:val="es-CR"/>
        </w:rPr>
      </w:pPr>
      <w:r w:rsidRPr="001618E6">
        <w:rPr>
          <w:rFonts w:ascii="Verdana" w:hAnsi="Verdana"/>
          <w:b/>
          <w:sz w:val="20"/>
          <w:lang w:val="es-CR"/>
        </w:rPr>
        <w:t>LA CORTE INTERAMERICANA DE DERECHOS HUMANOS,</w:t>
      </w:r>
    </w:p>
    <w:p w:rsidR="00C32274" w:rsidRPr="001618E6" w:rsidRDefault="00C32274" w:rsidP="00154E1C">
      <w:pPr>
        <w:pStyle w:val="Textoindependiente"/>
        <w:tabs>
          <w:tab w:val="left" w:pos="360"/>
          <w:tab w:val="left" w:pos="567"/>
        </w:tabs>
        <w:spacing w:afterLines="120" w:after="288" w:line="240" w:lineRule="auto"/>
        <w:jc w:val="both"/>
        <w:rPr>
          <w:rFonts w:ascii="Verdana" w:hAnsi="Verdana"/>
          <w:sz w:val="20"/>
          <w:lang w:val="es-CR"/>
        </w:rPr>
      </w:pPr>
    </w:p>
    <w:p w:rsidR="005366E3" w:rsidRDefault="009F78E3" w:rsidP="00154E1C">
      <w:pPr>
        <w:pStyle w:val="Textoindependiente"/>
        <w:tabs>
          <w:tab w:val="left" w:pos="360"/>
          <w:tab w:val="left" w:pos="567"/>
        </w:tabs>
        <w:spacing w:afterLines="120" w:after="288" w:line="240" w:lineRule="auto"/>
        <w:jc w:val="both"/>
        <w:rPr>
          <w:rFonts w:ascii="Verdana" w:hAnsi="Verdana"/>
          <w:b/>
          <w:sz w:val="20"/>
          <w:lang w:val="es-CR"/>
        </w:rPr>
      </w:pPr>
      <w:r w:rsidRPr="001618E6">
        <w:rPr>
          <w:rFonts w:ascii="Verdana" w:hAnsi="Verdana"/>
          <w:sz w:val="20"/>
          <w:lang w:val="es-CR"/>
        </w:rPr>
        <w:t>en el ejercicio de sus atribuciones de supervisión del cumplimiento de sus decisiones, de conformidad con los artículos 33, 62.1, 62.3, 65, 67 y 68.1 de la Convención Americana sobre Derechos Humanos, 24, 25 y 30 del Estatuto, y 31.2 y 69 de su Reglamento,</w:t>
      </w:r>
    </w:p>
    <w:p w:rsidR="00D8750A" w:rsidRDefault="00D8750A" w:rsidP="00154E1C">
      <w:pPr>
        <w:tabs>
          <w:tab w:val="left" w:pos="567"/>
        </w:tabs>
        <w:spacing w:afterLines="120" w:after="288" w:line="240" w:lineRule="auto"/>
        <w:ind w:right="22"/>
        <w:jc w:val="both"/>
        <w:rPr>
          <w:rFonts w:ascii="Verdana" w:hAnsi="Verdana"/>
          <w:b/>
          <w:sz w:val="20"/>
          <w:lang w:val="es-CR"/>
        </w:rPr>
      </w:pPr>
    </w:p>
    <w:p w:rsidR="006F0AF8" w:rsidRPr="001618E6" w:rsidRDefault="009F78E3" w:rsidP="00154E1C">
      <w:pPr>
        <w:tabs>
          <w:tab w:val="left" w:pos="567"/>
        </w:tabs>
        <w:spacing w:afterLines="120" w:after="288" w:line="240" w:lineRule="auto"/>
        <w:ind w:right="22"/>
        <w:jc w:val="both"/>
        <w:rPr>
          <w:rFonts w:ascii="Verdana" w:hAnsi="Verdana"/>
          <w:b/>
          <w:sz w:val="20"/>
          <w:lang w:val="es-CR"/>
        </w:rPr>
      </w:pPr>
      <w:r w:rsidRPr="001618E6">
        <w:rPr>
          <w:rFonts w:ascii="Verdana" w:hAnsi="Verdana"/>
          <w:b/>
          <w:sz w:val="20"/>
          <w:lang w:val="es-CR"/>
        </w:rPr>
        <w:t>RESUELVE:</w:t>
      </w:r>
      <w:r w:rsidR="006F0AF8" w:rsidRPr="001618E6">
        <w:rPr>
          <w:rFonts w:ascii="Verdana" w:hAnsi="Verdana"/>
          <w:b/>
          <w:sz w:val="20"/>
          <w:lang w:val="es-CR"/>
        </w:rPr>
        <w:t xml:space="preserve"> </w:t>
      </w:r>
    </w:p>
    <w:p w:rsidR="00F16ABF" w:rsidRPr="001618E6" w:rsidRDefault="00F16ABF" w:rsidP="00154E1C">
      <w:pPr>
        <w:tabs>
          <w:tab w:val="left" w:pos="567"/>
        </w:tabs>
        <w:spacing w:afterLines="120" w:after="288" w:line="240" w:lineRule="auto"/>
        <w:ind w:right="22"/>
        <w:jc w:val="both"/>
        <w:rPr>
          <w:rFonts w:ascii="Verdana" w:hAnsi="Verdana"/>
          <w:b/>
          <w:sz w:val="20"/>
          <w:lang w:val="es-CR"/>
        </w:rPr>
      </w:pPr>
    </w:p>
    <w:p w:rsidR="004A549E" w:rsidRPr="007E7E64" w:rsidRDefault="00852A76" w:rsidP="00154E1C">
      <w:pPr>
        <w:numPr>
          <w:ilvl w:val="0"/>
          <w:numId w:val="3"/>
        </w:numPr>
        <w:tabs>
          <w:tab w:val="left" w:pos="567"/>
        </w:tabs>
        <w:spacing w:afterLines="120" w:after="288" w:line="240" w:lineRule="auto"/>
        <w:ind w:left="0" w:firstLine="0"/>
        <w:jc w:val="both"/>
        <w:rPr>
          <w:rFonts w:ascii="Verdana" w:hAnsi="Verdana"/>
          <w:sz w:val="20"/>
          <w:szCs w:val="20"/>
          <w:lang w:val="es-CR"/>
        </w:rPr>
      </w:pPr>
      <w:r w:rsidRPr="007E7E64">
        <w:rPr>
          <w:rFonts w:ascii="Verdana" w:hAnsi="Verdana"/>
          <w:sz w:val="20"/>
          <w:lang w:val="es-CO"/>
        </w:rPr>
        <w:t xml:space="preserve">Declarar, de conformidad </w:t>
      </w:r>
      <w:r w:rsidRPr="007E7E64">
        <w:rPr>
          <w:rFonts w:ascii="Verdana" w:hAnsi="Verdana"/>
          <w:sz w:val="20"/>
          <w:szCs w:val="20"/>
          <w:lang w:val="es-CO"/>
        </w:rPr>
        <w:t xml:space="preserve">con lo señalado en los Considerandos </w:t>
      </w:r>
      <w:r w:rsidR="00596291">
        <w:rPr>
          <w:rFonts w:ascii="Verdana" w:hAnsi="Verdana"/>
          <w:sz w:val="20"/>
          <w:szCs w:val="20"/>
          <w:lang w:val="es-CO"/>
        </w:rPr>
        <w:t xml:space="preserve">3 y </w:t>
      </w:r>
      <w:r w:rsidR="004B0DBD">
        <w:rPr>
          <w:rFonts w:ascii="Verdana" w:hAnsi="Verdana"/>
          <w:sz w:val="20"/>
          <w:szCs w:val="20"/>
          <w:lang w:val="es-CO"/>
        </w:rPr>
        <w:t>8 a 23</w:t>
      </w:r>
      <w:r w:rsidRPr="007E7E64">
        <w:rPr>
          <w:rFonts w:ascii="Verdana" w:hAnsi="Verdana"/>
          <w:sz w:val="20"/>
          <w:szCs w:val="20"/>
          <w:lang w:val="es-CO"/>
        </w:rPr>
        <w:t xml:space="preserve"> de la presente Resolución, que </w:t>
      </w:r>
      <w:r w:rsidR="007E7E64" w:rsidRPr="007E7E64">
        <w:rPr>
          <w:rFonts w:ascii="Verdana" w:hAnsi="Verdana"/>
          <w:sz w:val="20"/>
          <w:szCs w:val="20"/>
          <w:lang w:val="es-CO"/>
        </w:rPr>
        <w:t>se encuentran pendientes de cumplimiento las siguientes medidas de reparación</w:t>
      </w:r>
      <w:r w:rsidR="004A549E" w:rsidRPr="007E7E64">
        <w:rPr>
          <w:rFonts w:ascii="Verdana" w:hAnsi="Verdana"/>
          <w:sz w:val="20"/>
          <w:szCs w:val="20"/>
          <w:lang w:val="es-CO"/>
        </w:rPr>
        <w:t>:</w:t>
      </w:r>
    </w:p>
    <w:p w:rsidR="004A549E" w:rsidRPr="007E7E64" w:rsidRDefault="004A549E" w:rsidP="00154E1C">
      <w:pPr>
        <w:tabs>
          <w:tab w:val="left" w:pos="567"/>
        </w:tabs>
        <w:spacing w:afterLines="120" w:after="288" w:line="240" w:lineRule="auto"/>
        <w:jc w:val="both"/>
        <w:rPr>
          <w:rFonts w:ascii="Verdana" w:hAnsi="Verdana"/>
          <w:sz w:val="20"/>
          <w:szCs w:val="20"/>
          <w:lang w:val="es-CR"/>
        </w:rPr>
      </w:pPr>
    </w:p>
    <w:p w:rsidR="00191722" w:rsidRPr="007E7E64" w:rsidRDefault="007E7E64" w:rsidP="00154E1C">
      <w:pPr>
        <w:numPr>
          <w:ilvl w:val="0"/>
          <w:numId w:val="6"/>
        </w:numPr>
        <w:tabs>
          <w:tab w:val="left" w:pos="720"/>
        </w:tabs>
        <w:spacing w:afterLines="120" w:after="288" w:line="240" w:lineRule="auto"/>
        <w:jc w:val="both"/>
        <w:rPr>
          <w:rFonts w:ascii="Verdana" w:hAnsi="Verdana"/>
          <w:sz w:val="20"/>
          <w:szCs w:val="20"/>
          <w:lang w:val="es-CR"/>
        </w:rPr>
      </w:pPr>
      <w:r w:rsidRPr="007E7E64">
        <w:rPr>
          <w:rFonts w:ascii="Verdana" w:eastAsia="Times New Roman" w:hAnsi="Verdana"/>
          <w:sz w:val="20"/>
          <w:lang w:val="es-ES_tradnl"/>
        </w:rPr>
        <w:t xml:space="preserve">continuar los procedimientos judiciales por la desaparición y presunta muerte de </w:t>
      </w:r>
      <w:r w:rsidRPr="007E7E64">
        <w:rPr>
          <w:rFonts w:ascii="Verdana" w:hAnsi="Verdana"/>
          <w:sz w:val="20"/>
          <w:szCs w:val="20"/>
          <w:lang w:val="es-CR"/>
        </w:rPr>
        <w:t>Isidro Caballero Delgado y María del Carmen Santana</w:t>
      </w:r>
      <w:r w:rsidR="00FD75F3">
        <w:rPr>
          <w:rFonts w:ascii="Verdana" w:hAnsi="Verdana"/>
          <w:sz w:val="20"/>
          <w:szCs w:val="20"/>
          <w:lang w:val="es-CR"/>
        </w:rPr>
        <w:t xml:space="preserve"> y su sanción conforme a su derecho interno</w:t>
      </w:r>
      <w:r w:rsidRPr="007E7E64">
        <w:rPr>
          <w:rFonts w:ascii="Verdana" w:hAnsi="Verdana"/>
          <w:sz w:val="20"/>
          <w:lang w:val="es-MX"/>
        </w:rPr>
        <w:t xml:space="preserve"> (</w:t>
      </w:r>
      <w:r w:rsidRPr="00FD75F3">
        <w:rPr>
          <w:rFonts w:ascii="Verdana" w:hAnsi="Verdana"/>
          <w:i/>
          <w:sz w:val="20"/>
          <w:lang w:val="es-MX"/>
        </w:rPr>
        <w:t>punto dispositivo quinto de la Sentencia</w:t>
      </w:r>
      <w:r w:rsidR="00FD75F3">
        <w:rPr>
          <w:rFonts w:ascii="Verdana" w:hAnsi="Verdana"/>
          <w:i/>
          <w:sz w:val="20"/>
          <w:lang w:val="es-MX"/>
        </w:rPr>
        <w:t xml:space="preserve"> de fondo</w:t>
      </w:r>
      <w:r w:rsidRPr="007E7E64">
        <w:rPr>
          <w:rFonts w:ascii="Verdana" w:hAnsi="Verdana"/>
          <w:sz w:val="20"/>
          <w:lang w:val="es-MX"/>
        </w:rPr>
        <w:t>)</w:t>
      </w:r>
      <w:r w:rsidR="00191722" w:rsidRPr="007E7E64">
        <w:rPr>
          <w:rFonts w:ascii="Verdana" w:hAnsi="Verdana"/>
          <w:sz w:val="20"/>
          <w:szCs w:val="20"/>
          <w:lang w:val="es-CR"/>
        </w:rPr>
        <w:t>, y</w:t>
      </w:r>
    </w:p>
    <w:p w:rsidR="00191722" w:rsidRPr="007E7E64" w:rsidRDefault="00FD75F3" w:rsidP="00154E1C">
      <w:pPr>
        <w:numPr>
          <w:ilvl w:val="0"/>
          <w:numId w:val="6"/>
        </w:numPr>
        <w:autoSpaceDE w:val="0"/>
        <w:autoSpaceDN w:val="0"/>
        <w:adjustRightInd w:val="0"/>
        <w:spacing w:afterLines="120" w:after="288" w:line="240" w:lineRule="auto"/>
        <w:jc w:val="both"/>
        <w:rPr>
          <w:rFonts w:ascii="Verdana" w:hAnsi="Verdana"/>
          <w:sz w:val="20"/>
          <w:szCs w:val="20"/>
          <w:lang w:val="es-CR"/>
        </w:rPr>
      </w:pPr>
      <w:r>
        <w:rPr>
          <w:rFonts w:ascii="Verdana" w:hAnsi="Verdana" w:cs="Verdana"/>
          <w:sz w:val="20"/>
          <w:szCs w:val="20"/>
          <w:lang w:val="es-CO"/>
        </w:rPr>
        <w:t>continuar los esfuerzos para localizar los restos de las víctimas y entregarlos a sus familiares</w:t>
      </w:r>
      <w:r w:rsidR="00191722" w:rsidRPr="007E7E64">
        <w:rPr>
          <w:rFonts w:ascii="Verdana" w:hAnsi="Verdana" w:cs="Verdana"/>
          <w:sz w:val="20"/>
          <w:szCs w:val="20"/>
          <w:lang w:val="es-CO"/>
        </w:rPr>
        <w:t xml:space="preserve"> (</w:t>
      </w:r>
      <w:r w:rsidR="00191722" w:rsidRPr="007E7E64">
        <w:rPr>
          <w:rFonts w:ascii="Verdana" w:hAnsi="Verdana"/>
          <w:i/>
          <w:sz w:val="20"/>
          <w:szCs w:val="20"/>
          <w:lang w:val="es-CR"/>
        </w:rPr>
        <w:t xml:space="preserve">punto dispositivo </w:t>
      </w:r>
      <w:r>
        <w:rPr>
          <w:rFonts w:ascii="Verdana" w:hAnsi="Verdana"/>
          <w:i/>
          <w:sz w:val="20"/>
          <w:szCs w:val="20"/>
          <w:lang w:val="es-CR"/>
        </w:rPr>
        <w:t>cuarto</w:t>
      </w:r>
      <w:r w:rsidR="00191722" w:rsidRPr="007E7E64">
        <w:rPr>
          <w:rFonts w:ascii="Verdana" w:hAnsi="Verdana"/>
          <w:i/>
          <w:sz w:val="20"/>
          <w:szCs w:val="20"/>
          <w:lang w:val="es-CR"/>
        </w:rPr>
        <w:t xml:space="preserve"> de la Sentencia</w:t>
      </w:r>
      <w:r>
        <w:rPr>
          <w:rFonts w:ascii="Verdana" w:hAnsi="Verdana"/>
          <w:i/>
          <w:sz w:val="20"/>
          <w:szCs w:val="20"/>
          <w:lang w:val="es-CR"/>
        </w:rPr>
        <w:t xml:space="preserve"> de reparaciones</w:t>
      </w:r>
      <w:r w:rsidR="00191722" w:rsidRPr="007E7E64">
        <w:rPr>
          <w:rFonts w:ascii="Verdana" w:hAnsi="Verdana"/>
          <w:sz w:val="20"/>
          <w:szCs w:val="20"/>
          <w:lang w:val="es-CR"/>
        </w:rPr>
        <w:t xml:space="preserve">). </w:t>
      </w:r>
    </w:p>
    <w:p w:rsidR="003D2CDE" w:rsidRPr="007E7E64" w:rsidRDefault="003D2CDE" w:rsidP="00154E1C">
      <w:pPr>
        <w:autoSpaceDE w:val="0"/>
        <w:autoSpaceDN w:val="0"/>
        <w:adjustRightInd w:val="0"/>
        <w:spacing w:afterLines="120" w:after="288" w:line="240" w:lineRule="auto"/>
        <w:ind w:left="720"/>
        <w:jc w:val="both"/>
        <w:rPr>
          <w:rFonts w:ascii="Verdana" w:hAnsi="Verdana"/>
          <w:sz w:val="18"/>
          <w:szCs w:val="20"/>
          <w:lang w:val="es-CR"/>
        </w:rPr>
      </w:pPr>
    </w:p>
    <w:p w:rsidR="00E847D5" w:rsidRPr="00182259" w:rsidRDefault="00E847D5" w:rsidP="00154E1C">
      <w:pPr>
        <w:numPr>
          <w:ilvl w:val="0"/>
          <w:numId w:val="3"/>
        </w:numPr>
        <w:tabs>
          <w:tab w:val="left" w:pos="567"/>
        </w:tabs>
        <w:spacing w:afterLines="120" w:after="288" w:line="240" w:lineRule="auto"/>
        <w:ind w:left="0" w:firstLine="0"/>
        <w:jc w:val="both"/>
        <w:rPr>
          <w:rFonts w:ascii="Verdana" w:hAnsi="Verdana"/>
          <w:sz w:val="20"/>
          <w:szCs w:val="20"/>
          <w:lang w:val="es-CR"/>
        </w:rPr>
      </w:pPr>
      <w:r w:rsidRPr="00982566">
        <w:rPr>
          <w:rFonts w:ascii="Verdana" w:hAnsi="Verdana"/>
          <w:sz w:val="20"/>
          <w:szCs w:val="20"/>
          <w:lang w:val="es-CR"/>
        </w:rPr>
        <w:t xml:space="preserve">Disponer que el Estado presente a la Corte Interamericana de Derechos Humanos, a más </w:t>
      </w:r>
      <w:r w:rsidRPr="00182259">
        <w:rPr>
          <w:rFonts w:ascii="Verdana" w:hAnsi="Verdana"/>
          <w:sz w:val="20"/>
          <w:szCs w:val="20"/>
          <w:lang w:val="es-CR"/>
        </w:rPr>
        <w:t xml:space="preserve">tardar el </w:t>
      </w:r>
      <w:r w:rsidR="00596291">
        <w:rPr>
          <w:rFonts w:ascii="Verdana" w:hAnsi="Verdana"/>
          <w:sz w:val="20"/>
          <w:szCs w:val="20"/>
          <w:lang w:val="es-CR"/>
        </w:rPr>
        <w:t>28</w:t>
      </w:r>
      <w:r w:rsidRPr="00182259">
        <w:rPr>
          <w:rFonts w:ascii="Verdana" w:hAnsi="Verdana"/>
          <w:sz w:val="20"/>
          <w:szCs w:val="20"/>
          <w:lang w:val="es-CR"/>
        </w:rPr>
        <w:t xml:space="preserve"> de </w:t>
      </w:r>
      <w:r w:rsidR="00900BCE" w:rsidRPr="00182259">
        <w:rPr>
          <w:rFonts w:ascii="Verdana" w:hAnsi="Verdana"/>
          <w:sz w:val="20"/>
          <w:szCs w:val="20"/>
          <w:lang w:val="es-CR"/>
        </w:rPr>
        <w:t>feb</w:t>
      </w:r>
      <w:r w:rsidR="00E4564C" w:rsidRPr="00182259">
        <w:rPr>
          <w:rFonts w:ascii="Verdana" w:hAnsi="Verdana"/>
          <w:sz w:val="20"/>
          <w:szCs w:val="20"/>
          <w:lang w:val="es-CR"/>
        </w:rPr>
        <w:t>r</w:t>
      </w:r>
      <w:r w:rsidR="00900BCE" w:rsidRPr="00182259">
        <w:rPr>
          <w:rFonts w:ascii="Verdana" w:hAnsi="Verdana"/>
          <w:sz w:val="20"/>
          <w:szCs w:val="20"/>
          <w:lang w:val="es-CR"/>
        </w:rPr>
        <w:t xml:space="preserve">ero </w:t>
      </w:r>
      <w:r w:rsidRPr="00182259">
        <w:rPr>
          <w:rFonts w:ascii="Verdana" w:hAnsi="Verdana"/>
          <w:sz w:val="20"/>
          <w:szCs w:val="20"/>
          <w:lang w:val="es-CR"/>
        </w:rPr>
        <w:t xml:space="preserve">de 2020, </w:t>
      </w:r>
      <w:r w:rsidR="00E4564C" w:rsidRPr="00182259">
        <w:rPr>
          <w:rFonts w:ascii="Verdana" w:hAnsi="Verdana"/>
          <w:sz w:val="20"/>
          <w:szCs w:val="20"/>
          <w:lang w:val="es-CR"/>
        </w:rPr>
        <w:t xml:space="preserve">un informe sobre el cumplimiento de la obligación de investigar, juzgar y, de ser el caso, sancionar, señalada en el punto resolutivo primero y Considerando </w:t>
      </w:r>
      <w:r w:rsidR="00A76BA0">
        <w:rPr>
          <w:rFonts w:ascii="Verdana" w:hAnsi="Verdana"/>
          <w:sz w:val="20"/>
          <w:szCs w:val="20"/>
          <w:lang w:val="es-CR"/>
        </w:rPr>
        <w:t>23</w:t>
      </w:r>
      <w:r w:rsidR="00E4564C" w:rsidRPr="00182259">
        <w:rPr>
          <w:rFonts w:ascii="Verdana" w:hAnsi="Verdana"/>
          <w:sz w:val="20"/>
          <w:szCs w:val="20"/>
          <w:lang w:val="es-CR"/>
        </w:rPr>
        <w:t xml:space="preserve"> de la presente Resolución.</w:t>
      </w:r>
    </w:p>
    <w:p w:rsidR="00E847D5" w:rsidRPr="007E7E64" w:rsidRDefault="00E847D5" w:rsidP="00154E1C">
      <w:pPr>
        <w:tabs>
          <w:tab w:val="left" w:pos="567"/>
        </w:tabs>
        <w:spacing w:afterLines="120" w:after="288" w:line="240" w:lineRule="auto"/>
        <w:jc w:val="both"/>
        <w:rPr>
          <w:rFonts w:ascii="Verdana" w:hAnsi="Verdana"/>
          <w:sz w:val="20"/>
          <w:lang w:val="es-CR"/>
        </w:rPr>
      </w:pPr>
    </w:p>
    <w:p w:rsidR="00E4564C" w:rsidRPr="00982566" w:rsidRDefault="00E4564C" w:rsidP="00154E1C">
      <w:pPr>
        <w:numPr>
          <w:ilvl w:val="0"/>
          <w:numId w:val="3"/>
        </w:numPr>
        <w:tabs>
          <w:tab w:val="left" w:pos="567"/>
        </w:tabs>
        <w:spacing w:afterLines="120" w:after="288" w:line="240" w:lineRule="auto"/>
        <w:ind w:left="0" w:firstLine="0"/>
        <w:jc w:val="both"/>
        <w:rPr>
          <w:rFonts w:ascii="Verdana" w:hAnsi="Verdana"/>
          <w:sz w:val="20"/>
          <w:szCs w:val="20"/>
          <w:lang w:val="es-CR"/>
        </w:rPr>
      </w:pPr>
      <w:r w:rsidRPr="00982566">
        <w:rPr>
          <w:rFonts w:ascii="Verdana" w:hAnsi="Verdana"/>
          <w:sz w:val="20"/>
          <w:szCs w:val="20"/>
          <w:lang w:val="es-CR"/>
        </w:rPr>
        <w:t>Requerir a los representantes de las víctimas y a la Comisión Interamericana de Derechos Humanos que presenten observaciones al informe del Estado mencionado en el punto resolutivo anterior, en los plazos de cuatro y seis semanas, respectivamente, contados a partir de la recepción del informe.</w:t>
      </w:r>
    </w:p>
    <w:p w:rsidR="00E4564C" w:rsidRPr="00982566" w:rsidRDefault="00E4564C" w:rsidP="00154E1C">
      <w:pPr>
        <w:tabs>
          <w:tab w:val="left" w:pos="567"/>
        </w:tabs>
        <w:spacing w:afterLines="120" w:after="288" w:line="240" w:lineRule="auto"/>
        <w:jc w:val="both"/>
        <w:rPr>
          <w:rFonts w:ascii="Verdana" w:hAnsi="Verdana"/>
          <w:sz w:val="20"/>
          <w:lang w:val="es-CR"/>
        </w:rPr>
      </w:pPr>
    </w:p>
    <w:p w:rsidR="009B4E8A" w:rsidRPr="009B4E8A" w:rsidRDefault="009F78E3" w:rsidP="009B4E8A">
      <w:pPr>
        <w:numPr>
          <w:ilvl w:val="0"/>
          <w:numId w:val="3"/>
        </w:numPr>
        <w:tabs>
          <w:tab w:val="left" w:pos="567"/>
        </w:tabs>
        <w:spacing w:afterLines="120" w:after="288" w:line="240" w:lineRule="auto"/>
        <w:ind w:left="0" w:firstLine="0"/>
        <w:jc w:val="both"/>
        <w:rPr>
          <w:rFonts w:ascii="Verdana" w:hAnsi="Verdana"/>
          <w:sz w:val="20"/>
          <w:lang w:val="es-CR"/>
        </w:rPr>
      </w:pPr>
      <w:r w:rsidRPr="007E7E64">
        <w:rPr>
          <w:rFonts w:ascii="Verdana" w:hAnsi="Verdana"/>
          <w:sz w:val="20"/>
          <w:lang w:val="es-CR"/>
        </w:rPr>
        <w:t>Disponer que la Secretaría de la Corte notifique la presente Resolución al Estado</w:t>
      </w:r>
      <w:r w:rsidR="00C03DB3" w:rsidRPr="007E7E64">
        <w:rPr>
          <w:rFonts w:ascii="Verdana" w:hAnsi="Verdana"/>
          <w:sz w:val="20"/>
          <w:lang w:val="es-CR"/>
        </w:rPr>
        <w:t xml:space="preserve"> de Colombia</w:t>
      </w:r>
      <w:r w:rsidRPr="007E7E64">
        <w:rPr>
          <w:rFonts w:ascii="Verdana" w:hAnsi="Verdana"/>
          <w:sz w:val="20"/>
          <w:lang w:val="es-CR"/>
        </w:rPr>
        <w:t>, a los representantes de la</w:t>
      </w:r>
      <w:r w:rsidR="00C03DB3" w:rsidRPr="007E7E64">
        <w:rPr>
          <w:rFonts w:ascii="Verdana" w:hAnsi="Verdana"/>
          <w:sz w:val="20"/>
          <w:lang w:val="es-CR"/>
        </w:rPr>
        <w:t>s</w:t>
      </w:r>
      <w:r w:rsidRPr="007E7E64">
        <w:rPr>
          <w:rFonts w:ascii="Verdana" w:hAnsi="Verdana"/>
          <w:sz w:val="20"/>
          <w:lang w:val="es-CR"/>
        </w:rPr>
        <w:t xml:space="preserve"> víctima</w:t>
      </w:r>
      <w:r w:rsidR="00C03DB3" w:rsidRPr="007E7E64">
        <w:rPr>
          <w:rFonts w:ascii="Verdana" w:hAnsi="Verdana"/>
          <w:sz w:val="20"/>
          <w:lang w:val="es-CR"/>
        </w:rPr>
        <w:t>s</w:t>
      </w:r>
      <w:r w:rsidRPr="007E7E64">
        <w:rPr>
          <w:rFonts w:ascii="Verdana" w:hAnsi="Verdana"/>
          <w:sz w:val="20"/>
          <w:lang w:val="es-CR"/>
        </w:rPr>
        <w:t xml:space="preserve"> y a la Comisión Interamericana de Derechos Humanos.</w:t>
      </w:r>
    </w:p>
    <w:p w:rsidR="009B4E8A" w:rsidRPr="00523394" w:rsidRDefault="009B4E8A" w:rsidP="009B4E8A">
      <w:pPr>
        <w:keepNext/>
        <w:spacing w:after="0" w:line="240" w:lineRule="auto"/>
        <w:jc w:val="both"/>
        <w:outlineLvl w:val="0"/>
        <w:rPr>
          <w:rFonts w:ascii="Verdana" w:hAnsi="Verdana" w:cs="Arial"/>
          <w:sz w:val="20"/>
          <w:lang w:val="es-AR"/>
        </w:rPr>
      </w:pPr>
      <w:r>
        <w:rPr>
          <w:rFonts w:ascii="Verdana" w:hAnsi="Verdana" w:cs="Courier New"/>
          <w:noProof/>
          <w:sz w:val="20"/>
          <w:lang w:val="es-AR"/>
        </w:rPr>
        <w:t xml:space="preserve">Corte IDH. </w:t>
      </w:r>
      <w:r w:rsidRPr="00523394">
        <w:rPr>
          <w:rFonts w:ascii="Verdana" w:hAnsi="Verdana"/>
          <w:bCs/>
          <w:i/>
          <w:sz w:val="20"/>
          <w:lang w:val="es-AR"/>
        </w:rPr>
        <w:t xml:space="preserve">Caso Caballero Delgado y Santana Vs. </w:t>
      </w:r>
      <w:r w:rsidRPr="0086117B">
        <w:rPr>
          <w:rFonts w:ascii="Verdana" w:hAnsi="Verdana"/>
          <w:bCs/>
          <w:i/>
          <w:sz w:val="20"/>
        </w:rPr>
        <w:t xml:space="preserve">Colombia. </w:t>
      </w:r>
      <w:r w:rsidRPr="00523394">
        <w:rPr>
          <w:rFonts w:ascii="Verdana" w:hAnsi="Verdana"/>
          <w:bCs/>
          <w:sz w:val="20"/>
          <w:lang w:val="es-AR"/>
        </w:rPr>
        <w:t>Supervisión de Cumplimiento de Sentencia.</w:t>
      </w:r>
      <w:r w:rsidRPr="00523394">
        <w:rPr>
          <w:rFonts w:ascii="Verdana" w:hAnsi="Verdana" w:cs="Arial"/>
          <w:i/>
          <w:sz w:val="20"/>
          <w:lang w:val="es-AR"/>
        </w:rPr>
        <w:t xml:space="preserve"> </w:t>
      </w:r>
      <w:r>
        <w:rPr>
          <w:rFonts w:ascii="Verdana" w:hAnsi="Verdana"/>
          <w:sz w:val="20"/>
          <w:lang w:val="es-ES"/>
        </w:rPr>
        <w:t>Resolución de la Corte Interamericana de Derechos Humanos de 22 de noviembre</w:t>
      </w:r>
      <w:r w:rsidRPr="00523394">
        <w:rPr>
          <w:rFonts w:ascii="Verdana" w:hAnsi="Verdana"/>
          <w:sz w:val="20"/>
          <w:lang w:val="es-AR"/>
        </w:rPr>
        <w:t xml:space="preserve"> de 2019</w:t>
      </w:r>
      <w:r>
        <w:rPr>
          <w:rFonts w:ascii="Verdana" w:hAnsi="Verdana"/>
          <w:sz w:val="20"/>
          <w:lang w:val="es-ES"/>
        </w:rPr>
        <w:t xml:space="preserve">. </w:t>
      </w:r>
    </w:p>
    <w:p w:rsidR="009B4E8A" w:rsidRDefault="009B4E8A" w:rsidP="009B4E8A">
      <w:pPr>
        <w:spacing w:after="0" w:line="240" w:lineRule="auto"/>
        <w:rPr>
          <w:rFonts w:ascii="Verdana" w:hAnsi="Verdana"/>
          <w:sz w:val="20"/>
          <w:lang w:val="es-ES"/>
        </w:rPr>
      </w:pPr>
    </w:p>
    <w:p w:rsidR="009B4E8A" w:rsidRDefault="009B4E8A" w:rsidP="009B4E8A">
      <w:pPr>
        <w:spacing w:after="0" w:line="240" w:lineRule="auto"/>
        <w:rPr>
          <w:rFonts w:ascii="Verdana" w:hAnsi="Verdana"/>
          <w:sz w:val="20"/>
          <w:lang w:val="es-ES"/>
        </w:rPr>
      </w:pPr>
    </w:p>
    <w:p w:rsidR="009B4E8A" w:rsidRDefault="009B4E8A" w:rsidP="009B4E8A">
      <w:pPr>
        <w:spacing w:after="0" w:line="240" w:lineRule="auto"/>
        <w:rPr>
          <w:rFonts w:ascii="Verdana" w:hAnsi="Verdana"/>
          <w:sz w:val="20"/>
          <w:lang w:val="es-ES"/>
        </w:rPr>
      </w:pPr>
    </w:p>
    <w:p w:rsidR="009B4E8A" w:rsidRDefault="009B4E8A" w:rsidP="009B4E8A">
      <w:pPr>
        <w:spacing w:after="0" w:line="240" w:lineRule="auto"/>
        <w:rPr>
          <w:rFonts w:ascii="Verdana" w:hAnsi="Verdana"/>
          <w:sz w:val="20"/>
          <w:lang w:val="es-ES"/>
        </w:rPr>
      </w:pPr>
    </w:p>
    <w:p w:rsidR="009B4E8A" w:rsidRDefault="009B4E8A" w:rsidP="009B4E8A">
      <w:pPr>
        <w:spacing w:after="0" w:line="240" w:lineRule="auto"/>
        <w:rPr>
          <w:rFonts w:ascii="Verdana" w:hAnsi="Verdana"/>
          <w:sz w:val="20"/>
          <w:lang w:val="es-ES"/>
        </w:rPr>
      </w:pPr>
    </w:p>
    <w:p w:rsidR="009B4E8A" w:rsidRDefault="009B4E8A" w:rsidP="009B4E8A">
      <w:pPr>
        <w:spacing w:after="0" w:line="240" w:lineRule="auto"/>
        <w:rPr>
          <w:rFonts w:ascii="Verdana" w:hAnsi="Verdana"/>
          <w:sz w:val="20"/>
          <w:lang w:val="es-ES"/>
        </w:rPr>
      </w:pPr>
    </w:p>
    <w:p w:rsidR="009B4E8A" w:rsidRDefault="009B4E8A" w:rsidP="009B4E8A">
      <w:pPr>
        <w:spacing w:after="0" w:line="240" w:lineRule="auto"/>
        <w:jc w:val="center"/>
        <w:rPr>
          <w:rFonts w:ascii="Verdana" w:hAnsi="Verdana"/>
          <w:sz w:val="20"/>
          <w:lang w:val="pt-BR"/>
        </w:rPr>
      </w:pPr>
      <w:r>
        <w:rPr>
          <w:rFonts w:ascii="Verdana" w:hAnsi="Verdana"/>
          <w:sz w:val="20"/>
          <w:lang w:val="pt-BR"/>
        </w:rPr>
        <w:t xml:space="preserve">Eduardo Vio Grossi </w:t>
      </w:r>
    </w:p>
    <w:p w:rsidR="009B4E8A" w:rsidRDefault="009B4E8A" w:rsidP="009B4E8A">
      <w:pPr>
        <w:spacing w:after="0" w:line="240" w:lineRule="auto"/>
        <w:jc w:val="center"/>
        <w:rPr>
          <w:rFonts w:ascii="Verdana" w:hAnsi="Verdana"/>
          <w:sz w:val="20"/>
          <w:lang w:val="pt-BR"/>
        </w:rPr>
      </w:pPr>
      <w:r>
        <w:rPr>
          <w:rFonts w:ascii="Verdana" w:hAnsi="Verdana"/>
          <w:sz w:val="20"/>
          <w:lang w:val="pt-BR"/>
        </w:rPr>
        <w:t>Presidente en ejercicio</w:t>
      </w:r>
    </w:p>
    <w:p w:rsidR="009B4E8A" w:rsidRDefault="009B4E8A" w:rsidP="009B4E8A">
      <w:pPr>
        <w:spacing w:after="0" w:line="240" w:lineRule="auto"/>
        <w:jc w:val="both"/>
        <w:rPr>
          <w:rFonts w:ascii="Verdana" w:hAnsi="Verdana"/>
          <w:sz w:val="20"/>
          <w:lang w:val="pt-BR"/>
        </w:rPr>
      </w:pPr>
    </w:p>
    <w:p w:rsidR="009B4E8A" w:rsidRDefault="009B4E8A" w:rsidP="009B4E8A">
      <w:pPr>
        <w:spacing w:after="0" w:line="240" w:lineRule="auto"/>
        <w:jc w:val="both"/>
        <w:rPr>
          <w:rFonts w:ascii="Verdana" w:hAnsi="Verdana"/>
          <w:sz w:val="20"/>
          <w:lang w:val="pt-BR"/>
        </w:rPr>
      </w:pPr>
    </w:p>
    <w:p w:rsidR="009B4E8A" w:rsidRDefault="009B4E8A" w:rsidP="009B4E8A">
      <w:pPr>
        <w:spacing w:after="0" w:line="240" w:lineRule="auto"/>
        <w:jc w:val="both"/>
        <w:rPr>
          <w:rFonts w:ascii="Verdana" w:hAnsi="Verdana"/>
          <w:sz w:val="20"/>
          <w:lang w:val="pt-BR"/>
        </w:rPr>
      </w:pPr>
    </w:p>
    <w:p w:rsidR="009B4E8A" w:rsidRDefault="009B4E8A" w:rsidP="009B4E8A">
      <w:pPr>
        <w:spacing w:after="0" w:line="240" w:lineRule="auto"/>
        <w:jc w:val="both"/>
        <w:rPr>
          <w:rFonts w:ascii="Verdana" w:hAnsi="Verdana"/>
          <w:sz w:val="20"/>
          <w:lang w:val="pt-BR"/>
        </w:rPr>
      </w:pPr>
    </w:p>
    <w:p w:rsidR="009B4E8A" w:rsidRDefault="009B4E8A" w:rsidP="009B4E8A">
      <w:pPr>
        <w:spacing w:after="0" w:line="240" w:lineRule="auto"/>
        <w:jc w:val="both"/>
        <w:rPr>
          <w:rFonts w:ascii="Verdana" w:hAnsi="Verdana"/>
          <w:sz w:val="20"/>
          <w:lang w:val="pt-BR"/>
        </w:rPr>
      </w:pPr>
    </w:p>
    <w:p w:rsidR="009B4E8A" w:rsidRDefault="009B4E8A" w:rsidP="009B4E8A">
      <w:pPr>
        <w:spacing w:after="0" w:line="240" w:lineRule="auto"/>
        <w:jc w:val="both"/>
        <w:rPr>
          <w:rFonts w:ascii="Verdana" w:hAnsi="Verdana"/>
          <w:sz w:val="20"/>
          <w:lang w:val="pt-BR"/>
        </w:rPr>
      </w:pPr>
    </w:p>
    <w:p w:rsidR="009B4E8A" w:rsidRDefault="009B4E8A" w:rsidP="009B4E8A">
      <w:pPr>
        <w:spacing w:after="0" w:line="240" w:lineRule="auto"/>
        <w:rPr>
          <w:rFonts w:ascii="Verdana" w:hAnsi="Verdana"/>
          <w:sz w:val="20"/>
          <w:lang w:val="pt-BR"/>
        </w:rPr>
      </w:pPr>
      <w:r>
        <w:rPr>
          <w:rFonts w:ascii="Verdana" w:hAnsi="Verdana"/>
          <w:sz w:val="20"/>
          <w:lang w:val="pt-BR"/>
        </w:rPr>
        <w:t>Elizabeth Odio Benito</w:t>
      </w:r>
      <w:r>
        <w:rPr>
          <w:rFonts w:ascii="Verdana" w:hAnsi="Verdana"/>
          <w:sz w:val="20"/>
          <w:lang w:val="pt-BR"/>
        </w:rPr>
        <w:tab/>
      </w:r>
      <w:r>
        <w:rPr>
          <w:rFonts w:ascii="Verdana" w:hAnsi="Verdana"/>
          <w:sz w:val="20"/>
          <w:lang w:val="pt-BR"/>
        </w:rPr>
        <w:tab/>
      </w:r>
      <w:r>
        <w:rPr>
          <w:rFonts w:ascii="Verdana" w:hAnsi="Verdana"/>
          <w:sz w:val="20"/>
          <w:lang w:val="pt-BR"/>
        </w:rPr>
        <w:tab/>
      </w:r>
      <w:r>
        <w:rPr>
          <w:rFonts w:ascii="Verdana" w:hAnsi="Verdana"/>
          <w:sz w:val="20"/>
          <w:lang w:val="pt-BR"/>
        </w:rPr>
        <w:tab/>
      </w:r>
      <w:r>
        <w:rPr>
          <w:rFonts w:ascii="Verdana" w:hAnsi="Verdana"/>
          <w:sz w:val="20"/>
          <w:lang w:val="pt-BR"/>
        </w:rPr>
        <w:tab/>
      </w:r>
      <w:r>
        <w:rPr>
          <w:rFonts w:ascii="Verdana" w:hAnsi="Verdana"/>
          <w:sz w:val="20"/>
          <w:lang w:val="pt-BR"/>
        </w:rPr>
        <w:tab/>
        <w:t xml:space="preserve">  Eugenio Raúl Zaffaroni</w:t>
      </w:r>
    </w:p>
    <w:p w:rsidR="009B4E8A" w:rsidRDefault="009B4E8A" w:rsidP="009B4E8A">
      <w:pPr>
        <w:spacing w:after="0" w:line="240" w:lineRule="auto"/>
        <w:rPr>
          <w:rFonts w:ascii="Verdana" w:hAnsi="Verdana"/>
          <w:sz w:val="20"/>
          <w:lang w:val="pt-BR"/>
        </w:rPr>
      </w:pPr>
    </w:p>
    <w:p w:rsidR="009B4E8A" w:rsidRDefault="009B4E8A" w:rsidP="009B4E8A">
      <w:pPr>
        <w:spacing w:after="0" w:line="240" w:lineRule="auto"/>
        <w:rPr>
          <w:rFonts w:ascii="Verdana" w:hAnsi="Verdana"/>
          <w:sz w:val="20"/>
          <w:lang w:val="pt-BR"/>
        </w:rPr>
      </w:pPr>
    </w:p>
    <w:p w:rsidR="009B4E8A" w:rsidRDefault="009B4E8A" w:rsidP="009B4E8A">
      <w:pPr>
        <w:spacing w:after="0" w:line="240" w:lineRule="auto"/>
        <w:rPr>
          <w:rFonts w:ascii="Verdana" w:hAnsi="Verdana"/>
          <w:sz w:val="20"/>
          <w:lang w:val="pt-BR"/>
        </w:rPr>
      </w:pPr>
    </w:p>
    <w:p w:rsidR="009B4E8A" w:rsidRDefault="009B4E8A" w:rsidP="009B4E8A">
      <w:pPr>
        <w:spacing w:after="0" w:line="240" w:lineRule="auto"/>
        <w:rPr>
          <w:rFonts w:ascii="Verdana" w:hAnsi="Verdana"/>
          <w:sz w:val="20"/>
          <w:lang w:val="pt-BR"/>
        </w:rPr>
      </w:pPr>
    </w:p>
    <w:p w:rsidR="009B4E8A" w:rsidRDefault="009B4E8A" w:rsidP="009B4E8A">
      <w:pPr>
        <w:spacing w:after="0" w:line="240" w:lineRule="auto"/>
        <w:rPr>
          <w:rFonts w:ascii="Verdana" w:hAnsi="Verdana"/>
          <w:sz w:val="20"/>
          <w:lang w:val="pt-BR"/>
        </w:rPr>
      </w:pPr>
    </w:p>
    <w:p w:rsidR="009B4E8A" w:rsidRDefault="009B4E8A" w:rsidP="009B4E8A">
      <w:pPr>
        <w:spacing w:after="0" w:line="240" w:lineRule="auto"/>
        <w:jc w:val="both"/>
        <w:rPr>
          <w:rFonts w:ascii="Verdana" w:hAnsi="Verdana"/>
          <w:sz w:val="20"/>
          <w:lang w:val="pt-BR"/>
        </w:rPr>
      </w:pPr>
    </w:p>
    <w:p w:rsidR="009B4E8A" w:rsidRPr="00523394" w:rsidRDefault="009B4E8A" w:rsidP="009B4E8A">
      <w:pPr>
        <w:spacing w:after="0" w:line="240" w:lineRule="auto"/>
        <w:jc w:val="center"/>
        <w:rPr>
          <w:rFonts w:ascii="Verdana" w:hAnsi="Verdana"/>
          <w:sz w:val="20"/>
          <w:lang w:val="es-AR"/>
        </w:rPr>
      </w:pPr>
      <w:r>
        <w:rPr>
          <w:rFonts w:ascii="Verdana" w:hAnsi="Verdana"/>
          <w:sz w:val="20"/>
          <w:lang w:val="pt-BR"/>
        </w:rPr>
        <w:t>L. Patricio Pazmiño Freire</w:t>
      </w:r>
      <w:r>
        <w:rPr>
          <w:rFonts w:ascii="Verdana" w:hAnsi="Verdana"/>
          <w:sz w:val="20"/>
          <w:lang w:val="pt-BR"/>
        </w:rPr>
        <w:tab/>
      </w:r>
      <w:r>
        <w:rPr>
          <w:rFonts w:ascii="Verdana" w:hAnsi="Verdana"/>
          <w:sz w:val="20"/>
          <w:lang w:val="pt-BR"/>
        </w:rPr>
        <w:tab/>
      </w:r>
      <w:r>
        <w:rPr>
          <w:rFonts w:ascii="Verdana" w:hAnsi="Verdana"/>
          <w:sz w:val="20"/>
          <w:lang w:val="pt-BR"/>
        </w:rPr>
        <w:tab/>
      </w:r>
      <w:r>
        <w:rPr>
          <w:rFonts w:ascii="Verdana" w:hAnsi="Verdana"/>
          <w:sz w:val="20"/>
          <w:lang w:val="pt-BR"/>
        </w:rPr>
        <w:tab/>
      </w:r>
      <w:r>
        <w:rPr>
          <w:rFonts w:ascii="Verdana" w:hAnsi="Verdana"/>
          <w:sz w:val="20"/>
          <w:lang w:val="pt-BR"/>
        </w:rPr>
        <w:tab/>
        <w:t xml:space="preserve">       </w:t>
      </w:r>
      <w:r w:rsidRPr="00523394">
        <w:rPr>
          <w:rFonts w:ascii="Verdana" w:hAnsi="Verdana"/>
          <w:sz w:val="20"/>
          <w:lang w:val="es-AR"/>
        </w:rPr>
        <w:t>Ricardo C. Pérez Manrique</w:t>
      </w:r>
    </w:p>
    <w:p w:rsidR="009B4E8A" w:rsidRDefault="009B4E8A" w:rsidP="009B4E8A">
      <w:pPr>
        <w:spacing w:after="0" w:line="240" w:lineRule="auto"/>
        <w:rPr>
          <w:rFonts w:ascii="Verdana" w:hAnsi="Verdana"/>
          <w:sz w:val="20"/>
          <w:lang w:val="pt-BR"/>
        </w:rPr>
      </w:pPr>
    </w:p>
    <w:p w:rsidR="009B4E8A" w:rsidRDefault="009B4E8A" w:rsidP="009B4E8A">
      <w:pPr>
        <w:spacing w:after="0" w:line="240" w:lineRule="auto"/>
        <w:rPr>
          <w:rFonts w:ascii="Verdana" w:hAnsi="Verdana"/>
          <w:sz w:val="20"/>
          <w:lang w:val="pt-BR"/>
        </w:rPr>
      </w:pPr>
    </w:p>
    <w:p w:rsidR="009B4E8A" w:rsidRDefault="009B4E8A" w:rsidP="009B4E8A">
      <w:pPr>
        <w:spacing w:after="0" w:line="240" w:lineRule="auto"/>
        <w:rPr>
          <w:rFonts w:ascii="Verdana" w:hAnsi="Verdana"/>
          <w:sz w:val="20"/>
          <w:lang w:val="pt-BR"/>
        </w:rPr>
      </w:pPr>
    </w:p>
    <w:p w:rsidR="009B4E8A" w:rsidRDefault="009B4E8A" w:rsidP="009B4E8A">
      <w:pPr>
        <w:spacing w:after="0" w:line="240" w:lineRule="auto"/>
        <w:jc w:val="both"/>
        <w:rPr>
          <w:rFonts w:ascii="Verdana" w:hAnsi="Verdana"/>
          <w:sz w:val="20"/>
          <w:lang w:val="pt-BR"/>
        </w:rPr>
      </w:pPr>
    </w:p>
    <w:p w:rsidR="009B4E8A" w:rsidRDefault="009B4E8A" w:rsidP="009B4E8A">
      <w:pPr>
        <w:spacing w:after="0" w:line="240" w:lineRule="auto"/>
        <w:jc w:val="both"/>
        <w:rPr>
          <w:rFonts w:ascii="Verdana" w:hAnsi="Verdana"/>
          <w:sz w:val="20"/>
          <w:lang w:val="pt-BR"/>
        </w:rPr>
      </w:pPr>
    </w:p>
    <w:p w:rsidR="009B4E8A" w:rsidRDefault="009B4E8A" w:rsidP="009B4E8A">
      <w:pPr>
        <w:spacing w:after="0" w:line="240" w:lineRule="auto"/>
        <w:jc w:val="both"/>
        <w:rPr>
          <w:rFonts w:ascii="Verdana" w:hAnsi="Verdana"/>
          <w:sz w:val="20"/>
          <w:lang w:val="pt-BR"/>
        </w:rPr>
      </w:pPr>
    </w:p>
    <w:p w:rsidR="009B4E8A" w:rsidRDefault="009B4E8A" w:rsidP="009B4E8A">
      <w:pPr>
        <w:spacing w:after="0" w:line="240" w:lineRule="auto"/>
        <w:jc w:val="center"/>
        <w:rPr>
          <w:rFonts w:ascii="Verdana" w:hAnsi="Verdana"/>
          <w:sz w:val="20"/>
          <w:lang w:val="pt-BR"/>
        </w:rPr>
      </w:pPr>
      <w:r>
        <w:rPr>
          <w:rFonts w:ascii="Verdana" w:hAnsi="Verdana"/>
          <w:sz w:val="20"/>
          <w:lang w:val="pt-BR"/>
        </w:rPr>
        <w:t>Pablo Saavedra Alessandri</w:t>
      </w:r>
    </w:p>
    <w:p w:rsidR="009B4E8A" w:rsidRDefault="009B4E8A" w:rsidP="009B4E8A">
      <w:pPr>
        <w:spacing w:after="0" w:line="240" w:lineRule="auto"/>
        <w:jc w:val="center"/>
        <w:rPr>
          <w:rFonts w:ascii="Verdana" w:hAnsi="Verdana"/>
          <w:sz w:val="20"/>
          <w:lang w:val="pt-BR"/>
        </w:rPr>
      </w:pPr>
      <w:r>
        <w:rPr>
          <w:rFonts w:ascii="Verdana" w:hAnsi="Verdana"/>
          <w:sz w:val="20"/>
          <w:lang w:val="pt-BR"/>
        </w:rPr>
        <w:t>Secretario</w:t>
      </w:r>
    </w:p>
    <w:p w:rsidR="009B4E8A" w:rsidRDefault="009B4E8A" w:rsidP="009B4E8A">
      <w:pPr>
        <w:spacing w:after="0" w:line="240" w:lineRule="auto"/>
        <w:rPr>
          <w:rFonts w:ascii="Verdana" w:hAnsi="Verdana"/>
          <w:sz w:val="20"/>
          <w:lang w:val="pt-BR"/>
        </w:rPr>
      </w:pPr>
    </w:p>
    <w:p w:rsidR="009B4E8A" w:rsidRDefault="009B4E8A" w:rsidP="009B4E8A">
      <w:pPr>
        <w:pStyle w:val="Textonotapie"/>
        <w:rPr>
          <w:lang w:val="pt-BR"/>
        </w:rPr>
      </w:pPr>
    </w:p>
    <w:p w:rsidR="009B4E8A" w:rsidRDefault="009B4E8A" w:rsidP="009B4E8A">
      <w:pPr>
        <w:pStyle w:val="Textonotapie"/>
        <w:rPr>
          <w:lang w:val="pt-BR"/>
        </w:rPr>
      </w:pPr>
    </w:p>
    <w:p w:rsidR="009B4E8A" w:rsidRDefault="009B4E8A" w:rsidP="009B4E8A">
      <w:pPr>
        <w:pStyle w:val="Textonotapie"/>
        <w:rPr>
          <w:lang w:val="pt-BR"/>
        </w:rPr>
      </w:pPr>
    </w:p>
    <w:p w:rsidR="009B4E8A" w:rsidRDefault="009B4E8A" w:rsidP="009B4E8A">
      <w:pPr>
        <w:spacing w:after="0" w:line="240" w:lineRule="auto"/>
        <w:jc w:val="both"/>
        <w:rPr>
          <w:rFonts w:ascii="Verdana" w:hAnsi="Verdana"/>
          <w:sz w:val="20"/>
          <w:lang w:val="pt-BR"/>
        </w:rPr>
      </w:pPr>
      <w:r>
        <w:rPr>
          <w:rFonts w:ascii="Verdana" w:hAnsi="Verdana"/>
          <w:sz w:val="20"/>
          <w:lang w:val="pt-BR"/>
        </w:rPr>
        <w:t>Comuníquese y ejecútese,</w:t>
      </w:r>
    </w:p>
    <w:p w:rsidR="009B4E8A" w:rsidRDefault="009B4E8A" w:rsidP="009B4E8A">
      <w:pPr>
        <w:spacing w:after="0" w:line="240" w:lineRule="auto"/>
        <w:jc w:val="both"/>
        <w:rPr>
          <w:rFonts w:ascii="Verdana" w:hAnsi="Verdana"/>
          <w:sz w:val="20"/>
          <w:lang w:val="pt-BR"/>
        </w:rPr>
      </w:pPr>
    </w:p>
    <w:p w:rsidR="009B4E8A" w:rsidRDefault="009B4E8A" w:rsidP="009B4E8A">
      <w:pPr>
        <w:spacing w:after="0" w:line="240" w:lineRule="auto"/>
        <w:jc w:val="both"/>
        <w:rPr>
          <w:rFonts w:ascii="Verdana" w:hAnsi="Verdana"/>
          <w:sz w:val="20"/>
          <w:lang w:val="pt-BR"/>
        </w:rPr>
      </w:pPr>
    </w:p>
    <w:p w:rsidR="009B4E8A" w:rsidRDefault="009B4E8A" w:rsidP="009B4E8A">
      <w:pPr>
        <w:spacing w:after="0" w:line="240" w:lineRule="auto"/>
        <w:jc w:val="both"/>
        <w:rPr>
          <w:rFonts w:ascii="Verdana" w:hAnsi="Verdana"/>
          <w:sz w:val="20"/>
          <w:lang w:val="pt-BR"/>
        </w:rPr>
      </w:pPr>
    </w:p>
    <w:p w:rsidR="009B4E8A" w:rsidRDefault="009B4E8A" w:rsidP="009B4E8A">
      <w:pPr>
        <w:spacing w:after="0" w:line="240" w:lineRule="auto"/>
        <w:jc w:val="both"/>
        <w:rPr>
          <w:rFonts w:ascii="Verdana" w:hAnsi="Verdana"/>
          <w:sz w:val="20"/>
          <w:lang w:val="pt-BR"/>
        </w:rPr>
      </w:pPr>
    </w:p>
    <w:p w:rsidR="009B4E8A" w:rsidRDefault="009B4E8A" w:rsidP="009B4E8A">
      <w:pPr>
        <w:spacing w:after="0" w:line="240" w:lineRule="auto"/>
        <w:ind w:left="4956"/>
        <w:jc w:val="center"/>
        <w:rPr>
          <w:rFonts w:ascii="Verdana" w:hAnsi="Verdana"/>
          <w:sz w:val="20"/>
          <w:lang w:val="pt-BR"/>
        </w:rPr>
      </w:pPr>
      <w:r>
        <w:rPr>
          <w:rFonts w:ascii="Verdana" w:hAnsi="Verdana"/>
          <w:sz w:val="20"/>
          <w:lang w:val="pt-BR"/>
        </w:rPr>
        <w:t xml:space="preserve">Eduardo Vio Grossi </w:t>
      </w:r>
    </w:p>
    <w:p w:rsidR="009B4E8A" w:rsidRDefault="009B4E8A" w:rsidP="009B4E8A">
      <w:pPr>
        <w:spacing w:after="0" w:line="240" w:lineRule="auto"/>
        <w:ind w:left="4956"/>
        <w:jc w:val="center"/>
        <w:rPr>
          <w:rFonts w:ascii="Verdana" w:hAnsi="Verdana"/>
          <w:sz w:val="20"/>
          <w:lang w:val="pt-BR"/>
        </w:rPr>
      </w:pPr>
      <w:r>
        <w:rPr>
          <w:rFonts w:ascii="Verdana" w:hAnsi="Verdana"/>
          <w:sz w:val="20"/>
          <w:lang w:val="pt-BR"/>
        </w:rPr>
        <w:t>Presidente en ejercicio</w:t>
      </w:r>
    </w:p>
    <w:p w:rsidR="009B4E8A" w:rsidRDefault="009B4E8A" w:rsidP="009B4E8A">
      <w:pPr>
        <w:spacing w:after="0" w:line="240" w:lineRule="auto"/>
        <w:jc w:val="both"/>
        <w:rPr>
          <w:rFonts w:ascii="Verdana" w:hAnsi="Verdana"/>
          <w:sz w:val="20"/>
          <w:lang w:val="pt-BR"/>
        </w:rPr>
      </w:pPr>
    </w:p>
    <w:p w:rsidR="009B4E8A" w:rsidRDefault="009B4E8A" w:rsidP="009B4E8A">
      <w:pPr>
        <w:spacing w:after="0" w:line="240" w:lineRule="auto"/>
        <w:jc w:val="both"/>
        <w:rPr>
          <w:rFonts w:ascii="Verdana" w:hAnsi="Verdana"/>
          <w:sz w:val="20"/>
          <w:lang w:val="pt-BR"/>
        </w:rPr>
      </w:pPr>
    </w:p>
    <w:p w:rsidR="009B4E8A" w:rsidRDefault="009B4E8A" w:rsidP="009B4E8A">
      <w:pPr>
        <w:spacing w:after="0" w:line="240" w:lineRule="auto"/>
        <w:jc w:val="both"/>
        <w:rPr>
          <w:rFonts w:ascii="Verdana" w:hAnsi="Verdana"/>
          <w:sz w:val="20"/>
          <w:lang w:val="pt-BR"/>
        </w:rPr>
      </w:pPr>
    </w:p>
    <w:p w:rsidR="009B4E8A" w:rsidRDefault="009B4E8A" w:rsidP="009B4E8A">
      <w:pPr>
        <w:spacing w:after="0" w:line="240" w:lineRule="auto"/>
        <w:jc w:val="both"/>
        <w:rPr>
          <w:rFonts w:ascii="Verdana" w:hAnsi="Verdana"/>
          <w:sz w:val="20"/>
          <w:lang w:val="pt-BR"/>
        </w:rPr>
      </w:pPr>
    </w:p>
    <w:p w:rsidR="009B4E8A" w:rsidRDefault="009B4E8A" w:rsidP="009B4E8A">
      <w:pPr>
        <w:spacing w:after="0" w:line="240" w:lineRule="auto"/>
        <w:jc w:val="both"/>
        <w:rPr>
          <w:rFonts w:ascii="Verdana" w:hAnsi="Verdana"/>
          <w:sz w:val="20"/>
          <w:lang w:val="es-ES"/>
        </w:rPr>
      </w:pPr>
      <w:r>
        <w:rPr>
          <w:rFonts w:ascii="Verdana" w:hAnsi="Verdana"/>
          <w:sz w:val="20"/>
          <w:lang w:val="es-ES"/>
        </w:rPr>
        <w:t>Pablo Saavedra Alessandri</w:t>
      </w:r>
    </w:p>
    <w:p w:rsidR="009B4E8A" w:rsidRDefault="009B4E8A" w:rsidP="009B4E8A">
      <w:pPr>
        <w:spacing w:after="0" w:line="240" w:lineRule="auto"/>
        <w:rPr>
          <w:rFonts w:ascii="Verdana" w:hAnsi="Verdana"/>
          <w:sz w:val="20"/>
        </w:rPr>
      </w:pPr>
      <w:r>
        <w:rPr>
          <w:rFonts w:ascii="Verdana" w:hAnsi="Verdana"/>
          <w:sz w:val="20"/>
          <w:lang w:val="es-ES"/>
        </w:rPr>
        <w:tab/>
      </w:r>
      <w:r>
        <w:rPr>
          <w:rFonts w:ascii="Verdana" w:hAnsi="Verdana"/>
          <w:sz w:val="20"/>
        </w:rPr>
        <w:t>Secretario</w:t>
      </w:r>
    </w:p>
    <w:p w:rsidR="009B4E8A" w:rsidRDefault="009B4E8A" w:rsidP="009B4E8A">
      <w:pPr>
        <w:spacing w:after="0" w:line="240" w:lineRule="auto"/>
        <w:rPr>
          <w:rFonts w:ascii="Verdana" w:hAnsi="Verdana"/>
          <w:sz w:val="20"/>
        </w:rPr>
      </w:pPr>
    </w:p>
    <w:p w:rsidR="009B4E8A" w:rsidRPr="007E7E64" w:rsidRDefault="009B4E8A" w:rsidP="009B4E8A">
      <w:pPr>
        <w:tabs>
          <w:tab w:val="left" w:pos="567"/>
        </w:tabs>
        <w:spacing w:afterLines="120" w:after="288" w:line="240" w:lineRule="auto"/>
        <w:jc w:val="both"/>
        <w:rPr>
          <w:rFonts w:ascii="Verdana" w:hAnsi="Verdana"/>
          <w:sz w:val="20"/>
          <w:lang w:val="es-CR"/>
        </w:rPr>
      </w:pPr>
    </w:p>
    <w:sectPr w:rsidR="009B4E8A" w:rsidRPr="007E7E64" w:rsidSect="004335DA">
      <w:footerReference w:type="default" r:id="rId8"/>
      <w:footerReference w:type="first" r:id="rId9"/>
      <w:pgSz w:w="12240" w:h="15840"/>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172492" w:rsidRDefault="00172492" w:rsidP="005A1B3D">
      <w:pPr>
        <w:spacing w:after="0" w:line="240" w:lineRule="auto"/>
      </w:pPr>
      <w:r>
        <w:separator/>
      </w:r>
    </w:p>
  </w:endnote>
  <w:endnote w:type="continuationSeparator" w:id="0">
    <w:p w:rsidR="00172492" w:rsidRDefault="00172492" w:rsidP="005A1B3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0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roman"/>
    <w:pitch w:val="fixed"/>
    <w:sig w:usb0="00000001" w:usb1="08070000" w:usb2="00000010" w:usb3="00000000" w:csb0="00020000" w:csb1="00000000"/>
  </w:font>
  <w:font w:name="Calibri Light">
    <w:panose1 w:val="020F0302020204030204"/>
    <w:charset w:val="00"/>
    <w:family w:val="swiss"/>
    <w:pitch w:val="variable"/>
    <w:sig w:usb0="E0002AFF" w:usb1="C000247B" w:usb2="00000009" w:usb3="00000000" w:csb0="000001FF" w:csb1="00000000"/>
  </w:font>
  <w:font w:name="Garamond">
    <w:panose1 w:val="02020404030301010803"/>
    <w:charset w:val="00"/>
    <w:family w:val="roman"/>
    <w:pitch w:val="variable"/>
    <w:sig w:usb0="00000287" w:usb1="00000000" w:usb2="00000000" w:usb3="00000000" w:csb0="0000009F" w:csb1="00000000"/>
  </w:font>
  <w:font w:name="Garamond-Italic">
    <w:panose1 w:val="00000000000000000000"/>
    <w:charset w:val="00"/>
    <w:family w:val="roman"/>
    <w:notTrueType/>
    <w:pitch w:val="default"/>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35CED" w:rsidRPr="00A35CED" w:rsidRDefault="00A35CED">
    <w:pPr>
      <w:pStyle w:val="Piedepgina"/>
      <w:jc w:val="center"/>
      <w:rPr>
        <w:rFonts w:ascii="Verdana" w:hAnsi="Verdana"/>
        <w:sz w:val="16"/>
      </w:rPr>
    </w:pPr>
    <w:r w:rsidRPr="00A35CED">
      <w:rPr>
        <w:rFonts w:ascii="Verdana" w:hAnsi="Verdana"/>
        <w:sz w:val="16"/>
      </w:rPr>
      <w:t>-</w:t>
    </w:r>
    <w:r w:rsidRPr="00A35CED">
      <w:rPr>
        <w:rFonts w:ascii="Verdana" w:hAnsi="Verdana"/>
        <w:sz w:val="16"/>
      </w:rPr>
      <w:fldChar w:fldCharType="begin"/>
    </w:r>
    <w:r w:rsidRPr="00A35CED">
      <w:rPr>
        <w:rFonts w:ascii="Verdana" w:hAnsi="Verdana"/>
        <w:sz w:val="16"/>
      </w:rPr>
      <w:instrText>PAGE   \* MERGEFORMAT</w:instrText>
    </w:r>
    <w:r w:rsidRPr="00A35CED">
      <w:rPr>
        <w:rFonts w:ascii="Verdana" w:hAnsi="Verdana"/>
        <w:sz w:val="16"/>
      </w:rPr>
      <w:fldChar w:fldCharType="separate"/>
    </w:r>
    <w:r w:rsidR="00523394" w:rsidRPr="00523394">
      <w:rPr>
        <w:rFonts w:ascii="Verdana" w:hAnsi="Verdana"/>
        <w:noProof/>
        <w:sz w:val="16"/>
        <w:lang w:val="es-ES"/>
      </w:rPr>
      <w:t>2</w:t>
    </w:r>
    <w:r w:rsidRPr="00A35CED">
      <w:rPr>
        <w:rFonts w:ascii="Verdana" w:hAnsi="Verdana"/>
        <w:sz w:val="16"/>
      </w:rPr>
      <w:fldChar w:fldCharType="end"/>
    </w:r>
    <w:r w:rsidRPr="00A35CED">
      <w:rPr>
        <w:rFonts w:ascii="Verdana" w:hAnsi="Verdana"/>
        <w:sz w:val="16"/>
      </w:rPr>
      <w:t>-</w:t>
    </w:r>
  </w:p>
  <w:p w:rsidR="00EB6F13" w:rsidRDefault="00EB6F13" w:rsidP="0006620E">
    <w:pPr>
      <w:pStyle w:val="Piedepgina"/>
      <w:jc w:val="center"/>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35CED" w:rsidRDefault="00A35CED">
    <w:pPr>
      <w:pStyle w:val="Piedepgina"/>
      <w:jc w:val="center"/>
    </w:pPr>
  </w:p>
  <w:p w:rsidR="00A35CED" w:rsidRDefault="00A35CED">
    <w:pPr>
      <w:pStyle w:val="Piedepgina"/>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172492" w:rsidRDefault="00172492" w:rsidP="005A1B3D">
      <w:pPr>
        <w:spacing w:after="0" w:line="240" w:lineRule="auto"/>
      </w:pPr>
      <w:r>
        <w:separator/>
      </w:r>
    </w:p>
  </w:footnote>
  <w:footnote w:type="continuationSeparator" w:id="0">
    <w:p w:rsidR="00172492" w:rsidRDefault="00172492" w:rsidP="005A1B3D">
      <w:pPr>
        <w:spacing w:after="0" w:line="240" w:lineRule="auto"/>
      </w:pPr>
      <w:r>
        <w:continuationSeparator/>
      </w:r>
    </w:p>
  </w:footnote>
  <w:footnote w:id="1">
    <w:p w:rsidR="00EB6F13" w:rsidRPr="00AE6887" w:rsidRDefault="00EB6F13" w:rsidP="006A5619">
      <w:pPr>
        <w:pStyle w:val="Textonotapie"/>
        <w:rPr>
          <w:szCs w:val="16"/>
          <w:lang w:val="es-ES_tradnl"/>
        </w:rPr>
      </w:pPr>
      <w:r w:rsidRPr="00F06CAB">
        <w:rPr>
          <w:szCs w:val="16"/>
          <w:vertAlign w:val="superscript"/>
          <w:lang w:val="es-ES_tradnl"/>
        </w:rPr>
        <w:t>*</w:t>
      </w:r>
      <w:r w:rsidRPr="00F06CAB">
        <w:rPr>
          <w:szCs w:val="16"/>
          <w:lang w:val="es-ES_tradnl"/>
        </w:rPr>
        <w:tab/>
        <w:t xml:space="preserve">El Juez Humberto A. Sierra Porto, de nacionalidad colombiana, no participó en </w:t>
      </w:r>
      <w:r w:rsidRPr="00AE6887">
        <w:rPr>
          <w:szCs w:val="16"/>
          <w:lang w:val="es-ES_tradnl"/>
        </w:rPr>
        <w:t>el conocimiento y deliberación de la presente Resolución, de conformidad con lo dispuesto en el artículo 19.1 del Reglamento de la Corte.</w:t>
      </w:r>
      <w:r w:rsidR="004335DA">
        <w:rPr>
          <w:szCs w:val="16"/>
          <w:lang w:val="es-ES_tradnl"/>
        </w:rPr>
        <w:t xml:space="preserve"> Asimismo, </w:t>
      </w:r>
      <w:r w:rsidR="0037188B">
        <w:rPr>
          <w:szCs w:val="16"/>
          <w:lang w:val="es-ES_tradnl"/>
        </w:rPr>
        <w:t>e</w:t>
      </w:r>
      <w:r w:rsidR="004335DA" w:rsidRPr="004335DA">
        <w:rPr>
          <w:szCs w:val="16"/>
          <w:lang w:val="es-ES_tradnl"/>
        </w:rPr>
        <w:t xml:space="preserve">l Juez </w:t>
      </w:r>
      <w:r w:rsidR="004335DA">
        <w:rPr>
          <w:szCs w:val="16"/>
          <w:lang w:val="es-ES_tradnl"/>
        </w:rPr>
        <w:t>Eduardo Ferrer Mac-Gregor Poiso</w:t>
      </w:r>
      <w:r w:rsidR="0037188B">
        <w:rPr>
          <w:szCs w:val="16"/>
          <w:lang w:val="es-ES_tradnl"/>
        </w:rPr>
        <w:t>t</w:t>
      </w:r>
      <w:r w:rsidR="004335DA" w:rsidRPr="004335DA">
        <w:rPr>
          <w:szCs w:val="16"/>
          <w:lang w:val="es-ES_tradnl"/>
        </w:rPr>
        <w:t xml:space="preserve"> no participó en la deliberación y firma de la presente Resolución por razones de fuerza mayor.</w:t>
      </w:r>
    </w:p>
  </w:footnote>
  <w:footnote w:id="2">
    <w:p w:rsidR="00EB6F13" w:rsidRPr="00982566" w:rsidRDefault="00EB6F13" w:rsidP="006A5619">
      <w:pPr>
        <w:pStyle w:val="Textonotapie"/>
        <w:rPr>
          <w:b/>
          <w:color w:val="000000"/>
          <w:szCs w:val="16"/>
          <w:lang w:val="es-ES_tradnl"/>
        </w:rPr>
      </w:pPr>
      <w:r w:rsidRPr="00AE6887">
        <w:rPr>
          <w:rStyle w:val="Refdenotaalpie"/>
          <w:color w:val="000000"/>
          <w:szCs w:val="16"/>
          <w:lang w:val="es-ES_tradnl"/>
        </w:rPr>
        <w:footnoteRef/>
      </w:r>
      <w:r w:rsidRPr="00AE6887">
        <w:rPr>
          <w:color w:val="000000"/>
          <w:szCs w:val="16"/>
          <w:lang w:val="es-ES_tradnl"/>
        </w:rPr>
        <w:t xml:space="preserve"> </w:t>
      </w:r>
      <w:r w:rsidRPr="00AE6887">
        <w:rPr>
          <w:color w:val="000000"/>
          <w:szCs w:val="16"/>
          <w:lang w:val="es-ES_tradnl"/>
        </w:rPr>
        <w:tab/>
      </w:r>
      <w:r w:rsidRPr="00AE6887">
        <w:rPr>
          <w:i/>
          <w:color w:val="000000"/>
          <w:szCs w:val="16"/>
          <w:lang w:val="es-ES_tradnl"/>
        </w:rPr>
        <w:t xml:space="preserve">Cfr. </w:t>
      </w:r>
      <w:r w:rsidRPr="00AE6887">
        <w:rPr>
          <w:rStyle w:val="Textoennegrita"/>
          <w:b w:val="0"/>
          <w:i/>
          <w:color w:val="000000"/>
          <w:szCs w:val="16"/>
          <w:shd w:val="clear" w:color="auto" w:fill="FFFFFF"/>
          <w:lang w:val="es-ES_tradnl"/>
        </w:rPr>
        <w:t>Caso Caballero Delgado y San</w:t>
      </w:r>
      <w:r w:rsidRPr="00982566">
        <w:rPr>
          <w:rStyle w:val="Textoennegrita"/>
          <w:b w:val="0"/>
          <w:i/>
          <w:color w:val="000000"/>
          <w:szCs w:val="16"/>
          <w:shd w:val="clear" w:color="auto" w:fill="FFFFFF"/>
          <w:lang w:val="es-ES_tradnl"/>
        </w:rPr>
        <w:t>tana Vs. Colombia. Fondo</w:t>
      </w:r>
      <w:r w:rsidRPr="00982566">
        <w:rPr>
          <w:rStyle w:val="Textoennegrita"/>
          <w:b w:val="0"/>
          <w:color w:val="000000"/>
          <w:szCs w:val="16"/>
          <w:shd w:val="clear" w:color="auto" w:fill="FFFFFF"/>
          <w:lang w:val="es-ES_tradnl"/>
        </w:rPr>
        <w:t>. Sentencia de 8 de diciembre de 1995. Serie C No. 22</w:t>
      </w:r>
      <w:r w:rsidRPr="00982566">
        <w:rPr>
          <w:rStyle w:val="Textoennegrita"/>
          <w:b w:val="0"/>
          <w:i/>
          <w:color w:val="000000"/>
          <w:szCs w:val="16"/>
          <w:lang w:val="es-ES_tradnl"/>
        </w:rPr>
        <w:t>.</w:t>
      </w:r>
      <w:r w:rsidRPr="00982566">
        <w:rPr>
          <w:color w:val="000000"/>
          <w:szCs w:val="16"/>
          <w:lang w:val="es-ES_tradnl"/>
        </w:rPr>
        <w:t xml:space="preserve"> El texto íntegro de la Sentencia se encuentra disponible en: </w:t>
      </w:r>
      <w:hyperlink r:id="rId1" w:history="1">
        <w:r w:rsidRPr="00982566">
          <w:rPr>
            <w:rStyle w:val="Hipervnculo"/>
            <w:szCs w:val="16"/>
            <w:lang w:val="es-CR"/>
          </w:rPr>
          <w:t>http://www.corteidh.or.cr/docs/casos/articulos/seriec_22_esp.pdf</w:t>
        </w:r>
      </w:hyperlink>
      <w:r w:rsidRPr="00982566">
        <w:rPr>
          <w:color w:val="000000"/>
          <w:szCs w:val="16"/>
          <w:lang w:val="es-ES_tradnl"/>
        </w:rPr>
        <w:t xml:space="preserve">. La Sentencia fue notificada al Estado el </w:t>
      </w:r>
      <w:r>
        <w:rPr>
          <w:color w:val="000000"/>
          <w:szCs w:val="16"/>
          <w:lang w:val="es-ES_tradnl"/>
        </w:rPr>
        <w:t xml:space="preserve">8 de diciembre de 1995. </w:t>
      </w:r>
    </w:p>
  </w:footnote>
  <w:footnote w:id="3">
    <w:p w:rsidR="00EB6F13" w:rsidRPr="00AE6887" w:rsidRDefault="00EB6F13" w:rsidP="007E57CB">
      <w:pPr>
        <w:pStyle w:val="Textonotapie"/>
        <w:rPr>
          <w:color w:val="000000"/>
          <w:szCs w:val="16"/>
          <w:lang w:val="es-ES_tradnl"/>
        </w:rPr>
      </w:pPr>
      <w:r w:rsidRPr="00AE6887">
        <w:rPr>
          <w:rStyle w:val="Refdenotaalpie"/>
          <w:szCs w:val="16"/>
        </w:rPr>
        <w:footnoteRef/>
      </w:r>
      <w:r w:rsidRPr="00AE6887">
        <w:rPr>
          <w:szCs w:val="16"/>
          <w:lang w:val="es-CR"/>
        </w:rPr>
        <w:t xml:space="preserve"> </w:t>
      </w:r>
      <w:r w:rsidRPr="00AE6887">
        <w:rPr>
          <w:szCs w:val="16"/>
          <w:lang w:val="es-CR"/>
        </w:rPr>
        <w:tab/>
      </w:r>
      <w:r w:rsidRPr="00AE6887">
        <w:rPr>
          <w:i/>
          <w:color w:val="000000"/>
          <w:szCs w:val="16"/>
          <w:lang w:val="es-ES_tradnl"/>
        </w:rPr>
        <w:t xml:space="preserve">Cfr. </w:t>
      </w:r>
      <w:r w:rsidRPr="00AE6887">
        <w:rPr>
          <w:rStyle w:val="Textoennegrita"/>
          <w:b w:val="0"/>
          <w:i/>
          <w:color w:val="000000"/>
          <w:szCs w:val="16"/>
          <w:shd w:val="clear" w:color="auto" w:fill="FFFFFF"/>
          <w:lang w:val="es-ES_tradnl"/>
        </w:rPr>
        <w:t>Caso Caballero Delgado y Santana Vs. Colombia. Reparaciones y Costas</w:t>
      </w:r>
      <w:r w:rsidRPr="00AE6887">
        <w:rPr>
          <w:rStyle w:val="Textoennegrita"/>
          <w:b w:val="0"/>
          <w:color w:val="000000"/>
          <w:szCs w:val="16"/>
          <w:shd w:val="clear" w:color="auto" w:fill="FFFFFF"/>
          <w:lang w:val="es-ES_tradnl"/>
        </w:rPr>
        <w:t>. Sentencia de 29 de enero de 1997. Serie C No. 31</w:t>
      </w:r>
      <w:r w:rsidRPr="00982566">
        <w:rPr>
          <w:rStyle w:val="Textoennegrita"/>
          <w:b w:val="0"/>
          <w:i/>
          <w:color w:val="000000"/>
          <w:szCs w:val="16"/>
          <w:lang w:val="es-ES_tradnl"/>
        </w:rPr>
        <w:t>.</w:t>
      </w:r>
      <w:r w:rsidRPr="00982566">
        <w:rPr>
          <w:color w:val="000000"/>
          <w:szCs w:val="16"/>
          <w:lang w:val="es-ES_tradnl"/>
        </w:rPr>
        <w:t xml:space="preserve"> El texto íntegro de la Sentencia se encuentra disponible en: </w:t>
      </w:r>
      <w:hyperlink r:id="rId2" w:history="1">
        <w:r w:rsidRPr="00982566">
          <w:rPr>
            <w:rStyle w:val="Hipervnculo"/>
            <w:szCs w:val="16"/>
            <w:lang w:val="es-CR"/>
          </w:rPr>
          <w:t>http://www.corteidh.or.cr/docs/casos/articulos/seriec_31_esp.pdf</w:t>
        </w:r>
      </w:hyperlink>
      <w:r w:rsidRPr="00982566">
        <w:rPr>
          <w:color w:val="000000"/>
          <w:szCs w:val="16"/>
          <w:lang w:val="es-ES_tradnl"/>
        </w:rPr>
        <w:t xml:space="preserve">. La Sentencia fue notificada al Estado el </w:t>
      </w:r>
      <w:r>
        <w:rPr>
          <w:color w:val="000000"/>
          <w:szCs w:val="16"/>
          <w:lang w:val="es-ES_tradnl"/>
        </w:rPr>
        <w:t xml:space="preserve">31 de enero de 1997. </w:t>
      </w:r>
    </w:p>
  </w:footnote>
  <w:footnote w:id="4">
    <w:p w:rsidR="00EB6F13" w:rsidRPr="00FB6AC6" w:rsidRDefault="00EB6F13">
      <w:pPr>
        <w:pStyle w:val="Textonotapie"/>
        <w:rPr>
          <w:szCs w:val="16"/>
          <w:lang w:val="es-CR"/>
        </w:rPr>
      </w:pPr>
      <w:r w:rsidRPr="00982566">
        <w:rPr>
          <w:rStyle w:val="Refdenotaalpie"/>
          <w:szCs w:val="16"/>
        </w:rPr>
        <w:footnoteRef/>
      </w:r>
      <w:r w:rsidRPr="00982566">
        <w:rPr>
          <w:szCs w:val="16"/>
          <w:lang w:val="es-CR"/>
        </w:rPr>
        <w:t xml:space="preserve"> </w:t>
      </w:r>
      <w:r w:rsidRPr="00982566">
        <w:rPr>
          <w:szCs w:val="16"/>
          <w:lang w:val="es-CR"/>
        </w:rPr>
        <w:tab/>
        <w:t xml:space="preserve">Dichas Resoluciones se encuentran disponibles en el siguiente enlace: </w:t>
      </w:r>
      <w:hyperlink r:id="rId3" w:history="1">
        <w:r w:rsidRPr="00982566">
          <w:rPr>
            <w:rStyle w:val="Hipervnculo"/>
            <w:szCs w:val="16"/>
            <w:lang w:val="es-CR"/>
          </w:rPr>
          <w:t>http://corteidh.or.cr/cf/Jurisprudencia2/busqueda_supervision_cumplimiento.cfm?lang=es</w:t>
        </w:r>
      </w:hyperlink>
      <w:r w:rsidR="00FB6AC6" w:rsidRPr="00FB6AC6">
        <w:rPr>
          <w:szCs w:val="16"/>
          <w:lang w:val="es-CR"/>
        </w:rPr>
        <w:t>.</w:t>
      </w:r>
    </w:p>
  </w:footnote>
  <w:footnote w:id="5">
    <w:p w:rsidR="00EB6F13" w:rsidRPr="00982566" w:rsidRDefault="00EB6F13" w:rsidP="006A5619">
      <w:pPr>
        <w:pStyle w:val="Textonotapie"/>
        <w:rPr>
          <w:szCs w:val="16"/>
          <w:lang w:val="es-ES_tradnl"/>
        </w:rPr>
      </w:pPr>
      <w:r w:rsidRPr="00982566">
        <w:rPr>
          <w:rStyle w:val="Refdenotaalpie"/>
          <w:szCs w:val="16"/>
          <w:lang w:val="es-ES_tradnl"/>
        </w:rPr>
        <w:footnoteRef/>
      </w:r>
      <w:r w:rsidRPr="00982566">
        <w:rPr>
          <w:szCs w:val="16"/>
          <w:lang w:val="es-ES_tradnl"/>
        </w:rPr>
        <w:t xml:space="preserve"> </w:t>
      </w:r>
      <w:r w:rsidRPr="00982566">
        <w:rPr>
          <w:szCs w:val="16"/>
          <w:lang w:val="es-ES_tradnl"/>
        </w:rPr>
        <w:tab/>
      </w:r>
      <w:r w:rsidRPr="00982566">
        <w:rPr>
          <w:rStyle w:val="Textoennegrita"/>
          <w:b w:val="0"/>
          <w:color w:val="000000"/>
          <w:szCs w:val="16"/>
          <w:shd w:val="clear" w:color="auto" w:fill="FFFFFF"/>
          <w:lang w:val="es-ES_tradnl"/>
        </w:rPr>
        <w:t>Las víctimas del presente caso son representadas por la Comisión Colombiana de Juristas.</w:t>
      </w:r>
    </w:p>
  </w:footnote>
  <w:footnote w:id="6">
    <w:p w:rsidR="00FB6AC6" w:rsidRPr="00FB6AC6" w:rsidRDefault="00FB6AC6" w:rsidP="00FB6AC6">
      <w:pPr>
        <w:pStyle w:val="Textonotapie"/>
        <w:rPr>
          <w:szCs w:val="16"/>
          <w:lang w:val="es-CR"/>
        </w:rPr>
      </w:pPr>
      <w:r w:rsidRPr="00E40021">
        <w:rPr>
          <w:rStyle w:val="Refdenotaalpie"/>
          <w:szCs w:val="16"/>
        </w:rPr>
        <w:footnoteRef/>
      </w:r>
      <w:r w:rsidRPr="00FB6AC6">
        <w:rPr>
          <w:szCs w:val="16"/>
          <w:lang w:val="es-CR"/>
        </w:rPr>
        <w:t xml:space="preserve"> </w:t>
      </w:r>
      <w:r w:rsidRPr="00FB6AC6">
        <w:rPr>
          <w:szCs w:val="16"/>
          <w:lang w:val="es-CR"/>
        </w:rPr>
        <w:tab/>
        <w:t xml:space="preserve">Este informe se titula </w:t>
      </w:r>
      <w:r w:rsidRPr="00FB6AC6">
        <w:rPr>
          <w:i/>
          <w:szCs w:val="16"/>
          <w:lang w:val="es-CR"/>
        </w:rPr>
        <w:t>“Ampliando el horizonte de justicia para las víctimas. Informe del Estado de cumplimiento de las sentencias de la Corte Interamericana de Derechos Humanos contra Colombia</w:t>
      </w:r>
      <w:r w:rsidRPr="00FB6AC6">
        <w:rPr>
          <w:szCs w:val="16"/>
          <w:lang w:val="es-CR"/>
        </w:rPr>
        <w:t>”, y fue presentado por el Defensor del Pueblo al Pleno de la Corte IDH durante su 61 Período Extraordinario de Sesiones. El 10 de junio de 2019 fue transmitido a los Agentes del Estado, a los representantes de las víctimas y a la Comisión Interamericana para que presentaran observaciones.</w:t>
      </w:r>
    </w:p>
  </w:footnote>
  <w:footnote w:id="7">
    <w:p w:rsidR="00EB6F13" w:rsidRPr="00982566" w:rsidRDefault="00EB6F13" w:rsidP="006A5619">
      <w:pPr>
        <w:pStyle w:val="Textonotapie"/>
        <w:rPr>
          <w:szCs w:val="16"/>
          <w:lang w:val="es-ES_tradnl"/>
        </w:rPr>
      </w:pPr>
      <w:r w:rsidRPr="00982566">
        <w:rPr>
          <w:rStyle w:val="Refdenotaalpie"/>
          <w:szCs w:val="16"/>
          <w:lang w:val="es-ES_tradnl"/>
        </w:rPr>
        <w:footnoteRef/>
      </w:r>
      <w:r w:rsidRPr="00982566">
        <w:rPr>
          <w:szCs w:val="16"/>
          <w:lang w:val="es-ES_tradnl"/>
        </w:rPr>
        <w:t xml:space="preserve"> </w:t>
      </w:r>
      <w:r w:rsidRPr="00982566">
        <w:rPr>
          <w:szCs w:val="16"/>
          <w:lang w:val="es-ES_tradnl"/>
        </w:rPr>
        <w:tab/>
        <w:t>Facultad que además se desprende de lo dispuesto en los artículos 33, 62.1, 62.3 y 65 de la Convención Americana y 30 de su Estatuto y se encuentra regulada en el artículo 69 de su Reglamento.</w:t>
      </w:r>
    </w:p>
  </w:footnote>
  <w:footnote w:id="8">
    <w:p w:rsidR="00EB6F13" w:rsidRPr="00AE6887" w:rsidRDefault="00EB6F13">
      <w:pPr>
        <w:pStyle w:val="Textonotapie"/>
        <w:rPr>
          <w:szCs w:val="16"/>
          <w:lang w:val="es-CR"/>
        </w:rPr>
      </w:pPr>
      <w:r w:rsidRPr="00982566">
        <w:rPr>
          <w:rStyle w:val="Refdenotaalpie"/>
          <w:szCs w:val="16"/>
        </w:rPr>
        <w:footnoteRef/>
      </w:r>
      <w:r w:rsidRPr="00982566">
        <w:rPr>
          <w:szCs w:val="16"/>
          <w:lang w:val="es-CR"/>
        </w:rPr>
        <w:t xml:space="preserve"> </w:t>
      </w:r>
      <w:r w:rsidRPr="00982566">
        <w:rPr>
          <w:szCs w:val="16"/>
          <w:lang w:val="es-CR"/>
        </w:rPr>
        <w:tab/>
      </w:r>
      <w:r>
        <w:rPr>
          <w:szCs w:val="16"/>
          <w:lang w:val="es-CR"/>
        </w:rPr>
        <w:t>Al respecto, ver las Resoluciones de supervisión de cumplimiento emitidas por el Tribunal el 27 de noviembre de 2003 (</w:t>
      </w:r>
      <w:r>
        <w:rPr>
          <w:i/>
          <w:szCs w:val="16"/>
          <w:lang w:val="es-CR"/>
        </w:rPr>
        <w:t xml:space="preserve">infra </w:t>
      </w:r>
      <w:r>
        <w:rPr>
          <w:szCs w:val="16"/>
          <w:lang w:val="es-CR"/>
        </w:rPr>
        <w:t xml:space="preserve">nota </w:t>
      </w:r>
      <w:r w:rsidR="00C27C6F">
        <w:rPr>
          <w:szCs w:val="16"/>
          <w:lang w:val="es-CR"/>
        </w:rPr>
        <w:t>12</w:t>
      </w:r>
      <w:r>
        <w:rPr>
          <w:szCs w:val="16"/>
          <w:lang w:val="es-CR"/>
        </w:rPr>
        <w:t>), 6 de febrero de 2008 (</w:t>
      </w:r>
      <w:r>
        <w:rPr>
          <w:i/>
          <w:szCs w:val="16"/>
          <w:lang w:val="es-CR"/>
        </w:rPr>
        <w:t xml:space="preserve">infra </w:t>
      </w:r>
      <w:r>
        <w:rPr>
          <w:szCs w:val="16"/>
          <w:lang w:val="es-CR"/>
        </w:rPr>
        <w:t xml:space="preserve">nota </w:t>
      </w:r>
      <w:r w:rsidR="00C27C6F">
        <w:rPr>
          <w:szCs w:val="16"/>
          <w:lang w:val="es-CR"/>
        </w:rPr>
        <w:t>14</w:t>
      </w:r>
      <w:r>
        <w:rPr>
          <w:szCs w:val="16"/>
          <w:lang w:val="es-CR"/>
        </w:rPr>
        <w:t>) y 17 de noviembre de 2009 (</w:t>
      </w:r>
      <w:r>
        <w:rPr>
          <w:i/>
          <w:szCs w:val="16"/>
          <w:lang w:val="es-CR"/>
        </w:rPr>
        <w:t xml:space="preserve">infra </w:t>
      </w:r>
      <w:r>
        <w:rPr>
          <w:szCs w:val="16"/>
          <w:lang w:val="es-CR"/>
        </w:rPr>
        <w:t xml:space="preserve">nota </w:t>
      </w:r>
      <w:r w:rsidR="00C27C6F">
        <w:rPr>
          <w:szCs w:val="16"/>
          <w:lang w:val="es-CR"/>
        </w:rPr>
        <w:t>1</w:t>
      </w:r>
      <w:r w:rsidR="00EF007C">
        <w:rPr>
          <w:szCs w:val="16"/>
          <w:lang w:val="es-CR"/>
        </w:rPr>
        <w:t>5</w:t>
      </w:r>
      <w:r>
        <w:rPr>
          <w:szCs w:val="16"/>
          <w:lang w:val="es-CR"/>
        </w:rPr>
        <w:t>).</w:t>
      </w:r>
    </w:p>
  </w:footnote>
  <w:footnote w:id="9">
    <w:p w:rsidR="00EB6F13" w:rsidRPr="00982566" w:rsidRDefault="00EB6F13" w:rsidP="006A5619">
      <w:pPr>
        <w:pStyle w:val="Textonotapie"/>
        <w:rPr>
          <w:b/>
          <w:color w:val="000000"/>
          <w:szCs w:val="16"/>
          <w:lang w:val="es-ES_tradnl"/>
        </w:rPr>
      </w:pPr>
      <w:r w:rsidRPr="00AE6887">
        <w:rPr>
          <w:rStyle w:val="Refdenotaalpie"/>
          <w:szCs w:val="16"/>
          <w:lang w:val="es-ES_tradnl"/>
        </w:rPr>
        <w:footnoteRef/>
      </w:r>
      <w:r w:rsidRPr="00AE6887">
        <w:rPr>
          <w:i/>
          <w:color w:val="000000"/>
          <w:szCs w:val="16"/>
          <w:lang w:val="es-ES_tradnl"/>
        </w:rPr>
        <w:t xml:space="preserve"> </w:t>
      </w:r>
      <w:r w:rsidRPr="00AE6887">
        <w:rPr>
          <w:i/>
          <w:color w:val="000000"/>
          <w:szCs w:val="16"/>
          <w:lang w:val="es-ES_tradnl"/>
        </w:rPr>
        <w:tab/>
      </w:r>
      <w:r w:rsidRPr="00AE6887">
        <w:rPr>
          <w:i/>
          <w:szCs w:val="16"/>
          <w:lang w:val="es-ES_tradnl"/>
        </w:rPr>
        <w:t>Cfr. Caso Cinco Pensionistas Vs. Perú. Supervisión de cumplimiento de Sentencia</w:t>
      </w:r>
      <w:r w:rsidRPr="00AE6887">
        <w:rPr>
          <w:szCs w:val="16"/>
          <w:lang w:val="es-ES_tradnl"/>
        </w:rPr>
        <w:t xml:space="preserve">. Resolución de la Corte </w:t>
      </w:r>
      <w:r w:rsidR="00EF007C">
        <w:rPr>
          <w:szCs w:val="16"/>
          <w:lang w:val="es-ES_tradnl"/>
        </w:rPr>
        <w:t xml:space="preserve">Interamericana de Derechos Humanos </w:t>
      </w:r>
      <w:r w:rsidRPr="00AE6887">
        <w:rPr>
          <w:szCs w:val="16"/>
          <w:lang w:val="es-ES_tradnl"/>
        </w:rPr>
        <w:t xml:space="preserve">de 17 de noviembre de 2004, Considerando 5, y </w:t>
      </w:r>
      <w:r w:rsidRPr="00982566">
        <w:rPr>
          <w:rStyle w:val="Textoennegrita"/>
          <w:b w:val="0"/>
          <w:i/>
          <w:color w:val="000000"/>
          <w:szCs w:val="16"/>
          <w:shd w:val="clear" w:color="auto" w:fill="FFFFFF"/>
          <w:lang w:val="es-ES_tradnl"/>
        </w:rPr>
        <w:t xml:space="preserve">Caso </w:t>
      </w:r>
      <w:r w:rsidR="00C27C6F">
        <w:rPr>
          <w:rStyle w:val="Textoennegrita"/>
          <w:b w:val="0"/>
          <w:i/>
          <w:color w:val="000000"/>
          <w:szCs w:val="16"/>
          <w:shd w:val="clear" w:color="auto" w:fill="FFFFFF"/>
          <w:lang w:val="es-ES_tradnl"/>
        </w:rPr>
        <w:t>Carvajal Carvajal</w:t>
      </w:r>
      <w:r w:rsidRPr="00982566">
        <w:rPr>
          <w:rStyle w:val="Textoennegrita"/>
          <w:b w:val="0"/>
          <w:i/>
          <w:color w:val="000000"/>
          <w:szCs w:val="16"/>
          <w:shd w:val="clear" w:color="auto" w:fill="FFFFFF"/>
          <w:lang w:val="es-ES_tradnl"/>
        </w:rPr>
        <w:t xml:space="preserve"> Vs. </w:t>
      </w:r>
      <w:r w:rsidR="00C27C6F">
        <w:rPr>
          <w:rStyle w:val="Textoennegrita"/>
          <w:b w:val="0"/>
          <w:i/>
          <w:color w:val="000000"/>
          <w:szCs w:val="16"/>
          <w:shd w:val="clear" w:color="auto" w:fill="FFFFFF"/>
          <w:lang w:val="es-ES_tradnl"/>
        </w:rPr>
        <w:t>Colombia</w:t>
      </w:r>
      <w:r w:rsidRPr="00982566">
        <w:rPr>
          <w:rStyle w:val="Textoennegrita"/>
          <w:b w:val="0"/>
          <w:i/>
          <w:color w:val="000000"/>
          <w:szCs w:val="16"/>
          <w:shd w:val="clear" w:color="auto" w:fill="FFFFFF"/>
          <w:lang w:val="es-ES_tradnl"/>
        </w:rPr>
        <w:t>. Supervisión de Cumplimiento de Sentencia.</w:t>
      </w:r>
      <w:r w:rsidRPr="00982566">
        <w:rPr>
          <w:rStyle w:val="Textoennegrita"/>
          <w:b w:val="0"/>
          <w:color w:val="000000"/>
          <w:szCs w:val="16"/>
          <w:shd w:val="clear" w:color="auto" w:fill="FFFFFF"/>
          <w:lang w:val="es-ES_tradnl"/>
        </w:rPr>
        <w:t xml:space="preserve"> Resolución de la Corte Interamericana de Derechos Humanos de </w:t>
      </w:r>
      <w:r w:rsidR="00C27C6F">
        <w:rPr>
          <w:rStyle w:val="Textoennegrita"/>
          <w:b w:val="0"/>
          <w:color w:val="000000"/>
          <w:szCs w:val="16"/>
          <w:shd w:val="clear" w:color="auto" w:fill="FFFFFF"/>
          <w:lang w:val="es-ES_tradnl"/>
        </w:rPr>
        <w:t>7 de octubre</w:t>
      </w:r>
      <w:r w:rsidRPr="00982566">
        <w:rPr>
          <w:rStyle w:val="Textoennegrita"/>
          <w:b w:val="0"/>
          <w:color w:val="000000"/>
          <w:szCs w:val="16"/>
          <w:shd w:val="clear" w:color="auto" w:fill="FFFFFF"/>
          <w:lang w:val="es-ES_tradnl"/>
        </w:rPr>
        <w:t xml:space="preserve"> de 2019</w:t>
      </w:r>
      <w:r w:rsidRPr="00982566">
        <w:rPr>
          <w:szCs w:val="16"/>
          <w:lang w:val="es-ES_tradnl"/>
        </w:rPr>
        <w:t>, Considerando 2.</w:t>
      </w:r>
      <w:r w:rsidRPr="00982566">
        <w:rPr>
          <w:rStyle w:val="Textoennegrita"/>
          <w:b w:val="0"/>
          <w:color w:val="000000"/>
          <w:szCs w:val="16"/>
          <w:shd w:val="clear" w:color="auto" w:fill="FFFFFF"/>
          <w:lang w:val="es-ES_tradnl"/>
        </w:rPr>
        <w:t xml:space="preserve"> </w:t>
      </w:r>
    </w:p>
  </w:footnote>
  <w:footnote w:id="10">
    <w:p w:rsidR="00EB6F13" w:rsidRPr="00982566" w:rsidRDefault="00EB6F13" w:rsidP="006A5619">
      <w:pPr>
        <w:pStyle w:val="Textonotapie"/>
        <w:rPr>
          <w:b/>
          <w:color w:val="000000"/>
          <w:szCs w:val="16"/>
          <w:lang w:val="es-ES_tradnl"/>
        </w:rPr>
      </w:pPr>
      <w:r w:rsidRPr="00982566">
        <w:rPr>
          <w:rStyle w:val="Refdenotaalpie"/>
          <w:szCs w:val="16"/>
          <w:lang w:val="es-ES_tradnl"/>
        </w:rPr>
        <w:footnoteRef/>
      </w:r>
      <w:r w:rsidRPr="00982566">
        <w:rPr>
          <w:szCs w:val="16"/>
          <w:lang w:val="es-ES_tradnl"/>
        </w:rPr>
        <w:t xml:space="preserve"> </w:t>
      </w:r>
      <w:r w:rsidRPr="00982566">
        <w:rPr>
          <w:szCs w:val="16"/>
          <w:lang w:val="es-ES_tradnl"/>
        </w:rPr>
        <w:tab/>
      </w:r>
      <w:r w:rsidRPr="00982566">
        <w:rPr>
          <w:i/>
          <w:szCs w:val="16"/>
          <w:lang w:val="es-ES_tradnl"/>
        </w:rPr>
        <w:t>Cfr. Caso Ivcher Bronstein Vs. Perú. Competencia</w:t>
      </w:r>
      <w:r w:rsidRPr="00982566">
        <w:rPr>
          <w:szCs w:val="16"/>
          <w:lang w:val="es-ES_tradnl"/>
        </w:rPr>
        <w:t xml:space="preserve">. Sentencia de la Corte Interamericana de Derechos Humanos de 24 de septiembre de 1999. Serie C No. 54, párr. 37, y </w:t>
      </w:r>
      <w:r w:rsidR="00C27C6F" w:rsidRPr="00982566">
        <w:rPr>
          <w:rStyle w:val="Textoennegrita"/>
          <w:b w:val="0"/>
          <w:i/>
          <w:color w:val="000000"/>
          <w:szCs w:val="16"/>
          <w:shd w:val="clear" w:color="auto" w:fill="FFFFFF"/>
          <w:lang w:val="es-ES_tradnl"/>
        </w:rPr>
        <w:t xml:space="preserve">Caso </w:t>
      </w:r>
      <w:r w:rsidR="00C27C6F">
        <w:rPr>
          <w:rStyle w:val="Textoennegrita"/>
          <w:b w:val="0"/>
          <w:i/>
          <w:color w:val="000000"/>
          <w:szCs w:val="16"/>
          <w:shd w:val="clear" w:color="auto" w:fill="FFFFFF"/>
          <w:lang w:val="es-ES_tradnl"/>
        </w:rPr>
        <w:t>Carvajal Carvajal</w:t>
      </w:r>
      <w:r w:rsidR="00C27C6F" w:rsidRPr="00982566">
        <w:rPr>
          <w:rStyle w:val="Textoennegrita"/>
          <w:b w:val="0"/>
          <w:i/>
          <w:color w:val="000000"/>
          <w:szCs w:val="16"/>
          <w:shd w:val="clear" w:color="auto" w:fill="FFFFFF"/>
          <w:lang w:val="es-ES_tradnl"/>
        </w:rPr>
        <w:t xml:space="preserve"> Vs. </w:t>
      </w:r>
      <w:r w:rsidR="00C27C6F">
        <w:rPr>
          <w:rStyle w:val="Textoennegrita"/>
          <w:b w:val="0"/>
          <w:i/>
          <w:color w:val="000000"/>
          <w:szCs w:val="16"/>
          <w:shd w:val="clear" w:color="auto" w:fill="FFFFFF"/>
          <w:lang w:val="es-ES_tradnl"/>
        </w:rPr>
        <w:t>Colombia</w:t>
      </w:r>
      <w:r w:rsidRPr="00982566">
        <w:rPr>
          <w:rStyle w:val="Textoennegrita"/>
          <w:b w:val="0"/>
          <w:i/>
          <w:color w:val="000000"/>
          <w:szCs w:val="16"/>
          <w:shd w:val="clear" w:color="auto" w:fill="FFFFFF"/>
          <w:lang w:val="es-ES_tradnl"/>
        </w:rPr>
        <w:t xml:space="preserve">, supra </w:t>
      </w:r>
      <w:r w:rsidRPr="00982566">
        <w:rPr>
          <w:rStyle w:val="Textoennegrita"/>
          <w:b w:val="0"/>
          <w:color w:val="000000"/>
          <w:szCs w:val="16"/>
          <w:shd w:val="clear" w:color="auto" w:fill="FFFFFF"/>
          <w:lang w:val="es-ES_tradnl"/>
        </w:rPr>
        <w:t xml:space="preserve">nota </w:t>
      </w:r>
      <w:r w:rsidR="00C27C6F">
        <w:rPr>
          <w:rStyle w:val="Textoennegrita"/>
          <w:b w:val="0"/>
          <w:color w:val="000000"/>
          <w:szCs w:val="16"/>
          <w:shd w:val="clear" w:color="auto" w:fill="FFFFFF"/>
          <w:lang w:val="es-ES_tradnl"/>
        </w:rPr>
        <w:t>8</w:t>
      </w:r>
      <w:r w:rsidRPr="00982566">
        <w:rPr>
          <w:szCs w:val="16"/>
          <w:lang w:val="es-ES_tradnl"/>
        </w:rPr>
        <w:t>, Considerando 2.</w:t>
      </w:r>
    </w:p>
  </w:footnote>
  <w:footnote w:id="11">
    <w:p w:rsidR="000E5E8D" w:rsidRPr="000E5E8D" w:rsidRDefault="000E5E8D" w:rsidP="000E5E8D">
      <w:pPr>
        <w:pStyle w:val="Textonotapie"/>
        <w:rPr>
          <w:lang w:val="es-CR"/>
        </w:rPr>
      </w:pPr>
      <w:r>
        <w:rPr>
          <w:rStyle w:val="Refdenotaalpie"/>
        </w:rPr>
        <w:footnoteRef/>
      </w:r>
      <w:r w:rsidRPr="000E5E8D">
        <w:rPr>
          <w:lang w:val="es-CR"/>
        </w:rPr>
        <w:t xml:space="preserve"> </w:t>
      </w:r>
      <w:r>
        <w:rPr>
          <w:lang w:val="es-CR"/>
        </w:rPr>
        <w:tab/>
      </w:r>
      <w:r w:rsidR="0079495E" w:rsidRPr="0079495E">
        <w:rPr>
          <w:lang w:val="es-CR"/>
        </w:rPr>
        <w:t>El artículo 69.2 dispone que “[l]a Corte podrá requerir a otras fuentes de información datos relevantes sobre el caso, que permitan apreciar el cumplimiento”.</w:t>
      </w:r>
    </w:p>
  </w:footnote>
  <w:footnote w:id="12">
    <w:p w:rsidR="00EB6F13" w:rsidRPr="000B162B" w:rsidRDefault="00EB6F13" w:rsidP="00D67FF7">
      <w:pPr>
        <w:pStyle w:val="Textonotapie"/>
        <w:rPr>
          <w:szCs w:val="16"/>
          <w:lang w:val="es-ES_tradnl"/>
        </w:rPr>
      </w:pPr>
      <w:r w:rsidRPr="007D2268">
        <w:rPr>
          <w:rStyle w:val="Refdenotaalpie"/>
          <w:szCs w:val="16"/>
        </w:rPr>
        <w:footnoteRef/>
      </w:r>
      <w:r w:rsidRPr="007D2268">
        <w:rPr>
          <w:szCs w:val="16"/>
          <w:lang w:val="es-CR"/>
        </w:rPr>
        <w:t xml:space="preserve"> </w:t>
      </w:r>
      <w:r w:rsidRPr="007D2268">
        <w:rPr>
          <w:szCs w:val="16"/>
          <w:lang w:val="es-ES_tradnl"/>
        </w:rPr>
        <w:tab/>
      </w:r>
      <w:r w:rsidR="00ED2331">
        <w:rPr>
          <w:szCs w:val="16"/>
          <w:lang w:val="es-ES_tradnl"/>
        </w:rPr>
        <w:t>En similar sentido ver:</w:t>
      </w:r>
      <w:r w:rsidRPr="007D2268">
        <w:rPr>
          <w:i/>
          <w:szCs w:val="16"/>
          <w:lang w:val="es-ES_tradnl"/>
        </w:rPr>
        <w:t xml:space="preserve"> Caso Artavia Murillo y otros (“Fecundación In Vitro”) Vs. Costa Rica. Supervisión de Cumplimiento de Sentencia.</w:t>
      </w:r>
      <w:r w:rsidRPr="007D2268">
        <w:rPr>
          <w:szCs w:val="16"/>
          <w:lang w:val="es-ES_tradnl"/>
        </w:rPr>
        <w:t xml:space="preserve"> Resolución de la Corte Interamericana de Derechos Humanos de 26 de febrero de 2016, Considerando 2; </w:t>
      </w:r>
      <w:r w:rsidRPr="007D2268">
        <w:rPr>
          <w:i/>
          <w:szCs w:val="16"/>
          <w:lang w:val="es-ES_tradnl"/>
        </w:rPr>
        <w:t xml:space="preserve">Caso </w:t>
      </w:r>
      <w:r w:rsidR="00E70FDD">
        <w:rPr>
          <w:i/>
          <w:szCs w:val="16"/>
          <w:lang w:val="es-ES_tradnl"/>
        </w:rPr>
        <w:t xml:space="preserve">del </w:t>
      </w:r>
      <w:r w:rsidRPr="007D2268">
        <w:rPr>
          <w:i/>
          <w:szCs w:val="16"/>
          <w:lang w:val="es-ES_tradnl"/>
        </w:rPr>
        <w:t xml:space="preserve">Penal Miguel Castro Castro Vs. Perú. Supervisión de Cumplimiento de Sentencia. </w:t>
      </w:r>
      <w:r w:rsidRPr="007D2268">
        <w:rPr>
          <w:szCs w:val="16"/>
          <w:lang w:val="es-ES_tradnl"/>
        </w:rPr>
        <w:t xml:space="preserve">Resolución de la Corte Interamericana de Derechos Humanos de 9 de febrero de 2017, Considerando 3; y </w:t>
      </w:r>
      <w:r>
        <w:rPr>
          <w:i/>
          <w:szCs w:val="16"/>
          <w:lang w:val="es-ES_tradnl"/>
        </w:rPr>
        <w:t xml:space="preserve">Caso Masacres de El Mozote y lugares aledaños Vs. El Salvador. Supervisión de Cumplimiento de Sentencia. </w:t>
      </w:r>
      <w:r>
        <w:rPr>
          <w:szCs w:val="16"/>
          <w:lang w:val="es-ES_tradnl"/>
        </w:rPr>
        <w:t>Resolución de la Corte Interamericana de Derechos Humanos de 28 de noviembre de 2018, Considerando 4.</w:t>
      </w:r>
    </w:p>
  </w:footnote>
  <w:footnote w:id="13">
    <w:p w:rsidR="00EB6F13" w:rsidRPr="00982566" w:rsidRDefault="00EB6F13">
      <w:pPr>
        <w:pStyle w:val="Textonotapie"/>
        <w:rPr>
          <w:szCs w:val="16"/>
          <w:lang w:val="es-CR"/>
        </w:rPr>
      </w:pPr>
      <w:r w:rsidRPr="00AE6887">
        <w:rPr>
          <w:rStyle w:val="Refdenotaalpie"/>
          <w:szCs w:val="16"/>
        </w:rPr>
        <w:footnoteRef/>
      </w:r>
      <w:r w:rsidRPr="00AE6887">
        <w:rPr>
          <w:szCs w:val="16"/>
          <w:lang w:val="es-CR"/>
        </w:rPr>
        <w:t xml:space="preserve"> </w:t>
      </w:r>
      <w:r w:rsidRPr="00AE6887">
        <w:rPr>
          <w:szCs w:val="16"/>
          <w:lang w:val="es-CR"/>
        </w:rPr>
        <w:tab/>
      </w:r>
      <w:r w:rsidRPr="00AE6887">
        <w:rPr>
          <w:i/>
          <w:szCs w:val="16"/>
          <w:lang w:val="es-CR"/>
        </w:rPr>
        <w:t>Cfr. Caso Caballero Delgado y Santana Vs. Colombia. Supervisión de Cumplimiento de Sentencia</w:t>
      </w:r>
      <w:r w:rsidRPr="00AE6887">
        <w:rPr>
          <w:szCs w:val="16"/>
          <w:lang w:val="es-CR"/>
        </w:rPr>
        <w:t>. Resolución de la Corte Interamericana de Derechos Humanos de 27 de noviembre de 2002, Considerando 8.</w:t>
      </w:r>
    </w:p>
  </w:footnote>
  <w:footnote w:id="14">
    <w:p w:rsidR="00EB6F13" w:rsidRPr="00982566" w:rsidRDefault="00EB6F13">
      <w:pPr>
        <w:pStyle w:val="Textonotapie"/>
        <w:rPr>
          <w:i/>
          <w:szCs w:val="16"/>
          <w:lang w:val="es-CR"/>
        </w:rPr>
      </w:pPr>
      <w:r w:rsidRPr="00982566">
        <w:rPr>
          <w:rStyle w:val="Refdenotaalpie"/>
          <w:szCs w:val="16"/>
        </w:rPr>
        <w:footnoteRef/>
      </w:r>
      <w:r w:rsidRPr="00982566">
        <w:rPr>
          <w:szCs w:val="16"/>
          <w:lang w:val="es-CR"/>
        </w:rPr>
        <w:t xml:space="preserve"> </w:t>
      </w:r>
      <w:r w:rsidRPr="00982566">
        <w:rPr>
          <w:szCs w:val="16"/>
          <w:lang w:val="es-CR"/>
        </w:rPr>
        <w:tab/>
      </w:r>
      <w:r w:rsidRPr="00982566">
        <w:rPr>
          <w:i/>
          <w:szCs w:val="16"/>
          <w:lang w:val="es-CR"/>
        </w:rPr>
        <w:t>Cfr. Caso Caballero Delgado y Santana Vs. Colombia. Supervisión de Cumplimiento de Sentencia</w:t>
      </w:r>
      <w:r w:rsidRPr="00982566">
        <w:rPr>
          <w:szCs w:val="16"/>
          <w:lang w:val="es-CR"/>
        </w:rPr>
        <w:t>. Resolución de la Corte Interamericana de Derechos Humanos de 27 de noviembre de 2003, Considerandos 7 a 12.</w:t>
      </w:r>
    </w:p>
  </w:footnote>
  <w:footnote w:id="15">
    <w:p w:rsidR="00EB6F13" w:rsidRPr="00982566" w:rsidRDefault="00EB6F13">
      <w:pPr>
        <w:pStyle w:val="Textonotapie"/>
        <w:rPr>
          <w:szCs w:val="16"/>
          <w:lang w:val="es-CR"/>
        </w:rPr>
      </w:pPr>
      <w:r w:rsidRPr="00982566">
        <w:rPr>
          <w:rStyle w:val="Refdenotaalpie"/>
          <w:szCs w:val="16"/>
        </w:rPr>
        <w:footnoteRef/>
      </w:r>
      <w:r w:rsidRPr="00982566">
        <w:rPr>
          <w:szCs w:val="16"/>
          <w:lang w:val="es-CR"/>
        </w:rPr>
        <w:t xml:space="preserve"> </w:t>
      </w:r>
      <w:r w:rsidRPr="00982566">
        <w:rPr>
          <w:szCs w:val="16"/>
          <w:lang w:val="es-CR"/>
        </w:rPr>
        <w:tab/>
        <w:t>En este sentido, indicó que el Estado “no puede interponer ninguna institución de derecho interno, como lo es la figura de la preclusión de la investigación penal, mediante la cual se impida la consecución de la justicia e impida el cumplimiento de las decisiones del Tribunal en cuanto a la investigación y sanción de los responsables de las violaciones graves de los derechos humanos, en los términos de las obligaciones convencionales contraídas por los Estados”.</w:t>
      </w:r>
    </w:p>
  </w:footnote>
  <w:footnote w:id="16">
    <w:p w:rsidR="00EB6F13" w:rsidRPr="00982566" w:rsidRDefault="00EB6F13">
      <w:pPr>
        <w:pStyle w:val="Textonotapie"/>
        <w:rPr>
          <w:szCs w:val="16"/>
          <w:lang w:val="es-CR"/>
        </w:rPr>
      </w:pPr>
      <w:r w:rsidRPr="00982566">
        <w:rPr>
          <w:rStyle w:val="Refdenotaalpie"/>
          <w:szCs w:val="16"/>
        </w:rPr>
        <w:footnoteRef/>
      </w:r>
      <w:r w:rsidRPr="00982566">
        <w:rPr>
          <w:szCs w:val="16"/>
          <w:lang w:val="es-CR"/>
        </w:rPr>
        <w:t xml:space="preserve"> </w:t>
      </w:r>
      <w:r w:rsidRPr="00982566">
        <w:rPr>
          <w:szCs w:val="16"/>
          <w:lang w:val="es-CR"/>
        </w:rPr>
        <w:tab/>
      </w:r>
      <w:r w:rsidRPr="00982566">
        <w:rPr>
          <w:i/>
          <w:szCs w:val="16"/>
          <w:lang w:val="es-CR"/>
        </w:rPr>
        <w:t>Cfr. Caso Caballero Delgado y Santana Vs. Colombia. Supervisión de Cumplimiento de Sentencia</w:t>
      </w:r>
      <w:r w:rsidRPr="00982566">
        <w:rPr>
          <w:szCs w:val="16"/>
          <w:lang w:val="es-CR"/>
        </w:rPr>
        <w:t>. Resolución de la Corte Interamericana de Derechos Humanos de 6 de febrero de 2008, Considerandos 20 a 24.</w:t>
      </w:r>
    </w:p>
  </w:footnote>
  <w:footnote w:id="17">
    <w:p w:rsidR="00EB6F13" w:rsidRPr="00982566" w:rsidRDefault="00EB6F13">
      <w:pPr>
        <w:pStyle w:val="Textonotapie"/>
        <w:rPr>
          <w:szCs w:val="16"/>
          <w:lang w:val="es-CR"/>
        </w:rPr>
      </w:pPr>
      <w:r w:rsidRPr="00982566">
        <w:rPr>
          <w:rStyle w:val="Refdenotaalpie"/>
          <w:szCs w:val="16"/>
        </w:rPr>
        <w:footnoteRef/>
      </w:r>
      <w:r w:rsidRPr="00982566">
        <w:rPr>
          <w:szCs w:val="16"/>
          <w:lang w:val="es-CR"/>
        </w:rPr>
        <w:t xml:space="preserve"> </w:t>
      </w:r>
      <w:r w:rsidRPr="00982566">
        <w:rPr>
          <w:szCs w:val="16"/>
          <w:lang w:val="es-CR"/>
        </w:rPr>
        <w:tab/>
      </w:r>
      <w:r w:rsidRPr="00982566">
        <w:rPr>
          <w:i/>
          <w:szCs w:val="16"/>
          <w:lang w:val="es-CR"/>
        </w:rPr>
        <w:t>Cfr. Caso Caballero Delgado y Santana Vs. Colombia. Supervisión de Cumplimiento de Sentencia</w:t>
      </w:r>
      <w:r w:rsidRPr="00982566">
        <w:rPr>
          <w:szCs w:val="16"/>
          <w:lang w:val="es-CR"/>
        </w:rPr>
        <w:t>. Resolución de la Corte Interamericana de Derechos Humanos de 17 de noviembre de 2009, Considerandos 19 a 27.</w:t>
      </w:r>
    </w:p>
  </w:footnote>
  <w:footnote w:id="18">
    <w:p w:rsidR="00EB6F13" w:rsidRPr="00982566" w:rsidRDefault="00EB6F13">
      <w:pPr>
        <w:pStyle w:val="Textonotapie"/>
        <w:rPr>
          <w:szCs w:val="16"/>
          <w:lang w:val="es-CR"/>
        </w:rPr>
      </w:pPr>
      <w:r w:rsidRPr="00982566">
        <w:rPr>
          <w:rStyle w:val="Refdenotaalpie"/>
          <w:szCs w:val="16"/>
        </w:rPr>
        <w:footnoteRef/>
      </w:r>
      <w:r w:rsidRPr="00982566">
        <w:rPr>
          <w:szCs w:val="16"/>
          <w:lang w:val="es-CR"/>
        </w:rPr>
        <w:t xml:space="preserve"> </w:t>
      </w:r>
      <w:r w:rsidRPr="00AE6887">
        <w:rPr>
          <w:szCs w:val="16"/>
          <w:lang w:val="es-CR"/>
        </w:rPr>
        <w:tab/>
      </w:r>
      <w:r w:rsidRPr="00AE6887">
        <w:rPr>
          <w:i/>
          <w:szCs w:val="16"/>
          <w:lang w:val="es-CR"/>
        </w:rPr>
        <w:t>Cfr. Caso Caballero Delgado y Santana Vs. Colombia. Supervisión de Cumplimiento de Sentencia</w:t>
      </w:r>
      <w:r w:rsidRPr="00AE6887">
        <w:rPr>
          <w:szCs w:val="16"/>
          <w:lang w:val="es-CR"/>
        </w:rPr>
        <w:t>. Resolución de la Corte Interamericana de Derechos Humanos de 27 de febrero de 2012</w:t>
      </w:r>
      <w:r w:rsidRPr="00982566">
        <w:rPr>
          <w:szCs w:val="16"/>
          <w:lang w:val="es-CR"/>
        </w:rPr>
        <w:t>, Considerandos 7 a 16.</w:t>
      </w:r>
    </w:p>
  </w:footnote>
  <w:footnote w:id="19">
    <w:p w:rsidR="00EB6F13" w:rsidRPr="00982566" w:rsidRDefault="00EB6F13" w:rsidP="006A5619">
      <w:pPr>
        <w:pStyle w:val="Textonotapie"/>
        <w:rPr>
          <w:szCs w:val="16"/>
          <w:lang w:val="es-CR"/>
        </w:rPr>
      </w:pPr>
      <w:r w:rsidRPr="00AE6887">
        <w:rPr>
          <w:rStyle w:val="Refdenotaalpie"/>
          <w:szCs w:val="16"/>
        </w:rPr>
        <w:footnoteRef/>
      </w:r>
      <w:r w:rsidRPr="00AE6887">
        <w:rPr>
          <w:szCs w:val="16"/>
          <w:lang w:val="es-CR"/>
        </w:rPr>
        <w:t xml:space="preserve"> </w:t>
      </w:r>
      <w:r w:rsidRPr="00AE6887">
        <w:rPr>
          <w:szCs w:val="16"/>
          <w:lang w:val="es-CR"/>
        </w:rPr>
        <w:tab/>
        <w:t xml:space="preserve">En particular, se solicitó información sobre: </w:t>
      </w:r>
      <w:r w:rsidRPr="00982566">
        <w:rPr>
          <w:szCs w:val="16"/>
          <w:lang w:val="es-CR"/>
        </w:rPr>
        <w:t xml:space="preserve">“a) el estado actual de las investigaciones; […] b) los objetivos y resultados obtenidos de todas las diligencias realizadas; c) las líneas de investigación, alternativas y demás mecanismos que están al alcance de la Fiscalía y de los órganos judiciales internos, con el fin de cumplir con la obligación estatal de investigación de los hechos del presente caso, y en especial aquellas que permitan dar celeridad a la investigación; [y] d) la necesidad y el objetivo de la práctica de diligencias como las entrevistas a personas que ya han declarado con anterioridad en las investigaciones internas y el vínculo de tales diligencias con líneas de investigación a seguir”. </w:t>
      </w:r>
      <w:r w:rsidR="00101EAA" w:rsidRPr="0073131C">
        <w:rPr>
          <w:i/>
          <w:szCs w:val="16"/>
          <w:lang w:val="es-CR"/>
        </w:rPr>
        <w:t>Cfr. Caso Caballero Delgado y Santana Vs. Colombia</w:t>
      </w:r>
      <w:r w:rsidR="00101EAA">
        <w:rPr>
          <w:i/>
          <w:szCs w:val="16"/>
          <w:lang w:val="es-CR"/>
        </w:rPr>
        <w:t xml:space="preserve">, supra </w:t>
      </w:r>
      <w:r w:rsidR="00101EAA">
        <w:rPr>
          <w:szCs w:val="16"/>
          <w:lang w:val="es-CR"/>
        </w:rPr>
        <w:t xml:space="preserve">nota </w:t>
      </w:r>
      <w:r w:rsidR="00DA4E35">
        <w:rPr>
          <w:szCs w:val="16"/>
          <w:lang w:val="es-CR"/>
        </w:rPr>
        <w:t>16</w:t>
      </w:r>
      <w:r w:rsidR="00101EAA">
        <w:rPr>
          <w:szCs w:val="16"/>
          <w:lang w:val="es-CR"/>
        </w:rPr>
        <w:t>, Considerando 16.</w:t>
      </w:r>
    </w:p>
  </w:footnote>
  <w:footnote w:id="20">
    <w:p w:rsidR="00EB6F13" w:rsidRPr="00982566" w:rsidRDefault="00EB6F13">
      <w:pPr>
        <w:pStyle w:val="Textonotapie"/>
        <w:rPr>
          <w:szCs w:val="16"/>
          <w:lang w:val="es-CR"/>
        </w:rPr>
      </w:pPr>
      <w:r w:rsidRPr="00982566">
        <w:rPr>
          <w:rStyle w:val="Refdenotaalpie"/>
          <w:szCs w:val="16"/>
        </w:rPr>
        <w:footnoteRef/>
      </w:r>
      <w:r w:rsidRPr="00982566">
        <w:rPr>
          <w:szCs w:val="16"/>
          <w:lang w:val="es-CR"/>
        </w:rPr>
        <w:t xml:space="preserve"> </w:t>
      </w:r>
      <w:r w:rsidRPr="00982566">
        <w:rPr>
          <w:szCs w:val="16"/>
          <w:lang w:val="es-CR"/>
        </w:rPr>
        <w:tab/>
      </w:r>
      <w:r w:rsidR="00DE004B" w:rsidRPr="00982566">
        <w:rPr>
          <w:i/>
          <w:color w:val="000000"/>
          <w:szCs w:val="16"/>
          <w:lang w:val="es-ES_tradnl"/>
        </w:rPr>
        <w:t xml:space="preserve">Cfr. </w:t>
      </w:r>
      <w:r w:rsidR="00DE004B" w:rsidRPr="00982566">
        <w:rPr>
          <w:rStyle w:val="Textoennegrita"/>
          <w:b w:val="0"/>
          <w:i/>
          <w:color w:val="000000"/>
          <w:szCs w:val="16"/>
          <w:shd w:val="clear" w:color="auto" w:fill="FFFFFF"/>
          <w:lang w:val="es-ES_tradnl"/>
        </w:rPr>
        <w:t xml:space="preserve">Caso Caballero Delgado y Santana Vs. Colombia, supra </w:t>
      </w:r>
      <w:r w:rsidR="00DE004B" w:rsidRPr="00982566">
        <w:rPr>
          <w:rStyle w:val="Textoennegrita"/>
          <w:b w:val="0"/>
          <w:color w:val="000000"/>
          <w:szCs w:val="16"/>
          <w:shd w:val="clear" w:color="auto" w:fill="FFFFFF"/>
          <w:lang w:val="es-ES_tradnl"/>
        </w:rPr>
        <w:t>nota 1</w:t>
      </w:r>
      <w:r w:rsidR="009261DD">
        <w:rPr>
          <w:rStyle w:val="Textoennegrita"/>
          <w:b w:val="0"/>
          <w:color w:val="000000"/>
          <w:szCs w:val="16"/>
          <w:shd w:val="clear" w:color="auto" w:fill="FFFFFF"/>
          <w:lang w:val="es-ES_tradnl"/>
        </w:rPr>
        <w:t>, párr.</w:t>
      </w:r>
      <w:r w:rsidR="00DE004B" w:rsidRPr="00982566">
        <w:rPr>
          <w:szCs w:val="16"/>
          <w:lang w:val="es-CR"/>
        </w:rPr>
        <w:t xml:space="preserve"> </w:t>
      </w:r>
      <w:r w:rsidRPr="00982566">
        <w:rPr>
          <w:szCs w:val="16"/>
          <w:lang w:val="es-CR"/>
        </w:rPr>
        <w:t>54.</w:t>
      </w:r>
    </w:p>
  </w:footnote>
  <w:footnote w:id="21">
    <w:p w:rsidR="00EB6F13" w:rsidRPr="00982566" w:rsidRDefault="00EB6F13">
      <w:pPr>
        <w:pStyle w:val="Textonotapie"/>
        <w:rPr>
          <w:szCs w:val="16"/>
          <w:lang w:val="es-CR"/>
        </w:rPr>
      </w:pPr>
      <w:r w:rsidRPr="00982566">
        <w:rPr>
          <w:rStyle w:val="Refdenotaalpie"/>
          <w:szCs w:val="16"/>
        </w:rPr>
        <w:footnoteRef/>
      </w:r>
      <w:r w:rsidRPr="00982566">
        <w:rPr>
          <w:szCs w:val="16"/>
          <w:lang w:val="es-CR"/>
        </w:rPr>
        <w:t xml:space="preserve"> </w:t>
      </w:r>
      <w:r w:rsidRPr="00982566">
        <w:rPr>
          <w:szCs w:val="16"/>
          <w:lang w:val="es-CR"/>
        </w:rPr>
        <w:tab/>
      </w:r>
      <w:r w:rsidR="00DE004B" w:rsidRPr="00982566">
        <w:rPr>
          <w:i/>
          <w:szCs w:val="16"/>
          <w:lang w:val="es-CR"/>
        </w:rPr>
        <w:t xml:space="preserve">Cfr. </w:t>
      </w:r>
      <w:r w:rsidR="00DE004B" w:rsidRPr="00982566">
        <w:rPr>
          <w:szCs w:val="16"/>
          <w:lang w:val="es-CR"/>
        </w:rPr>
        <w:t xml:space="preserve">Informe estatal de 19 de marzo de 2019. </w:t>
      </w:r>
    </w:p>
  </w:footnote>
  <w:footnote w:id="22">
    <w:p w:rsidR="00EB6F13" w:rsidRPr="00982566" w:rsidRDefault="00EB6F13">
      <w:pPr>
        <w:pStyle w:val="Textonotapie"/>
        <w:rPr>
          <w:b/>
          <w:szCs w:val="16"/>
          <w:lang w:val="es-CR"/>
        </w:rPr>
      </w:pPr>
      <w:r w:rsidRPr="00AE6887">
        <w:rPr>
          <w:rStyle w:val="Refdenotaalpie"/>
          <w:szCs w:val="16"/>
        </w:rPr>
        <w:footnoteRef/>
      </w:r>
      <w:r w:rsidRPr="00982566">
        <w:rPr>
          <w:szCs w:val="16"/>
          <w:lang w:val="es-CR"/>
        </w:rPr>
        <w:t xml:space="preserve"> </w:t>
      </w:r>
      <w:r w:rsidRPr="00AE6887">
        <w:rPr>
          <w:szCs w:val="16"/>
          <w:lang w:val="es-CR"/>
        </w:rPr>
        <w:tab/>
      </w:r>
      <w:r w:rsidRPr="00AE6887">
        <w:rPr>
          <w:i/>
          <w:szCs w:val="16"/>
          <w:lang w:val="es-CR"/>
        </w:rPr>
        <w:t xml:space="preserve">Cfr. </w:t>
      </w:r>
      <w:r>
        <w:rPr>
          <w:szCs w:val="16"/>
          <w:lang w:val="es-CR"/>
        </w:rPr>
        <w:t xml:space="preserve">Demanda de acción de revisión de 15 de mayo de 2011 presentada por el Ministerio Público ante la Sala de Casación Penal de la Corte Suprema de Justicia (anexo al escrito </w:t>
      </w:r>
      <w:r w:rsidRPr="0073131C">
        <w:rPr>
          <w:szCs w:val="16"/>
          <w:lang w:val="es-CR"/>
        </w:rPr>
        <w:t>de observaciones de los representantes de</w:t>
      </w:r>
      <w:r>
        <w:rPr>
          <w:szCs w:val="16"/>
          <w:lang w:val="es-CR"/>
        </w:rPr>
        <w:t xml:space="preserve"> 6 de noviembre de 2013). </w:t>
      </w:r>
    </w:p>
  </w:footnote>
  <w:footnote w:id="23">
    <w:p w:rsidR="00EB6F13" w:rsidRPr="00982566" w:rsidRDefault="00EB6F13">
      <w:pPr>
        <w:pStyle w:val="Textonotapie"/>
        <w:rPr>
          <w:b/>
          <w:szCs w:val="16"/>
          <w:lang w:val="es-CR"/>
        </w:rPr>
      </w:pPr>
      <w:r w:rsidRPr="00AE6887">
        <w:rPr>
          <w:rStyle w:val="Refdenotaalpie"/>
          <w:szCs w:val="16"/>
        </w:rPr>
        <w:footnoteRef/>
      </w:r>
      <w:r w:rsidRPr="00982566">
        <w:rPr>
          <w:szCs w:val="16"/>
          <w:lang w:val="es-CR"/>
        </w:rPr>
        <w:t xml:space="preserve"> </w:t>
      </w:r>
      <w:r w:rsidRPr="00AE6887">
        <w:rPr>
          <w:szCs w:val="16"/>
          <w:lang w:val="es-CR"/>
        </w:rPr>
        <w:tab/>
      </w:r>
      <w:r w:rsidRPr="00AE6887">
        <w:rPr>
          <w:i/>
          <w:szCs w:val="16"/>
          <w:lang w:val="es-CR"/>
        </w:rPr>
        <w:t xml:space="preserve">Cfr. </w:t>
      </w:r>
      <w:r w:rsidRPr="00982566">
        <w:rPr>
          <w:szCs w:val="16"/>
          <w:lang w:val="es-CR"/>
        </w:rPr>
        <w:t xml:space="preserve">Decisión de 10 de julio de 1998 emitida por el Tribunal Superior Militar de las Fuerzas Militares de Colombia </w:t>
      </w:r>
      <w:r w:rsidR="00433B26" w:rsidRPr="00982566">
        <w:rPr>
          <w:szCs w:val="16"/>
          <w:lang w:val="es-CR"/>
        </w:rPr>
        <w:t xml:space="preserve">(189-134853-5236) </w:t>
      </w:r>
      <w:r w:rsidRPr="00982566">
        <w:rPr>
          <w:szCs w:val="16"/>
          <w:lang w:val="es-CR"/>
        </w:rPr>
        <w:t xml:space="preserve">(anexo al escrito de observaciones de los representantes de 8 de octubre de 2012). </w:t>
      </w:r>
    </w:p>
  </w:footnote>
  <w:footnote w:id="24">
    <w:p w:rsidR="00EB6F13" w:rsidRPr="00982566" w:rsidRDefault="00EB6F13" w:rsidP="000D351D">
      <w:pPr>
        <w:pStyle w:val="Textonotapie"/>
        <w:rPr>
          <w:lang w:val="es-CR"/>
        </w:rPr>
      </w:pPr>
      <w:r>
        <w:rPr>
          <w:rStyle w:val="Refdenotaalpie"/>
        </w:rPr>
        <w:footnoteRef/>
      </w:r>
      <w:r w:rsidRPr="00982566">
        <w:rPr>
          <w:lang w:val="es-CR"/>
        </w:rPr>
        <w:t xml:space="preserve"> </w:t>
      </w:r>
      <w:r>
        <w:rPr>
          <w:lang w:val="es-CR"/>
        </w:rPr>
        <w:tab/>
        <w:t>El Tribunal destacó que mediante la referida sentencia interna, la Corte Constitucional de Colombia dispuso que “</w:t>
      </w:r>
      <w:r w:rsidRPr="000D351D">
        <w:rPr>
          <w:lang w:val="es-CR"/>
        </w:rPr>
        <w:t>es procedente la interposición de una acción de revisión</w:t>
      </w:r>
      <w:r>
        <w:rPr>
          <w:lang w:val="es-CR"/>
        </w:rPr>
        <w:t xml:space="preserve"> ‘</w:t>
      </w:r>
      <w:r w:rsidRPr="000D351D">
        <w:rPr>
          <w:lang w:val="es-CR"/>
        </w:rPr>
        <w:t>contra la preclusión de la investigación, cesación de procedimiento y sentencia</w:t>
      </w:r>
      <w:r>
        <w:rPr>
          <w:lang w:val="es-CR"/>
        </w:rPr>
        <w:t xml:space="preserve"> </w:t>
      </w:r>
      <w:r w:rsidRPr="000D351D">
        <w:rPr>
          <w:lang w:val="es-CR"/>
        </w:rPr>
        <w:t>absolutoria en procesos por violaciones de derechos humanos […] siempre y cuando</w:t>
      </w:r>
      <w:r>
        <w:rPr>
          <w:lang w:val="es-CR"/>
        </w:rPr>
        <w:t xml:space="preserve"> </w:t>
      </w:r>
      <w:r w:rsidRPr="000D351D">
        <w:rPr>
          <w:lang w:val="es-CR"/>
        </w:rPr>
        <w:t>[…] una decisión de una instancia internacional de supervisión y control de derechos</w:t>
      </w:r>
      <w:r>
        <w:rPr>
          <w:lang w:val="es-CR"/>
        </w:rPr>
        <w:t xml:space="preserve"> </w:t>
      </w:r>
      <w:r w:rsidRPr="000D351D">
        <w:rPr>
          <w:lang w:val="es-CR"/>
        </w:rPr>
        <w:t>hu</w:t>
      </w:r>
      <w:r>
        <w:rPr>
          <w:lang w:val="es-CR"/>
        </w:rPr>
        <w:t>manos, aceptada formalmente por’</w:t>
      </w:r>
      <w:r w:rsidRPr="000D351D">
        <w:rPr>
          <w:lang w:val="es-CR"/>
        </w:rPr>
        <w:t xml:space="preserve"> Colombia hubiera declarado la responsabilidad</w:t>
      </w:r>
      <w:r>
        <w:rPr>
          <w:lang w:val="es-CR"/>
        </w:rPr>
        <w:t xml:space="preserve"> </w:t>
      </w:r>
      <w:r w:rsidRPr="000D351D">
        <w:rPr>
          <w:lang w:val="es-CR"/>
        </w:rPr>
        <w:t>del Estado por violación de los derechos humanos</w:t>
      </w:r>
      <w:r>
        <w:rPr>
          <w:lang w:val="es-CR"/>
        </w:rPr>
        <w:t>”</w:t>
      </w:r>
      <w:r w:rsidRPr="000D351D">
        <w:rPr>
          <w:lang w:val="es-CR"/>
        </w:rPr>
        <w:t>.</w:t>
      </w:r>
      <w:r>
        <w:rPr>
          <w:lang w:val="es-CR"/>
        </w:rPr>
        <w:t xml:space="preserve"> </w:t>
      </w:r>
      <w:r>
        <w:rPr>
          <w:i/>
          <w:lang w:val="es-CR"/>
        </w:rPr>
        <w:t xml:space="preserve">Cfr. Caso Caballero Delgado y Santana, supra </w:t>
      </w:r>
      <w:r>
        <w:rPr>
          <w:lang w:val="es-CR"/>
        </w:rPr>
        <w:t xml:space="preserve">nota </w:t>
      </w:r>
      <w:r w:rsidR="006C0C05">
        <w:rPr>
          <w:lang w:val="es-CR"/>
        </w:rPr>
        <w:t>12</w:t>
      </w:r>
      <w:r>
        <w:rPr>
          <w:lang w:val="es-CR"/>
        </w:rPr>
        <w:t>, Considerando 11.</w:t>
      </w:r>
      <w:r w:rsidR="006C0C05">
        <w:rPr>
          <w:lang w:val="es-CR"/>
        </w:rPr>
        <w:t xml:space="preserve"> Ver también </w:t>
      </w:r>
      <w:r w:rsidR="006C0C05">
        <w:rPr>
          <w:i/>
          <w:lang w:val="es-CR"/>
        </w:rPr>
        <w:t xml:space="preserve">Caso Caballero Delgado y Santana, supra </w:t>
      </w:r>
      <w:r w:rsidR="006C0C05">
        <w:rPr>
          <w:lang w:val="es-CR"/>
        </w:rPr>
        <w:t xml:space="preserve">nota 14, Considerando 23 y </w:t>
      </w:r>
      <w:r w:rsidR="006C0C05">
        <w:rPr>
          <w:i/>
          <w:lang w:val="es-CR"/>
        </w:rPr>
        <w:t xml:space="preserve">Caso Caballero Delgado y Santana, supra </w:t>
      </w:r>
      <w:r w:rsidR="006C0C05">
        <w:rPr>
          <w:lang w:val="es-CR"/>
        </w:rPr>
        <w:t>nota 15, Considerando 26.</w:t>
      </w:r>
    </w:p>
  </w:footnote>
  <w:footnote w:id="25">
    <w:p w:rsidR="00EB6F13" w:rsidRPr="00982566" w:rsidRDefault="00EB6F13">
      <w:pPr>
        <w:pStyle w:val="Textonotapie"/>
        <w:rPr>
          <w:b/>
          <w:lang w:val="es-CR"/>
        </w:rPr>
      </w:pPr>
      <w:r>
        <w:rPr>
          <w:rStyle w:val="Refdenotaalpie"/>
        </w:rPr>
        <w:footnoteRef/>
      </w:r>
      <w:r w:rsidRPr="00982566">
        <w:rPr>
          <w:lang w:val="es-CR"/>
        </w:rPr>
        <w:t xml:space="preserve"> </w:t>
      </w:r>
      <w:r>
        <w:rPr>
          <w:lang w:val="es-CR"/>
        </w:rPr>
        <w:tab/>
      </w:r>
      <w:r w:rsidR="005E7065">
        <w:rPr>
          <w:i/>
          <w:lang w:val="es-CR"/>
        </w:rPr>
        <w:t xml:space="preserve">Cfr. </w:t>
      </w:r>
      <w:r w:rsidR="005E7065">
        <w:rPr>
          <w:lang w:val="es-CR"/>
        </w:rPr>
        <w:t>Informe estat</w:t>
      </w:r>
      <w:r w:rsidR="0021598A">
        <w:rPr>
          <w:lang w:val="es-CR"/>
        </w:rPr>
        <w:t>al de 23 de septiembre de 2013,</w:t>
      </w:r>
      <w:r w:rsidR="00824C4A" w:rsidRPr="00982566">
        <w:rPr>
          <w:lang w:val="es-CR"/>
        </w:rPr>
        <w:t xml:space="preserve"> </w:t>
      </w:r>
      <w:r w:rsidR="00081D9E">
        <w:rPr>
          <w:lang w:val="es-CR"/>
        </w:rPr>
        <w:t>18 de mayo de 2016, 16 de mayo</w:t>
      </w:r>
      <w:r w:rsidR="00824C4A">
        <w:rPr>
          <w:lang w:val="es-CR"/>
        </w:rPr>
        <w:t xml:space="preserve"> y 20 de noviembre </w:t>
      </w:r>
      <w:r w:rsidR="004B15B8">
        <w:rPr>
          <w:lang w:val="es-CR"/>
        </w:rPr>
        <w:t>de 2017</w:t>
      </w:r>
      <w:r w:rsidR="00081D9E">
        <w:rPr>
          <w:lang w:val="es-CR"/>
        </w:rPr>
        <w:t xml:space="preserve"> </w:t>
      </w:r>
      <w:r w:rsidR="004B15B8">
        <w:rPr>
          <w:lang w:val="es-CR"/>
        </w:rPr>
        <w:t xml:space="preserve">y 19 de marzo de 2019, así como escritos de observaciones de los representantes de </w:t>
      </w:r>
      <w:r w:rsidR="00A96EB9">
        <w:rPr>
          <w:lang w:val="es-CR"/>
        </w:rPr>
        <w:t>6 de noviembre de 2013</w:t>
      </w:r>
      <w:r w:rsidR="00B1051E">
        <w:rPr>
          <w:lang w:val="es-CR"/>
        </w:rPr>
        <w:t xml:space="preserve"> </w:t>
      </w:r>
      <w:r w:rsidR="00A96EB9">
        <w:rPr>
          <w:lang w:val="es-CR"/>
        </w:rPr>
        <w:t>y 21 de junio de 2016.</w:t>
      </w:r>
      <w:r w:rsidR="00B1051E">
        <w:rPr>
          <w:lang w:val="es-CR"/>
        </w:rPr>
        <w:t xml:space="preserve"> </w:t>
      </w:r>
    </w:p>
  </w:footnote>
  <w:footnote w:id="26">
    <w:p w:rsidR="001F3FE1" w:rsidRPr="004C7050" w:rsidRDefault="001F3FE1" w:rsidP="001F3FE1">
      <w:pPr>
        <w:pStyle w:val="Textonotapie"/>
        <w:rPr>
          <w:b/>
          <w:lang w:val="es-CR"/>
        </w:rPr>
      </w:pPr>
      <w:r>
        <w:rPr>
          <w:rStyle w:val="Refdenotaalpie"/>
        </w:rPr>
        <w:footnoteRef/>
      </w:r>
      <w:r w:rsidRPr="004C7050">
        <w:rPr>
          <w:lang w:val="es-CR"/>
        </w:rPr>
        <w:t xml:space="preserve"> </w:t>
      </w:r>
      <w:r>
        <w:rPr>
          <w:lang w:val="es-CR"/>
        </w:rPr>
        <w:tab/>
        <w:t xml:space="preserve">En el expediente consta que la demanda de revisión presentada respecto de la sentencia emitida en 1990 por el </w:t>
      </w:r>
      <w:r w:rsidRPr="001F3FE1">
        <w:rPr>
          <w:lang w:val="es-CR"/>
        </w:rPr>
        <w:t>Juzgado Segundo de Orden Público de Valledupar</w:t>
      </w:r>
      <w:r w:rsidR="0021598A">
        <w:rPr>
          <w:lang w:val="es-CR"/>
        </w:rPr>
        <w:t xml:space="preserve"> </w:t>
      </w:r>
      <w:r>
        <w:rPr>
          <w:lang w:val="es-CR"/>
        </w:rPr>
        <w:t xml:space="preserve">fue presentada el 10 de agosto de 2012. </w:t>
      </w:r>
      <w:r w:rsidR="0021598A">
        <w:rPr>
          <w:lang w:val="es-CR"/>
        </w:rPr>
        <w:t>Por otra parte</w:t>
      </w:r>
      <w:r>
        <w:rPr>
          <w:lang w:val="es-CR"/>
        </w:rPr>
        <w:t>, no se cuenta con la fecha exac</w:t>
      </w:r>
      <w:r w:rsidR="00FF2FCB">
        <w:rPr>
          <w:lang w:val="es-CR"/>
        </w:rPr>
        <w:t>ta de presentación de la segunda</w:t>
      </w:r>
      <w:r>
        <w:rPr>
          <w:lang w:val="es-CR"/>
        </w:rPr>
        <w:t xml:space="preserve"> demanda de revisión en relación con la sentencia emitida en 1998 por el Tribunal Superior Militar. </w:t>
      </w:r>
      <w:r>
        <w:rPr>
          <w:i/>
          <w:lang w:val="es-CR"/>
        </w:rPr>
        <w:t xml:space="preserve">Cfr. </w:t>
      </w:r>
      <w:r>
        <w:rPr>
          <w:lang w:val="es-CR"/>
        </w:rPr>
        <w:t xml:space="preserve">Demanda de acción de revisión recibida por la Secretaría de la Sala de Casación Penal de la Corte Suprema de Justicia el 10 de agosto de 2012 (anexo al escrito de observaciones de los representantes de 6 de noviembre de 2013). </w:t>
      </w:r>
    </w:p>
  </w:footnote>
  <w:footnote w:id="27">
    <w:p w:rsidR="00EB6F13" w:rsidRPr="00982566" w:rsidRDefault="00EB6F13">
      <w:pPr>
        <w:pStyle w:val="Textonotapie"/>
        <w:rPr>
          <w:b/>
          <w:i/>
          <w:lang w:val="es-CR"/>
        </w:rPr>
      </w:pPr>
      <w:r>
        <w:rPr>
          <w:rStyle w:val="Refdenotaalpie"/>
        </w:rPr>
        <w:footnoteRef/>
      </w:r>
      <w:r w:rsidRPr="00982566">
        <w:rPr>
          <w:lang w:val="es-CR"/>
        </w:rPr>
        <w:t xml:space="preserve"> </w:t>
      </w:r>
      <w:r>
        <w:rPr>
          <w:lang w:val="es-CR"/>
        </w:rPr>
        <w:tab/>
      </w:r>
      <w:r>
        <w:rPr>
          <w:i/>
          <w:lang w:val="es-CR"/>
        </w:rPr>
        <w:t xml:space="preserve">Cfr. </w:t>
      </w:r>
      <w:r>
        <w:rPr>
          <w:lang w:val="es-CR"/>
        </w:rPr>
        <w:t xml:space="preserve">Decisión de 30 de septiembre de 2015 de la Sala de Casación Penal de la Corte Suprema de Justicia (anexo al escrito de observaciones de los representantes de 21 de junio de 2016). </w:t>
      </w:r>
    </w:p>
  </w:footnote>
  <w:footnote w:id="28">
    <w:p w:rsidR="00EB6F13" w:rsidRPr="00982566" w:rsidRDefault="00EB6F13">
      <w:pPr>
        <w:pStyle w:val="Textonotapie"/>
        <w:rPr>
          <w:lang w:val="es-CR"/>
        </w:rPr>
      </w:pPr>
      <w:r>
        <w:rPr>
          <w:rStyle w:val="Refdenotaalpie"/>
        </w:rPr>
        <w:footnoteRef/>
      </w:r>
      <w:r w:rsidRPr="00982566">
        <w:rPr>
          <w:lang w:val="es-CR"/>
        </w:rPr>
        <w:t xml:space="preserve"> </w:t>
      </w:r>
      <w:r>
        <w:rPr>
          <w:lang w:val="es-CR"/>
        </w:rPr>
        <w:tab/>
        <w:t xml:space="preserve">También </w:t>
      </w:r>
      <w:r w:rsidRPr="007E12E2">
        <w:rPr>
          <w:lang w:val="es-CR"/>
        </w:rPr>
        <w:t>“[d]ej[ó] sin efecto la decisión del 8 de mayo de 1997, mediante la cual la Sala Jurisdiccional Disciplinaria del Consejo Superior de la Judicatura asignó la competencia en la justicia penal militar de la investigación seguida por la desaparición y muerte” de las víctimas</w:t>
      </w:r>
      <w:r>
        <w:rPr>
          <w:lang w:val="es-CR"/>
        </w:rPr>
        <w:t xml:space="preserve">. </w:t>
      </w:r>
      <w:r w:rsidR="0080506F">
        <w:rPr>
          <w:i/>
          <w:lang w:val="es-CR"/>
        </w:rPr>
        <w:t xml:space="preserve">Cfr. </w:t>
      </w:r>
      <w:r w:rsidR="0080506F">
        <w:rPr>
          <w:lang w:val="es-CR"/>
        </w:rPr>
        <w:t xml:space="preserve">Decisión de 30 de septiembre de 2015 de la Sala de Casación Penal, </w:t>
      </w:r>
      <w:r w:rsidR="0080506F">
        <w:rPr>
          <w:i/>
          <w:lang w:val="es-CR"/>
        </w:rPr>
        <w:t xml:space="preserve">supra </w:t>
      </w:r>
      <w:r w:rsidR="0080506F">
        <w:rPr>
          <w:lang w:val="es-CR"/>
        </w:rPr>
        <w:t xml:space="preserve">nota </w:t>
      </w:r>
      <w:r w:rsidR="008B2AC9">
        <w:rPr>
          <w:lang w:val="es-CR"/>
        </w:rPr>
        <w:t>25</w:t>
      </w:r>
      <w:r w:rsidR="0080506F">
        <w:rPr>
          <w:lang w:val="es-CR"/>
        </w:rPr>
        <w:t>.</w:t>
      </w:r>
    </w:p>
  </w:footnote>
  <w:footnote w:id="29">
    <w:p w:rsidR="00EB6F13" w:rsidRPr="0016632D" w:rsidRDefault="00EB6F13" w:rsidP="007E12E2">
      <w:pPr>
        <w:pStyle w:val="Textonotapie"/>
        <w:rPr>
          <w:b/>
          <w:lang w:val="es-CR"/>
        </w:rPr>
      </w:pPr>
      <w:r>
        <w:rPr>
          <w:rStyle w:val="Refdenotaalpie"/>
        </w:rPr>
        <w:footnoteRef/>
      </w:r>
      <w:r w:rsidRPr="0016632D">
        <w:rPr>
          <w:lang w:val="es-CR"/>
        </w:rPr>
        <w:t xml:space="preserve"> </w:t>
      </w:r>
      <w:r>
        <w:rPr>
          <w:lang w:val="es-CR"/>
        </w:rPr>
        <w:tab/>
      </w:r>
      <w:r>
        <w:rPr>
          <w:i/>
          <w:lang w:val="es-CR"/>
        </w:rPr>
        <w:t xml:space="preserve">Cfr. </w:t>
      </w:r>
      <w:r>
        <w:rPr>
          <w:lang w:val="es-CR"/>
        </w:rPr>
        <w:t xml:space="preserve">Decisión de 24 de mayo de 2016 de la Sala Penal del Tribunal Superior del Distrito Judicial de Valledupar (anexo al escrito de observaciones de los representantes de 21 de junio de 2016). </w:t>
      </w:r>
    </w:p>
  </w:footnote>
  <w:footnote w:id="30">
    <w:p w:rsidR="00EB6F13" w:rsidRPr="008B2AC9" w:rsidRDefault="00EB6F13" w:rsidP="007E12E2">
      <w:pPr>
        <w:pStyle w:val="Textonotapie"/>
        <w:rPr>
          <w:b/>
          <w:lang w:val="es-CR"/>
        </w:rPr>
      </w:pPr>
      <w:r>
        <w:rPr>
          <w:rStyle w:val="Refdenotaalpie"/>
        </w:rPr>
        <w:footnoteRef/>
      </w:r>
      <w:r w:rsidRPr="0016632D">
        <w:rPr>
          <w:lang w:val="es-CR"/>
        </w:rPr>
        <w:t xml:space="preserve"> </w:t>
      </w:r>
      <w:r>
        <w:rPr>
          <w:lang w:val="es-CR"/>
        </w:rPr>
        <w:tab/>
        <w:t xml:space="preserve">De los referidos cuatro imputados, uno falleció y otro se encuentra privado de libertad. </w:t>
      </w:r>
      <w:r w:rsidR="008B2AC9">
        <w:rPr>
          <w:i/>
          <w:lang w:val="es-CR"/>
        </w:rPr>
        <w:t xml:space="preserve">Cfr. </w:t>
      </w:r>
      <w:r w:rsidR="008B2AC9">
        <w:rPr>
          <w:lang w:val="es-CR"/>
        </w:rPr>
        <w:t xml:space="preserve">Decisión de 24 de mayo de 2016 de la Sala Penal del Tribunal Superior del Distrito Judicial de Valledupar, </w:t>
      </w:r>
      <w:r w:rsidR="008B2AC9">
        <w:rPr>
          <w:i/>
          <w:lang w:val="es-CR"/>
        </w:rPr>
        <w:t xml:space="preserve">supra </w:t>
      </w:r>
      <w:r w:rsidR="008B2AC9">
        <w:rPr>
          <w:lang w:val="es-CR"/>
        </w:rPr>
        <w:t>nota 27.</w:t>
      </w:r>
    </w:p>
  </w:footnote>
  <w:footnote w:id="31">
    <w:p w:rsidR="00EB6F13" w:rsidRPr="00982566" w:rsidRDefault="00EB6F13">
      <w:pPr>
        <w:pStyle w:val="Textonotapie"/>
        <w:rPr>
          <w:lang w:val="es-CR"/>
        </w:rPr>
      </w:pPr>
      <w:r>
        <w:rPr>
          <w:rStyle w:val="Refdenotaalpie"/>
        </w:rPr>
        <w:footnoteRef/>
      </w:r>
      <w:r w:rsidRPr="00982566">
        <w:rPr>
          <w:lang w:val="es-CR"/>
        </w:rPr>
        <w:t xml:space="preserve"> </w:t>
      </w:r>
      <w:r>
        <w:rPr>
          <w:lang w:val="es-CR"/>
        </w:rPr>
        <w:tab/>
      </w:r>
      <w:r w:rsidR="009261DD">
        <w:rPr>
          <w:i/>
          <w:lang w:val="es-CR"/>
        </w:rPr>
        <w:t xml:space="preserve">Cfr. Caso Caballero Delgado y Santana, supra </w:t>
      </w:r>
      <w:r w:rsidR="009261DD">
        <w:rPr>
          <w:lang w:val="es-CR"/>
        </w:rPr>
        <w:t xml:space="preserve">nota </w:t>
      </w:r>
      <w:r w:rsidR="008B2AC9">
        <w:rPr>
          <w:lang w:val="es-CR"/>
        </w:rPr>
        <w:t>11</w:t>
      </w:r>
      <w:r w:rsidR="009261DD">
        <w:rPr>
          <w:lang w:val="es-CR"/>
        </w:rPr>
        <w:t>, Considerando 9</w:t>
      </w:r>
      <w:r w:rsidR="00C625C4">
        <w:rPr>
          <w:lang w:val="es-CR"/>
        </w:rPr>
        <w:t>;</w:t>
      </w:r>
      <w:r w:rsidR="009261DD">
        <w:rPr>
          <w:lang w:val="es-CR"/>
        </w:rPr>
        <w:t xml:space="preserve"> </w:t>
      </w:r>
      <w:r w:rsidR="009261DD">
        <w:rPr>
          <w:i/>
          <w:lang w:val="es-CR"/>
        </w:rPr>
        <w:t xml:space="preserve">Caso Caballero Delgado y Santana, supra </w:t>
      </w:r>
      <w:r w:rsidR="009261DD">
        <w:rPr>
          <w:lang w:val="es-CR"/>
        </w:rPr>
        <w:t xml:space="preserve">nota </w:t>
      </w:r>
      <w:r w:rsidR="008B2AC9">
        <w:rPr>
          <w:lang w:val="es-CR"/>
        </w:rPr>
        <w:t>14</w:t>
      </w:r>
      <w:r w:rsidR="009261DD">
        <w:rPr>
          <w:lang w:val="es-CR"/>
        </w:rPr>
        <w:t>, Considerando 24</w:t>
      </w:r>
      <w:r w:rsidR="0080506F">
        <w:rPr>
          <w:lang w:val="es-CR"/>
        </w:rPr>
        <w:t>, y</w:t>
      </w:r>
      <w:r w:rsidR="00C625C4">
        <w:rPr>
          <w:lang w:val="es-CR"/>
        </w:rPr>
        <w:t xml:space="preserve"> </w:t>
      </w:r>
      <w:r w:rsidR="00C625C4">
        <w:rPr>
          <w:i/>
          <w:lang w:val="es-CR"/>
        </w:rPr>
        <w:t xml:space="preserve">Caso Caballero Delgado y Santana, supra </w:t>
      </w:r>
      <w:r w:rsidR="00C625C4">
        <w:rPr>
          <w:lang w:val="es-CR"/>
        </w:rPr>
        <w:t xml:space="preserve">nota </w:t>
      </w:r>
      <w:r w:rsidR="008B2AC9">
        <w:rPr>
          <w:lang w:val="es-CR"/>
        </w:rPr>
        <w:t>15</w:t>
      </w:r>
      <w:r w:rsidR="00C625C4">
        <w:rPr>
          <w:lang w:val="es-CR"/>
        </w:rPr>
        <w:t>, Considerando 26</w:t>
      </w:r>
      <w:r w:rsidR="0080506F">
        <w:rPr>
          <w:lang w:val="es-CR"/>
        </w:rPr>
        <w:t xml:space="preserve">. </w:t>
      </w:r>
    </w:p>
  </w:footnote>
  <w:footnote w:id="32">
    <w:p w:rsidR="00EB6F13" w:rsidRPr="00982566" w:rsidRDefault="00EB6F13">
      <w:pPr>
        <w:pStyle w:val="Textonotapie"/>
        <w:rPr>
          <w:b/>
          <w:lang w:val="es-CR"/>
        </w:rPr>
      </w:pPr>
      <w:r>
        <w:rPr>
          <w:rStyle w:val="Refdenotaalpie"/>
        </w:rPr>
        <w:footnoteRef/>
      </w:r>
      <w:r w:rsidRPr="00982566">
        <w:rPr>
          <w:lang w:val="es-CR"/>
        </w:rPr>
        <w:t xml:space="preserve"> </w:t>
      </w:r>
      <w:r>
        <w:rPr>
          <w:lang w:val="es-CR"/>
        </w:rPr>
        <w:tab/>
      </w:r>
      <w:r>
        <w:rPr>
          <w:i/>
          <w:lang w:val="es-CR"/>
        </w:rPr>
        <w:t xml:space="preserve">Cfr. </w:t>
      </w:r>
      <w:r>
        <w:rPr>
          <w:lang w:val="es-CR"/>
        </w:rPr>
        <w:t xml:space="preserve">Decisión de 30 de septiembre de 2015 de la Sala de Casación Penal de la Corte Suprema de Justicia, </w:t>
      </w:r>
      <w:r>
        <w:rPr>
          <w:i/>
          <w:lang w:val="es-CR"/>
        </w:rPr>
        <w:t xml:space="preserve">supra </w:t>
      </w:r>
      <w:r>
        <w:rPr>
          <w:lang w:val="es-CR"/>
        </w:rPr>
        <w:t xml:space="preserve">nota </w:t>
      </w:r>
      <w:r w:rsidR="008B2AC9">
        <w:rPr>
          <w:lang w:val="es-CR"/>
        </w:rPr>
        <w:t>25,</w:t>
      </w:r>
      <w:r>
        <w:rPr>
          <w:lang w:val="es-CR"/>
        </w:rPr>
        <w:t xml:space="preserve"> párrafos 23 y 26 a 32, y decisión de 24 de mayo de 2016 de la Sala Penal del Tribunal Superior del Distrito Judicial de Valledupar, </w:t>
      </w:r>
      <w:r>
        <w:rPr>
          <w:i/>
          <w:lang w:val="es-CR"/>
        </w:rPr>
        <w:t xml:space="preserve">supra </w:t>
      </w:r>
      <w:r>
        <w:rPr>
          <w:lang w:val="es-CR"/>
        </w:rPr>
        <w:t xml:space="preserve">nota </w:t>
      </w:r>
      <w:r w:rsidR="008B2AC9">
        <w:rPr>
          <w:lang w:val="es-CR"/>
        </w:rPr>
        <w:t>27</w:t>
      </w:r>
      <w:r w:rsidR="000663A9">
        <w:rPr>
          <w:lang w:val="es-CR"/>
        </w:rPr>
        <w:t>, Consideracio</w:t>
      </w:r>
      <w:r>
        <w:rPr>
          <w:lang w:val="es-CR"/>
        </w:rPr>
        <w:t>n</w:t>
      </w:r>
      <w:r w:rsidR="000663A9">
        <w:rPr>
          <w:lang w:val="es-CR"/>
        </w:rPr>
        <w:t>es</w:t>
      </w:r>
      <w:r>
        <w:rPr>
          <w:lang w:val="es-CR"/>
        </w:rPr>
        <w:t xml:space="preserve"> 3</w:t>
      </w:r>
      <w:r w:rsidR="000663A9">
        <w:rPr>
          <w:lang w:val="es-CR"/>
        </w:rPr>
        <w:t xml:space="preserve"> y 4</w:t>
      </w:r>
      <w:r>
        <w:rPr>
          <w:lang w:val="es-CR"/>
        </w:rPr>
        <w:t xml:space="preserve">. </w:t>
      </w:r>
    </w:p>
  </w:footnote>
  <w:footnote w:id="33">
    <w:p w:rsidR="00EB6F13" w:rsidRPr="004743D0" w:rsidRDefault="00EB6F13" w:rsidP="00203D09">
      <w:pPr>
        <w:pStyle w:val="Textonotapie"/>
        <w:tabs>
          <w:tab w:val="left" w:pos="540"/>
        </w:tabs>
        <w:rPr>
          <w:szCs w:val="16"/>
          <w:lang w:val="es-CR"/>
        </w:rPr>
      </w:pPr>
      <w:r w:rsidRPr="004743D0">
        <w:rPr>
          <w:rStyle w:val="Refdenotaalpie"/>
          <w:szCs w:val="16"/>
        </w:rPr>
        <w:footnoteRef/>
      </w:r>
      <w:r w:rsidRPr="004743D0">
        <w:rPr>
          <w:szCs w:val="16"/>
          <w:lang w:val="es-CR"/>
        </w:rPr>
        <w:t xml:space="preserve"> </w:t>
      </w:r>
      <w:r w:rsidRPr="004743D0">
        <w:rPr>
          <w:szCs w:val="16"/>
          <w:lang w:val="es-CR"/>
        </w:rPr>
        <w:tab/>
      </w:r>
      <w:r w:rsidRPr="004743D0">
        <w:rPr>
          <w:i/>
          <w:szCs w:val="16"/>
          <w:lang w:val="es-CR"/>
        </w:rPr>
        <w:t>Cfr.</w:t>
      </w:r>
      <w:r w:rsidRPr="004743D0">
        <w:rPr>
          <w:szCs w:val="16"/>
          <w:lang w:val="es-CR"/>
        </w:rPr>
        <w:t xml:space="preserve"> </w:t>
      </w:r>
      <w:r w:rsidRPr="004743D0">
        <w:rPr>
          <w:i/>
          <w:szCs w:val="16"/>
          <w:lang w:val="es-CR"/>
        </w:rPr>
        <w:t>Caso Gelman Vs. Uruguay. Supervisión de Cumplimiento de Sentencia</w:t>
      </w:r>
      <w:r w:rsidRPr="004743D0">
        <w:rPr>
          <w:szCs w:val="16"/>
          <w:lang w:val="es-CR"/>
        </w:rPr>
        <w:t xml:space="preserve">. Resolución de la Corte Interamericana de Derechos Humanos 20 de marzo de 2013, Considerandos 65 a 68; </w:t>
      </w:r>
      <w:r w:rsidRPr="004743D0">
        <w:rPr>
          <w:i/>
          <w:szCs w:val="16"/>
          <w:lang w:val="es-CR"/>
        </w:rPr>
        <w:t>Caso Artavia Murillo y otros ("Fecundación In Vitro") Vs. Costa Rica. Supervisión de Cumplimiento de Sentencia</w:t>
      </w:r>
      <w:r w:rsidRPr="004743D0">
        <w:rPr>
          <w:szCs w:val="16"/>
          <w:lang w:val="es-CR"/>
        </w:rPr>
        <w:t>. Resolución de la Corte Interamericana de Derechos Humanos de 26 de f</w:t>
      </w:r>
      <w:r>
        <w:rPr>
          <w:szCs w:val="16"/>
          <w:lang w:val="es-CR"/>
        </w:rPr>
        <w:t>ebrero de 2016, Considerando 12;</w:t>
      </w:r>
      <w:r w:rsidRPr="004743D0">
        <w:rPr>
          <w:szCs w:val="16"/>
          <w:lang w:val="es-CR"/>
        </w:rPr>
        <w:t xml:space="preserve"> </w:t>
      </w:r>
      <w:r w:rsidRPr="004743D0">
        <w:rPr>
          <w:i/>
          <w:szCs w:val="16"/>
          <w:lang w:val="es-ES_tradnl"/>
        </w:rPr>
        <w:t>C</w:t>
      </w:r>
      <w:r w:rsidRPr="004743D0">
        <w:rPr>
          <w:rStyle w:val="Textoennegrita"/>
          <w:b w:val="0"/>
          <w:i/>
          <w:color w:val="000000"/>
          <w:szCs w:val="16"/>
          <w:shd w:val="clear" w:color="auto" w:fill="FFFFFF"/>
          <w:lang w:val="es-CR"/>
        </w:rPr>
        <w:t>aso 19 Comerciantes Vs. Colombia. Supervisión de Cumplimiento de Sentencia</w:t>
      </w:r>
      <w:r w:rsidRPr="004743D0">
        <w:rPr>
          <w:rStyle w:val="Textoennegrita"/>
          <w:b w:val="0"/>
          <w:color w:val="000000"/>
          <w:szCs w:val="16"/>
          <w:shd w:val="clear" w:color="auto" w:fill="FFFFFF"/>
          <w:lang w:val="es-CR"/>
        </w:rPr>
        <w:t>. Resolución de la Corte Interamericana de Derechos Humanos de 23 de junio de 2016</w:t>
      </w:r>
      <w:r>
        <w:rPr>
          <w:szCs w:val="16"/>
          <w:lang w:val="es-CR"/>
        </w:rPr>
        <w:t xml:space="preserve">, Considerando 10, y </w:t>
      </w:r>
      <w:r w:rsidRPr="00982566">
        <w:rPr>
          <w:i/>
          <w:szCs w:val="16"/>
          <w:lang w:val="es-CR"/>
        </w:rPr>
        <w:t>Caso Masacre de Santo Domingo Vs. Colombia. Supervisión de Cumplimiento de Sentencia</w:t>
      </w:r>
      <w:r w:rsidRPr="00203D09">
        <w:rPr>
          <w:szCs w:val="16"/>
          <w:lang w:val="es-CR"/>
        </w:rPr>
        <w:t>. Resolución de la Corte Interamericana de Derechos Humanos de 22 de noviembre de 2018</w:t>
      </w:r>
      <w:r>
        <w:rPr>
          <w:szCs w:val="16"/>
          <w:lang w:val="es-CR"/>
        </w:rPr>
        <w:t>, Considerando 8.</w:t>
      </w:r>
    </w:p>
  </w:footnote>
  <w:footnote w:id="34">
    <w:p w:rsidR="00FC7067" w:rsidRPr="00982566" w:rsidRDefault="00FC7067">
      <w:pPr>
        <w:pStyle w:val="Textonotapie"/>
        <w:rPr>
          <w:i/>
          <w:lang w:val="es-CR"/>
        </w:rPr>
      </w:pPr>
      <w:r>
        <w:rPr>
          <w:rStyle w:val="Refdenotaalpie"/>
        </w:rPr>
        <w:footnoteRef/>
      </w:r>
      <w:r w:rsidRPr="00982566">
        <w:rPr>
          <w:lang w:val="es-CR"/>
        </w:rPr>
        <w:t xml:space="preserve"> </w:t>
      </w:r>
      <w:r>
        <w:rPr>
          <w:lang w:val="es-CR"/>
        </w:rPr>
        <w:tab/>
      </w:r>
      <w:r>
        <w:rPr>
          <w:i/>
          <w:lang w:val="es-CR"/>
        </w:rPr>
        <w:t xml:space="preserve">Cfr. </w:t>
      </w:r>
      <w:r>
        <w:rPr>
          <w:lang w:val="es-CR"/>
        </w:rPr>
        <w:t>Informe est</w:t>
      </w:r>
      <w:r w:rsidR="00B35993">
        <w:rPr>
          <w:lang w:val="es-CR"/>
        </w:rPr>
        <w:t>a</w:t>
      </w:r>
      <w:r>
        <w:rPr>
          <w:lang w:val="es-CR"/>
        </w:rPr>
        <w:t xml:space="preserve">tal de 19 de marzo de 2019. </w:t>
      </w:r>
    </w:p>
  </w:footnote>
  <w:footnote w:id="35">
    <w:p w:rsidR="00EB6F13" w:rsidRPr="00982566" w:rsidRDefault="00EB6F13" w:rsidP="002A3936">
      <w:pPr>
        <w:pStyle w:val="Textonotapie"/>
        <w:rPr>
          <w:szCs w:val="16"/>
          <w:lang w:val="es-CR"/>
        </w:rPr>
      </w:pPr>
      <w:r w:rsidRPr="00AE6887">
        <w:rPr>
          <w:rStyle w:val="Refdenotaalpie"/>
          <w:szCs w:val="16"/>
        </w:rPr>
        <w:footnoteRef/>
      </w:r>
      <w:r w:rsidRPr="00AE6887">
        <w:rPr>
          <w:szCs w:val="16"/>
          <w:lang w:val="es-CR"/>
        </w:rPr>
        <w:t xml:space="preserve"> </w:t>
      </w:r>
      <w:r w:rsidRPr="00AE6887">
        <w:rPr>
          <w:szCs w:val="16"/>
          <w:lang w:val="es-CR"/>
        </w:rPr>
        <w:tab/>
        <w:t xml:space="preserve">Adelantada por “la Fiscalía 3 Especializada, adscrita a la Unidad Nacional de Derechos Humanos y DIH” y, posteriormente, </w:t>
      </w:r>
      <w:r w:rsidRPr="00982566">
        <w:rPr>
          <w:szCs w:val="16"/>
          <w:lang w:val="es-CR"/>
        </w:rPr>
        <w:t xml:space="preserve">por la “[F]iscalía 62 especializada adscrita a la Dirección Especializada contra las Violaciones a los Derechos Humanos”. </w:t>
      </w:r>
      <w:r w:rsidR="006A7E89">
        <w:rPr>
          <w:i/>
          <w:szCs w:val="16"/>
          <w:lang w:val="es-CR"/>
        </w:rPr>
        <w:t xml:space="preserve">Cfr. </w:t>
      </w:r>
      <w:r w:rsidRPr="00982566">
        <w:rPr>
          <w:szCs w:val="16"/>
          <w:lang w:val="es-CR"/>
        </w:rPr>
        <w:t>Informes estatales</w:t>
      </w:r>
      <w:r w:rsidR="005351DE">
        <w:rPr>
          <w:szCs w:val="16"/>
          <w:lang w:val="es-CR"/>
        </w:rPr>
        <w:t xml:space="preserve"> de 23 de septiembre de 2013 y 1</w:t>
      </w:r>
      <w:r w:rsidRPr="00982566">
        <w:rPr>
          <w:szCs w:val="16"/>
          <w:lang w:val="es-CR"/>
        </w:rPr>
        <w:t xml:space="preserve">9 de marzo de 2019. </w:t>
      </w:r>
    </w:p>
  </w:footnote>
  <w:footnote w:id="36">
    <w:p w:rsidR="00EB6F13" w:rsidRPr="00982566" w:rsidRDefault="00EB6F13">
      <w:pPr>
        <w:pStyle w:val="Textonotapie"/>
        <w:rPr>
          <w:b/>
          <w:szCs w:val="16"/>
          <w:lang w:val="es-CR"/>
        </w:rPr>
      </w:pPr>
      <w:r w:rsidRPr="00982566">
        <w:rPr>
          <w:rStyle w:val="Refdenotaalpie"/>
          <w:szCs w:val="16"/>
        </w:rPr>
        <w:footnoteRef/>
      </w:r>
      <w:r w:rsidRPr="00982566">
        <w:rPr>
          <w:szCs w:val="16"/>
          <w:lang w:val="es-CR"/>
        </w:rPr>
        <w:t xml:space="preserve"> </w:t>
      </w:r>
      <w:r w:rsidRPr="00AE6887">
        <w:rPr>
          <w:szCs w:val="16"/>
          <w:lang w:val="es-CR"/>
        </w:rPr>
        <w:tab/>
      </w:r>
      <w:r w:rsidRPr="00AE6887">
        <w:rPr>
          <w:i/>
          <w:szCs w:val="16"/>
          <w:lang w:val="es-CR"/>
        </w:rPr>
        <w:t xml:space="preserve">Cfr. </w:t>
      </w:r>
      <w:r w:rsidRPr="00982566">
        <w:rPr>
          <w:szCs w:val="16"/>
          <w:lang w:val="es-CR"/>
        </w:rPr>
        <w:t xml:space="preserve">Informes estatales de 4 de septiembre de 2012, </w:t>
      </w:r>
      <w:r w:rsidRPr="00AE6887">
        <w:rPr>
          <w:szCs w:val="16"/>
          <w:lang w:val="es-CR"/>
        </w:rPr>
        <w:t xml:space="preserve">23 de septiembre de 2013, </w:t>
      </w:r>
      <w:r w:rsidRPr="00982566">
        <w:rPr>
          <w:szCs w:val="16"/>
          <w:lang w:val="es-CR"/>
        </w:rPr>
        <w:t xml:space="preserve">18 de mayo de 2016, 16 de mayo de 2017, 20 de noviembre de 2017 y </w:t>
      </w:r>
      <w:r w:rsidR="005351DE">
        <w:rPr>
          <w:szCs w:val="16"/>
          <w:lang w:val="es-CR"/>
        </w:rPr>
        <w:t>1</w:t>
      </w:r>
      <w:r w:rsidRPr="00982566">
        <w:rPr>
          <w:szCs w:val="16"/>
          <w:lang w:val="es-CR"/>
        </w:rPr>
        <w:t xml:space="preserve">9 de marzo de 2019. </w:t>
      </w:r>
    </w:p>
  </w:footnote>
  <w:footnote w:id="37">
    <w:p w:rsidR="005351DE" w:rsidRPr="005351DE" w:rsidRDefault="005351DE">
      <w:pPr>
        <w:pStyle w:val="Textonotapie"/>
        <w:rPr>
          <w:lang w:val="es-CR"/>
        </w:rPr>
      </w:pPr>
      <w:r>
        <w:rPr>
          <w:rStyle w:val="Refdenotaalpie"/>
        </w:rPr>
        <w:footnoteRef/>
      </w:r>
      <w:r w:rsidRPr="005351DE">
        <w:rPr>
          <w:lang w:val="es-CR"/>
        </w:rPr>
        <w:t xml:space="preserve"> </w:t>
      </w:r>
      <w:r>
        <w:rPr>
          <w:lang w:val="es-CR"/>
        </w:rPr>
        <w:tab/>
      </w:r>
      <w:r>
        <w:rPr>
          <w:i/>
          <w:lang w:val="es-CR"/>
        </w:rPr>
        <w:t xml:space="preserve">Cfr. </w:t>
      </w:r>
      <w:r>
        <w:rPr>
          <w:lang w:val="es-CR"/>
        </w:rPr>
        <w:t>Informe estatal de 4 de septiembre de 2012.</w:t>
      </w:r>
    </w:p>
  </w:footnote>
  <w:footnote w:id="38">
    <w:p w:rsidR="00EB6F13" w:rsidRPr="00982566" w:rsidRDefault="00EB6F13">
      <w:pPr>
        <w:pStyle w:val="Textonotapie"/>
        <w:rPr>
          <w:b/>
          <w:szCs w:val="16"/>
          <w:lang w:val="es-CR"/>
        </w:rPr>
      </w:pPr>
      <w:r w:rsidRPr="00AE6887">
        <w:rPr>
          <w:rStyle w:val="Refdenotaalpie"/>
          <w:szCs w:val="16"/>
        </w:rPr>
        <w:footnoteRef/>
      </w:r>
      <w:r w:rsidRPr="00982566">
        <w:rPr>
          <w:szCs w:val="16"/>
          <w:lang w:val="es-CR"/>
        </w:rPr>
        <w:t xml:space="preserve"> </w:t>
      </w:r>
      <w:r w:rsidRPr="00AE6887">
        <w:rPr>
          <w:szCs w:val="16"/>
          <w:lang w:val="es-CR"/>
        </w:rPr>
        <w:tab/>
      </w:r>
      <w:r w:rsidRPr="00AE6887">
        <w:rPr>
          <w:i/>
          <w:szCs w:val="16"/>
          <w:lang w:val="es-CR"/>
        </w:rPr>
        <w:t xml:space="preserve">Cfr. </w:t>
      </w:r>
      <w:r w:rsidRPr="00982566">
        <w:rPr>
          <w:szCs w:val="16"/>
          <w:lang w:val="es-CR"/>
        </w:rPr>
        <w:t xml:space="preserve">Informes estatales de 4 de septiembre de 2012 </w:t>
      </w:r>
      <w:r w:rsidRPr="00AE6887">
        <w:rPr>
          <w:szCs w:val="16"/>
          <w:lang w:val="es-CR"/>
        </w:rPr>
        <w:t xml:space="preserve">y 19 de marzo de 2019. </w:t>
      </w:r>
    </w:p>
  </w:footnote>
  <w:footnote w:id="39">
    <w:p w:rsidR="00EB6F13" w:rsidRPr="0073131C" w:rsidRDefault="00EB6F13" w:rsidP="00056031">
      <w:pPr>
        <w:pStyle w:val="Textonotapie"/>
        <w:rPr>
          <w:szCs w:val="16"/>
          <w:lang w:val="es-CR"/>
        </w:rPr>
      </w:pPr>
      <w:r w:rsidRPr="0073131C">
        <w:rPr>
          <w:rStyle w:val="Refdenotaalpie"/>
          <w:szCs w:val="16"/>
        </w:rPr>
        <w:footnoteRef/>
      </w:r>
      <w:r w:rsidRPr="0073131C">
        <w:rPr>
          <w:szCs w:val="16"/>
          <w:lang w:val="es-CR"/>
        </w:rPr>
        <w:t xml:space="preserve"> </w:t>
      </w:r>
      <w:r w:rsidRPr="0073131C">
        <w:rPr>
          <w:szCs w:val="16"/>
          <w:lang w:val="es-CR"/>
        </w:rPr>
        <w:tab/>
      </w:r>
      <w:r w:rsidR="00CD7D73">
        <w:rPr>
          <w:i/>
          <w:szCs w:val="16"/>
          <w:lang w:val="es-CR"/>
        </w:rPr>
        <w:t>Cfr.</w:t>
      </w:r>
      <w:r w:rsidR="00165D6E" w:rsidRPr="00165D6E">
        <w:rPr>
          <w:szCs w:val="16"/>
          <w:lang w:val="es-CR"/>
        </w:rPr>
        <w:t xml:space="preserve"> </w:t>
      </w:r>
      <w:r w:rsidR="00165D6E">
        <w:rPr>
          <w:szCs w:val="16"/>
          <w:lang w:val="es-CR"/>
        </w:rPr>
        <w:t xml:space="preserve">Informe “Ampliando el horizonte de la justicia para las víctimas. Informe del estado de cumplimiento de las sentencias de la Corte Interamericana de Derechos Humanos contra Colombia”, </w:t>
      </w:r>
      <w:r w:rsidR="00165D6E">
        <w:rPr>
          <w:i/>
          <w:iCs/>
          <w:szCs w:val="16"/>
          <w:lang w:val="es-CR"/>
        </w:rPr>
        <w:t xml:space="preserve">supra </w:t>
      </w:r>
      <w:r w:rsidR="00165D6E">
        <w:rPr>
          <w:szCs w:val="16"/>
          <w:lang w:val="es-CR"/>
        </w:rPr>
        <w:t xml:space="preserve">Visto </w:t>
      </w:r>
      <w:r w:rsidR="005351DE">
        <w:rPr>
          <w:szCs w:val="16"/>
          <w:lang w:val="es-CR"/>
        </w:rPr>
        <w:t>6</w:t>
      </w:r>
      <w:r w:rsidR="00165D6E">
        <w:rPr>
          <w:szCs w:val="16"/>
          <w:lang w:val="es-CR"/>
        </w:rPr>
        <w:t>, pág</w:t>
      </w:r>
      <w:r w:rsidR="00A779A7">
        <w:rPr>
          <w:szCs w:val="16"/>
          <w:lang w:val="es-CR"/>
        </w:rPr>
        <w:t>s</w:t>
      </w:r>
      <w:r w:rsidR="00165D6E">
        <w:rPr>
          <w:szCs w:val="16"/>
          <w:lang w:val="es-CR"/>
        </w:rPr>
        <w:t>.</w:t>
      </w:r>
      <w:r w:rsidRPr="0073131C">
        <w:rPr>
          <w:szCs w:val="16"/>
          <w:lang w:val="es-CR"/>
        </w:rPr>
        <w:t xml:space="preserve"> 16</w:t>
      </w:r>
      <w:r w:rsidR="00A779A7">
        <w:rPr>
          <w:szCs w:val="16"/>
          <w:lang w:val="es-CR"/>
        </w:rPr>
        <w:t xml:space="preserve"> y 22</w:t>
      </w:r>
      <w:r w:rsidRPr="0073131C">
        <w:rPr>
          <w:szCs w:val="16"/>
          <w:lang w:val="es-CR"/>
        </w:rPr>
        <w:t xml:space="preserve">. </w:t>
      </w:r>
    </w:p>
  </w:footnote>
  <w:footnote w:id="40">
    <w:p w:rsidR="00EB6F13" w:rsidRPr="0073131C" w:rsidRDefault="00EB6F13" w:rsidP="004245D5">
      <w:pPr>
        <w:pStyle w:val="Textonotapie"/>
        <w:rPr>
          <w:szCs w:val="16"/>
          <w:lang w:val="es-CR"/>
        </w:rPr>
      </w:pPr>
      <w:r w:rsidRPr="0073131C">
        <w:rPr>
          <w:rStyle w:val="Refdenotaalpie"/>
          <w:szCs w:val="16"/>
        </w:rPr>
        <w:footnoteRef/>
      </w:r>
      <w:r w:rsidRPr="0073131C">
        <w:rPr>
          <w:szCs w:val="16"/>
          <w:lang w:val="es-CR"/>
        </w:rPr>
        <w:t xml:space="preserve"> </w:t>
      </w:r>
      <w:r w:rsidRPr="0073131C">
        <w:rPr>
          <w:szCs w:val="16"/>
          <w:lang w:val="es-CR"/>
        </w:rPr>
        <w:tab/>
        <w:t xml:space="preserve">Los representantes indicaron que “[l]a retracción de la Fiscalía a la participación de las víctimas en diligencias investigativas importantes, se observa a través de tres fuentes principales: (i) absteniéndose de informar y comunicar a los representantes de las víctimas de las reuniones de definición de acciones de investigación y de metodología de trabajo, (ii) no comunicado con suficiente antelación del desarrollo de diligencias, [y] (iii) no indicando la realización de actuaciones judiciales”. </w:t>
      </w:r>
      <w:r>
        <w:rPr>
          <w:i/>
          <w:szCs w:val="16"/>
          <w:lang w:val="es-CR"/>
        </w:rPr>
        <w:t xml:space="preserve">Cfr. </w:t>
      </w:r>
      <w:r w:rsidRPr="0073131C">
        <w:rPr>
          <w:szCs w:val="16"/>
          <w:lang w:val="es-CR"/>
        </w:rPr>
        <w:t xml:space="preserve">Escrito de observaciones de los representantes de 8 de octubre de 2012. </w:t>
      </w:r>
    </w:p>
  </w:footnote>
  <w:footnote w:id="41">
    <w:p w:rsidR="00EB6F13" w:rsidRPr="0073131C" w:rsidRDefault="00EB6F13" w:rsidP="00543EE9">
      <w:pPr>
        <w:pStyle w:val="Textonotapie"/>
        <w:rPr>
          <w:szCs w:val="16"/>
          <w:lang w:val="es-CR"/>
        </w:rPr>
      </w:pPr>
      <w:r w:rsidRPr="0073131C">
        <w:rPr>
          <w:rStyle w:val="Refdenotaalpie"/>
          <w:szCs w:val="16"/>
        </w:rPr>
        <w:footnoteRef/>
      </w:r>
      <w:r w:rsidRPr="0073131C">
        <w:rPr>
          <w:szCs w:val="16"/>
          <w:lang w:val="es-CR"/>
        </w:rPr>
        <w:t xml:space="preserve"> </w:t>
      </w:r>
      <w:r w:rsidRPr="0073131C">
        <w:rPr>
          <w:szCs w:val="16"/>
          <w:lang w:val="es-CR"/>
        </w:rPr>
        <w:tab/>
      </w:r>
      <w:r w:rsidR="006A0798">
        <w:rPr>
          <w:i/>
          <w:szCs w:val="16"/>
          <w:lang w:val="es-CR"/>
        </w:rPr>
        <w:t xml:space="preserve">Cfr. </w:t>
      </w:r>
      <w:r w:rsidRPr="0073131C">
        <w:rPr>
          <w:szCs w:val="16"/>
          <w:lang w:val="es-CR"/>
        </w:rPr>
        <w:t xml:space="preserve">Escrito de observaciones de los representantes de 8 de octubre de 2012. </w:t>
      </w:r>
    </w:p>
  </w:footnote>
  <w:footnote w:id="42">
    <w:p w:rsidR="00EB6F13" w:rsidRPr="00812BD0" w:rsidRDefault="00EB6F13" w:rsidP="00543EE9">
      <w:pPr>
        <w:pStyle w:val="Textonotapie"/>
        <w:rPr>
          <w:b/>
          <w:lang w:val="es-CR"/>
        </w:rPr>
      </w:pPr>
      <w:r>
        <w:rPr>
          <w:rStyle w:val="Refdenotaalpie"/>
        </w:rPr>
        <w:footnoteRef/>
      </w:r>
      <w:r w:rsidRPr="00812BD0">
        <w:rPr>
          <w:lang w:val="es-CR"/>
        </w:rPr>
        <w:t xml:space="preserve"> </w:t>
      </w:r>
      <w:r>
        <w:rPr>
          <w:lang w:val="es-CR"/>
        </w:rPr>
        <w:tab/>
        <w:t xml:space="preserve">Por ejemplo, los representantes de las víctimas señalaron que después del </w:t>
      </w:r>
      <w:r w:rsidRPr="003046E7">
        <w:rPr>
          <w:lang w:val="es-CR"/>
        </w:rPr>
        <w:t>“Informe de Policía Judicial No. 744303</w:t>
      </w:r>
      <w:r>
        <w:rPr>
          <w:lang w:val="es-CR"/>
        </w:rPr>
        <w:t xml:space="preserve">” emitido el 4 de febrero de 2013, se realizó un estudio y </w:t>
      </w:r>
      <w:r w:rsidRPr="003046E7">
        <w:rPr>
          <w:lang w:val="es-CR"/>
        </w:rPr>
        <w:t xml:space="preserve">“dentro de la diferente información objeto de análisis se resaltan señalamientos concretos sobre presuntos autores y coautores del secuestro y desaparición forzada de las víctimas”. </w:t>
      </w:r>
      <w:r>
        <w:rPr>
          <w:lang w:val="es-CR"/>
        </w:rPr>
        <w:t xml:space="preserve">No obstante, </w:t>
      </w:r>
      <w:r w:rsidRPr="003046E7">
        <w:rPr>
          <w:lang w:val="es-CR"/>
        </w:rPr>
        <w:t xml:space="preserve">“[p]ese a lo anterior, el fiscal </w:t>
      </w:r>
      <w:r>
        <w:rPr>
          <w:lang w:val="es-CR"/>
        </w:rPr>
        <w:t xml:space="preserve">[…] </w:t>
      </w:r>
      <w:r w:rsidRPr="003046E7">
        <w:rPr>
          <w:lang w:val="es-CR"/>
        </w:rPr>
        <w:t xml:space="preserve">encargado de la investigación </w:t>
      </w:r>
      <w:r>
        <w:rPr>
          <w:lang w:val="es-CR"/>
        </w:rPr>
        <w:t>[…]</w:t>
      </w:r>
      <w:r w:rsidRPr="003046E7">
        <w:rPr>
          <w:lang w:val="es-CR"/>
        </w:rPr>
        <w:t xml:space="preserve"> no ha ordenado la práctica de medios de prueba que proyecten la continuidad en estas importantes labores investigativas que sugiere el Informe de Policía Judicial -allegado en las postrimerías de cumplirse 24 años de ocurrido el crimen- donde se visualiza con claridad señalamientos concretos sobre responsabilidades individuales. Por el contrario, el despacho fiscal se ha limitado a reiterar medios de prueba</w:t>
      </w:r>
      <w:r>
        <w:rPr>
          <w:lang w:val="es-CR"/>
        </w:rPr>
        <w:t xml:space="preserve">”. </w:t>
      </w:r>
      <w:r>
        <w:rPr>
          <w:i/>
          <w:lang w:val="es-CR"/>
        </w:rPr>
        <w:t xml:space="preserve">Cfr. </w:t>
      </w:r>
      <w:r>
        <w:rPr>
          <w:lang w:val="es-CR"/>
        </w:rPr>
        <w:t xml:space="preserve">Escrito de observaciones de los representantes de 6 de noviembre de 2013. </w:t>
      </w:r>
    </w:p>
  </w:footnote>
  <w:footnote w:id="43">
    <w:p w:rsidR="00EB6F13" w:rsidRPr="00982566" w:rsidRDefault="00EB6F13">
      <w:pPr>
        <w:pStyle w:val="Textonotapie"/>
        <w:rPr>
          <w:b/>
          <w:lang w:val="es-CR"/>
        </w:rPr>
      </w:pPr>
      <w:r>
        <w:rPr>
          <w:rStyle w:val="Refdenotaalpie"/>
        </w:rPr>
        <w:footnoteRef/>
      </w:r>
      <w:r w:rsidRPr="00982566">
        <w:rPr>
          <w:lang w:val="es-CR"/>
        </w:rPr>
        <w:t xml:space="preserve"> </w:t>
      </w:r>
      <w:r>
        <w:rPr>
          <w:lang w:val="es-CR"/>
        </w:rPr>
        <w:tab/>
      </w:r>
      <w:r w:rsidR="006A0798">
        <w:rPr>
          <w:i/>
          <w:szCs w:val="16"/>
          <w:lang w:val="es-CR"/>
        </w:rPr>
        <w:t xml:space="preserve">Cfr. </w:t>
      </w:r>
      <w:r>
        <w:rPr>
          <w:lang w:val="es-CR"/>
        </w:rPr>
        <w:t>Escrito de observaciones de los representantes de 30 de agosto de 2017.</w:t>
      </w:r>
    </w:p>
  </w:footnote>
  <w:footnote w:id="44">
    <w:p w:rsidR="00EB6F13" w:rsidRPr="0073131C" w:rsidRDefault="00EB6F13" w:rsidP="00003BBF">
      <w:pPr>
        <w:pStyle w:val="Textonotapie"/>
        <w:rPr>
          <w:szCs w:val="16"/>
          <w:lang w:val="es-CR"/>
        </w:rPr>
      </w:pPr>
      <w:r w:rsidRPr="0073131C">
        <w:rPr>
          <w:rStyle w:val="Refdenotaalpie"/>
          <w:szCs w:val="16"/>
        </w:rPr>
        <w:footnoteRef/>
      </w:r>
      <w:r w:rsidRPr="0073131C">
        <w:rPr>
          <w:szCs w:val="16"/>
          <w:lang w:val="es-CR"/>
        </w:rPr>
        <w:t xml:space="preserve"> </w:t>
      </w:r>
      <w:r w:rsidRPr="0073131C">
        <w:rPr>
          <w:szCs w:val="16"/>
          <w:lang w:val="es-CR"/>
        </w:rPr>
        <w:tab/>
      </w:r>
      <w:r w:rsidR="006A0798">
        <w:rPr>
          <w:i/>
          <w:szCs w:val="16"/>
          <w:lang w:val="es-CR"/>
        </w:rPr>
        <w:t xml:space="preserve">Cfr. </w:t>
      </w:r>
      <w:r w:rsidRPr="0073131C">
        <w:rPr>
          <w:szCs w:val="16"/>
          <w:lang w:val="es-CR"/>
        </w:rPr>
        <w:t xml:space="preserve">Escrito de observaciones de los representantes de 30 de agosto de 2017. </w:t>
      </w:r>
    </w:p>
  </w:footnote>
  <w:footnote w:id="45">
    <w:p w:rsidR="00EB6F13" w:rsidRPr="0073131C" w:rsidRDefault="00EB6F13" w:rsidP="004245D5">
      <w:pPr>
        <w:pStyle w:val="Textonotapie"/>
        <w:rPr>
          <w:szCs w:val="16"/>
          <w:lang w:val="es-CR"/>
        </w:rPr>
      </w:pPr>
      <w:r w:rsidRPr="0073131C">
        <w:rPr>
          <w:rStyle w:val="Refdenotaalpie"/>
          <w:szCs w:val="16"/>
        </w:rPr>
        <w:footnoteRef/>
      </w:r>
      <w:r w:rsidRPr="0073131C">
        <w:rPr>
          <w:szCs w:val="16"/>
          <w:lang w:val="es-CR"/>
        </w:rPr>
        <w:t xml:space="preserve"> </w:t>
      </w:r>
      <w:r w:rsidRPr="0073131C">
        <w:rPr>
          <w:szCs w:val="16"/>
          <w:lang w:val="es-CR"/>
        </w:rPr>
        <w:tab/>
      </w:r>
      <w:r w:rsidR="006A0798">
        <w:rPr>
          <w:i/>
          <w:szCs w:val="16"/>
          <w:lang w:val="es-CR"/>
        </w:rPr>
        <w:t xml:space="preserve">Cfr. </w:t>
      </w:r>
      <w:r w:rsidRPr="0073131C">
        <w:rPr>
          <w:szCs w:val="16"/>
          <w:lang w:val="es-CR"/>
        </w:rPr>
        <w:t xml:space="preserve">Escrito de observaciones de los representantes de 15 de marzo de 2018. </w:t>
      </w:r>
    </w:p>
  </w:footnote>
  <w:footnote w:id="46">
    <w:p w:rsidR="00EB6F13" w:rsidRPr="00982566" w:rsidRDefault="00EB6F13">
      <w:pPr>
        <w:pStyle w:val="Textonotapie"/>
        <w:rPr>
          <w:lang w:val="es-CR"/>
        </w:rPr>
      </w:pPr>
      <w:r>
        <w:rPr>
          <w:rStyle w:val="Refdenotaalpie"/>
        </w:rPr>
        <w:footnoteRef/>
      </w:r>
      <w:r w:rsidRPr="00982566">
        <w:rPr>
          <w:lang w:val="es-CR"/>
        </w:rPr>
        <w:t xml:space="preserve"> </w:t>
      </w:r>
      <w:r>
        <w:rPr>
          <w:lang w:val="es-CR"/>
        </w:rPr>
        <w:tab/>
      </w:r>
      <w:r>
        <w:rPr>
          <w:i/>
          <w:lang w:val="es-CR"/>
        </w:rPr>
        <w:t xml:space="preserve">Cfr. </w:t>
      </w:r>
      <w:r>
        <w:rPr>
          <w:lang w:val="es-CR"/>
        </w:rPr>
        <w:t xml:space="preserve">Resolución suscrita por el Fiscal 48 Especializado de la Dirección Especializada contra las violaciones a los Derechos Humanos de la Fiscalía General de la Nación de 26 de marzo de 2019 (anexo al escrito de observaciones de los representantes de 3 de abril de 2019). </w:t>
      </w:r>
    </w:p>
  </w:footnote>
  <w:footnote w:id="47">
    <w:p w:rsidR="00EB6F13" w:rsidRPr="00982566" w:rsidRDefault="00EB6F13">
      <w:pPr>
        <w:pStyle w:val="Textonotapie"/>
        <w:rPr>
          <w:i/>
          <w:lang w:val="es-CR"/>
        </w:rPr>
      </w:pPr>
      <w:r>
        <w:rPr>
          <w:rStyle w:val="Refdenotaalpie"/>
        </w:rPr>
        <w:footnoteRef/>
      </w:r>
      <w:r w:rsidRPr="00982566">
        <w:rPr>
          <w:lang w:val="es-CR"/>
        </w:rPr>
        <w:t xml:space="preserve"> </w:t>
      </w:r>
      <w:r>
        <w:rPr>
          <w:lang w:val="es-CR"/>
        </w:rPr>
        <w:tab/>
      </w:r>
      <w:r>
        <w:rPr>
          <w:i/>
          <w:lang w:val="es-CR"/>
        </w:rPr>
        <w:t xml:space="preserve">Cfr. </w:t>
      </w:r>
      <w:r w:rsidRPr="0073131C">
        <w:rPr>
          <w:szCs w:val="16"/>
          <w:lang w:val="es-CR"/>
        </w:rPr>
        <w:t>Escrito de observac</w:t>
      </w:r>
      <w:r w:rsidR="004B0DBD">
        <w:rPr>
          <w:szCs w:val="16"/>
          <w:lang w:val="es-CR"/>
        </w:rPr>
        <w:t xml:space="preserve">iones de los representantes de </w:t>
      </w:r>
      <w:r w:rsidRPr="0073131C">
        <w:rPr>
          <w:szCs w:val="16"/>
          <w:lang w:val="es-CR"/>
        </w:rPr>
        <w:t>3 de abril de 2019.</w:t>
      </w:r>
    </w:p>
  </w:footnote>
  <w:footnote w:id="48">
    <w:p w:rsidR="00EB6F13" w:rsidRPr="00982566" w:rsidRDefault="00EB6F13" w:rsidP="006A5619">
      <w:pPr>
        <w:pStyle w:val="Textonotapie"/>
        <w:rPr>
          <w:szCs w:val="16"/>
          <w:lang w:val="es-CR"/>
        </w:rPr>
      </w:pPr>
      <w:r w:rsidRPr="00982566">
        <w:rPr>
          <w:rStyle w:val="Refdenotaalpie"/>
          <w:szCs w:val="16"/>
        </w:rPr>
        <w:footnoteRef/>
      </w:r>
      <w:r w:rsidRPr="00982566">
        <w:rPr>
          <w:szCs w:val="16"/>
          <w:lang w:val="es-CR"/>
        </w:rPr>
        <w:t xml:space="preserve"> </w:t>
      </w:r>
      <w:r w:rsidRPr="00982566">
        <w:rPr>
          <w:szCs w:val="16"/>
          <w:lang w:val="es-CR"/>
        </w:rPr>
        <w:tab/>
      </w:r>
      <w:r w:rsidRPr="00982566">
        <w:rPr>
          <w:i/>
          <w:szCs w:val="16"/>
          <w:lang w:val="es-CR"/>
        </w:rPr>
        <w:t>Cfr. Caso Velásquez Rodríguez Vs. Honduras. Fondo</w:t>
      </w:r>
      <w:r w:rsidRPr="00982566">
        <w:rPr>
          <w:szCs w:val="16"/>
          <w:lang w:val="es-CR"/>
        </w:rPr>
        <w:t xml:space="preserve">. Sentencia de 29 de julio de 1988. Serie C No. 4, párr. 177 y </w:t>
      </w:r>
      <w:r w:rsidRPr="00982566">
        <w:rPr>
          <w:i/>
          <w:szCs w:val="16"/>
          <w:lang w:val="es-CR"/>
        </w:rPr>
        <w:t>Caso Acosta y otros Vs. Nicaragua</w:t>
      </w:r>
      <w:r w:rsidR="00CD3F10">
        <w:rPr>
          <w:i/>
          <w:szCs w:val="16"/>
          <w:lang w:val="es-CR"/>
        </w:rPr>
        <w:t>.</w:t>
      </w:r>
      <w:r w:rsidRPr="00982566">
        <w:rPr>
          <w:i/>
          <w:szCs w:val="16"/>
          <w:lang w:val="es-CR"/>
        </w:rPr>
        <w:t xml:space="preserve"> </w:t>
      </w:r>
      <w:r w:rsidR="00CD3F10" w:rsidRPr="00CD3F10">
        <w:rPr>
          <w:i/>
          <w:szCs w:val="16"/>
          <w:lang w:val="es-CR"/>
        </w:rPr>
        <w:t xml:space="preserve">Excepciones Preliminares, Fondo, Reparaciones y Costas. </w:t>
      </w:r>
      <w:r w:rsidR="00CD3F10" w:rsidRPr="00982566">
        <w:rPr>
          <w:szCs w:val="16"/>
          <w:lang w:val="es-CR"/>
        </w:rPr>
        <w:t>Sentencia de 25 de marzo de 2017. Serie C No. 334</w:t>
      </w:r>
      <w:r w:rsidRPr="00982566">
        <w:rPr>
          <w:szCs w:val="16"/>
          <w:lang w:val="es-CR"/>
        </w:rPr>
        <w:t xml:space="preserve">, párr. 132. Ver también </w:t>
      </w:r>
      <w:r w:rsidRPr="00982566">
        <w:rPr>
          <w:bCs/>
          <w:i/>
          <w:color w:val="000000"/>
          <w:szCs w:val="16"/>
          <w:shd w:val="clear" w:color="auto" w:fill="FFFFFF"/>
          <w:lang w:val="es-ES_tradnl"/>
        </w:rPr>
        <w:t>12 Casos Guatemaltecos Vs. Guatemala. Supervisión de Cumplimiento de Sentencia</w:t>
      </w:r>
      <w:r w:rsidRPr="00982566">
        <w:rPr>
          <w:bCs/>
          <w:color w:val="000000"/>
          <w:szCs w:val="16"/>
          <w:shd w:val="clear" w:color="auto" w:fill="FFFFFF"/>
          <w:lang w:val="es-ES_tradnl"/>
        </w:rPr>
        <w:t>. Resolución de la Corte Interamericana de Derechos Humanos de 24 de noviembre de 2015, Considerando 123.</w:t>
      </w:r>
    </w:p>
  </w:footnote>
  <w:footnote w:id="49">
    <w:p w:rsidR="00EB6F13" w:rsidRPr="00982566" w:rsidRDefault="00EB6F13" w:rsidP="006A5619">
      <w:pPr>
        <w:pStyle w:val="Textonotapie"/>
        <w:rPr>
          <w:szCs w:val="16"/>
          <w:lang w:val="es-CR"/>
        </w:rPr>
      </w:pPr>
      <w:r w:rsidRPr="00982566">
        <w:rPr>
          <w:rStyle w:val="Refdenotaalpie"/>
          <w:szCs w:val="16"/>
        </w:rPr>
        <w:footnoteRef/>
      </w:r>
      <w:r w:rsidRPr="00982566">
        <w:rPr>
          <w:szCs w:val="16"/>
          <w:lang w:val="es-CR"/>
        </w:rPr>
        <w:t xml:space="preserve"> </w:t>
      </w:r>
      <w:r w:rsidRPr="00982566">
        <w:rPr>
          <w:szCs w:val="16"/>
          <w:lang w:val="es-CR"/>
        </w:rPr>
        <w:tab/>
      </w:r>
      <w:r w:rsidRPr="00982566">
        <w:rPr>
          <w:i/>
          <w:szCs w:val="16"/>
          <w:lang w:val="es-CR"/>
        </w:rPr>
        <w:t xml:space="preserve">Cfr. Caso Velásquez Rodríguez Vs. Honduras, supra </w:t>
      </w:r>
      <w:r w:rsidRPr="00982566">
        <w:rPr>
          <w:szCs w:val="16"/>
          <w:lang w:val="es-CR"/>
        </w:rPr>
        <w:t xml:space="preserve">nota </w:t>
      </w:r>
      <w:r w:rsidR="0037013E">
        <w:rPr>
          <w:szCs w:val="16"/>
          <w:lang w:val="es-CR"/>
        </w:rPr>
        <w:t>46</w:t>
      </w:r>
      <w:r w:rsidRPr="00982566">
        <w:rPr>
          <w:szCs w:val="16"/>
          <w:lang w:val="es-CR"/>
        </w:rPr>
        <w:t xml:space="preserve">, </w:t>
      </w:r>
      <w:r w:rsidRPr="00982566">
        <w:rPr>
          <w:szCs w:val="16"/>
          <w:lang w:val="pt-BR"/>
        </w:rPr>
        <w:t xml:space="preserve">párr. </w:t>
      </w:r>
      <w:r w:rsidRPr="00982566">
        <w:rPr>
          <w:szCs w:val="16"/>
          <w:lang w:val="es-CR"/>
        </w:rPr>
        <w:t xml:space="preserve">177 y </w:t>
      </w:r>
      <w:r w:rsidRPr="00982566">
        <w:rPr>
          <w:i/>
          <w:szCs w:val="16"/>
          <w:lang w:val="es-CR"/>
        </w:rPr>
        <w:t xml:space="preserve">Caso Acosta y otros Vs. Nicaragua. supra </w:t>
      </w:r>
      <w:r w:rsidRPr="00982566">
        <w:rPr>
          <w:szCs w:val="16"/>
          <w:lang w:val="es-CR"/>
        </w:rPr>
        <w:t xml:space="preserve">nota </w:t>
      </w:r>
      <w:r w:rsidR="0037013E">
        <w:rPr>
          <w:szCs w:val="16"/>
          <w:lang w:val="es-CR"/>
        </w:rPr>
        <w:t>46</w:t>
      </w:r>
      <w:r w:rsidRPr="00982566">
        <w:rPr>
          <w:szCs w:val="16"/>
          <w:lang w:val="es-CR"/>
        </w:rPr>
        <w:t xml:space="preserve">, párr. 132. Ver también </w:t>
      </w:r>
      <w:r w:rsidRPr="00982566">
        <w:rPr>
          <w:bCs/>
          <w:i/>
          <w:color w:val="000000"/>
          <w:szCs w:val="16"/>
          <w:shd w:val="clear" w:color="auto" w:fill="FFFFFF"/>
          <w:lang w:val="es-ES_tradnl"/>
        </w:rPr>
        <w:t xml:space="preserve">12 Casos Guatemaltecos Vs. Guatemala, supra </w:t>
      </w:r>
      <w:r w:rsidRPr="00982566">
        <w:rPr>
          <w:bCs/>
          <w:color w:val="000000"/>
          <w:szCs w:val="16"/>
          <w:shd w:val="clear" w:color="auto" w:fill="FFFFFF"/>
          <w:lang w:val="es-ES_tradnl"/>
        </w:rPr>
        <w:t xml:space="preserve">nota </w:t>
      </w:r>
      <w:r w:rsidR="0037013E">
        <w:rPr>
          <w:bCs/>
          <w:color w:val="000000"/>
          <w:szCs w:val="16"/>
          <w:shd w:val="clear" w:color="auto" w:fill="FFFFFF"/>
          <w:lang w:val="es-ES_tradnl"/>
        </w:rPr>
        <w:t>46</w:t>
      </w:r>
      <w:r w:rsidRPr="00982566">
        <w:rPr>
          <w:bCs/>
          <w:color w:val="000000"/>
          <w:szCs w:val="16"/>
          <w:shd w:val="clear" w:color="auto" w:fill="FFFFFF"/>
          <w:lang w:val="es-ES_tradnl"/>
        </w:rPr>
        <w:t xml:space="preserve">, Considerando 123. </w:t>
      </w:r>
    </w:p>
  </w:footnote>
  <w:footnote w:id="50">
    <w:p w:rsidR="00EB6F13" w:rsidRPr="00982566" w:rsidRDefault="00EB6F13" w:rsidP="006A5619">
      <w:pPr>
        <w:pStyle w:val="Textonotapie"/>
        <w:rPr>
          <w:szCs w:val="16"/>
          <w:lang w:val="es-CR"/>
        </w:rPr>
      </w:pPr>
      <w:r w:rsidRPr="00982566">
        <w:rPr>
          <w:rStyle w:val="Refdenotaalpie"/>
          <w:szCs w:val="16"/>
          <w:lang w:val="es-CR"/>
        </w:rPr>
        <w:footnoteRef/>
      </w:r>
      <w:r w:rsidRPr="00982566">
        <w:rPr>
          <w:szCs w:val="16"/>
          <w:lang w:val="es-CR"/>
        </w:rPr>
        <w:t xml:space="preserve"> </w:t>
      </w:r>
      <w:r w:rsidRPr="00982566">
        <w:rPr>
          <w:szCs w:val="16"/>
          <w:lang w:val="es-CR"/>
        </w:rPr>
        <w:tab/>
      </w:r>
      <w:r w:rsidRPr="00982566">
        <w:rPr>
          <w:i/>
          <w:szCs w:val="16"/>
          <w:lang w:val="es-CR"/>
        </w:rPr>
        <w:t>Cfr</w:t>
      </w:r>
      <w:r w:rsidRPr="00982566">
        <w:rPr>
          <w:szCs w:val="16"/>
          <w:lang w:val="es-CR"/>
        </w:rPr>
        <w:t xml:space="preserve">. </w:t>
      </w:r>
      <w:r w:rsidRPr="00982566">
        <w:rPr>
          <w:i/>
          <w:szCs w:val="16"/>
          <w:lang w:val="es-CR"/>
        </w:rPr>
        <w:t>Caso del Caracazo Vs. Venezuela. Reparaciones y Costas</w:t>
      </w:r>
      <w:r w:rsidRPr="00982566">
        <w:rPr>
          <w:szCs w:val="16"/>
          <w:lang w:val="es-CR"/>
        </w:rPr>
        <w:t xml:space="preserve">. Sentencia de 29 de agosto de 2002. Serie C No. 95, párr. 118 y </w:t>
      </w:r>
      <w:r w:rsidRPr="00982566">
        <w:rPr>
          <w:i/>
          <w:szCs w:val="16"/>
          <w:lang w:val="es-CR"/>
        </w:rPr>
        <w:t>Caso F</w:t>
      </w:r>
      <w:r w:rsidR="0037013E">
        <w:rPr>
          <w:i/>
          <w:szCs w:val="16"/>
          <w:lang w:val="es-CR"/>
        </w:rPr>
        <w:t xml:space="preserve">avela Nova Brasília Vs. Brasil. </w:t>
      </w:r>
      <w:r w:rsidR="0037013E" w:rsidRPr="0037013E">
        <w:rPr>
          <w:i/>
          <w:szCs w:val="16"/>
          <w:lang w:val="es-CR"/>
        </w:rPr>
        <w:t xml:space="preserve">Excepciones Preliminares, Fondo, Reparaciones y Costas. </w:t>
      </w:r>
      <w:r w:rsidR="0037013E" w:rsidRPr="0037013E">
        <w:rPr>
          <w:szCs w:val="16"/>
          <w:lang w:val="es-CR"/>
        </w:rPr>
        <w:t>Sentencia de 16 de f</w:t>
      </w:r>
      <w:r w:rsidR="0037013E">
        <w:rPr>
          <w:szCs w:val="16"/>
          <w:lang w:val="es-CR"/>
        </w:rPr>
        <w:t>ebrero de 2017. Serie C No. 333,</w:t>
      </w:r>
      <w:r w:rsidRPr="00982566">
        <w:rPr>
          <w:szCs w:val="16"/>
          <w:lang w:val="es-CR"/>
        </w:rPr>
        <w:t xml:space="preserve"> párr. 292. Ver también </w:t>
      </w:r>
      <w:r w:rsidRPr="00982566">
        <w:rPr>
          <w:bCs/>
          <w:i/>
          <w:color w:val="000000"/>
          <w:szCs w:val="16"/>
          <w:shd w:val="clear" w:color="auto" w:fill="FFFFFF"/>
          <w:lang w:val="es-CR"/>
        </w:rPr>
        <w:t xml:space="preserve">12 Casos Guatemaltecos Vs. Guatemala, supra </w:t>
      </w:r>
      <w:r w:rsidRPr="00982566">
        <w:rPr>
          <w:bCs/>
          <w:color w:val="000000"/>
          <w:szCs w:val="16"/>
          <w:shd w:val="clear" w:color="auto" w:fill="FFFFFF"/>
          <w:lang w:val="es-CR"/>
        </w:rPr>
        <w:t xml:space="preserve">nota </w:t>
      </w:r>
      <w:r w:rsidR="0037013E">
        <w:rPr>
          <w:bCs/>
          <w:color w:val="000000"/>
          <w:szCs w:val="16"/>
          <w:shd w:val="clear" w:color="auto" w:fill="FFFFFF"/>
          <w:lang w:val="es-CR"/>
        </w:rPr>
        <w:t>46</w:t>
      </w:r>
      <w:r w:rsidRPr="00982566">
        <w:rPr>
          <w:bCs/>
          <w:color w:val="000000"/>
          <w:szCs w:val="16"/>
          <w:shd w:val="clear" w:color="auto" w:fill="FFFFFF"/>
          <w:lang w:val="es-CR"/>
        </w:rPr>
        <w:t>, Considerando 40.</w:t>
      </w:r>
    </w:p>
  </w:footnote>
  <w:footnote w:id="51">
    <w:p w:rsidR="00EB6F13" w:rsidRPr="00982566" w:rsidRDefault="00EB6F13" w:rsidP="006A5619">
      <w:pPr>
        <w:autoSpaceDE w:val="0"/>
        <w:autoSpaceDN w:val="0"/>
        <w:adjustRightInd w:val="0"/>
        <w:spacing w:after="0" w:line="240" w:lineRule="auto"/>
        <w:jc w:val="both"/>
        <w:rPr>
          <w:rFonts w:ascii="Verdana" w:hAnsi="Verdana"/>
          <w:b/>
          <w:sz w:val="16"/>
          <w:szCs w:val="16"/>
          <w:lang w:val="es-CR"/>
        </w:rPr>
      </w:pPr>
      <w:r w:rsidRPr="00AE6887">
        <w:rPr>
          <w:rStyle w:val="Refdenotaalpie"/>
          <w:rFonts w:ascii="Verdana" w:hAnsi="Verdana"/>
          <w:sz w:val="16"/>
          <w:szCs w:val="16"/>
        </w:rPr>
        <w:footnoteRef/>
      </w:r>
      <w:r w:rsidRPr="00AE6887">
        <w:rPr>
          <w:rFonts w:ascii="Verdana" w:hAnsi="Verdana"/>
          <w:sz w:val="16"/>
          <w:szCs w:val="16"/>
          <w:lang w:val="es-CR"/>
        </w:rPr>
        <w:t xml:space="preserve"> </w:t>
      </w:r>
      <w:r w:rsidRPr="00AE6887">
        <w:rPr>
          <w:rFonts w:ascii="Verdana" w:hAnsi="Verdana"/>
          <w:b/>
          <w:sz w:val="16"/>
          <w:szCs w:val="16"/>
          <w:lang w:val="es-CR"/>
        </w:rPr>
        <w:tab/>
      </w:r>
      <w:r w:rsidRPr="00982566">
        <w:rPr>
          <w:rFonts w:ascii="Verdana" w:hAnsi="Verdana"/>
          <w:i/>
          <w:sz w:val="16"/>
          <w:szCs w:val="16"/>
          <w:lang w:val="es-CR"/>
        </w:rPr>
        <w:t xml:space="preserve">Cfr. Caso Juan Humberto Sánchez Vs. Honduras. Excepción Preliminar, Fondo, Reparaciones y Costas. </w:t>
      </w:r>
      <w:r w:rsidRPr="00982566">
        <w:rPr>
          <w:rFonts w:ascii="Verdana" w:hAnsi="Verdana"/>
          <w:sz w:val="16"/>
          <w:szCs w:val="16"/>
          <w:lang w:val="es-CR"/>
        </w:rPr>
        <w:t xml:space="preserve">Sentencia de 7 de junio de 2003. Serie C No. 99, párr. 127 y </w:t>
      </w:r>
      <w:r w:rsidRPr="00982566">
        <w:rPr>
          <w:rFonts w:ascii="Verdana" w:hAnsi="Verdana"/>
          <w:i/>
          <w:sz w:val="16"/>
          <w:szCs w:val="16"/>
          <w:lang w:val="es-CR"/>
        </w:rPr>
        <w:t xml:space="preserve">Caso Acosta y otros Vs. Nicaragua, supra </w:t>
      </w:r>
      <w:r w:rsidRPr="00982566">
        <w:rPr>
          <w:rFonts w:ascii="Verdana" w:hAnsi="Verdana"/>
          <w:sz w:val="16"/>
          <w:szCs w:val="16"/>
          <w:lang w:val="es-CR"/>
        </w:rPr>
        <w:t xml:space="preserve">nota </w:t>
      </w:r>
      <w:r w:rsidR="00DF6AD7">
        <w:rPr>
          <w:rFonts w:ascii="Verdana" w:hAnsi="Verdana"/>
          <w:sz w:val="16"/>
          <w:szCs w:val="16"/>
          <w:lang w:val="es-CR"/>
        </w:rPr>
        <w:t>46</w:t>
      </w:r>
      <w:r w:rsidRPr="00982566">
        <w:rPr>
          <w:rFonts w:ascii="Verdana" w:hAnsi="Verdana"/>
          <w:sz w:val="16"/>
          <w:szCs w:val="16"/>
          <w:lang w:val="es-CR"/>
        </w:rPr>
        <w:t xml:space="preserve">, párr. 132. Ver también </w:t>
      </w:r>
      <w:r w:rsidRPr="00982566">
        <w:rPr>
          <w:rFonts w:ascii="Verdana" w:hAnsi="Verdana"/>
          <w:bCs/>
          <w:i/>
          <w:color w:val="000000"/>
          <w:sz w:val="16"/>
          <w:szCs w:val="16"/>
          <w:shd w:val="clear" w:color="auto" w:fill="FFFFFF"/>
          <w:lang w:val="es-ES_tradnl"/>
        </w:rPr>
        <w:t xml:space="preserve">12 Casos Guatemaltecos Vs. Guatemala, supra </w:t>
      </w:r>
      <w:r w:rsidRPr="00982566">
        <w:rPr>
          <w:rFonts w:ascii="Verdana" w:hAnsi="Verdana"/>
          <w:bCs/>
          <w:color w:val="000000"/>
          <w:sz w:val="16"/>
          <w:szCs w:val="16"/>
          <w:shd w:val="clear" w:color="auto" w:fill="FFFFFF"/>
          <w:lang w:val="es-ES_tradnl"/>
        </w:rPr>
        <w:t xml:space="preserve">nota </w:t>
      </w:r>
      <w:r w:rsidR="00DF6AD7">
        <w:rPr>
          <w:rFonts w:ascii="Verdana" w:hAnsi="Verdana"/>
          <w:bCs/>
          <w:color w:val="000000"/>
          <w:sz w:val="16"/>
          <w:szCs w:val="16"/>
          <w:shd w:val="clear" w:color="auto" w:fill="FFFFFF"/>
          <w:lang w:val="es-ES_tradnl"/>
        </w:rPr>
        <w:t>46</w:t>
      </w:r>
      <w:r w:rsidRPr="00982566">
        <w:rPr>
          <w:rFonts w:ascii="Verdana" w:hAnsi="Verdana"/>
          <w:bCs/>
          <w:color w:val="000000"/>
          <w:sz w:val="16"/>
          <w:szCs w:val="16"/>
          <w:shd w:val="clear" w:color="auto" w:fill="FFFFFF"/>
          <w:lang w:val="es-ES_tradnl"/>
        </w:rPr>
        <w:t>, Considerando 123.</w:t>
      </w:r>
    </w:p>
  </w:footnote>
  <w:footnote w:id="52">
    <w:p w:rsidR="00EB6F13" w:rsidRPr="00982566" w:rsidRDefault="00EB6F13" w:rsidP="006A5619">
      <w:pPr>
        <w:pStyle w:val="Textonotapie"/>
        <w:rPr>
          <w:szCs w:val="16"/>
          <w:lang w:val="es-CR"/>
        </w:rPr>
      </w:pPr>
      <w:r w:rsidRPr="00982566">
        <w:rPr>
          <w:rStyle w:val="Refdenotaalpie"/>
          <w:szCs w:val="16"/>
        </w:rPr>
        <w:footnoteRef/>
      </w:r>
      <w:r w:rsidRPr="00982566">
        <w:rPr>
          <w:szCs w:val="16"/>
          <w:lang w:val="es-CR"/>
        </w:rPr>
        <w:t xml:space="preserve"> </w:t>
      </w:r>
      <w:r w:rsidRPr="00982566">
        <w:rPr>
          <w:szCs w:val="16"/>
          <w:lang w:val="es-CR"/>
        </w:rPr>
        <w:tab/>
      </w:r>
      <w:r w:rsidRPr="00982566">
        <w:rPr>
          <w:i/>
          <w:szCs w:val="16"/>
          <w:lang w:val="es-CR"/>
        </w:rPr>
        <w:t xml:space="preserve">Cfr. Caso Velásquez Rodríguez Vs. Honduras, supra </w:t>
      </w:r>
      <w:r w:rsidRPr="00982566">
        <w:rPr>
          <w:szCs w:val="16"/>
          <w:lang w:val="es-CR"/>
        </w:rPr>
        <w:t xml:space="preserve">nota </w:t>
      </w:r>
      <w:r w:rsidR="00DF6AD7">
        <w:rPr>
          <w:szCs w:val="16"/>
          <w:lang w:val="es-CR"/>
        </w:rPr>
        <w:t>46</w:t>
      </w:r>
      <w:r w:rsidRPr="00982566">
        <w:rPr>
          <w:szCs w:val="16"/>
          <w:lang w:val="es-CR"/>
        </w:rPr>
        <w:t xml:space="preserve">, párr. 177 y </w:t>
      </w:r>
      <w:r w:rsidRPr="00982566">
        <w:rPr>
          <w:i/>
          <w:szCs w:val="16"/>
          <w:lang w:val="es-CR"/>
        </w:rPr>
        <w:t xml:space="preserve">Caso Acosta y otros Vs. Nicaragua, supra </w:t>
      </w:r>
      <w:r w:rsidRPr="00982566">
        <w:rPr>
          <w:szCs w:val="16"/>
          <w:lang w:val="es-CR"/>
        </w:rPr>
        <w:t xml:space="preserve">nota </w:t>
      </w:r>
      <w:r w:rsidR="00DF6AD7">
        <w:rPr>
          <w:szCs w:val="16"/>
          <w:lang w:val="es-CR"/>
        </w:rPr>
        <w:t>4</w:t>
      </w:r>
      <w:r w:rsidRPr="00982566">
        <w:rPr>
          <w:szCs w:val="16"/>
          <w:lang w:val="es-CR"/>
        </w:rPr>
        <w:t>6, párr. 136. Ver también</w:t>
      </w:r>
      <w:r w:rsidRPr="00982566">
        <w:rPr>
          <w:i/>
          <w:szCs w:val="16"/>
          <w:lang w:val="es-ES_tradnl"/>
        </w:rPr>
        <w:t xml:space="preserve"> </w:t>
      </w:r>
      <w:r w:rsidRPr="00982566">
        <w:rPr>
          <w:bCs/>
          <w:i/>
          <w:color w:val="000000"/>
          <w:szCs w:val="16"/>
          <w:shd w:val="clear" w:color="auto" w:fill="FFFFFF"/>
          <w:lang w:val="es-ES_tradnl"/>
        </w:rPr>
        <w:t xml:space="preserve">12 Casos Guatemaltecos Vs. Guatemala, supra </w:t>
      </w:r>
      <w:r w:rsidRPr="00982566">
        <w:rPr>
          <w:bCs/>
          <w:color w:val="000000"/>
          <w:szCs w:val="16"/>
          <w:shd w:val="clear" w:color="auto" w:fill="FFFFFF"/>
          <w:lang w:val="es-ES_tradnl"/>
        </w:rPr>
        <w:t xml:space="preserve">nota </w:t>
      </w:r>
      <w:r w:rsidR="00DF6AD7">
        <w:rPr>
          <w:bCs/>
          <w:color w:val="000000"/>
          <w:szCs w:val="16"/>
          <w:shd w:val="clear" w:color="auto" w:fill="FFFFFF"/>
          <w:lang w:val="es-ES_tradnl"/>
        </w:rPr>
        <w:t>46</w:t>
      </w:r>
      <w:r w:rsidRPr="00982566">
        <w:rPr>
          <w:bCs/>
          <w:color w:val="000000"/>
          <w:szCs w:val="16"/>
          <w:shd w:val="clear" w:color="auto" w:fill="FFFFFF"/>
          <w:lang w:val="es-ES_tradnl"/>
        </w:rPr>
        <w:t>, Considerando 124.</w:t>
      </w:r>
    </w:p>
  </w:footnote>
  <w:footnote w:id="53">
    <w:p w:rsidR="00EB6F13" w:rsidRPr="00982566" w:rsidRDefault="00EB6F13" w:rsidP="006A5619">
      <w:pPr>
        <w:pStyle w:val="Textonotapie"/>
        <w:rPr>
          <w:szCs w:val="16"/>
          <w:lang w:val="es-CR"/>
        </w:rPr>
      </w:pPr>
      <w:r w:rsidRPr="00982566">
        <w:rPr>
          <w:rStyle w:val="Refdenotaalpie"/>
          <w:szCs w:val="16"/>
        </w:rPr>
        <w:footnoteRef/>
      </w:r>
      <w:r w:rsidRPr="00982566">
        <w:rPr>
          <w:szCs w:val="16"/>
          <w:lang w:val="es-CR"/>
        </w:rPr>
        <w:t xml:space="preserve"> </w:t>
      </w:r>
      <w:r w:rsidRPr="00982566">
        <w:rPr>
          <w:szCs w:val="16"/>
          <w:lang w:val="es-CR"/>
        </w:rPr>
        <w:tab/>
      </w:r>
      <w:r w:rsidRPr="00982566">
        <w:rPr>
          <w:i/>
          <w:szCs w:val="16"/>
          <w:lang w:val="es-CR"/>
        </w:rPr>
        <w:t>Cfr. Caso Ibsen Cárdenas e Ibsen Peña Vs. Bolivia. Fondo, Reparaciones y Costas</w:t>
      </w:r>
      <w:r w:rsidRPr="00982566">
        <w:rPr>
          <w:szCs w:val="16"/>
          <w:lang w:val="es-CR"/>
        </w:rPr>
        <w:t xml:space="preserve">. Sentencia de 1 de septiembre de 2010 Serie C No. 217, párr. 172, y </w:t>
      </w:r>
      <w:r w:rsidRPr="00982566">
        <w:rPr>
          <w:i/>
          <w:szCs w:val="16"/>
          <w:lang w:val="es-CR"/>
        </w:rPr>
        <w:t xml:space="preserve">Caso Favela Nova Brasília Vs. Brasil, supra </w:t>
      </w:r>
      <w:r w:rsidRPr="00982566">
        <w:rPr>
          <w:szCs w:val="16"/>
          <w:lang w:val="es-CR"/>
        </w:rPr>
        <w:t xml:space="preserve">nota </w:t>
      </w:r>
      <w:r w:rsidR="004B0DBD">
        <w:rPr>
          <w:szCs w:val="16"/>
          <w:lang w:val="es-CR"/>
        </w:rPr>
        <w:t>48</w:t>
      </w:r>
      <w:r w:rsidRPr="00982566">
        <w:rPr>
          <w:szCs w:val="16"/>
          <w:lang w:val="es-CR"/>
        </w:rPr>
        <w:t xml:space="preserve">, </w:t>
      </w:r>
      <w:r w:rsidRPr="00982566">
        <w:rPr>
          <w:szCs w:val="16"/>
          <w:lang w:val="pt-BR"/>
        </w:rPr>
        <w:t xml:space="preserve">párr. 181. </w:t>
      </w:r>
      <w:r w:rsidRPr="00982566">
        <w:rPr>
          <w:szCs w:val="16"/>
          <w:lang w:val="es-CR"/>
        </w:rPr>
        <w:t>Ver también</w:t>
      </w:r>
      <w:r w:rsidRPr="00982566">
        <w:rPr>
          <w:i/>
          <w:szCs w:val="16"/>
          <w:lang w:val="es-ES_tradnl"/>
        </w:rPr>
        <w:t xml:space="preserve"> </w:t>
      </w:r>
      <w:r w:rsidRPr="00982566">
        <w:rPr>
          <w:bCs/>
          <w:i/>
          <w:color w:val="000000"/>
          <w:szCs w:val="16"/>
          <w:shd w:val="clear" w:color="auto" w:fill="FFFFFF"/>
          <w:lang w:val="es-ES_tradnl"/>
        </w:rPr>
        <w:t xml:space="preserve">12 Casos Guatemaltecos Vs. Guatemala, supra </w:t>
      </w:r>
      <w:r w:rsidRPr="00982566">
        <w:rPr>
          <w:bCs/>
          <w:color w:val="000000"/>
          <w:szCs w:val="16"/>
          <w:shd w:val="clear" w:color="auto" w:fill="FFFFFF"/>
          <w:lang w:val="es-ES_tradnl"/>
        </w:rPr>
        <w:t xml:space="preserve">nota </w:t>
      </w:r>
      <w:r w:rsidR="004B0DBD">
        <w:rPr>
          <w:bCs/>
          <w:color w:val="000000"/>
          <w:szCs w:val="16"/>
          <w:shd w:val="clear" w:color="auto" w:fill="FFFFFF"/>
          <w:lang w:val="es-ES_tradnl"/>
        </w:rPr>
        <w:t>46</w:t>
      </w:r>
      <w:r w:rsidRPr="00982566">
        <w:rPr>
          <w:bCs/>
          <w:color w:val="000000"/>
          <w:szCs w:val="16"/>
          <w:shd w:val="clear" w:color="auto" w:fill="FFFFFF"/>
          <w:lang w:val="es-ES_tradnl"/>
        </w:rPr>
        <w:t>, Considerando 124.</w:t>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1D"/>
    <w:multiLevelType w:val="multilevel"/>
    <w:tmpl w:val="F92462D2"/>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04E57391"/>
    <w:multiLevelType w:val="hybridMultilevel"/>
    <w:tmpl w:val="BDA87D80"/>
    <w:lvl w:ilvl="0" w:tplc="F4C247CA">
      <w:start w:val="1"/>
      <w:numFmt w:val="decimal"/>
      <w:lvlText w:val="%1."/>
      <w:lvlJc w:val="left"/>
      <w:pPr>
        <w:ind w:left="720" w:hanging="360"/>
      </w:pPr>
      <w:rPr>
        <w:rFonts w:ascii="Verdana" w:hAnsi="Verdana" w:hint="default"/>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2" w15:restartNumberingAfterBreak="0">
    <w:nsid w:val="08664F9B"/>
    <w:multiLevelType w:val="hybridMultilevel"/>
    <w:tmpl w:val="10D2C97C"/>
    <w:lvl w:ilvl="0" w:tplc="477CB5B2">
      <w:start w:val="8"/>
      <w:numFmt w:val="decimal"/>
      <w:lvlText w:val="%1."/>
      <w:lvlJc w:val="left"/>
      <w:pPr>
        <w:ind w:left="720" w:hanging="360"/>
      </w:pPr>
      <w:rPr>
        <w:rFonts w:ascii="Verdana" w:hAnsi="Verdana" w:hint="default"/>
        <w:b w:val="0"/>
        <w:i w:val="0"/>
        <w:sz w:val="20"/>
        <w:szCs w:val="20"/>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3" w15:restartNumberingAfterBreak="0">
    <w:nsid w:val="1AAE29FC"/>
    <w:multiLevelType w:val="hybridMultilevel"/>
    <w:tmpl w:val="13422B0A"/>
    <w:lvl w:ilvl="0" w:tplc="04090015">
      <w:start w:val="2"/>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3077393"/>
    <w:multiLevelType w:val="hybridMultilevel"/>
    <w:tmpl w:val="2BE2C97A"/>
    <w:lvl w:ilvl="0" w:tplc="140A0017">
      <w:start w:val="1"/>
      <w:numFmt w:val="lowerLetter"/>
      <w:lvlText w:val="%1)"/>
      <w:lvlJc w:val="left"/>
      <w:pPr>
        <w:ind w:left="1755" w:hanging="360"/>
      </w:pPr>
    </w:lvl>
    <w:lvl w:ilvl="1" w:tplc="04090019" w:tentative="1">
      <w:start w:val="1"/>
      <w:numFmt w:val="lowerLetter"/>
      <w:lvlText w:val="%2."/>
      <w:lvlJc w:val="left"/>
      <w:pPr>
        <w:ind w:left="2475" w:hanging="360"/>
      </w:pPr>
    </w:lvl>
    <w:lvl w:ilvl="2" w:tplc="0409001B" w:tentative="1">
      <w:start w:val="1"/>
      <w:numFmt w:val="lowerRoman"/>
      <w:lvlText w:val="%3."/>
      <w:lvlJc w:val="right"/>
      <w:pPr>
        <w:ind w:left="3195" w:hanging="180"/>
      </w:pPr>
    </w:lvl>
    <w:lvl w:ilvl="3" w:tplc="0409000F" w:tentative="1">
      <w:start w:val="1"/>
      <w:numFmt w:val="decimal"/>
      <w:lvlText w:val="%4."/>
      <w:lvlJc w:val="left"/>
      <w:pPr>
        <w:ind w:left="3915" w:hanging="360"/>
      </w:pPr>
    </w:lvl>
    <w:lvl w:ilvl="4" w:tplc="04090019" w:tentative="1">
      <w:start w:val="1"/>
      <w:numFmt w:val="lowerLetter"/>
      <w:lvlText w:val="%5."/>
      <w:lvlJc w:val="left"/>
      <w:pPr>
        <w:ind w:left="4635" w:hanging="360"/>
      </w:pPr>
    </w:lvl>
    <w:lvl w:ilvl="5" w:tplc="0409001B" w:tentative="1">
      <w:start w:val="1"/>
      <w:numFmt w:val="lowerRoman"/>
      <w:lvlText w:val="%6."/>
      <w:lvlJc w:val="right"/>
      <w:pPr>
        <w:ind w:left="5355" w:hanging="180"/>
      </w:pPr>
    </w:lvl>
    <w:lvl w:ilvl="6" w:tplc="0409000F" w:tentative="1">
      <w:start w:val="1"/>
      <w:numFmt w:val="decimal"/>
      <w:lvlText w:val="%7."/>
      <w:lvlJc w:val="left"/>
      <w:pPr>
        <w:ind w:left="6075" w:hanging="360"/>
      </w:pPr>
    </w:lvl>
    <w:lvl w:ilvl="7" w:tplc="04090019" w:tentative="1">
      <w:start w:val="1"/>
      <w:numFmt w:val="lowerLetter"/>
      <w:lvlText w:val="%8."/>
      <w:lvlJc w:val="left"/>
      <w:pPr>
        <w:ind w:left="6795" w:hanging="360"/>
      </w:pPr>
    </w:lvl>
    <w:lvl w:ilvl="8" w:tplc="0409001B" w:tentative="1">
      <w:start w:val="1"/>
      <w:numFmt w:val="lowerRoman"/>
      <w:lvlText w:val="%9."/>
      <w:lvlJc w:val="right"/>
      <w:pPr>
        <w:ind w:left="7515" w:hanging="180"/>
      </w:pPr>
    </w:lvl>
  </w:abstractNum>
  <w:abstractNum w:abstractNumId="5" w15:restartNumberingAfterBreak="0">
    <w:nsid w:val="273C61F8"/>
    <w:multiLevelType w:val="hybridMultilevel"/>
    <w:tmpl w:val="2D6845D2"/>
    <w:lvl w:ilvl="0" w:tplc="140A0017">
      <w:start w:val="1"/>
      <w:numFmt w:val="lowerLetter"/>
      <w:lvlText w:val="%1)"/>
      <w:lvlJc w:val="left"/>
      <w:pPr>
        <w:ind w:left="1080" w:hanging="360"/>
      </w:pPr>
    </w:lvl>
    <w:lvl w:ilvl="1" w:tplc="140A0017">
      <w:start w:val="1"/>
      <w:numFmt w:val="lowerLetter"/>
      <w:lvlText w:val="%2)"/>
      <w:lvlJc w:val="left"/>
      <w:pPr>
        <w:ind w:left="1800" w:hanging="360"/>
      </w:pPr>
      <w:rPr>
        <w:rFonts w:hint="default"/>
      </w:r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 w15:restartNumberingAfterBreak="0">
    <w:nsid w:val="27A059BA"/>
    <w:multiLevelType w:val="hybridMultilevel"/>
    <w:tmpl w:val="00749D4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352330BE"/>
    <w:multiLevelType w:val="hybridMultilevel"/>
    <w:tmpl w:val="68BC5006"/>
    <w:lvl w:ilvl="0" w:tplc="140A0017">
      <w:start w:val="1"/>
      <w:numFmt w:val="lowerLetter"/>
      <w:lvlText w:val="%1)"/>
      <w:lvlJc w:val="left"/>
      <w:pPr>
        <w:ind w:left="927" w:hanging="360"/>
      </w:p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8" w15:restartNumberingAfterBreak="0">
    <w:nsid w:val="393014FD"/>
    <w:multiLevelType w:val="hybridMultilevel"/>
    <w:tmpl w:val="01D809E6"/>
    <w:lvl w:ilvl="0" w:tplc="01F801C6">
      <w:start w:val="1"/>
      <w:numFmt w:val="decimal"/>
      <w:lvlText w:val="%1."/>
      <w:lvlJc w:val="left"/>
      <w:pPr>
        <w:ind w:left="720" w:hanging="360"/>
      </w:pPr>
      <w:rPr>
        <w:rFonts w:hint="default"/>
        <w:sz w:val="20"/>
      </w:rPr>
    </w:lvl>
    <w:lvl w:ilvl="1" w:tplc="140A0019">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9" w15:restartNumberingAfterBreak="0">
    <w:nsid w:val="40955494"/>
    <w:multiLevelType w:val="hybridMultilevel"/>
    <w:tmpl w:val="CB8401C2"/>
    <w:lvl w:ilvl="0" w:tplc="B2BC5C1C">
      <w:start w:val="1"/>
      <w:numFmt w:val="upperLetter"/>
      <w:pStyle w:val="Ttulo1"/>
      <w:lvlText w:val="%1."/>
      <w:lvlJc w:val="left"/>
      <w:pPr>
        <w:ind w:left="644" w:hanging="360"/>
      </w:pPr>
      <w:rPr>
        <w:rFonts w:hint="default"/>
        <w:b/>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10" w15:restartNumberingAfterBreak="0">
    <w:nsid w:val="4A8D5896"/>
    <w:multiLevelType w:val="hybridMultilevel"/>
    <w:tmpl w:val="C4E8B39C"/>
    <w:lvl w:ilvl="0" w:tplc="140A0017">
      <w:start w:val="1"/>
      <w:numFmt w:val="lowerLetter"/>
      <w:lvlText w:val="%1)"/>
      <w:lvlJc w:val="left"/>
      <w:pPr>
        <w:ind w:left="720" w:hanging="360"/>
      </w:pPr>
      <w:rPr>
        <w:rFonts w:hint="default"/>
        <w:sz w:val="20"/>
        <w:szCs w:val="2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4BBE0E90"/>
    <w:multiLevelType w:val="hybridMultilevel"/>
    <w:tmpl w:val="2B20C9B2"/>
    <w:lvl w:ilvl="0" w:tplc="1D20C892">
      <w:start w:val="1"/>
      <w:numFmt w:val="decimal"/>
      <w:lvlText w:val="%1."/>
      <w:lvlJc w:val="left"/>
      <w:pPr>
        <w:ind w:left="360" w:hanging="360"/>
      </w:pPr>
      <w:rPr>
        <w:rFonts w:ascii="Verdana" w:hAnsi="Verdana" w:hint="default"/>
        <w:b w:val="0"/>
        <w:i w:val="0"/>
        <w:sz w:val="20"/>
      </w:rPr>
    </w:lvl>
    <w:lvl w:ilvl="1" w:tplc="2C5AF7B6">
      <w:start w:val="1"/>
      <w:numFmt w:val="lowerRoman"/>
      <w:lvlText w:val="%2)"/>
      <w:lvlJc w:val="left"/>
      <w:pPr>
        <w:ind w:left="1800" w:hanging="720"/>
      </w:pPr>
      <w:rPr>
        <w:rFonts w:hint="default"/>
      </w:r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12" w15:restartNumberingAfterBreak="0">
    <w:nsid w:val="54335D50"/>
    <w:multiLevelType w:val="hybridMultilevel"/>
    <w:tmpl w:val="169A58DC"/>
    <w:lvl w:ilvl="0" w:tplc="140A0017">
      <w:start w:val="1"/>
      <w:numFmt w:val="lowerLetter"/>
      <w:lvlText w:val="%1)"/>
      <w:lvlJc w:val="left"/>
      <w:pPr>
        <w:ind w:left="720" w:hanging="360"/>
      </w:pPr>
    </w:lvl>
    <w:lvl w:ilvl="1" w:tplc="140A001B">
      <w:start w:val="1"/>
      <w:numFmt w:val="lowerRoman"/>
      <w:lvlText w:val="%2."/>
      <w:lvlJc w:val="righ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56857562"/>
    <w:multiLevelType w:val="hybridMultilevel"/>
    <w:tmpl w:val="65284814"/>
    <w:lvl w:ilvl="0" w:tplc="8BFE3276">
      <w:start w:val="1"/>
      <w:numFmt w:val="decimal"/>
      <w:lvlText w:val="%1."/>
      <w:lvlJc w:val="left"/>
      <w:pPr>
        <w:ind w:left="720" w:hanging="360"/>
      </w:pPr>
      <w:rPr>
        <w:b w:val="0"/>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14" w15:restartNumberingAfterBreak="0">
    <w:nsid w:val="57C9020A"/>
    <w:multiLevelType w:val="hybridMultilevel"/>
    <w:tmpl w:val="A322BE24"/>
    <w:lvl w:ilvl="0" w:tplc="486A71D0">
      <w:start w:val="3"/>
      <w:numFmt w:val="upperLetter"/>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15" w15:restartNumberingAfterBreak="0">
    <w:nsid w:val="58847A60"/>
    <w:multiLevelType w:val="hybridMultilevel"/>
    <w:tmpl w:val="F926C99A"/>
    <w:lvl w:ilvl="0" w:tplc="D0E8EDA0">
      <w:start w:val="1"/>
      <w:numFmt w:val="upperLetter"/>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63B023B6"/>
    <w:multiLevelType w:val="hybridMultilevel"/>
    <w:tmpl w:val="1C4049C8"/>
    <w:lvl w:ilvl="0" w:tplc="15942E56">
      <w:start w:val="5"/>
      <w:numFmt w:val="decimal"/>
      <w:lvlText w:val="%1."/>
      <w:lvlJc w:val="left"/>
      <w:pPr>
        <w:ind w:left="990" w:hanging="360"/>
      </w:pPr>
      <w:rPr>
        <w:rFonts w:ascii="Verdana" w:hAnsi="Verdana" w:hint="default"/>
        <w:b w:val="0"/>
        <w:i w:val="0"/>
        <w:color w:val="auto"/>
        <w:sz w:val="20"/>
        <w:szCs w:val="20"/>
      </w:rPr>
    </w:lvl>
    <w:lvl w:ilvl="1" w:tplc="140A0019" w:tentative="1">
      <w:start w:val="1"/>
      <w:numFmt w:val="lowerLetter"/>
      <w:lvlText w:val="%2."/>
      <w:lvlJc w:val="left"/>
      <w:pPr>
        <w:ind w:left="1080" w:hanging="360"/>
      </w:pPr>
    </w:lvl>
    <w:lvl w:ilvl="2" w:tplc="140A001B" w:tentative="1">
      <w:start w:val="1"/>
      <w:numFmt w:val="lowerRoman"/>
      <w:lvlText w:val="%3."/>
      <w:lvlJc w:val="right"/>
      <w:pPr>
        <w:ind w:left="1800" w:hanging="180"/>
      </w:pPr>
    </w:lvl>
    <w:lvl w:ilvl="3" w:tplc="140A000F" w:tentative="1">
      <w:start w:val="1"/>
      <w:numFmt w:val="decimal"/>
      <w:lvlText w:val="%4."/>
      <w:lvlJc w:val="left"/>
      <w:pPr>
        <w:ind w:left="2520" w:hanging="360"/>
      </w:pPr>
    </w:lvl>
    <w:lvl w:ilvl="4" w:tplc="140A0019" w:tentative="1">
      <w:start w:val="1"/>
      <w:numFmt w:val="lowerLetter"/>
      <w:lvlText w:val="%5."/>
      <w:lvlJc w:val="left"/>
      <w:pPr>
        <w:ind w:left="3240" w:hanging="360"/>
      </w:pPr>
    </w:lvl>
    <w:lvl w:ilvl="5" w:tplc="140A001B" w:tentative="1">
      <w:start w:val="1"/>
      <w:numFmt w:val="lowerRoman"/>
      <w:lvlText w:val="%6."/>
      <w:lvlJc w:val="right"/>
      <w:pPr>
        <w:ind w:left="3960" w:hanging="180"/>
      </w:pPr>
    </w:lvl>
    <w:lvl w:ilvl="6" w:tplc="140A000F" w:tentative="1">
      <w:start w:val="1"/>
      <w:numFmt w:val="decimal"/>
      <w:lvlText w:val="%7."/>
      <w:lvlJc w:val="left"/>
      <w:pPr>
        <w:ind w:left="4680" w:hanging="360"/>
      </w:pPr>
    </w:lvl>
    <w:lvl w:ilvl="7" w:tplc="140A0019" w:tentative="1">
      <w:start w:val="1"/>
      <w:numFmt w:val="lowerLetter"/>
      <w:lvlText w:val="%8."/>
      <w:lvlJc w:val="left"/>
      <w:pPr>
        <w:ind w:left="5400" w:hanging="360"/>
      </w:pPr>
    </w:lvl>
    <w:lvl w:ilvl="8" w:tplc="140A001B" w:tentative="1">
      <w:start w:val="1"/>
      <w:numFmt w:val="lowerRoman"/>
      <w:lvlText w:val="%9."/>
      <w:lvlJc w:val="right"/>
      <w:pPr>
        <w:ind w:left="6120" w:hanging="180"/>
      </w:pPr>
    </w:lvl>
  </w:abstractNum>
  <w:abstractNum w:abstractNumId="17" w15:restartNumberingAfterBreak="0">
    <w:nsid w:val="6D2901CB"/>
    <w:multiLevelType w:val="hybridMultilevel"/>
    <w:tmpl w:val="42482C2A"/>
    <w:lvl w:ilvl="0" w:tplc="140A0017">
      <w:start w:val="1"/>
      <w:numFmt w:val="lowerLetter"/>
      <w:lvlText w:val="%1)"/>
      <w:lvlJc w:val="left"/>
      <w:pPr>
        <w:ind w:left="720" w:hanging="360"/>
      </w:pPr>
    </w:lvl>
    <w:lvl w:ilvl="1" w:tplc="140A001B">
      <w:start w:val="1"/>
      <w:numFmt w:val="lowerRoman"/>
      <w:lvlText w:val="%2."/>
      <w:lvlJc w:val="righ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7D5F056E"/>
    <w:multiLevelType w:val="hybridMultilevel"/>
    <w:tmpl w:val="01C2CBFA"/>
    <w:lvl w:ilvl="0" w:tplc="F386251A">
      <w:start w:val="1"/>
      <w:numFmt w:val="lowerLetter"/>
      <w:lvlText w:val="%1)"/>
      <w:lvlJc w:val="left"/>
      <w:pPr>
        <w:ind w:left="720" w:hanging="360"/>
      </w:pPr>
      <w:rPr>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3"/>
  </w:num>
  <w:num w:numId="2">
    <w:abstractNumId w:val="11"/>
  </w:num>
  <w:num w:numId="3">
    <w:abstractNumId w:val="8"/>
  </w:num>
  <w:num w:numId="4">
    <w:abstractNumId w:val="15"/>
  </w:num>
  <w:num w:numId="5">
    <w:abstractNumId w:val="6"/>
  </w:num>
  <w:num w:numId="6">
    <w:abstractNumId w:val="10"/>
  </w:num>
  <w:num w:numId="7">
    <w:abstractNumId w:val="3"/>
  </w:num>
  <w:num w:numId="8">
    <w:abstractNumId w:val="9"/>
  </w:num>
  <w:num w:numId="9">
    <w:abstractNumId w:val="14"/>
  </w:num>
  <w:num w:numId="10">
    <w:abstractNumId w:val="0"/>
  </w:num>
  <w:num w:numId="11">
    <w:abstractNumId w:val="18"/>
  </w:num>
  <w:num w:numId="12">
    <w:abstractNumId w:val="17"/>
  </w:num>
  <w:num w:numId="13">
    <w:abstractNumId w:val="4"/>
  </w:num>
  <w:num w:numId="14">
    <w:abstractNumId w:val="7"/>
  </w:num>
  <w:num w:numId="15">
    <w:abstractNumId w:val="2"/>
  </w:num>
  <w:num w:numId="16">
    <w:abstractNumId w:val="12"/>
  </w:num>
  <w:num w:numId="17">
    <w:abstractNumId w:val="16"/>
  </w:num>
  <w:num w:numId="18">
    <w:abstractNumId w:val="5"/>
  </w:num>
  <w:num w:numId="19">
    <w:abstractNumId w:val="1"/>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activeWritingStyle w:appName="MSWord" w:lang="pt-BR" w:vendorID="64" w:dllVersion="131078" w:nlCheck="1" w:checkStyle="0"/>
  <w:activeWritingStyle w:appName="MSWord" w:lang="es-CR" w:vendorID="64" w:dllVersion="131078" w:nlCheck="1" w:checkStyle="0"/>
  <w:activeWritingStyle w:appName="MSWord" w:lang="es-MX" w:vendorID="64" w:dllVersion="131078" w:nlCheck="1" w:checkStyle="0"/>
  <w:activeWritingStyle w:appName="MSWord" w:lang="es-ES" w:vendorID="64" w:dllVersion="131078" w:nlCheck="1" w:checkStyle="0"/>
  <w:activeWritingStyle w:appName="MSWord" w:lang="es-ES_tradnl" w:vendorID="64" w:dllVersion="131078" w:nlCheck="1" w:checkStyle="0"/>
  <w:activeWritingStyle w:appName="MSWord" w:lang="es-CO" w:vendorID="64" w:dllVersion="131078" w:nlCheck="1" w:checkStyle="0"/>
  <w:activeWritingStyle w:appName="MSWord" w:lang="en-US" w:vendorID="64" w:dllVersion="131078" w:nlCheck="1" w:checkStyle="0"/>
  <w:activeWritingStyle w:appName="MSWord" w:lang="es-CR" w:vendorID="64" w:dllVersion="4096" w:nlCheck="1" w:checkStyle="0"/>
  <w:activeWritingStyle w:appName="MSWord" w:lang="es-CO" w:vendorID="64" w:dllVersion="4096" w:nlCheck="1" w:checkStyle="0"/>
  <w:activeWritingStyle w:appName="MSWord" w:lang="es-ES_tradnl" w:vendorID="64" w:dllVersion="4096" w:nlCheck="1" w:checkStyle="0"/>
  <w:activeWritingStyle w:appName="MSWord" w:lang="es-MX" w:vendorID="64" w:dllVersion="4096" w:nlCheck="1" w:checkStyle="0"/>
  <w:activeWritingStyle w:appName="MSWord" w:lang="es-ES" w:vendorID="64" w:dllVersion="4096" w:nlCheck="1" w:checkStyle="0"/>
  <w:activeWritingStyle w:appName="MSWord" w:lang="en-US" w:vendorID="64" w:dllVersion="4096" w:nlCheck="1" w:checkStyle="0"/>
  <w:activeWritingStyle w:appName="MSWord" w:lang="es-AR" w:vendorID="64" w:dllVersion="4096" w:nlCheck="1" w:checkStyle="0"/>
  <w:activeWritingStyle w:appName="MSWord" w:lang="pt-BR" w:vendorID="64" w:dllVersion="4096" w:nlCheck="1" w:checkStyle="0"/>
  <w:activeWritingStyle w:appName="MSWord" w:lang="es-AR" w:vendorID="64" w:dllVersion="131078" w:nlCheck="1" w:checkStyle="0"/>
  <w:defaultTabStop w:val="720"/>
  <w:hyphenationZone w:val="425"/>
  <w:characterSpacingControl w:val="doNotCompress"/>
  <w:savePreviewPicture/>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93D4F"/>
    <w:rsid w:val="00003BBF"/>
    <w:rsid w:val="0000588E"/>
    <w:rsid w:val="00006047"/>
    <w:rsid w:val="0000617D"/>
    <w:rsid w:val="00006DB9"/>
    <w:rsid w:val="00010A92"/>
    <w:rsid w:val="000121ED"/>
    <w:rsid w:val="000141CB"/>
    <w:rsid w:val="000142A3"/>
    <w:rsid w:val="00014366"/>
    <w:rsid w:val="000147EE"/>
    <w:rsid w:val="000159FF"/>
    <w:rsid w:val="00017E73"/>
    <w:rsid w:val="00020362"/>
    <w:rsid w:val="00020592"/>
    <w:rsid w:val="0002220E"/>
    <w:rsid w:val="00024A8B"/>
    <w:rsid w:val="000264F8"/>
    <w:rsid w:val="00030673"/>
    <w:rsid w:val="00032A4E"/>
    <w:rsid w:val="00032F8F"/>
    <w:rsid w:val="00035F27"/>
    <w:rsid w:val="000366BE"/>
    <w:rsid w:val="000368A4"/>
    <w:rsid w:val="00036946"/>
    <w:rsid w:val="00037483"/>
    <w:rsid w:val="00037F40"/>
    <w:rsid w:val="00040684"/>
    <w:rsid w:val="00043B6F"/>
    <w:rsid w:val="000444EB"/>
    <w:rsid w:val="000457D4"/>
    <w:rsid w:val="00046374"/>
    <w:rsid w:val="00046F7E"/>
    <w:rsid w:val="00047288"/>
    <w:rsid w:val="000477CE"/>
    <w:rsid w:val="000534CE"/>
    <w:rsid w:val="000548BB"/>
    <w:rsid w:val="00055FA5"/>
    <w:rsid w:val="00056031"/>
    <w:rsid w:val="0006095B"/>
    <w:rsid w:val="00060D08"/>
    <w:rsid w:val="00062679"/>
    <w:rsid w:val="00062A62"/>
    <w:rsid w:val="00064748"/>
    <w:rsid w:val="00065B58"/>
    <w:rsid w:val="0006620E"/>
    <w:rsid w:val="000663A9"/>
    <w:rsid w:val="000716AA"/>
    <w:rsid w:val="00072210"/>
    <w:rsid w:val="000734F1"/>
    <w:rsid w:val="00076512"/>
    <w:rsid w:val="00077139"/>
    <w:rsid w:val="00081D9E"/>
    <w:rsid w:val="0009166C"/>
    <w:rsid w:val="00092070"/>
    <w:rsid w:val="00096CE4"/>
    <w:rsid w:val="000A1016"/>
    <w:rsid w:val="000A17AB"/>
    <w:rsid w:val="000A1DCE"/>
    <w:rsid w:val="000A2B57"/>
    <w:rsid w:val="000A552E"/>
    <w:rsid w:val="000B01FF"/>
    <w:rsid w:val="000B0CB5"/>
    <w:rsid w:val="000B2ABC"/>
    <w:rsid w:val="000B6662"/>
    <w:rsid w:val="000C042D"/>
    <w:rsid w:val="000C4A07"/>
    <w:rsid w:val="000C5476"/>
    <w:rsid w:val="000C609F"/>
    <w:rsid w:val="000D23E2"/>
    <w:rsid w:val="000D351D"/>
    <w:rsid w:val="000D5673"/>
    <w:rsid w:val="000D5FAC"/>
    <w:rsid w:val="000D7925"/>
    <w:rsid w:val="000E1063"/>
    <w:rsid w:val="000E50D8"/>
    <w:rsid w:val="000E5E8D"/>
    <w:rsid w:val="000E71A9"/>
    <w:rsid w:val="000E7572"/>
    <w:rsid w:val="000F0C43"/>
    <w:rsid w:val="000F1CF4"/>
    <w:rsid w:val="000F29C9"/>
    <w:rsid w:val="000F29EA"/>
    <w:rsid w:val="00101EAA"/>
    <w:rsid w:val="00102481"/>
    <w:rsid w:val="001038BF"/>
    <w:rsid w:val="00104788"/>
    <w:rsid w:val="00106618"/>
    <w:rsid w:val="00106CFE"/>
    <w:rsid w:val="00106F5C"/>
    <w:rsid w:val="00106FD0"/>
    <w:rsid w:val="00110C30"/>
    <w:rsid w:val="001141EE"/>
    <w:rsid w:val="0012018F"/>
    <w:rsid w:val="00120C2D"/>
    <w:rsid w:val="00121288"/>
    <w:rsid w:val="001235EA"/>
    <w:rsid w:val="00124D8E"/>
    <w:rsid w:val="0013256E"/>
    <w:rsid w:val="00132974"/>
    <w:rsid w:val="00132F50"/>
    <w:rsid w:val="00135CCD"/>
    <w:rsid w:val="00136053"/>
    <w:rsid w:val="001364A7"/>
    <w:rsid w:val="00136725"/>
    <w:rsid w:val="00136AF8"/>
    <w:rsid w:val="00140DDE"/>
    <w:rsid w:val="00141362"/>
    <w:rsid w:val="00141C87"/>
    <w:rsid w:val="00145EA9"/>
    <w:rsid w:val="00150C79"/>
    <w:rsid w:val="001540F7"/>
    <w:rsid w:val="00154E1C"/>
    <w:rsid w:val="00156E17"/>
    <w:rsid w:val="00157719"/>
    <w:rsid w:val="00157974"/>
    <w:rsid w:val="0016049F"/>
    <w:rsid w:val="001606C5"/>
    <w:rsid w:val="001618E6"/>
    <w:rsid w:val="001633AC"/>
    <w:rsid w:val="00163C46"/>
    <w:rsid w:val="001647ED"/>
    <w:rsid w:val="00165D6E"/>
    <w:rsid w:val="001665BB"/>
    <w:rsid w:val="001716A7"/>
    <w:rsid w:val="00172492"/>
    <w:rsid w:val="001759FF"/>
    <w:rsid w:val="0017706D"/>
    <w:rsid w:val="00182259"/>
    <w:rsid w:val="00191631"/>
    <w:rsid w:val="001916B5"/>
    <w:rsid w:val="00191722"/>
    <w:rsid w:val="00191815"/>
    <w:rsid w:val="00192F43"/>
    <w:rsid w:val="00193CD3"/>
    <w:rsid w:val="00194934"/>
    <w:rsid w:val="001965D4"/>
    <w:rsid w:val="0019730C"/>
    <w:rsid w:val="001978EC"/>
    <w:rsid w:val="00197F8D"/>
    <w:rsid w:val="001A0FCF"/>
    <w:rsid w:val="001A1644"/>
    <w:rsid w:val="001A23A8"/>
    <w:rsid w:val="001A3510"/>
    <w:rsid w:val="001A4841"/>
    <w:rsid w:val="001A526E"/>
    <w:rsid w:val="001A6685"/>
    <w:rsid w:val="001B0651"/>
    <w:rsid w:val="001B0BB6"/>
    <w:rsid w:val="001B4CFC"/>
    <w:rsid w:val="001B501F"/>
    <w:rsid w:val="001B5547"/>
    <w:rsid w:val="001C048B"/>
    <w:rsid w:val="001C0DED"/>
    <w:rsid w:val="001C1502"/>
    <w:rsid w:val="001C1572"/>
    <w:rsid w:val="001C3AB5"/>
    <w:rsid w:val="001C483E"/>
    <w:rsid w:val="001C53BD"/>
    <w:rsid w:val="001C5E0F"/>
    <w:rsid w:val="001C68B9"/>
    <w:rsid w:val="001C70A4"/>
    <w:rsid w:val="001C7EFF"/>
    <w:rsid w:val="001D32C4"/>
    <w:rsid w:val="001D4F99"/>
    <w:rsid w:val="001D5A79"/>
    <w:rsid w:val="001D5B4A"/>
    <w:rsid w:val="001E0ACB"/>
    <w:rsid w:val="001E0CA0"/>
    <w:rsid w:val="001E0F7E"/>
    <w:rsid w:val="001E19A3"/>
    <w:rsid w:val="001E23A6"/>
    <w:rsid w:val="001E2AF2"/>
    <w:rsid w:val="001E4180"/>
    <w:rsid w:val="001E43A2"/>
    <w:rsid w:val="001E557C"/>
    <w:rsid w:val="001E64A7"/>
    <w:rsid w:val="001F019B"/>
    <w:rsid w:val="001F2A7E"/>
    <w:rsid w:val="001F3FE1"/>
    <w:rsid w:val="001F5C31"/>
    <w:rsid w:val="001F62D3"/>
    <w:rsid w:val="00201CA9"/>
    <w:rsid w:val="00202E30"/>
    <w:rsid w:val="00203307"/>
    <w:rsid w:val="00203D09"/>
    <w:rsid w:val="00204155"/>
    <w:rsid w:val="00207D1D"/>
    <w:rsid w:val="0021598A"/>
    <w:rsid w:val="002174A2"/>
    <w:rsid w:val="002177A6"/>
    <w:rsid w:val="00217935"/>
    <w:rsid w:val="0023035D"/>
    <w:rsid w:val="0023290D"/>
    <w:rsid w:val="00235FA5"/>
    <w:rsid w:val="00236C4D"/>
    <w:rsid w:val="0024047E"/>
    <w:rsid w:val="00240780"/>
    <w:rsid w:val="002439D0"/>
    <w:rsid w:val="00243B67"/>
    <w:rsid w:val="00244281"/>
    <w:rsid w:val="002446E6"/>
    <w:rsid w:val="002448C1"/>
    <w:rsid w:val="00246221"/>
    <w:rsid w:val="002478BC"/>
    <w:rsid w:val="00247B4B"/>
    <w:rsid w:val="002504B0"/>
    <w:rsid w:val="0025143F"/>
    <w:rsid w:val="00251DB6"/>
    <w:rsid w:val="00253240"/>
    <w:rsid w:val="00254EF0"/>
    <w:rsid w:val="00255B9F"/>
    <w:rsid w:val="002571BD"/>
    <w:rsid w:val="00264887"/>
    <w:rsid w:val="00265EBD"/>
    <w:rsid w:val="00267DF3"/>
    <w:rsid w:val="00271DC5"/>
    <w:rsid w:val="00272676"/>
    <w:rsid w:val="002733A0"/>
    <w:rsid w:val="0027431B"/>
    <w:rsid w:val="002751B7"/>
    <w:rsid w:val="00276A9C"/>
    <w:rsid w:val="00277370"/>
    <w:rsid w:val="002776A8"/>
    <w:rsid w:val="0028181B"/>
    <w:rsid w:val="00282B6A"/>
    <w:rsid w:val="002835BA"/>
    <w:rsid w:val="00284341"/>
    <w:rsid w:val="00290176"/>
    <w:rsid w:val="002911F3"/>
    <w:rsid w:val="00297FD7"/>
    <w:rsid w:val="002A3936"/>
    <w:rsid w:val="002A408A"/>
    <w:rsid w:val="002A4405"/>
    <w:rsid w:val="002A4433"/>
    <w:rsid w:val="002A727E"/>
    <w:rsid w:val="002B1661"/>
    <w:rsid w:val="002B3023"/>
    <w:rsid w:val="002B4690"/>
    <w:rsid w:val="002B604E"/>
    <w:rsid w:val="002B625E"/>
    <w:rsid w:val="002B6679"/>
    <w:rsid w:val="002C15CA"/>
    <w:rsid w:val="002C1D2F"/>
    <w:rsid w:val="002C33E5"/>
    <w:rsid w:val="002C343E"/>
    <w:rsid w:val="002C682B"/>
    <w:rsid w:val="002C724E"/>
    <w:rsid w:val="002D018B"/>
    <w:rsid w:val="002D2BB5"/>
    <w:rsid w:val="002D7C72"/>
    <w:rsid w:val="002E1101"/>
    <w:rsid w:val="002E1EEC"/>
    <w:rsid w:val="002E305D"/>
    <w:rsid w:val="002E37EA"/>
    <w:rsid w:val="002E484D"/>
    <w:rsid w:val="002E4D25"/>
    <w:rsid w:val="002E6550"/>
    <w:rsid w:val="002F006C"/>
    <w:rsid w:val="002F50F0"/>
    <w:rsid w:val="002F5FB4"/>
    <w:rsid w:val="002F61B1"/>
    <w:rsid w:val="0030037B"/>
    <w:rsid w:val="00300D02"/>
    <w:rsid w:val="00302DAA"/>
    <w:rsid w:val="003046E7"/>
    <w:rsid w:val="0030486D"/>
    <w:rsid w:val="00304C3A"/>
    <w:rsid w:val="00306011"/>
    <w:rsid w:val="003139CB"/>
    <w:rsid w:val="00314A94"/>
    <w:rsid w:val="00314DFB"/>
    <w:rsid w:val="003151C8"/>
    <w:rsid w:val="003153A3"/>
    <w:rsid w:val="00316149"/>
    <w:rsid w:val="0031749C"/>
    <w:rsid w:val="00317822"/>
    <w:rsid w:val="00317DB3"/>
    <w:rsid w:val="003202D8"/>
    <w:rsid w:val="0032260F"/>
    <w:rsid w:val="00322612"/>
    <w:rsid w:val="0032471F"/>
    <w:rsid w:val="0032570B"/>
    <w:rsid w:val="003320E3"/>
    <w:rsid w:val="00337FAA"/>
    <w:rsid w:val="00340BD2"/>
    <w:rsid w:val="00342BD7"/>
    <w:rsid w:val="00342CE4"/>
    <w:rsid w:val="00343FC2"/>
    <w:rsid w:val="003453C7"/>
    <w:rsid w:val="003453F7"/>
    <w:rsid w:val="00353B1C"/>
    <w:rsid w:val="0035424D"/>
    <w:rsid w:val="003563C4"/>
    <w:rsid w:val="003571B8"/>
    <w:rsid w:val="00357F47"/>
    <w:rsid w:val="0036074C"/>
    <w:rsid w:val="0036260B"/>
    <w:rsid w:val="003631F8"/>
    <w:rsid w:val="0036774A"/>
    <w:rsid w:val="00367E71"/>
    <w:rsid w:val="0037013E"/>
    <w:rsid w:val="00370ACF"/>
    <w:rsid w:val="0037188B"/>
    <w:rsid w:val="00372198"/>
    <w:rsid w:val="00372649"/>
    <w:rsid w:val="00373956"/>
    <w:rsid w:val="00374AB2"/>
    <w:rsid w:val="00375E7C"/>
    <w:rsid w:val="00376D74"/>
    <w:rsid w:val="00380604"/>
    <w:rsid w:val="00380681"/>
    <w:rsid w:val="00382381"/>
    <w:rsid w:val="00383078"/>
    <w:rsid w:val="0038360F"/>
    <w:rsid w:val="003840A3"/>
    <w:rsid w:val="00384D60"/>
    <w:rsid w:val="00384F4E"/>
    <w:rsid w:val="00385396"/>
    <w:rsid w:val="0038562F"/>
    <w:rsid w:val="0038571B"/>
    <w:rsid w:val="003878CA"/>
    <w:rsid w:val="00390D23"/>
    <w:rsid w:val="00392FA8"/>
    <w:rsid w:val="00393991"/>
    <w:rsid w:val="003A023E"/>
    <w:rsid w:val="003A3D48"/>
    <w:rsid w:val="003A55A3"/>
    <w:rsid w:val="003A634C"/>
    <w:rsid w:val="003B2458"/>
    <w:rsid w:val="003B4009"/>
    <w:rsid w:val="003B4EBF"/>
    <w:rsid w:val="003B67ED"/>
    <w:rsid w:val="003C11A2"/>
    <w:rsid w:val="003C1505"/>
    <w:rsid w:val="003C5544"/>
    <w:rsid w:val="003C6672"/>
    <w:rsid w:val="003D2021"/>
    <w:rsid w:val="003D2974"/>
    <w:rsid w:val="003D2CDE"/>
    <w:rsid w:val="003D30E0"/>
    <w:rsid w:val="003D325E"/>
    <w:rsid w:val="003D359D"/>
    <w:rsid w:val="003D4B93"/>
    <w:rsid w:val="003D6B2C"/>
    <w:rsid w:val="003E00DA"/>
    <w:rsid w:val="003E1AF5"/>
    <w:rsid w:val="003E423E"/>
    <w:rsid w:val="003E4608"/>
    <w:rsid w:val="003E4CF5"/>
    <w:rsid w:val="003E70D1"/>
    <w:rsid w:val="003F5288"/>
    <w:rsid w:val="003F5F46"/>
    <w:rsid w:val="003F6781"/>
    <w:rsid w:val="00404451"/>
    <w:rsid w:val="0040486A"/>
    <w:rsid w:val="004063E0"/>
    <w:rsid w:val="00406CFF"/>
    <w:rsid w:val="004126EA"/>
    <w:rsid w:val="0041468C"/>
    <w:rsid w:val="00417478"/>
    <w:rsid w:val="004203C4"/>
    <w:rsid w:val="00422EFD"/>
    <w:rsid w:val="00423F2A"/>
    <w:rsid w:val="004245D5"/>
    <w:rsid w:val="004267A7"/>
    <w:rsid w:val="00427378"/>
    <w:rsid w:val="0043186C"/>
    <w:rsid w:val="004335DA"/>
    <w:rsid w:val="00433B26"/>
    <w:rsid w:val="00436B5E"/>
    <w:rsid w:val="004372CF"/>
    <w:rsid w:val="004376A9"/>
    <w:rsid w:val="00440E60"/>
    <w:rsid w:val="00441DB4"/>
    <w:rsid w:val="0044228D"/>
    <w:rsid w:val="004423A5"/>
    <w:rsid w:val="00444BC9"/>
    <w:rsid w:val="00450D75"/>
    <w:rsid w:val="004517B4"/>
    <w:rsid w:val="00452C6A"/>
    <w:rsid w:val="00453865"/>
    <w:rsid w:val="00456387"/>
    <w:rsid w:val="00456633"/>
    <w:rsid w:val="00456AE8"/>
    <w:rsid w:val="0045756A"/>
    <w:rsid w:val="004576E5"/>
    <w:rsid w:val="0046042A"/>
    <w:rsid w:val="004633A4"/>
    <w:rsid w:val="00465C31"/>
    <w:rsid w:val="0046774D"/>
    <w:rsid w:val="00467AED"/>
    <w:rsid w:val="00471329"/>
    <w:rsid w:val="00471923"/>
    <w:rsid w:val="00472016"/>
    <w:rsid w:val="0047217D"/>
    <w:rsid w:val="0047228E"/>
    <w:rsid w:val="00474ABE"/>
    <w:rsid w:val="00475416"/>
    <w:rsid w:val="00480B0E"/>
    <w:rsid w:val="00480B28"/>
    <w:rsid w:val="004844FA"/>
    <w:rsid w:val="00484BD0"/>
    <w:rsid w:val="00485674"/>
    <w:rsid w:val="00486FD6"/>
    <w:rsid w:val="0049265D"/>
    <w:rsid w:val="004930AE"/>
    <w:rsid w:val="004971B8"/>
    <w:rsid w:val="004A31B5"/>
    <w:rsid w:val="004A3773"/>
    <w:rsid w:val="004A3B99"/>
    <w:rsid w:val="004A549E"/>
    <w:rsid w:val="004A6627"/>
    <w:rsid w:val="004A6A22"/>
    <w:rsid w:val="004B0DBD"/>
    <w:rsid w:val="004B15B8"/>
    <w:rsid w:val="004B7D39"/>
    <w:rsid w:val="004C04C4"/>
    <w:rsid w:val="004C12ED"/>
    <w:rsid w:val="004C3C07"/>
    <w:rsid w:val="004C41A4"/>
    <w:rsid w:val="004C430A"/>
    <w:rsid w:val="004C5BB0"/>
    <w:rsid w:val="004C6EBB"/>
    <w:rsid w:val="004C762D"/>
    <w:rsid w:val="004C7B35"/>
    <w:rsid w:val="004C7E5C"/>
    <w:rsid w:val="004D3129"/>
    <w:rsid w:val="004D3929"/>
    <w:rsid w:val="004D40FA"/>
    <w:rsid w:val="004D4C34"/>
    <w:rsid w:val="004D50B3"/>
    <w:rsid w:val="004D6330"/>
    <w:rsid w:val="004D764E"/>
    <w:rsid w:val="004E30A2"/>
    <w:rsid w:val="004E3998"/>
    <w:rsid w:val="004E6320"/>
    <w:rsid w:val="004E7702"/>
    <w:rsid w:val="004F0446"/>
    <w:rsid w:val="004F4B79"/>
    <w:rsid w:val="004F4F32"/>
    <w:rsid w:val="004F5899"/>
    <w:rsid w:val="004F710C"/>
    <w:rsid w:val="005012E3"/>
    <w:rsid w:val="00501499"/>
    <w:rsid w:val="005034A8"/>
    <w:rsid w:val="005034CA"/>
    <w:rsid w:val="005040FC"/>
    <w:rsid w:val="00505829"/>
    <w:rsid w:val="005110AF"/>
    <w:rsid w:val="00512EDB"/>
    <w:rsid w:val="0051635A"/>
    <w:rsid w:val="00520034"/>
    <w:rsid w:val="00520868"/>
    <w:rsid w:val="00521176"/>
    <w:rsid w:val="0052143D"/>
    <w:rsid w:val="00523004"/>
    <w:rsid w:val="00523394"/>
    <w:rsid w:val="005237EB"/>
    <w:rsid w:val="00530289"/>
    <w:rsid w:val="005326B7"/>
    <w:rsid w:val="00533307"/>
    <w:rsid w:val="005351DE"/>
    <w:rsid w:val="005366E3"/>
    <w:rsid w:val="005367A9"/>
    <w:rsid w:val="00537CEF"/>
    <w:rsid w:val="00540471"/>
    <w:rsid w:val="00541208"/>
    <w:rsid w:val="00542825"/>
    <w:rsid w:val="005439B2"/>
    <w:rsid w:val="00543EE9"/>
    <w:rsid w:val="005460D3"/>
    <w:rsid w:val="00546842"/>
    <w:rsid w:val="00547A22"/>
    <w:rsid w:val="00547F2C"/>
    <w:rsid w:val="005505D5"/>
    <w:rsid w:val="005542A0"/>
    <w:rsid w:val="00554CD4"/>
    <w:rsid w:val="00555371"/>
    <w:rsid w:val="00557996"/>
    <w:rsid w:val="00560316"/>
    <w:rsid w:val="005635AC"/>
    <w:rsid w:val="00563E3A"/>
    <w:rsid w:val="00565F2A"/>
    <w:rsid w:val="00567043"/>
    <w:rsid w:val="005703E4"/>
    <w:rsid w:val="0057155D"/>
    <w:rsid w:val="00571888"/>
    <w:rsid w:val="00573B85"/>
    <w:rsid w:val="0057609C"/>
    <w:rsid w:val="00576156"/>
    <w:rsid w:val="00576560"/>
    <w:rsid w:val="00576C4F"/>
    <w:rsid w:val="005809F6"/>
    <w:rsid w:val="00580E15"/>
    <w:rsid w:val="00582FFB"/>
    <w:rsid w:val="00585A3F"/>
    <w:rsid w:val="00585FB4"/>
    <w:rsid w:val="005921C0"/>
    <w:rsid w:val="005923F4"/>
    <w:rsid w:val="00593569"/>
    <w:rsid w:val="005952CF"/>
    <w:rsid w:val="00595859"/>
    <w:rsid w:val="0059605C"/>
    <w:rsid w:val="00596291"/>
    <w:rsid w:val="00596D5E"/>
    <w:rsid w:val="005A191E"/>
    <w:rsid w:val="005A1B3D"/>
    <w:rsid w:val="005A29F3"/>
    <w:rsid w:val="005A2E32"/>
    <w:rsid w:val="005A4B83"/>
    <w:rsid w:val="005A7373"/>
    <w:rsid w:val="005B051E"/>
    <w:rsid w:val="005B05B8"/>
    <w:rsid w:val="005B3B1C"/>
    <w:rsid w:val="005B4A61"/>
    <w:rsid w:val="005B54DD"/>
    <w:rsid w:val="005B5CF2"/>
    <w:rsid w:val="005C025D"/>
    <w:rsid w:val="005C0DF5"/>
    <w:rsid w:val="005C3529"/>
    <w:rsid w:val="005C473E"/>
    <w:rsid w:val="005C6019"/>
    <w:rsid w:val="005C6837"/>
    <w:rsid w:val="005D12EE"/>
    <w:rsid w:val="005D26C7"/>
    <w:rsid w:val="005D35F6"/>
    <w:rsid w:val="005D68FE"/>
    <w:rsid w:val="005D6A03"/>
    <w:rsid w:val="005D7AB0"/>
    <w:rsid w:val="005E1062"/>
    <w:rsid w:val="005E3AA2"/>
    <w:rsid w:val="005E5C8E"/>
    <w:rsid w:val="005E7065"/>
    <w:rsid w:val="005F0B60"/>
    <w:rsid w:val="005F3B70"/>
    <w:rsid w:val="005F402B"/>
    <w:rsid w:val="005F5FCA"/>
    <w:rsid w:val="005F7C9B"/>
    <w:rsid w:val="0060189A"/>
    <w:rsid w:val="00601F1C"/>
    <w:rsid w:val="00605FC0"/>
    <w:rsid w:val="006063C0"/>
    <w:rsid w:val="006063D6"/>
    <w:rsid w:val="00606C37"/>
    <w:rsid w:val="00611911"/>
    <w:rsid w:val="00612458"/>
    <w:rsid w:val="00612C47"/>
    <w:rsid w:val="00613151"/>
    <w:rsid w:val="00613B0B"/>
    <w:rsid w:val="00615471"/>
    <w:rsid w:val="0061703F"/>
    <w:rsid w:val="00617A05"/>
    <w:rsid w:val="00621523"/>
    <w:rsid w:val="006230A5"/>
    <w:rsid w:val="006232CA"/>
    <w:rsid w:val="00624BAD"/>
    <w:rsid w:val="00626FEC"/>
    <w:rsid w:val="00631C55"/>
    <w:rsid w:val="00633F7C"/>
    <w:rsid w:val="00634041"/>
    <w:rsid w:val="00634251"/>
    <w:rsid w:val="006347AA"/>
    <w:rsid w:val="00637414"/>
    <w:rsid w:val="00637E9D"/>
    <w:rsid w:val="006402BF"/>
    <w:rsid w:val="00640A7F"/>
    <w:rsid w:val="00643491"/>
    <w:rsid w:val="00643886"/>
    <w:rsid w:val="00644DAC"/>
    <w:rsid w:val="00651322"/>
    <w:rsid w:val="00653135"/>
    <w:rsid w:val="0065365E"/>
    <w:rsid w:val="00654FF5"/>
    <w:rsid w:val="00656B92"/>
    <w:rsid w:val="00656F9A"/>
    <w:rsid w:val="00657109"/>
    <w:rsid w:val="00657427"/>
    <w:rsid w:val="00661B81"/>
    <w:rsid w:val="006645B3"/>
    <w:rsid w:val="0066670D"/>
    <w:rsid w:val="00671120"/>
    <w:rsid w:val="006744E5"/>
    <w:rsid w:val="00675265"/>
    <w:rsid w:val="00675C9A"/>
    <w:rsid w:val="00677344"/>
    <w:rsid w:val="0068009B"/>
    <w:rsid w:val="00680283"/>
    <w:rsid w:val="00681861"/>
    <w:rsid w:val="006818D3"/>
    <w:rsid w:val="00684698"/>
    <w:rsid w:val="00684C4D"/>
    <w:rsid w:val="0068702D"/>
    <w:rsid w:val="00687DED"/>
    <w:rsid w:val="00691A77"/>
    <w:rsid w:val="006921EA"/>
    <w:rsid w:val="00693D53"/>
    <w:rsid w:val="00694EF7"/>
    <w:rsid w:val="006970AD"/>
    <w:rsid w:val="006A0798"/>
    <w:rsid w:val="006A08FC"/>
    <w:rsid w:val="006A1EB6"/>
    <w:rsid w:val="006A44E3"/>
    <w:rsid w:val="006A5619"/>
    <w:rsid w:val="006A7AD2"/>
    <w:rsid w:val="006A7E89"/>
    <w:rsid w:val="006B5D7D"/>
    <w:rsid w:val="006B62A5"/>
    <w:rsid w:val="006B6526"/>
    <w:rsid w:val="006B6721"/>
    <w:rsid w:val="006C01ED"/>
    <w:rsid w:val="006C0C05"/>
    <w:rsid w:val="006C3280"/>
    <w:rsid w:val="006C42FF"/>
    <w:rsid w:val="006C4B68"/>
    <w:rsid w:val="006C7AB2"/>
    <w:rsid w:val="006D0B3A"/>
    <w:rsid w:val="006D19D6"/>
    <w:rsid w:val="006D5228"/>
    <w:rsid w:val="006D52AB"/>
    <w:rsid w:val="006D5A7B"/>
    <w:rsid w:val="006D6681"/>
    <w:rsid w:val="006D7FE0"/>
    <w:rsid w:val="006E0F3F"/>
    <w:rsid w:val="006E46F7"/>
    <w:rsid w:val="006E6740"/>
    <w:rsid w:val="006F0994"/>
    <w:rsid w:val="006F0AF8"/>
    <w:rsid w:val="006F2F58"/>
    <w:rsid w:val="006F4AF1"/>
    <w:rsid w:val="006F4DDF"/>
    <w:rsid w:val="006F4E0F"/>
    <w:rsid w:val="006F6910"/>
    <w:rsid w:val="007004B2"/>
    <w:rsid w:val="00702088"/>
    <w:rsid w:val="00704DDA"/>
    <w:rsid w:val="00705D08"/>
    <w:rsid w:val="007068AB"/>
    <w:rsid w:val="007068B8"/>
    <w:rsid w:val="00707F54"/>
    <w:rsid w:val="00712316"/>
    <w:rsid w:val="00713D74"/>
    <w:rsid w:val="0071474C"/>
    <w:rsid w:val="00715182"/>
    <w:rsid w:val="00715832"/>
    <w:rsid w:val="00715C62"/>
    <w:rsid w:val="007164DD"/>
    <w:rsid w:val="007178E1"/>
    <w:rsid w:val="00720785"/>
    <w:rsid w:val="00721B07"/>
    <w:rsid w:val="007231F2"/>
    <w:rsid w:val="007249FC"/>
    <w:rsid w:val="0072546D"/>
    <w:rsid w:val="007277CE"/>
    <w:rsid w:val="0073471B"/>
    <w:rsid w:val="007367C6"/>
    <w:rsid w:val="00740810"/>
    <w:rsid w:val="00740F3F"/>
    <w:rsid w:val="00741501"/>
    <w:rsid w:val="0074196F"/>
    <w:rsid w:val="007424D6"/>
    <w:rsid w:val="00743E84"/>
    <w:rsid w:val="007454AB"/>
    <w:rsid w:val="00745AE4"/>
    <w:rsid w:val="0075321B"/>
    <w:rsid w:val="00753A39"/>
    <w:rsid w:val="00757F87"/>
    <w:rsid w:val="00760F6D"/>
    <w:rsid w:val="00761666"/>
    <w:rsid w:val="007636AF"/>
    <w:rsid w:val="00766423"/>
    <w:rsid w:val="00766755"/>
    <w:rsid w:val="0076796B"/>
    <w:rsid w:val="007703C8"/>
    <w:rsid w:val="007747E9"/>
    <w:rsid w:val="00774C04"/>
    <w:rsid w:val="007751CF"/>
    <w:rsid w:val="0077652A"/>
    <w:rsid w:val="00776A05"/>
    <w:rsid w:val="00780EEC"/>
    <w:rsid w:val="00782730"/>
    <w:rsid w:val="00783B44"/>
    <w:rsid w:val="007874D5"/>
    <w:rsid w:val="00790114"/>
    <w:rsid w:val="0079338E"/>
    <w:rsid w:val="0079495E"/>
    <w:rsid w:val="007962F8"/>
    <w:rsid w:val="00796A7D"/>
    <w:rsid w:val="00797625"/>
    <w:rsid w:val="007A0BE5"/>
    <w:rsid w:val="007A0FB2"/>
    <w:rsid w:val="007A1000"/>
    <w:rsid w:val="007A284E"/>
    <w:rsid w:val="007A2936"/>
    <w:rsid w:val="007A3097"/>
    <w:rsid w:val="007A4EC7"/>
    <w:rsid w:val="007A5FE5"/>
    <w:rsid w:val="007B100B"/>
    <w:rsid w:val="007B1643"/>
    <w:rsid w:val="007B1D29"/>
    <w:rsid w:val="007B1ECB"/>
    <w:rsid w:val="007B5310"/>
    <w:rsid w:val="007C45D2"/>
    <w:rsid w:val="007C7048"/>
    <w:rsid w:val="007D03BF"/>
    <w:rsid w:val="007D07EE"/>
    <w:rsid w:val="007D0A0E"/>
    <w:rsid w:val="007D0C27"/>
    <w:rsid w:val="007D6361"/>
    <w:rsid w:val="007D6DF7"/>
    <w:rsid w:val="007E05B3"/>
    <w:rsid w:val="007E12E2"/>
    <w:rsid w:val="007E3C86"/>
    <w:rsid w:val="007E3D6E"/>
    <w:rsid w:val="007E57CB"/>
    <w:rsid w:val="007E6E56"/>
    <w:rsid w:val="007E6F18"/>
    <w:rsid w:val="007E7E64"/>
    <w:rsid w:val="007F097D"/>
    <w:rsid w:val="007F0BB2"/>
    <w:rsid w:val="007F0BDA"/>
    <w:rsid w:val="007F242F"/>
    <w:rsid w:val="007F28AB"/>
    <w:rsid w:val="007F3106"/>
    <w:rsid w:val="007F3C4A"/>
    <w:rsid w:val="007F4BC5"/>
    <w:rsid w:val="007F73B0"/>
    <w:rsid w:val="008005A7"/>
    <w:rsid w:val="00801F0E"/>
    <w:rsid w:val="0080506F"/>
    <w:rsid w:val="008070CE"/>
    <w:rsid w:val="00810D7F"/>
    <w:rsid w:val="00814445"/>
    <w:rsid w:val="00817967"/>
    <w:rsid w:val="00817E70"/>
    <w:rsid w:val="00824762"/>
    <w:rsid w:val="00824C4A"/>
    <w:rsid w:val="0082668D"/>
    <w:rsid w:val="008270C5"/>
    <w:rsid w:val="00834D5C"/>
    <w:rsid w:val="008379F6"/>
    <w:rsid w:val="00841223"/>
    <w:rsid w:val="0084366A"/>
    <w:rsid w:val="00844436"/>
    <w:rsid w:val="0084520D"/>
    <w:rsid w:val="00845A5F"/>
    <w:rsid w:val="00846413"/>
    <w:rsid w:val="0085029B"/>
    <w:rsid w:val="00852A76"/>
    <w:rsid w:val="00854CD2"/>
    <w:rsid w:val="0085654B"/>
    <w:rsid w:val="00861D6F"/>
    <w:rsid w:val="00862D86"/>
    <w:rsid w:val="00863257"/>
    <w:rsid w:val="00863C90"/>
    <w:rsid w:val="008648F7"/>
    <w:rsid w:val="008651F4"/>
    <w:rsid w:val="00865839"/>
    <w:rsid w:val="008705FC"/>
    <w:rsid w:val="00871040"/>
    <w:rsid w:val="00872988"/>
    <w:rsid w:val="008729E6"/>
    <w:rsid w:val="00872A34"/>
    <w:rsid w:val="00875DCD"/>
    <w:rsid w:val="00876ADB"/>
    <w:rsid w:val="0087756E"/>
    <w:rsid w:val="00877ADA"/>
    <w:rsid w:val="00881D56"/>
    <w:rsid w:val="0088397D"/>
    <w:rsid w:val="008848CA"/>
    <w:rsid w:val="00884CE6"/>
    <w:rsid w:val="00884DDA"/>
    <w:rsid w:val="00886837"/>
    <w:rsid w:val="00891202"/>
    <w:rsid w:val="00891DA3"/>
    <w:rsid w:val="00893BCB"/>
    <w:rsid w:val="00893ED4"/>
    <w:rsid w:val="00894883"/>
    <w:rsid w:val="0089537D"/>
    <w:rsid w:val="00896AA2"/>
    <w:rsid w:val="008A035D"/>
    <w:rsid w:val="008A0C8D"/>
    <w:rsid w:val="008A625C"/>
    <w:rsid w:val="008A633A"/>
    <w:rsid w:val="008B180C"/>
    <w:rsid w:val="008B2AC9"/>
    <w:rsid w:val="008B36BF"/>
    <w:rsid w:val="008B3DD0"/>
    <w:rsid w:val="008B5244"/>
    <w:rsid w:val="008C0E58"/>
    <w:rsid w:val="008C2089"/>
    <w:rsid w:val="008C4663"/>
    <w:rsid w:val="008C481F"/>
    <w:rsid w:val="008C59A2"/>
    <w:rsid w:val="008C5F98"/>
    <w:rsid w:val="008C69AA"/>
    <w:rsid w:val="008D0655"/>
    <w:rsid w:val="008D1D36"/>
    <w:rsid w:val="008D2300"/>
    <w:rsid w:val="008D3395"/>
    <w:rsid w:val="008D512C"/>
    <w:rsid w:val="008D5265"/>
    <w:rsid w:val="008D7702"/>
    <w:rsid w:val="008E283B"/>
    <w:rsid w:val="008E39AB"/>
    <w:rsid w:val="008E46D0"/>
    <w:rsid w:val="008E4A58"/>
    <w:rsid w:val="008E5B90"/>
    <w:rsid w:val="008F1ADF"/>
    <w:rsid w:val="008F2187"/>
    <w:rsid w:val="008F2F7B"/>
    <w:rsid w:val="008F3B2B"/>
    <w:rsid w:val="008F3CA7"/>
    <w:rsid w:val="008F47E2"/>
    <w:rsid w:val="008F5FD0"/>
    <w:rsid w:val="008F7933"/>
    <w:rsid w:val="00900BCE"/>
    <w:rsid w:val="00901C7A"/>
    <w:rsid w:val="009044CD"/>
    <w:rsid w:val="00904E0E"/>
    <w:rsid w:val="009057A8"/>
    <w:rsid w:val="009066B7"/>
    <w:rsid w:val="00911514"/>
    <w:rsid w:val="00913E5A"/>
    <w:rsid w:val="00914764"/>
    <w:rsid w:val="00920139"/>
    <w:rsid w:val="009261DD"/>
    <w:rsid w:val="00926CE7"/>
    <w:rsid w:val="0093233E"/>
    <w:rsid w:val="009323FF"/>
    <w:rsid w:val="0093294F"/>
    <w:rsid w:val="009350E3"/>
    <w:rsid w:val="0093543D"/>
    <w:rsid w:val="00935E0A"/>
    <w:rsid w:val="00937A1E"/>
    <w:rsid w:val="00937CBE"/>
    <w:rsid w:val="009400E5"/>
    <w:rsid w:val="00940C1C"/>
    <w:rsid w:val="00941769"/>
    <w:rsid w:val="009455D3"/>
    <w:rsid w:val="009468E5"/>
    <w:rsid w:val="00946BB3"/>
    <w:rsid w:val="00950263"/>
    <w:rsid w:val="00953071"/>
    <w:rsid w:val="009534E9"/>
    <w:rsid w:val="009534EC"/>
    <w:rsid w:val="0095489F"/>
    <w:rsid w:val="00956100"/>
    <w:rsid w:val="009603D6"/>
    <w:rsid w:val="00960A8A"/>
    <w:rsid w:val="0096164F"/>
    <w:rsid w:val="009632FE"/>
    <w:rsid w:val="009633FB"/>
    <w:rsid w:val="00963413"/>
    <w:rsid w:val="00965335"/>
    <w:rsid w:val="00967037"/>
    <w:rsid w:val="0097275F"/>
    <w:rsid w:val="0097417E"/>
    <w:rsid w:val="00975B02"/>
    <w:rsid w:val="009770BC"/>
    <w:rsid w:val="00977F0D"/>
    <w:rsid w:val="00980F88"/>
    <w:rsid w:val="00981E60"/>
    <w:rsid w:val="00982566"/>
    <w:rsid w:val="009829D1"/>
    <w:rsid w:val="00984195"/>
    <w:rsid w:val="00984F74"/>
    <w:rsid w:val="00987E8F"/>
    <w:rsid w:val="009919DB"/>
    <w:rsid w:val="009929D5"/>
    <w:rsid w:val="00993038"/>
    <w:rsid w:val="00993FE3"/>
    <w:rsid w:val="0099578D"/>
    <w:rsid w:val="009A04EC"/>
    <w:rsid w:val="009A0841"/>
    <w:rsid w:val="009A47C6"/>
    <w:rsid w:val="009A59D0"/>
    <w:rsid w:val="009A7871"/>
    <w:rsid w:val="009B1A9B"/>
    <w:rsid w:val="009B2AEB"/>
    <w:rsid w:val="009B4B9D"/>
    <w:rsid w:val="009B4E8A"/>
    <w:rsid w:val="009B50A3"/>
    <w:rsid w:val="009B591D"/>
    <w:rsid w:val="009B66C6"/>
    <w:rsid w:val="009B6C55"/>
    <w:rsid w:val="009C1694"/>
    <w:rsid w:val="009C36DE"/>
    <w:rsid w:val="009C5D40"/>
    <w:rsid w:val="009C73D2"/>
    <w:rsid w:val="009C7A15"/>
    <w:rsid w:val="009D0674"/>
    <w:rsid w:val="009D0F1C"/>
    <w:rsid w:val="009D2605"/>
    <w:rsid w:val="009D403C"/>
    <w:rsid w:val="009D4381"/>
    <w:rsid w:val="009D49FF"/>
    <w:rsid w:val="009D5421"/>
    <w:rsid w:val="009D5A20"/>
    <w:rsid w:val="009E007E"/>
    <w:rsid w:val="009E0C57"/>
    <w:rsid w:val="009E1522"/>
    <w:rsid w:val="009E258A"/>
    <w:rsid w:val="009E3502"/>
    <w:rsid w:val="009E3AFF"/>
    <w:rsid w:val="009E41CE"/>
    <w:rsid w:val="009E61F3"/>
    <w:rsid w:val="009F0325"/>
    <w:rsid w:val="009F0813"/>
    <w:rsid w:val="009F0DC1"/>
    <w:rsid w:val="009F18AA"/>
    <w:rsid w:val="009F215D"/>
    <w:rsid w:val="009F2D15"/>
    <w:rsid w:val="009F4DBF"/>
    <w:rsid w:val="009F52CC"/>
    <w:rsid w:val="009F6389"/>
    <w:rsid w:val="009F78E3"/>
    <w:rsid w:val="00A003D0"/>
    <w:rsid w:val="00A03C52"/>
    <w:rsid w:val="00A0422D"/>
    <w:rsid w:val="00A06239"/>
    <w:rsid w:val="00A0685F"/>
    <w:rsid w:val="00A06A94"/>
    <w:rsid w:val="00A12DF2"/>
    <w:rsid w:val="00A168C5"/>
    <w:rsid w:val="00A17306"/>
    <w:rsid w:val="00A1762F"/>
    <w:rsid w:val="00A203FC"/>
    <w:rsid w:val="00A20DD5"/>
    <w:rsid w:val="00A22859"/>
    <w:rsid w:val="00A23C67"/>
    <w:rsid w:val="00A23F9B"/>
    <w:rsid w:val="00A244D1"/>
    <w:rsid w:val="00A26C15"/>
    <w:rsid w:val="00A31FEA"/>
    <w:rsid w:val="00A32C77"/>
    <w:rsid w:val="00A32FCE"/>
    <w:rsid w:val="00A33283"/>
    <w:rsid w:val="00A33690"/>
    <w:rsid w:val="00A35CED"/>
    <w:rsid w:val="00A376E3"/>
    <w:rsid w:val="00A40E7F"/>
    <w:rsid w:val="00A41F81"/>
    <w:rsid w:val="00A44DA6"/>
    <w:rsid w:val="00A47337"/>
    <w:rsid w:val="00A4796F"/>
    <w:rsid w:val="00A52F18"/>
    <w:rsid w:val="00A63ABA"/>
    <w:rsid w:val="00A6407C"/>
    <w:rsid w:val="00A645D2"/>
    <w:rsid w:val="00A66616"/>
    <w:rsid w:val="00A7090A"/>
    <w:rsid w:val="00A7334B"/>
    <w:rsid w:val="00A74D81"/>
    <w:rsid w:val="00A75FA4"/>
    <w:rsid w:val="00A7610D"/>
    <w:rsid w:val="00A76391"/>
    <w:rsid w:val="00A76BA0"/>
    <w:rsid w:val="00A770BC"/>
    <w:rsid w:val="00A779A7"/>
    <w:rsid w:val="00A77F1D"/>
    <w:rsid w:val="00A77F65"/>
    <w:rsid w:val="00A802AD"/>
    <w:rsid w:val="00A812DC"/>
    <w:rsid w:val="00A8188A"/>
    <w:rsid w:val="00A82CF5"/>
    <w:rsid w:val="00A870DF"/>
    <w:rsid w:val="00A93D4F"/>
    <w:rsid w:val="00A94984"/>
    <w:rsid w:val="00A94AD0"/>
    <w:rsid w:val="00A95EF8"/>
    <w:rsid w:val="00A96B72"/>
    <w:rsid w:val="00A96EB9"/>
    <w:rsid w:val="00A970D6"/>
    <w:rsid w:val="00A978C8"/>
    <w:rsid w:val="00AA535D"/>
    <w:rsid w:val="00AA5672"/>
    <w:rsid w:val="00AA6956"/>
    <w:rsid w:val="00AB0AC4"/>
    <w:rsid w:val="00AB0B52"/>
    <w:rsid w:val="00AB2FAC"/>
    <w:rsid w:val="00AB4564"/>
    <w:rsid w:val="00AB4B3B"/>
    <w:rsid w:val="00AB500F"/>
    <w:rsid w:val="00AB5CB9"/>
    <w:rsid w:val="00AB7D11"/>
    <w:rsid w:val="00AC1BCD"/>
    <w:rsid w:val="00AC2872"/>
    <w:rsid w:val="00AC5F1D"/>
    <w:rsid w:val="00AD00FC"/>
    <w:rsid w:val="00AD186A"/>
    <w:rsid w:val="00AD277C"/>
    <w:rsid w:val="00AD38E8"/>
    <w:rsid w:val="00AD4184"/>
    <w:rsid w:val="00AD49D3"/>
    <w:rsid w:val="00AD501E"/>
    <w:rsid w:val="00AE115F"/>
    <w:rsid w:val="00AE1BDF"/>
    <w:rsid w:val="00AE338B"/>
    <w:rsid w:val="00AE36A3"/>
    <w:rsid w:val="00AE4B81"/>
    <w:rsid w:val="00AE5E44"/>
    <w:rsid w:val="00AE6887"/>
    <w:rsid w:val="00AE72B1"/>
    <w:rsid w:val="00AF100B"/>
    <w:rsid w:val="00AF1331"/>
    <w:rsid w:val="00AF1D4D"/>
    <w:rsid w:val="00AF216A"/>
    <w:rsid w:val="00AF33ED"/>
    <w:rsid w:val="00AF3C03"/>
    <w:rsid w:val="00AF556E"/>
    <w:rsid w:val="00AF5B4B"/>
    <w:rsid w:val="00AF6102"/>
    <w:rsid w:val="00B00248"/>
    <w:rsid w:val="00B02D14"/>
    <w:rsid w:val="00B03104"/>
    <w:rsid w:val="00B045AF"/>
    <w:rsid w:val="00B04A87"/>
    <w:rsid w:val="00B065D7"/>
    <w:rsid w:val="00B1051E"/>
    <w:rsid w:val="00B10CFC"/>
    <w:rsid w:val="00B12851"/>
    <w:rsid w:val="00B20139"/>
    <w:rsid w:val="00B22028"/>
    <w:rsid w:val="00B243BE"/>
    <w:rsid w:val="00B26EB9"/>
    <w:rsid w:val="00B2714A"/>
    <w:rsid w:val="00B27C16"/>
    <w:rsid w:val="00B32467"/>
    <w:rsid w:val="00B33ABF"/>
    <w:rsid w:val="00B3501B"/>
    <w:rsid w:val="00B355BB"/>
    <w:rsid w:val="00B35993"/>
    <w:rsid w:val="00B36822"/>
    <w:rsid w:val="00B4033F"/>
    <w:rsid w:val="00B44AF4"/>
    <w:rsid w:val="00B4505D"/>
    <w:rsid w:val="00B453BC"/>
    <w:rsid w:val="00B45452"/>
    <w:rsid w:val="00B5010C"/>
    <w:rsid w:val="00B5066D"/>
    <w:rsid w:val="00B5281F"/>
    <w:rsid w:val="00B56D98"/>
    <w:rsid w:val="00B60FE6"/>
    <w:rsid w:val="00B61752"/>
    <w:rsid w:val="00B62580"/>
    <w:rsid w:val="00B62A84"/>
    <w:rsid w:val="00B62BAF"/>
    <w:rsid w:val="00B640D3"/>
    <w:rsid w:val="00B71BB4"/>
    <w:rsid w:val="00B71CCF"/>
    <w:rsid w:val="00B72232"/>
    <w:rsid w:val="00B72976"/>
    <w:rsid w:val="00B72BAF"/>
    <w:rsid w:val="00B75CD4"/>
    <w:rsid w:val="00B76500"/>
    <w:rsid w:val="00B77469"/>
    <w:rsid w:val="00B80E3F"/>
    <w:rsid w:val="00B82998"/>
    <w:rsid w:val="00B83A53"/>
    <w:rsid w:val="00B83D0C"/>
    <w:rsid w:val="00B84CCB"/>
    <w:rsid w:val="00B86026"/>
    <w:rsid w:val="00B8668D"/>
    <w:rsid w:val="00B86888"/>
    <w:rsid w:val="00B92051"/>
    <w:rsid w:val="00B94831"/>
    <w:rsid w:val="00B94ED3"/>
    <w:rsid w:val="00B971F9"/>
    <w:rsid w:val="00BA134F"/>
    <w:rsid w:val="00BA2EEF"/>
    <w:rsid w:val="00BA4463"/>
    <w:rsid w:val="00BA618E"/>
    <w:rsid w:val="00BA6D2A"/>
    <w:rsid w:val="00BA7BAD"/>
    <w:rsid w:val="00BA7C80"/>
    <w:rsid w:val="00BB25CB"/>
    <w:rsid w:val="00BB3A65"/>
    <w:rsid w:val="00BC126B"/>
    <w:rsid w:val="00BC17FD"/>
    <w:rsid w:val="00BC2FE8"/>
    <w:rsid w:val="00BC6974"/>
    <w:rsid w:val="00BD2065"/>
    <w:rsid w:val="00BD3694"/>
    <w:rsid w:val="00BD66D0"/>
    <w:rsid w:val="00BD6F58"/>
    <w:rsid w:val="00BD7D53"/>
    <w:rsid w:val="00BE0A71"/>
    <w:rsid w:val="00BE6569"/>
    <w:rsid w:val="00BF0E49"/>
    <w:rsid w:val="00BF291B"/>
    <w:rsid w:val="00BF589E"/>
    <w:rsid w:val="00BF6F58"/>
    <w:rsid w:val="00C0225A"/>
    <w:rsid w:val="00C03332"/>
    <w:rsid w:val="00C03DB3"/>
    <w:rsid w:val="00C050BD"/>
    <w:rsid w:val="00C05A8A"/>
    <w:rsid w:val="00C05DD2"/>
    <w:rsid w:val="00C062F5"/>
    <w:rsid w:val="00C064CE"/>
    <w:rsid w:val="00C0744A"/>
    <w:rsid w:val="00C07551"/>
    <w:rsid w:val="00C10923"/>
    <w:rsid w:val="00C122D4"/>
    <w:rsid w:val="00C1243A"/>
    <w:rsid w:val="00C12457"/>
    <w:rsid w:val="00C13905"/>
    <w:rsid w:val="00C14421"/>
    <w:rsid w:val="00C15627"/>
    <w:rsid w:val="00C159F5"/>
    <w:rsid w:val="00C1710D"/>
    <w:rsid w:val="00C17D1D"/>
    <w:rsid w:val="00C22BA2"/>
    <w:rsid w:val="00C234DD"/>
    <w:rsid w:val="00C23779"/>
    <w:rsid w:val="00C23ACF"/>
    <w:rsid w:val="00C24306"/>
    <w:rsid w:val="00C2766B"/>
    <w:rsid w:val="00C27A78"/>
    <w:rsid w:val="00C27C6F"/>
    <w:rsid w:val="00C32274"/>
    <w:rsid w:val="00C36C69"/>
    <w:rsid w:val="00C40404"/>
    <w:rsid w:val="00C42B83"/>
    <w:rsid w:val="00C44CD6"/>
    <w:rsid w:val="00C4500B"/>
    <w:rsid w:val="00C47530"/>
    <w:rsid w:val="00C515A1"/>
    <w:rsid w:val="00C517D6"/>
    <w:rsid w:val="00C52368"/>
    <w:rsid w:val="00C52407"/>
    <w:rsid w:val="00C52796"/>
    <w:rsid w:val="00C56276"/>
    <w:rsid w:val="00C565E0"/>
    <w:rsid w:val="00C57014"/>
    <w:rsid w:val="00C572E9"/>
    <w:rsid w:val="00C578E8"/>
    <w:rsid w:val="00C625C4"/>
    <w:rsid w:val="00C62877"/>
    <w:rsid w:val="00C6463C"/>
    <w:rsid w:val="00C64C26"/>
    <w:rsid w:val="00C673D6"/>
    <w:rsid w:val="00C676F6"/>
    <w:rsid w:val="00C70927"/>
    <w:rsid w:val="00C71288"/>
    <w:rsid w:val="00C7213E"/>
    <w:rsid w:val="00C72E11"/>
    <w:rsid w:val="00C737DB"/>
    <w:rsid w:val="00C75D67"/>
    <w:rsid w:val="00C76406"/>
    <w:rsid w:val="00C77CCE"/>
    <w:rsid w:val="00C80CEE"/>
    <w:rsid w:val="00C81C4C"/>
    <w:rsid w:val="00C82A1C"/>
    <w:rsid w:val="00C82ADC"/>
    <w:rsid w:val="00C83D74"/>
    <w:rsid w:val="00C840AC"/>
    <w:rsid w:val="00C8434A"/>
    <w:rsid w:val="00C869E0"/>
    <w:rsid w:val="00C878BB"/>
    <w:rsid w:val="00C91444"/>
    <w:rsid w:val="00C93475"/>
    <w:rsid w:val="00C938CA"/>
    <w:rsid w:val="00C94111"/>
    <w:rsid w:val="00CA65F6"/>
    <w:rsid w:val="00CA6C7F"/>
    <w:rsid w:val="00CB51F2"/>
    <w:rsid w:val="00CB5365"/>
    <w:rsid w:val="00CB6306"/>
    <w:rsid w:val="00CB6FDA"/>
    <w:rsid w:val="00CC1D2C"/>
    <w:rsid w:val="00CC2878"/>
    <w:rsid w:val="00CC3E45"/>
    <w:rsid w:val="00CC7E58"/>
    <w:rsid w:val="00CD032B"/>
    <w:rsid w:val="00CD131C"/>
    <w:rsid w:val="00CD2BD7"/>
    <w:rsid w:val="00CD3F10"/>
    <w:rsid w:val="00CD44FE"/>
    <w:rsid w:val="00CD4637"/>
    <w:rsid w:val="00CD4DDE"/>
    <w:rsid w:val="00CD5CB8"/>
    <w:rsid w:val="00CD60EF"/>
    <w:rsid w:val="00CD79C6"/>
    <w:rsid w:val="00CD7D73"/>
    <w:rsid w:val="00CE1D20"/>
    <w:rsid w:val="00CE269E"/>
    <w:rsid w:val="00CE2C33"/>
    <w:rsid w:val="00CE3157"/>
    <w:rsid w:val="00CF0138"/>
    <w:rsid w:val="00CF0524"/>
    <w:rsid w:val="00CF4882"/>
    <w:rsid w:val="00CF7B40"/>
    <w:rsid w:val="00CF7F8A"/>
    <w:rsid w:val="00D009BD"/>
    <w:rsid w:val="00D00BB1"/>
    <w:rsid w:val="00D00F5E"/>
    <w:rsid w:val="00D01897"/>
    <w:rsid w:val="00D03615"/>
    <w:rsid w:val="00D07404"/>
    <w:rsid w:val="00D13D56"/>
    <w:rsid w:val="00D15082"/>
    <w:rsid w:val="00D15A71"/>
    <w:rsid w:val="00D16219"/>
    <w:rsid w:val="00D178B6"/>
    <w:rsid w:val="00D17CF2"/>
    <w:rsid w:val="00D20961"/>
    <w:rsid w:val="00D20C2B"/>
    <w:rsid w:val="00D24E80"/>
    <w:rsid w:val="00D251BB"/>
    <w:rsid w:val="00D2578C"/>
    <w:rsid w:val="00D25A1A"/>
    <w:rsid w:val="00D25DA6"/>
    <w:rsid w:val="00D2775B"/>
    <w:rsid w:val="00D302D4"/>
    <w:rsid w:val="00D322BF"/>
    <w:rsid w:val="00D33BB6"/>
    <w:rsid w:val="00D34616"/>
    <w:rsid w:val="00D35DF8"/>
    <w:rsid w:val="00D37730"/>
    <w:rsid w:val="00D42487"/>
    <w:rsid w:val="00D42842"/>
    <w:rsid w:val="00D438FE"/>
    <w:rsid w:val="00D50462"/>
    <w:rsid w:val="00D5207A"/>
    <w:rsid w:val="00D529B7"/>
    <w:rsid w:val="00D53BD8"/>
    <w:rsid w:val="00D56236"/>
    <w:rsid w:val="00D56924"/>
    <w:rsid w:val="00D57B97"/>
    <w:rsid w:val="00D60AB6"/>
    <w:rsid w:val="00D61283"/>
    <w:rsid w:val="00D61CFB"/>
    <w:rsid w:val="00D623E6"/>
    <w:rsid w:val="00D6292B"/>
    <w:rsid w:val="00D62E85"/>
    <w:rsid w:val="00D65D71"/>
    <w:rsid w:val="00D665C7"/>
    <w:rsid w:val="00D668CF"/>
    <w:rsid w:val="00D67443"/>
    <w:rsid w:val="00D67524"/>
    <w:rsid w:val="00D675DE"/>
    <w:rsid w:val="00D67FF7"/>
    <w:rsid w:val="00D70F1E"/>
    <w:rsid w:val="00D72CFA"/>
    <w:rsid w:val="00D7381F"/>
    <w:rsid w:val="00D73B08"/>
    <w:rsid w:val="00D74878"/>
    <w:rsid w:val="00D74E80"/>
    <w:rsid w:val="00D8057A"/>
    <w:rsid w:val="00D82689"/>
    <w:rsid w:val="00D8432E"/>
    <w:rsid w:val="00D84638"/>
    <w:rsid w:val="00D85CA3"/>
    <w:rsid w:val="00D85E81"/>
    <w:rsid w:val="00D8750A"/>
    <w:rsid w:val="00D87BE1"/>
    <w:rsid w:val="00D93DC8"/>
    <w:rsid w:val="00D9544D"/>
    <w:rsid w:val="00D95916"/>
    <w:rsid w:val="00D97F5B"/>
    <w:rsid w:val="00DA1EE5"/>
    <w:rsid w:val="00DA4E35"/>
    <w:rsid w:val="00DA595D"/>
    <w:rsid w:val="00DA6E5D"/>
    <w:rsid w:val="00DA7372"/>
    <w:rsid w:val="00DB0F56"/>
    <w:rsid w:val="00DB158B"/>
    <w:rsid w:val="00DB48C4"/>
    <w:rsid w:val="00DC3968"/>
    <w:rsid w:val="00DC4DC6"/>
    <w:rsid w:val="00DC5D85"/>
    <w:rsid w:val="00DC6EC0"/>
    <w:rsid w:val="00DD076C"/>
    <w:rsid w:val="00DD08A1"/>
    <w:rsid w:val="00DD0930"/>
    <w:rsid w:val="00DD199D"/>
    <w:rsid w:val="00DD2F02"/>
    <w:rsid w:val="00DD4CC9"/>
    <w:rsid w:val="00DD5262"/>
    <w:rsid w:val="00DD5F49"/>
    <w:rsid w:val="00DE004B"/>
    <w:rsid w:val="00DE247E"/>
    <w:rsid w:val="00DE2ACC"/>
    <w:rsid w:val="00DE2CC4"/>
    <w:rsid w:val="00DE45A9"/>
    <w:rsid w:val="00DE79CE"/>
    <w:rsid w:val="00DE7BD4"/>
    <w:rsid w:val="00DF1244"/>
    <w:rsid w:val="00DF16B1"/>
    <w:rsid w:val="00DF23F0"/>
    <w:rsid w:val="00DF37D4"/>
    <w:rsid w:val="00DF3D23"/>
    <w:rsid w:val="00DF468E"/>
    <w:rsid w:val="00DF6AD7"/>
    <w:rsid w:val="00E00F25"/>
    <w:rsid w:val="00E023B3"/>
    <w:rsid w:val="00E03626"/>
    <w:rsid w:val="00E03813"/>
    <w:rsid w:val="00E03A34"/>
    <w:rsid w:val="00E07A61"/>
    <w:rsid w:val="00E07CCA"/>
    <w:rsid w:val="00E13BB9"/>
    <w:rsid w:val="00E16C3E"/>
    <w:rsid w:val="00E2087B"/>
    <w:rsid w:val="00E262FC"/>
    <w:rsid w:val="00E26C67"/>
    <w:rsid w:val="00E30719"/>
    <w:rsid w:val="00E30B3D"/>
    <w:rsid w:val="00E344B8"/>
    <w:rsid w:val="00E348DB"/>
    <w:rsid w:val="00E362BD"/>
    <w:rsid w:val="00E37A65"/>
    <w:rsid w:val="00E40645"/>
    <w:rsid w:val="00E408EC"/>
    <w:rsid w:val="00E409A1"/>
    <w:rsid w:val="00E410FD"/>
    <w:rsid w:val="00E442DA"/>
    <w:rsid w:val="00E4564C"/>
    <w:rsid w:val="00E4588A"/>
    <w:rsid w:val="00E47DFB"/>
    <w:rsid w:val="00E51F00"/>
    <w:rsid w:val="00E521E3"/>
    <w:rsid w:val="00E52B76"/>
    <w:rsid w:val="00E54B4F"/>
    <w:rsid w:val="00E5542F"/>
    <w:rsid w:val="00E55AA0"/>
    <w:rsid w:val="00E578B9"/>
    <w:rsid w:val="00E6023C"/>
    <w:rsid w:val="00E707E4"/>
    <w:rsid w:val="00E70FDD"/>
    <w:rsid w:val="00E71DB0"/>
    <w:rsid w:val="00E73730"/>
    <w:rsid w:val="00E74F37"/>
    <w:rsid w:val="00E76634"/>
    <w:rsid w:val="00E80EA6"/>
    <w:rsid w:val="00E81655"/>
    <w:rsid w:val="00E830B6"/>
    <w:rsid w:val="00E83EB7"/>
    <w:rsid w:val="00E8432C"/>
    <w:rsid w:val="00E847D5"/>
    <w:rsid w:val="00E85F85"/>
    <w:rsid w:val="00E94A75"/>
    <w:rsid w:val="00E95107"/>
    <w:rsid w:val="00E95989"/>
    <w:rsid w:val="00E96F7A"/>
    <w:rsid w:val="00EA0254"/>
    <w:rsid w:val="00EA0D9F"/>
    <w:rsid w:val="00EA1EA2"/>
    <w:rsid w:val="00EA3445"/>
    <w:rsid w:val="00EA422B"/>
    <w:rsid w:val="00EA6CFF"/>
    <w:rsid w:val="00EB091F"/>
    <w:rsid w:val="00EB0F87"/>
    <w:rsid w:val="00EB17C0"/>
    <w:rsid w:val="00EB2584"/>
    <w:rsid w:val="00EB5230"/>
    <w:rsid w:val="00EB55F6"/>
    <w:rsid w:val="00EB687C"/>
    <w:rsid w:val="00EB6F13"/>
    <w:rsid w:val="00EB78B2"/>
    <w:rsid w:val="00EC06A7"/>
    <w:rsid w:val="00EC1800"/>
    <w:rsid w:val="00EC24F4"/>
    <w:rsid w:val="00EC4ECB"/>
    <w:rsid w:val="00EC6433"/>
    <w:rsid w:val="00EC700D"/>
    <w:rsid w:val="00ED1DDD"/>
    <w:rsid w:val="00ED2331"/>
    <w:rsid w:val="00ED40CE"/>
    <w:rsid w:val="00ED5155"/>
    <w:rsid w:val="00ED5F3C"/>
    <w:rsid w:val="00ED6D6F"/>
    <w:rsid w:val="00EE037A"/>
    <w:rsid w:val="00EE094A"/>
    <w:rsid w:val="00EE16B6"/>
    <w:rsid w:val="00EE2F04"/>
    <w:rsid w:val="00EE469E"/>
    <w:rsid w:val="00EE5573"/>
    <w:rsid w:val="00EE7973"/>
    <w:rsid w:val="00EF007C"/>
    <w:rsid w:val="00EF12A8"/>
    <w:rsid w:val="00EF41D5"/>
    <w:rsid w:val="00EF420E"/>
    <w:rsid w:val="00EF5C1E"/>
    <w:rsid w:val="00EF66A4"/>
    <w:rsid w:val="00EF7930"/>
    <w:rsid w:val="00EF7996"/>
    <w:rsid w:val="00F0121E"/>
    <w:rsid w:val="00F02594"/>
    <w:rsid w:val="00F02D79"/>
    <w:rsid w:val="00F0336F"/>
    <w:rsid w:val="00F03843"/>
    <w:rsid w:val="00F05A17"/>
    <w:rsid w:val="00F06CAB"/>
    <w:rsid w:val="00F1350B"/>
    <w:rsid w:val="00F1487A"/>
    <w:rsid w:val="00F16A34"/>
    <w:rsid w:val="00F16ABF"/>
    <w:rsid w:val="00F2127A"/>
    <w:rsid w:val="00F21AE4"/>
    <w:rsid w:val="00F252A6"/>
    <w:rsid w:val="00F2619C"/>
    <w:rsid w:val="00F2637B"/>
    <w:rsid w:val="00F325C2"/>
    <w:rsid w:val="00F32DFC"/>
    <w:rsid w:val="00F34DAA"/>
    <w:rsid w:val="00F35751"/>
    <w:rsid w:val="00F35D06"/>
    <w:rsid w:val="00F37F62"/>
    <w:rsid w:val="00F4512C"/>
    <w:rsid w:val="00F4791F"/>
    <w:rsid w:val="00F47AE3"/>
    <w:rsid w:val="00F50A08"/>
    <w:rsid w:val="00F534B5"/>
    <w:rsid w:val="00F53A9A"/>
    <w:rsid w:val="00F55F82"/>
    <w:rsid w:val="00F56ACD"/>
    <w:rsid w:val="00F57856"/>
    <w:rsid w:val="00F61D43"/>
    <w:rsid w:val="00F64BA1"/>
    <w:rsid w:val="00F65E51"/>
    <w:rsid w:val="00F67486"/>
    <w:rsid w:val="00F70B39"/>
    <w:rsid w:val="00F71436"/>
    <w:rsid w:val="00F7180F"/>
    <w:rsid w:val="00F73C25"/>
    <w:rsid w:val="00F7406C"/>
    <w:rsid w:val="00F749C0"/>
    <w:rsid w:val="00F74F2A"/>
    <w:rsid w:val="00F76BFB"/>
    <w:rsid w:val="00F81399"/>
    <w:rsid w:val="00F83AFD"/>
    <w:rsid w:val="00F84F35"/>
    <w:rsid w:val="00F85D78"/>
    <w:rsid w:val="00F86FA2"/>
    <w:rsid w:val="00F87D11"/>
    <w:rsid w:val="00F87D5C"/>
    <w:rsid w:val="00F90AD1"/>
    <w:rsid w:val="00F9143D"/>
    <w:rsid w:val="00F9531E"/>
    <w:rsid w:val="00F97981"/>
    <w:rsid w:val="00FA010E"/>
    <w:rsid w:val="00FA1BD6"/>
    <w:rsid w:val="00FA42F4"/>
    <w:rsid w:val="00FA4FDB"/>
    <w:rsid w:val="00FA5F62"/>
    <w:rsid w:val="00FA6CD5"/>
    <w:rsid w:val="00FA78BA"/>
    <w:rsid w:val="00FB0EF9"/>
    <w:rsid w:val="00FB101F"/>
    <w:rsid w:val="00FB14DE"/>
    <w:rsid w:val="00FB2607"/>
    <w:rsid w:val="00FB30FA"/>
    <w:rsid w:val="00FB31A4"/>
    <w:rsid w:val="00FB377C"/>
    <w:rsid w:val="00FB3834"/>
    <w:rsid w:val="00FB4D85"/>
    <w:rsid w:val="00FB56D6"/>
    <w:rsid w:val="00FB6AC6"/>
    <w:rsid w:val="00FC04BE"/>
    <w:rsid w:val="00FC4512"/>
    <w:rsid w:val="00FC5CBC"/>
    <w:rsid w:val="00FC7067"/>
    <w:rsid w:val="00FC7AC8"/>
    <w:rsid w:val="00FD3CE7"/>
    <w:rsid w:val="00FD5005"/>
    <w:rsid w:val="00FD75F3"/>
    <w:rsid w:val="00FE0BB1"/>
    <w:rsid w:val="00FE0C9E"/>
    <w:rsid w:val="00FE2AC2"/>
    <w:rsid w:val="00FE2F6A"/>
    <w:rsid w:val="00FE3F6C"/>
    <w:rsid w:val="00FE6451"/>
    <w:rsid w:val="00FF04A0"/>
    <w:rsid w:val="00FF2FCB"/>
    <w:rsid w:val="00FF376D"/>
    <w:rsid w:val="00FF4827"/>
    <w:rsid w:val="00FF482C"/>
    <w:rsid w:val="00FF6308"/>
    <w:rsid w:val="00FF7EE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5:chartTrackingRefBased/>
  <w15:docId w15:val="{CCCB0BFB-B3AA-4534-9678-280BB7E02AD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spacing w:after="200" w:line="276" w:lineRule="auto"/>
    </w:pPr>
    <w:rPr>
      <w:sz w:val="22"/>
      <w:szCs w:val="22"/>
    </w:rPr>
  </w:style>
  <w:style w:type="paragraph" w:styleId="Ttulo1">
    <w:name w:val="heading 1"/>
    <w:basedOn w:val="TDC1"/>
    <w:next w:val="Normal"/>
    <w:link w:val="Ttulo1Car"/>
    <w:uiPriority w:val="9"/>
    <w:qFormat/>
    <w:rsid w:val="00F1350B"/>
    <w:pPr>
      <w:numPr>
        <w:numId w:val="8"/>
      </w:numPr>
      <w:spacing w:after="0" w:line="240" w:lineRule="auto"/>
      <w:outlineLvl w:val="0"/>
    </w:pPr>
    <w:rPr>
      <w:b/>
      <w:sz w:val="20"/>
      <w:szCs w:val="20"/>
      <w:lang w:val="es-CR"/>
    </w:rPr>
  </w:style>
  <w:style w:type="character" w:default="1" w:styleId="Fuentedeprrafopredeter">
    <w:name w:val="Default Paragraph Font"/>
    <w:uiPriority w:val="1"/>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notapie">
    <w:name w:val="footnote text"/>
    <w:aliases w:val="Footnote Text Char Char Char Char Char,Footnote Text Char Char Char Char,Footnote reference,FA Fu,Footnote Text Char Char Char,Footnote Text Cha,FA Fußnotentext,FA Fuﬂnotentext,Footnote Text Char Char,FA Fu?notentext,Ca,FA Fu?notente,C,ft"/>
    <w:basedOn w:val="Normal"/>
    <w:link w:val="TextonotapieCar"/>
    <w:autoRedefine/>
    <w:unhideWhenUsed/>
    <w:qFormat/>
    <w:rsid w:val="00631C55"/>
    <w:pPr>
      <w:spacing w:after="0" w:line="240" w:lineRule="auto"/>
      <w:jc w:val="both"/>
    </w:pPr>
    <w:rPr>
      <w:rFonts w:ascii="Verdana" w:hAnsi="Verdana"/>
      <w:sz w:val="16"/>
      <w:szCs w:val="20"/>
    </w:rPr>
  </w:style>
  <w:style w:type="character" w:customStyle="1" w:styleId="TextonotapieCar">
    <w:name w:val="Texto nota pie Car"/>
    <w:aliases w:val="Footnote Text Char Char Char Char Char Car,Footnote Text Char Char Char Char Car,Footnote reference Car,FA Fu Car,Footnote Text Char Char Char Car,Footnote Text Cha Car,FA Fußnotentext Car,FA Fuﬂnotentext Car,FA Fu?notentext Car,C Car"/>
    <w:link w:val="Textonotapie"/>
    <w:qFormat/>
    <w:rsid w:val="00631C55"/>
    <w:rPr>
      <w:rFonts w:ascii="Verdana" w:hAnsi="Verdana"/>
      <w:sz w:val="16"/>
    </w:rPr>
  </w:style>
  <w:style w:type="character" w:styleId="Refdenotaalpie">
    <w:name w:val="footnote reference"/>
    <w:aliases w:val="Texto de nota al pie,Footnotes refss,Appel note de bas de page,Footnote number,referencia nota al pie,BVI fnr,f,4_G,16 Point,Superscript 6 Point,Texto nota al pie,Footnote Reference Char3,Footnote Reference Char1 Char,Ref. de nota al"/>
    <w:link w:val="4GChar"/>
    <w:uiPriority w:val="99"/>
    <w:unhideWhenUsed/>
    <w:qFormat/>
    <w:rsid w:val="005A1B3D"/>
    <w:rPr>
      <w:vertAlign w:val="superscript"/>
    </w:rPr>
  </w:style>
  <w:style w:type="character" w:styleId="Hipervnculo">
    <w:name w:val="Hyperlink"/>
    <w:uiPriority w:val="99"/>
    <w:unhideWhenUsed/>
    <w:rsid w:val="00D665C7"/>
    <w:rPr>
      <w:color w:val="0000FF"/>
      <w:u w:val="single"/>
    </w:rPr>
  </w:style>
  <w:style w:type="paragraph" w:customStyle="1" w:styleId="Listavistosa-nfasis12">
    <w:name w:val="Lista vistosa - Énfasis 12"/>
    <w:aliases w:val="Footnote,Párrafo de lista1"/>
    <w:basedOn w:val="Normal"/>
    <w:link w:val="Listavistosa-nfasis1Car"/>
    <w:uiPriority w:val="34"/>
    <w:qFormat/>
    <w:rsid w:val="00631C55"/>
    <w:pPr>
      <w:ind w:left="720"/>
      <w:contextualSpacing/>
      <w:jc w:val="both"/>
    </w:pPr>
    <w:rPr>
      <w:rFonts w:ascii="Verdana" w:hAnsi="Verdana"/>
      <w:sz w:val="16"/>
    </w:rPr>
  </w:style>
  <w:style w:type="character" w:customStyle="1" w:styleId="Listavistosa-nfasis1Car">
    <w:name w:val="Lista vistosa - Énfasis 1 Car"/>
    <w:aliases w:val="Footnote Car,Párrafo de lista1 Car,Sombreado vistoso - Énfasis 3 Car,Párrafo de lista Car,Colorful List - Accent 11 Car,Cuadrícula clara - Énfasis 31 Car,List Paragraph1 Car,List Paragraph2 Car,Lista vistosa - Énfasis 11 Ca"/>
    <w:link w:val="Listavistosa-nfasis12"/>
    <w:uiPriority w:val="99"/>
    <w:locked/>
    <w:rsid w:val="00631C55"/>
    <w:rPr>
      <w:rFonts w:ascii="Verdana" w:hAnsi="Verdana"/>
      <w:sz w:val="16"/>
      <w:szCs w:val="22"/>
    </w:rPr>
  </w:style>
  <w:style w:type="table" w:styleId="Tablaconcuadrcula">
    <w:name w:val="Table Grid"/>
    <w:basedOn w:val="Tablanormal"/>
    <w:uiPriority w:val="59"/>
    <w:rsid w:val="00F35D0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pple-style-span">
    <w:name w:val="apple-style-span"/>
    <w:basedOn w:val="Fuentedeprrafopredeter"/>
    <w:rsid w:val="00F0336F"/>
  </w:style>
  <w:style w:type="character" w:customStyle="1" w:styleId="apple-converted-space">
    <w:name w:val="apple-converted-space"/>
    <w:basedOn w:val="Fuentedeprrafopredeter"/>
    <w:rsid w:val="001C0DED"/>
  </w:style>
  <w:style w:type="paragraph" w:styleId="Encabezado">
    <w:name w:val="header"/>
    <w:basedOn w:val="Normal"/>
    <w:link w:val="EncabezadoCar"/>
    <w:uiPriority w:val="99"/>
    <w:unhideWhenUsed/>
    <w:rsid w:val="00F56ACD"/>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F56ACD"/>
  </w:style>
  <w:style w:type="paragraph" w:styleId="Piedepgina">
    <w:name w:val="footer"/>
    <w:basedOn w:val="Normal"/>
    <w:link w:val="PiedepginaCar"/>
    <w:uiPriority w:val="99"/>
    <w:unhideWhenUsed/>
    <w:rsid w:val="00F56ACD"/>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F56ACD"/>
  </w:style>
  <w:style w:type="paragraph" w:styleId="Textodeglobo">
    <w:name w:val="Balloon Text"/>
    <w:basedOn w:val="Normal"/>
    <w:link w:val="TextodegloboCar"/>
    <w:uiPriority w:val="99"/>
    <w:semiHidden/>
    <w:unhideWhenUsed/>
    <w:rsid w:val="00F56ACD"/>
    <w:pPr>
      <w:spacing w:after="0" w:line="240" w:lineRule="auto"/>
    </w:pPr>
    <w:rPr>
      <w:rFonts w:ascii="Tahoma" w:hAnsi="Tahoma" w:cs="Tahoma"/>
      <w:sz w:val="16"/>
      <w:szCs w:val="16"/>
    </w:rPr>
  </w:style>
  <w:style w:type="character" w:customStyle="1" w:styleId="TextodegloboCar">
    <w:name w:val="Texto de globo Car"/>
    <w:link w:val="Textodeglobo"/>
    <w:uiPriority w:val="99"/>
    <w:semiHidden/>
    <w:rsid w:val="00F56ACD"/>
    <w:rPr>
      <w:rFonts w:ascii="Tahoma" w:hAnsi="Tahoma" w:cs="Tahoma"/>
      <w:sz w:val="16"/>
      <w:szCs w:val="16"/>
    </w:rPr>
  </w:style>
  <w:style w:type="character" w:styleId="Textoennegrita">
    <w:name w:val="Strong"/>
    <w:uiPriority w:val="22"/>
    <w:qFormat/>
    <w:rsid w:val="005A2E32"/>
    <w:rPr>
      <w:b/>
      <w:bCs/>
    </w:rPr>
  </w:style>
  <w:style w:type="paragraph" w:styleId="Textoindependiente">
    <w:name w:val="Body Text"/>
    <w:basedOn w:val="Normal"/>
    <w:link w:val="TextoindependienteCar"/>
    <w:uiPriority w:val="99"/>
    <w:unhideWhenUsed/>
    <w:rsid w:val="009F78E3"/>
    <w:pPr>
      <w:spacing w:after="120"/>
    </w:pPr>
  </w:style>
  <w:style w:type="character" w:customStyle="1" w:styleId="TextoindependienteCar">
    <w:name w:val="Texto independiente Car"/>
    <w:link w:val="Textoindependiente"/>
    <w:uiPriority w:val="99"/>
    <w:rsid w:val="009F78E3"/>
    <w:rPr>
      <w:rFonts w:ascii="Calibri" w:eastAsia="Calibri" w:hAnsi="Calibri" w:cs="Times New Roman"/>
    </w:rPr>
  </w:style>
  <w:style w:type="character" w:styleId="Refdecomentario">
    <w:name w:val="annotation reference"/>
    <w:uiPriority w:val="99"/>
    <w:semiHidden/>
    <w:unhideWhenUsed/>
    <w:rsid w:val="005B4A61"/>
    <w:rPr>
      <w:sz w:val="16"/>
      <w:szCs w:val="16"/>
    </w:rPr>
  </w:style>
  <w:style w:type="paragraph" w:styleId="Textocomentario">
    <w:name w:val="annotation text"/>
    <w:basedOn w:val="Normal"/>
    <w:link w:val="TextocomentarioCar"/>
    <w:uiPriority w:val="99"/>
    <w:unhideWhenUsed/>
    <w:rsid w:val="005B4A61"/>
    <w:pPr>
      <w:spacing w:line="240" w:lineRule="auto"/>
    </w:pPr>
    <w:rPr>
      <w:sz w:val="20"/>
      <w:szCs w:val="20"/>
    </w:rPr>
  </w:style>
  <w:style w:type="character" w:customStyle="1" w:styleId="TextocomentarioCar">
    <w:name w:val="Texto comentario Car"/>
    <w:link w:val="Textocomentario"/>
    <w:uiPriority w:val="99"/>
    <w:rsid w:val="005B4A61"/>
    <w:rPr>
      <w:sz w:val="20"/>
      <w:szCs w:val="20"/>
    </w:rPr>
  </w:style>
  <w:style w:type="paragraph" w:styleId="Asuntodelcomentario">
    <w:name w:val="annotation subject"/>
    <w:basedOn w:val="Textocomentario"/>
    <w:next w:val="Textocomentario"/>
    <w:link w:val="AsuntodelcomentarioCar"/>
    <w:uiPriority w:val="99"/>
    <w:semiHidden/>
    <w:unhideWhenUsed/>
    <w:rsid w:val="005B4A61"/>
    <w:rPr>
      <w:b/>
      <w:bCs/>
    </w:rPr>
  </w:style>
  <w:style w:type="character" w:customStyle="1" w:styleId="AsuntodelcomentarioCar">
    <w:name w:val="Asunto del comentario Car"/>
    <w:link w:val="Asuntodelcomentario"/>
    <w:uiPriority w:val="99"/>
    <w:semiHidden/>
    <w:rsid w:val="005B4A61"/>
    <w:rPr>
      <w:b/>
      <w:bCs/>
      <w:sz w:val="20"/>
      <w:szCs w:val="20"/>
    </w:rPr>
  </w:style>
  <w:style w:type="character" w:styleId="Nmerodelnea">
    <w:name w:val="line number"/>
    <w:basedOn w:val="Fuentedeprrafopredeter"/>
    <w:uiPriority w:val="99"/>
    <w:semiHidden/>
    <w:unhideWhenUsed/>
    <w:rsid w:val="00AE338B"/>
  </w:style>
  <w:style w:type="paragraph" w:customStyle="1" w:styleId="Sombreadovistoso-nfasis11">
    <w:name w:val="Sombreado vistoso - Énfasis 11"/>
    <w:hidden/>
    <w:uiPriority w:val="99"/>
    <w:semiHidden/>
    <w:rsid w:val="00790114"/>
    <w:rPr>
      <w:sz w:val="22"/>
      <w:szCs w:val="22"/>
    </w:rPr>
  </w:style>
  <w:style w:type="paragraph" w:styleId="TDC1">
    <w:name w:val="toc 1"/>
    <w:basedOn w:val="Normal"/>
    <w:next w:val="Normal"/>
    <w:autoRedefine/>
    <w:uiPriority w:val="39"/>
    <w:unhideWhenUsed/>
    <w:qFormat/>
    <w:rsid w:val="00881D56"/>
    <w:pPr>
      <w:tabs>
        <w:tab w:val="left" w:pos="709"/>
        <w:tab w:val="left" w:pos="8505"/>
      </w:tabs>
      <w:spacing w:after="100"/>
      <w:ind w:left="284" w:right="996"/>
      <w:jc w:val="both"/>
    </w:pPr>
    <w:rPr>
      <w:rFonts w:ascii="Verdana" w:hAnsi="Verdana"/>
      <w:noProof/>
      <w:sz w:val="16"/>
      <w:szCs w:val="16"/>
      <w:lang w:val="es-MX"/>
    </w:rPr>
  </w:style>
  <w:style w:type="character" w:customStyle="1" w:styleId="Ttulo1Car">
    <w:name w:val="Título 1 Car"/>
    <w:link w:val="Ttulo1"/>
    <w:uiPriority w:val="9"/>
    <w:rsid w:val="00F1350B"/>
    <w:rPr>
      <w:rFonts w:ascii="Verdana" w:hAnsi="Verdana"/>
      <w:b/>
      <w:noProof/>
      <w:lang w:val="es-CR"/>
    </w:rPr>
  </w:style>
  <w:style w:type="paragraph" w:customStyle="1" w:styleId="Tabladecuadrcula31">
    <w:name w:val="Tabla de cuadrícula 31"/>
    <w:basedOn w:val="Ttulo1"/>
    <w:next w:val="Normal"/>
    <w:uiPriority w:val="39"/>
    <w:semiHidden/>
    <w:unhideWhenUsed/>
    <w:qFormat/>
    <w:rsid w:val="00D82689"/>
    <w:pPr>
      <w:outlineLvl w:val="9"/>
    </w:pPr>
    <w:rPr>
      <w:lang w:eastAsia="es-CR"/>
    </w:rPr>
  </w:style>
  <w:style w:type="paragraph" w:styleId="TDC2">
    <w:name w:val="toc 2"/>
    <w:basedOn w:val="Normal"/>
    <w:next w:val="Normal"/>
    <w:autoRedefine/>
    <w:uiPriority w:val="39"/>
    <w:semiHidden/>
    <w:unhideWhenUsed/>
    <w:qFormat/>
    <w:rsid w:val="00D82689"/>
    <w:pPr>
      <w:spacing w:after="100"/>
      <w:ind w:left="220"/>
    </w:pPr>
    <w:rPr>
      <w:rFonts w:eastAsia="MS Mincho"/>
      <w:lang w:val="es-CR" w:eastAsia="es-CR"/>
    </w:rPr>
  </w:style>
  <w:style w:type="paragraph" w:styleId="TDC3">
    <w:name w:val="toc 3"/>
    <w:basedOn w:val="Normal"/>
    <w:next w:val="Normal"/>
    <w:autoRedefine/>
    <w:uiPriority w:val="39"/>
    <w:semiHidden/>
    <w:unhideWhenUsed/>
    <w:qFormat/>
    <w:rsid w:val="00D82689"/>
    <w:pPr>
      <w:spacing w:after="100"/>
      <w:ind w:left="440"/>
    </w:pPr>
    <w:rPr>
      <w:rFonts w:eastAsia="MS Mincho"/>
      <w:lang w:val="es-CR" w:eastAsia="es-CR"/>
    </w:rPr>
  </w:style>
  <w:style w:type="character" w:styleId="Hipervnculovisitado">
    <w:name w:val="FollowedHyperlink"/>
    <w:uiPriority w:val="99"/>
    <w:semiHidden/>
    <w:unhideWhenUsed/>
    <w:rsid w:val="00881D56"/>
    <w:rPr>
      <w:color w:val="800080"/>
      <w:u w:val="single"/>
    </w:rPr>
  </w:style>
  <w:style w:type="paragraph" w:styleId="Prrafodelista">
    <w:name w:val="List Paragraph"/>
    <w:aliases w:val="Colorful List - Accent 11,Cuadrícula clara - Énfasis 31,List Paragraph1,List Paragraph2,Lista vistosa - Énfasis 11,Lista clara - Énfasis 51"/>
    <w:basedOn w:val="Normal"/>
    <w:uiPriority w:val="99"/>
    <w:qFormat/>
    <w:rsid w:val="00554CD4"/>
    <w:pPr>
      <w:ind w:left="720"/>
    </w:pPr>
  </w:style>
  <w:style w:type="paragraph" w:styleId="TtulodeTDC">
    <w:name w:val="Título de TDC"/>
    <w:basedOn w:val="Ttulo1"/>
    <w:next w:val="Normal"/>
    <w:uiPriority w:val="39"/>
    <w:unhideWhenUsed/>
    <w:qFormat/>
    <w:rsid w:val="00F1350B"/>
    <w:pPr>
      <w:keepNext/>
      <w:keepLines/>
      <w:numPr>
        <w:numId w:val="0"/>
      </w:numPr>
      <w:tabs>
        <w:tab w:val="clear" w:pos="709"/>
        <w:tab w:val="clear" w:pos="8505"/>
      </w:tabs>
      <w:spacing w:before="240" w:line="259" w:lineRule="auto"/>
      <w:ind w:right="0"/>
      <w:jc w:val="left"/>
      <w:outlineLvl w:val="9"/>
    </w:pPr>
    <w:rPr>
      <w:rFonts w:ascii="Calibri Light" w:eastAsia="Times New Roman" w:hAnsi="Calibri Light"/>
      <w:b w:val="0"/>
      <w:noProof w:val="0"/>
      <w:color w:val="2E74B5"/>
      <w:sz w:val="32"/>
      <w:szCs w:val="32"/>
      <w:lang w:val="en-US"/>
    </w:rPr>
  </w:style>
  <w:style w:type="paragraph" w:customStyle="1" w:styleId="4GChar">
    <w:name w:val="4_G Char"/>
    <w:aliases w:val="Appel note de bas de page Char,Appel note de bas de page Char Char Char Char Char Char Char Char Char Char Char Char Char Char Char Char Char Char Char,Appel note de bas de page Char Char Char Char"/>
    <w:basedOn w:val="Normal"/>
    <w:link w:val="Refdenotaalpie"/>
    <w:uiPriority w:val="99"/>
    <w:qFormat/>
    <w:rsid w:val="00D67FF7"/>
    <w:pPr>
      <w:spacing w:after="0" w:line="240" w:lineRule="auto"/>
      <w:jc w:val="both"/>
    </w:pPr>
    <w:rPr>
      <w:sz w:val="20"/>
      <w:szCs w:val="20"/>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29266349">
      <w:bodyDiv w:val="1"/>
      <w:marLeft w:val="0"/>
      <w:marRight w:val="0"/>
      <w:marTop w:val="0"/>
      <w:marBottom w:val="0"/>
      <w:divBdr>
        <w:top w:val="none" w:sz="0" w:space="0" w:color="auto"/>
        <w:left w:val="none" w:sz="0" w:space="0" w:color="auto"/>
        <w:bottom w:val="none" w:sz="0" w:space="0" w:color="auto"/>
        <w:right w:val="none" w:sz="0" w:space="0" w:color="auto"/>
      </w:divBdr>
    </w:div>
    <w:div w:id="414281715">
      <w:bodyDiv w:val="1"/>
      <w:marLeft w:val="0"/>
      <w:marRight w:val="0"/>
      <w:marTop w:val="0"/>
      <w:marBottom w:val="0"/>
      <w:divBdr>
        <w:top w:val="none" w:sz="0" w:space="0" w:color="auto"/>
        <w:left w:val="none" w:sz="0" w:space="0" w:color="auto"/>
        <w:bottom w:val="none" w:sz="0" w:space="0" w:color="auto"/>
        <w:right w:val="none" w:sz="0" w:space="0" w:color="auto"/>
      </w:divBdr>
    </w:div>
    <w:div w:id="845053608">
      <w:bodyDiv w:val="1"/>
      <w:marLeft w:val="0"/>
      <w:marRight w:val="0"/>
      <w:marTop w:val="0"/>
      <w:marBottom w:val="0"/>
      <w:divBdr>
        <w:top w:val="none" w:sz="0" w:space="0" w:color="auto"/>
        <w:left w:val="none" w:sz="0" w:space="0" w:color="auto"/>
        <w:bottom w:val="none" w:sz="0" w:space="0" w:color="auto"/>
        <w:right w:val="none" w:sz="0" w:space="0" w:color="auto"/>
      </w:divBdr>
    </w:div>
    <w:div w:id="1467972950">
      <w:bodyDiv w:val="1"/>
      <w:marLeft w:val="0"/>
      <w:marRight w:val="0"/>
      <w:marTop w:val="0"/>
      <w:marBottom w:val="0"/>
      <w:divBdr>
        <w:top w:val="none" w:sz="0" w:space="0" w:color="auto"/>
        <w:left w:val="none" w:sz="0" w:space="0" w:color="auto"/>
        <w:bottom w:val="none" w:sz="0" w:space="0" w:color="auto"/>
        <w:right w:val="none" w:sz="0" w:space="0" w:color="auto"/>
      </w:divBdr>
    </w:div>
    <w:div w:id="1586261030">
      <w:bodyDiv w:val="1"/>
      <w:marLeft w:val="0"/>
      <w:marRight w:val="0"/>
      <w:marTop w:val="0"/>
      <w:marBottom w:val="0"/>
      <w:divBdr>
        <w:top w:val="none" w:sz="0" w:space="0" w:color="auto"/>
        <w:left w:val="none" w:sz="0" w:space="0" w:color="auto"/>
        <w:bottom w:val="none" w:sz="0" w:space="0" w:color="auto"/>
        <w:right w:val="none" w:sz="0" w:space="0" w:color="auto"/>
      </w:divBdr>
    </w:div>
    <w:div w:id="1668089235">
      <w:bodyDiv w:val="1"/>
      <w:marLeft w:val="0"/>
      <w:marRight w:val="0"/>
      <w:marTop w:val="0"/>
      <w:marBottom w:val="0"/>
      <w:divBdr>
        <w:top w:val="none" w:sz="0" w:space="0" w:color="auto"/>
        <w:left w:val="none" w:sz="0" w:space="0" w:color="auto"/>
        <w:bottom w:val="none" w:sz="0" w:space="0" w:color="auto"/>
        <w:right w:val="none" w:sz="0" w:space="0" w:color="auto"/>
      </w:divBdr>
    </w:div>
    <w:div w:id="18353676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_rels/footnotes.xml.rels><?xml version="1.0" encoding="UTF-8" standalone="yes"?>
<Relationships xmlns="http://schemas.openxmlformats.org/package/2006/relationships"><Relationship Id="rId3" Type="http://schemas.openxmlformats.org/officeDocument/2006/relationships/hyperlink" Target="http://corteidh.or.cr/cf/Jurisprudencia2/busqueda_supervision_cumplimiento.cfm?lang=es" TargetMode="External"/><Relationship Id="rId2" Type="http://schemas.openxmlformats.org/officeDocument/2006/relationships/hyperlink" Target="http://www.corteidh.or.cr/docs/casos/articulos/seriec_31_esp.pdf" TargetMode="External"/><Relationship Id="rId1" Type="http://schemas.openxmlformats.org/officeDocument/2006/relationships/hyperlink" Target="http://www.corteidh.or.cr/docs/casos/articulos/seriec_22_esp.pdf"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CC07481-4C29-461A-9B0D-B0D1513F364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12</Pages>
  <Words>4177</Words>
  <Characters>23813</Characters>
  <Application>Microsoft Office Word</Application>
  <DocSecurity>0</DocSecurity>
  <Lines>198</Lines>
  <Paragraphs>55</Paragraphs>
  <ScaleCrop>false</ScaleCrop>
  <HeadingPairs>
    <vt:vector size="4" baseType="variant">
      <vt:variant>
        <vt:lpstr>Título</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27935</CharactersWithSpaces>
  <SharedDoc>false</SharedDoc>
  <HLinks>
    <vt:vector size="18" baseType="variant">
      <vt:variant>
        <vt:i4>3735592</vt:i4>
      </vt:variant>
      <vt:variant>
        <vt:i4>6</vt:i4>
      </vt:variant>
      <vt:variant>
        <vt:i4>0</vt:i4>
      </vt:variant>
      <vt:variant>
        <vt:i4>5</vt:i4>
      </vt:variant>
      <vt:variant>
        <vt:lpwstr>http://corteidh.or.cr/cf/Jurisprudencia2/busqueda_supervision_cumplimiento.cfm?lang=es</vt:lpwstr>
      </vt:variant>
      <vt:variant>
        <vt:lpwstr/>
      </vt:variant>
      <vt:variant>
        <vt:i4>3407972</vt:i4>
      </vt:variant>
      <vt:variant>
        <vt:i4>3</vt:i4>
      </vt:variant>
      <vt:variant>
        <vt:i4>0</vt:i4>
      </vt:variant>
      <vt:variant>
        <vt:i4>5</vt:i4>
      </vt:variant>
      <vt:variant>
        <vt:lpwstr>http://www.corteidh.or.cr/docs/casos/articulos/seriec_31_esp.pdf</vt:lpwstr>
      </vt:variant>
      <vt:variant>
        <vt:lpwstr/>
      </vt:variant>
      <vt:variant>
        <vt:i4>3604581</vt:i4>
      </vt:variant>
      <vt:variant>
        <vt:i4>0</vt:i4>
      </vt:variant>
      <vt:variant>
        <vt:i4>0</vt:i4>
      </vt:variant>
      <vt:variant>
        <vt:i4>5</vt:i4>
      </vt:variant>
      <vt:variant>
        <vt:lpwstr>http://www.corteidh.or.cr/docs/casos/articulos/seriec_22_esp.pdf</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cla</dc:creator>
  <cp:keywords/>
  <cp:lastModifiedBy>Liliana Tojo</cp:lastModifiedBy>
  <cp:revision>2</cp:revision>
  <cp:lastPrinted>2019-11-11T15:08:00Z</cp:lastPrinted>
  <dcterms:created xsi:type="dcterms:W3CDTF">2020-01-08T16:46:00Z</dcterms:created>
  <dcterms:modified xsi:type="dcterms:W3CDTF">2020-01-08T16:46:00Z</dcterms:modified>
</cp:coreProperties>
</file>