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C45" w:rsidRDefault="00D97C45" w:rsidP="00B26DF6">
      <w:pPr>
        <w:spacing w:line="240" w:lineRule="auto"/>
        <w:ind w:right="1444"/>
        <w:jc w:val="center"/>
        <w:rPr>
          <w:rFonts w:ascii="Verdana" w:hAnsi="Verdana" w:cs="Verdana"/>
          <w:bCs/>
          <w:sz w:val="20"/>
          <w:szCs w:val="20"/>
          <w:lang w:val="es-ES"/>
        </w:rPr>
      </w:pPr>
      <w:bookmarkStart w:id="0" w:name="_GoBack"/>
      <w:bookmarkEnd w:id="0"/>
    </w:p>
    <w:p w:rsidR="00963B96" w:rsidRDefault="00963B96" w:rsidP="00B26DF6">
      <w:pPr>
        <w:spacing w:after="0" w:line="240" w:lineRule="auto"/>
        <w:ind w:right="1111" w:firstLine="567"/>
        <w:jc w:val="center"/>
        <w:rPr>
          <w:rFonts w:ascii="Verdana" w:hAnsi="Verdana" w:cs="Verdana"/>
          <w:bCs/>
          <w:sz w:val="20"/>
          <w:szCs w:val="20"/>
          <w:lang w:val="es-ES"/>
        </w:rPr>
      </w:pPr>
    </w:p>
    <w:p w:rsidR="00B26DF6" w:rsidRDefault="00B26DF6" w:rsidP="00B26DF6">
      <w:pPr>
        <w:spacing w:after="0" w:line="240" w:lineRule="auto"/>
        <w:ind w:right="1111" w:firstLine="567"/>
        <w:jc w:val="center"/>
        <w:rPr>
          <w:rFonts w:ascii="Verdana" w:hAnsi="Verdana" w:cs="Verdana"/>
          <w:bCs/>
          <w:sz w:val="20"/>
          <w:szCs w:val="20"/>
          <w:lang w:val="es-ES"/>
        </w:rPr>
      </w:pPr>
    </w:p>
    <w:p w:rsidR="00B26DF6" w:rsidRDefault="00B26DF6" w:rsidP="00B26DF6">
      <w:pPr>
        <w:spacing w:after="0" w:line="240" w:lineRule="auto"/>
        <w:ind w:right="1111" w:firstLine="567"/>
        <w:jc w:val="center"/>
        <w:rPr>
          <w:rFonts w:ascii="Verdana" w:hAnsi="Verdana" w:cs="Verdana"/>
          <w:bCs/>
          <w:sz w:val="20"/>
          <w:szCs w:val="20"/>
          <w:lang w:val="es-ES"/>
        </w:rPr>
      </w:pPr>
    </w:p>
    <w:p w:rsidR="00B26DF6" w:rsidRDefault="00B26DF6" w:rsidP="00B26DF6">
      <w:pPr>
        <w:spacing w:after="0" w:line="240" w:lineRule="auto"/>
        <w:ind w:right="1111" w:firstLine="567"/>
        <w:jc w:val="center"/>
        <w:rPr>
          <w:rFonts w:ascii="Verdana" w:hAnsi="Verdana" w:cs="Verdana"/>
          <w:bCs/>
          <w:sz w:val="20"/>
          <w:szCs w:val="20"/>
          <w:lang w:val="es-ES"/>
        </w:rPr>
      </w:pPr>
    </w:p>
    <w:p w:rsidR="00B26DF6" w:rsidRDefault="00B26DF6" w:rsidP="00B26DF6">
      <w:pPr>
        <w:spacing w:after="0" w:line="240" w:lineRule="auto"/>
        <w:ind w:right="1111" w:firstLine="567"/>
        <w:jc w:val="center"/>
        <w:rPr>
          <w:rFonts w:ascii="Verdana" w:hAnsi="Verdana" w:cs="Verdana"/>
          <w:bCs/>
          <w:sz w:val="20"/>
          <w:szCs w:val="20"/>
          <w:lang w:val="es-ES"/>
        </w:rPr>
      </w:pPr>
    </w:p>
    <w:p w:rsidR="00B26DF6" w:rsidRPr="00931A60" w:rsidRDefault="00B26DF6" w:rsidP="00B26DF6">
      <w:pPr>
        <w:spacing w:after="0" w:line="240" w:lineRule="auto"/>
        <w:ind w:right="1111" w:firstLine="567"/>
        <w:jc w:val="center"/>
        <w:rPr>
          <w:rFonts w:ascii="Verdana" w:hAnsi="Verdana" w:cs="Verdana"/>
          <w:bCs/>
          <w:sz w:val="20"/>
          <w:szCs w:val="20"/>
          <w:lang w:val="es-ES"/>
        </w:rPr>
      </w:pPr>
    </w:p>
    <w:p w:rsidR="00A03DC4" w:rsidRPr="00931A60" w:rsidRDefault="00A03DC4" w:rsidP="00B26DF6">
      <w:pPr>
        <w:spacing w:after="0" w:line="240" w:lineRule="auto"/>
        <w:ind w:left="567" w:right="1111" w:firstLine="567"/>
        <w:jc w:val="center"/>
        <w:rPr>
          <w:rFonts w:ascii="Verdana" w:hAnsi="Verdana" w:cs="Verdana"/>
          <w:b/>
          <w:bCs/>
          <w:sz w:val="20"/>
          <w:szCs w:val="20"/>
          <w:lang w:val="es-ES"/>
        </w:rPr>
      </w:pPr>
      <w:r w:rsidRPr="00931A60">
        <w:rPr>
          <w:rFonts w:ascii="Verdana" w:hAnsi="Verdana" w:cs="Verdana"/>
          <w:b/>
          <w:bCs/>
          <w:sz w:val="20"/>
          <w:szCs w:val="20"/>
          <w:lang w:val="es-ES"/>
        </w:rPr>
        <w:t>RESOLUCIÓN DE LA</w:t>
      </w:r>
    </w:p>
    <w:p w:rsidR="00A03DC4" w:rsidRPr="00931A60" w:rsidRDefault="00A03DC4" w:rsidP="00B26DF6">
      <w:pPr>
        <w:spacing w:after="0" w:line="240" w:lineRule="auto"/>
        <w:ind w:left="567" w:right="1111" w:firstLine="567"/>
        <w:jc w:val="center"/>
        <w:rPr>
          <w:rFonts w:ascii="Verdana" w:hAnsi="Verdana" w:cs="Verdana"/>
          <w:b/>
          <w:bCs/>
          <w:sz w:val="20"/>
          <w:szCs w:val="20"/>
          <w:lang w:val="es-ES"/>
        </w:rPr>
      </w:pPr>
      <w:r w:rsidRPr="00931A60">
        <w:rPr>
          <w:rFonts w:ascii="Verdana" w:hAnsi="Verdana" w:cs="Verdana"/>
          <w:b/>
          <w:bCs/>
          <w:sz w:val="20"/>
          <w:szCs w:val="20"/>
          <w:lang w:val="es-ES"/>
        </w:rPr>
        <w:t>CORTE INTERAMERICANA DE DERECHOS HUMANOS</w:t>
      </w:r>
    </w:p>
    <w:p w:rsidR="00B26DF6" w:rsidRDefault="00B26DF6" w:rsidP="00B26DF6">
      <w:pPr>
        <w:spacing w:after="0" w:line="240" w:lineRule="auto"/>
        <w:ind w:left="567" w:right="1112" w:firstLine="567"/>
        <w:jc w:val="center"/>
        <w:rPr>
          <w:rFonts w:ascii="Verdana" w:eastAsia="Calibri" w:hAnsi="Verdana"/>
          <w:b/>
          <w:smallCaps/>
          <w:sz w:val="20"/>
          <w:szCs w:val="20"/>
          <w:lang w:val="es-ES"/>
        </w:rPr>
      </w:pPr>
    </w:p>
    <w:p w:rsidR="00A03DC4" w:rsidRDefault="00907ADF" w:rsidP="00B26DF6">
      <w:pPr>
        <w:spacing w:after="0" w:line="240" w:lineRule="auto"/>
        <w:ind w:left="567" w:right="1112" w:firstLine="567"/>
        <w:jc w:val="center"/>
        <w:rPr>
          <w:rFonts w:ascii="Verdana" w:eastAsia="Calibri" w:hAnsi="Verdana"/>
          <w:b/>
          <w:smallCaps/>
          <w:sz w:val="20"/>
          <w:szCs w:val="20"/>
          <w:lang w:val="es-ES"/>
        </w:rPr>
      </w:pPr>
      <w:r w:rsidRPr="00931A60">
        <w:rPr>
          <w:rFonts w:ascii="Verdana" w:eastAsia="Calibri" w:hAnsi="Verdana"/>
          <w:b/>
          <w:smallCaps/>
          <w:sz w:val="20"/>
          <w:szCs w:val="20"/>
          <w:lang w:val="es-ES"/>
        </w:rPr>
        <w:t xml:space="preserve">DE </w:t>
      </w:r>
      <w:r w:rsidR="00E91314">
        <w:rPr>
          <w:rFonts w:ascii="Verdana" w:eastAsia="Calibri" w:hAnsi="Verdana"/>
          <w:b/>
          <w:smallCaps/>
          <w:sz w:val="20"/>
          <w:szCs w:val="20"/>
          <w:lang w:val="es-ES"/>
        </w:rPr>
        <w:t>7</w:t>
      </w:r>
      <w:r w:rsidR="00D97C45" w:rsidRPr="00931A60">
        <w:rPr>
          <w:rFonts w:ascii="Verdana" w:eastAsia="Calibri" w:hAnsi="Verdana"/>
          <w:b/>
          <w:smallCaps/>
          <w:sz w:val="20"/>
          <w:szCs w:val="20"/>
          <w:lang w:val="es-ES"/>
        </w:rPr>
        <w:t xml:space="preserve"> </w:t>
      </w:r>
      <w:r w:rsidRPr="00931A60">
        <w:rPr>
          <w:rFonts w:ascii="Verdana" w:eastAsia="Calibri" w:hAnsi="Verdana"/>
          <w:b/>
          <w:smallCaps/>
          <w:sz w:val="20"/>
          <w:szCs w:val="20"/>
          <w:lang w:val="es-ES"/>
        </w:rPr>
        <w:t xml:space="preserve">DE </w:t>
      </w:r>
      <w:r w:rsidR="003145C9">
        <w:rPr>
          <w:rFonts w:ascii="Verdana" w:eastAsia="Calibri" w:hAnsi="Verdana"/>
          <w:b/>
          <w:smallCaps/>
          <w:sz w:val="20"/>
          <w:szCs w:val="20"/>
          <w:lang w:val="es-ES"/>
        </w:rPr>
        <w:t>OCTUBRE</w:t>
      </w:r>
      <w:r w:rsidRPr="00931A60">
        <w:rPr>
          <w:rFonts w:ascii="Verdana" w:eastAsia="Calibri" w:hAnsi="Verdana"/>
          <w:b/>
          <w:smallCaps/>
          <w:sz w:val="20"/>
          <w:szCs w:val="20"/>
          <w:lang w:val="es-ES"/>
        </w:rPr>
        <w:t xml:space="preserve"> </w:t>
      </w:r>
      <w:r w:rsidR="00121DB2" w:rsidRPr="00931A60">
        <w:rPr>
          <w:rFonts w:ascii="Verdana" w:eastAsia="Calibri" w:hAnsi="Verdana"/>
          <w:b/>
          <w:smallCaps/>
          <w:sz w:val="20"/>
          <w:szCs w:val="20"/>
          <w:lang w:val="es-ES"/>
        </w:rPr>
        <w:t>DE 2019</w:t>
      </w:r>
    </w:p>
    <w:p w:rsidR="00B26DF6" w:rsidRPr="00931A60" w:rsidRDefault="00B26DF6" w:rsidP="00B26DF6">
      <w:pPr>
        <w:spacing w:after="0" w:line="240" w:lineRule="auto"/>
        <w:ind w:left="567" w:right="1112" w:firstLine="567"/>
        <w:jc w:val="center"/>
        <w:rPr>
          <w:rFonts w:ascii="Verdana" w:eastAsia="Calibri" w:hAnsi="Verdana"/>
          <w:b/>
          <w:smallCaps/>
          <w:sz w:val="20"/>
          <w:szCs w:val="20"/>
          <w:lang w:val="es-ES"/>
        </w:rPr>
      </w:pPr>
    </w:p>
    <w:p w:rsidR="005068D8" w:rsidRDefault="001267D0" w:rsidP="00B26DF6">
      <w:pPr>
        <w:spacing w:after="0" w:line="240" w:lineRule="auto"/>
        <w:ind w:left="567" w:right="1112" w:firstLine="567"/>
        <w:jc w:val="center"/>
        <w:rPr>
          <w:rFonts w:ascii="Verdana" w:eastAsia="Calibri" w:hAnsi="Verdana"/>
          <w:b/>
          <w:i/>
          <w:smallCaps/>
          <w:sz w:val="20"/>
          <w:szCs w:val="20"/>
          <w:lang w:val="es-ES"/>
        </w:rPr>
      </w:pPr>
      <w:r w:rsidRPr="00931A60">
        <w:rPr>
          <w:rFonts w:ascii="Verdana" w:eastAsia="Calibri" w:hAnsi="Verdana"/>
          <w:b/>
          <w:i/>
          <w:smallCaps/>
          <w:sz w:val="20"/>
          <w:szCs w:val="20"/>
          <w:lang w:val="es-ES"/>
        </w:rPr>
        <w:t xml:space="preserve">CASO </w:t>
      </w:r>
      <w:r w:rsidR="00121DB2" w:rsidRPr="00931A60">
        <w:rPr>
          <w:rFonts w:ascii="Verdana" w:eastAsia="Calibri" w:hAnsi="Verdana"/>
          <w:b/>
          <w:i/>
          <w:smallCaps/>
          <w:sz w:val="20"/>
          <w:szCs w:val="20"/>
          <w:lang w:val="es-ES"/>
        </w:rPr>
        <w:t>CHINCHILLA SANDOVAL Y OTROS VS. GUATEMALA</w:t>
      </w:r>
    </w:p>
    <w:p w:rsidR="00B26DF6" w:rsidRPr="00931A60" w:rsidRDefault="00B26DF6" w:rsidP="00B26DF6">
      <w:pPr>
        <w:spacing w:after="0" w:line="240" w:lineRule="auto"/>
        <w:ind w:left="567" w:right="1112" w:firstLine="567"/>
        <w:jc w:val="center"/>
        <w:rPr>
          <w:rFonts w:ascii="Verdana" w:eastAsia="Calibri" w:hAnsi="Verdana"/>
          <w:b/>
          <w:i/>
          <w:smallCaps/>
          <w:sz w:val="20"/>
          <w:szCs w:val="20"/>
          <w:lang w:val="es-ES"/>
        </w:rPr>
      </w:pPr>
    </w:p>
    <w:p w:rsidR="00A03DC4" w:rsidRPr="00931A60" w:rsidRDefault="00A03DC4" w:rsidP="00B26DF6">
      <w:pPr>
        <w:spacing w:after="0" w:line="240" w:lineRule="auto"/>
        <w:ind w:left="567" w:right="1112" w:firstLine="567"/>
        <w:jc w:val="center"/>
        <w:rPr>
          <w:rFonts w:ascii="Verdana" w:hAnsi="Verdana" w:cs="Verdana"/>
          <w:b/>
          <w:bCs/>
          <w:sz w:val="20"/>
          <w:szCs w:val="20"/>
          <w:lang w:val="es-ES"/>
        </w:rPr>
      </w:pPr>
      <w:r w:rsidRPr="00931A60">
        <w:rPr>
          <w:rFonts w:ascii="Verdana" w:hAnsi="Verdana" w:cs="Verdana"/>
          <w:b/>
          <w:bCs/>
          <w:sz w:val="20"/>
          <w:szCs w:val="20"/>
          <w:lang w:val="es-ES"/>
        </w:rPr>
        <w:t>SUPERVISIÓ</w:t>
      </w:r>
      <w:r w:rsidR="005068D8" w:rsidRPr="00931A60">
        <w:rPr>
          <w:rFonts w:ascii="Verdana" w:hAnsi="Verdana" w:cs="Verdana"/>
          <w:b/>
          <w:bCs/>
          <w:sz w:val="20"/>
          <w:szCs w:val="20"/>
          <w:lang w:val="es-ES"/>
        </w:rPr>
        <w:t>N</w:t>
      </w:r>
      <w:r w:rsidR="00823D2E" w:rsidRPr="00931A60">
        <w:rPr>
          <w:rFonts w:ascii="Verdana" w:hAnsi="Verdana" w:cs="Verdana"/>
          <w:b/>
          <w:bCs/>
          <w:sz w:val="20"/>
          <w:szCs w:val="20"/>
          <w:lang w:val="es-ES"/>
        </w:rPr>
        <w:t xml:space="preserve"> </w:t>
      </w:r>
      <w:r w:rsidR="001267D0" w:rsidRPr="00931A60">
        <w:rPr>
          <w:rFonts w:ascii="Verdana" w:hAnsi="Verdana" w:cs="Verdana"/>
          <w:b/>
          <w:bCs/>
          <w:sz w:val="20"/>
          <w:szCs w:val="20"/>
          <w:lang w:val="es-ES"/>
        </w:rPr>
        <w:t>DE CUMPLIMIENTO DE SENTENCIA</w:t>
      </w:r>
    </w:p>
    <w:p w:rsidR="005068D8" w:rsidRPr="00931A60" w:rsidRDefault="005068D8" w:rsidP="00FF18D7">
      <w:pPr>
        <w:spacing w:line="240" w:lineRule="auto"/>
        <w:ind w:right="1444"/>
        <w:jc w:val="center"/>
        <w:rPr>
          <w:rFonts w:ascii="Verdana" w:hAnsi="Verdana" w:cs="Verdana"/>
          <w:b/>
          <w:bCs/>
          <w:sz w:val="20"/>
          <w:szCs w:val="20"/>
          <w:lang w:val="es-ES"/>
        </w:rPr>
      </w:pPr>
    </w:p>
    <w:p w:rsidR="00A03DC4" w:rsidRPr="00931A60" w:rsidRDefault="00A03DC4" w:rsidP="00C609B0">
      <w:pPr>
        <w:spacing w:before="120" w:after="120" w:line="240" w:lineRule="auto"/>
        <w:ind w:right="1446"/>
        <w:jc w:val="both"/>
        <w:rPr>
          <w:rFonts w:ascii="Verdana" w:hAnsi="Verdana"/>
          <w:b/>
          <w:smallCaps/>
          <w:sz w:val="20"/>
          <w:szCs w:val="20"/>
        </w:rPr>
      </w:pPr>
      <w:r w:rsidRPr="00931A60">
        <w:rPr>
          <w:rFonts w:ascii="Verdana" w:hAnsi="Verdana"/>
          <w:b/>
          <w:smallCaps/>
          <w:sz w:val="20"/>
          <w:szCs w:val="20"/>
        </w:rPr>
        <w:t xml:space="preserve">VISTO: </w:t>
      </w:r>
    </w:p>
    <w:p w:rsidR="00B75584" w:rsidRPr="006432B0" w:rsidRDefault="001267D0" w:rsidP="00F451CC">
      <w:pPr>
        <w:pStyle w:val="Prrafodelista"/>
        <w:numPr>
          <w:ilvl w:val="0"/>
          <w:numId w:val="1"/>
        </w:numPr>
        <w:spacing w:before="120" w:after="120" w:line="240" w:lineRule="auto"/>
        <w:ind w:left="0" w:right="-22" w:firstLine="0"/>
        <w:contextualSpacing w:val="0"/>
        <w:jc w:val="both"/>
        <w:rPr>
          <w:rFonts w:ascii="Verdana" w:hAnsi="Verdana"/>
          <w:sz w:val="20"/>
          <w:szCs w:val="20"/>
        </w:rPr>
      </w:pPr>
      <w:r w:rsidRPr="008055D5">
        <w:rPr>
          <w:rFonts w:ascii="Verdana" w:hAnsi="Verdana" w:cs="Arial"/>
          <w:sz w:val="20"/>
          <w:szCs w:val="20"/>
        </w:rPr>
        <w:t>La</w:t>
      </w:r>
      <w:r w:rsidR="00F77FF4" w:rsidRPr="008055D5">
        <w:rPr>
          <w:rFonts w:ascii="Verdana" w:hAnsi="Verdana" w:cs="Arial"/>
          <w:sz w:val="20"/>
          <w:szCs w:val="20"/>
        </w:rPr>
        <w:t xml:space="preserve"> Sentencia</w:t>
      </w:r>
      <w:r w:rsidR="009C6A9C" w:rsidRPr="008055D5">
        <w:rPr>
          <w:rFonts w:ascii="Verdana" w:hAnsi="Verdana" w:cs="Arial"/>
          <w:sz w:val="20"/>
          <w:szCs w:val="20"/>
        </w:rPr>
        <w:t xml:space="preserve"> de </w:t>
      </w:r>
      <w:r w:rsidR="00E36975" w:rsidRPr="008055D5">
        <w:rPr>
          <w:rFonts w:ascii="Verdana" w:hAnsi="Verdana" w:cs="Arial"/>
          <w:sz w:val="20"/>
          <w:szCs w:val="20"/>
        </w:rPr>
        <w:t xml:space="preserve">excepciones preliminares, </w:t>
      </w:r>
      <w:r w:rsidR="009C6A9C" w:rsidRPr="008055D5">
        <w:rPr>
          <w:rFonts w:ascii="Verdana" w:hAnsi="Verdana" w:cs="Arial"/>
          <w:sz w:val="20"/>
          <w:szCs w:val="20"/>
        </w:rPr>
        <w:t xml:space="preserve">fondo, reparaciones y costas (en adelante </w:t>
      </w:r>
      <w:r w:rsidR="00963B96">
        <w:rPr>
          <w:rFonts w:ascii="Verdana" w:hAnsi="Verdana" w:cs="Arial"/>
          <w:sz w:val="20"/>
          <w:szCs w:val="20"/>
        </w:rPr>
        <w:t>“</w:t>
      </w:r>
      <w:r w:rsidR="009C6A9C" w:rsidRPr="008055D5">
        <w:rPr>
          <w:rFonts w:ascii="Verdana" w:hAnsi="Verdana" w:cs="Arial"/>
          <w:sz w:val="20"/>
          <w:szCs w:val="20"/>
        </w:rPr>
        <w:t>la Sentencia</w:t>
      </w:r>
      <w:r w:rsidR="00963B96">
        <w:rPr>
          <w:rFonts w:ascii="Verdana" w:hAnsi="Verdana" w:cs="Arial"/>
          <w:sz w:val="20"/>
          <w:szCs w:val="20"/>
        </w:rPr>
        <w:t>” o “el Fallo”</w:t>
      </w:r>
      <w:r w:rsidR="009C6A9C" w:rsidRPr="008055D5">
        <w:rPr>
          <w:rFonts w:ascii="Verdana" w:hAnsi="Verdana" w:cs="Arial"/>
          <w:sz w:val="20"/>
          <w:szCs w:val="20"/>
        </w:rPr>
        <w:t>)</w:t>
      </w:r>
      <w:r w:rsidR="00F77FF4" w:rsidRPr="008055D5">
        <w:rPr>
          <w:rFonts w:ascii="Verdana" w:hAnsi="Verdana" w:cs="Arial"/>
          <w:sz w:val="20"/>
          <w:szCs w:val="20"/>
        </w:rPr>
        <w:t xml:space="preserve"> emitida por la Corte Interamericana de Derechos H</w:t>
      </w:r>
      <w:r w:rsidR="00BE23AB" w:rsidRPr="008055D5">
        <w:rPr>
          <w:rFonts w:ascii="Verdana" w:hAnsi="Verdana" w:cs="Arial"/>
          <w:sz w:val="20"/>
          <w:szCs w:val="20"/>
        </w:rPr>
        <w:t xml:space="preserve">umanos (en adelante </w:t>
      </w:r>
      <w:r w:rsidR="00E36975" w:rsidRPr="008055D5">
        <w:rPr>
          <w:rFonts w:ascii="Verdana" w:hAnsi="Verdana" w:cs="Arial"/>
          <w:sz w:val="20"/>
          <w:szCs w:val="20"/>
        </w:rPr>
        <w:t xml:space="preserve">“la Corte Interamericana”, “la </w:t>
      </w:r>
      <w:r w:rsidR="00BE23AB" w:rsidRPr="008055D5">
        <w:rPr>
          <w:rFonts w:ascii="Verdana" w:hAnsi="Verdana" w:cs="Arial"/>
          <w:sz w:val="20"/>
          <w:szCs w:val="20"/>
        </w:rPr>
        <w:t xml:space="preserve">Corte” </w:t>
      </w:r>
      <w:r w:rsidR="00F77FF4" w:rsidRPr="008055D5">
        <w:rPr>
          <w:rFonts w:ascii="Verdana" w:hAnsi="Verdana" w:cs="Arial"/>
          <w:sz w:val="20"/>
          <w:szCs w:val="20"/>
        </w:rPr>
        <w:t xml:space="preserve">o “el Tribunal”) </w:t>
      </w:r>
      <w:r w:rsidR="00C609B0" w:rsidRPr="008055D5">
        <w:rPr>
          <w:rFonts w:ascii="Verdana" w:hAnsi="Verdana" w:cs="Arial"/>
          <w:sz w:val="20"/>
          <w:szCs w:val="20"/>
        </w:rPr>
        <w:t xml:space="preserve">el </w:t>
      </w:r>
      <w:r w:rsidR="00121DB2" w:rsidRPr="008055D5">
        <w:rPr>
          <w:rFonts w:ascii="Verdana" w:hAnsi="Verdana" w:cs="Arial"/>
          <w:sz w:val="20"/>
          <w:szCs w:val="20"/>
        </w:rPr>
        <w:t>29 de febrero de 2016</w:t>
      </w:r>
      <w:r w:rsidR="00227FB3" w:rsidRPr="008055D5">
        <w:rPr>
          <w:rStyle w:val="Refdenotaalpie"/>
          <w:rFonts w:ascii="Verdana" w:hAnsi="Verdana" w:cs="Arial"/>
          <w:sz w:val="20"/>
          <w:szCs w:val="20"/>
        </w:rPr>
        <w:footnoteReference w:id="1"/>
      </w:r>
      <w:r w:rsidR="00441ABC" w:rsidRPr="008055D5">
        <w:rPr>
          <w:rFonts w:ascii="Verdana" w:hAnsi="Verdana" w:cs="Arial"/>
          <w:sz w:val="20"/>
          <w:szCs w:val="20"/>
        </w:rPr>
        <w:t xml:space="preserve">. </w:t>
      </w:r>
      <w:r w:rsidR="008055D5" w:rsidRPr="006432B0">
        <w:rPr>
          <w:rFonts w:ascii="Verdana" w:hAnsi="Verdana"/>
          <w:sz w:val="20"/>
          <w:szCs w:val="20"/>
        </w:rPr>
        <w:t xml:space="preserve">La Corte declaró responsable internacionalmente </w:t>
      </w:r>
      <w:r w:rsidR="004C0E38">
        <w:rPr>
          <w:rFonts w:ascii="Verdana" w:hAnsi="Verdana"/>
          <w:sz w:val="20"/>
          <w:szCs w:val="20"/>
        </w:rPr>
        <w:t>a la República de Guatemala</w:t>
      </w:r>
      <w:r w:rsidR="008055D5" w:rsidRPr="006432B0">
        <w:rPr>
          <w:rFonts w:ascii="Verdana" w:hAnsi="Verdana"/>
          <w:sz w:val="20"/>
          <w:szCs w:val="20"/>
        </w:rPr>
        <w:t xml:space="preserve"> (en adelante “el Estado” o “Guatemala”) por el incumplimiento de la obligación de garantizar los derechos a la integridad personal, a la vida, a las garantías judiciales y a la protección judicial, en perjuicio de María Inés Chinchilla Sandoval. La señora Chichilla Sandoval se encontraba cumpliendo su condena en el Centro de Orientación Femenino (“COF”), donde murió el 25 de mayo de 2004 después de sufrir una caída en su silla de ruedas. La Corte determinó que el Estado no garantizó diligentemente una debida atención médica de emergencia a la señora Chinchilla el día de su muerte, ni en el COF ni mediante traslado a un hospital, tomando en cuenta la situación de riesgo en que se encontraba por las enfermedades y la discapacidad física y sensorial que tenía. Además, en lo que respecta a las condiciones de detención previ</w:t>
      </w:r>
      <w:r w:rsidR="00963B96">
        <w:rPr>
          <w:rFonts w:ascii="Verdana" w:hAnsi="Verdana"/>
          <w:sz w:val="20"/>
          <w:szCs w:val="20"/>
        </w:rPr>
        <w:t>as</w:t>
      </w:r>
      <w:r w:rsidR="008055D5" w:rsidRPr="006432B0">
        <w:rPr>
          <w:rFonts w:ascii="Verdana" w:hAnsi="Verdana"/>
          <w:sz w:val="20"/>
          <w:szCs w:val="20"/>
        </w:rPr>
        <w:t xml:space="preserve"> a su muerte,</w:t>
      </w:r>
      <w:r w:rsidR="00963B96">
        <w:rPr>
          <w:rFonts w:ascii="Verdana" w:hAnsi="Verdana"/>
          <w:sz w:val="20"/>
          <w:szCs w:val="20"/>
        </w:rPr>
        <w:t xml:space="preserve"> el Tribunal determinó que</w:t>
      </w:r>
      <w:r w:rsidR="008055D5" w:rsidRPr="006432B0">
        <w:rPr>
          <w:rFonts w:ascii="Verdana" w:hAnsi="Verdana"/>
          <w:sz w:val="20"/>
          <w:szCs w:val="20"/>
        </w:rPr>
        <w:t xml:space="preserve"> la mayoría de ajustes que se realizaron en su celda para atender su discapacidad no fueron efectuados por el Estado ni fueron suficientes</w:t>
      </w:r>
      <w:r w:rsidR="00963B96">
        <w:rPr>
          <w:rFonts w:ascii="Verdana" w:hAnsi="Verdana"/>
          <w:sz w:val="20"/>
          <w:szCs w:val="20"/>
        </w:rPr>
        <w:t>;</w:t>
      </w:r>
      <w:r w:rsidR="008055D5" w:rsidRPr="006432B0">
        <w:rPr>
          <w:rFonts w:ascii="Verdana" w:hAnsi="Verdana"/>
          <w:sz w:val="20"/>
          <w:szCs w:val="20"/>
        </w:rPr>
        <w:t xml:space="preserve"> así como tampoco contaba con condiciones adecuadas de movilización fuera de su celda</w:t>
      </w:r>
      <w:r w:rsidR="00B51687">
        <w:rPr>
          <w:rFonts w:ascii="Verdana" w:hAnsi="Verdana"/>
          <w:sz w:val="20"/>
          <w:szCs w:val="20"/>
        </w:rPr>
        <w:t>,</w:t>
      </w:r>
      <w:r w:rsidR="008055D5" w:rsidRPr="006432B0">
        <w:rPr>
          <w:rFonts w:ascii="Verdana" w:hAnsi="Verdana"/>
          <w:sz w:val="20"/>
          <w:szCs w:val="20"/>
        </w:rPr>
        <w:t xml:space="preserve"> ni se le garantizaron facilidades pr</w:t>
      </w:r>
      <w:r w:rsidR="004201CE">
        <w:rPr>
          <w:rFonts w:ascii="Verdana" w:hAnsi="Verdana"/>
          <w:sz w:val="20"/>
          <w:szCs w:val="20"/>
        </w:rPr>
        <w:t>á</w:t>
      </w:r>
      <w:r w:rsidR="008055D5" w:rsidRPr="006432B0">
        <w:rPr>
          <w:rFonts w:ascii="Verdana" w:hAnsi="Verdana"/>
          <w:sz w:val="20"/>
          <w:szCs w:val="20"/>
        </w:rPr>
        <w:t>cticas ni procedimientos adecuados para su traslado a citas m</w:t>
      </w:r>
      <w:r w:rsidR="004201CE">
        <w:rPr>
          <w:rFonts w:ascii="Verdana" w:hAnsi="Verdana"/>
          <w:sz w:val="20"/>
          <w:szCs w:val="20"/>
        </w:rPr>
        <w:t>é</w:t>
      </w:r>
      <w:r w:rsidR="008055D5" w:rsidRPr="006432B0">
        <w:rPr>
          <w:rFonts w:ascii="Verdana" w:hAnsi="Verdana"/>
          <w:sz w:val="20"/>
          <w:szCs w:val="20"/>
        </w:rPr>
        <w:t>di</w:t>
      </w:r>
      <w:r w:rsidR="004201CE">
        <w:rPr>
          <w:rFonts w:ascii="Verdana" w:hAnsi="Verdana"/>
          <w:sz w:val="20"/>
          <w:szCs w:val="20"/>
        </w:rPr>
        <w:t>c</w:t>
      </w:r>
      <w:r w:rsidR="008055D5" w:rsidRPr="006432B0">
        <w:rPr>
          <w:rFonts w:ascii="Verdana" w:hAnsi="Verdana"/>
          <w:sz w:val="20"/>
          <w:szCs w:val="20"/>
        </w:rPr>
        <w:t>as en hospitales, colocándol</w:t>
      </w:r>
      <w:r w:rsidR="00963B96">
        <w:rPr>
          <w:rFonts w:ascii="Verdana" w:hAnsi="Verdana"/>
          <w:sz w:val="20"/>
          <w:szCs w:val="20"/>
        </w:rPr>
        <w:t>a</w:t>
      </w:r>
      <w:r w:rsidR="008055D5" w:rsidRPr="006432B0">
        <w:rPr>
          <w:rFonts w:ascii="Verdana" w:hAnsi="Verdana"/>
          <w:sz w:val="20"/>
          <w:szCs w:val="20"/>
        </w:rPr>
        <w:t xml:space="preserve"> en una situación de discriminación y en condiciones de detención incompatibles con el derecho de toda persona con discapacidad a que se respete su integridad física y mental.</w:t>
      </w:r>
      <w:r w:rsidR="008055D5" w:rsidRPr="008055D5" w:rsidDel="008055D5">
        <w:rPr>
          <w:rFonts w:ascii="Verdana" w:hAnsi="Verdana" w:cs="Arial"/>
          <w:sz w:val="20"/>
          <w:szCs w:val="20"/>
        </w:rPr>
        <w:t xml:space="preserve"> </w:t>
      </w:r>
      <w:r w:rsidR="00E36975" w:rsidRPr="00830C4B">
        <w:rPr>
          <w:rFonts w:ascii="Verdana" w:hAnsi="Verdana" w:cs="Verdana"/>
          <w:sz w:val="20"/>
          <w:szCs w:val="20"/>
        </w:rPr>
        <w:t xml:space="preserve">La Corte estableció que su </w:t>
      </w:r>
      <w:r w:rsidR="00E36975" w:rsidRPr="00830C4B">
        <w:rPr>
          <w:rFonts w:ascii="Verdana" w:hAnsi="Verdana"/>
          <w:sz w:val="20"/>
          <w:szCs w:val="20"/>
        </w:rPr>
        <w:t xml:space="preserve">Sentencia constituye </w:t>
      </w:r>
      <w:r w:rsidR="00E36975" w:rsidRPr="00830C4B">
        <w:rPr>
          <w:rFonts w:ascii="Verdana" w:hAnsi="Verdana"/>
          <w:iCs/>
          <w:sz w:val="20"/>
          <w:szCs w:val="20"/>
        </w:rPr>
        <w:t>por sí misma</w:t>
      </w:r>
      <w:r w:rsidR="00E36975" w:rsidRPr="006432B0">
        <w:rPr>
          <w:rFonts w:ascii="Verdana" w:hAnsi="Verdana"/>
          <w:i/>
          <w:iCs/>
          <w:sz w:val="20"/>
          <w:szCs w:val="20"/>
        </w:rPr>
        <w:t xml:space="preserve"> </w:t>
      </w:r>
      <w:r w:rsidR="00E36975" w:rsidRPr="006432B0">
        <w:rPr>
          <w:rFonts w:ascii="Verdana" w:hAnsi="Verdana"/>
          <w:sz w:val="20"/>
          <w:szCs w:val="20"/>
        </w:rPr>
        <w:t>una forma de reparación y, adicionalmente, ordenó al Estado determinadas medidas de reparación (</w:t>
      </w:r>
      <w:r w:rsidR="00E36975" w:rsidRPr="006432B0">
        <w:rPr>
          <w:rFonts w:ascii="Verdana" w:hAnsi="Verdana"/>
          <w:i/>
          <w:iCs/>
          <w:sz w:val="20"/>
          <w:szCs w:val="20"/>
        </w:rPr>
        <w:t xml:space="preserve">infra </w:t>
      </w:r>
      <w:r w:rsidR="00E36975" w:rsidRPr="006432B0">
        <w:rPr>
          <w:rFonts w:ascii="Verdana" w:hAnsi="Verdana"/>
          <w:sz w:val="20"/>
          <w:szCs w:val="20"/>
        </w:rPr>
        <w:t xml:space="preserve">Considerando 1). </w:t>
      </w:r>
    </w:p>
    <w:p w:rsidR="00F451CC" w:rsidRPr="00931A60" w:rsidRDefault="00F451CC" w:rsidP="00F451CC">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rPr>
      </w:pPr>
      <w:r w:rsidRPr="00931A60">
        <w:rPr>
          <w:rFonts w:ascii="Verdana" w:hAnsi="Verdana"/>
          <w:sz w:val="20"/>
          <w:szCs w:val="20"/>
        </w:rPr>
        <w:t>La Resolución emitida por la Corte el 5 de febrero del 2018 sobre el reintegro realizado por el Estado al Fondo de Asistencia Legal de Víctimas de la Corte</w:t>
      </w:r>
      <w:r w:rsidRPr="00931A60">
        <w:rPr>
          <w:rStyle w:val="Refdenotaalpie"/>
          <w:rFonts w:ascii="Verdana" w:hAnsi="Verdana"/>
          <w:sz w:val="20"/>
          <w:szCs w:val="20"/>
        </w:rPr>
        <w:footnoteReference w:id="2"/>
      </w:r>
      <w:r w:rsidRPr="00931A60">
        <w:rPr>
          <w:rFonts w:ascii="Verdana" w:hAnsi="Verdana"/>
          <w:sz w:val="20"/>
          <w:szCs w:val="20"/>
        </w:rPr>
        <w:t xml:space="preserve">. </w:t>
      </w:r>
    </w:p>
    <w:p w:rsidR="000F5ECD" w:rsidRPr="00F51DEB" w:rsidRDefault="00207D5B" w:rsidP="00F451CC">
      <w:pPr>
        <w:pStyle w:val="Prrafodelista"/>
        <w:numPr>
          <w:ilvl w:val="0"/>
          <w:numId w:val="1"/>
        </w:numPr>
        <w:spacing w:before="120" w:after="120" w:line="240" w:lineRule="auto"/>
        <w:ind w:left="0" w:right="-22" w:firstLine="0"/>
        <w:contextualSpacing w:val="0"/>
        <w:jc w:val="both"/>
        <w:rPr>
          <w:rFonts w:ascii="Verdana" w:hAnsi="Verdana"/>
          <w:sz w:val="20"/>
          <w:szCs w:val="20"/>
        </w:rPr>
      </w:pPr>
      <w:r w:rsidRPr="00931A60">
        <w:rPr>
          <w:rFonts w:ascii="Verdana" w:hAnsi="Verdana" w:cs="Arial"/>
          <w:sz w:val="20"/>
          <w:szCs w:val="20"/>
        </w:rPr>
        <w:t>La n</w:t>
      </w:r>
      <w:r w:rsidR="00862FA0" w:rsidRPr="00931A60">
        <w:rPr>
          <w:rFonts w:ascii="Verdana" w:hAnsi="Verdana" w:cs="Arial"/>
          <w:sz w:val="20"/>
          <w:szCs w:val="20"/>
        </w:rPr>
        <w:t>ota de la Secretaría</w:t>
      </w:r>
      <w:r w:rsidRPr="00931A60">
        <w:rPr>
          <w:rFonts w:ascii="Verdana" w:hAnsi="Verdana" w:cs="Arial"/>
          <w:sz w:val="20"/>
          <w:szCs w:val="20"/>
        </w:rPr>
        <w:t xml:space="preserve"> de la Corte (en adelante “la Secretaría”) de</w:t>
      </w:r>
      <w:r w:rsidR="00F451CC" w:rsidRPr="00931A60">
        <w:rPr>
          <w:rFonts w:ascii="Verdana" w:hAnsi="Verdana" w:cs="Arial"/>
          <w:sz w:val="20"/>
          <w:szCs w:val="20"/>
        </w:rPr>
        <w:t xml:space="preserve"> 2</w:t>
      </w:r>
      <w:r w:rsidR="006432B0">
        <w:rPr>
          <w:rFonts w:ascii="Verdana" w:hAnsi="Verdana" w:cs="Arial"/>
          <w:sz w:val="20"/>
          <w:szCs w:val="20"/>
        </w:rPr>
        <w:t>3</w:t>
      </w:r>
      <w:r w:rsidRPr="00931A60">
        <w:rPr>
          <w:rFonts w:ascii="Verdana" w:hAnsi="Verdana" w:cs="Arial"/>
          <w:sz w:val="20"/>
          <w:szCs w:val="20"/>
        </w:rPr>
        <w:t xml:space="preserve"> de </w:t>
      </w:r>
      <w:r w:rsidR="00F451CC" w:rsidRPr="00931A60">
        <w:rPr>
          <w:rFonts w:ascii="Verdana" w:hAnsi="Verdana" w:cs="Arial"/>
          <w:sz w:val="20"/>
          <w:szCs w:val="20"/>
        </w:rPr>
        <w:t>agosto de 2018</w:t>
      </w:r>
      <w:r w:rsidRPr="00931A60">
        <w:rPr>
          <w:rFonts w:ascii="Verdana" w:hAnsi="Verdana" w:cs="Arial"/>
          <w:sz w:val="20"/>
          <w:szCs w:val="20"/>
        </w:rPr>
        <w:t>, mediante la cual,</w:t>
      </w:r>
      <w:r w:rsidR="00B9779E" w:rsidRPr="00931A60">
        <w:rPr>
          <w:rFonts w:ascii="Verdana" w:hAnsi="Verdana" w:cs="Arial"/>
          <w:sz w:val="20"/>
          <w:szCs w:val="20"/>
        </w:rPr>
        <w:t xml:space="preserve"> </w:t>
      </w:r>
      <w:r w:rsidR="00862FA0" w:rsidRPr="00931A60">
        <w:rPr>
          <w:rFonts w:ascii="Verdana" w:hAnsi="Verdana" w:cs="Arial"/>
          <w:sz w:val="20"/>
          <w:szCs w:val="20"/>
        </w:rPr>
        <w:t xml:space="preserve">siguiendo instrucciones del Presidente del Tribunal, se </w:t>
      </w:r>
      <w:r w:rsidR="00F51DEB">
        <w:rPr>
          <w:rFonts w:ascii="Verdana" w:hAnsi="Verdana" w:cs="Arial"/>
          <w:sz w:val="20"/>
          <w:szCs w:val="20"/>
        </w:rPr>
        <w:t xml:space="preserve">requirió </w:t>
      </w:r>
      <w:r w:rsidR="00862FA0" w:rsidRPr="00931A60">
        <w:rPr>
          <w:rFonts w:ascii="Verdana" w:hAnsi="Verdana" w:cs="Arial"/>
          <w:sz w:val="20"/>
          <w:szCs w:val="20"/>
        </w:rPr>
        <w:t xml:space="preserve"> al </w:t>
      </w:r>
      <w:r w:rsidR="00862FA0" w:rsidRPr="00931A60">
        <w:rPr>
          <w:rFonts w:ascii="Verdana" w:hAnsi="Verdana" w:cs="Arial"/>
          <w:sz w:val="20"/>
          <w:szCs w:val="20"/>
        </w:rPr>
        <w:lastRenderedPageBreak/>
        <w:t>Estado que presentara</w:t>
      </w:r>
      <w:r w:rsidR="00A86735" w:rsidRPr="00931A60">
        <w:rPr>
          <w:rFonts w:ascii="Verdana" w:hAnsi="Verdana" w:cs="Arial"/>
          <w:sz w:val="20"/>
          <w:szCs w:val="20"/>
        </w:rPr>
        <w:t xml:space="preserve"> “a la mayor brevedad posible”</w:t>
      </w:r>
      <w:r w:rsidR="00862FA0" w:rsidRPr="00931A60">
        <w:rPr>
          <w:rFonts w:ascii="Verdana" w:hAnsi="Verdana" w:cs="Arial"/>
          <w:sz w:val="20"/>
          <w:szCs w:val="20"/>
        </w:rPr>
        <w:t xml:space="preserve"> el informe sobre el cumplimiento de las reparaciones requerido en el punto</w:t>
      </w:r>
      <w:r w:rsidR="00963B96">
        <w:rPr>
          <w:rFonts w:ascii="Verdana" w:hAnsi="Verdana" w:cs="Arial"/>
          <w:sz w:val="20"/>
          <w:szCs w:val="20"/>
        </w:rPr>
        <w:t xml:space="preserve"> resolutivo</w:t>
      </w:r>
      <w:r w:rsidR="00862FA0" w:rsidRPr="00931A60">
        <w:rPr>
          <w:rFonts w:ascii="Verdana" w:hAnsi="Verdana" w:cs="Arial"/>
          <w:sz w:val="20"/>
          <w:szCs w:val="20"/>
        </w:rPr>
        <w:t xml:space="preserve"> </w:t>
      </w:r>
      <w:r w:rsidR="00F0252C" w:rsidRPr="00931A60">
        <w:rPr>
          <w:rFonts w:ascii="Verdana" w:hAnsi="Verdana" w:cs="Arial"/>
          <w:sz w:val="20"/>
          <w:szCs w:val="20"/>
        </w:rPr>
        <w:t>noveno</w:t>
      </w:r>
      <w:r w:rsidR="002F353E" w:rsidRPr="00931A60">
        <w:rPr>
          <w:rFonts w:ascii="Verdana" w:hAnsi="Verdana" w:cs="Arial"/>
          <w:sz w:val="20"/>
          <w:szCs w:val="20"/>
        </w:rPr>
        <w:t xml:space="preserve"> de la Sentencia</w:t>
      </w:r>
      <w:r w:rsidR="00862FA0" w:rsidRPr="00931A60">
        <w:rPr>
          <w:rFonts w:ascii="Verdana" w:hAnsi="Verdana" w:cs="Arial"/>
          <w:sz w:val="20"/>
          <w:szCs w:val="20"/>
        </w:rPr>
        <w:t xml:space="preserve">, </w:t>
      </w:r>
      <w:r w:rsidR="002F353E" w:rsidRPr="00931A60">
        <w:rPr>
          <w:rFonts w:ascii="Verdana" w:hAnsi="Verdana" w:cs="Arial"/>
          <w:sz w:val="20"/>
          <w:szCs w:val="20"/>
        </w:rPr>
        <w:t>ya que</w:t>
      </w:r>
      <w:r w:rsidR="00862FA0" w:rsidRPr="00931A60">
        <w:rPr>
          <w:rFonts w:ascii="Verdana" w:hAnsi="Verdana" w:cs="Arial"/>
          <w:sz w:val="20"/>
          <w:szCs w:val="20"/>
        </w:rPr>
        <w:t xml:space="preserve"> el plazo </w:t>
      </w:r>
      <w:r w:rsidR="00616D65">
        <w:rPr>
          <w:rFonts w:ascii="Verdana" w:hAnsi="Verdana" w:cs="Arial"/>
          <w:sz w:val="20"/>
          <w:szCs w:val="20"/>
        </w:rPr>
        <w:t xml:space="preserve">de un año </w:t>
      </w:r>
      <w:r w:rsidR="00862FA0" w:rsidRPr="00931A60">
        <w:rPr>
          <w:rFonts w:ascii="Verdana" w:hAnsi="Verdana" w:cs="Arial"/>
          <w:sz w:val="20"/>
          <w:szCs w:val="20"/>
        </w:rPr>
        <w:t xml:space="preserve">para su presentación </w:t>
      </w:r>
      <w:r w:rsidR="00616D65">
        <w:rPr>
          <w:rFonts w:ascii="Verdana" w:hAnsi="Verdana" w:cs="Arial"/>
          <w:sz w:val="20"/>
          <w:szCs w:val="20"/>
        </w:rPr>
        <w:t xml:space="preserve">había vencido </w:t>
      </w:r>
      <w:r w:rsidR="002F353E" w:rsidRPr="00931A60">
        <w:rPr>
          <w:rFonts w:ascii="Verdana" w:hAnsi="Verdana" w:cs="Arial"/>
          <w:sz w:val="20"/>
          <w:szCs w:val="20"/>
        </w:rPr>
        <w:t xml:space="preserve">sin que lo hubiere presentado. </w:t>
      </w:r>
    </w:p>
    <w:p w:rsidR="00F51DEB" w:rsidRPr="00931A60" w:rsidRDefault="00F51DEB" w:rsidP="00F451CC">
      <w:pPr>
        <w:pStyle w:val="Prrafodelista"/>
        <w:numPr>
          <w:ilvl w:val="0"/>
          <w:numId w:val="1"/>
        </w:numPr>
        <w:spacing w:before="120" w:after="120" w:line="240" w:lineRule="auto"/>
        <w:ind w:left="0" w:right="-22" w:firstLine="0"/>
        <w:contextualSpacing w:val="0"/>
        <w:jc w:val="both"/>
        <w:rPr>
          <w:rFonts w:ascii="Verdana" w:hAnsi="Verdana"/>
          <w:sz w:val="20"/>
          <w:szCs w:val="20"/>
        </w:rPr>
      </w:pPr>
      <w:r>
        <w:rPr>
          <w:rFonts w:ascii="Verdana" w:hAnsi="Verdana" w:cs="Arial"/>
          <w:sz w:val="20"/>
          <w:szCs w:val="20"/>
        </w:rPr>
        <w:t>La nota de la Secretaría de 17 de mayo de 2019, mediante la cual, siguiendo instrucciones del Presidente de la Corte, se recordó al Estado, por segunda vez, que había vencido el plazo de un año para la presentación del</w:t>
      </w:r>
      <w:r w:rsidR="00963B96">
        <w:rPr>
          <w:rFonts w:ascii="Verdana" w:hAnsi="Verdana" w:cs="Arial"/>
          <w:sz w:val="20"/>
          <w:szCs w:val="20"/>
        </w:rPr>
        <w:t xml:space="preserve"> referido</w:t>
      </w:r>
      <w:r>
        <w:rPr>
          <w:rFonts w:ascii="Verdana" w:hAnsi="Verdana" w:cs="Arial"/>
          <w:sz w:val="20"/>
          <w:szCs w:val="20"/>
        </w:rPr>
        <w:t xml:space="preserve"> infor</w:t>
      </w:r>
      <w:r w:rsidR="006B4C60">
        <w:rPr>
          <w:rFonts w:ascii="Verdana" w:hAnsi="Verdana" w:cs="Arial"/>
          <w:sz w:val="20"/>
          <w:szCs w:val="20"/>
        </w:rPr>
        <w:t xml:space="preserve">me </w:t>
      </w:r>
      <w:r>
        <w:rPr>
          <w:rFonts w:ascii="Verdana" w:hAnsi="Verdana" w:cs="Arial"/>
          <w:sz w:val="20"/>
          <w:szCs w:val="20"/>
        </w:rPr>
        <w:t xml:space="preserve">y se le requirió que lo presentara a más tardar el </w:t>
      </w:r>
      <w:r w:rsidR="001E446B">
        <w:rPr>
          <w:rFonts w:ascii="Verdana" w:hAnsi="Verdana" w:cs="Arial"/>
          <w:sz w:val="20"/>
          <w:szCs w:val="20"/>
        </w:rPr>
        <w:t xml:space="preserve">14 de junio de 2019. </w:t>
      </w:r>
    </w:p>
    <w:p w:rsidR="00962F79" w:rsidRPr="00931A60" w:rsidRDefault="00962F79" w:rsidP="00C609B0">
      <w:pPr>
        <w:pStyle w:val="Prrafodelista"/>
        <w:spacing w:before="120" w:after="120" w:line="240" w:lineRule="auto"/>
        <w:ind w:left="0" w:right="1446"/>
        <w:jc w:val="both"/>
        <w:rPr>
          <w:rFonts w:ascii="Verdana" w:hAnsi="Verdana"/>
          <w:b/>
          <w:sz w:val="20"/>
          <w:szCs w:val="20"/>
        </w:rPr>
      </w:pPr>
    </w:p>
    <w:p w:rsidR="00FF3893" w:rsidRPr="00931A60" w:rsidRDefault="00FF3893" w:rsidP="00FF18D7">
      <w:pPr>
        <w:spacing w:before="120" w:after="120" w:line="240" w:lineRule="auto"/>
        <w:ind w:right="1444"/>
        <w:jc w:val="both"/>
        <w:rPr>
          <w:rFonts w:ascii="Verdana" w:hAnsi="Verdana"/>
          <w:b/>
          <w:sz w:val="20"/>
          <w:szCs w:val="20"/>
        </w:rPr>
      </w:pPr>
      <w:r w:rsidRPr="00931A60">
        <w:rPr>
          <w:rFonts w:ascii="Verdana" w:hAnsi="Verdana"/>
          <w:b/>
          <w:sz w:val="20"/>
          <w:szCs w:val="20"/>
        </w:rPr>
        <w:t>CONSIDERANDO QUE:</w:t>
      </w:r>
    </w:p>
    <w:p w:rsidR="00931A60" w:rsidRPr="00596B3D" w:rsidRDefault="00797528" w:rsidP="00596B3D">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931A60">
        <w:rPr>
          <w:rFonts w:ascii="Verdana" w:hAnsi="Verdana"/>
          <w:sz w:val="20"/>
          <w:szCs w:val="20"/>
          <w:lang w:val="es-ES"/>
        </w:rPr>
        <w:t>En el ejercicio de su función jurisdiccional de supervisar el cumplimiento de sus decisiones</w:t>
      </w:r>
      <w:r w:rsidRPr="00931A60">
        <w:rPr>
          <w:rFonts w:ascii="Verdana" w:hAnsi="Verdana"/>
          <w:sz w:val="20"/>
          <w:szCs w:val="20"/>
          <w:vertAlign w:val="superscript"/>
        </w:rPr>
        <w:footnoteReference w:id="3"/>
      </w:r>
      <w:r w:rsidRPr="00931A60">
        <w:rPr>
          <w:rFonts w:ascii="Verdana" w:hAnsi="Verdana"/>
          <w:sz w:val="20"/>
          <w:szCs w:val="20"/>
          <w:lang w:val="es-ES"/>
        </w:rPr>
        <w:t xml:space="preserve"> la Corte ha venido </w:t>
      </w:r>
      <w:r w:rsidR="0096058C" w:rsidRPr="00931A60">
        <w:rPr>
          <w:rFonts w:ascii="Verdana" w:hAnsi="Verdana"/>
          <w:sz w:val="20"/>
          <w:szCs w:val="20"/>
          <w:lang w:val="es-ES"/>
        </w:rPr>
        <w:t xml:space="preserve">considerando </w:t>
      </w:r>
      <w:r w:rsidR="004C4767" w:rsidRPr="00931A60">
        <w:rPr>
          <w:rFonts w:ascii="Verdana" w:hAnsi="Verdana"/>
          <w:sz w:val="20"/>
          <w:szCs w:val="20"/>
          <w:lang w:val="es-ES"/>
        </w:rPr>
        <w:t>la ejecución de la</w:t>
      </w:r>
      <w:r w:rsidRPr="00931A60">
        <w:rPr>
          <w:rFonts w:ascii="Verdana" w:hAnsi="Verdana"/>
          <w:sz w:val="20"/>
          <w:szCs w:val="20"/>
          <w:lang w:val="es-ES"/>
        </w:rPr>
        <w:t xml:space="preserve"> Sentencia emitida </w:t>
      </w:r>
      <w:r w:rsidRPr="00931A60">
        <w:rPr>
          <w:rFonts w:ascii="Verdana" w:hAnsi="Verdana"/>
          <w:sz w:val="20"/>
          <w:szCs w:val="20"/>
          <w:lang w:val="es-MX"/>
        </w:rPr>
        <w:t xml:space="preserve">en </w:t>
      </w:r>
      <w:r w:rsidR="0096058C" w:rsidRPr="00931A60">
        <w:rPr>
          <w:rFonts w:ascii="Verdana" w:hAnsi="Verdana"/>
          <w:sz w:val="20"/>
          <w:szCs w:val="20"/>
          <w:lang w:val="es-MX"/>
        </w:rPr>
        <w:t>est</w:t>
      </w:r>
      <w:r w:rsidR="004C4767" w:rsidRPr="00931A60">
        <w:rPr>
          <w:rFonts w:ascii="Verdana" w:hAnsi="Verdana"/>
          <w:sz w:val="20"/>
          <w:szCs w:val="20"/>
          <w:lang w:val="es-MX"/>
        </w:rPr>
        <w:t>e</w:t>
      </w:r>
      <w:r w:rsidR="0096058C" w:rsidRPr="00931A60">
        <w:rPr>
          <w:rFonts w:ascii="Verdana" w:hAnsi="Verdana"/>
          <w:sz w:val="20"/>
          <w:szCs w:val="20"/>
          <w:lang w:val="es-MX"/>
        </w:rPr>
        <w:t xml:space="preserve"> c</w:t>
      </w:r>
      <w:r w:rsidRPr="00931A60">
        <w:rPr>
          <w:rFonts w:ascii="Verdana" w:hAnsi="Verdana"/>
          <w:sz w:val="20"/>
          <w:szCs w:val="20"/>
          <w:lang w:val="es-MX"/>
        </w:rPr>
        <w:t>aso</w:t>
      </w:r>
      <w:r w:rsidR="00F87659" w:rsidRPr="00931A60">
        <w:rPr>
          <w:rFonts w:ascii="Verdana" w:hAnsi="Verdana"/>
          <w:sz w:val="20"/>
          <w:szCs w:val="20"/>
          <w:lang w:val="es-MX"/>
        </w:rPr>
        <w:t xml:space="preserve"> </w:t>
      </w:r>
      <w:r w:rsidR="00F0252C" w:rsidRPr="00931A60">
        <w:rPr>
          <w:rFonts w:ascii="Verdana" w:hAnsi="Verdana"/>
          <w:sz w:val="20"/>
          <w:szCs w:val="20"/>
          <w:lang w:val="es-MX"/>
        </w:rPr>
        <w:t>en el 2016</w:t>
      </w:r>
      <w:r w:rsidRPr="00931A60">
        <w:rPr>
          <w:rFonts w:ascii="Verdana" w:hAnsi="Verdana"/>
          <w:sz w:val="20"/>
          <w:szCs w:val="20"/>
          <w:lang w:val="es-MX"/>
        </w:rPr>
        <w:t xml:space="preserve"> (</w:t>
      </w:r>
      <w:r w:rsidRPr="00931A60">
        <w:rPr>
          <w:rFonts w:ascii="Verdana" w:hAnsi="Verdana"/>
          <w:i/>
          <w:sz w:val="20"/>
          <w:szCs w:val="20"/>
          <w:lang w:val="es-MX"/>
        </w:rPr>
        <w:t>supra</w:t>
      </w:r>
      <w:r w:rsidRPr="00931A60">
        <w:rPr>
          <w:rFonts w:ascii="Verdana" w:hAnsi="Verdana"/>
          <w:sz w:val="20"/>
          <w:szCs w:val="20"/>
          <w:lang w:val="es-MX"/>
        </w:rPr>
        <w:t xml:space="preserve"> Visto 1)</w:t>
      </w:r>
      <w:r w:rsidR="006B672F" w:rsidRPr="00931A60">
        <w:rPr>
          <w:rFonts w:ascii="Verdana" w:hAnsi="Verdana"/>
          <w:sz w:val="20"/>
          <w:szCs w:val="20"/>
          <w:lang w:val="es-MX"/>
        </w:rPr>
        <w:t>.</w:t>
      </w:r>
      <w:r w:rsidR="008441DB" w:rsidRPr="00931A60">
        <w:rPr>
          <w:rFonts w:ascii="Verdana" w:hAnsi="Verdana"/>
          <w:sz w:val="20"/>
          <w:szCs w:val="20"/>
          <w:lang w:val="es-MX"/>
        </w:rPr>
        <w:t xml:space="preserve"> </w:t>
      </w:r>
      <w:r w:rsidR="004F04A8" w:rsidRPr="00596B3D">
        <w:rPr>
          <w:rFonts w:ascii="Verdana" w:hAnsi="Verdana"/>
          <w:sz w:val="20"/>
          <w:szCs w:val="20"/>
          <w:lang w:val="es-MX"/>
        </w:rPr>
        <w:t xml:space="preserve">En dicho </w:t>
      </w:r>
      <w:r w:rsidR="00882823">
        <w:rPr>
          <w:rFonts w:ascii="Verdana" w:hAnsi="Verdana"/>
          <w:sz w:val="20"/>
          <w:szCs w:val="20"/>
          <w:lang w:val="es-MX"/>
        </w:rPr>
        <w:t>F</w:t>
      </w:r>
      <w:r w:rsidR="004F04A8" w:rsidRPr="00596B3D">
        <w:rPr>
          <w:rFonts w:ascii="Verdana" w:hAnsi="Verdana"/>
          <w:sz w:val="20"/>
          <w:szCs w:val="20"/>
          <w:lang w:val="es-MX"/>
        </w:rPr>
        <w:t xml:space="preserve">allo, el Tribunal ordenó </w:t>
      </w:r>
      <w:r w:rsidR="006026DF">
        <w:rPr>
          <w:rFonts w:ascii="Verdana" w:hAnsi="Verdana"/>
          <w:sz w:val="20"/>
          <w:szCs w:val="20"/>
          <w:lang w:val="es-MX"/>
        </w:rPr>
        <w:t>las siguientes</w:t>
      </w:r>
      <w:r w:rsidR="00882823">
        <w:rPr>
          <w:rFonts w:ascii="Verdana" w:hAnsi="Verdana"/>
          <w:sz w:val="20"/>
          <w:szCs w:val="20"/>
          <w:lang w:val="es-MX"/>
        </w:rPr>
        <w:t xml:space="preserve"> cinco</w:t>
      </w:r>
      <w:r w:rsidR="006026DF">
        <w:rPr>
          <w:rFonts w:ascii="Verdana" w:hAnsi="Verdana"/>
          <w:sz w:val="20"/>
          <w:szCs w:val="20"/>
          <w:lang w:val="es-MX"/>
        </w:rPr>
        <w:t xml:space="preserve"> </w:t>
      </w:r>
      <w:r w:rsidR="004F04A8" w:rsidRPr="00596B3D">
        <w:rPr>
          <w:rFonts w:ascii="Verdana" w:hAnsi="Verdana"/>
          <w:sz w:val="20"/>
          <w:szCs w:val="20"/>
          <w:lang w:val="es-MX"/>
        </w:rPr>
        <w:t xml:space="preserve">medidas de reparación: </w:t>
      </w:r>
      <w:r w:rsidR="00882823">
        <w:rPr>
          <w:rFonts w:ascii="Verdana" w:hAnsi="Verdana"/>
          <w:sz w:val="20"/>
          <w:szCs w:val="20"/>
          <w:lang w:val="es-MX"/>
        </w:rPr>
        <w:t>i</w:t>
      </w:r>
      <w:r w:rsidR="00F0252C" w:rsidRPr="00596B3D">
        <w:rPr>
          <w:rFonts w:ascii="Verdana" w:hAnsi="Verdana"/>
          <w:sz w:val="20"/>
          <w:szCs w:val="20"/>
          <w:lang w:val="es-MX"/>
        </w:rPr>
        <w:t xml:space="preserve">) </w:t>
      </w:r>
      <w:r w:rsidR="00F0252C" w:rsidRPr="00596B3D">
        <w:rPr>
          <w:rFonts w:ascii="Verdana" w:hAnsi="Verdana"/>
          <w:sz w:val="20"/>
          <w:szCs w:val="20"/>
        </w:rPr>
        <w:t>la capacitación de las autoridades judiciales a cargo de la ejecución de las penas, autoridades penitenciarias, personal médico y sanitario y otras autoridades competentes que tengan relación con las personas privadas de libertad</w:t>
      </w:r>
      <w:r w:rsidR="00882823">
        <w:rPr>
          <w:rFonts w:ascii="Verdana" w:hAnsi="Verdana"/>
          <w:sz w:val="20"/>
          <w:szCs w:val="20"/>
        </w:rPr>
        <w:t>; ii)</w:t>
      </w:r>
      <w:r w:rsidR="00F0252C" w:rsidRPr="00596B3D">
        <w:rPr>
          <w:rFonts w:ascii="Verdana" w:hAnsi="Verdana"/>
          <w:sz w:val="20"/>
          <w:szCs w:val="20"/>
        </w:rPr>
        <w:t xml:space="preserve"> llevar a cabo una serie de jornadas de información y orientación en materia de derechos humanos a favor de las personas que se encuentran privadas de libertad en el C</w:t>
      </w:r>
      <w:r w:rsidR="0096422C" w:rsidRPr="00596B3D">
        <w:rPr>
          <w:rFonts w:ascii="Verdana" w:hAnsi="Verdana"/>
          <w:sz w:val="20"/>
          <w:szCs w:val="20"/>
        </w:rPr>
        <w:t>entro de Orientación Femenina;</w:t>
      </w:r>
      <w:r w:rsidR="00882823">
        <w:rPr>
          <w:rFonts w:ascii="Verdana" w:hAnsi="Verdana"/>
          <w:sz w:val="20"/>
          <w:szCs w:val="20"/>
        </w:rPr>
        <w:t xml:space="preserve"> iii</w:t>
      </w:r>
      <w:r w:rsidR="00F0252C" w:rsidRPr="00596B3D">
        <w:rPr>
          <w:rFonts w:ascii="Verdana" w:hAnsi="Verdana"/>
          <w:sz w:val="20"/>
          <w:szCs w:val="20"/>
        </w:rPr>
        <w:t xml:space="preserve">) </w:t>
      </w:r>
      <w:r w:rsidR="00F0252C" w:rsidRPr="00596B3D">
        <w:rPr>
          <w:rFonts w:ascii="Verdana" w:hAnsi="Verdana"/>
          <w:sz w:val="20"/>
          <w:szCs w:val="20"/>
          <w:lang w:val="es-MX"/>
        </w:rPr>
        <w:t>realizar las publicaciones de la Sentencia y de su resumen oficial</w:t>
      </w:r>
      <w:r w:rsidR="00F0252C" w:rsidRPr="00596B3D">
        <w:rPr>
          <w:rStyle w:val="apple-style-span"/>
          <w:rFonts w:ascii="Verdana" w:hAnsi="Verdana"/>
          <w:sz w:val="20"/>
          <w:szCs w:val="20"/>
        </w:rPr>
        <w:t xml:space="preserve">; </w:t>
      </w:r>
      <w:r w:rsidR="00882823">
        <w:rPr>
          <w:rStyle w:val="apple-style-span"/>
          <w:rFonts w:ascii="Verdana" w:hAnsi="Verdana"/>
          <w:sz w:val="20"/>
          <w:szCs w:val="20"/>
        </w:rPr>
        <w:t>iv</w:t>
      </w:r>
      <w:r w:rsidR="00F0252C" w:rsidRPr="00596B3D">
        <w:rPr>
          <w:rStyle w:val="apple-style-span"/>
          <w:rFonts w:ascii="Verdana" w:hAnsi="Verdana"/>
          <w:sz w:val="20"/>
          <w:szCs w:val="20"/>
        </w:rPr>
        <w:t xml:space="preserve">) </w:t>
      </w:r>
      <w:r w:rsidR="00F0252C" w:rsidRPr="00596B3D">
        <w:rPr>
          <w:rFonts w:ascii="Verdana" w:hAnsi="Verdana"/>
          <w:sz w:val="20"/>
          <w:szCs w:val="20"/>
          <w:lang w:val="es-MX"/>
        </w:rPr>
        <w:t xml:space="preserve">pagar </w:t>
      </w:r>
      <w:r w:rsidR="00882823">
        <w:rPr>
          <w:rFonts w:ascii="Verdana" w:hAnsi="Verdana"/>
          <w:sz w:val="20"/>
          <w:szCs w:val="20"/>
          <w:lang w:val="es-MX"/>
        </w:rPr>
        <w:t>las</w:t>
      </w:r>
      <w:r w:rsidR="00F0252C" w:rsidRPr="00596B3D">
        <w:rPr>
          <w:rFonts w:ascii="Verdana" w:hAnsi="Verdana"/>
          <w:sz w:val="20"/>
          <w:szCs w:val="20"/>
          <w:lang w:val="es-MX"/>
        </w:rPr>
        <w:t xml:space="preserve"> indemnizaciones del daño material e inmaterial, y </w:t>
      </w:r>
      <w:r w:rsidR="00882823">
        <w:rPr>
          <w:rFonts w:ascii="Verdana" w:hAnsi="Verdana"/>
          <w:sz w:val="20"/>
          <w:szCs w:val="20"/>
          <w:lang w:val="es-MX"/>
        </w:rPr>
        <w:t>v</w:t>
      </w:r>
      <w:r w:rsidR="00F0252C" w:rsidRPr="00596B3D">
        <w:rPr>
          <w:rFonts w:ascii="Verdana" w:hAnsi="Verdana"/>
          <w:sz w:val="20"/>
          <w:szCs w:val="20"/>
          <w:lang w:val="es-MX"/>
        </w:rPr>
        <w:t xml:space="preserve">) </w:t>
      </w:r>
      <w:r w:rsidR="00882823">
        <w:rPr>
          <w:rFonts w:ascii="Verdana" w:hAnsi="Verdana"/>
          <w:sz w:val="20"/>
          <w:szCs w:val="20"/>
          <w:lang w:val="es-MX"/>
        </w:rPr>
        <w:t xml:space="preserve">el </w:t>
      </w:r>
      <w:r w:rsidR="00F0252C" w:rsidRPr="00596B3D">
        <w:rPr>
          <w:rFonts w:ascii="Verdana" w:hAnsi="Verdana"/>
          <w:sz w:val="20"/>
          <w:szCs w:val="20"/>
        </w:rPr>
        <w:t>reintegro de costas y gastos</w:t>
      </w:r>
      <w:r w:rsidR="00F0252C" w:rsidRPr="00596B3D">
        <w:rPr>
          <w:rStyle w:val="Refdenotaalpie"/>
          <w:rFonts w:ascii="Verdana" w:hAnsi="Verdana"/>
          <w:sz w:val="20"/>
          <w:szCs w:val="20"/>
        </w:rPr>
        <w:footnoteReference w:id="4"/>
      </w:r>
      <w:r w:rsidR="00F0252C" w:rsidRPr="00596B3D">
        <w:rPr>
          <w:rFonts w:ascii="Verdana" w:hAnsi="Verdana"/>
          <w:sz w:val="20"/>
          <w:szCs w:val="20"/>
        </w:rPr>
        <w:t>.</w:t>
      </w:r>
    </w:p>
    <w:p w:rsidR="00596B3D" w:rsidRPr="00596B3D" w:rsidRDefault="00CC5070" w:rsidP="00931A60">
      <w:pPr>
        <w:pStyle w:val="Prrafodelista"/>
        <w:numPr>
          <w:ilvl w:val="0"/>
          <w:numId w:val="4"/>
        </w:numPr>
        <w:spacing w:before="120" w:after="120" w:line="240" w:lineRule="auto"/>
        <w:ind w:left="0" w:right="-22" w:firstLine="0"/>
        <w:contextualSpacing w:val="0"/>
        <w:jc w:val="both"/>
        <w:rPr>
          <w:rFonts w:ascii="Verdana" w:hAnsi="Verdana"/>
          <w:sz w:val="20"/>
          <w:szCs w:val="20"/>
        </w:rPr>
      </w:pPr>
      <w:r>
        <w:rPr>
          <w:rFonts w:ascii="Verdana" w:hAnsi="Verdana"/>
          <w:sz w:val="20"/>
          <w:szCs w:val="20"/>
        </w:rPr>
        <w:t>Asimismo, en la Sentencia se ordenó al Estado realizar un rein</w:t>
      </w:r>
      <w:r w:rsidR="0025769C">
        <w:rPr>
          <w:rFonts w:ascii="Verdana" w:hAnsi="Verdana"/>
          <w:sz w:val="20"/>
          <w:szCs w:val="20"/>
        </w:rPr>
        <w:t>tegro al</w:t>
      </w:r>
      <w:r w:rsidRPr="00596B3D">
        <w:rPr>
          <w:rFonts w:ascii="Verdana" w:hAnsi="Verdana"/>
          <w:sz w:val="20"/>
          <w:szCs w:val="20"/>
        </w:rPr>
        <w:t xml:space="preserve"> Fondo de Asistencia Legal de Víctimas </w:t>
      </w:r>
      <w:r>
        <w:rPr>
          <w:rFonts w:ascii="Verdana" w:hAnsi="Verdana"/>
          <w:sz w:val="20"/>
          <w:szCs w:val="20"/>
        </w:rPr>
        <w:t xml:space="preserve">de la Corte, lo cual fue declarado cumplido por este Tribunal </w:t>
      </w:r>
      <w:r w:rsidR="00596B3D" w:rsidRPr="00596B3D">
        <w:rPr>
          <w:rFonts w:ascii="Verdana" w:hAnsi="Verdana"/>
          <w:sz w:val="20"/>
          <w:szCs w:val="20"/>
        </w:rPr>
        <w:t>(</w:t>
      </w:r>
      <w:r w:rsidR="00596B3D" w:rsidRPr="00596B3D">
        <w:rPr>
          <w:rFonts w:ascii="Verdana" w:hAnsi="Verdana"/>
          <w:i/>
          <w:sz w:val="20"/>
          <w:szCs w:val="20"/>
        </w:rPr>
        <w:t>supra</w:t>
      </w:r>
      <w:r w:rsidR="00596B3D" w:rsidRPr="00596B3D">
        <w:rPr>
          <w:rFonts w:ascii="Verdana" w:hAnsi="Verdana"/>
          <w:sz w:val="20"/>
          <w:szCs w:val="20"/>
        </w:rPr>
        <w:t xml:space="preserve"> Visto 2)</w:t>
      </w:r>
      <w:r w:rsidR="00596B3D">
        <w:rPr>
          <w:rFonts w:ascii="Verdana" w:hAnsi="Verdana"/>
          <w:sz w:val="20"/>
          <w:szCs w:val="20"/>
        </w:rPr>
        <w:t>.</w:t>
      </w:r>
    </w:p>
    <w:p w:rsidR="00931A60" w:rsidRPr="00931A60" w:rsidRDefault="009F44E5" w:rsidP="00931A60">
      <w:pPr>
        <w:pStyle w:val="Prrafodelista"/>
        <w:numPr>
          <w:ilvl w:val="0"/>
          <w:numId w:val="4"/>
        </w:numPr>
        <w:spacing w:before="120" w:after="120" w:line="240" w:lineRule="auto"/>
        <w:ind w:left="0" w:right="-22" w:firstLine="0"/>
        <w:contextualSpacing w:val="0"/>
        <w:jc w:val="both"/>
        <w:rPr>
          <w:rFonts w:ascii="Verdana" w:hAnsi="Verdana"/>
          <w:sz w:val="20"/>
          <w:szCs w:val="20"/>
        </w:rPr>
      </w:pPr>
      <w:r>
        <w:rPr>
          <w:rFonts w:ascii="Verdana" w:hAnsi="Verdana" w:cs="Arial"/>
          <w:sz w:val="20"/>
          <w:szCs w:val="20"/>
        </w:rPr>
        <w:t>E</w:t>
      </w:r>
      <w:r w:rsidR="00AA57F6" w:rsidRPr="00596B3D">
        <w:rPr>
          <w:rFonts w:ascii="Verdana" w:hAnsi="Verdana" w:cs="Arial"/>
          <w:sz w:val="20"/>
          <w:szCs w:val="20"/>
        </w:rPr>
        <w:t xml:space="preserve">n </w:t>
      </w:r>
      <w:r w:rsidR="00931A60" w:rsidRPr="00596B3D">
        <w:rPr>
          <w:rFonts w:ascii="Verdana" w:hAnsi="Verdana" w:cs="Arial"/>
          <w:sz w:val="20"/>
          <w:szCs w:val="20"/>
        </w:rPr>
        <w:t xml:space="preserve">el punto </w:t>
      </w:r>
      <w:r w:rsidR="00A12D41">
        <w:rPr>
          <w:rFonts w:ascii="Verdana" w:hAnsi="Verdana" w:cs="Arial"/>
          <w:sz w:val="20"/>
          <w:szCs w:val="20"/>
        </w:rPr>
        <w:t>resolutivo</w:t>
      </w:r>
      <w:r w:rsidR="00A12D41" w:rsidRPr="00596B3D">
        <w:rPr>
          <w:rFonts w:ascii="Verdana" w:hAnsi="Verdana" w:cs="Arial"/>
          <w:sz w:val="20"/>
          <w:szCs w:val="20"/>
        </w:rPr>
        <w:t xml:space="preserve"> </w:t>
      </w:r>
      <w:r w:rsidR="00931A60" w:rsidRPr="00596B3D">
        <w:rPr>
          <w:rFonts w:ascii="Verdana" w:hAnsi="Verdana" w:cs="Arial"/>
          <w:sz w:val="20"/>
          <w:szCs w:val="20"/>
        </w:rPr>
        <w:t>noveno</w:t>
      </w:r>
      <w:r w:rsidR="001820C6" w:rsidRPr="00596B3D">
        <w:rPr>
          <w:rFonts w:ascii="Verdana" w:hAnsi="Verdana" w:cs="Arial"/>
          <w:sz w:val="20"/>
          <w:szCs w:val="20"/>
        </w:rPr>
        <w:t xml:space="preserve"> de la Sentencia </w:t>
      </w:r>
      <w:r w:rsidR="00F47E73">
        <w:rPr>
          <w:rFonts w:ascii="Verdana" w:hAnsi="Verdana" w:cs="Arial"/>
          <w:sz w:val="20"/>
          <w:szCs w:val="20"/>
        </w:rPr>
        <w:t xml:space="preserve">se </w:t>
      </w:r>
      <w:r w:rsidR="001820C6" w:rsidRPr="00596B3D">
        <w:rPr>
          <w:rFonts w:ascii="Verdana" w:hAnsi="Verdana" w:cs="Arial"/>
          <w:sz w:val="20"/>
          <w:szCs w:val="20"/>
        </w:rPr>
        <w:t>dispuso que “[e]l Estado</w:t>
      </w:r>
      <w:r w:rsidR="00931A60" w:rsidRPr="00931A60">
        <w:rPr>
          <w:rFonts w:ascii="Verdana" w:hAnsi="Verdana" w:cs="Arial"/>
          <w:sz w:val="20"/>
          <w:szCs w:val="20"/>
        </w:rPr>
        <w:t xml:space="preserve"> deb[ía]</w:t>
      </w:r>
      <w:r w:rsidR="00931A60" w:rsidRPr="00931A60">
        <w:rPr>
          <w:rFonts w:ascii="Verdana" w:hAnsi="Verdana"/>
          <w:sz w:val="20"/>
          <w:szCs w:val="20"/>
        </w:rPr>
        <w:t xml:space="preserve"> </w:t>
      </w:r>
      <w:r w:rsidR="00931A60" w:rsidRPr="00931A60">
        <w:rPr>
          <w:rFonts w:ascii="Verdana" w:hAnsi="Verdana" w:cs="Verdana"/>
          <w:sz w:val="20"/>
          <w:szCs w:val="20"/>
        </w:rPr>
        <w:t>rendir</w:t>
      </w:r>
      <w:r w:rsidR="00931A60" w:rsidRPr="00931A60">
        <w:rPr>
          <w:rFonts w:ascii="Verdana" w:hAnsi="Verdana"/>
          <w:sz w:val="20"/>
          <w:szCs w:val="20"/>
        </w:rPr>
        <w:t xml:space="preserve"> al Tribunal un informe sobre las medidas adoptadas para cumplir con </w:t>
      </w:r>
      <w:r w:rsidR="00931A60" w:rsidRPr="00931A60">
        <w:rPr>
          <w:rFonts w:ascii="Verdana" w:hAnsi="Verdana" w:cs="Verdana"/>
          <w:sz w:val="20"/>
          <w:szCs w:val="20"/>
        </w:rPr>
        <w:t>[…] Sentencia</w:t>
      </w:r>
      <w:r w:rsidR="00931A60" w:rsidRPr="00931A60">
        <w:rPr>
          <w:rFonts w:ascii="Verdana" w:hAnsi="Verdana"/>
          <w:sz w:val="20"/>
          <w:szCs w:val="20"/>
        </w:rPr>
        <w:t>,</w:t>
      </w:r>
      <w:r w:rsidR="00931A60" w:rsidRPr="00931A60">
        <w:rPr>
          <w:rFonts w:ascii="Verdana" w:hAnsi="Verdana" w:cs="Verdana"/>
          <w:sz w:val="20"/>
          <w:szCs w:val="20"/>
        </w:rPr>
        <w:t xml:space="preserve"> dentro del plazo de un año contado a partir de la notificación de </w:t>
      </w:r>
      <w:r w:rsidR="00931A60" w:rsidRPr="00931A60">
        <w:rPr>
          <w:rFonts w:ascii="Verdana" w:hAnsi="Verdana"/>
          <w:sz w:val="20"/>
          <w:szCs w:val="20"/>
        </w:rPr>
        <w:t xml:space="preserve">la misma”. </w:t>
      </w:r>
      <w:r w:rsidR="00A12D41">
        <w:rPr>
          <w:rFonts w:ascii="Verdana" w:hAnsi="Verdana"/>
          <w:sz w:val="20"/>
          <w:szCs w:val="20"/>
        </w:rPr>
        <w:t xml:space="preserve">Dicho plazo era hasta el 28 de octubre de 2017. </w:t>
      </w:r>
      <w:r w:rsidR="001820C6" w:rsidRPr="00931A60">
        <w:rPr>
          <w:rFonts w:ascii="Verdana" w:hAnsi="Verdana" w:cs="Arial"/>
          <w:sz w:val="20"/>
          <w:szCs w:val="20"/>
        </w:rPr>
        <w:t>El Estado no presentó el informe requerido</w:t>
      </w:r>
      <w:r w:rsidR="009B35F3" w:rsidRPr="00931A60">
        <w:rPr>
          <w:rFonts w:ascii="Verdana" w:hAnsi="Verdana" w:cs="Arial"/>
          <w:sz w:val="20"/>
          <w:szCs w:val="20"/>
        </w:rPr>
        <w:t xml:space="preserve"> en el referido plazo, </w:t>
      </w:r>
      <w:r w:rsidR="00931A60" w:rsidRPr="00931A60">
        <w:rPr>
          <w:rFonts w:ascii="Verdana" w:hAnsi="Verdana" w:cs="Arial"/>
          <w:sz w:val="20"/>
          <w:szCs w:val="20"/>
        </w:rPr>
        <w:t>por lo cual se le reiteró en dos ocasiones</w:t>
      </w:r>
      <w:r w:rsidR="009B35F3" w:rsidRPr="00931A60">
        <w:rPr>
          <w:rFonts w:ascii="Verdana" w:hAnsi="Verdana" w:cs="Arial"/>
          <w:sz w:val="20"/>
          <w:szCs w:val="20"/>
        </w:rPr>
        <w:t xml:space="preserve"> la solicitud del remisión del mismo (</w:t>
      </w:r>
      <w:r w:rsidR="009B35F3" w:rsidRPr="00931A60">
        <w:rPr>
          <w:rFonts w:ascii="Verdana" w:hAnsi="Verdana" w:cs="Arial"/>
          <w:i/>
          <w:sz w:val="20"/>
          <w:szCs w:val="20"/>
        </w:rPr>
        <w:t xml:space="preserve">supra </w:t>
      </w:r>
      <w:r w:rsidR="00931A60" w:rsidRPr="00931A60">
        <w:rPr>
          <w:rFonts w:ascii="Verdana" w:hAnsi="Verdana" w:cs="Arial"/>
          <w:sz w:val="20"/>
          <w:szCs w:val="20"/>
        </w:rPr>
        <w:t>Visto</w:t>
      </w:r>
      <w:r w:rsidR="00B63526">
        <w:rPr>
          <w:rFonts w:ascii="Verdana" w:hAnsi="Verdana" w:cs="Arial"/>
          <w:sz w:val="20"/>
          <w:szCs w:val="20"/>
        </w:rPr>
        <w:t>s</w:t>
      </w:r>
      <w:r w:rsidR="00931A60" w:rsidRPr="00931A60">
        <w:rPr>
          <w:rFonts w:ascii="Verdana" w:hAnsi="Verdana" w:cs="Arial"/>
          <w:sz w:val="20"/>
          <w:szCs w:val="20"/>
        </w:rPr>
        <w:t xml:space="preserve"> 3</w:t>
      </w:r>
      <w:r w:rsidR="00B63526">
        <w:rPr>
          <w:rFonts w:ascii="Verdana" w:hAnsi="Verdana" w:cs="Arial"/>
          <w:sz w:val="20"/>
          <w:szCs w:val="20"/>
        </w:rPr>
        <w:t xml:space="preserve"> y 4</w:t>
      </w:r>
      <w:r w:rsidR="009B35F3" w:rsidRPr="00931A60">
        <w:rPr>
          <w:rFonts w:ascii="Verdana" w:hAnsi="Verdana" w:cs="Arial"/>
          <w:sz w:val="20"/>
          <w:szCs w:val="20"/>
        </w:rPr>
        <w:t>), lo cu</w:t>
      </w:r>
      <w:r w:rsidR="00931A60" w:rsidRPr="00931A60">
        <w:rPr>
          <w:rFonts w:ascii="Verdana" w:hAnsi="Verdana" w:cs="Arial"/>
          <w:sz w:val="20"/>
          <w:szCs w:val="20"/>
        </w:rPr>
        <w:t>al no fue cumplido por Guatemala</w:t>
      </w:r>
      <w:r w:rsidR="009B35F3" w:rsidRPr="00931A60">
        <w:rPr>
          <w:rFonts w:ascii="Verdana" w:hAnsi="Verdana" w:cs="Arial"/>
          <w:sz w:val="20"/>
          <w:szCs w:val="20"/>
        </w:rPr>
        <w:t xml:space="preserve">. En ese sentido, se destaca que han transcurrido </w:t>
      </w:r>
      <w:r w:rsidR="005C6107" w:rsidRPr="00931A60">
        <w:rPr>
          <w:rFonts w:ascii="Verdana" w:hAnsi="Verdana" w:cs="Arial"/>
          <w:sz w:val="20"/>
          <w:szCs w:val="20"/>
        </w:rPr>
        <w:t xml:space="preserve">un </w:t>
      </w:r>
      <w:r w:rsidR="009B35F3" w:rsidRPr="00931A60">
        <w:rPr>
          <w:rFonts w:ascii="Verdana" w:hAnsi="Verdana" w:cs="Arial"/>
          <w:sz w:val="20"/>
          <w:szCs w:val="20"/>
        </w:rPr>
        <w:t xml:space="preserve">año y </w:t>
      </w:r>
      <w:r w:rsidR="00317FE3">
        <w:rPr>
          <w:rFonts w:ascii="Verdana" w:hAnsi="Verdana" w:cs="Arial"/>
          <w:sz w:val="20"/>
          <w:szCs w:val="20"/>
        </w:rPr>
        <w:t>once</w:t>
      </w:r>
      <w:r w:rsidR="00931A60" w:rsidRPr="00931A60">
        <w:rPr>
          <w:rFonts w:ascii="Verdana" w:hAnsi="Verdana" w:cs="Arial"/>
          <w:sz w:val="20"/>
          <w:szCs w:val="20"/>
        </w:rPr>
        <w:t xml:space="preserve"> meses</w:t>
      </w:r>
      <w:r w:rsidR="009B35F3" w:rsidRPr="00931A60">
        <w:rPr>
          <w:rFonts w:ascii="Verdana" w:hAnsi="Verdana" w:cs="Arial"/>
          <w:sz w:val="20"/>
          <w:szCs w:val="20"/>
        </w:rPr>
        <w:t xml:space="preserve"> desde el vencimiento del plazo de un año disp</w:t>
      </w:r>
      <w:r w:rsidR="006E08CA" w:rsidRPr="00931A60">
        <w:rPr>
          <w:rFonts w:ascii="Verdana" w:hAnsi="Verdana" w:cs="Arial"/>
          <w:sz w:val="20"/>
          <w:szCs w:val="20"/>
        </w:rPr>
        <w:t xml:space="preserve">uesto en la Sentencia para la presentación del informe. </w:t>
      </w:r>
    </w:p>
    <w:p w:rsidR="00931A60" w:rsidRPr="00931A60" w:rsidRDefault="00B63526" w:rsidP="00931A60">
      <w:pPr>
        <w:pStyle w:val="Prrafodelista"/>
        <w:numPr>
          <w:ilvl w:val="0"/>
          <w:numId w:val="4"/>
        </w:numPr>
        <w:spacing w:before="120" w:after="120" w:line="240" w:lineRule="auto"/>
        <w:ind w:left="0" w:right="-22" w:firstLine="0"/>
        <w:contextualSpacing w:val="0"/>
        <w:jc w:val="both"/>
        <w:rPr>
          <w:rFonts w:ascii="Verdana" w:hAnsi="Verdana"/>
          <w:sz w:val="20"/>
          <w:szCs w:val="20"/>
        </w:rPr>
      </w:pPr>
      <w:r>
        <w:rPr>
          <w:rFonts w:ascii="Verdana" w:hAnsi="Verdana" w:cs="Arial"/>
          <w:sz w:val="20"/>
          <w:szCs w:val="20"/>
        </w:rPr>
        <w:t xml:space="preserve">A </w:t>
      </w:r>
      <w:r w:rsidR="006E08CA" w:rsidRPr="00931A60">
        <w:rPr>
          <w:rFonts w:ascii="Verdana" w:hAnsi="Verdana" w:cs="Arial"/>
          <w:sz w:val="20"/>
          <w:szCs w:val="20"/>
        </w:rPr>
        <w:t>pesar del tiempo transcurrido desde la not</w:t>
      </w:r>
      <w:r w:rsidR="00931A60" w:rsidRPr="00931A60">
        <w:rPr>
          <w:rFonts w:ascii="Verdana" w:hAnsi="Verdana" w:cs="Arial"/>
          <w:sz w:val="20"/>
          <w:szCs w:val="20"/>
        </w:rPr>
        <w:t>ificación de la Sentencia, y de los</w:t>
      </w:r>
      <w:r w:rsidR="006E08CA" w:rsidRPr="00931A60">
        <w:rPr>
          <w:rFonts w:ascii="Verdana" w:hAnsi="Verdana" w:cs="Arial"/>
          <w:sz w:val="20"/>
          <w:szCs w:val="20"/>
        </w:rPr>
        <w:t xml:space="preserve"> requerimiento</w:t>
      </w:r>
      <w:r w:rsidR="00931A60" w:rsidRPr="00931A60">
        <w:rPr>
          <w:rFonts w:ascii="Verdana" w:hAnsi="Verdana" w:cs="Arial"/>
          <w:sz w:val="20"/>
          <w:szCs w:val="20"/>
        </w:rPr>
        <w:t>s</w:t>
      </w:r>
      <w:r w:rsidR="006E08CA" w:rsidRPr="00931A60">
        <w:rPr>
          <w:rFonts w:ascii="Verdana" w:hAnsi="Verdana" w:cs="Arial"/>
          <w:sz w:val="20"/>
          <w:szCs w:val="20"/>
        </w:rPr>
        <w:t xml:space="preserve"> realizado</w:t>
      </w:r>
      <w:r w:rsidR="00931A60" w:rsidRPr="00931A60">
        <w:rPr>
          <w:rFonts w:ascii="Verdana" w:hAnsi="Verdana" w:cs="Arial"/>
          <w:sz w:val="20"/>
          <w:szCs w:val="20"/>
        </w:rPr>
        <w:t>s</w:t>
      </w:r>
      <w:r w:rsidR="006E08CA" w:rsidRPr="00931A60">
        <w:rPr>
          <w:rFonts w:ascii="Verdana" w:hAnsi="Verdana" w:cs="Arial"/>
          <w:sz w:val="20"/>
          <w:szCs w:val="20"/>
        </w:rPr>
        <w:t xml:space="preserve"> por la Presidencia de</w:t>
      </w:r>
      <w:r w:rsidR="00317FE3">
        <w:rPr>
          <w:rFonts w:ascii="Verdana" w:hAnsi="Verdana" w:cs="Arial"/>
          <w:sz w:val="20"/>
          <w:szCs w:val="20"/>
        </w:rPr>
        <w:t>l Tribunal</w:t>
      </w:r>
      <w:r w:rsidR="006E08CA" w:rsidRPr="00931A60">
        <w:rPr>
          <w:rFonts w:ascii="Verdana" w:hAnsi="Verdana" w:cs="Arial"/>
          <w:sz w:val="20"/>
          <w:szCs w:val="20"/>
        </w:rPr>
        <w:t xml:space="preserve"> (</w:t>
      </w:r>
      <w:r w:rsidR="006E08CA" w:rsidRPr="00931A60">
        <w:rPr>
          <w:rFonts w:ascii="Verdana" w:hAnsi="Verdana" w:cs="Arial"/>
          <w:i/>
          <w:sz w:val="20"/>
          <w:szCs w:val="20"/>
        </w:rPr>
        <w:t>supra</w:t>
      </w:r>
      <w:r w:rsidR="00931A60">
        <w:rPr>
          <w:rFonts w:ascii="Verdana" w:hAnsi="Verdana" w:cs="Arial"/>
          <w:sz w:val="20"/>
          <w:szCs w:val="20"/>
        </w:rPr>
        <w:t xml:space="preserve"> Vistos 1</w:t>
      </w:r>
      <w:r w:rsidR="00A12D41">
        <w:rPr>
          <w:rFonts w:ascii="Verdana" w:hAnsi="Verdana" w:cs="Arial"/>
          <w:sz w:val="20"/>
          <w:szCs w:val="20"/>
        </w:rPr>
        <w:t>, 3 y 4</w:t>
      </w:r>
      <w:r w:rsidR="00931A60">
        <w:rPr>
          <w:rFonts w:ascii="Verdana" w:hAnsi="Verdana" w:cs="Arial"/>
          <w:sz w:val="20"/>
          <w:szCs w:val="20"/>
        </w:rPr>
        <w:t xml:space="preserve"> y </w:t>
      </w:r>
      <w:r w:rsidR="006E08CA" w:rsidRPr="00931A60">
        <w:rPr>
          <w:rFonts w:ascii="Verdana" w:hAnsi="Verdana" w:cs="Arial"/>
          <w:sz w:val="20"/>
          <w:szCs w:val="20"/>
        </w:rPr>
        <w:t>Consideran</w:t>
      </w:r>
      <w:r w:rsidR="00596B3D">
        <w:rPr>
          <w:rFonts w:ascii="Verdana" w:hAnsi="Verdana" w:cs="Arial"/>
          <w:sz w:val="20"/>
          <w:szCs w:val="20"/>
        </w:rPr>
        <w:t>do 3</w:t>
      </w:r>
      <w:r w:rsidR="00931A60" w:rsidRPr="00931A60">
        <w:rPr>
          <w:rFonts w:ascii="Verdana" w:hAnsi="Verdana" w:cs="Arial"/>
          <w:sz w:val="20"/>
          <w:szCs w:val="20"/>
        </w:rPr>
        <w:t>), Guatemala</w:t>
      </w:r>
      <w:r w:rsidR="006E08CA" w:rsidRPr="00931A60">
        <w:rPr>
          <w:rFonts w:ascii="Verdana" w:hAnsi="Verdana" w:cs="Arial"/>
          <w:sz w:val="20"/>
          <w:szCs w:val="20"/>
        </w:rPr>
        <w:t xml:space="preserve"> no informó respecto de</w:t>
      </w:r>
      <w:r w:rsidR="006B4C60">
        <w:rPr>
          <w:rFonts w:ascii="Verdana" w:hAnsi="Verdana" w:cs="Arial"/>
          <w:sz w:val="20"/>
          <w:szCs w:val="20"/>
        </w:rPr>
        <w:t>l cumplimiento de</w:t>
      </w:r>
      <w:r w:rsidR="006E08CA" w:rsidRPr="00931A60">
        <w:rPr>
          <w:rFonts w:ascii="Verdana" w:hAnsi="Verdana" w:cs="Arial"/>
          <w:sz w:val="20"/>
          <w:szCs w:val="20"/>
        </w:rPr>
        <w:t xml:space="preserve"> las medidas </w:t>
      </w:r>
      <w:r w:rsidR="006B4C60">
        <w:rPr>
          <w:rFonts w:ascii="Verdana" w:hAnsi="Verdana" w:cs="Arial"/>
          <w:sz w:val="20"/>
          <w:szCs w:val="20"/>
        </w:rPr>
        <w:t xml:space="preserve">de reparación </w:t>
      </w:r>
      <w:r w:rsidR="006E08CA" w:rsidRPr="00931A60">
        <w:rPr>
          <w:rFonts w:ascii="Verdana" w:hAnsi="Verdana" w:cs="Arial"/>
          <w:sz w:val="20"/>
          <w:szCs w:val="20"/>
        </w:rPr>
        <w:t xml:space="preserve">ordenadas en la misma. </w:t>
      </w:r>
    </w:p>
    <w:p w:rsidR="00931A60" w:rsidRDefault="00D57485" w:rsidP="00931A60">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931A60">
        <w:rPr>
          <w:rFonts w:ascii="Verdana" w:hAnsi="Verdana"/>
          <w:sz w:val="20"/>
          <w:szCs w:val="20"/>
        </w:rPr>
        <w:t>Conforme a lo dispuesto</w:t>
      </w:r>
      <w:r w:rsidR="00255624" w:rsidRPr="00931A60">
        <w:rPr>
          <w:rFonts w:ascii="Verdana" w:hAnsi="Verdana"/>
          <w:sz w:val="20"/>
          <w:szCs w:val="20"/>
        </w:rPr>
        <w:t xml:space="preserve"> en el artículo 68.1 de la Convención Americana</w:t>
      </w:r>
      <w:r w:rsidR="00A12D41">
        <w:rPr>
          <w:rFonts w:ascii="Verdana" w:hAnsi="Verdana"/>
          <w:sz w:val="20"/>
          <w:szCs w:val="20"/>
        </w:rPr>
        <w:t xml:space="preserve"> sobre Derechos Humanos</w:t>
      </w:r>
      <w:r w:rsidR="00255624" w:rsidRPr="00931A60">
        <w:rPr>
          <w:rFonts w:ascii="Verdana" w:hAnsi="Verdana"/>
          <w:sz w:val="20"/>
          <w:szCs w:val="20"/>
        </w:rPr>
        <w:t xml:space="preserve"> y tal como ha indicado </w:t>
      </w:r>
      <w:r w:rsidR="001626CA" w:rsidRPr="00931A60">
        <w:rPr>
          <w:rFonts w:ascii="Verdana" w:hAnsi="Verdana"/>
          <w:sz w:val="20"/>
          <w:szCs w:val="20"/>
        </w:rPr>
        <w:t>este Tribunal</w:t>
      </w:r>
      <w:r w:rsidR="00255624" w:rsidRPr="00931A60">
        <w:rPr>
          <w:rFonts w:ascii="Verdana" w:hAnsi="Verdana"/>
          <w:sz w:val="20"/>
          <w:szCs w:val="20"/>
        </w:rPr>
        <w:t xml:space="preserve">, “[l]os Estados Partes en la Convención se comprometen a cumplir la decisión de la Corte en todo caso en que sean partes”. </w:t>
      </w:r>
      <w:r w:rsidR="008B5826" w:rsidRPr="00931A60">
        <w:rPr>
          <w:rFonts w:ascii="Verdana" w:hAnsi="Verdana"/>
          <w:sz w:val="20"/>
          <w:szCs w:val="20"/>
        </w:rPr>
        <w:t xml:space="preserve">Esta obligación incluye el deber del Estado de informar sobre las medidas adoptadas para cumplir cada uno de los puntos ordenados por </w:t>
      </w:r>
      <w:r w:rsidR="001626CA" w:rsidRPr="00931A60">
        <w:rPr>
          <w:rFonts w:ascii="Verdana" w:hAnsi="Verdana"/>
          <w:sz w:val="20"/>
          <w:szCs w:val="20"/>
        </w:rPr>
        <w:t>é</w:t>
      </w:r>
      <w:r w:rsidR="008B5826" w:rsidRPr="00931A60">
        <w:rPr>
          <w:rFonts w:ascii="Verdana" w:hAnsi="Verdana"/>
          <w:sz w:val="20"/>
          <w:szCs w:val="20"/>
        </w:rPr>
        <w:t>ste, lo cual es fundamental para evaluar el estado de cumplimiento de la Sentencia en su conjunto</w:t>
      </w:r>
      <w:r w:rsidR="008B5826" w:rsidRPr="00931A60">
        <w:rPr>
          <w:rStyle w:val="Refdenotaalpie"/>
          <w:rFonts w:ascii="Verdana" w:hAnsi="Verdana"/>
          <w:sz w:val="20"/>
          <w:szCs w:val="20"/>
        </w:rPr>
        <w:footnoteReference w:id="5"/>
      </w:r>
      <w:r w:rsidR="008B5826" w:rsidRPr="00931A60">
        <w:rPr>
          <w:rFonts w:ascii="Verdana" w:hAnsi="Verdana"/>
          <w:sz w:val="20"/>
          <w:szCs w:val="20"/>
        </w:rPr>
        <w:t xml:space="preserve">. </w:t>
      </w:r>
      <w:r w:rsidR="007F3310" w:rsidRPr="00931A60">
        <w:rPr>
          <w:rFonts w:ascii="Verdana" w:eastAsia="Times New Roman" w:hAnsi="Verdana"/>
          <w:sz w:val="20"/>
          <w:szCs w:val="20"/>
          <w:shd w:val="clear" w:color="auto" w:fill="FFFFFF"/>
        </w:rPr>
        <w:t>Al efecto, cabe tener presente, además, que, según el artículo 67 de la Convención Americana, “[e]</w:t>
      </w:r>
      <w:r w:rsidR="007F3310" w:rsidRPr="00931A60">
        <w:rPr>
          <w:rFonts w:ascii="Verdana" w:eastAsia="Calibri" w:hAnsi="Verdana" w:cs="Tahoma"/>
          <w:sz w:val="20"/>
          <w:szCs w:val="20"/>
          <w:lang w:val="es-CL"/>
        </w:rPr>
        <w:t xml:space="preserve">l fallo de la Corte será definitivo e inapelable”, de manera que, </w:t>
      </w:r>
      <w:r w:rsidR="007F3310" w:rsidRPr="00931A60">
        <w:rPr>
          <w:rFonts w:ascii="Verdana" w:eastAsia="Times New Roman" w:hAnsi="Verdana"/>
          <w:sz w:val="20"/>
          <w:szCs w:val="20"/>
          <w:shd w:val="clear" w:color="auto" w:fill="FFFFFF"/>
        </w:rPr>
        <w:t>una</w:t>
      </w:r>
      <w:r w:rsidR="007F3310" w:rsidRPr="00931A60">
        <w:rPr>
          <w:rFonts w:ascii="Verdana" w:eastAsia="Times New Roman" w:hAnsi="Verdana"/>
          <w:sz w:val="20"/>
          <w:szCs w:val="20"/>
          <w:lang w:val="es-CO"/>
        </w:rPr>
        <w:t xml:space="preserve"> vez que este Tribunal dicta sentencia, ella produce los efectos de cosa juzgada</w:t>
      </w:r>
      <w:r w:rsidR="007F3310" w:rsidRPr="00931A60">
        <w:rPr>
          <w:rFonts w:ascii="Verdana" w:eastAsia="Times New Roman" w:hAnsi="Verdana"/>
          <w:sz w:val="20"/>
          <w:szCs w:val="20"/>
        </w:rPr>
        <w:t xml:space="preserve"> y</w:t>
      </w:r>
      <w:r w:rsidR="007F3310" w:rsidRPr="00931A60">
        <w:rPr>
          <w:rFonts w:ascii="Verdana" w:eastAsia="Times New Roman" w:hAnsi="Verdana"/>
          <w:sz w:val="20"/>
          <w:szCs w:val="20"/>
          <w:shd w:val="clear" w:color="auto" w:fill="FFFFFF"/>
        </w:rPr>
        <w:t xml:space="preserve"> debe ser prontamente cumplida por el Estado en forma íntegra</w:t>
      </w:r>
      <w:r w:rsidR="002A6F14">
        <w:rPr>
          <w:rStyle w:val="Refdenotaalpie"/>
          <w:rFonts w:ascii="Verdana" w:eastAsia="Times New Roman" w:hAnsi="Verdana"/>
          <w:sz w:val="20"/>
          <w:szCs w:val="20"/>
          <w:shd w:val="clear" w:color="auto" w:fill="FFFFFF"/>
        </w:rPr>
        <w:footnoteReference w:id="6"/>
      </w:r>
      <w:r w:rsidR="007F3310" w:rsidRPr="00931A60">
        <w:rPr>
          <w:rFonts w:ascii="Verdana" w:eastAsia="Times New Roman" w:hAnsi="Verdana"/>
          <w:sz w:val="20"/>
          <w:szCs w:val="20"/>
          <w:shd w:val="clear" w:color="auto" w:fill="FFFFFF"/>
        </w:rPr>
        <w:t>.</w:t>
      </w:r>
    </w:p>
    <w:p w:rsidR="00D66B91" w:rsidRPr="00D66B91" w:rsidRDefault="00001D18" w:rsidP="00D66B91">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931A60">
        <w:rPr>
          <w:rFonts w:ascii="Verdana" w:eastAsia="Times New Roman" w:hAnsi="Verdana"/>
          <w:color w:val="000000"/>
          <w:sz w:val="20"/>
          <w:szCs w:val="20"/>
          <w:lang w:val="es-CO"/>
        </w:rPr>
        <w:t xml:space="preserve">De modo, entonces, los Estados Partes de la Convención Americana tienen la obligación convencional de implementar tanto a nivel internacional como interno y </w:t>
      </w:r>
      <w:r w:rsidRPr="00931A60">
        <w:rPr>
          <w:rFonts w:ascii="Verdana" w:eastAsia="Times New Roman" w:hAnsi="Verdana"/>
          <w:color w:val="000000"/>
          <w:sz w:val="20"/>
          <w:szCs w:val="20"/>
        </w:rPr>
        <w:t xml:space="preserve">de forma pronta e íntegra, lo </w:t>
      </w:r>
      <w:r w:rsidRPr="00931A60">
        <w:rPr>
          <w:rFonts w:ascii="Verdana" w:eastAsia="Times New Roman" w:hAnsi="Verdana"/>
          <w:color w:val="000000"/>
          <w:sz w:val="20"/>
          <w:szCs w:val="20"/>
          <w:lang w:val="es-CO"/>
        </w:rPr>
        <w:t>dispuesto por el Tribunal en las Sentencias que a ellos conciernan, obligación que, como lo señala el derecho internacional consuetudinario y lo ha recordado la Corte, vincula a todos los poderes y órganos estatales</w:t>
      </w:r>
      <w:r w:rsidRPr="00931A60">
        <w:rPr>
          <w:rStyle w:val="Refdenotaalpie"/>
          <w:rFonts w:ascii="Verdana" w:hAnsi="Verdana" w:cs="Verdana"/>
          <w:sz w:val="20"/>
          <w:szCs w:val="20"/>
        </w:rPr>
        <w:footnoteReference w:id="7"/>
      </w:r>
      <w:r w:rsidRPr="00931A60">
        <w:rPr>
          <w:rFonts w:ascii="Verdana" w:eastAsia="Times New Roman" w:hAnsi="Verdana"/>
          <w:color w:val="000000"/>
          <w:sz w:val="20"/>
          <w:szCs w:val="20"/>
        </w:rPr>
        <w:t xml:space="preserve"> y, de no cumplirse, se incurre en un ilícito internacional</w:t>
      </w:r>
      <w:r w:rsidR="00D66B91">
        <w:rPr>
          <w:rStyle w:val="Refdenotaalpie"/>
          <w:rFonts w:ascii="Verdana" w:eastAsia="Times New Roman" w:hAnsi="Verdana"/>
          <w:color w:val="000000"/>
          <w:sz w:val="20"/>
          <w:szCs w:val="20"/>
        </w:rPr>
        <w:footnoteReference w:id="8"/>
      </w:r>
      <w:r w:rsidRPr="00931A60">
        <w:rPr>
          <w:rFonts w:ascii="Verdana" w:eastAsia="Times New Roman" w:hAnsi="Verdana"/>
          <w:color w:val="000000"/>
          <w:sz w:val="20"/>
          <w:szCs w:val="20"/>
          <w:lang w:val="pl-PL"/>
        </w:rPr>
        <w:t xml:space="preserve">. Al respecto, es menester añadir que siempre, según el derecho internacional consuetudinario y lo afirmado por la Corte, al producirse un hecho ilícito atribuible a un Estado, surge la responsabilidad internacional de éste por violación de una norma internacional, </w:t>
      </w:r>
      <w:r w:rsidR="00026AAD" w:rsidRPr="00931A60">
        <w:rPr>
          <w:rFonts w:ascii="Verdana" w:eastAsia="Times New Roman" w:hAnsi="Verdana"/>
          <w:color w:val="000000"/>
          <w:sz w:val="20"/>
          <w:szCs w:val="20"/>
          <w:lang w:val="pl-PL"/>
        </w:rPr>
        <w:t>dándose así origen a una relación jurídica nueva</w:t>
      </w:r>
      <w:r w:rsidRPr="00931A60">
        <w:rPr>
          <w:rFonts w:ascii="Verdana" w:eastAsia="Times New Roman" w:hAnsi="Verdana"/>
          <w:color w:val="000000"/>
          <w:sz w:val="20"/>
          <w:szCs w:val="20"/>
          <w:lang w:val="pl-PL"/>
        </w:rPr>
        <w:t xml:space="preserve"> que consiste en la </w:t>
      </w:r>
      <w:r w:rsidRPr="00D66B91">
        <w:rPr>
          <w:rFonts w:ascii="Verdana" w:eastAsia="Times New Roman" w:hAnsi="Verdana"/>
          <w:color w:val="000000"/>
          <w:sz w:val="20"/>
          <w:szCs w:val="20"/>
          <w:lang w:val="pl-PL"/>
        </w:rPr>
        <w:t>obligación de reparar</w:t>
      </w:r>
      <w:r w:rsidRPr="00D66B91">
        <w:rPr>
          <w:rStyle w:val="Refdenotaalpie"/>
          <w:rFonts w:ascii="Verdana" w:hAnsi="Verdana"/>
          <w:sz w:val="20"/>
          <w:szCs w:val="20"/>
        </w:rPr>
        <w:footnoteReference w:id="9"/>
      </w:r>
      <w:r w:rsidRPr="00D66B91">
        <w:rPr>
          <w:rFonts w:ascii="Verdana" w:eastAsia="Times New Roman" w:hAnsi="Verdana"/>
          <w:color w:val="000000"/>
          <w:sz w:val="20"/>
          <w:szCs w:val="20"/>
          <w:lang w:val="pl-PL"/>
        </w:rPr>
        <w:t xml:space="preserve">. </w:t>
      </w:r>
    </w:p>
    <w:p w:rsidR="00931A60" w:rsidRPr="00D66B91" w:rsidRDefault="00001D18" w:rsidP="00D66B91">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D66B91">
        <w:rPr>
          <w:rFonts w:ascii="Verdana" w:hAnsi="Verdana"/>
          <w:sz w:val="20"/>
          <w:szCs w:val="20"/>
          <w:lang w:val="pl-PL"/>
        </w:rPr>
        <w:t>Tal como ha indicado la Corte, el artículo 63.1 de la Convención reproduce el texto de una norma consuetudinaria que constituye uno de los principios fundamentales del derecho de la responsabilidad internacional de los Estados</w:t>
      </w:r>
      <w:r w:rsidRPr="00D66B91">
        <w:rPr>
          <w:rStyle w:val="Refdenotaalpie"/>
          <w:rFonts w:ascii="Verdana" w:hAnsi="Verdana"/>
          <w:sz w:val="20"/>
          <w:szCs w:val="20"/>
        </w:rPr>
        <w:footnoteReference w:id="10"/>
      </w:r>
      <w:r w:rsidRPr="00D66B91">
        <w:rPr>
          <w:rFonts w:ascii="Verdana" w:hAnsi="Verdana"/>
          <w:sz w:val="20"/>
          <w:szCs w:val="20"/>
          <w:lang w:val="pl-PL"/>
        </w:rPr>
        <w:t>.</w:t>
      </w:r>
      <w:r w:rsidR="00D30244" w:rsidRPr="00D66B91">
        <w:rPr>
          <w:rFonts w:ascii="Verdana" w:hAnsi="Verdana"/>
          <w:sz w:val="20"/>
          <w:szCs w:val="20"/>
          <w:lang w:val="pl-PL"/>
        </w:rPr>
        <w:t xml:space="preserve"> La falta de ejecución de las reparaciones en el ámbito interno implica la negación al </w:t>
      </w:r>
      <w:r w:rsidR="00D30244" w:rsidRPr="00D66B91">
        <w:rPr>
          <w:rFonts w:ascii="Verdana" w:eastAsia="Calibri" w:hAnsi="Verdana" w:cs="Verdana"/>
          <w:sz w:val="20"/>
          <w:szCs w:val="20"/>
        </w:rPr>
        <w:t>derecho de acceso a la justicia internacional</w:t>
      </w:r>
      <w:r w:rsidR="00D30244" w:rsidRPr="00D66B91">
        <w:rPr>
          <w:rStyle w:val="Refdenotaalpie"/>
          <w:rFonts w:ascii="Verdana" w:eastAsia="Calibri" w:hAnsi="Verdana" w:cs="Verdana"/>
          <w:sz w:val="20"/>
          <w:szCs w:val="20"/>
        </w:rPr>
        <w:footnoteReference w:id="11"/>
      </w:r>
      <w:r w:rsidR="00D30244" w:rsidRPr="00D66B91">
        <w:rPr>
          <w:rFonts w:ascii="Verdana" w:eastAsia="Calibri" w:hAnsi="Verdana" w:cs="Verdana"/>
          <w:sz w:val="20"/>
          <w:szCs w:val="20"/>
        </w:rPr>
        <w:t>.</w:t>
      </w:r>
      <w:r w:rsidR="00D66B91" w:rsidRPr="00D66B91">
        <w:rPr>
          <w:rFonts w:ascii="Verdana" w:eastAsia="Calibri" w:hAnsi="Verdana" w:cs="Verdana"/>
          <w:sz w:val="20"/>
          <w:szCs w:val="20"/>
        </w:rPr>
        <w:t xml:space="preserve"> </w:t>
      </w:r>
    </w:p>
    <w:p w:rsidR="00931A60" w:rsidRDefault="00D03A2C" w:rsidP="00931A60">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D66B91">
        <w:rPr>
          <w:rFonts w:ascii="Verdana" w:hAnsi="Verdana"/>
          <w:sz w:val="20"/>
          <w:szCs w:val="20"/>
        </w:rPr>
        <w:t>L</w:t>
      </w:r>
      <w:r w:rsidR="00C359E9" w:rsidRPr="00D66B91">
        <w:rPr>
          <w:rFonts w:ascii="Verdana" w:eastAsia="Calibri" w:hAnsi="Verdana" w:cs="Verdana"/>
          <w:sz w:val="20"/>
          <w:szCs w:val="20"/>
        </w:rPr>
        <w:t>a falta de presentación de</w:t>
      </w:r>
      <w:r w:rsidR="005D1D64" w:rsidRPr="00D66B91">
        <w:rPr>
          <w:rFonts w:ascii="Verdana" w:eastAsia="Calibri" w:hAnsi="Verdana" w:cs="Verdana"/>
          <w:sz w:val="20"/>
          <w:szCs w:val="20"/>
        </w:rPr>
        <w:t>l</w:t>
      </w:r>
      <w:r w:rsidR="00C359E9" w:rsidRPr="00D66B91">
        <w:rPr>
          <w:rFonts w:ascii="Verdana" w:eastAsia="Calibri" w:hAnsi="Verdana" w:cs="Verdana"/>
          <w:sz w:val="20"/>
          <w:szCs w:val="20"/>
        </w:rPr>
        <w:t xml:space="preserve"> informe</w:t>
      </w:r>
      <w:r w:rsidR="00F5200A" w:rsidRPr="00D66B91">
        <w:rPr>
          <w:rFonts w:ascii="Verdana" w:eastAsia="Calibri" w:hAnsi="Verdana" w:cs="Verdana"/>
          <w:sz w:val="20"/>
          <w:szCs w:val="20"/>
        </w:rPr>
        <w:t xml:space="preserve"> de cumplimiento</w:t>
      </w:r>
      <w:r w:rsidR="006B1639" w:rsidRPr="00D66B91">
        <w:rPr>
          <w:rFonts w:ascii="Verdana" w:eastAsia="Calibri" w:hAnsi="Verdana" w:cs="Verdana"/>
          <w:sz w:val="20"/>
          <w:szCs w:val="20"/>
        </w:rPr>
        <w:t xml:space="preserve"> citado,</w:t>
      </w:r>
      <w:r w:rsidR="00C359E9" w:rsidRPr="00D66B91">
        <w:rPr>
          <w:rFonts w:ascii="Verdana" w:eastAsia="Calibri" w:hAnsi="Verdana" w:cs="Verdana"/>
          <w:sz w:val="20"/>
          <w:szCs w:val="20"/>
        </w:rPr>
        <w:t xml:space="preserve"> </w:t>
      </w:r>
      <w:r w:rsidR="008F6DF3" w:rsidRPr="00D66B91">
        <w:rPr>
          <w:rFonts w:ascii="Verdana" w:eastAsia="Calibri" w:hAnsi="Verdana" w:cs="Verdana"/>
          <w:sz w:val="20"/>
          <w:szCs w:val="20"/>
        </w:rPr>
        <w:t xml:space="preserve">habiendo transcurrido </w:t>
      </w:r>
      <w:r w:rsidR="00275E5B">
        <w:rPr>
          <w:rFonts w:ascii="Verdana" w:eastAsia="Calibri" w:hAnsi="Verdana" w:cs="Verdana"/>
          <w:sz w:val="20"/>
          <w:szCs w:val="20"/>
        </w:rPr>
        <w:t xml:space="preserve">casi dos años </w:t>
      </w:r>
      <w:r w:rsidR="008F6DF3" w:rsidRPr="00D66B91">
        <w:rPr>
          <w:rFonts w:ascii="Verdana" w:eastAsia="Calibri" w:hAnsi="Verdana" w:cs="Verdana"/>
          <w:sz w:val="20"/>
          <w:szCs w:val="20"/>
        </w:rPr>
        <w:t>desde el vencimiento de</w:t>
      </w:r>
      <w:r w:rsidR="005D1D64" w:rsidRPr="00D66B91">
        <w:rPr>
          <w:rFonts w:ascii="Verdana" w:eastAsia="Calibri" w:hAnsi="Verdana" w:cs="Verdana"/>
          <w:sz w:val="20"/>
          <w:szCs w:val="20"/>
        </w:rPr>
        <w:t>l</w:t>
      </w:r>
      <w:r w:rsidR="008F6DF3" w:rsidRPr="00D66B91">
        <w:rPr>
          <w:rFonts w:ascii="Verdana" w:eastAsia="Calibri" w:hAnsi="Verdana" w:cs="Verdana"/>
          <w:sz w:val="20"/>
          <w:szCs w:val="20"/>
        </w:rPr>
        <w:t xml:space="preserve"> plazo dispuesto en la Sentencia</w:t>
      </w:r>
      <w:r w:rsidR="00C359E9" w:rsidRPr="00D66B91">
        <w:rPr>
          <w:rFonts w:ascii="Verdana" w:hAnsi="Verdana"/>
          <w:sz w:val="20"/>
          <w:szCs w:val="20"/>
          <w:lang w:val="es-MX"/>
        </w:rPr>
        <w:t xml:space="preserve">, sumado a la falta de respuesta del Estado ante </w:t>
      </w:r>
      <w:r w:rsidR="00931A60" w:rsidRPr="00D66B91">
        <w:rPr>
          <w:rFonts w:ascii="Verdana" w:hAnsi="Verdana"/>
          <w:sz w:val="20"/>
          <w:szCs w:val="20"/>
          <w:lang w:val="es-MX"/>
        </w:rPr>
        <w:t>los</w:t>
      </w:r>
      <w:r w:rsidR="005D1D64" w:rsidRPr="00D66B91">
        <w:rPr>
          <w:rFonts w:ascii="Verdana" w:hAnsi="Verdana"/>
          <w:sz w:val="20"/>
          <w:szCs w:val="20"/>
          <w:lang w:val="es-MX"/>
        </w:rPr>
        <w:t xml:space="preserve"> requerimiento</w:t>
      </w:r>
      <w:r w:rsidR="00931A60" w:rsidRPr="00D66B91">
        <w:rPr>
          <w:rFonts w:ascii="Verdana" w:hAnsi="Verdana"/>
          <w:sz w:val="20"/>
          <w:szCs w:val="20"/>
          <w:lang w:val="es-MX"/>
        </w:rPr>
        <w:t>s</w:t>
      </w:r>
      <w:r w:rsidR="00C359E9" w:rsidRPr="00D66B91">
        <w:rPr>
          <w:rFonts w:ascii="Verdana" w:hAnsi="Verdana"/>
          <w:sz w:val="20"/>
          <w:szCs w:val="20"/>
          <w:lang w:val="es-MX"/>
        </w:rPr>
        <w:t xml:space="preserve"> de la Presidencia</w:t>
      </w:r>
      <w:r w:rsidR="008F6DF3" w:rsidRPr="00D66B91">
        <w:rPr>
          <w:rFonts w:ascii="Verdana" w:hAnsi="Verdana"/>
          <w:sz w:val="20"/>
          <w:szCs w:val="20"/>
          <w:lang w:val="es-MX"/>
        </w:rPr>
        <w:t xml:space="preserve"> de la Corte</w:t>
      </w:r>
      <w:r w:rsidR="00F5200A" w:rsidRPr="00D66B91">
        <w:rPr>
          <w:rFonts w:ascii="Verdana" w:hAnsi="Verdana"/>
          <w:sz w:val="20"/>
          <w:szCs w:val="20"/>
          <w:lang w:val="es-MX"/>
        </w:rPr>
        <w:t xml:space="preserve"> </w:t>
      </w:r>
      <w:r w:rsidR="00F5200A" w:rsidRPr="00D66B91">
        <w:rPr>
          <w:rFonts w:ascii="Verdana" w:eastAsia="Calibri" w:hAnsi="Verdana" w:cs="Verdana"/>
          <w:sz w:val="20"/>
          <w:szCs w:val="20"/>
        </w:rPr>
        <w:t>(</w:t>
      </w:r>
      <w:r w:rsidR="00F5200A" w:rsidRPr="00D66B91">
        <w:rPr>
          <w:rFonts w:ascii="Verdana" w:eastAsia="Calibri" w:hAnsi="Verdana" w:cs="Verdana"/>
          <w:i/>
          <w:sz w:val="20"/>
          <w:szCs w:val="20"/>
        </w:rPr>
        <w:t xml:space="preserve">supra </w:t>
      </w:r>
      <w:r w:rsidR="00F5200A" w:rsidRPr="00D66B91">
        <w:rPr>
          <w:rFonts w:ascii="Verdana" w:eastAsia="Calibri" w:hAnsi="Verdana" w:cs="Verdana"/>
          <w:sz w:val="20"/>
          <w:szCs w:val="20"/>
        </w:rPr>
        <w:t>Considerando</w:t>
      </w:r>
      <w:r w:rsidR="00EB2F10">
        <w:rPr>
          <w:rFonts w:ascii="Verdana" w:eastAsia="Calibri" w:hAnsi="Verdana" w:cs="Verdana"/>
          <w:sz w:val="20"/>
          <w:szCs w:val="20"/>
        </w:rPr>
        <w:t>s 3 y</w:t>
      </w:r>
      <w:r w:rsidR="00F5200A" w:rsidRPr="00D66B91">
        <w:rPr>
          <w:rFonts w:ascii="Verdana" w:eastAsia="Calibri" w:hAnsi="Verdana" w:cs="Verdana"/>
          <w:sz w:val="20"/>
          <w:szCs w:val="20"/>
        </w:rPr>
        <w:t xml:space="preserve"> </w:t>
      </w:r>
      <w:r w:rsidR="00596B3D">
        <w:rPr>
          <w:rFonts w:ascii="Verdana" w:eastAsia="Calibri" w:hAnsi="Verdana" w:cs="Verdana"/>
          <w:sz w:val="20"/>
          <w:szCs w:val="20"/>
        </w:rPr>
        <w:t>4</w:t>
      </w:r>
      <w:r w:rsidR="00F5200A" w:rsidRPr="00D66B91">
        <w:rPr>
          <w:rFonts w:ascii="Verdana" w:eastAsia="Calibri" w:hAnsi="Verdana" w:cs="Verdana"/>
          <w:sz w:val="20"/>
          <w:szCs w:val="20"/>
        </w:rPr>
        <w:t>)</w:t>
      </w:r>
      <w:r w:rsidR="00C359E9" w:rsidRPr="00D66B91">
        <w:rPr>
          <w:rFonts w:ascii="Verdana" w:hAnsi="Verdana"/>
          <w:sz w:val="20"/>
          <w:szCs w:val="20"/>
          <w:lang w:val="es-MX"/>
        </w:rPr>
        <w:t xml:space="preserve">, configuran un incumplimiento de </w:t>
      </w:r>
      <w:r w:rsidR="00931A60" w:rsidRPr="00D66B91">
        <w:rPr>
          <w:rFonts w:ascii="Verdana" w:hAnsi="Verdana"/>
          <w:sz w:val="20"/>
          <w:szCs w:val="20"/>
          <w:lang w:val="es-MX"/>
        </w:rPr>
        <w:t>Guatemala</w:t>
      </w:r>
      <w:r w:rsidR="00C359E9" w:rsidRPr="00D66B91">
        <w:rPr>
          <w:rFonts w:ascii="Verdana" w:hAnsi="Verdana"/>
          <w:sz w:val="20"/>
          <w:szCs w:val="20"/>
          <w:lang w:val="es-MX"/>
        </w:rPr>
        <w:t xml:space="preserve"> de la obligación de informar al Tribunal. </w:t>
      </w:r>
      <w:r w:rsidR="00D30244" w:rsidRPr="00D66B91">
        <w:rPr>
          <w:rFonts w:ascii="Verdana" w:hAnsi="Verdana"/>
          <w:sz w:val="20"/>
          <w:szCs w:val="20"/>
          <w:lang w:val="es-MX"/>
        </w:rPr>
        <w:t>La Corte</w:t>
      </w:r>
      <w:r w:rsidR="00C359E9" w:rsidRPr="00931A60">
        <w:rPr>
          <w:rFonts w:ascii="Verdana" w:hAnsi="Verdana"/>
          <w:sz w:val="20"/>
          <w:szCs w:val="20"/>
          <w:lang w:val="es-MX"/>
        </w:rPr>
        <w:t xml:space="preserve"> reitera</w:t>
      </w:r>
      <w:r w:rsidR="00C359E9" w:rsidRPr="00931A60">
        <w:rPr>
          <w:rFonts w:ascii="Verdana" w:hAnsi="Verdana" w:cs="Arial"/>
          <w:sz w:val="20"/>
          <w:szCs w:val="20"/>
          <w:lang w:val="es-ES"/>
        </w:rPr>
        <w:t xml:space="preserve"> que la inactividad de un Estado ante una jurisdicción internacional de derechos humanos es contraria al objetivo, fin y espíritu de la Convención Americana</w:t>
      </w:r>
      <w:r w:rsidR="00C359E9" w:rsidRPr="00931A60">
        <w:rPr>
          <w:rStyle w:val="Refdenotaalpie"/>
          <w:rFonts w:ascii="Verdana" w:hAnsi="Verdana" w:cs="Arial"/>
          <w:sz w:val="20"/>
          <w:szCs w:val="20"/>
          <w:lang w:val="es-ES"/>
        </w:rPr>
        <w:footnoteReference w:id="12"/>
      </w:r>
      <w:r w:rsidR="00C359E9" w:rsidRPr="00931A60">
        <w:rPr>
          <w:rFonts w:ascii="Verdana" w:hAnsi="Verdana" w:cs="Arial"/>
          <w:sz w:val="20"/>
          <w:szCs w:val="20"/>
          <w:lang w:val="es-ES"/>
        </w:rPr>
        <w:t>.</w:t>
      </w:r>
      <w:r w:rsidR="00786DA7" w:rsidRPr="00931A60">
        <w:rPr>
          <w:rFonts w:ascii="Verdana" w:hAnsi="Verdana"/>
          <w:sz w:val="20"/>
          <w:szCs w:val="20"/>
        </w:rPr>
        <w:t xml:space="preserve"> </w:t>
      </w:r>
      <w:r w:rsidR="00C359E9" w:rsidRPr="00931A60">
        <w:rPr>
          <w:rFonts w:ascii="Verdana" w:hAnsi="Verdana"/>
          <w:sz w:val="20"/>
          <w:szCs w:val="20"/>
          <w:lang w:val="es-MX"/>
        </w:rPr>
        <w:t>En este sentido, en la etapa de supervisión de cumplimiento de Sentencia de otros casos</w:t>
      </w:r>
      <w:r w:rsidR="00C359E9" w:rsidRPr="00931A60">
        <w:rPr>
          <w:rStyle w:val="Refdenotaalpie"/>
          <w:rFonts w:ascii="Verdana" w:hAnsi="Verdana"/>
          <w:sz w:val="20"/>
          <w:szCs w:val="20"/>
          <w:lang w:val="es-MX"/>
        </w:rPr>
        <w:footnoteReference w:id="13"/>
      </w:r>
      <w:r w:rsidR="00C359E9" w:rsidRPr="00931A60">
        <w:rPr>
          <w:rFonts w:ascii="Verdana" w:hAnsi="Verdana"/>
          <w:sz w:val="20"/>
          <w:szCs w:val="20"/>
          <w:lang w:val="es-MX"/>
        </w:rPr>
        <w:t>, la Corte ha establecido que la falta del Estado a su deber de informar constituye un incumplimiento de las obligaciones convencionales establecidas en los artículos 67 y 68.1</w:t>
      </w:r>
      <w:r w:rsidR="00321669" w:rsidRPr="00931A60">
        <w:rPr>
          <w:rFonts w:ascii="Verdana" w:hAnsi="Verdana"/>
          <w:sz w:val="20"/>
          <w:szCs w:val="20"/>
          <w:lang w:val="es-MX"/>
        </w:rPr>
        <w:t xml:space="preserve"> de la Convención Americana</w:t>
      </w:r>
      <w:r w:rsidR="000E1C1B" w:rsidRPr="00931A60">
        <w:rPr>
          <w:rFonts w:ascii="Verdana" w:hAnsi="Verdana"/>
          <w:sz w:val="20"/>
          <w:szCs w:val="20"/>
          <w:lang w:val="es-MX"/>
        </w:rPr>
        <w:t xml:space="preserve"> (</w:t>
      </w:r>
      <w:r w:rsidR="000E1C1B" w:rsidRPr="00931A60">
        <w:rPr>
          <w:rFonts w:ascii="Verdana" w:hAnsi="Verdana"/>
          <w:i/>
          <w:sz w:val="20"/>
          <w:szCs w:val="20"/>
          <w:lang w:val="es-MX"/>
        </w:rPr>
        <w:t>supra</w:t>
      </w:r>
      <w:r w:rsidR="000E1C1B" w:rsidRPr="00931A60">
        <w:rPr>
          <w:rFonts w:ascii="Verdana" w:hAnsi="Verdana"/>
          <w:sz w:val="20"/>
          <w:szCs w:val="20"/>
          <w:lang w:val="es-MX"/>
        </w:rPr>
        <w:t xml:space="preserve"> Considerando </w:t>
      </w:r>
      <w:r w:rsidR="00596B3D">
        <w:rPr>
          <w:rFonts w:ascii="Verdana" w:hAnsi="Verdana"/>
          <w:sz w:val="20"/>
          <w:szCs w:val="20"/>
          <w:lang w:val="es-MX"/>
        </w:rPr>
        <w:t>5</w:t>
      </w:r>
      <w:r w:rsidR="000E1C1B" w:rsidRPr="00931A60">
        <w:rPr>
          <w:rFonts w:ascii="Verdana" w:hAnsi="Verdana"/>
          <w:sz w:val="20"/>
          <w:szCs w:val="20"/>
          <w:lang w:val="es-MX"/>
        </w:rPr>
        <w:t>)</w:t>
      </w:r>
      <w:r w:rsidR="00F01B20" w:rsidRPr="00931A60">
        <w:rPr>
          <w:rFonts w:ascii="Verdana" w:hAnsi="Verdana"/>
          <w:sz w:val="20"/>
          <w:szCs w:val="20"/>
          <w:lang w:val="es-MX"/>
        </w:rPr>
        <w:t>.</w:t>
      </w:r>
    </w:p>
    <w:p w:rsidR="007822BA" w:rsidRPr="004057C6" w:rsidRDefault="002D15D9" w:rsidP="009D33E6">
      <w:pPr>
        <w:pStyle w:val="Prrafodelista"/>
        <w:numPr>
          <w:ilvl w:val="0"/>
          <w:numId w:val="4"/>
        </w:numPr>
        <w:spacing w:before="120" w:after="120" w:line="240" w:lineRule="auto"/>
        <w:ind w:left="0" w:right="-22" w:firstLine="0"/>
        <w:contextualSpacing w:val="0"/>
        <w:jc w:val="both"/>
        <w:rPr>
          <w:rFonts w:ascii="Verdana" w:hAnsi="Verdana"/>
          <w:sz w:val="20"/>
          <w:szCs w:val="20"/>
        </w:rPr>
      </w:pPr>
      <w:r w:rsidRPr="00931A60">
        <w:rPr>
          <w:rFonts w:ascii="Verdana" w:hAnsi="Verdana"/>
          <w:sz w:val="20"/>
          <w:szCs w:val="20"/>
          <w:lang w:val="es-MX"/>
        </w:rPr>
        <w:t>Teniendo en cuenta dicho incumplimiento del Estado</w:t>
      </w:r>
      <w:r w:rsidR="00931A60">
        <w:rPr>
          <w:rFonts w:ascii="Verdana" w:hAnsi="Verdana"/>
          <w:sz w:val="20"/>
          <w:szCs w:val="20"/>
          <w:lang w:val="es-MX"/>
        </w:rPr>
        <w:t xml:space="preserve">, </w:t>
      </w:r>
      <w:r w:rsidRPr="00931A60">
        <w:rPr>
          <w:rFonts w:ascii="Verdana" w:hAnsi="Verdana"/>
          <w:sz w:val="20"/>
          <w:szCs w:val="20"/>
          <w:lang w:val="es-MX"/>
        </w:rPr>
        <w:t xml:space="preserve">la Corte </w:t>
      </w:r>
      <w:r w:rsidR="00275E5B">
        <w:rPr>
          <w:rFonts w:ascii="Verdana" w:hAnsi="Verdana"/>
          <w:sz w:val="20"/>
          <w:szCs w:val="20"/>
          <w:lang w:val="es-MX"/>
        </w:rPr>
        <w:t xml:space="preserve">no tiene elementos que le permitan sostener </w:t>
      </w:r>
      <w:r w:rsidR="00F33C4C" w:rsidRPr="00931A60">
        <w:rPr>
          <w:rFonts w:ascii="Verdana" w:hAnsi="Verdana"/>
          <w:sz w:val="20"/>
          <w:szCs w:val="20"/>
          <w:lang w:val="es-MX"/>
        </w:rPr>
        <w:t xml:space="preserve">que </w:t>
      </w:r>
      <w:r w:rsidR="00931A60">
        <w:rPr>
          <w:rFonts w:ascii="Verdana" w:hAnsi="Verdana"/>
          <w:sz w:val="20"/>
          <w:szCs w:val="20"/>
          <w:lang w:val="es-MX"/>
        </w:rPr>
        <w:t>Guatemala</w:t>
      </w:r>
      <w:r w:rsidRPr="00931A60">
        <w:rPr>
          <w:rFonts w:ascii="Verdana" w:hAnsi="Verdana"/>
          <w:sz w:val="20"/>
          <w:szCs w:val="20"/>
          <w:lang w:val="es-MX"/>
        </w:rPr>
        <w:t xml:space="preserve"> ha adoptado medidas orientadas a dar cumplimiento a </w:t>
      </w:r>
      <w:r w:rsidR="0076016D" w:rsidRPr="00931A60">
        <w:rPr>
          <w:rFonts w:ascii="Verdana" w:hAnsi="Verdana"/>
          <w:sz w:val="20"/>
          <w:szCs w:val="20"/>
          <w:lang w:val="es-MX"/>
        </w:rPr>
        <w:t>las</w:t>
      </w:r>
      <w:r w:rsidR="00275E5B">
        <w:rPr>
          <w:rFonts w:ascii="Verdana" w:hAnsi="Verdana"/>
          <w:sz w:val="20"/>
          <w:szCs w:val="20"/>
          <w:lang w:val="es-MX"/>
        </w:rPr>
        <w:t xml:space="preserve"> reparaciones ordenadas en la Sentencia</w:t>
      </w:r>
      <w:r w:rsidRPr="00931A60">
        <w:rPr>
          <w:rFonts w:ascii="Verdana" w:hAnsi="Verdana"/>
          <w:sz w:val="20"/>
          <w:szCs w:val="20"/>
          <w:lang w:val="es-MX"/>
        </w:rPr>
        <w:t xml:space="preserve">, a pesar del tiempo transcurrido desde la </w:t>
      </w:r>
      <w:r w:rsidR="007B22BA">
        <w:rPr>
          <w:rFonts w:ascii="Verdana" w:hAnsi="Verdana"/>
          <w:sz w:val="20"/>
          <w:szCs w:val="20"/>
          <w:lang w:val="es-MX"/>
        </w:rPr>
        <w:t xml:space="preserve">notificación </w:t>
      </w:r>
      <w:r w:rsidRPr="00931A60">
        <w:rPr>
          <w:rFonts w:ascii="Verdana" w:hAnsi="Verdana"/>
          <w:sz w:val="20"/>
          <w:szCs w:val="20"/>
          <w:lang w:val="es-MX"/>
        </w:rPr>
        <w:t xml:space="preserve">de la </w:t>
      </w:r>
      <w:r w:rsidR="00EB2F10">
        <w:rPr>
          <w:rFonts w:ascii="Verdana" w:hAnsi="Verdana"/>
          <w:sz w:val="20"/>
          <w:szCs w:val="20"/>
          <w:lang w:val="es-MX"/>
        </w:rPr>
        <w:t>misma</w:t>
      </w:r>
      <w:r w:rsidRPr="00931A60">
        <w:rPr>
          <w:rFonts w:ascii="Verdana" w:hAnsi="Verdana"/>
          <w:sz w:val="20"/>
          <w:szCs w:val="20"/>
          <w:lang w:val="es-MX"/>
        </w:rPr>
        <w:t xml:space="preserve">. En este sentido, el Tribunal </w:t>
      </w:r>
      <w:r w:rsidR="00F33C4C" w:rsidRPr="00931A60">
        <w:rPr>
          <w:rFonts w:ascii="Verdana" w:hAnsi="Verdana"/>
          <w:sz w:val="20"/>
          <w:szCs w:val="20"/>
          <w:lang w:val="es-MX"/>
        </w:rPr>
        <w:t>estima</w:t>
      </w:r>
      <w:r w:rsidRPr="00931A60">
        <w:rPr>
          <w:rFonts w:ascii="Verdana" w:hAnsi="Verdana"/>
          <w:sz w:val="20"/>
          <w:szCs w:val="20"/>
          <w:lang w:val="es-MX"/>
        </w:rPr>
        <w:t xml:space="preserve"> que dicho incumplimiento impide que se reparen las violaciones a los derechos humanos declaradas en el Fallo</w:t>
      </w:r>
      <w:r w:rsidR="007B22BA">
        <w:rPr>
          <w:rStyle w:val="Refdenotaalpie"/>
          <w:rFonts w:ascii="Verdana" w:hAnsi="Verdana"/>
          <w:sz w:val="20"/>
          <w:szCs w:val="20"/>
          <w:lang w:val="es-MX"/>
        </w:rPr>
        <w:footnoteReference w:id="14"/>
      </w:r>
      <w:r w:rsidRPr="00931A60">
        <w:rPr>
          <w:rFonts w:ascii="Verdana" w:hAnsi="Verdana"/>
          <w:sz w:val="20"/>
          <w:szCs w:val="20"/>
          <w:lang w:val="es-MX"/>
        </w:rPr>
        <w:t xml:space="preserve">. </w:t>
      </w:r>
    </w:p>
    <w:p w:rsidR="003734DB" w:rsidRDefault="003734DB" w:rsidP="009D33E6">
      <w:pPr>
        <w:jc w:val="both"/>
        <w:rPr>
          <w:rFonts w:ascii="Verdana" w:hAnsi="Verdana"/>
          <w:b/>
          <w:sz w:val="20"/>
          <w:szCs w:val="20"/>
          <w:lang w:val="es-MX"/>
        </w:rPr>
      </w:pPr>
    </w:p>
    <w:p w:rsidR="009D33E6" w:rsidRPr="00931A60" w:rsidRDefault="009D33E6" w:rsidP="002479D7">
      <w:pPr>
        <w:spacing w:after="240"/>
        <w:jc w:val="both"/>
        <w:rPr>
          <w:rFonts w:ascii="Verdana" w:hAnsi="Verdana"/>
          <w:b/>
          <w:sz w:val="20"/>
          <w:szCs w:val="20"/>
          <w:lang w:val="es-MX"/>
        </w:rPr>
      </w:pPr>
      <w:r w:rsidRPr="00931A60">
        <w:rPr>
          <w:rFonts w:ascii="Verdana" w:hAnsi="Verdana"/>
          <w:b/>
          <w:sz w:val="20"/>
          <w:szCs w:val="20"/>
          <w:lang w:val="es-MX"/>
        </w:rPr>
        <w:t>POR TANTO</w:t>
      </w:r>
      <w:r w:rsidR="003B1E02" w:rsidRPr="00931A60">
        <w:rPr>
          <w:rFonts w:ascii="Verdana" w:hAnsi="Verdana"/>
          <w:b/>
          <w:sz w:val="20"/>
          <w:szCs w:val="20"/>
          <w:lang w:val="es-MX"/>
        </w:rPr>
        <w:t>:</w:t>
      </w:r>
    </w:p>
    <w:p w:rsidR="009D33E6" w:rsidRPr="00931A60" w:rsidRDefault="009D33E6" w:rsidP="002479D7">
      <w:pPr>
        <w:spacing w:after="240"/>
        <w:jc w:val="both"/>
        <w:rPr>
          <w:rFonts w:ascii="Verdana" w:hAnsi="Verdana"/>
          <w:b/>
          <w:sz w:val="20"/>
          <w:szCs w:val="20"/>
          <w:lang w:val="es-MX"/>
        </w:rPr>
      </w:pPr>
      <w:r w:rsidRPr="00931A60">
        <w:rPr>
          <w:rFonts w:ascii="Verdana" w:hAnsi="Verdana"/>
          <w:b/>
          <w:sz w:val="20"/>
          <w:szCs w:val="20"/>
          <w:lang w:val="es-MX"/>
        </w:rPr>
        <w:t>LA CORTE INTERAMERICANA DE DERECHOS HUMANOS,</w:t>
      </w:r>
    </w:p>
    <w:p w:rsidR="00C07A27" w:rsidRPr="00931A60" w:rsidRDefault="00C07A27" w:rsidP="002479D7">
      <w:pPr>
        <w:pStyle w:val="Prrafodelista"/>
        <w:spacing w:before="120" w:after="240" w:line="240" w:lineRule="auto"/>
        <w:ind w:left="0" w:right="-22"/>
        <w:contextualSpacing w:val="0"/>
        <w:jc w:val="both"/>
        <w:rPr>
          <w:rFonts w:ascii="Verdana" w:hAnsi="Verdana"/>
          <w:sz w:val="20"/>
          <w:szCs w:val="20"/>
          <w:lang w:val="es-MX"/>
        </w:rPr>
      </w:pPr>
      <w:r w:rsidRPr="00931A60">
        <w:rPr>
          <w:rFonts w:ascii="Verdana" w:hAnsi="Verdana"/>
          <w:sz w:val="20"/>
          <w:szCs w:val="20"/>
          <w:lang w:val="es-MX"/>
        </w:rPr>
        <w:t xml:space="preserve">En el ejercicio de sus atribuciones de supervisión del cumplimiento de sus decisiones, de conformidad con los artículos 33, 62.1, 62.3, </w:t>
      </w:r>
      <w:r w:rsidR="006160DA" w:rsidRPr="00931A60">
        <w:rPr>
          <w:rFonts w:ascii="Verdana" w:hAnsi="Verdana"/>
          <w:sz w:val="20"/>
          <w:szCs w:val="20"/>
          <w:lang w:val="es-MX"/>
        </w:rPr>
        <w:t xml:space="preserve">65, </w:t>
      </w:r>
      <w:r w:rsidRPr="00931A60">
        <w:rPr>
          <w:rFonts w:ascii="Verdana" w:hAnsi="Verdana"/>
          <w:sz w:val="20"/>
          <w:szCs w:val="20"/>
          <w:lang w:val="es-MX"/>
        </w:rPr>
        <w:t xml:space="preserve">67 y 68.1 de la Convención Americana sobre Derechos Humanos, </w:t>
      </w:r>
      <w:r w:rsidR="00D75F39" w:rsidRPr="00931A60">
        <w:rPr>
          <w:rFonts w:ascii="Verdana" w:hAnsi="Verdana"/>
          <w:sz w:val="20"/>
          <w:szCs w:val="20"/>
          <w:lang w:val="es-MX"/>
        </w:rPr>
        <w:t>24</w:t>
      </w:r>
      <w:r w:rsidRPr="00931A60">
        <w:rPr>
          <w:rFonts w:ascii="Verdana" w:hAnsi="Verdana"/>
          <w:sz w:val="20"/>
          <w:szCs w:val="20"/>
          <w:lang w:val="es-MX"/>
        </w:rPr>
        <w:t xml:space="preserve"> y 30 del Estatuto y 31</w:t>
      </w:r>
      <w:r w:rsidR="00D75F39" w:rsidRPr="00931A60">
        <w:rPr>
          <w:rFonts w:ascii="Verdana" w:hAnsi="Verdana"/>
          <w:sz w:val="20"/>
          <w:szCs w:val="20"/>
          <w:lang w:val="es-MX"/>
        </w:rPr>
        <w:t>.2</w:t>
      </w:r>
      <w:r w:rsidRPr="00931A60">
        <w:rPr>
          <w:rFonts w:ascii="Verdana" w:hAnsi="Verdana"/>
          <w:sz w:val="20"/>
          <w:szCs w:val="20"/>
          <w:lang w:val="es-MX"/>
        </w:rPr>
        <w:t xml:space="preserve"> y 69 de su Reglamento,</w:t>
      </w:r>
    </w:p>
    <w:p w:rsidR="004057C6" w:rsidRDefault="004057C6" w:rsidP="007822BA">
      <w:pPr>
        <w:ind w:right="-22"/>
        <w:jc w:val="both"/>
        <w:rPr>
          <w:rFonts w:ascii="Verdana" w:hAnsi="Verdana"/>
          <w:b/>
          <w:sz w:val="20"/>
          <w:szCs w:val="20"/>
          <w:lang w:val="es-MX"/>
        </w:rPr>
      </w:pPr>
    </w:p>
    <w:p w:rsidR="003B6DB5" w:rsidRPr="00931A60" w:rsidRDefault="003B6DB5" w:rsidP="007822BA">
      <w:pPr>
        <w:ind w:right="-22"/>
        <w:jc w:val="both"/>
        <w:rPr>
          <w:rFonts w:ascii="Verdana" w:hAnsi="Verdana"/>
          <w:b/>
          <w:sz w:val="20"/>
          <w:szCs w:val="20"/>
          <w:lang w:val="es-MX"/>
        </w:rPr>
      </w:pPr>
      <w:r w:rsidRPr="00931A60">
        <w:rPr>
          <w:rFonts w:ascii="Verdana" w:hAnsi="Verdana"/>
          <w:b/>
          <w:sz w:val="20"/>
          <w:szCs w:val="20"/>
          <w:lang w:val="es-MX"/>
        </w:rPr>
        <w:t>DECLARA QUE:</w:t>
      </w:r>
    </w:p>
    <w:p w:rsidR="003B6DB5" w:rsidRDefault="003B6DB5" w:rsidP="002479D7">
      <w:pPr>
        <w:numPr>
          <w:ilvl w:val="0"/>
          <w:numId w:val="7"/>
        </w:numPr>
        <w:spacing w:afterLines="120" w:after="288" w:line="240" w:lineRule="auto"/>
        <w:ind w:left="0" w:right="-22" w:hanging="11"/>
        <w:jc w:val="both"/>
        <w:rPr>
          <w:rFonts w:ascii="Verdana" w:hAnsi="Verdana"/>
          <w:sz w:val="20"/>
          <w:szCs w:val="20"/>
          <w:lang w:val="es-MX"/>
        </w:rPr>
      </w:pPr>
      <w:r w:rsidRPr="00931A60">
        <w:rPr>
          <w:rFonts w:ascii="Verdana" w:hAnsi="Verdana"/>
          <w:sz w:val="20"/>
          <w:szCs w:val="20"/>
        </w:rPr>
        <w:t xml:space="preserve">El Estado </w:t>
      </w:r>
      <w:r w:rsidRPr="007822BA">
        <w:rPr>
          <w:rFonts w:ascii="Verdana" w:hAnsi="Verdana"/>
          <w:sz w:val="20"/>
          <w:szCs w:val="20"/>
        </w:rPr>
        <w:t xml:space="preserve">ha incumplido </w:t>
      </w:r>
      <w:r w:rsidR="00966A9B">
        <w:rPr>
          <w:rFonts w:ascii="Verdana" w:hAnsi="Verdana"/>
          <w:sz w:val="20"/>
          <w:szCs w:val="20"/>
        </w:rPr>
        <w:t xml:space="preserve">durante un año y once meses </w:t>
      </w:r>
      <w:r w:rsidR="00C07A27" w:rsidRPr="007822BA">
        <w:rPr>
          <w:rFonts w:ascii="Verdana" w:hAnsi="Verdana"/>
          <w:sz w:val="20"/>
          <w:szCs w:val="20"/>
        </w:rPr>
        <w:t>con</w:t>
      </w:r>
      <w:r w:rsidRPr="007822BA">
        <w:rPr>
          <w:rFonts w:ascii="Verdana" w:hAnsi="Verdana"/>
          <w:sz w:val="20"/>
          <w:szCs w:val="20"/>
        </w:rPr>
        <w:t xml:space="preserve"> su obligación de informar a esta Corte </w:t>
      </w:r>
      <w:r w:rsidRPr="007822BA">
        <w:rPr>
          <w:rFonts w:ascii="Verdana" w:hAnsi="Verdana"/>
          <w:sz w:val="20"/>
          <w:szCs w:val="20"/>
          <w:lang w:val="es-MX"/>
        </w:rPr>
        <w:t xml:space="preserve">sobre las medidas adoptadas para dar cumplimiento a las reparaciones </w:t>
      </w:r>
      <w:r w:rsidR="006160DA" w:rsidRPr="007822BA">
        <w:rPr>
          <w:rFonts w:ascii="Verdana" w:hAnsi="Verdana"/>
          <w:sz w:val="20"/>
          <w:szCs w:val="20"/>
          <w:lang w:val="es-MX"/>
        </w:rPr>
        <w:t xml:space="preserve">ordenadas </w:t>
      </w:r>
      <w:r w:rsidR="00CA776E" w:rsidRPr="007822BA">
        <w:rPr>
          <w:rFonts w:ascii="Verdana" w:hAnsi="Verdana"/>
          <w:sz w:val="20"/>
          <w:szCs w:val="20"/>
          <w:lang w:val="es-MX"/>
        </w:rPr>
        <w:t>en la</w:t>
      </w:r>
      <w:r w:rsidRPr="007822BA">
        <w:rPr>
          <w:rFonts w:ascii="Verdana" w:hAnsi="Verdana"/>
          <w:sz w:val="20"/>
          <w:szCs w:val="20"/>
          <w:lang w:val="es-MX"/>
        </w:rPr>
        <w:t xml:space="preserve"> Sentencia </w:t>
      </w:r>
      <w:r w:rsidR="00D75F39" w:rsidRPr="007822BA">
        <w:rPr>
          <w:rFonts w:ascii="Verdana" w:hAnsi="Verdana"/>
          <w:sz w:val="20"/>
          <w:szCs w:val="20"/>
          <w:lang w:val="es-MX"/>
        </w:rPr>
        <w:t xml:space="preserve">emitida </w:t>
      </w:r>
      <w:r w:rsidR="00786DA7" w:rsidRPr="007822BA">
        <w:rPr>
          <w:rFonts w:ascii="Verdana" w:hAnsi="Verdana"/>
          <w:sz w:val="20"/>
          <w:szCs w:val="20"/>
          <w:lang w:val="es-MX"/>
        </w:rPr>
        <w:t xml:space="preserve">el </w:t>
      </w:r>
      <w:r w:rsidR="00596B3D">
        <w:rPr>
          <w:rFonts w:ascii="Verdana" w:hAnsi="Verdana"/>
          <w:sz w:val="20"/>
          <w:szCs w:val="20"/>
          <w:lang w:val="es-MX"/>
        </w:rPr>
        <w:t>29 de febrero de 2016</w:t>
      </w:r>
      <w:r w:rsidR="00A25807" w:rsidRPr="007822BA">
        <w:rPr>
          <w:rFonts w:ascii="Verdana" w:hAnsi="Verdana" w:cs="Arial"/>
          <w:i/>
          <w:sz w:val="20"/>
          <w:szCs w:val="20"/>
        </w:rPr>
        <w:t>,</w:t>
      </w:r>
      <w:r w:rsidR="002D15D9" w:rsidRPr="007822BA">
        <w:rPr>
          <w:rFonts w:ascii="Verdana" w:hAnsi="Verdana"/>
          <w:sz w:val="20"/>
          <w:szCs w:val="20"/>
          <w:lang w:val="es-MX"/>
        </w:rPr>
        <w:t xml:space="preserve"> </w:t>
      </w:r>
      <w:r w:rsidRPr="007822BA">
        <w:rPr>
          <w:rFonts w:ascii="Verdana" w:hAnsi="Verdana"/>
          <w:sz w:val="20"/>
          <w:szCs w:val="20"/>
          <w:lang w:val="es-MX"/>
        </w:rPr>
        <w:t>de conformidad con lo indicado en la parte considerativa de la presente Resolución.</w:t>
      </w:r>
    </w:p>
    <w:p w:rsidR="00B26DF6" w:rsidRPr="007822BA" w:rsidRDefault="00B26DF6" w:rsidP="002479D7">
      <w:pPr>
        <w:spacing w:afterLines="120" w:after="288" w:line="240" w:lineRule="auto"/>
        <w:ind w:right="-22"/>
        <w:jc w:val="both"/>
        <w:rPr>
          <w:rFonts w:ascii="Verdana" w:hAnsi="Verdana"/>
          <w:sz w:val="20"/>
          <w:szCs w:val="20"/>
          <w:lang w:val="es-MX"/>
        </w:rPr>
      </w:pPr>
    </w:p>
    <w:p w:rsidR="004B12FF" w:rsidRPr="00B26DF6" w:rsidRDefault="005547EC" w:rsidP="002479D7">
      <w:pPr>
        <w:widowControl w:val="0"/>
        <w:numPr>
          <w:ilvl w:val="0"/>
          <w:numId w:val="7"/>
        </w:numPr>
        <w:autoSpaceDE w:val="0"/>
        <w:autoSpaceDN w:val="0"/>
        <w:adjustRightInd w:val="0"/>
        <w:spacing w:before="120" w:afterLines="120" w:after="288" w:line="240" w:lineRule="auto"/>
        <w:ind w:left="0" w:right="-22" w:hanging="11"/>
        <w:jc w:val="both"/>
        <w:rPr>
          <w:rFonts w:ascii="Verdana" w:hAnsi="Verdana"/>
          <w:sz w:val="20"/>
          <w:szCs w:val="20"/>
        </w:rPr>
      </w:pPr>
      <w:r>
        <w:rPr>
          <w:rFonts w:ascii="Verdana" w:hAnsi="Verdana"/>
          <w:sz w:val="20"/>
          <w:szCs w:val="20"/>
          <w:lang w:val="es-MX"/>
        </w:rPr>
        <w:t xml:space="preserve">La Corte no cuenta con información que permita constatar que el Estado haya </w:t>
      </w:r>
      <w:r w:rsidR="00FD0CAB" w:rsidRPr="007822BA">
        <w:rPr>
          <w:rFonts w:ascii="Verdana" w:hAnsi="Verdana"/>
          <w:sz w:val="20"/>
          <w:szCs w:val="20"/>
          <w:lang w:val="es-MX"/>
        </w:rPr>
        <w:t>dado cumplimiento a las reparaciones ordenadas en la Sentencia</w:t>
      </w:r>
      <w:r w:rsidR="00C87D02" w:rsidRPr="007822BA">
        <w:rPr>
          <w:rFonts w:ascii="Verdana" w:hAnsi="Verdana"/>
          <w:sz w:val="20"/>
          <w:szCs w:val="20"/>
          <w:lang w:val="es-MX"/>
        </w:rPr>
        <w:t>, a saber</w:t>
      </w:r>
      <w:r w:rsidR="000766A2" w:rsidRPr="007822BA">
        <w:rPr>
          <w:rFonts w:ascii="Verdana" w:hAnsi="Verdana"/>
          <w:sz w:val="20"/>
          <w:szCs w:val="20"/>
          <w:lang w:val="es-MX"/>
        </w:rPr>
        <w:t>:</w:t>
      </w:r>
    </w:p>
    <w:p w:rsidR="00EB2F10" w:rsidRDefault="007822BA" w:rsidP="002479D7">
      <w:pPr>
        <w:pStyle w:val="Prrafodelista"/>
        <w:numPr>
          <w:ilvl w:val="0"/>
          <w:numId w:val="25"/>
        </w:numPr>
        <w:spacing w:before="120" w:afterLines="120" w:after="288" w:line="240" w:lineRule="auto"/>
        <w:ind w:right="-22"/>
        <w:jc w:val="both"/>
        <w:rPr>
          <w:rFonts w:ascii="Verdana" w:hAnsi="Verdana"/>
          <w:sz w:val="20"/>
          <w:szCs w:val="20"/>
        </w:rPr>
      </w:pPr>
      <w:r w:rsidRPr="007822BA">
        <w:rPr>
          <w:rFonts w:ascii="Verdana" w:hAnsi="Verdana"/>
          <w:sz w:val="20"/>
          <w:szCs w:val="20"/>
        </w:rPr>
        <w:t>adoptar medidas para la capacitación de las autoridades judiciales a cargo de la ejecución de las penas, autoridades penitenciarias, personal médico y sanitario y otras autoridades competentes que tengan relación con las personas privadas de libertad, a fin de que cumplan efectivamente con su rol de garantes de los derechos de esas personas, en particular de los derechos a la integridad personal y a la vida, así como la protección de la salud en situaciones que requieran atención médica</w:t>
      </w:r>
      <w:r w:rsidR="00EB2F10">
        <w:rPr>
          <w:rFonts w:ascii="Verdana" w:hAnsi="Verdana"/>
          <w:sz w:val="20"/>
          <w:szCs w:val="20"/>
        </w:rPr>
        <w:t xml:space="preserve"> </w:t>
      </w:r>
      <w:r w:rsidR="00EB2F10" w:rsidRPr="007822BA">
        <w:rPr>
          <w:rFonts w:ascii="Verdana" w:hAnsi="Verdana"/>
          <w:i/>
          <w:sz w:val="20"/>
          <w:szCs w:val="20"/>
        </w:rPr>
        <w:t xml:space="preserve">(punto </w:t>
      </w:r>
      <w:r w:rsidR="00D216ED">
        <w:rPr>
          <w:rFonts w:ascii="Verdana" w:hAnsi="Verdana"/>
          <w:i/>
          <w:sz w:val="20"/>
          <w:szCs w:val="20"/>
        </w:rPr>
        <w:t>resolutivo</w:t>
      </w:r>
      <w:r w:rsidR="00EB2F10" w:rsidRPr="007822BA">
        <w:rPr>
          <w:rFonts w:ascii="Verdana" w:hAnsi="Verdana"/>
          <w:i/>
          <w:sz w:val="20"/>
          <w:szCs w:val="20"/>
        </w:rPr>
        <w:t xml:space="preserve"> sexto de la Sentencia)</w:t>
      </w:r>
      <w:r w:rsidR="00EB2F10">
        <w:rPr>
          <w:rFonts w:ascii="Verdana" w:hAnsi="Verdana"/>
          <w:sz w:val="20"/>
          <w:szCs w:val="20"/>
        </w:rPr>
        <w:t>;</w:t>
      </w:r>
    </w:p>
    <w:p w:rsidR="00D216ED" w:rsidRDefault="00D216ED" w:rsidP="002479D7">
      <w:pPr>
        <w:pStyle w:val="Prrafodelista"/>
        <w:spacing w:before="120" w:afterLines="120" w:after="288" w:line="240" w:lineRule="auto"/>
        <w:ind w:right="-22"/>
        <w:jc w:val="both"/>
        <w:rPr>
          <w:rFonts w:ascii="Verdana" w:hAnsi="Verdana"/>
          <w:sz w:val="20"/>
          <w:szCs w:val="20"/>
        </w:rPr>
      </w:pPr>
    </w:p>
    <w:p w:rsidR="007822BA" w:rsidRDefault="007822BA" w:rsidP="002479D7">
      <w:pPr>
        <w:pStyle w:val="Prrafodelista"/>
        <w:numPr>
          <w:ilvl w:val="0"/>
          <w:numId w:val="25"/>
        </w:numPr>
        <w:spacing w:before="120" w:afterLines="120" w:after="288" w:line="240" w:lineRule="auto"/>
        <w:ind w:right="-22"/>
        <w:jc w:val="both"/>
        <w:rPr>
          <w:rFonts w:ascii="Verdana" w:hAnsi="Verdana"/>
          <w:sz w:val="20"/>
          <w:szCs w:val="20"/>
        </w:rPr>
      </w:pPr>
      <w:r w:rsidRPr="007822BA">
        <w:rPr>
          <w:rFonts w:ascii="Verdana" w:hAnsi="Verdana"/>
          <w:sz w:val="20"/>
          <w:szCs w:val="20"/>
        </w:rPr>
        <w:t xml:space="preserve">llevar a cabo una serie de jornadas de información y orientación en materia de derechos humanos a favor de las personas que se encuentran privadas de libertad en el Centro de Orientación Femenina </w:t>
      </w:r>
      <w:r w:rsidRPr="007822BA">
        <w:rPr>
          <w:rFonts w:ascii="Verdana" w:hAnsi="Verdana"/>
          <w:i/>
          <w:sz w:val="20"/>
          <w:szCs w:val="20"/>
        </w:rPr>
        <w:t xml:space="preserve">(punto </w:t>
      </w:r>
      <w:r w:rsidR="00D216ED">
        <w:rPr>
          <w:rFonts w:ascii="Verdana" w:hAnsi="Verdana"/>
          <w:i/>
          <w:sz w:val="20"/>
          <w:szCs w:val="20"/>
        </w:rPr>
        <w:t>resolutivo</w:t>
      </w:r>
      <w:r w:rsidR="00D216ED" w:rsidRPr="007822BA" w:rsidDel="00D216ED">
        <w:rPr>
          <w:rFonts w:ascii="Verdana" w:hAnsi="Verdana"/>
          <w:i/>
          <w:sz w:val="20"/>
          <w:szCs w:val="20"/>
        </w:rPr>
        <w:t xml:space="preserve"> </w:t>
      </w:r>
      <w:r w:rsidRPr="007822BA">
        <w:rPr>
          <w:rFonts w:ascii="Verdana" w:hAnsi="Verdana"/>
          <w:i/>
          <w:sz w:val="20"/>
          <w:szCs w:val="20"/>
        </w:rPr>
        <w:t xml:space="preserve"> sexto de la Sentencia)</w:t>
      </w:r>
      <w:r w:rsidR="00435D6C">
        <w:rPr>
          <w:rFonts w:ascii="Verdana" w:hAnsi="Verdana"/>
          <w:sz w:val="20"/>
          <w:szCs w:val="20"/>
        </w:rPr>
        <w:t>;</w:t>
      </w:r>
    </w:p>
    <w:p w:rsidR="004057C6" w:rsidRDefault="004057C6" w:rsidP="002479D7">
      <w:pPr>
        <w:pStyle w:val="Prrafodelista"/>
        <w:spacing w:before="120" w:afterLines="120" w:after="288" w:line="240" w:lineRule="auto"/>
        <w:ind w:left="1080" w:right="-22"/>
        <w:jc w:val="both"/>
        <w:rPr>
          <w:rFonts w:ascii="Verdana" w:hAnsi="Verdana"/>
          <w:sz w:val="20"/>
          <w:szCs w:val="20"/>
        </w:rPr>
      </w:pPr>
    </w:p>
    <w:p w:rsidR="00B26DF6" w:rsidRDefault="00B26DF6" w:rsidP="002479D7">
      <w:pPr>
        <w:pStyle w:val="Prrafodelista"/>
        <w:spacing w:before="120" w:afterLines="120" w:after="288" w:line="240" w:lineRule="auto"/>
        <w:ind w:left="1080" w:right="-22"/>
        <w:jc w:val="both"/>
        <w:rPr>
          <w:rFonts w:ascii="Verdana" w:hAnsi="Verdana"/>
          <w:sz w:val="20"/>
          <w:szCs w:val="20"/>
        </w:rPr>
      </w:pPr>
    </w:p>
    <w:p w:rsidR="00B26DF6" w:rsidRPr="007822BA" w:rsidRDefault="00B26DF6" w:rsidP="002479D7">
      <w:pPr>
        <w:pStyle w:val="Prrafodelista"/>
        <w:spacing w:before="120" w:afterLines="120" w:after="288" w:line="240" w:lineRule="auto"/>
        <w:ind w:left="1080" w:right="-22"/>
        <w:jc w:val="both"/>
        <w:rPr>
          <w:rFonts w:ascii="Verdana" w:hAnsi="Verdana"/>
          <w:sz w:val="20"/>
          <w:szCs w:val="20"/>
        </w:rPr>
      </w:pPr>
    </w:p>
    <w:p w:rsidR="003B4D3F" w:rsidRDefault="003B4D3F" w:rsidP="002479D7">
      <w:pPr>
        <w:pStyle w:val="Prrafodelista"/>
        <w:numPr>
          <w:ilvl w:val="0"/>
          <w:numId w:val="25"/>
        </w:numPr>
        <w:spacing w:before="120" w:afterLines="120" w:after="288" w:line="240" w:lineRule="auto"/>
        <w:ind w:right="-22"/>
        <w:jc w:val="both"/>
        <w:rPr>
          <w:rFonts w:ascii="Verdana" w:hAnsi="Verdana"/>
          <w:sz w:val="20"/>
          <w:szCs w:val="20"/>
        </w:rPr>
      </w:pPr>
      <w:r w:rsidRPr="007822BA">
        <w:rPr>
          <w:rFonts w:ascii="Verdana" w:hAnsi="Verdana"/>
          <w:sz w:val="20"/>
          <w:szCs w:val="20"/>
        </w:rPr>
        <w:t xml:space="preserve">realizar las publicaciones </w:t>
      </w:r>
      <w:r w:rsidR="00E34D51" w:rsidRPr="007822BA">
        <w:rPr>
          <w:rFonts w:ascii="Verdana" w:hAnsi="Verdana"/>
          <w:sz w:val="20"/>
          <w:szCs w:val="20"/>
          <w:lang w:val="es-MX"/>
        </w:rPr>
        <w:t xml:space="preserve">de la Sentencia y de su resumen oficial </w:t>
      </w:r>
      <w:r w:rsidR="00BA05AB" w:rsidRPr="007822BA">
        <w:rPr>
          <w:rFonts w:ascii="Verdana" w:hAnsi="Verdana"/>
          <w:sz w:val="20"/>
          <w:szCs w:val="20"/>
        </w:rPr>
        <w:t>que se indican en el párrafo 270</w:t>
      </w:r>
      <w:r w:rsidRPr="007822BA">
        <w:rPr>
          <w:rFonts w:ascii="Verdana" w:hAnsi="Verdana"/>
          <w:sz w:val="20"/>
          <w:szCs w:val="20"/>
        </w:rPr>
        <w:t xml:space="preserve"> de</w:t>
      </w:r>
      <w:r w:rsidR="00E34D51" w:rsidRPr="007822BA">
        <w:rPr>
          <w:rFonts w:ascii="Verdana" w:hAnsi="Verdana"/>
          <w:sz w:val="20"/>
          <w:szCs w:val="20"/>
        </w:rPr>
        <w:t xml:space="preserve"> </w:t>
      </w:r>
      <w:r w:rsidRPr="007822BA">
        <w:rPr>
          <w:rFonts w:ascii="Verdana" w:hAnsi="Verdana"/>
          <w:sz w:val="20"/>
          <w:szCs w:val="20"/>
        </w:rPr>
        <w:t>l</w:t>
      </w:r>
      <w:r w:rsidR="00E34D51" w:rsidRPr="007822BA">
        <w:rPr>
          <w:rFonts w:ascii="Verdana" w:hAnsi="Verdana"/>
          <w:sz w:val="20"/>
          <w:szCs w:val="20"/>
        </w:rPr>
        <w:t>a</w:t>
      </w:r>
      <w:r w:rsidRPr="007822BA">
        <w:rPr>
          <w:rFonts w:ascii="Verdana" w:hAnsi="Verdana"/>
          <w:sz w:val="20"/>
          <w:szCs w:val="20"/>
        </w:rPr>
        <w:t xml:space="preserve"> </w:t>
      </w:r>
      <w:r w:rsidR="00E34D51" w:rsidRPr="007822BA">
        <w:rPr>
          <w:rFonts w:ascii="Verdana" w:hAnsi="Verdana"/>
          <w:sz w:val="20"/>
          <w:szCs w:val="20"/>
        </w:rPr>
        <w:t xml:space="preserve">misma </w:t>
      </w:r>
      <w:r w:rsidRPr="007822BA">
        <w:rPr>
          <w:rFonts w:ascii="Verdana" w:hAnsi="Verdana"/>
          <w:i/>
          <w:sz w:val="20"/>
          <w:szCs w:val="20"/>
        </w:rPr>
        <w:t xml:space="preserve">(punto </w:t>
      </w:r>
      <w:r w:rsidR="00D216ED">
        <w:rPr>
          <w:rFonts w:ascii="Verdana" w:hAnsi="Verdana"/>
          <w:i/>
          <w:sz w:val="20"/>
          <w:szCs w:val="20"/>
        </w:rPr>
        <w:t>resolutivo</w:t>
      </w:r>
      <w:r w:rsidRPr="007822BA">
        <w:rPr>
          <w:rFonts w:ascii="Verdana" w:hAnsi="Verdana"/>
          <w:i/>
          <w:sz w:val="20"/>
          <w:szCs w:val="20"/>
        </w:rPr>
        <w:t xml:space="preserve"> </w:t>
      </w:r>
      <w:r w:rsidR="007822BA" w:rsidRPr="007822BA">
        <w:rPr>
          <w:rFonts w:ascii="Verdana" w:hAnsi="Verdana"/>
          <w:i/>
          <w:sz w:val="20"/>
          <w:szCs w:val="20"/>
        </w:rPr>
        <w:t>séptimo</w:t>
      </w:r>
      <w:r w:rsidRPr="007822BA">
        <w:rPr>
          <w:rFonts w:ascii="Verdana" w:hAnsi="Verdana"/>
          <w:i/>
          <w:sz w:val="20"/>
          <w:szCs w:val="20"/>
        </w:rPr>
        <w:t xml:space="preserve"> de la Sentencia)</w:t>
      </w:r>
      <w:r w:rsidR="00D87DA0">
        <w:rPr>
          <w:rFonts w:ascii="Verdana" w:hAnsi="Verdana"/>
          <w:sz w:val="20"/>
          <w:szCs w:val="20"/>
        </w:rPr>
        <w:t>;</w:t>
      </w:r>
    </w:p>
    <w:p w:rsidR="004057C6" w:rsidRPr="007822BA" w:rsidRDefault="004057C6" w:rsidP="002479D7">
      <w:pPr>
        <w:pStyle w:val="Prrafodelista"/>
        <w:spacing w:before="120" w:afterLines="120" w:after="288" w:line="240" w:lineRule="auto"/>
        <w:ind w:left="0" w:right="-22"/>
        <w:jc w:val="both"/>
        <w:rPr>
          <w:rFonts w:ascii="Verdana" w:hAnsi="Verdana"/>
          <w:sz w:val="20"/>
          <w:szCs w:val="20"/>
        </w:rPr>
      </w:pPr>
    </w:p>
    <w:p w:rsidR="00D216ED" w:rsidRDefault="003B4D3F" w:rsidP="002479D7">
      <w:pPr>
        <w:pStyle w:val="Prrafodelista"/>
        <w:numPr>
          <w:ilvl w:val="0"/>
          <w:numId w:val="25"/>
        </w:numPr>
        <w:spacing w:before="120" w:afterLines="120" w:after="288" w:line="240" w:lineRule="auto"/>
        <w:ind w:right="-22"/>
        <w:jc w:val="both"/>
        <w:rPr>
          <w:rFonts w:ascii="Verdana" w:hAnsi="Verdana"/>
          <w:sz w:val="20"/>
          <w:szCs w:val="20"/>
        </w:rPr>
      </w:pPr>
      <w:r w:rsidRPr="007822BA">
        <w:rPr>
          <w:rFonts w:ascii="Verdana" w:hAnsi="Verdana"/>
          <w:sz w:val="20"/>
          <w:szCs w:val="20"/>
        </w:rPr>
        <w:t>pagar las cantidades fijadas en los pár</w:t>
      </w:r>
      <w:r w:rsidR="007822BA" w:rsidRPr="007822BA">
        <w:rPr>
          <w:rFonts w:ascii="Verdana" w:hAnsi="Verdana"/>
          <w:sz w:val="20"/>
          <w:szCs w:val="20"/>
        </w:rPr>
        <w:t>rafos 304</w:t>
      </w:r>
      <w:r w:rsidR="00D216ED">
        <w:rPr>
          <w:rFonts w:ascii="Verdana" w:hAnsi="Verdana"/>
          <w:sz w:val="20"/>
          <w:szCs w:val="20"/>
        </w:rPr>
        <w:t xml:space="preserve"> y</w:t>
      </w:r>
      <w:r w:rsidR="007822BA" w:rsidRPr="007822BA">
        <w:rPr>
          <w:rFonts w:ascii="Verdana" w:hAnsi="Verdana"/>
          <w:sz w:val="20"/>
          <w:szCs w:val="20"/>
        </w:rPr>
        <w:t xml:space="preserve"> 309</w:t>
      </w:r>
      <w:r w:rsidRPr="007822BA">
        <w:rPr>
          <w:rFonts w:ascii="Verdana" w:hAnsi="Verdana"/>
          <w:sz w:val="20"/>
          <w:szCs w:val="20"/>
        </w:rPr>
        <w:t xml:space="preserve"> de la Sentencia por concepto de </w:t>
      </w:r>
      <w:r w:rsidR="00E34D51" w:rsidRPr="007822BA">
        <w:rPr>
          <w:rFonts w:ascii="Verdana" w:hAnsi="Verdana"/>
          <w:sz w:val="20"/>
          <w:szCs w:val="20"/>
        </w:rPr>
        <w:t xml:space="preserve">indemnizaciones del </w:t>
      </w:r>
      <w:r w:rsidRPr="007822BA">
        <w:rPr>
          <w:rFonts w:ascii="Verdana" w:hAnsi="Verdana"/>
          <w:sz w:val="20"/>
          <w:szCs w:val="20"/>
        </w:rPr>
        <w:t xml:space="preserve">daño material e inmaterial </w:t>
      </w:r>
      <w:r w:rsidR="00D216ED" w:rsidRPr="007822BA">
        <w:rPr>
          <w:rFonts w:ascii="Verdana" w:hAnsi="Verdana"/>
          <w:i/>
          <w:sz w:val="20"/>
          <w:szCs w:val="20"/>
        </w:rPr>
        <w:t xml:space="preserve">(punto </w:t>
      </w:r>
      <w:r w:rsidR="00D216ED">
        <w:rPr>
          <w:rFonts w:ascii="Verdana" w:hAnsi="Verdana"/>
          <w:i/>
          <w:sz w:val="20"/>
          <w:szCs w:val="20"/>
        </w:rPr>
        <w:t>resolutivo</w:t>
      </w:r>
      <w:r w:rsidR="00D216ED" w:rsidRPr="007822BA" w:rsidDel="00D216ED">
        <w:rPr>
          <w:rFonts w:ascii="Verdana" w:hAnsi="Verdana"/>
          <w:i/>
          <w:sz w:val="20"/>
          <w:szCs w:val="20"/>
        </w:rPr>
        <w:t xml:space="preserve"> </w:t>
      </w:r>
      <w:r w:rsidR="00D216ED" w:rsidRPr="007822BA">
        <w:rPr>
          <w:rFonts w:ascii="Verdana" w:hAnsi="Verdana"/>
          <w:i/>
          <w:sz w:val="20"/>
          <w:szCs w:val="20"/>
        </w:rPr>
        <w:t xml:space="preserve"> séptimo de la Sentencia)</w:t>
      </w:r>
      <w:r w:rsidR="00D87DA0">
        <w:rPr>
          <w:rFonts w:ascii="Verdana" w:hAnsi="Verdana"/>
          <w:i/>
          <w:sz w:val="20"/>
          <w:szCs w:val="20"/>
        </w:rPr>
        <w:t xml:space="preserve">, </w:t>
      </w:r>
      <w:r w:rsidR="00D87DA0" w:rsidRPr="00993A9B">
        <w:rPr>
          <w:rFonts w:ascii="Verdana" w:hAnsi="Verdana"/>
          <w:sz w:val="20"/>
          <w:szCs w:val="20"/>
        </w:rPr>
        <w:t>y</w:t>
      </w:r>
      <w:r w:rsidR="00D216ED">
        <w:rPr>
          <w:rFonts w:ascii="Verdana" w:hAnsi="Verdana"/>
          <w:i/>
          <w:sz w:val="20"/>
          <w:szCs w:val="20"/>
        </w:rPr>
        <w:t xml:space="preserve"> </w:t>
      </w:r>
    </w:p>
    <w:p w:rsidR="00D216ED" w:rsidRDefault="00D216ED" w:rsidP="002479D7">
      <w:pPr>
        <w:pStyle w:val="Prrafodelista"/>
        <w:spacing w:afterLines="120" w:after="288"/>
        <w:rPr>
          <w:rFonts w:ascii="Verdana" w:hAnsi="Verdana"/>
          <w:sz w:val="20"/>
          <w:szCs w:val="20"/>
        </w:rPr>
      </w:pPr>
    </w:p>
    <w:p w:rsidR="009F49EF" w:rsidRDefault="00D216ED" w:rsidP="002479D7">
      <w:pPr>
        <w:pStyle w:val="Prrafodelista"/>
        <w:numPr>
          <w:ilvl w:val="0"/>
          <w:numId w:val="25"/>
        </w:numPr>
        <w:spacing w:before="120" w:afterLines="120" w:after="288" w:line="240" w:lineRule="auto"/>
        <w:ind w:right="-22"/>
        <w:jc w:val="both"/>
        <w:rPr>
          <w:rFonts w:ascii="Verdana" w:hAnsi="Verdana"/>
          <w:sz w:val="20"/>
          <w:szCs w:val="20"/>
        </w:rPr>
      </w:pPr>
      <w:r>
        <w:rPr>
          <w:rFonts w:ascii="Verdana" w:hAnsi="Verdana"/>
          <w:sz w:val="20"/>
          <w:szCs w:val="20"/>
        </w:rPr>
        <w:t xml:space="preserve">pagar la cantidad fijada en el párrafo 315 de la Sentencia por concepto de </w:t>
      </w:r>
      <w:r w:rsidR="003B4D3F" w:rsidRPr="007822BA">
        <w:rPr>
          <w:rFonts w:ascii="Verdana" w:hAnsi="Verdana"/>
          <w:sz w:val="20"/>
          <w:szCs w:val="20"/>
        </w:rPr>
        <w:t>reintegro de costas y gasto</w:t>
      </w:r>
      <w:r w:rsidR="00E34D51" w:rsidRPr="007822BA">
        <w:rPr>
          <w:rFonts w:ascii="Verdana" w:hAnsi="Verdana"/>
          <w:sz w:val="20"/>
          <w:szCs w:val="20"/>
        </w:rPr>
        <w:t>s</w:t>
      </w:r>
      <w:r w:rsidR="007822BA" w:rsidRPr="007822BA">
        <w:rPr>
          <w:rFonts w:ascii="Verdana" w:hAnsi="Verdana"/>
          <w:sz w:val="20"/>
          <w:szCs w:val="20"/>
        </w:rPr>
        <w:t xml:space="preserve"> </w:t>
      </w:r>
      <w:r w:rsidR="003B4D3F" w:rsidRPr="007822BA">
        <w:rPr>
          <w:rFonts w:ascii="Verdana" w:hAnsi="Verdana"/>
          <w:i/>
          <w:sz w:val="20"/>
          <w:szCs w:val="20"/>
        </w:rPr>
        <w:t xml:space="preserve">(punto </w:t>
      </w:r>
      <w:r w:rsidR="00D87DA0">
        <w:rPr>
          <w:rFonts w:ascii="Verdana" w:hAnsi="Verdana"/>
          <w:i/>
          <w:sz w:val="20"/>
          <w:szCs w:val="20"/>
        </w:rPr>
        <w:t xml:space="preserve">resolutivo </w:t>
      </w:r>
      <w:r w:rsidR="007822BA" w:rsidRPr="007822BA">
        <w:rPr>
          <w:rFonts w:ascii="Verdana" w:hAnsi="Verdana"/>
          <w:i/>
          <w:sz w:val="20"/>
          <w:szCs w:val="20"/>
        </w:rPr>
        <w:t xml:space="preserve">octavo </w:t>
      </w:r>
      <w:r w:rsidR="003B4D3F" w:rsidRPr="007822BA">
        <w:rPr>
          <w:rFonts w:ascii="Verdana" w:hAnsi="Verdana"/>
          <w:i/>
          <w:sz w:val="20"/>
          <w:szCs w:val="20"/>
        </w:rPr>
        <w:t>de la Sentencia)</w:t>
      </w:r>
      <w:r w:rsidR="003B4D3F" w:rsidRPr="007822BA">
        <w:rPr>
          <w:rFonts w:ascii="Verdana" w:hAnsi="Verdana"/>
          <w:sz w:val="20"/>
          <w:szCs w:val="20"/>
        </w:rPr>
        <w:t>.</w:t>
      </w:r>
    </w:p>
    <w:p w:rsidR="007822BA" w:rsidRPr="007822BA" w:rsidRDefault="007822BA" w:rsidP="007822BA">
      <w:pPr>
        <w:pStyle w:val="Prrafodelista"/>
        <w:spacing w:before="120" w:after="120" w:line="240" w:lineRule="auto"/>
        <w:ind w:left="1080" w:right="-22"/>
        <w:jc w:val="both"/>
        <w:rPr>
          <w:rFonts w:ascii="Verdana" w:hAnsi="Verdana"/>
          <w:sz w:val="20"/>
          <w:szCs w:val="20"/>
        </w:rPr>
      </w:pPr>
    </w:p>
    <w:p w:rsidR="00B26DF6" w:rsidRDefault="00B26DF6" w:rsidP="00FF18D7">
      <w:pPr>
        <w:spacing w:before="120" w:after="120" w:line="240" w:lineRule="auto"/>
        <w:ind w:right="1444"/>
        <w:jc w:val="both"/>
        <w:rPr>
          <w:rFonts w:ascii="Verdana" w:hAnsi="Verdana"/>
          <w:b/>
          <w:sz w:val="20"/>
          <w:szCs w:val="20"/>
          <w:lang w:val="es-ES"/>
        </w:rPr>
      </w:pPr>
    </w:p>
    <w:p w:rsidR="00674C3F" w:rsidRDefault="00A25807" w:rsidP="00FF18D7">
      <w:pPr>
        <w:spacing w:before="120" w:after="120" w:line="240" w:lineRule="auto"/>
        <w:ind w:right="1444"/>
        <w:jc w:val="both"/>
        <w:rPr>
          <w:rFonts w:ascii="Verdana" w:hAnsi="Verdana"/>
          <w:b/>
          <w:sz w:val="20"/>
          <w:szCs w:val="20"/>
          <w:lang w:val="es-ES"/>
        </w:rPr>
      </w:pPr>
      <w:r w:rsidRPr="007822BA">
        <w:rPr>
          <w:rFonts w:ascii="Verdana" w:hAnsi="Verdana"/>
          <w:b/>
          <w:sz w:val="20"/>
          <w:szCs w:val="20"/>
          <w:lang w:val="es-ES"/>
        </w:rPr>
        <w:t xml:space="preserve">Y </w:t>
      </w:r>
      <w:r w:rsidR="00674C3F" w:rsidRPr="007822BA">
        <w:rPr>
          <w:rFonts w:ascii="Verdana" w:hAnsi="Verdana"/>
          <w:b/>
          <w:sz w:val="20"/>
          <w:szCs w:val="20"/>
          <w:lang w:val="es-ES"/>
        </w:rPr>
        <w:t>RESUELVE:</w:t>
      </w:r>
    </w:p>
    <w:p w:rsidR="006160DA" w:rsidRPr="00931A60" w:rsidRDefault="006160DA" w:rsidP="002479D7">
      <w:pPr>
        <w:numPr>
          <w:ilvl w:val="0"/>
          <w:numId w:val="7"/>
        </w:numPr>
        <w:spacing w:afterLines="120" w:after="288" w:line="240" w:lineRule="auto"/>
        <w:ind w:left="0" w:right="-23" w:hanging="11"/>
        <w:jc w:val="both"/>
        <w:rPr>
          <w:rFonts w:ascii="Verdana" w:hAnsi="Verdana"/>
          <w:sz w:val="20"/>
          <w:szCs w:val="20"/>
          <w:lang w:val="es-ES"/>
        </w:rPr>
      </w:pPr>
      <w:r w:rsidRPr="007822BA">
        <w:rPr>
          <w:rFonts w:ascii="Verdana" w:hAnsi="Verdana"/>
          <w:sz w:val="20"/>
          <w:szCs w:val="20"/>
          <w:lang w:val="es-ES"/>
        </w:rPr>
        <w:t>Mantener abierto el procedimiento de supervisión de cumplimiento respecto de todas las medidas de reparación ordenadas</w:t>
      </w:r>
      <w:r w:rsidRPr="00931A60">
        <w:rPr>
          <w:rFonts w:ascii="Verdana" w:hAnsi="Verdana"/>
          <w:sz w:val="20"/>
          <w:szCs w:val="20"/>
          <w:lang w:val="es-ES"/>
        </w:rPr>
        <w:t xml:space="preserve"> en la Sentencia</w:t>
      </w:r>
      <w:r w:rsidR="00334D1A" w:rsidRPr="00931A60">
        <w:rPr>
          <w:rFonts w:ascii="Verdana" w:hAnsi="Verdana"/>
          <w:sz w:val="20"/>
          <w:szCs w:val="20"/>
          <w:lang w:val="es-ES"/>
        </w:rPr>
        <w:t>.</w:t>
      </w:r>
    </w:p>
    <w:p w:rsidR="00F77433" w:rsidRPr="00931A60" w:rsidRDefault="00F77433" w:rsidP="002479D7">
      <w:pPr>
        <w:numPr>
          <w:ilvl w:val="0"/>
          <w:numId w:val="7"/>
        </w:numPr>
        <w:spacing w:before="120" w:afterLines="120" w:after="288" w:line="240" w:lineRule="auto"/>
        <w:ind w:left="0" w:right="-23" w:hanging="11"/>
        <w:jc w:val="both"/>
        <w:rPr>
          <w:rFonts w:ascii="Verdana" w:hAnsi="Verdana"/>
          <w:sz w:val="20"/>
          <w:szCs w:val="20"/>
          <w:lang w:val="es-ES"/>
        </w:rPr>
      </w:pPr>
      <w:r w:rsidRPr="00931A60">
        <w:rPr>
          <w:rFonts w:ascii="Verdana" w:hAnsi="Verdana"/>
          <w:sz w:val="20"/>
          <w:szCs w:val="20"/>
          <w:lang w:val="es-ES"/>
        </w:rPr>
        <w:t>Disponer</w:t>
      </w:r>
      <w:r w:rsidRPr="00931A60">
        <w:rPr>
          <w:rFonts w:ascii="Verdana" w:hAnsi="Verdana"/>
          <w:sz w:val="20"/>
          <w:szCs w:val="20"/>
        </w:rPr>
        <w:t xml:space="preserve"> que</w:t>
      </w:r>
      <w:r w:rsidR="007822BA">
        <w:rPr>
          <w:rFonts w:ascii="Verdana" w:hAnsi="Verdana"/>
          <w:sz w:val="20"/>
          <w:szCs w:val="20"/>
        </w:rPr>
        <w:t xml:space="preserve"> Guatemala</w:t>
      </w:r>
      <w:r w:rsidRPr="00931A60">
        <w:rPr>
          <w:rFonts w:ascii="Verdana" w:hAnsi="Verdana"/>
          <w:sz w:val="20"/>
          <w:szCs w:val="20"/>
        </w:rPr>
        <w:t xml:space="preserve"> adopte, en definitiva y a la mayor brevedad posible, las medidas que sean necesarias para d</w:t>
      </w:r>
      <w:r w:rsidR="00B15B7A" w:rsidRPr="00931A60">
        <w:rPr>
          <w:rFonts w:ascii="Verdana" w:hAnsi="Verdana"/>
          <w:sz w:val="20"/>
          <w:szCs w:val="20"/>
        </w:rPr>
        <w:t>ar efectivo y pronto cumplimiento</w:t>
      </w:r>
      <w:r w:rsidRPr="00931A60">
        <w:rPr>
          <w:rFonts w:ascii="Verdana" w:hAnsi="Verdana"/>
          <w:sz w:val="20"/>
          <w:szCs w:val="20"/>
        </w:rPr>
        <w:t xml:space="preserve"> a</w:t>
      </w:r>
      <w:r w:rsidR="00D216ED">
        <w:rPr>
          <w:rFonts w:ascii="Verdana" w:hAnsi="Verdana"/>
          <w:sz w:val="20"/>
          <w:szCs w:val="20"/>
        </w:rPr>
        <w:t xml:space="preserve"> todas </w:t>
      </w:r>
      <w:r w:rsidR="00B15B7A" w:rsidRPr="00931A60">
        <w:rPr>
          <w:rFonts w:ascii="Verdana" w:hAnsi="Verdana"/>
          <w:sz w:val="20"/>
          <w:szCs w:val="20"/>
        </w:rPr>
        <w:t>l</w:t>
      </w:r>
      <w:r w:rsidR="00AF134F" w:rsidRPr="00931A60">
        <w:rPr>
          <w:rFonts w:ascii="Verdana" w:hAnsi="Verdana"/>
          <w:sz w:val="20"/>
          <w:szCs w:val="20"/>
        </w:rPr>
        <w:t>as reparaciones ordenadas en la</w:t>
      </w:r>
      <w:r w:rsidR="00B15B7A" w:rsidRPr="00931A60">
        <w:rPr>
          <w:rFonts w:ascii="Verdana" w:hAnsi="Verdana"/>
          <w:sz w:val="20"/>
          <w:szCs w:val="20"/>
        </w:rPr>
        <w:t xml:space="preserve"> </w:t>
      </w:r>
      <w:r w:rsidR="00AF134F" w:rsidRPr="00931A60">
        <w:rPr>
          <w:rFonts w:ascii="Verdana" w:hAnsi="Verdana"/>
          <w:sz w:val="20"/>
          <w:szCs w:val="20"/>
        </w:rPr>
        <w:t xml:space="preserve">referida </w:t>
      </w:r>
      <w:r w:rsidR="00B15B7A" w:rsidRPr="00931A60">
        <w:rPr>
          <w:rFonts w:ascii="Verdana" w:hAnsi="Verdana"/>
          <w:sz w:val="20"/>
          <w:szCs w:val="20"/>
        </w:rPr>
        <w:t>Sentencia</w:t>
      </w:r>
      <w:r w:rsidRPr="00931A60">
        <w:rPr>
          <w:rFonts w:ascii="Verdana" w:hAnsi="Verdana"/>
          <w:sz w:val="20"/>
          <w:szCs w:val="20"/>
        </w:rPr>
        <w:t xml:space="preserve">, de acuerdo con lo considerado en la presente Resolución, y con lo estipulado en el artículo 68.1 de la Convención Americana </w:t>
      </w:r>
      <w:r w:rsidR="00927CA5" w:rsidRPr="00931A60">
        <w:rPr>
          <w:rFonts w:ascii="Verdana" w:hAnsi="Verdana"/>
          <w:sz w:val="20"/>
          <w:szCs w:val="20"/>
        </w:rPr>
        <w:t>sobre</w:t>
      </w:r>
      <w:r w:rsidRPr="00931A60">
        <w:rPr>
          <w:rFonts w:ascii="Verdana" w:hAnsi="Verdana"/>
          <w:sz w:val="20"/>
          <w:szCs w:val="20"/>
        </w:rPr>
        <w:t xml:space="preserve"> Derechos Humanos.</w:t>
      </w:r>
    </w:p>
    <w:p w:rsidR="00F77433" w:rsidRPr="00931A60" w:rsidRDefault="002D15D9" w:rsidP="002479D7">
      <w:pPr>
        <w:numPr>
          <w:ilvl w:val="0"/>
          <w:numId w:val="7"/>
        </w:numPr>
        <w:spacing w:before="120" w:afterLines="120" w:after="288" w:line="240" w:lineRule="auto"/>
        <w:ind w:left="0" w:right="-23" w:hanging="11"/>
        <w:jc w:val="both"/>
        <w:rPr>
          <w:rFonts w:ascii="Verdana" w:hAnsi="Verdana"/>
          <w:sz w:val="20"/>
          <w:szCs w:val="20"/>
          <w:lang w:val="es-MX"/>
        </w:rPr>
      </w:pPr>
      <w:r w:rsidRPr="00931A60">
        <w:rPr>
          <w:rFonts w:ascii="Verdana" w:hAnsi="Verdana"/>
          <w:sz w:val="20"/>
          <w:szCs w:val="20"/>
          <w:lang w:val="es-CL"/>
        </w:rPr>
        <w:t>Disponer que el Estado presente a la Corte Interamericana de Derechos Humanos, a m</w:t>
      </w:r>
      <w:r w:rsidR="00D75F39" w:rsidRPr="00931A60">
        <w:rPr>
          <w:rFonts w:ascii="Verdana" w:hAnsi="Verdana"/>
          <w:sz w:val="20"/>
          <w:szCs w:val="20"/>
          <w:lang w:val="es-CL"/>
        </w:rPr>
        <w:t xml:space="preserve">ás tardar el </w:t>
      </w:r>
      <w:r w:rsidR="00D216ED">
        <w:rPr>
          <w:rFonts w:ascii="Verdana" w:hAnsi="Verdana"/>
          <w:sz w:val="20"/>
          <w:szCs w:val="20"/>
          <w:lang w:val="es-CL"/>
        </w:rPr>
        <w:t>28</w:t>
      </w:r>
      <w:r w:rsidR="006160DA" w:rsidRPr="00931A60">
        <w:rPr>
          <w:rFonts w:ascii="Verdana" w:hAnsi="Verdana"/>
          <w:sz w:val="20"/>
          <w:szCs w:val="20"/>
          <w:lang w:val="es-CL"/>
        </w:rPr>
        <w:t xml:space="preserve"> </w:t>
      </w:r>
      <w:r w:rsidRPr="00931A60">
        <w:rPr>
          <w:rFonts w:ascii="Verdana" w:hAnsi="Verdana"/>
          <w:sz w:val="20"/>
          <w:szCs w:val="20"/>
          <w:lang w:val="es-CL"/>
        </w:rPr>
        <w:t xml:space="preserve">de </w:t>
      </w:r>
      <w:r w:rsidR="00D216ED">
        <w:rPr>
          <w:rFonts w:ascii="Verdana" w:hAnsi="Verdana"/>
          <w:sz w:val="20"/>
          <w:szCs w:val="20"/>
          <w:lang w:val="es-CL"/>
        </w:rPr>
        <w:t>febrero</w:t>
      </w:r>
      <w:r w:rsidR="006160DA" w:rsidRPr="00931A60">
        <w:rPr>
          <w:rFonts w:ascii="Verdana" w:hAnsi="Verdana"/>
          <w:sz w:val="20"/>
          <w:szCs w:val="20"/>
          <w:lang w:val="es-CL"/>
        </w:rPr>
        <w:t xml:space="preserve"> </w:t>
      </w:r>
      <w:r w:rsidRPr="00931A60">
        <w:rPr>
          <w:rFonts w:ascii="Verdana" w:hAnsi="Verdana"/>
          <w:sz w:val="20"/>
          <w:szCs w:val="20"/>
          <w:lang w:val="es-CL"/>
        </w:rPr>
        <w:t>de 20</w:t>
      </w:r>
      <w:r w:rsidR="00D216ED">
        <w:rPr>
          <w:rFonts w:ascii="Verdana" w:hAnsi="Verdana"/>
          <w:sz w:val="20"/>
          <w:szCs w:val="20"/>
          <w:lang w:val="es-CL"/>
        </w:rPr>
        <w:t>20</w:t>
      </w:r>
      <w:r w:rsidRPr="00931A60">
        <w:rPr>
          <w:rFonts w:ascii="Verdana" w:hAnsi="Verdana"/>
          <w:sz w:val="20"/>
          <w:szCs w:val="20"/>
          <w:lang w:val="es-CL"/>
        </w:rPr>
        <w:t>, un informe</w:t>
      </w:r>
      <w:r w:rsidR="00D75F39" w:rsidRPr="00931A60">
        <w:rPr>
          <w:rFonts w:ascii="Verdana" w:hAnsi="Verdana"/>
          <w:sz w:val="20"/>
          <w:szCs w:val="20"/>
          <w:lang w:val="es-CL"/>
        </w:rPr>
        <w:t xml:space="preserve"> </w:t>
      </w:r>
      <w:r w:rsidRPr="00931A60">
        <w:rPr>
          <w:rFonts w:ascii="Verdana" w:hAnsi="Verdana"/>
          <w:sz w:val="20"/>
          <w:szCs w:val="20"/>
          <w:lang w:val="es-CL"/>
        </w:rPr>
        <w:t xml:space="preserve">en </w:t>
      </w:r>
      <w:r w:rsidR="00AF134F" w:rsidRPr="00931A60">
        <w:rPr>
          <w:rFonts w:ascii="Verdana" w:hAnsi="Verdana"/>
          <w:sz w:val="20"/>
          <w:szCs w:val="20"/>
          <w:lang w:val="es-CL"/>
        </w:rPr>
        <w:t>e</w:t>
      </w:r>
      <w:r w:rsidR="00D75F39" w:rsidRPr="00931A60">
        <w:rPr>
          <w:rFonts w:ascii="Verdana" w:hAnsi="Verdana"/>
          <w:sz w:val="20"/>
          <w:szCs w:val="20"/>
          <w:lang w:val="es-CL"/>
        </w:rPr>
        <w:t xml:space="preserve">l </w:t>
      </w:r>
      <w:r w:rsidRPr="00931A60">
        <w:rPr>
          <w:rFonts w:ascii="Verdana" w:hAnsi="Verdana"/>
          <w:sz w:val="20"/>
          <w:szCs w:val="20"/>
          <w:lang w:val="es-CL"/>
        </w:rPr>
        <w:t>cual indique las medidas adoptadas para cumplir con las reparaciones ordenadas por esta Corte, de conformidad con la parte considerativa de esta Resolución.</w:t>
      </w:r>
    </w:p>
    <w:p w:rsidR="002D15D9" w:rsidRPr="00931A60" w:rsidRDefault="002D15D9" w:rsidP="002479D7">
      <w:pPr>
        <w:numPr>
          <w:ilvl w:val="0"/>
          <w:numId w:val="7"/>
        </w:numPr>
        <w:spacing w:before="120" w:afterLines="120" w:after="288" w:line="240" w:lineRule="auto"/>
        <w:ind w:left="0" w:right="-23" w:hanging="11"/>
        <w:jc w:val="both"/>
        <w:rPr>
          <w:rFonts w:ascii="Verdana" w:hAnsi="Verdana"/>
          <w:sz w:val="20"/>
          <w:szCs w:val="20"/>
          <w:lang w:val="es-MX"/>
        </w:rPr>
      </w:pPr>
      <w:r w:rsidRPr="00931A60">
        <w:rPr>
          <w:rFonts w:ascii="Verdana" w:hAnsi="Verdana"/>
          <w:sz w:val="20"/>
          <w:szCs w:val="20"/>
          <w:lang w:val="es-MX"/>
        </w:rPr>
        <w:t>Disponer que los representantes de la víctima</w:t>
      </w:r>
      <w:r w:rsidR="00AF134F" w:rsidRPr="00931A60">
        <w:rPr>
          <w:rFonts w:ascii="Verdana" w:hAnsi="Verdana"/>
          <w:sz w:val="20"/>
          <w:szCs w:val="20"/>
          <w:lang w:val="es-MX"/>
        </w:rPr>
        <w:t xml:space="preserve"> </w:t>
      </w:r>
      <w:r w:rsidRPr="00931A60">
        <w:rPr>
          <w:rFonts w:ascii="Verdana" w:hAnsi="Verdana"/>
          <w:sz w:val="20"/>
          <w:szCs w:val="20"/>
          <w:lang w:val="es-MX"/>
        </w:rPr>
        <w:t xml:space="preserve">y la Comisión Interamericana de Derechos Humanos presenten observaciones </w:t>
      </w:r>
      <w:r w:rsidR="00D216ED">
        <w:rPr>
          <w:rFonts w:ascii="Verdana" w:hAnsi="Verdana"/>
          <w:sz w:val="20"/>
          <w:szCs w:val="20"/>
          <w:lang w:val="es-MX"/>
        </w:rPr>
        <w:t>al</w:t>
      </w:r>
      <w:r w:rsidRPr="00931A60">
        <w:rPr>
          <w:rFonts w:ascii="Verdana" w:hAnsi="Verdana"/>
          <w:sz w:val="20"/>
          <w:szCs w:val="20"/>
          <w:lang w:val="es-MX"/>
        </w:rPr>
        <w:t xml:space="preserve"> informe del Estado mencionado en el punto resolutivo anterior, en los plazos de cuatro y seis semanas, respectivamente, contados a partir de la recepción </w:t>
      </w:r>
      <w:r w:rsidR="00D216ED">
        <w:rPr>
          <w:rFonts w:ascii="Verdana" w:hAnsi="Verdana"/>
          <w:sz w:val="20"/>
          <w:szCs w:val="20"/>
          <w:lang w:val="es-MX"/>
        </w:rPr>
        <w:t>del referido informe.</w:t>
      </w:r>
    </w:p>
    <w:p w:rsidR="00AF134F" w:rsidRDefault="002D15D9" w:rsidP="002479D7">
      <w:pPr>
        <w:numPr>
          <w:ilvl w:val="0"/>
          <w:numId w:val="7"/>
        </w:numPr>
        <w:spacing w:before="120" w:afterLines="120" w:after="288" w:line="240" w:lineRule="auto"/>
        <w:ind w:left="0" w:right="-23" w:hanging="11"/>
        <w:jc w:val="both"/>
        <w:rPr>
          <w:rFonts w:ascii="Verdana" w:hAnsi="Verdana"/>
          <w:sz w:val="20"/>
          <w:szCs w:val="20"/>
          <w:lang w:val="es-MX"/>
        </w:rPr>
      </w:pPr>
      <w:r w:rsidRPr="00931A60">
        <w:rPr>
          <w:rFonts w:ascii="Verdana" w:hAnsi="Verdana"/>
          <w:sz w:val="20"/>
          <w:szCs w:val="20"/>
          <w:lang w:val="es-MX"/>
        </w:rPr>
        <w:t xml:space="preserve">Disponer que la Secretaría de la Corte notifique la presente Resolución al Estado, a los representantes de la víctima y a la Comisión Interamericana de Derechos Humanos. </w:t>
      </w:r>
    </w:p>
    <w:p w:rsidR="008066B1" w:rsidRPr="008066B1" w:rsidRDefault="008066B1" w:rsidP="008066B1">
      <w:pPr>
        <w:rPr>
          <w:rFonts w:ascii="Verdana" w:hAnsi="Verdana"/>
          <w:sz w:val="20"/>
          <w:szCs w:val="20"/>
          <w:lang w:val="es-MX"/>
        </w:rPr>
      </w:pPr>
    </w:p>
    <w:p w:rsidR="008066B1" w:rsidRDefault="008066B1" w:rsidP="008066B1">
      <w:pPr>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ind w:firstLine="720"/>
        <w:rPr>
          <w:rFonts w:ascii="Verdana" w:hAnsi="Verdana"/>
          <w:sz w:val="20"/>
          <w:szCs w:val="20"/>
          <w:lang w:val="es-MX"/>
        </w:rPr>
      </w:pPr>
    </w:p>
    <w:p w:rsidR="008066B1" w:rsidRDefault="008066B1" w:rsidP="008066B1">
      <w:pPr>
        <w:keepNext/>
        <w:spacing w:after="0" w:line="240" w:lineRule="auto"/>
        <w:jc w:val="both"/>
        <w:outlineLvl w:val="0"/>
        <w:rPr>
          <w:rFonts w:ascii="Verdana" w:hAnsi="Verdana" w:cs="Arial"/>
          <w:sz w:val="20"/>
        </w:rPr>
      </w:pPr>
      <w:r>
        <w:rPr>
          <w:rFonts w:ascii="Verdana" w:hAnsi="Verdana" w:cs="Courier New"/>
          <w:noProof/>
          <w:sz w:val="20"/>
          <w:lang w:val="es-AR"/>
        </w:rPr>
        <w:t xml:space="preserve">Corte IDH. </w:t>
      </w:r>
      <w:r>
        <w:rPr>
          <w:rFonts w:ascii="Verdana" w:hAnsi="Verdana"/>
          <w:bCs/>
          <w:i/>
          <w:sz w:val="20"/>
        </w:rPr>
        <w:t xml:space="preserve">Caso </w:t>
      </w:r>
      <w:r w:rsidRPr="006C7F09">
        <w:rPr>
          <w:rFonts w:ascii="Verdana" w:hAnsi="Verdana"/>
          <w:bCs/>
          <w:i/>
          <w:sz w:val="20"/>
        </w:rPr>
        <w:t xml:space="preserve">Chinchilla Sandoval y otros </w:t>
      </w:r>
      <w:r>
        <w:rPr>
          <w:rFonts w:ascii="Verdana" w:hAnsi="Verdana"/>
          <w:bCs/>
          <w:i/>
          <w:sz w:val="20"/>
        </w:rPr>
        <w:t xml:space="preserve">Vs. Guatemala. </w:t>
      </w:r>
      <w:r>
        <w:rPr>
          <w:rFonts w:ascii="Verdana" w:hAnsi="Verdana" w:cs="Arial"/>
          <w:sz w:val="20"/>
        </w:rPr>
        <w:t xml:space="preserve">Supervisión de Cumplimiento de Sentencia. </w:t>
      </w:r>
      <w:r>
        <w:rPr>
          <w:rFonts w:ascii="Verdana" w:hAnsi="Verdana" w:cs="Arial"/>
          <w:i/>
          <w:sz w:val="20"/>
        </w:rPr>
        <w:t xml:space="preserve"> </w:t>
      </w:r>
      <w:r>
        <w:rPr>
          <w:rFonts w:ascii="Verdana" w:hAnsi="Verdana"/>
          <w:sz w:val="20"/>
          <w:lang w:val="es-ES"/>
        </w:rPr>
        <w:t>Resolución de la Corte Interamericana de Derechos Humanos de 7 de octubre</w:t>
      </w:r>
      <w:r>
        <w:rPr>
          <w:rFonts w:ascii="Verdana" w:hAnsi="Verdana"/>
          <w:sz w:val="20"/>
        </w:rPr>
        <w:t xml:space="preserve"> de 2019</w:t>
      </w:r>
      <w:r>
        <w:rPr>
          <w:rFonts w:ascii="Verdana" w:hAnsi="Verdana"/>
          <w:sz w:val="20"/>
          <w:lang w:val="es-ES"/>
        </w:rPr>
        <w:t xml:space="preserve">. </w:t>
      </w:r>
    </w:p>
    <w:p w:rsidR="008066B1" w:rsidRDefault="008066B1" w:rsidP="008066B1">
      <w:pPr>
        <w:spacing w:after="0" w:line="240" w:lineRule="auto"/>
        <w:rPr>
          <w:rFonts w:ascii="Verdana" w:hAnsi="Verdana"/>
          <w:sz w:val="20"/>
          <w:lang w:val="es-ES"/>
        </w:rPr>
      </w:pPr>
    </w:p>
    <w:p w:rsidR="008066B1" w:rsidRDefault="008066B1" w:rsidP="008066B1">
      <w:pPr>
        <w:spacing w:after="0" w:line="240" w:lineRule="auto"/>
        <w:rPr>
          <w:rFonts w:ascii="Verdana" w:hAnsi="Verdana"/>
          <w:sz w:val="20"/>
          <w:lang w:val="es-ES"/>
        </w:rPr>
      </w:pPr>
    </w:p>
    <w:p w:rsidR="008066B1" w:rsidRDefault="008066B1" w:rsidP="008066B1">
      <w:pPr>
        <w:spacing w:after="0" w:line="240" w:lineRule="auto"/>
        <w:rPr>
          <w:rFonts w:ascii="Verdana" w:hAnsi="Verdana"/>
          <w:sz w:val="20"/>
          <w:lang w:val="es-ES"/>
        </w:rPr>
      </w:pPr>
    </w:p>
    <w:p w:rsidR="008066B1" w:rsidRDefault="008066B1" w:rsidP="008066B1">
      <w:pPr>
        <w:spacing w:after="0" w:line="240" w:lineRule="auto"/>
        <w:rPr>
          <w:rFonts w:ascii="Verdana" w:hAnsi="Verdana"/>
          <w:sz w:val="20"/>
          <w:lang w:val="es-ES"/>
        </w:rPr>
      </w:pPr>
    </w:p>
    <w:p w:rsidR="008066B1" w:rsidRDefault="008066B1" w:rsidP="008066B1">
      <w:pPr>
        <w:spacing w:after="0" w:line="240" w:lineRule="auto"/>
        <w:rPr>
          <w:rFonts w:ascii="Verdana" w:hAnsi="Verdana"/>
          <w:sz w:val="20"/>
          <w:lang w:val="es-ES"/>
        </w:rPr>
      </w:pPr>
    </w:p>
    <w:p w:rsidR="008066B1" w:rsidRDefault="008066B1" w:rsidP="008066B1">
      <w:pPr>
        <w:spacing w:after="0" w:line="240" w:lineRule="auto"/>
        <w:jc w:val="center"/>
        <w:rPr>
          <w:rFonts w:ascii="Verdana" w:hAnsi="Verdana"/>
          <w:sz w:val="20"/>
          <w:lang w:val="pt-BR"/>
        </w:rPr>
      </w:pPr>
      <w:r>
        <w:rPr>
          <w:rFonts w:ascii="Verdana" w:hAnsi="Verdana"/>
          <w:sz w:val="20"/>
          <w:lang w:val="pt-BR"/>
        </w:rPr>
        <w:t xml:space="preserve">Eduardo Ferrer Mac-Gregor Poisot </w:t>
      </w:r>
    </w:p>
    <w:p w:rsidR="008066B1" w:rsidRDefault="008066B1" w:rsidP="008066B1">
      <w:pPr>
        <w:spacing w:after="0" w:line="240" w:lineRule="auto"/>
        <w:jc w:val="center"/>
        <w:rPr>
          <w:rFonts w:ascii="Verdana" w:hAnsi="Verdana"/>
          <w:sz w:val="20"/>
          <w:lang w:val="pt-BR"/>
        </w:rPr>
      </w:pPr>
      <w:r>
        <w:rPr>
          <w:rFonts w:ascii="Verdana" w:hAnsi="Verdana"/>
          <w:sz w:val="20"/>
          <w:lang w:val="pt-BR"/>
        </w:rPr>
        <w:t>Presidente</w:t>
      </w: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rPr>
          <w:rFonts w:ascii="Verdana" w:hAnsi="Verdana"/>
          <w:sz w:val="20"/>
          <w:lang w:val="pt-BR"/>
        </w:rPr>
      </w:pPr>
      <w:r>
        <w:rPr>
          <w:rFonts w:ascii="Verdana" w:hAnsi="Verdana"/>
          <w:sz w:val="20"/>
          <w:lang w:val="pt-BR"/>
        </w:rPr>
        <w:t>Eduardo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Humberto Antonio Sierra Porto</w:t>
      </w: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rPr>
          <w:rFonts w:ascii="Verdana" w:hAnsi="Verdana"/>
          <w:sz w:val="20"/>
          <w:lang w:val="pt-BR"/>
        </w:rPr>
      </w:pPr>
      <w:r>
        <w:rPr>
          <w:rFonts w:ascii="Verdana" w:hAnsi="Verdana"/>
          <w:sz w:val="20"/>
          <w:lang w:val="pt-BR"/>
        </w:rPr>
        <w:t xml:space="preserve">Elizabeth Odio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Eugenio Raúl Zaffaroni</w:t>
      </w: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lang w:val="pt-BR"/>
        </w:rPr>
      </w:pPr>
    </w:p>
    <w:p w:rsidR="008066B1" w:rsidRDefault="008066B1" w:rsidP="008066B1">
      <w:pPr>
        <w:spacing w:after="0" w:line="240" w:lineRule="auto"/>
        <w:rPr>
          <w:rFonts w:ascii="Verdana" w:hAnsi="Verdana"/>
          <w:sz w:val="20"/>
        </w:rPr>
      </w:pPr>
      <w:r>
        <w:rPr>
          <w:rFonts w:ascii="Verdana" w:hAnsi="Verdana"/>
          <w:sz w:val="20"/>
          <w:lang w:val="pt-BR"/>
        </w:rPr>
        <w:t xml:space="preserve">L. Patricio Pazmiño Freire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Pr>
          <w:rFonts w:ascii="Verdana" w:hAnsi="Verdana"/>
          <w:sz w:val="20"/>
        </w:rPr>
        <w:t>Ricardo C. Pérez Manrique</w:t>
      </w: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center"/>
        <w:rPr>
          <w:rFonts w:ascii="Verdana" w:hAnsi="Verdana"/>
          <w:sz w:val="20"/>
          <w:lang w:val="pt-BR"/>
        </w:rPr>
      </w:pPr>
      <w:r>
        <w:rPr>
          <w:rFonts w:ascii="Verdana" w:hAnsi="Verdana"/>
          <w:sz w:val="20"/>
          <w:lang w:val="pt-BR"/>
        </w:rPr>
        <w:t>Pablo Saavedra Alessandri</w:t>
      </w:r>
    </w:p>
    <w:p w:rsidR="008066B1" w:rsidRDefault="008066B1" w:rsidP="008066B1">
      <w:pPr>
        <w:spacing w:after="0" w:line="240" w:lineRule="auto"/>
        <w:jc w:val="center"/>
        <w:rPr>
          <w:rFonts w:ascii="Verdana" w:hAnsi="Verdana"/>
          <w:sz w:val="20"/>
          <w:lang w:val="pt-BR"/>
        </w:rPr>
      </w:pPr>
      <w:r>
        <w:rPr>
          <w:rFonts w:ascii="Verdana" w:hAnsi="Verdana"/>
          <w:sz w:val="20"/>
          <w:lang w:val="pt-BR"/>
        </w:rPr>
        <w:t>Secretario</w:t>
      </w:r>
    </w:p>
    <w:p w:rsidR="008066B1" w:rsidRDefault="008066B1" w:rsidP="008066B1">
      <w:pPr>
        <w:spacing w:after="0" w:line="240" w:lineRule="auto"/>
        <w:rPr>
          <w:rFonts w:ascii="Verdana" w:hAnsi="Verdana"/>
          <w:sz w:val="20"/>
          <w:lang w:val="pt-BR"/>
        </w:rPr>
      </w:pPr>
    </w:p>
    <w:p w:rsidR="008066B1" w:rsidRDefault="008066B1" w:rsidP="008066B1">
      <w:pPr>
        <w:pStyle w:val="Textonotapie"/>
        <w:rPr>
          <w:rFonts w:ascii="Verdana" w:hAnsi="Verdana"/>
          <w:lang w:val="pt-BR"/>
        </w:rPr>
      </w:pPr>
    </w:p>
    <w:p w:rsidR="008066B1" w:rsidRDefault="008066B1" w:rsidP="008066B1">
      <w:pPr>
        <w:pStyle w:val="Textonotapie"/>
        <w:rPr>
          <w:rFonts w:ascii="Verdana" w:hAnsi="Verdana"/>
          <w:lang w:val="pt-BR"/>
        </w:rPr>
      </w:pPr>
    </w:p>
    <w:p w:rsidR="008066B1" w:rsidRDefault="008066B1" w:rsidP="008066B1">
      <w:pPr>
        <w:pStyle w:val="Textonotapie"/>
        <w:rPr>
          <w:rFonts w:ascii="Verdana" w:hAnsi="Verdana"/>
          <w:lang w:val="pt-BR"/>
        </w:rPr>
      </w:pPr>
    </w:p>
    <w:p w:rsidR="008066B1" w:rsidRDefault="008066B1" w:rsidP="008066B1">
      <w:pPr>
        <w:spacing w:after="0" w:line="240" w:lineRule="auto"/>
        <w:jc w:val="both"/>
        <w:rPr>
          <w:rFonts w:ascii="Verdana" w:hAnsi="Verdana"/>
          <w:sz w:val="20"/>
          <w:lang w:val="pt-BR"/>
        </w:rPr>
      </w:pPr>
      <w:r>
        <w:rPr>
          <w:rFonts w:ascii="Verdana" w:hAnsi="Verdana"/>
          <w:sz w:val="20"/>
          <w:lang w:val="pt-BR"/>
        </w:rPr>
        <w:t>Comuníquese y ejecútese,</w:t>
      </w: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ind w:left="4956"/>
        <w:jc w:val="center"/>
        <w:rPr>
          <w:rFonts w:ascii="Verdana" w:hAnsi="Verdana"/>
          <w:sz w:val="20"/>
          <w:lang w:val="pt-BR"/>
        </w:rPr>
      </w:pPr>
      <w:r>
        <w:rPr>
          <w:rFonts w:ascii="Verdana" w:hAnsi="Verdana"/>
          <w:sz w:val="20"/>
          <w:lang w:val="pt-BR"/>
        </w:rPr>
        <w:t xml:space="preserve">Eduardo Ferrer Mac-Gregor Poisot </w:t>
      </w:r>
    </w:p>
    <w:p w:rsidR="008066B1" w:rsidRDefault="008066B1" w:rsidP="008066B1">
      <w:pPr>
        <w:spacing w:after="0" w:line="240" w:lineRule="auto"/>
        <w:ind w:left="4956"/>
        <w:jc w:val="center"/>
        <w:rPr>
          <w:rFonts w:ascii="Verdana" w:hAnsi="Verdana"/>
          <w:sz w:val="20"/>
          <w:lang w:val="pt-BR"/>
        </w:rPr>
      </w:pPr>
      <w:r>
        <w:rPr>
          <w:rFonts w:ascii="Verdana" w:hAnsi="Verdana"/>
          <w:sz w:val="20"/>
          <w:lang w:val="pt-BR"/>
        </w:rPr>
        <w:t>Presidente</w:t>
      </w: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pt-BR"/>
        </w:rPr>
      </w:pPr>
    </w:p>
    <w:p w:rsidR="008066B1" w:rsidRDefault="008066B1" w:rsidP="008066B1">
      <w:pPr>
        <w:spacing w:after="0" w:line="240" w:lineRule="auto"/>
        <w:jc w:val="both"/>
        <w:rPr>
          <w:rFonts w:ascii="Verdana" w:hAnsi="Verdana"/>
          <w:sz w:val="20"/>
          <w:lang w:val="es-ES"/>
        </w:rPr>
      </w:pPr>
      <w:r>
        <w:rPr>
          <w:rFonts w:ascii="Verdana" w:hAnsi="Verdana"/>
          <w:sz w:val="20"/>
          <w:lang w:val="es-ES"/>
        </w:rPr>
        <w:t>Pablo Saavedra Alessandri</w:t>
      </w:r>
    </w:p>
    <w:p w:rsidR="008066B1" w:rsidRDefault="008066B1" w:rsidP="008066B1">
      <w:pPr>
        <w:spacing w:after="0" w:line="240" w:lineRule="auto"/>
        <w:rPr>
          <w:rFonts w:ascii="Verdana" w:hAnsi="Verdana"/>
          <w:sz w:val="20"/>
        </w:rPr>
      </w:pPr>
      <w:r>
        <w:rPr>
          <w:rFonts w:ascii="Verdana" w:hAnsi="Verdana"/>
          <w:sz w:val="20"/>
          <w:lang w:val="es-ES"/>
        </w:rPr>
        <w:tab/>
      </w:r>
      <w:r>
        <w:rPr>
          <w:rFonts w:ascii="Verdana" w:hAnsi="Verdana"/>
          <w:sz w:val="20"/>
        </w:rPr>
        <w:t>Secretario</w:t>
      </w:r>
    </w:p>
    <w:p w:rsidR="008066B1" w:rsidRDefault="008066B1" w:rsidP="008066B1">
      <w:pPr>
        <w:spacing w:after="0" w:line="240" w:lineRule="auto"/>
        <w:rPr>
          <w:rFonts w:ascii="Verdana" w:hAnsi="Verdana"/>
          <w:sz w:val="20"/>
        </w:rPr>
      </w:pPr>
    </w:p>
    <w:p w:rsidR="008066B1" w:rsidRDefault="008066B1" w:rsidP="008066B1"/>
    <w:p w:rsidR="008066B1" w:rsidRPr="008066B1" w:rsidRDefault="008066B1" w:rsidP="008066B1">
      <w:pPr>
        <w:ind w:firstLine="720"/>
        <w:rPr>
          <w:rFonts w:ascii="Verdana" w:hAnsi="Verdana"/>
          <w:sz w:val="20"/>
          <w:szCs w:val="20"/>
          <w:lang w:val="es-MX"/>
        </w:rPr>
      </w:pPr>
    </w:p>
    <w:sectPr w:rsidR="008066B1" w:rsidRPr="008066B1" w:rsidSect="00E91314">
      <w:headerReference w:type="default" r:id="rId8"/>
      <w:footerReference w:type="default" r:id="rId9"/>
      <w:pgSz w:w="12240" w:h="15840"/>
      <w:pgMar w:top="1440" w:right="160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D08" w:rsidRDefault="009C0D08" w:rsidP="0052428B">
      <w:pPr>
        <w:spacing w:after="0" w:line="240" w:lineRule="auto"/>
      </w:pPr>
      <w:r>
        <w:separator/>
      </w:r>
    </w:p>
  </w:endnote>
  <w:endnote w:type="continuationSeparator" w:id="0">
    <w:p w:rsidR="009C0D08" w:rsidRDefault="009C0D08" w:rsidP="0052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BAF" w:rsidRPr="00081E1E" w:rsidRDefault="00784BAF">
    <w:pPr>
      <w:pStyle w:val="Piedepgina"/>
      <w:jc w:val="center"/>
      <w:rPr>
        <w:rFonts w:ascii="Verdana" w:hAnsi="Verdana"/>
        <w:sz w:val="20"/>
        <w:szCs w:val="20"/>
      </w:rPr>
    </w:pPr>
    <w:r w:rsidRPr="00081E1E">
      <w:rPr>
        <w:rFonts w:ascii="Verdana" w:hAnsi="Verdana"/>
        <w:sz w:val="20"/>
        <w:szCs w:val="20"/>
      </w:rPr>
      <w:t>-</w:t>
    </w:r>
    <w:r w:rsidRPr="00081E1E">
      <w:rPr>
        <w:rFonts w:ascii="Verdana" w:hAnsi="Verdana"/>
        <w:sz w:val="20"/>
        <w:szCs w:val="20"/>
      </w:rPr>
      <w:fldChar w:fldCharType="begin"/>
    </w:r>
    <w:r w:rsidRPr="00081E1E">
      <w:rPr>
        <w:rFonts w:ascii="Verdana" w:hAnsi="Verdana"/>
        <w:sz w:val="20"/>
        <w:szCs w:val="20"/>
      </w:rPr>
      <w:instrText>PAGE   \* MERGEFORMAT</w:instrText>
    </w:r>
    <w:r w:rsidRPr="00081E1E">
      <w:rPr>
        <w:rFonts w:ascii="Verdana" w:hAnsi="Verdana"/>
        <w:sz w:val="20"/>
        <w:szCs w:val="20"/>
      </w:rPr>
      <w:fldChar w:fldCharType="separate"/>
    </w:r>
    <w:r w:rsidR="003B568F" w:rsidRPr="003B568F">
      <w:rPr>
        <w:rFonts w:ascii="Verdana" w:hAnsi="Verdana"/>
        <w:noProof/>
        <w:sz w:val="20"/>
        <w:szCs w:val="20"/>
        <w:lang w:val="es-ES"/>
      </w:rPr>
      <w:t>2</w:t>
    </w:r>
    <w:r w:rsidRPr="00081E1E">
      <w:rPr>
        <w:rFonts w:ascii="Verdana" w:hAnsi="Verdana"/>
        <w:sz w:val="20"/>
        <w:szCs w:val="20"/>
      </w:rPr>
      <w:fldChar w:fldCharType="end"/>
    </w:r>
    <w:r w:rsidRPr="00081E1E">
      <w:rPr>
        <w:rFonts w:ascii="Verdana" w:hAnsi="Verdana"/>
        <w:sz w:val="20"/>
        <w:szCs w:val="20"/>
      </w:rPr>
      <w:t>-</w:t>
    </w:r>
  </w:p>
  <w:p w:rsidR="005358C0" w:rsidRPr="00081E1E" w:rsidRDefault="005358C0">
    <w:pPr>
      <w:pStyle w:val="Piedepgina"/>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D08" w:rsidRDefault="009C0D08" w:rsidP="0052428B">
      <w:pPr>
        <w:spacing w:after="0" w:line="240" w:lineRule="auto"/>
      </w:pPr>
      <w:r>
        <w:separator/>
      </w:r>
    </w:p>
  </w:footnote>
  <w:footnote w:type="continuationSeparator" w:id="0">
    <w:p w:rsidR="009C0D08" w:rsidRDefault="009C0D08" w:rsidP="0052428B">
      <w:pPr>
        <w:spacing w:after="0" w:line="240" w:lineRule="auto"/>
      </w:pPr>
      <w:r>
        <w:continuationSeparator/>
      </w:r>
    </w:p>
  </w:footnote>
  <w:footnote w:id="1">
    <w:p w:rsidR="00227FB3" w:rsidRPr="008615A5" w:rsidRDefault="00227FB3" w:rsidP="00F451CC">
      <w:pPr>
        <w:pStyle w:val="Textonotapie"/>
        <w:ind w:right="-22"/>
        <w:jc w:val="both"/>
        <w:rPr>
          <w:rFonts w:ascii="Verdana" w:hAnsi="Verdana"/>
          <w:i/>
          <w:sz w:val="16"/>
          <w:szCs w:val="16"/>
          <w:lang w:val="es-CR"/>
        </w:rPr>
      </w:pPr>
      <w:r w:rsidRPr="00596B3D">
        <w:rPr>
          <w:rStyle w:val="Refdenotaalpie"/>
          <w:rFonts w:ascii="Verdana" w:hAnsi="Verdana"/>
          <w:sz w:val="16"/>
          <w:szCs w:val="16"/>
        </w:rPr>
        <w:footnoteRef/>
      </w:r>
      <w:r w:rsidRPr="00596B3D">
        <w:rPr>
          <w:rFonts w:ascii="Verdana" w:hAnsi="Verdana"/>
          <w:sz w:val="16"/>
          <w:szCs w:val="16"/>
        </w:rPr>
        <w:t xml:space="preserve"> </w:t>
      </w:r>
      <w:r w:rsidR="004C0E38">
        <w:rPr>
          <w:rFonts w:ascii="Verdana" w:hAnsi="Verdana"/>
          <w:sz w:val="16"/>
          <w:szCs w:val="16"/>
        </w:rPr>
        <w:tab/>
      </w:r>
      <w:r w:rsidRPr="008615A5">
        <w:rPr>
          <w:rFonts w:ascii="Verdana" w:hAnsi="Verdana"/>
          <w:i/>
          <w:sz w:val="16"/>
          <w:szCs w:val="16"/>
          <w:lang w:val="es-CR"/>
        </w:rPr>
        <w:t>Cfr.</w:t>
      </w:r>
      <w:r w:rsidR="00E36975" w:rsidRPr="008615A5">
        <w:rPr>
          <w:rFonts w:ascii="Verdana" w:hAnsi="Verdana"/>
          <w:i/>
          <w:sz w:val="16"/>
          <w:szCs w:val="16"/>
          <w:lang w:val="es-CR"/>
        </w:rPr>
        <w:t xml:space="preserve"> </w:t>
      </w:r>
      <w:r w:rsidR="003734DB" w:rsidRPr="000F2452">
        <w:rPr>
          <w:rStyle w:val="Textoennegrita"/>
          <w:rFonts w:ascii="Verdana" w:hAnsi="Verdana"/>
          <w:b w:val="0"/>
          <w:i/>
          <w:color w:val="000000"/>
          <w:sz w:val="16"/>
          <w:szCs w:val="16"/>
          <w:shd w:val="clear" w:color="auto" w:fill="FFFFFF"/>
        </w:rPr>
        <w:t>Caso Chinchilla Sandoval y otros Vs. Guatemala.</w:t>
      </w:r>
      <w:r w:rsidR="003734DB" w:rsidRPr="000F2452">
        <w:rPr>
          <w:rStyle w:val="Textoennegrita"/>
          <w:rFonts w:ascii="Verdana" w:hAnsi="Verdana"/>
          <w:b w:val="0"/>
          <w:color w:val="000000"/>
          <w:sz w:val="16"/>
          <w:szCs w:val="16"/>
          <w:shd w:val="clear" w:color="auto" w:fill="FFFFFF"/>
        </w:rPr>
        <w:t xml:space="preserve"> </w:t>
      </w:r>
      <w:r w:rsidR="003734DB" w:rsidRPr="000F2452">
        <w:rPr>
          <w:rStyle w:val="Textoennegrita"/>
          <w:rFonts w:ascii="Verdana" w:hAnsi="Verdana"/>
          <w:b w:val="0"/>
          <w:i/>
          <w:color w:val="000000"/>
          <w:sz w:val="16"/>
          <w:szCs w:val="16"/>
          <w:shd w:val="clear" w:color="auto" w:fill="FFFFFF"/>
        </w:rPr>
        <w:t>Excepción Preliminar, Fondo, Reparaciones y Costas.</w:t>
      </w:r>
      <w:r w:rsidR="003734DB" w:rsidRPr="000F2452">
        <w:rPr>
          <w:rStyle w:val="Textoennegrita"/>
          <w:rFonts w:ascii="Verdana" w:hAnsi="Verdana"/>
          <w:b w:val="0"/>
          <w:color w:val="000000"/>
          <w:sz w:val="16"/>
          <w:szCs w:val="16"/>
          <w:shd w:val="clear" w:color="auto" w:fill="FFFFFF"/>
        </w:rPr>
        <w:t xml:space="preserve"> Sentencia de 29 de febrero de 2016. Serie C No.</w:t>
      </w:r>
      <w:r w:rsidR="003734DB" w:rsidRPr="008615A5">
        <w:rPr>
          <w:rStyle w:val="Textoennegrita"/>
          <w:rFonts w:ascii="Verdana" w:hAnsi="Verdana"/>
          <w:color w:val="000000"/>
          <w:sz w:val="16"/>
          <w:szCs w:val="16"/>
          <w:shd w:val="clear" w:color="auto" w:fill="FFFFFF"/>
        </w:rPr>
        <w:t xml:space="preserve"> </w:t>
      </w:r>
      <w:r w:rsidR="003734DB" w:rsidRPr="00596B3D">
        <w:rPr>
          <w:rStyle w:val="Textoennegrita"/>
          <w:rFonts w:ascii="Verdana" w:hAnsi="Verdana"/>
          <w:b w:val="0"/>
          <w:color w:val="000000"/>
          <w:sz w:val="16"/>
          <w:szCs w:val="16"/>
          <w:shd w:val="clear" w:color="auto" w:fill="FFFFFF"/>
        </w:rPr>
        <w:t>312.</w:t>
      </w:r>
      <w:r w:rsidRPr="008615A5">
        <w:rPr>
          <w:rFonts w:ascii="Verdana" w:hAnsi="Verdana"/>
          <w:sz w:val="16"/>
          <w:szCs w:val="16"/>
          <w:lang w:val="es-CR"/>
        </w:rPr>
        <w:t xml:space="preserve"> El texto íntegro de la Sentencia se encuentra disponible en: </w:t>
      </w:r>
      <w:hyperlink r:id="rId1" w:history="1">
        <w:r w:rsidR="003734DB" w:rsidRPr="008615A5">
          <w:rPr>
            <w:rStyle w:val="Hipervnculo"/>
            <w:rFonts w:ascii="Verdana" w:hAnsi="Verdana"/>
            <w:sz w:val="16"/>
            <w:szCs w:val="16"/>
          </w:rPr>
          <w:t>http://www.corteidh.or.cr/docs/casos/articulos/seriec_312_esp.pdf</w:t>
        </w:r>
      </w:hyperlink>
      <w:r w:rsidR="00E36975" w:rsidRPr="008615A5">
        <w:rPr>
          <w:rFonts w:ascii="Verdana" w:hAnsi="Verdana"/>
          <w:sz w:val="16"/>
          <w:szCs w:val="16"/>
          <w:lang w:val="es-CR"/>
        </w:rPr>
        <w:t>.</w:t>
      </w:r>
      <w:r w:rsidRPr="008615A5">
        <w:rPr>
          <w:rFonts w:ascii="Verdana" w:hAnsi="Verdana"/>
          <w:sz w:val="16"/>
          <w:szCs w:val="16"/>
          <w:lang w:val="es-CR"/>
        </w:rPr>
        <w:t xml:space="preserve"> </w:t>
      </w:r>
      <w:r w:rsidR="00963B96" w:rsidRPr="00596B3D">
        <w:rPr>
          <w:rFonts w:ascii="Verdana" w:hAnsi="Verdana"/>
          <w:sz w:val="16"/>
          <w:szCs w:val="16"/>
          <w:lang w:val="es-CR"/>
        </w:rPr>
        <w:t xml:space="preserve">La Sentencia fue notificada el 28 de </w:t>
      </w:r>
      <w:r w:rsidR="00963B96">
        <w:rPr>
          <w:rFonts w:ascii="Verdana" w:hAnsi="Verdana"/>
          <w:sz w:val="16"/>
          <w:szCs w:val="16"/>
          <w:lang w:val="es-CR"/>
        </w:rPr>
        <w:t>octubre</w:t>
      </w:r>
      <w:r w:rsidR="00963B96" w:rsidRPr="00596B3D">
        <w:rPr>
          <w:rFonts w:ascii="Verdana" w:hAnsi="Verdana"/>
          <w:sz w:val="16"/>
          <w:szCs w:val="16"/>
          <w:lang w:val="es-CR"/>
        </w:rPr>
        <w:t xml:space="preserve"> de 2016.</w:t>
      </w:r>
    </w:p>
  </w:footnote>
  <w:footnote w:id="2">
    <w:p w:rsidR="00F451CC" w:rsidRPr="008615A5" w:rsidRDefault="00F451CC" w:rsidP="00F451CC">
      <w:pPr>
        <w:pStyle w:val="Textonotapie"/>
        <w:ind w:right="-22"/>
        <w:jc w:val="both"/>
        <w:rPr>
          <w:rFonts w:ascii="Verdana" w:hAnsi="Verdana"/>
          <w:sz w:val="16"/>
          <w:szCs w:val="16"/>
        </w:rPr>
      </w:pPr>
      <w:r w:rsidRPr="008615A5">
        <w:rPr>
          <w:rStyle w:val="Refdenotaalpie"/>
          <w:rFonts w:ascii="Verdana" w:hAnsi="Verdana"/>
          <w:sz w:val="16"/>
          <w:szCs w:val="16"/>
        </w:rPr>
        <w:footnoteRef/>
      </w:r>
      <w:r w:rsidRPr="008615A5">
        <w:rPr>
          <w:rFonts w:ascii="Verdana" w:hAnsi="Verdana"/>
          <w:sz w:val="16"/>
          <w:szCs w:val="16"/>
        </w:rPr>
        <w:t xml:space="preserve"> </w:t>
      </w:r>
      <w:r w:rsidR="004C0E38">
        <w:rPr>
          <w:rFonts w:ascii="Verdana" w:hAnsi="Verdana"/>
          <w:sz w:val="16"/>
          <w:szCs w:val="16"/>
        </w:rPr>
        <w:tab/>
      </w:r>
      <w:r w:rsidRPr="008615A5">
        <w:rPr>
          <w:rFonts w:ascii="Verdana" w:hAnsi="Verdana"/>
          <w:i/>
          <w:sz w:val="16"/>
          <w:szCs w:val="16"/>
        </w:rPr>
        <w:t xml:space="preserve">Cfr. </w:t>
      </w:r>
      <w:r w:rsidRPr="000F2452">
        <w:rPr>
          <w:rStyle w:val="Textoennegrita"/>
          <w:rFonts w:ascii="Verdana" w:hAnsi="Verdana"/>
          <w:b w:val="0"/>
          <w:i/>
          <w:color w:val="000000"/>
          <w:sz w:val="16"/>
          <w:szCs w:val="16"/>
          <w:shd w:val="clear" w:color="auto" w:fill="FFFFFF"/>
        </w:rPr>
        <w:t>Caso Chinchilla Sandoval y otros Vs. Guatemala. Reintegro al Fondo de Asistencia Legal de Víctimas</w:t>
      </w:r>
      <w:r w:rsidRPr="000F2452">
        <w:rPr>
          <w:rStyle w:val="Textoennegrita"/>
          <w:rFonts w:ascii="Verdana" w:hAnsi="Verdana"/>
          <w:b w:val="0"/>
          <w:color w:val="000000"/>
          <w:sz w:val="16"/>
          <w:szCs w:val="16"/>
          <w:shd w:val="clear" w:color="auto" w:fill="FFFFFF"/>
        </w:rPr>
        <w:t xml:space="preserve">. Resolución de la Corte Interamericana de Derechos Humanos de 5 de febrero de 2018. </w:t>
      </w:r>
      <w:r w:rsidR="006051C9">
        <w:rPr>
          <w:rStyle w:val="Textoennegrita"/>
          <w:rFonts w:ascii="Verdana" w:hAnsi="Verdana"/>
          <w:b w:val="0"/>
          <w:color w:val="000000"/>
          <w:sz w:val="16"/>
          <w:szCs w:val="16"/>
          <w:shd w:val="clear" w:color="auto" w:fill="FFFFFF"/>
        </w:rPr>
        <w:t>D</w:t>
      </w:r>
      <w:r w:rsidRPr="000F2452">
        <w:rPr>
          <w:rStyle w:val="Textoennegrita"/>
          <w:rFonts w:ascii="Verdana" w:hAnsi="Verdana"/>
          <w:b w:val="0"/>
          <w:color w:val="000000"/>
          <w:sz w:val="16"/>
          <w:szCs w:val="16"/>
          <w:shd w:val="clear" w:color="auto" w:fill="FFFFFF"/>
        </w:rPr>
        <w:t>isponible en:</w:t>
      </w:r>
      <w:r w:rsidRPr="00B26DF6">
        <w:rPr>
          <w:rStyle w:val="Textoennegrita"/>
          <w:rFonts w:ascii="Verdana" w:hAnsi="Verdana"/>
          <w:b w:val="0"/>
          <w:color w:val="000000"/>
          <w:sz w:val="16"/>
          <w:szCs w:val="16"/>
          <w:shd w:val="clear" w:color="auto" w:fill="FFFFFF"/>
        </w:rPr>
        <w:t xml:space="preserve"> </w:t>
      </w:r>
      <w:hyperlink r:id="rId2" w:history="1">
        <w:r w:rsidRPr="008615A5">
          <w:rPr>
            <w:rStyle w:val="Hipervnculo"/>
            <w:rFonts w:ascii="Verdana" w:hAnsi="Verdana"/>
            <w:sz w:val="16"/>
            <w:szCs w:val="16"/>
          </w:rPr>
          <w:t>http://www.corteidh.or.cr/docs/asuntos/chinchilla_fv_18.pdf</w:t>
        </w:r>
      </w:hyperlink>
      <w:r w:rsidR="00FC529F">
        <w:rPr>
          <w:rFonts w:ascii="Verdana" w:hAnsi="Verdana"/>
          <w:sz w:val="16"/>
          <w:szCs w:val="16"/>
        </w:rPr>
        <w:t>.</w:t>
      </w:r>
    </w:p>
  </w:footnote>
  <w:footnote w:id="3">
    <w:p w:rsidR="006F56B0" w:rsidRPr="008615A5" w:rsidRDefault="006F56B0" w:rsidP="00931A60">
      <w:pPr>
        <w:pStyle w:val="Textonotapie"/>
        <w:ind w:right="-22"/>
        <w:jc w:val="both"/>
        <w:rPr>
          <w:rFonts w:ascii="Verdana" w:hAnsi="Verdana"/>
          <w:sz w:val="16"/>
          <w:szCs w:val="16"/>
          <w:lang w:val="es-CR"/>
        </w:rPr>
      </w:pPr>
      <w:r w:rsidRPr="008615A5">
        <w:rPr>
          <w:rStyle w:val="Refdenotaalpie"/>
          <w:rFonts w:ascii="Verdana" w:hAnsi="Verdana"/>
          <w:sz w:val="16"/>
          <w:szCs w:val="16"/>
        </w:rPr>
        <w:footnoteRef/>
      </w:r>
      <w:r w:rsidR="00E1100E" w:rsidRPr="008615A5">
        <w:rPr>
          <w:rFonts w:ascii="Verdana" w:hAnsi="Verdana"/>
          <w:sz w:val="16"/>
          <w:szCs w:val="16"/>
          <w:lang w:val="es-CR"/>
        </w:rPr>
        <w:t xml:space="preserve"> </w:t>
      </w:r>
      <w:r w:rsidR="004C0E38">
        <w:rPr>
          <w:rFonts w:ascii="Verdana" w:hAnsi="Verdana"/>
          <w:sz w:val="16"/>
          <w:szCs w:val="16"/>
          <w:lang w:val="es-CR"/>
        </w:rPr>
        <w:tab/>
      </w:r>
      <w:r w:rsidRPr="008615A5">
        <w:rPr>
          <w:rFonts w:ascii="Verdana" w:hAnsi="Verdana"/>
          <w:sz w:val="16"/>
          <w:szCs w:val="16"/>
          <w:lang w:val="es-CR"/>
        </w:rPr>
        <w:t xml:space="preserve">Facultad que además </w:t>
      </w:r>
      <w:r w:rsidRPr="008615A5">
        <w:rPr>
          <w:rFonts w:ascii="Verdana" w:hAnsi="Verdana"/>
          <w:sz w:val="16"/>
          <w:szCs w:val="16"/>
          <w:lang w:val="es-ES"/>
        </w:rPr>
        <w:t xml:space="preserve">se desprende de lo dispuesto en los artículos 33, 62.1, 62.3 y 65 de la Convención Americana y </w:t>
      </w:r>
      <w:r w:rsidRPr="008615A5">
        <w:rPr>
          <w:rFonts w:ascii="Verdana" w:hAnsi="Verdana"/>
          <w:sz w:val="16"/>
          <w:szCs w:val="16"/>
          <w:lang w:val="es-CR"/>
        </w:rPr>
        <w:t>30 de su Estatuto y se encuentra regulada en el artículo 69 de su Reglamento.</w:t>
      </w:r>
    </w:p>
  </w:footnote>
  <w:footnote w:id="4">
    <w:p w:rsidR="00F0252C" w:rsidRPr="008615A5" w:rsidRDefault="00F0252C" w:rsidP="00931A60">
      <w:pPr>
        <w:pStyle w:val="Textonotapie"/>
        <w:ind w:right="-22"/>
        <w:rPr>
          <w:rFonts w:ascii="Verdana" w:hAnsi="Verdana"/>
          <w:sz w:val="16"/>
          <w:szCs w:val="16"/>
        </w:rPr>
      </w:pPr>
      <w:r w:rsidRPr="008615A5">
        <w:rPr>
          <w:rStyle w:val="Refdenotaalpie"/>
          <w:rFonts w:ascii="Verdana" w:hAnsi="Verdana"/>
          <w:sz w:val="16"/>
          <w:szCs w:val="16"/>
        </w:rPr>
        <w:footnoteRef/>
      </w:r>
      <w:r w:rsidR="00DB3714">
        <w:rPr>
          <w:rFonts w:ascii="Verdana" w:hAnsi="Verdana"/>
          <w:sz w:val="16"/>
          <w:szCs w:val="16"/>
        </w:rPr>
        <w:t xml:space="preserve"> </w:t>
      </w:r>
      <w:r w:rsidR="00F60236">
        <w:rPr>
          <w:rFonts w:ascii="Verdana" w:hAnsi="Verdana"/>
          <w:sz w:val="16"/>
          <w:szCs w:val="16"/>
        </w:rPr>
        <w:tab/>
      </w:r>
      <w:r w:rsidRPr="008615A5">
        <w:rPr>
          <w:rFonts w:ascii="Verdana" w:hAnsi="Verdana"/>
          <w:sz w:val="16"/>
          <w:szCs w:val="16"/>
        </w:rPr>
        <w:t xml:space="preserve">Puntos </w:t>
      </w:r>
      <w:r w:rsidR="00A12D41">
        <w:rPr>
          <w:rFonts w:ascii="Verdana" w:hAnsi="Verdana"/>
          <w:sz w:val="16"/>
          <w:szCs w:val="16"/>
        </w:rPr>
        <w:t>resolutivos</w:t>
      </w:r>
      <w:r w:rsidR="00931A60" w:rsidRPr="008615A5">
        <w:rPr>
          <w:rFonts w:ascii="Verdana" w:hAnsi="Verdana"/>
          <w:sz w:val="16"/>
          <w:szCs w:val="16"/>
        </w:rPr>
        <w:t xml:space="preserve"> sexto, séptimo y octavo de la Sentencia</w:t>
      </w:r>
      <w:r w:rsidRPr="008615A5">
        <w:rPr>
          <w:rFonts w:ascii="Verdana" w:hAnsi="Verdana"/>
          <w:sz w:val="16"/>
          <w:szCs w:val="16"/>
        </w:rPr>
        <w:t>.</w:t>
      </w:r>
    </w:p>
  </w:footnote>
  <w:footnote w:id="5">
    <w:p w:rsidR="008B5826" w:rsidRPr="008615A5" w:rsidRDefault="008B5826" w:rsidP="00931A60">
      <w:pPr>
        <w:pStyle w:val="Textonotapie"/>
        <w:ind w:right="-22"/>
        <w:jc w:val="both"/>
        <w:rPr>
          <w:rFonts w:ascii="Verdana" w:hAnsi="Verdana"/>
          <w:sz w:val="16"/>
          <w:szCs w:val="16"/>
          <w:lang w:val="es-CR"/>
        </w:rPr>
      </w:pPr>
      <w:r w:rsidRPr="008615A5">
        <w:rPr>
          <w:rStyle w:val="Refdenotaalpie"/>
          <w:rFonts w:ascii="Verdana" w:hAnsi="Verdana"/>
          <w:sz w:val="16"/>
          <w:szCs w:val="16"/>
        </w:rPr>
        <w:footnoteRef/>
      </w:r>
      <w:r w:rsidRPr="008615A5">
        <w:rPr>
          <w:rFonts w:ascii="Verdana" w:hAnsi="Verdana"/>
          <w:sz w:val="16"/>
          <w:szCs w:val="16"/>
        </w:rPr>
        <w:t xml:space="preserve"> </w:t>
      </w:r>
      <w:r w:rsidR="00F60236">
        <w:rPr>
          <w:rFonts w:ascii="Verdana" w:hAnsi="Verdana"/>
          <w:sz w:val="16"/>
          <w:szCs w:val="16"/>
        </w:rPr>
        <w:tab/>
      </w:r>
      <w:r w:rsidRPr="008615A5">
        <w:rPr>
          <w:rFonts w:ascii="Verdana" w:hAnsi="Verdana"/>
          <w:i/>
          <w:sz w:val="16"/>
          <w:szCs w:val="16"/>
        </w:rPr>
        <w:t>Cfr. Caso Cinco Pensionistas Vs. Perú.</w:t>
      </w:r>
      <w:r w:rsidRPr="008615A5">
        <w:rPr>
          <w:rFonts w:ascii="Verdana" w:hAnsi="Verdana"/>
          <w:sz w:val="16"/>
          <w:szCs w:val="16"/>
        </w:rPr>
        <w:t xml:space="preserve"> </w:t>
      </w:r>
      <w:r w:rsidRPr="00FC529F">
        <w:rPr>
          <w:rFonts w:ascii="Verdana" w:hAnsi="Verdana"/>
          <w:i/>
          <w:sz w:val="16"/>
          <w:szCs w:val="16"/>
        </w:rPr>
        <w:t>Supervisión de Cumplimiento de Sentencia</w:t>
      </w:r>
      <w:r w:rsidRPr="008615A5">
        <w:rPr>
          <w:rFonts w:ascii="Verdana" w:hAnsi="Verdana"/>
          <w:sz w:val="16"/>
          <w:szCs w:val="16"/>
        </w:rPr>
        <w:t xml:space="preserve">. Resolución de la Corte </w:t>
      </w:r>
      <w:r w:rsidR="00EB2F10">
        <w:rPr>
          <w:rFonts w:ascii="Verdana" w:hAnsi="Verdana"/>
          <w:sz w:val="16"/>
          <w:szCs w:val="16"/>
        </w:rPr>
        <w:t xml:space="preserve">Interamericana de Derechos Humanos </w:t>
      </w:r>
      <w:r w:rsidRPr="008615A5">
        <w:rPr>
          <w:rFonts w:ascii="Verdana" w:hAnsi="Verdana"/>
          <w:sz w:val="16"/>
          <w:szCs w:val="16"/>
        </w:rPr>
        <w:t xml:space="preserve">de 17 de noviembre de 2004, Considerando </w:t>
      </w:r>
      <w:r w:rsidR="00EB2F10">
        <w:rPr>
          <w:rFonts w:ascii="Verdana" w:hAnsi="Verdana"/>
          <w:sz w:val="16"/>
          <w:szCs w:val="16"/>
        </w:rPr>
        <w:t>5</w:t>
      </w:r>
      <w:r w:rsidRPr="008615A5">
        <w:rPr>
          <w:rFonts w:ascii="Verdana" w:hAnsi="Verdana"/>
          <w:sz w:val="16"/>
          <w:szCs w:val="16"/>
        </w:rPr>
        <w:t>, y</w:t>
      </w:r>
      <w:r w:rsidRPr="008615A5">
        <w:rPr>
          <w:rFonts w:ascii="Verdana" w:hAnsi="Verdana"/>
          <w:b/>
          <w:sz w:val="16"/>
          <w:szCs w:val="16"/>
        </w:rPr>
        <w:t xml:space="preserve"> </w:t>
      </w:r>
      <w:r w:rsidR="002A6F14" w:rsidRPr="008615A5">
        <w:rPr>
          <w:rStyle w:val="Textoennegrita"/>
          <w:rFonts w:ascii="Verdana" w:hAnsi="Verdana"/>
          <w:b w:val="0"/>
          <w:i/>
          <w:color w:val="000000"/>
          <w:sz w:val="16"/>
          <w:szCs w:val="16"/>
          <w:shd w:val="clear" w:color="auto" w:fill="FFFFFF"/>
        </w:rPr>
        <w:t>Caso Comunidad Indígena Yakye Axa Vs. Paraguay</w:t>
      </w:r>
      <w:r w:rsidR="002A6F14" w:rsidRPr="008615A5">
        <w:rPr>
          <w:rStyle w:val="Textoennegrita"/>
          <w:rFonts w:ascii="Verdana" w:hAnsi="Verdana"/>
          <w:b w:val="0"/>
          <w:color w:val="000000"/>
          <w:sz w:val="16"/>
          <w:szCs w:val="16"/>
          <w:shd w:val="clear" w:color="auto" w:fill="FFFFFF"/>
        </w:rPr>
        <w:t xml:space="preserve">. </w:t>
      </w:r>
      <w:r w:rsidR="002A6F14" w:rsidRPr="00FC529F">
        <w:rPr>
          <w:rStyle w:val="Textoennegrita"/>
          <w:rFonts w:ascii="Verdana" w:hAnsi="Verdana"/>
          <w:b w:val="0"/>
          <w:i/>
          <w:color w:val="000000"/>
          <w:sz w:val="16"/>
          <w:szCs w:val="16"/>
          <w:shd w:val="clear" w:color="auto" w:fill="FFFFFF"/>
        </w:rPr>
        <w:t>Supervisión de Cumplimiento de Sentencia</w:t>
      </w:r>
      <w:r w:rsidR="002A6F14" w:rsidRPr="008615A5">
        <w:rPr>
          <w:rStyle w:val="Textoennegrita"/>
          <w:rFonts w:ascii="Verdana" w:hAnsi="Verdana"/>
          <w:b w:val="0"/>
          <w:color w:val="000000"/>
          <w:sz w:val="16"/>
          <w:szCs w:val="16"/>
          <w:shd w:val="clear" w:color="auto" w:fill="FFFFFF"/>
        </w:rPr>
        <w:t xml:space="preserve">. Resolución de la Corte Interamericana de Derechos Humanos de 14 de mayo de 2019, Considerando </w:t>
      </w:r>
      <w:r w:rsidR="00EB2F10">
        <w:rPr>
          <w:rStyle w:val="Textoennegrita"/>
          <w:rFonts w:ascii="Verdana" w:hAnsi="Verdana"/>
          <w:b w:val="0"/>
          <w:color w:val="000000"/>
          <w:sz w:val="16"/>
          <w:szCs w:val="16"/>
          <w:shd w:val="clear" w:color="auto" w:fill="FFFFFF"/>
        </w:rPr>
        <w:t>2</w:t>
      </w:r>
      <w:r w:rsidR="002A6F14" w:rsidRPr="008615A5">
        <w:rPr>
          <w:rStyle w:val="Textoennegrita"/>
          <w:rFonts w:ascii="Verdana" w:hAnsi="Verdana"/>
          <w:b w:val="0"/>
          <w:color w:val="000000"/>
          <w:sz w:val="16"/>
          <w:szCs w:val="16"/>
          <w:shd w:val="clear" w:color="auto" w:fill="FFFFFF"/>
        </w:rPr>
        <w:t>.</w:t>
      </w:r>
      <w:r w:rsidR="002A6F14" w:rsidRPr="008615A5">
        <w:rPr>
          <w:rStyle w:val="Textoennegrita"/>
          <w:rFonts w:ascii="Verdana" w:hAnsi="Verdana"/>
          <w:color w:val="000000"/>
          <w:sz w:val="16"/>
          <w:szCs w:val="16"/>
          <w:shd w:val="clear" w:color="auto" w:fill="FFFFFF"/>
        </w:rPr>
        <w:t xml:space="preserve"> </w:t>
      </w:r>
    </w:p>
  </w:footnote>
  <w:footnote w:id="6">
    <w:p w:rsidR="002A6F14" w:rsidRPr="008615A5" w:rsidRDefault="002A6F14" w:rsidP="002A6F14">
      <w:pPr>
        <w:pStyle w:val="Textonotapie"/>
        <w:jc w:val="both"/>
        <w:rPr>
          <w:rFonts w:ascii="Verdana" w:hAnsi="Verdana"/>
          <w:sz w:val="16"/>
          <w:szCs w:val="16"/>
        </w:rPr>
      </w:pPr>
      <w:r w:rsidRPr="008615A5">
        <w:rPr>
          <w:rStyle w:val="Refdenotaalpie"/>
          <w:rFonts w:ascii="Verdana" w:hAnsi="Verdana"/>
          <w:sz w:val="16"/>
          <w:szCs w:val="16"/>
        </w:rPr>
        <w:footnoteRef/>
      </w:r>
      <w:r w:rsidRPr="008615A5">
        <w:rPr>
          <w:rFonts w:ascii="Verdana" w:hAnsi="Verdana"/>
          <w:sz w:val="16"/>
          <w:szCs w:val="16"/>
        </w:rPr>
        <w:t xml:space="preserve"> </w:t>
      </w:r>
      <w:r w:rsidRPr="008615A5">
        <w:rPr>
          <w:rFonts w:ascii="Verdana" w:hAnsi="Verdana"/>
          <w:sz w:val="16"/>
          <w:szCs w:val="16"/>
        </w:rPr>
        <w:tab/>
      </w:r>
      <w:r w:rsidRPr="008615A5">
        <w:rPr>
          <w:rFonts w:ascii="Verdana" w:hAnsi="Verdana"/>
          <w:i/>
          <w:sz w:val="16"/>
          <w:szCs w:val="16"/>
        </w:rPr>
        <w:t xml:space="preserve">Cfr. Caso Gelman Vs. Uruguay. Supervisión de Cumplimiento de Sentencia. </w:t>
      </w:r>
      <w:r w:rsidRPr="008615A5">
        <w:rPr>
          <w:rFonts w:ascii="Verdana" w:hAnsi="Verdana"/>
          <w:sz w:val="16"/>
          <w:szCs w:val="16"/>
        </w:rPr>
        <w:t>Resolución de la Corte Interamericana de Derechos Humanos de 20 de marzo de 2013, Considerandos 61 y 68</w:t>
      </w:r>
      <w:r w:rsidR="00EB2F10">
        <w:rPr>
          <w:rFonts w:ascii="Verdana" w:hAnsi="Verdana"/>
          <w:sz w:val="16"/>
          <w:szCs w:val="16"/>
        </w:rPr>
        <w:t>,</w:t>
      </w:r>
      <w:r w:rsidRPr="008615A5">
        <w:rPr>
          <w:rFonts w:ascii="Verdana" w:hAnsi="Verdana"/>
          <w:sz w:val="16"/>
          <w:szCs w:val="16"/>
        </w:rPr>
        <w:t xml:space="preserve"> y </w:t>
      </w:r>
      <w:r w:rsidRPr="008615A5">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Pr="008615A5">
        <w:rPr>
          <w:rStyle w:val="Textoennegrita"/>
          <w:rFonts w:ascii="Verdana" w:hAnsi="Verdana"/>
          <w:b w:val="0"/>
          <w:color w:val="000000"/>
          <w:sz w:val="16"/>
          <w:szCs w:val="16"/>
          <w:shd w:val="clear" w:color="auto" w:fill="FFFFFF"/>
        </w:rPr>
        <w:t xml:space="preserve">. </w:t>
      </w:r>
      <w:r w:rsidRPr="00FC529F">
        <w:rPr>
          <w:rStyle w:val="Textoennegrita"/>
          <w:rFonts w:ascii="Verdana" w:hAnsi="Verdana"/>
          <w:b w:val="0"/>
          <w:i/>
          <w:color w:val="000000"/>
          <w:sz w:val="16"/>
          <w:szCs w:val="16"/>
          <w:shd w:val="clear" w:color="auto" w:fill="FFFFFF"/>
        </w:rPr>
        <w:t>Supervisión de Cumplimiento de Sentencias y Competencia</w:t>
      </w:r>
      <w:r w:rsidRPr="008615A5">
        <w:rPr>
          <w:rStyle w:val="Textoennegrita"/>
          <w:rFonts w:ascii="Verdana" w:hAnsi="Verdana"/>
          <w:b w:val="0"/>
          <w:color w:val="000000"/>
          <w:sz w:val="16"/>
          <w:szCs w:val="16"/>
          <w:shd w:val="clear" w:color="auto" w:fill="FFFFFF"/>
        </w:rPr>
        <w:t>. Resolución de la Corte Interamericana de Derechos Humanos de 12 de marzo de 2019, Considerando 20.</w:t>
      </w:r>
      <w:r w:rsidRPr="008615A5">
        <w:rPr>
          <w:rStyle w:val="Textoennegrita"/>
          <w:rFonts w:ascii="Verdana" w:hAnsi="Verdana"/>
          <w:color w:val="000000"/>
          <w:sz w:val="16"/>
          <w:szCs w:val="16"/>
          <w:shd w:val="clear" w:color="auto" w:fill="FFFFFF"/>
        </w:rPr>
        <w:t xml:space="preserve"> </w:t>
      </w:r>
    </w:p>
  </w:footnote>
  <w:footnote w:id="7">
    <w:p w:rsidR="006F56B0" w:rsidRPr="008615A5" w:rsidRDefault="006F56B0" w:rsidP="00D66B91">
      <w:pPr>
        <w:pStyle w:val="Textonotapie"/>
        <w:tabs>
          <w:tab w:val="left" w:pos="709"/>
        </w:tabs>
        <w:ind w:right="-22"/>
        <w:jc w:val="both"/>
        <w:rPr>
          <w:rFonts w:ascii="Verdana" w:hAnsi="Verdana"/>
          <w:color w:val="000000"/>
          <w:sz w:val="16"/>
          <w:szCs w:val="16"/>
          <w:lang w:val="es-CR"/>
        </w:rPr>
      </w:pPr>
      <w:r w:rsidRPr="008615A5">
        <w:rPr>
          <w:rStyle w:val="Refdenotaalpie"/>
          <w:rFonts w:ascii="Verdana" w:hAnsi="Verdana"/>
          <w:sz w:val="16"/>
          <w:szCs w:val="16"/>
        </w:rPr>
        <w:footnoteRef/>
      </w:r>
      <w:r w:rsidR="0096422C">
        <w:rPr>
          <w:rFonts w:ascii="Verdana" w:hAnsi="Verdana"/>
          <w:sz w:val="16"/>
          <w:szCs w:val="16"/>
          <w:lang w:val="es-CR"/>
        </w:rPr>
        <w:t xml:space="preserve"> </w:t>
      </w:r>
      <w:r w:rsidR="00F60236">
        <w:rPr>
          <w:rFonts w:ascii="Verdana" w:hAnsi="Verdana"/>
          <w:sz w:val="16"/>
          <w:szCs w:val="16"/>
          <w:lang w:val="es-CR"/>
        </w:rPr>
        <w:tab/>
      </w:r>
      <w:r w:rsidR="005F2BE2" w:rsidRPr="008615A5">
        <w:rPr>
          <w:rFonts w:ascii="Verdana" w:hAnsi="Verdana"/>
          <w:i/>
          <w:sz w:val="16"/>
          <w:szCs w:val="16"/>
          <w:lang w:val="es-MX"/>
        </w:rPr>
        <w:t>Cfr. Caso Castillo Petruzzi y otros Vs. Perú. Supervisión de Cumplimiento de Sentencia.</w:t>
      </w:r>
      <w:r w:rsidR="005F2BE2" w:rsidRPr="008615A5">
        <w:rPr>
          <w:rFonts w:ascii="Verdana" w:hAnsi="Verdana"/>
          <w:sz w:val="16"/>
          <w:szCs w:val="16"/>
          <w:lang w:val="es-MX"/>
        </w:rPr>
        <w:t xml:space="preserve"> Resolución de la Corte Interamericana de Derechos Humanos de 17 de noviembre de 1999, Considerando </w:t>
      </w:r>
      <w:r w:rsidR="00EB2F10">
        <w:rPr>
          <w:rFonts w:ascii="Verdana" w:hAnsi="Verdana"/>
          <w:sz w:val="16"/>
          <w:szCs w:val="16"/>
          <w:lang w:val="es-MX"/>
        </w:rPr>
        <w:t>3</w:t>
      </w:r>
      <w:r w:rsidR="005F2BE2" w:rsidRPr="008615A5">
        <w:rPr>
          <w:rFonts w:ascii="Verdana" w:hAnsi="Verdana"/>
          <w:sz w:val="16"/>
          <w:szCs w:val="16"/>
          <w:lang w:val="es-MX"/>
        </w:rPr>
        <w:t>, y</w:t>
      </w:r>
      <w:r w:rsidR="005F2BE2" w:rsidRPr="008615A5">
        <w:rPr>
          <w:rFonts w:ascii="Verdana" w:hAnsi="Verdana"/>
          <w:sz w:val="16"/>
          <w:szCs w:val="16"/>
          <w:lang w:val="es-AR"/>
        </w:rPr>
        <w:t xml:space="preserve"> </w:t>
      </w:r>
      <w:r w:rsidR="002A6F14" w:rsidRPr="008615A5">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00F60236">
        <w:rPr>
          <w:rStyle w:val="Textoennegrita"/>
          <w:rFonts w:ascii="Verdana" w:hAnsi="Verdana"/>
          <w:b w:val="0"/>
          <w:color w:val="000000"/>
          <w:sz w:val="16"/>
          <w:szCs w:val="16"/>
          <w:shd w:val="clear" w:color="auto" w:fill="FFFFFF"/>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002A6F14" w:rsidRPr="008615A5">
        <w:rPr>
          <w:rStyle w:val="Textoennegrita"/>
          <w:rFonts w:ascii="Verdana" w:hAnsi="Verdana"/>
          <w:b w:val="0"/>
          <w:color w:val="000000"/>
          <w:sz w:val="16"/>
          <w:szCs w:val="16"/>
          <w:shd w:val="clear" w:color="auto" w:fill="FFFFFF"/>
        </w:rPr>
        <w:t>, Considerando 21.</w:t>
      </w:r>
    </w:p>
  </w:footnote>
  <w:footnote w:id="8">
    <w:p w:rsidR="00D66B91" w:rsidRPr="008615A5" w:rsidRDefault="00D66B91" w:rsidP="00D66B91">
      <w:pPr>
        <w:pStyle w:val="Textonotapie"/>
        <w:jc w:val="both"/>
        <w:rPr>
          <w:rFonts w:ascii="Verdana" w:hAnsi="Verdana"/>
          <w:b/>
          <w:sz w:val="16"/>
          <w:szCs w:val="16"/>
        </w:rPr>
      </w:pPr>
      <w:r w:rsidRPr="008615A5">
        <w:rPr>
          <w:rStyle w:val="Refdenotaalpie"/>
          <w:rFonts w:ascii="Verdana" w:hAnsi="Verdana"/>
          <w:sz w:val="16"/>
          <w:szCs w:val="16"/>
        </w:rPr>
        <w:footnoteRef/>
      </w:r>
      <w:r w:rsidR="0096422C">
        <w:rPr>
          <w:rFonts w:ascii="Verdana" w:hAnsi="Verdana"/>
          <w:sz w:val="16"/>
          <w:szCs w:val="16"/>
        </w:rPr>
        <w:t xml:space="preserve"> </w:t>
      </w:r>
      <w:r w:rsidR="00F60236">
        <w:rPr>
          <w:rFonts w:ascii="Verdana" w:hAnsi="Verdana"/>
          <w:sz w:val="16"/>
          <w:szCs w:val="16"/>
        </w:rPr>
        <w:tab/>
      </w:r>
      <w:r w:rsidRPr="008615A5">
        <w:rPr>
          <w:rFonts w:ascii="Verdana" w:hAnsi="Verdana"/>
          <w:i/>
          <w:iCs/>
          <w:sz w:val="16"/>
          <w:szCs w:val="16"/>
        </w:rPr>
        <w:t>Cfr.</w:t>
      </w:r>
      <w:r w:rsidR="008615A5" w:rsidRPr="008615A5">
        <w:rPr>
          <w:rFonts w:ascii="Verdana" w:hAnsi="Verdana"/>
          <w:i/>
          <w:sz w:val="16"/>
          <w:szCs w:val="16"/>
        </w:rPr>
        <w:t xml:space="preserve"> Caso Gelman Vs. Uruguay. Supervisión de Cumplimiento de Sentencia</w:t>
      </w:r>
      <w:r w:rsidR="00F60236">
        <w:rPr>
          <w:rFonts w:ascii="Verdana" w:hAnsi="Verdana"/>
          <w:i/>
          <w:sz w:val="16"/>
          <w:szCs w:val="16"/>
        </w:rPr>
        <w:t>,</w:t>
      </w:r>
      <w:r w:rsidR="008615A5" w:rsidRPr="008615A5">
        <w:rPr>
          <w:rFonts w:ascii="Verdana" w:hAnsi="Verdana"/>
          <w:i/>
          <w:sz w:val="16"/>
          <w:szCs w:val="16"/>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008615A5" w:rsidRPr="008615A5">
        <w:rPr>
          <w:rFonts w:ascii="Verdana" w:hAnsi="Verdana"/>
          <w:sz w:val="16"/>
          <w:szCs w:val="16"/>
        </w:rPr>
        <w:t xml:space="preserve">, </w:t>
      </w:r>
      <w:r w:rsidR="008615A5">
        <w:rPr>
          <w:rFonts w:ascii="Verdana" w:hAnsi="Verdana"/>
          <w:sz w:val="16"/>
          <w:szCs w:val="16"/>
        </w:rPr>
        <w:t>Considerando 59</w:t>
      </w:r>
      <w:r w:rsidR="00EB2F10">
        <w:rPr>
          <w:rFonts w:ascii="Verdana" w:hAnsi="Verdana"/>
          <w:sz w:val="16"/>
          <w:szCs w:val="16"/>
        </w:rPr>
        <w:t>,</w:t>
      </w:r>
      <w:r w:rsidR="008615A5">
        <w:rPr>
          <w:rFonts w:ascii="Verdana" w:hAnsi="Verdana"/>
          <w:sz w:val="16"/>
          <w:szCs w:val="16"/>
        </w:rPr>
        <w:t xml:space="preserve"> y</w:t>
      </w:r>
      <w:r w:rsidRPr="008615A5">
        <w:rPr>
          <w:rFonts w:ascii="Verdana" w:hAnsi="Verdana"/>
          <w:sz w:val="16"/>
          <w:szCs w:val="16"/>
        </w:rPr>
        <w:t xml:space="preserve"> </w:t>
      </w:r>
      <w:r w:rsidRPr="008615A5">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00F60236">
        <w:rPr>
          <w:rStyle w:val="Textoennegrita"/>
          <w:rFonts w:ascii="Verdana" w:hAnsi="Verdana"/>
          <w:b w:val="0"/>
          <w:color w:val="000000"/>
          <w:sz w:val="16"/>
          <w:szCs w:val="16"/>
          <w:shd w:val="clear" w:color="auto" w:fill="FFFFFF"/>
        </w:rPr>
        <w:t>,</w:t>
      </w:r>
      <w:r w:rsidRPr="008615A5">
        <w:rPr>
          <w:rStyle w:val="Textoennegrita"/>
          <w:rFonts w:ascii="Verdana" w:hAnsi="Verdana"/>
          <w:b w:val="0"/>
          <w:color w:val="000000"/>
          <w:sz w:val="16"/>
          <w:szCs w:val="16"/>
          <w:shd w:val="clear" w:color="auto" w:fill="FFFFFF"/>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Pr="008615A5">
        <w:rPr>
          <w:rStyle w:val="Textoennegrita"/>
          <w:rFonts w:ascii="Verdana" w:hAnsi="Verdana"/>
          <w:b w:val="0"/>
          <w:color w:val="000000"/>
          <w:sz w:val="16"/>
          <w:szCs w:val="16"/>
          <w:shd w:val="clear" w:color="auto" w:fill="FFFFFF"/>
        </w:rPr>
        <w:t>, Considerando 21.</w:t>
      </w:r>
    </w:p>
  </w:footnote>
  <w:footnote w:id="9">
    <w:p w:rsidR="006F56B0" w:rsidRPr="008615A5" w:rsidRDefault="006F56B0" w:rsidP="00D66B91">
      <w:pPr>
        <w:pStyle w:val="Textonotapie"/>
        <w:tabs>
          <w:tab w:val="left" w:pos="709"/>
        </w:tabs>
        <w:ind w:right="-22"/>
        <w:jc w:val="both"/>
        <w:rPr>
          <w:rFonts w:ascii="Verdana" w:hAnsi="Verdana"/>
          <w:sz w:val="16"/>
          <w:szCs w:val="16"/>
          <w:lang w:val="es-CR"/>
        </w:rPr>
      </w:pPr>
      <w:r w:rsidRPr="008615A5">
        <w:rPr>
          <w:rStyle w:val="Refdenotaalpie"/>
          <w:rFonts w:ascii="Verdana" w:hAnsi="Verdana"/>
          <w:sz w:val="16"/>
          <w:szCs w:val="16"/>
        </w:rPr>
        <w:footnoteRef/>
      </w:r>
      <w:r w:rsidR="0096422C">
        <w:rPr>
          <w:rFonts w:ascii="Verdana" w:hAnsi="Verdana"/>
          <w:sz w:val="16"/>
          <w:szCs w:val="16"/>
          <w:lang w:val="es-CR"/>
        </w:rPr>
        <w:t xml:space="preserve"> </w:t>
      </w:r>
      <w:r w:rsidR="00F60236">
        <w:rPr>
          <w:rFonts w:ascii="Verdana" w:hAnsi="Verdana"/>
          <w:sz w:val="16"/>
          <w:szCs w:val="16"/>
          <w:lang w:val="es-CR"/>
        </w:rPr>
        <w:tab/>
      </w:r>
      <w:r w:rsidR="00BD142B" w:rsidRPr="008615A5">
        <w:rPr>
          <w:rFonts w:ascii="Verdana" w:hAnsi="Verdana"/>
          <w:i/>
          <w:sz w:val="16"/>
          <w:szCs w:val="16"/>
          <w:lang w:val="es-CR"/>
        </w:rPr>
        <w:t>Cfr.</w:t>
      </w:r>
      <w:r w:rsidR="00BD142B" w:rsidRPr="008615A5">
        <w:rPr>
          <w:rFonts w:ascii="Verdana" w:hAnsi="Verdana"/>
          <w:sz w:val="16"/>
          <w:szCs w:val="16"/>
          <w:lang w:val="es-CR"/>
        </w:rPr>
        <w:t xml:space="preserve"> </w:t>
      </w:r>
      <w:r w:rsidR="00BD142B" w:rsidRPr="008615A5">
        <w:rPr>
          <w:rFonts w:ascii="Verdana" w:hAnsi="Verdana"/>
          <w:i/>
          <w:sz w:val="16"/>
          <w:szCs w:val="16"/>
          <w:lang w:val="es-CR"/>
        </w:rPr>
        <w:t>Caso Garrido y Baigorria Vs. Argentina. Reparaciones y costas.</w:t>
      </w:r>
      <w:r w:rsidR="00BD142B" w:rsidRPr="008615A5">
        <w:rPr>
          <w:rFonts w:ascii="Verdana" w:hAnsi="Verdana"/>
          <w:sz w:val="16"/>
          <w:szCs w:val="16"/>
          <w:lang w:val="es-CR"/>
        </w:rPr>
        <w:t xml:space="preserve"> Sentencia de 27 de agosto de 1998. Serie C No. 39, párr. 40, y</w:t>
      </w:r>
      <w:r w:rsidR="00BD142B" w:rsidRPr="008615A5">
        <w:rPr>
          <w:rFonts w:ascii="Verdana" w:hAnsi="Verdana"/>
          <w:b/>
          <w:sz w:val="16"/>
          <w:szCs w:val="16"/>
          <w:lang w:val="es-CR"/>
        </w:rPr>
        <w:t xml:space="preserve"> </w:t>
      </w:r>
      <w:r w:rsidR="00DC7582" w:rsidRPr="0096422C">
        <w:rPr>
          <w:rStyle w:val="Textoennegrita"/>
          <w:rFonts w:ascii="Verdana" w:hAnsi="Verdana"/>
          <w:b w:val="0"/>
          <w:i/>
          <w:color w:val="000000"/>
          <w:sz w:val="16"/>
          <w:szCs w:val="16"/>
          <w:shd w:val="clear" w:color="auto" w:fill="FFFFFF"/>
        </w:rPr>
        <w:t>Caso de la Comunidad Moiwana Vs. Surinam.</w:t>
      </w:r>
      <w:r w:rsidR="00DC7582" w:rsidRPr="008615A5">
        <w:rPr>
          <w:rStyle w:val="Textoennegrita"/>
          <w:rFonts w:ascii="Verdana" w:hAnsi="Verdana"/>
          <w:b w:val="0"/>
          <w:color w:val="000000"/>
          <w:sz w:val="16"/>
          <w:szCs w:val="16"/>
          <w:shd w:val="clear" w:color="auto" w:fill="FFFFFF"/>
        </w:rPr>
        <w:t xml:space="preserve"> </w:t>
      </w:r>
      <w:r w:rsidR="00DC7582" w:rsidRPr="00FC529F">
        <w:rPr>
          <w:rStyle w:val="Textoennegrita"/>
          <w:rFonts w:ascii="Verdana" w:hAnsi="Verdana"/>
          <w:b w:val="0"/>
          <w:i/>
          <w:color w:val="000000"/>
          <w:sz w:val="16"/>
          <w:szCs w:val="16"/>
          <w:shd w:val="clear" w:color="auto" w:fill="FFFFFF"/>
        </w:rPr>
        <w:t>Supervisión de Cumplimiento de Sentencia</w:t>
      </w:r>
      <w:r w:rsidR="00DC7582" w:rsidRPr="008615A5">
        <w:rPr>
          <w:rStyle w:val="Textoennegrita"/>
          <w:rFonts w:ascii="Verdana" w:hAnsi="Verdana"/>
          <w:b w:val="0"/>
          <w:color w:val="000000"/>
          <w:sz w:val="16"/>
          <w:szCs w:val="16"/>
          <w:shd w:val="clear" w:color="auto" w:fill="FFFFFF"/>
        </w:rPr>
        <w:t xml:space="preserve">. Resolución de la Corte Interamericana de Derechos Humanos de 21 de noviembre de 2018, Considerando </w:t>
      </w:r>
      <w:r w:rsidR="00EB2F10">
        <w:rPr>
          <w:rStyle w:val="Textoennegrita"/>
          <w:rFonts w:ascii="Verdana" w:hAnsi="Verdana"/>
          <w:b w:val="0"/>
          <w:color w:val="000000"/>
          <w:sz w:val="16"/>
          <w:szCs w:val="16"/>
          <w:shd w:val="clear" w:color="auto" w:fill="FFFFFF"/>
        </w:rPr>
        <w:t>3</w:t>
      </w:r>
      <w:r w:rsidR="00DC7582" w:rsidRPr="008615A5">
        <w:rPr>
          <w:rStyle w:val="Textoennegrita"/>
          <w:rFonts w:ascii="Verdana" w:hAnsi="Verdana"/>
          <w:b w:val="0"/>
          <w:color w:val="000000"/>
          <w:sz w:val="16"/>
          <w:szCs w:val="16"/>
          <w:shd w:val="clear" w:color="auto" w:fill="FFFFFF"/>
        </w:rPr>
        <w:t xml:space="preserve">. </w:t>
      </w:r>
    </w:p>
  </w:footnote>
  <w:footnote w:id="10">
    <w:p w:rsidR="006F56B0" w:rsidRPr="008615A5" w:rsidRDefault="006F56B0" w:rsidP="007822BA">
      <w:pPr>
        <w:pStyle w:val="Textonotapie"/>
        <w:tabs>
          <w:tab w:val="left" w:pos="709"/>
        </w:tabs>
        <w:ind w:right="-22"/>
        <w:jc w:val="both"/>
        <w:rPr>
          <w:rFonts w:ascii="Verdana" w:hAnsi="Verdana"/>
          <w:sz w:val="16"/>
          <w:szCs w:val="16"/>
          <w:lang w:val="es-CR"/>
        </w:rPr>
      </w:pPr>
      <w:r w:rsidRPr="008615A5">
        <w:rPr>
          <w:rStyle w:val="Refdenotaalpie"/>
          <w:rFonts w:ascii="Verdana" w:hAnsi="Verdana"/>
          <w:sz w:val="16"/>
          <w:szCs w:val="16"/>
        </w:rPr>
        <w:footnoteRef/>
      </w:r>
      <w:r w:rsidR="0096422C">
        <w:rPr>
          <w:rFonts w:ascii="Verdana" w:hAnsi="Verdana"/>
          <w:sz w:val="16"/>
          <w:szCs w:val="16"/>
          <w:lang w:val="es-CR"/>
        </w:rPr>
        <w:t xml:space="preserve"> </w:t>
      </w:r>
      <w:r w:rsidR="00F60236">
        <w:rPr>
          <w:rFonts w:ascii="Verdana" w:hAnsi="Verdana"/>
          <w:sz w:val="16"/>
          <w:szCs w:val="16"/>
          <w:lang w:val="es-CR"/>
        </w:rPr>
        <w:tab/>
      </w:r>
      <w:r w:rsidRPr="008615A5">
        <w:rPr>
          <w:rFonts w:ascii="Verdana" w:hAnsi="Verdana"/>
          <w:i/>
          <w:sz w:val="16"/>
          <w:szCs w:val="16"/>
          <w:lang w:val="pl-PL"/>
        </w:rPr>
        <w:t>Cfr</w:t>
      </w:r>
      <w:r w:rsidRPr="008615A5">
        <w:rPr>
          <w:rFonts w:ascii="Verdana" w:hAnsi="Verdana"/>
          <w:sz w:val="16"/>
          <w:szCs w:val="16"/>
          <w:lang w:val="pl-PL"/>
        </w:rPr>
        <w:t xml:space="preserve">. </w:t>
      </w:r>
      <w:r w:rsidR="00727E2C" w:rsidRPr="008615A5">
        <w:rPr>
          <w:rFonts w:ascii="Verdana" w:hAnsi="Verdana"/>
          <w:i/>
          <w:sz w:val="16"/>
          <w:szCs w:val="16"/>
          <w:lang w:val="es-CR"/>
        </w:rPr>
        <w:t>Caso Barrios Altos</w:t>
      </w:r>
      <w:r w:rsidRPr="008615A5">
        <w:rPr>
          <w:rFonts w:ascii="Verdana" w:hAnsi="Verdana"/>
          <w:i/>
          <w:sz w:val="16"/>
          <w:szCs w:val="16"/>
          <w:lang w:val="es-CR"/>
        </w:rPr>
        <w:t xml:space="preserve"> Vs. </w:t>
      </w:r>
      <w:r w:rsidR="00727E2C" w:rsidRPr="008615A5">
        <w:rPr>
          <w:rFonts w:ascii="Verdana" w:hAnsi="Verdana"/>
          <w:i/>
          <w:sz w:val="16"/>
          <w:szCs w:val="16"/>
          <w:lang w:val="es-CR"/>
        </w:rPr>
        <w:t>Perú</w:t>
      </w:r>
      <w:r w:rsidRPr="008615A5">
        <w:rPr>
          <w:rFonts w:ascii="Verdana" w:hAnsi="Verdana"/>
          <w:i/>
          <w:sz w:val="16"/>
          <w:szCs w:val="16"/>
          <w:lang w:val="es-CR"/>
        </w:rPr>
        <w:t>. Supervisión de Cumplimiento de Sentencia.</w:t>
      </w:r>
      <w:r w:rsidRPr="008615A5">
        <w:rPr>
          <w:rFonts w:ascii="Verdana" w:hAnsi="Verdana"/>
          <w:sz w:val="16"/>
          <w:szCs w:val="16"/>
          <w:lang w:val="es-CR"/>
        </w:rPr>
        <w:t xml:space="preserve"> Resolución de la Corte Interamericana de Derechos Humanos de </w:t>
      </w:r>
      <w:r w:rsidR="00727E2C" w:rsidRPr="008615A5">
        <w:rPr>
          <w:rFonts w:ascii="Verdana" w:hAnsi="Verdana"/>
          <w:sz w:val="16"/>
          <w:szCs w:val="16"/>
          <w:lang w:val="es-CR"/>
        </w:rPr>
        <w:t xml:space="preserve">22 </w:t>
      </w:r>
      <w:r w:rsidRPr="008615A5">
        <w:rPr>
          <w:rFonts w:ascii="Verdana" w:hAnsi="Verdana"/>
          <w:sz w:val="16"/>
          <w:szCs w:val="16"/>
          <w:lang w:val="es-CR"/>
        </w:rPr>
        <w:t xml:space="preserve">de </w:t>
      </w:r>
      <w:r w:rsidR="00727E2C" w:rsidRPr="008615A5">
        <w:rPr>
          <w:rFonts w:ascii="Verdana" w:hAnsi="Verdana"/>
          <w:sz w:val="16"/>
          <w:szCs w:val="16"/>
          <w:lang w:val="es-CR"/>
        </w:rPr>
        <w:t xml:space="preserve">septiembre </w:t>
      </w:r>
      <w:r w:rsidRPr="008615A5">
        <w:rPr>
          <w:rFonts w:ascii="Verdana" w:hAnsi="Verdana"/>
          <w:sz w:val="16"/>
          <w:szCs w:val="16"/>
          <w:lang w:val="es-CR"/>
        </w:rPr>
        <w:t xml:space="preserve">de </w:t>
      </w:r>
      <w:r w:rsidR="00727E2C" w:rsidRPr="008615A5">
        <w:rPr>
          <w:rFonts w:ascii="Verdana" w:hAnsi="Verdana"/>
          <w:sz w:val="16"/>
          <w:szCs w:val="16"/>
          <w:lang w:val="es-CR"/>
        </w:rPr>
        <w:t>2005</w:t>
      </w:r>
      <w:r w:rsidRPr="008615A5">
        <w:rPr>
          <w:rFonts w:ascii="Verdana" w:hAnsi="Verdana"/>
          <w:sz w:val="16"/>
          <w:szCs w:val="16"/>
          <w:lang w:val="es-CR"/>
        </w:rPr>
        <w:t xml:space="preserve">, Considerando </w:t>
      </w:r>
      <w:r w:rsidR="00EB2F10">
        <w:rPr>
          <w:rFonts w:ascii="Verdana" w:hAnsi="Verdana"/>
          <w:sz w:val="16"/>
          <w:szCs w:val="16"/>
          <w:lang w:val="es-CR"/>
        </w:rPr>
        <w:t>7</w:t>
      </w:r>
      <w:r w:rsidR="00727E2C" w:rsidRPr="008615A5">
        <w:rPr>
          <w:rFonts w:ascii="Verdana" w:hAnsi="Verdana"/>
          <w:sz w:val="16"/>
          <w:szCs w:val="16"/>
          <w:lang w:val="es-CR"/>
        </w:rPr>
        <w:t xml:space="preserve">, y </w:t>
      </w:r>
      <w:r w:rsidR="008615A5" w:rsidRPr="008615A5">
        <w:rPr>
          <w:rStyle w:val="Textoennegrita"/>
          <w:rFonts w:ascii="Verdana" w:hAnsi="Verdana"/>
          <w:b w:val="0"/>
          <w:i/>
          <w:color w:val="000000"/>
          <w:sz w:val="16"/>
          <w:szCs w:val="16"/>
          <w:shd w:val="clear" w:color="auto" w:fill="FFFFFF"/>
        </w:rPr>
        <w:t>Caso de la Comunidad Moiwana Vs. Surinam</w:t>
      </w:r>
      <w:r w:rsidR="00F60236">
        <w:rPr>
          <w:rStyle w:val="Textoennegrita"/>
          <w:rFonts w:ascii="Verdana" w:hAnsi="Verdana"/>
          <w:b w:val="0"/>
          <w:i/>
          <w:color w:val="000000"/>
          <w:sz w:val="16"/>
          <w:szCs w:val="16"/>
          <w:shd w:val="clear" w:color="auto" w:fill="FFFFFF"/>
        </w:rPr>
        <w:t xml:space="preserve">, supra </w:t>
      </w:r>
      <w:r w:rsidR="00F60236">
        <w:rPr>
          <w:rStyle w:val="Textoennegrita"/>
          <w:rFonts w:ascii="Verdana" w:hAnsi="Verdana"/>
          <w:b w:val="0"/>
          <w:color w:val="000000"/>
          <w:sz w:val="16"/>
          <w:szCs w:val="16"/>
          <w:shd w:val="clear" w:color="auto" w:fill="FFFFFF"/>
        </w:rPr>
        <w:t>nota 9</w:t>
      </w:r>
      <w:r w:rsidR="008615A5">
        <w:rPr>
          <w:rStyle w:val="Textoennegrita"/>
          <w:rFonts w:ascii="Verdana" w:hAnsi="Verdana"/>
          <w:b w:val="0"/>
          <w:color w:val="000000"/>
          <w:sz w:val="16"/>
          <w:szCs w:val="16"/>
          <w:shd w:val="clear" w:color="auto" w:fill="FFFFFF"/>
        </w:rPr>
        <w:t xml:space="preserve">, Considerando 3. </w:t>
      </w:r>
    </w:p>
  </w:footnote>
  <w:footnote w:id="11">
    <w:p w:rsidR="00D30244" w:rsidRPr="008615A5" w:rsidRDefault="00D30244" w:rsidP="007822BA">
      <w:pPr>
        <w:pStyle w:val="Textoindependiente"/>
        <w:spacing w:after="0" w:line="240" w:lineRule="auto"/>
        <w:ind w:right="-22"/>
        <w:jc w:val="both"/>
        <w:rPr>
          <w:rFonts w:ascii="Verdana" w:hAnsi="Verdana"/>
          <w:bCs/>
          <w:sz w:val="16"/>
          <w:szCs w:val="16"/>
        </w:rPr>
      </w:pPr>
      <w:r w:rsidRPr="008615A5">
        <w:rPr>
          <w:rStyle w:val="Refdenotaalpie"/>
          <w:rFonts w:ascii="Verdana" w:hAnsi="Verdana"/>
          <w:sz w:val="16"/>
          <w:szCs w:val="16"/>
        </w:rPr>
        <w:footnoteRef/>
      </w:r>
      <w:r w:rsidR="0096422C">
        <w:rPr>
          <w:rFonts w:ascii="Verdana" w:hAnsi="Verdana"/>
          <w:sz w:val="16"/>
          <w:szCs w:val="16"/>
        </w:rPr>
        <w:t xml:space="preserve"> </w:t>
      </w:r>
      <w:r w:rsidR="00F60236">
        <w:rPr>
          <w:rFonts w:ascii="Verdana" w:hAnsi="Verdana"/>
          <w:sz w:val="16"/>
          <w:szCs w:val="16"/>
        </w:rPr>
        <w:tab/>
      </w:r>
      <w:r w:rsidRPr="008615A5">
        <w:rPr>
          <w:rFonts w:ascii="Verdana" w:hAnsi="Verdana"/>
          <w:i/>
          <w:sz w:val="16"/>
          <w:szCs w:val="16"/>
        </w:rPr>
        <w:t>Cfr.</w:t>
      </w:r>
      <w:r w:rsidRPr="008615A5">
        <w:rPr>
          <w:rFonts w:ascii="Verdana" w:hAnsi="Verdana"/>
          <w:sz w:val="16"/>
          <w:szCs w:val="16"/>
        </w:rPr>
        <w:t xml:space="preserve"> </w:t>
      </w:r>
      <w:r w:rsidRPr="008615A5">
        <w:rPr>
          <w:rFonts w:ascii="Verdana" w:hAnsi="Verdana"/>
          <w:i/>
          <w:sz w:val="16"/>
          <w:szCs w:val="16"/>
        </w:rPr>
        <w:t xml:space="preserve">Caso </w:t>
      </w:r>
      <w:r w:rsidRPr="008615A5">
        <w:rPr>
          <w:rStyle w:val="Textoennegrita"/>
          <w:rFonts w:ascii="Verdana" w:hAnsi="Verdana"/>
          <w:b w:val="0"/>
          <w:i/>
          <w:sz w:val="16"/>
          <w:szCs w:val="16"/>
        </w:rPr>
        <w:t>Baena Ricardo y otros Vs. Panamá. Competencia.</w:t>
      </w:r>
      <w:r w:rsidRPr="008615A5">
        <w:rPr>
          <w:rStyle w:val="Textoennegrita"/>
          <w:rFonts w:ascii="Verdana" w:hAnsi="Verdana"/>
          <w:b w:val="0"/>
          <w:sz w:val="16"/>
          <w:szCs w:val="16"/>
        </w:rPr>
        <w:t xml:space="preserve"> Sentencia de 28 de noviembre de 2003. Serie C No. 104, párr. 83</w:t>
      </w:r>
      <w:r w:rsidR="00EB4974" w:rsidRPr="008615A5">
        <w:rPr>
          <w:rStyle w:val="Textoennegrita"/>
          <w:rFonts w:ascii="Verdana" w:hAnsi="Verdana"/>
          <w:b w:val="0"/>
          <w:sz w:val="16"/>
          <w:szCs w:val="16"/>
        </w:rPr>
        <w:t>,</w:t>
      </w:r>
      <w:r w:rsidRPr="008615A5">
        <w:rPr>
          <w:rStyle w:val="Textoennegrita"/>
          <w:rFonts w:ascii="Verdana" w:hAnsi="Verdana"/>
          <w:sz w:val="16"/>
          <w:szCs w:val="16"/>
        </w:rPr>
        <w:t xml:space="preserve"> </w:t>
      </w:r>
      <w:r w:rsidR="00026AAD" w:rsidRPr="008615A5">
        <w:rPr>
          <w:rStyle w:val="Textoennegrita"/>
          <w:rFonts w:ascii="Verdana" w:hAnsi="Verdana"/>
          <w:b w:val="0"/>
          <w:i/>
          <w:color w:val="000000"/>
          <w:sz w:val="16"/>
          <w:szCs w:val="16"/>
          <w:shd w:val="clear" w:color="auto" w:fill="FFFFFF"/>
        </w:rPr>
        <w:t>y Caso de Personas dominicanas y haitianas expulsadas Vs. República Dominicana</w:t>
      </w:r>
      <w:r w:rsidR="00F60236">
        <w:rPr>
          <w:rStyle w:val="Textoennegrita"/>
          <w:rFonts w:ascii="Verdana" w:hAnsi="Verdana"/>
          <w:b w:val="0"/>
          <w:color w:val="000000"/>
          <w:sz w:val="16"/>
          <w:szCs w:val="16"/>
          <w:shd w:val="clear" w:color="auto" w:fill="FFFFFF"/>
        </w:rPr>
        <w:t>,</w:t>
      </w:r>
      <w:r w:rsidR="00026AAD" w:rsidRPr="008615A5">
        <w:rPr>
          <w:rStyle w:val="Textoennegrita"/>
          <w:rFonts w:ascii="Verdana" w:hAnsi="Verdana"/>
          <w:b w:val="0"/>
          <w:color w:val="000000"/>
          <w:sz w:val="16"/>
          <w:szCs w:val="16"/>
          <w:shd w:val="clear" w:color="auto" w:fill="FFFFFF"/>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00026AAD" w:rsidRPr="008615A5">
        <w:rPr>
          <w:rStyle w:val="Textoennegrita"/>
          <w:rFonts w:ascii="Verdana" w:hAnsi="Verdana"/>
          <w:b w:val="0"/>
          <w:color w:val="000000"/>
          <w:sz w:val="16"/>
          <w:szCs w:val="16"/>
          <w:shd w:val="clear" w:color="auto" w:fill="FFFFFF"/>
        </w:rPr>
        <w:t>, Considerando 21</w:t>
      </w:r>
      <w:r w:rsidR="00026AAD" w:rsidRPr="000F2452">
        <w:rPr>
          <w:rStyle w:val="Textoennegrita"/>
          <w:rFonts w:ascii="Verdana" w:hAnsi="Verdana"/>
          <w:b w:val="0"/>
          <w:color w:val="000000"/>
          <w:sz w:val="16"/>
          <w:szCs w:val="16"/>
          <w:shd w:val="clear" w:color="auto" w:fill="FFFFFF"/>
        </w:rPr>
        <w:t>.</w:t>
      </w:r>
    </w:p>
  </w:footnote>
  <w:footnote w:id="12">
    <w:p w:rsidR="006F56B0" w:rsidRPr="00EA5DA0" w:rsidRDefault="006F56B0" w:rsidP="007822BA">
      <w:pPr>
        <w:pStyle w:val="Textonotapie"/>
        <w:tabs>
          <w:tab w:val="left" w:pos="567"/>
        </w:tabs>
        <w:ind w:right="-22"/>
        <w:jc w:val="both"/>
        <w:rPr>
          <w:rFonts w:ascii="Verdana" w:hAnsi="Verdana"/>
          <w:color w:val="000000"/>
          <w:sz w:val="16"/>
          <w:szCs w:val="16"/>
          <w:lang w:val="es-CR"/>
        </w:rPr>
      </w:pPr>
      <w:r w:rsidRPr="008615A5">
        <w:rPr>
          <w:rStyle w:val="Refdenotaalpie"/>
          <w:rFonts w:ascii="Verdana" w:hAnsi="Verdana"/>
          <w:sz w:val="16"/>
          <w:szCs w:val="16"/>
        </w:rPr>
        <w:footnoteRef/>
      </w:r>
      <w:r w:rsidR="0096422C">
        <w:rPr>
          <w:rFonts w:ascii="Verdana" w:hAnsi="Verdana"/>
          <w:sz w:val="16"/>
          <w:szCs w:val="16"/>
        </w:rPr>
        <w:t xml:space="preserve"> </w:t>
      </w:r>
      <w:r w:rsidR="00F60236">
        <w:rPr>
          <w:rFonts w:ascii="Verdana" w:hAnsi="Verdana"/>
          <w:sz w:val="16"/>
          <w:szCs w:val="16"/>
        </w:rPr>
        <w:tab/>
      </w:r>
      <w:r w:rsidRPr="008615A5">
        <w:rPr>
          <w:rFonts w:ascii="Verdana" w:hAnsi="Verdana"/>
          <w:i/>
          <w:sz w:val="16"/>
          <w:szCs w:val="16"/>
        </w:rPr>
        <w:t>Cfr. Caso Caesar Vs. Trinidad y Tobago. Fondo, Reparaciones y Costas.</w:t>
      </w:r>
      <w:r w:rsidRPr="008615A5">
        <w:rPr>
          <w:rFonts w:ascii="Verdana" w:hAnsi="Verdana"/>
          <w:sz w:val="16"/>
          <w:szCs w:val="16"/>
        </w:rPr>
        <w:t xml:space="preserve"> Sentencia de 11 de marzo de 2005. </w:t>
      </w:r>
      <w:r w:rsidRPr="00EA5DA0">
        <w:rPr>
          <w:rFonts w:ascii="Verdana" w:hAnsi="Verdana"/>
          <w:sz w:val="16"/>
          <w:szCs w:val="16"/>
        </w:rPr>
        <w:t>Serie C No. 123, párr. 38, y</w:t>
      </w:r>
      <w:r w:rsidRPr="00EA5DA0">
        <w:rPr>
          <w:rFonts w:ascii="Verdana" w:hAnsi="Verdana"/>
          <w:i/>
          <w:sz w:val="16"/>
          <w:szCs w:val="16"/>
        </w:rPr>
        <w:t xml:space="preserve"> </w:t>
      </w:r>
      <w:r w:rsidR="000F2452" w:rsidRPr="00EA5DA0">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00F60236">
        <w:rPr>
          <w:rStyle w:val="Textoennegrita"/>
          <w:rFonts w:ascii="Verdana" w:hAnsi="Verdana"/>
          <w:b w:val="0"/>
          <w:color w:val="000000"/>
          <w:sz w:val="16"/>
          <w:szCs w:val="16"/>
          <w:shd w:val="clear" w:color="auto" w:fill="FFFFFF"/>
        </w:rPr>
        <w:t>,</w:t>
      </w:r>
      <w:r w:rsidR="000F2452" w:rsidRPr="00EA5DA0">
        <w:rPr>
          <w:rStyle w:val="Textoennegrita"/>
          <w:rFonts w:ascii="Verdana" w:hAnsi="Verdana"/>
          <w:b w:val="0"/>
          <w:color w:val="000000"/>
          <w:sz w:val="16"/>
          <w:szCs w:val="16"/>
          <w:shd w:val="clear" w:color="auto" w:fill="FFFFFF"/>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000F2452" w:rsidRPr="00EA5DA0">
        <w:rPr>
          <w:rStyle w:val="Textoennegrita"/>
          <w:rFonts w:ascii="Verdana" w:hAnsi="Verdana"/>
          <w:b w:val="0"/>
          <w:color w:val="000000"/>
          <w:sz w:val="16"/>
          <w:szCs w:val="16"/>
          <w:shd w:val="clear" w:color="auto" w:fill="FFFFFF"/>
        </w:rPr>
        <w:t xml:space="preserve">, Considerando 23. </w:t>
      </w:r>
    </w:p>
  </w:footnote>
  <w:footnote w:id="13">
    <w:p w:rsidR="006F56B0" w:rsidRPr="00EA5DA0" w:rsidRDefault="006F56B0" w:rsidP="00EA5DA0">
      <w:pPr>
        <w:tabs>
          <w:tab w:val="left" w:pos="567"/>
          <w:tab w:val="left" w:pos="720"/>
          <w:tab w:val="left" w:pos="1440"/>
          <w:tab w:val="left" w:pos="2160"/>
        </w:tabs>
        <w:spacing w:line="240" w:lineRule="auto"/>
        <w:ind w:right="-22"/>
        <w:jc w:val="both"/>
        <w:rPr>
          <w:rFonts w:ascii="Verdana" w:hAnsi="Verdana"/>
          <w:sz w:val="16"/>
          <w:szCs w:val="16"/>
        </w:rPr>
      </w:pPr>
      <w:r w:rsidRPr="00EA5DA0">
        <w:rPr>
          <w:rStyle w:val="Refdenotaalpie"/>
          <w:rFonts w:ascii="Verdana" w:hAnsi="Verdana"/>
          <w:sz w:val="16"/>
          <w:szCs w:val="16"/>
        </w:rPr>
        <w:footnoteRef/>
      </w:r>
      <w:r w:rsidR="0096422C" w:rsidRPr="00EA5DA0">
        <w:rPr>
          <w:rFonts w:ascii="Verdana" w:hAnsi="Verdana"/>
          <w:sz w:val="16"/>
          <w:szCs w:val="16"/>
        </w:rPr>
        <w:t xml:space="preserve"> </w:t>
      </w:r>
      <w:r w:rsidR="00F60236">
        <w:rPr>
          <w:rFonts w:ascii="Verdana" w:hAnsi="Verdana"/>
          <w:sz w:val="16"/>
          <w:szCs w:val="16"/>
        </w:rPr>
        <w:tab/>
      </w:r>
      <w:r w:rsidR="00EB4974" w:rsidRPr="00EA5DA0">
        <w:rPr>
          <w:rFonts w:ascii="Verdana" w:hAnsi="Verdana"/>
          <w:i/>
          <w:sz w:val="16"/>
          <w:szCs w:val="16"/>
        </w:rPr>
        <w:t>Cfr.</w:t>
      </w:r>
      <w:r w:rsidR="003E4C44" w:rsidRPr="00EA5DA0">
        <w:rPr>
          <w:rFonts w:ascii="Verdana" w:hAnsi="Verdana"/>
          <w:sz w:val="16"/>
          <w:szCs w:val="16"/>
        </w:rPr>
        <w:t xml:space="preserve"> </w:t>
      </w:r>
      <w:r w:rsidR="003E4C44" w:rsidRPr="00EA5DA0">
        <w:rPr>
          <w:rFonts w:ascii="Verdana" w:hAnsi="Verdana"/>
          <w:i/>
          <w:sz w:val="16"/>
          <w:szCs w:val="16"/>
        </w:rPr>
        <w:t>Caso Caesar Vs. Trinidad y Tobago. Supervisión de Cumplimiento de Sentencia.</w:t>
      </w:r>
      <w:r w:rsidR="003E4C44" w:rsidRPr="00EA5DA0">
        <w:rPr>
          <w:rFonts w:ascii="Verdana" w:hAnsi="Verdana"/>
          <w:sz w:val="16"/>
          <w:szCs w:val="16"/>
        </w:rPr>
        <w:t xml:space="preserve"> Resolución de la Corte Interamericana de Derechos Humanos de 21 de noviembre de 2007, Considerando </w:t>
      </w:r>
      <w:r w:rsidR="00FC529F">
        <w:rPr>
          <w:rFonts w:ascii="Verdana" w:hAnsi="Verdana"/>
          <w:sz w:val="16"/>
          <w:szCs w:val="16"/>
        </w:rPr>
        <w:t>11</w:t>
      </w:r>
      <w:r w:rsidR="00E34D51" w:rsidRPr="00EA5DA0">
        <w:rPr>
          <w:rFonts w:ascii="Verdana" w:hAnsi="Verdana"/>
          <w:sz w:val="16"/>
          <w:szCs w:val="16"/>
        </w:rPr>
        <w:t>, y</w:t>
      </w:r>
      <w:r w:rsidR="003E4C44" w:rsidRPr="00EA5DA0">
        <w:rPr>
          <w:rFonts w:ascii="Verdana" w:hAnsi="Verdana"/>
          <w:sz w:val="16"/>
          <w:szCs w:val="16"/>
        </w:rPr>
        <w:t xml:space="preserve"> </w:t>
      </w:r>
      <w:r w:rsidR="000F2452" w:rsidRPr="00EA5DA0">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00F60236">
        <w:rPr>
          <w:rStyle w:val="Textoennegrita"/>
          <w:rFonts w:ascii="Verdana" w:hAnsi="Verdana"/>
          <w:b w:val="0"/>
          <w:color w:val="000000"/>
          <w:sz w:val="16"/>
          <w:szCs w:val="16"/>
          <w:shd w:val="clear" w:color="auto" w:fill="FFFFFF"/>
        </w:rPr>
        <w:t>,</w:t>
      </w:r>
      <w:r w:rsidR="000F2452" w:rsidRPr="00EA5DA0">
        <w:rPr>
          <w:rStyle w:val="Textoennegrita"/>
          <w:rFonts w:ascii="Verdana" w:hAnsi="Verdana"/>
          <w:b w:val="0"/>
          <w:color w:val="000000"/>
          <w:sz w:val="16"/>
          <w:szCs w:val="16"/>
          <w:shd w:val="clear" w:color="auto" w:fill="FFFFFF"/>
        </w:rPr>
        <w:t xml:space="preserve"> </w:t>
      </w:r>
      <w:r w:rsidR="00F60236">
        <w:rPr>
          <w:rStyle w:val="Textoennegrita"/>
          <w:rFonts w:ascii="Verdana" w:hAnsi="Verdana"/>
          <w:b w:val="0"/>
          <w:i/>
          <w:color w:val="000000"/>
          <w:sz w:val="16"/>
          <w:szCs w:val="16"/>
          <w:shd w:val="clear" w:color="auto" w:fill="FFFFFF"/>
        </w:rPr>
        <w:t xml:space="preserve">supra </w:t>
      </w:r>
      <w:r w:rsidR="00F60236">
        <w:rPr>
          <w:rStyle w:val="Textoennegrita"/>
          <w:rFonts w:ascii="Verdana" w:hAnsi="Verdana"/>
          <w:b w:val="0"/>
          <w:color w:val="000000"/>
          <w:sz w:val="16"/>
          <w:szCs w:val="16"/>
          <w:shd w:val="clear" w:color="auto" w:fill="FFFFFF"/>
        </w:rPr>
        <w:t>nota 6</w:t>
      </w:r>
      <w:r w:rsidR="000F2452" w:rsidRPr="00EA5DA0">
        <w:rPr>
          <w:rStyle w:val="Textoennegrita"/>
          <w:rFonts w:ascii="Verdana" w:hAnsi="Verdana"/>
          <w:b w:val="0"/>
          <w:color w:val="000000"/>
          <w:sz w:val="16"/>
          <w:szCs w:val="16"/>
          <w:shd w:val="clear" w:color="auto" w:fill="FFFFFF"/>
        </w:rPr>
        <w:t>, Considerando 24.</w:t>
      </w:r>
    </w:p>
  </w:footnote>
  <w:footnote w:id="14">
    <w:p w:rsidR="007B22BA" w:rsidRPr="007B22BA" w:rsidRDefault="007B22BA" w:rsidP="00942CB3">
      <w:pPr>
        <w:pStyle w:val="Textonotapie"/>
        <w:jc w:val="both"/>
        <w:rPr>
          <w:rFonts w:ascii="Verdana" w:hAnsi="Verdana"/>
          <w:sz w:val="16"/>
          <w:szCs w:val="16"/>
          <w:lang w:val="es-CR"/>
        </w:rPr>
      </w:pPr>
      <w:r w:rsidRPr="00EA5DA0">
        <w:rPr>
          <w:rStyle w:val="Refdenotaalpie"/>
          <w:rFonts w:ascii="Verdana" w:hAnsi="Verdana"/>
          <w:sz w:val="16"/>
          <w:szCs w:val="16"/>
        </w:rPr>
        <w:footnoteRef/>
      </w:r>
      <w:r w:rsidRPr="00EA5DA0">
        <w:rPr>
          <w:rFonts w:ascii="Verdana" w:hAnsi="Verdana"/>
          <w:sz w:val="16"/>
          <w:szCs w:val="16"/>
        </w:rPr>
        <w:t xml:space="preserve"> </w:t>
      </w:r>
      <w:r w:rsidR="007105A0">
        <w:rPr>
          <w:rFonts w:ascii="Verdana" w:hAnsi="Verdana"/>
          <w:sz w:val="16"/>
          <w:szCs w:val="16"/>
        </w:rPr>
        <w:tab/>
      </w:r>
      <w:r w:rsidR="00942CB3" w:rsidRPr="008615A5">
        <w:rPr>
          <w:rFonts w:ascii="Verdana" w:hAnsi="Verdana"/>
          <w:i/>
          <w:sz w:val="16"/>
          <w:szCs w:val="16"/>
        </w:rPr>
        <w:t xml:space="preserve">Cfr. </w:t>
      </w:r>
      <w:r w:rsidR="00EA5DA0" w:rsidRPr="00435D6C">
        <w:rPr>
          <w:rStyle w:val="Textoennegrita"/>
          <w:rFonts w:ascii="Verdana" w:hAnsi="Verdana"/>
          <w:b w:val="0"/>
          <w:i/>
          <w:sz w:val="16"/>
          <w:szCs w:val="16"/>
          <w:shd w:val="clear" w:color="auto" w:fill="FFFFFF"/>
        </w:rPr>
        <w:t>Caso Fontevecchia y D’Amico Vs. Argentina. Supervisión de Cumplimiento de Sentencia</w:t>
      </w:r>
      <w:r w:rsidR="00EA5DA0" w:rsidRPr="00942CB3">
        <w:rPr>
          <w:rStyle w:val="Textoennegrita"/>
          <w:rFonts w:ascii="Verdana" w:hAnsi="Verdana"/>
          <w:b w:val="0"/>
          <w:sz w:val="16"/>
          <w:szCs w:val="16"/>
          <w:shd w:val="clear" w:color="auto" w:fill="FFFFFF"/>
        </w:rPr>
        <w:t>. Resolución de la Corte Interamericana de Derechos Humanos de 1 de septiembre de 2015</w:t>
      </w:r>
      <w:r w:rsidR="00EA5DA0" w:rsidRPr="00EA5DA0">
        <w:rPr>
          <w:rStyle w:val="Textoennegrita"/>
          <w:rFonts w:ascii="Verdana" w:hAnsi="Verdana"/>
          <w:b w:val="0"/>
          <w:sz w:val="16"/>
          <w:szCs w:val="16"/>
          <w:shd w:val="clear" w:color="auto" w:fill="FFFFFF"/>
        </w:rPr>
        <w:t>, Considerando 10</w:t>
      </w:r>
      <w:r w:rsidR="007105A0">
        <w:rPr>
          <w:rStyle w:val="Textoennegrita"/>
          <w:rFonts w:ascii="Verdana" w:hAnsi="Verdana"/>
          <w:b w:val="0"/>
          <w:sz w:val="16"/>
          <w:szCs w:val="16"/>
          <w:shd w:val="clear" w:color="auto" w:fill="FFFFFF"/>
        </w:rPr>
        <w:t xml:space="preserve">, </w:t>
      </w:r>
      <w:r w:rsidR="00EA5DA0" w:rsidRPr="00EA5DA0">
        <w:rPr>
          <w:rStyle w:val="Textoennegrita"/>
          <w:rFonts w:ascii="Verdana" w:hAnsi="Verdana"/>
          <w:b w:val="0"/>
          <w:sz w:val="16"/>
          <w:szCs w:val="16"/>
          <w:shd w:val="clear" w:color="auto" w:fill="FFFFFF"/>
        </w:rPr>
        <w:t xml:space="preserve">y </w:t>
      </w:r>
      <w:r w:rsidR="00EA5DA0" w:rsidRPr="00942CB3">
        <w:rPr>
          <w:rStyle w:val="Textoennegrita"/>
          <w:rFonts w:ascii="Verdana" w:hAnsi="Verdana"/>
          <w:b w:val="0"/>
          <w:i/>
          <w:color w:val="000000"/>
          <w:sz w:val="16"/>
          <w:szCs w:val="16"/>
          <w:shd w:val="clear" w:color="auto" w:fill="FFFFFF"/>
        </w:rPr>
        <w:t>Caso Fleury y otros Vs. Haití. Supervisión de Cumplimiento de Sentencia</w:t>
      </w:r>
      <w:r w:rsidR="00EA5DA0" w:rsidRPr="00942CB3">
        <w:rPr>
          <w:rStyle w:val="Textoennegrita"/>
          <w:rFonts w:ascii="Verdana" w:hAnsi="Verdana"/>
          <w:b w:val="0"/>
          <w:color w:val="000000"/>
          <w:sz w:val="16"/>
          <w:szCs w:val="16"/>
          <w:shd w:val="clear" w:color="auto" w:fill="FFFFFF"/>
        </w:rPr>
        <w:t xml:space="preserve">. Resolución de la Corte Interamericana de Derechos Humanos de 22 de noviembre de 2016, Considerando </w:t>
      </w:r>
      <w:r w:rsidR="00EB2F10">
        <w:rPr>
          <w:rStyle w:val="Textoennegrita"/>
          <w:rFonts w:ascii="Verdana" w:hAnsi="Verdana"/>
          <w:b w:val="0"/>
          <w:color w:val="000000"/>
          <w:sz w:val="16"/>
          <w:szCs w:val="16"/>
          <w:shd w:val="clear" w:color="auto" w:fill="FFFFFF"/>
        </w:rPr>
        <w:t>5</w:t>
      </w:r>
      <w:r w:rsidR="00EA5DA0" w:rsidRPr="00942CB3">
        <w:rPr>
          <w:rStyle w:val="Textoennegrita"/>
          <w:rFonts w:ascii="Verdana" w:hAnsi="Verdana"/>
          <w:b w:val="0"/>
          <w:color w:val="000000"/>
          <w:sz w:val="16"/>
          <w:szCs w:val="16"/>
          <w:shd w:val="clear" w:color="auto" w:fill="FFFFFF"/>
        </w:rPr>
        <w:t>.</w:t>
      </w:r>
      <w:r w:rsidR="00EA5DA0">
        <w:rPr>
          <w:rStyle w:val="Textoennegrita"/>
          <w:rFonts w:ascii="Verdana" w:hAnsi="Verdana"/>
          <w:color w:val="00000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435" w:rsidRPr="00784BAF" w:rsidRDefault="00C35435" w:rsidP="005358C0">
    <w:pPr>
      <w:pStyle w:val="Encabezado"/>
      <w:ind w:right="1444"/>
      <w:jc w:val="right"/>
      <w:rPr>
        <w:rFonts w:ascii="Verdana" w:hAnsi="Verdana"/>
        <w:b/>
        <w: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6D9"/>
    <w:multiLevelType w:val="hybridMultilevel"/>
    <w:tmpl w:val="E06C2D2A"/>
    <w:lvl w:ilvl="0" w:tplc="163ECF7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5A2AE6"/>
    <w:multiLevelType w:val="multilevel"/>
    <w:tmpl w:val="A628BCCE"/>
    <w:lvl w:ilvl="0">
      <w:start w:val="1"/>
      <w:numFmt w:val="decimal"/>
      <w:lvlText w:val="%1."/>
      <w:lvlJc w:val="left"/>
      <w:pPr>
        <w:ind w:left="720" w:hanging="360"/>
      </w:pPr>
      <w:rPr>
        <w:rFonts w:hint="default"/>
        <w:b w:val="0"/>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2" w15:restartNumberingAfterBreak="0">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16933EC1"/>
    <w:multiLevelType w:val="hybridMultilevel"/>
    <w:tmpl w:val="8424FDEA"/>
    <w:lvl w:ilvl="0" w:tplc="463E0552">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E7EB4"/>
    <w:multiLevelType w:val="hybridMultilevel"/>
    <w:tmpl w:val="23561C6C"/>
    <w:lvl w:ilvl="0" w:tplc="87F2D4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B0392D"/>
    <w:multiLevelType w:val="hybridMultilevel"/>
    <w:tmpl w:val="47C4B1BE"/>
    <w:lvl w:ilvl="0" w:tplc="44166D3C">
      <w:start w:val="1"/>
      <w:numFmt w:val="decimal"/>
      <w:lvlText w:val="%1."/>
      <w:lvlJc w:val="left"/>
      <w:pPr>
        <w:ind w:left="540" w:hanging="360"/>
      </w:pPr>
      <w:rPr>
        <w:rFonts w:ascii="Verdana" w:hAnsi="Verdana" w:hint="default"/>
        <w:b w:val="0"/>
        <w:i w:val="0"/>
        <w:color w:val="auto"/>
        <w:sz w:val="20"/>
        <w:szCs w:val="20"/>
        <w:lang w:val="es-ES"/>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6" w15:restartNumberingAfterBreak="0">
    <w:nsid w:val="256B24E0"/>
    <w:multiLevelType w:val="hybridMultilevel"/>
    <w:tmpl w:val="C1964B86"/>
    <w:lvl w:ilvl="0" w:tplc="D20EFACA">
      <w:start w:val="5"/>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B67C5"/>
    <w:multiLevelType w:val="hybridMultilevel"/>
    <w:tmpl w:val="991EAD8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9" w15:restartNumberingAfterBreak="0">
    <w:nsid w:val="31FE1B26"/>
    <w:multiLevelType w:val="hybridMultilevel"/>
    <w:tmpl w:val="4E462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4F25FF"/>
    <w:multiLevelType w:val="hybridMultilevel"/>
    <w:tmpl w:val="EC204A16"/>
    <w:lvl w:ilvl="0" w:tplc="D6F2BA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B6D8D"/>
    <w:multiLevelType w:val="hybridMultilevel"/>
    <w:tmpl w:val="5B843B2A"/>
    <w:lvl w:ilvl="0" w:tplc="9926C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start w:val="1"/>
      <w:numFmt w:val="lowerRoman"/>
      <w:lvlText w:val="%3."/>
      <w:lvlJc w:val="right"/>
      <w:pPr>
        <w:tabs>
          <w:tab w:val="num" w:pos="0"/>
        </w:tabs>
        <w:ind w:left="0" w:hanging="180"/>
      </w:pPr>
    </w:lvl>
    <w:lvl w:ilvl="3" w:tplc="000F0409">
      <w:start w:val="1"/>
      <w:numFmt w:val="decimal"/>
      <w:lvlText w:val="%4."/>
      <w:lvlJc w:val="left"/>
      <w:pPr>
        <w:tabs>
          <w:tab w:val="num" w:pos="720"/>
        </w:tabs>
        <w:ind w:left="720" w:hanging="360"/>
      </w:pPr>
    </w:lvl>
    <w:lvl w:ilvl="4" w:tplc="00190409">
      <w:start w:val="1"/>
      <w:numFmt w:val="lowerLetter"/>
      <w:lvlText w:val="%5."/>
      <w:lvlJc w:val="left"/>
      <w:pPr>
        <w:tabs>
          <w:tab w:val="num" w:pos="1440"/>
        </w:tabs>
        <w:ind w:left="1440" w:hanging="360"/>
      </w:pPr>
    </w:lvl>
    <w:lvl w:ilvl="5" w:tplc="001B0409">
      <w:start w:val="1"/>
      <w:numFmt w:val="lowerRoman"/>
      <w:lvlText w:val="%6."/>
      <w:lvlJc w:val="right"/>
      <w:pPr>
        <w:tabs>
          <w:tab w:val="num" w:pos="2160"/>
        </w:tabs>
        <w:ind w:left="2160" w:hanging="180"/>
      </w:pPr>
    </w:lvl>
    <w:lvl w:ilvl="6" w:tplc="000F0409">
      <w:start w:val="1"/>
      <w:numFmt w:val="decimal"/>
      <w:lvlText w:val="%7."/>
      <w:lvlJc w:val="left"/>
      <w:pPr>
        <w:tabs>
          <w:tab w:val="num" w:pos="2880"/>
        </w:tabs>
        <w:ind w:left="2880" w:hanging="360"/>
      </w:pPr>
    </w:lvl>
    <w:lvl w:ilvl="7" w:tplc="00190409">
      <w:start w:val="1"/>
      <w:numFmt w:val="lowerLetter"/>
      <w:lvlText w:val="%8."/>
      <w:lvlJc w:val="left"/>
      <w:pPr>
        <w:tabs>
          <w:tab w:val="num" w:pos="3600"/>
        </w:tabs>
        <w:ind w:left="3600" w:hanging="360"/>
      </w:pPr>
    </w:lvl>
    <w:lvl w:ilvl="8" w:tplc="001B0409">
      <w:start w:val="1"/>
      <w:numFmt w:val="lowerRoman"/>
      <w:lvlText w:val="%9."/>
      <w:lvlJc w:val="right"/>
      <w:pPr>
        <w:tabs>
          <w:tab w:val="num" w:pos="4320"/>
        </w:tabs>
        <w:ind w:left="4320" w:hanging="180"/>
      </w:pPr>
    </w:lvl>
  </w:abstractNum>
  <w:abstractNum w:abstractNumId="13" w15:restartNumberingAfterBreak="0">
    <w:nsid w:val="3B311878"/>
    <w:multiLevelType w:val="hybridMultilevel"/>
    <w:tmpl w:val="12A80894"/>
    <w:lvl w:ilvl="0" w:tplc="15FE39DC">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23FBC"/>
    <w:multiLevelType w:val="hybridMultilevel"/>
    <w:tmpl w:val="0F688AE4"/>
    <w:lvl w:ilvl="0" w:tplc="22B031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A17CAE"/>
    <w:multiLevelType w:val="hybridMultilevel"/>
    <w:tmpl w:val="D7AA289E"/>
    <w:lvl w:ilvl="0" w:tplc="B67EA96E">
      <w:start w:val="1"/>
      <w:numFmt w:val="upperRoman"/>
      <w:pStyle w:val="Ttulo1"/>
      <w:lvlText w:val="%1."/>
      <w:lvlJc w:val="righ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8341003"/>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80657"/>
    <w:multiLevelType w:val="hybridMultilevel"/>
    <w:tmpl w:val="B07AEDA2"/>
    <w:lvl w:ilvl="0" w:tplc="07D6DFD2">
      <w:start w:val="1"/>
      <w:numFmt w:val="upperLetter"/>
      <w:lvlText w:val="%1."/>
      <w:lvlJc w:val="left"/>
      <w:pPr>
        <w:ind w:left="720" w:hanging="360"/>
      </w:pPr>
      <w:rPr>
        <w:rFonts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E6A4F2C"/>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DC284E"/>
    <w:multiLevelType w:val="hybridMultilevel"/>
    <w:tmpl w:val="D978934E"/>
    <w:lvl w:ilvl="0" w:tplc="7EB6AED2">
      <w:start w:val="1"/>
      <w:numFmt w:val="decimal"/>
      <w:lvlText w:val="%1."/>
      <w:lvlJc w:val="left"/>
      <w:pPr>
        <w:ind w:left="1065" w:hanging="705"/>
      </w:pPr>
      <w:rPr>
        <w:rFonts w:ascii="Verdana" w:eastAsia="MS Mincho" w:hAnsi="Verdana" w:cs="Arial"/>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856D1"/>
    <w:multiLevelType w:val="hybridMultilevel"/>
    <w:tmpl w:val="46385E82"/>
    <w:lvl w:ilvl="0" w:tplc="2DE4FE4C">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E5633"/>
    <w:multiLevelType w:val="hybridMultilevel"/>
    <w:tmpl w:val="5B64775E"/>
    <w:lvl w:ilvl="0" w:tplc="A958223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34E41"/>
    <w:multiLevelType w:val="hybridMultilevel"/>
    <w:tmpl w:val="C498828A"/>
    <w:lvl w:ilvl="0" w:tplc="E83C03D4">
      <w:start w:val="1"/>
      <w:numFmt w:val="decimal"/>
      <w:lvlText w:val="%1."/>
      <w:lvlJc w:val="left"/>
      <w:pPr>
        <w:ind w:left="720" w:hanging="360"/>
      </w:pPr>
      <w:rPr>
        <w:rFonts w:ascii="Verdana" w:eastAsia="Times" w:hAnsi="Verdana" w:cs="Times New Roman"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5A642E0"/>
    <w:multiLevelType w:val="hybridMultilevel"/>
    <w:tmpl w:val="CEC4C490"/>
    <w:lvl w:ilvl="0" w:tplc="BCD6E60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7CC67F60"/>
    <w:multiLevelType w:val="hybridMultilevel"/>
    <w:tmpl w:val="F0D81B7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5"/>
  </w:num>
  <w:num w:numId="3">
    <w:abstractNumId w:val="15"/>
  </w:num>
  <w:num w:numId="4">
    <w:abstractNumId w:val="19"/>
  </w:num>
  <w:num w:numId="5">
    <w:abstractNumId w:val="10"/>
  </w:num>
  <w:num w:numId="6">
    <w:abstractNumId w:val="4"/>
  </w:num>
  <w:num w:numId="7">
    <w:abstractNumId w:val="1"/>
  </w:num>
  <w:num w:numId="8">
    <w:abstractNumId w:val="0"/>
  </w:num>
  <w:num w:numId="9">
    <w:abstractNumId w:val="16"/>
  </w:num>
  <w:num w:numId="10">
    <w:abstractNumId w:val="2"/>
  </w:num>
  <w:num w:numId="11">
    <w:abstractNumId w:val="18"/>
  </w:num>
  <w:num w:numId="12">
    <w:abstractNumId w:val="7"/>
  </w:num>
  <w:num w:numId="13">
    <w:abstractNumId w:val="25"/>
  </w:num>
  <w:num w:numId="14">
    <w:abstractNumId w:val="14"/>
  </w:num>
  <w:num w:numId="15">
    <w:abstractNumId w:val="13"/>
  </w:num>
  <w:num w:numId="16">
    <w:abstractNumId w:val="11"/>
  </w:num>
  <w:num w:numId="17">
    <w:abstractNumId w:val="3"/>
  </w:num>
  <w:num w:numId="18">
    <w:abstractNumId w:val="21"/>
  </w:num>
  <w:num w:numId="19">
    <w:abstractNumId w:val="6"/>
  </w:num>
  <w:num w:numId="20">
    <w:abstractNumId w:val="9"/>
  </w:num>
  <w:num w:numId="21">
    <w:abstractNumId w:val="2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3"/>
  </w:num>
  <w:num w:numId="2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8B"/>
    <w:rsid w:val="000014C7"/>
    <w:rsid w:val="000016C3"/>
    <w:rsid w:val="00001D18"/>
    <w:rsid w:val="00004B91"/>
    <w:rsid w:val="00005DE0"/>
    <w:rsid w:val="00005E72"/>
    <w:rsid w:val="00007D4B"/>
    <w:rsid w:val="00010162"/>
    <w:rsid w:val="0001151C"/>
    <w:rsid w:val="00013A85"/>
    <w:rsid w:val="0001503F"/>
    <w:rsid w:val="000151DF"/>
    <w:rsid w:val="00015345"/>
    <w:rsid w:val="00016A2D"/>
    <w:rsid w:val="00016EA5"/>
    <w:rsid w:val="0001729A"/>
    <w:rsid w:val="00020ABC"/>
    <w:rsid w:val="00021BFF"/>
    <w:rsid w:val="000222BF"/>
    <w:rsid w:val="0002240C"/>
    <w:rsid w:val="00022856"/>
    <w:rsid w:val="00022A85"/>
    <w:rsid w:val="00022CD1"/>
    <w:rsid w:val="00022D86"/>
    <w:rsid w:val="00023B81"/>
    <w:rsid w:val="00024326"/>
    <w:rsid w:val="000246D5"/>
    <w:rsid w:val="00024A6C"/>
    <w:rsid w:val="00025041"/>
    <w:rsid w:val="00025FCA"/>
    <w:rsid w:val="0002612D"/>
    <w:rsid w:val="00026AAD"/>
    <w:rsid w:val="000273BA"/>
    <w:rsid w:val="000273E2"/>
    <w:rsid w:val="0002795F"/>
    <w:rsid w:val="00030975"/>
    <w:rsid w:val="00030E31"/>
    <w:rsid w:val="00030FB8"/>
    <w:rsid w:val="00030FD6"/>
    <w:rsid w:val="0003178F"/>
    <w:rsid w:val="000323FD"/>
    <w:rsid w:val="00032438"/>
    <w:rsid w:val="00033571"/>
    <w:rsid w:val="000337BE"/>
    <w:rsid w:val="00034B99"/>
    <w:rsid w:val="0003600E"/>
    <w:rsid w:val="0003671D"/>
    <w:rsid w:val="00036F57"/>
    <w:rsid w:val="000374A8"/>
    <w:rsid w:val="000403C2"/>
    <w:rsid w:val="00041A2A"/>
    <w:rsid w:val="000420CA"/>
    <w:rsid w:val="00042B5D"/>
    <w:rsid w:val="000439E5"/>
    <w:rsid w:val="00044832"/>
    <w:rsid w:val="000448FC"/>
    <w:rsid w:val="000458DD"/>
    <w:rsid w:val="00046FE7"/>
    <w:rsid w:val="000473DC"/>
    <w:rsid w:val="00047622"/>
    <w:rsid w:val="000507DE"/>
    <w:rsid w:val="000519A7"/>
    <w:rsid w:val="0005211D"/>
    <w:rsid w:val="00053130"/>
    <w:rsid w:val="0005340B"/>
    <w:rsid w:val="000536D3"/>
    <w:rsid w:val="000541BB"/>
    <w:rsid w:val="000543F1"/>
    <w:rsid w:val="00054C3A"/>
    <w:rsid w:val="00054C92"/>
    <w:rsid w:val="00054D2D"/>
    <w:rsid w:val="00054EE1"/>
    <w:rsid w:val="000552EC"/>
    <w:rsid w:val="00055452"/>
    <w:rsid w:val="000572FD"/>
    <w:rsid w:val="0005757C"/>
    <w:rsid w:val="0006170D"/>
    <w:rsid w:val="00061B28"/>
    <w:rsid w:val="000622E0"/>
    <w:rsid w:val="00062500"/>
    <w:rsid w:val="00062B47"/>
    <w:rsid w:val="0006358C"/>
    <w:rsid w:val="000636BE"/>
    <w:rsid w:val="00063B99"/>
    <w:rsid w:val="00065496"/>
    <w:rsid w:val="00065A08"/>
    <w:rsid w:val="000660A0"/>
    <w:rsid w:val="00066369"/>
    <w:rsid w:val="00066726"/>
    <w:rsid w:val="000668C8"/>
    <w:rsid w:val="00066B51"/>
    <w:rsid w:val="00066EAC"/>
    <w:rsid w:val="0006766F"/>
    <w:rsid w:val="0006793C"/>
    <w:rsid w:val="00067F70"/>
    <w:rsid w:val="00071650"/>
    <w:rsid w:val="00072298"/>
    <w:rsid w:val="00072FFE"/>
    <w:rsid w:val="000737BE"/>
    <w:rsid w:val="00075021"/>
    <w:rsid w:val="00075893"/>
    <w:rsid w:val="0007598C"/>
    <w:rsid w:val="00076263"/>
    <w:rsid w:val="000766A2"/>
    <w:rsid w:val="00076C8A"/>
    <w:rsid w:val="0007758B"/>
    <w:rsid w:val="0008020F"/>
    <w:rsid w:val="00080EEB"/>
    <w:rsid w:val="00080F50"/>
    <w:rsid w:val="000812F3"/>
    <w:rsid w:val="000814DF"/>
    <w:rsid w:val="00081E1E"/>
    <w:rsid w:val="00082D1F"/>
    <w:rsid w:val="00083525"/>
    <w:rsid w:val="00083A32"/>
    <w:rsid w:val="00083CFA"/>
    <w:rsid w:val="000849E1"/>
    <w:rsid w:val="00085E89"/>
    <w:rsid w:val="000866F7"/>
    <w:rsid w:val="00086FD6"/>
    <w:rsid w:val="00087B63"/>
    <w:rsid w:val="00087D31"/>
    <w:rsid w:val="00090848"/>
    <w:rsid w:val="00092655"/>
    <w:rsid w:val="00093107"/>
    <w:rsid w:val="00093ABA"/>
    <w:rsid w:val="00094685"/>
    <w:rsid w:val="00094A76"/>
    <w:rsid w:val="00095D5B"/>
    <w:rsid w:val="000961BF"/>
    <w:rsid w:val="000966B1"/>
    <w:rsid w:val="00096E10"/>
    <w:rsid w:val="00097219"/>
    <w:rsid w:val="000973D3"/>
    <w:rsid w:val="000978A5"/>
    <w:rsid w:val="000A0029"/>
    <w:rsid w:val="000A0E1B"/>
    <w:rsid w:val="000A168E"/>
    <w:rsid w:val="000A19F9"/>
    <w:rsid w:val="000A1E44"/>
    <w:rsid w:val="000A22F0"/>
    <w:rsid w:val="000A24C0"/>
    <w:rsid w:val="000A3A73"/>
    <w:rsid w:val="000A3DD6"/>
    <w:rsid w:val="000A429F"/>
    <w:rsid w:val="000A4BBC"/>
    <w:rsid w:val="000A565C"/>
    <w:rsid w:val="000A6382"/>
    <w:rsid w:val="000A6781"/>
    <w:rsid w:val="000A6B18"/>
    <w:rsid w:val="000A7D20"/>
    <w:rsid w:val="000B0069"/>
    <w:rsid w:val="000B026D"/>
    <w:rsid w:val="000B06F8"/>
    <w:rsid w:val="000B0727"/>
    <w:rsid w:val="000B1890"/>
    <w:rsid w:val="000B20F1"/>
    <w:rsid w:val="000B4126"/>
    <w:rsid w:val="000B41CB"/>
    <w:rsid w:val="000B560C"/>
    <w:rsid w:val="000B562B"/>
    <w:rsid w:val="000B5CD2"/>
    <w:rsid w:val="000B5D9E"/>
    <w:rsid w:val="000B60C5"/>
    <w:rsid w:val="000B6D07"/>
    <w:rsid w:val="000B7580"/>
    <w:rsid w:val="000C026C"/>
    <w:rsid w:val="000C1081"/>
    <w:rsid w:val="000C1576"/>
    <w:rsid w:val="000C1769"/>
    <w:rsid w:val="000C17B9"/>
    <w:rsid w:val="000C3463"/>
    <w:rsid w:val="000C3935"/>
    <w:rsid w:val="000C3985"/>
    <w:rsid w:val="000C4F7A"/>
    <w:rsid w:val="000C55EF"/>
    <w:rsid w:val="000C5E2B"/>
    <w:rsid w:val="000C63B8"/>
    <w:rsid w:val="000C64A1"/>
    <w:rsid w:val="000C6BF9"/>
    <w:rsid w:val="000C7F71"/>
    <w:rsid w:val="000D084E"/>
    <w:rsid w:val="000D19BB"/>
    <w:rsid w:val="000D20C8"/>
    <w:rsid w:val="000D2B58"/>
    <w:rsid w:val="000D2E48"/>
    <w:rsid w:val="000D374C"/>
    <w:rsid w:val="000D5EE5"/>
    <w:rsid w:val="000D5F11"/>
    <w:rsid w:val="000D69CB"/>
    <w:rsid w:val="000D7747"/>
    <w:rsid w:val="000E0282"/>
    <w:rsid w:val="000E03B4"/>
    <w:rsid w:val="000E04FA"/>
    <w:rsid w:val="000E06FF"/>
    <w:rsid w:val="000E0B5D"/>
    <w:rsid w:val="000E0E09"/>
    <w:rsid w:val="000E1113"/>
    <w:rsid w:val="000E14B7"/>
    <w:rsid w:val="000E1544"/>
    <w:rsid w:val="000E1577"/>
    <w:rsid w:val="000E1721"/>
    <w:rsid w:val="000E1C1B"/>
    <w:rsid w:val="000E1FD6"/>
    <w:rsid w:val="000E2D03"/>
    <w:rsid w:val="000E2D17"/>
    <w:rsid w:val="000E33BE"/>
    <w:rsid w:val="000E4277"/>
    <w:rsid w:val="000E59A2"/>
    <w:rsid w:val="000E5ACA"/>
    <w:rsid w:val="000E71F6"/>
    <w:rsid w:val="000E7275"/>
    <w:rsid w:val="000E75EE"/>
    <w:rsid w:val="000F123C"/>
    <w:rsid w:val="000F1D4B"/>
    <w:rsid w:val="000F21F4"/>
    <w:rsid w:val="000F2452"/>
    <w:rsid w:val="000F36EB"/>
    <w:rsid w:val="000F4029"/>
    <w:rsid w:val="000F40F0"/>
    <w:rsid w:val="000F41E3"/>
    <w:rsid w:val="000F493E"/>
    <w:rsid w:val="000F4957"/>
    <w:rsid w:val="000F53AE"/>
    <w:rsid w:val="000F57F4"/>
    <w:rsid w:val="000F5AE8"/>
    <w:rsid w:val="000F5ECD"/>
    <w:rsid w:val="000F62F1"/>
    <w:rsid w:val="000F6E72"/>
    <w:rsid w:val="000F761D"/>
    <w:rsid w:val="00100BBA"/>
    <w:rsid w:val="00100CA7"/>
    <w:rsid w:val="0010129D"/>
    <w:rsid w:val="001015F2"/>
    <w:rsid w:val="0010176D"/>
    <w:rsid w:val="00101909"/>
    <w:rsid w:val="00102118"/>
    <w:rsid w:val="0010215B"/>
    <w:rsid w:val="00103EB3"/>
    <w:rsid w:val="0010501D"/>
    <w:rsid w:val="00105E3D"/>
    <w:rsid w:val="001061DD"/>
    <w:rsid w:val="001063F6"/>
    <w:rsid w:val="0010748A"/>
    <w:rsid w:val="00107699"/>
    <w:rsid w:val="0011042A"/>
    <w:rsid w:val="001106B4"/>
    <w:rsid w:val="001108BA"/>
    <w:rsid w:val="00110E3E"/>
    <w:rsid w:val="00110E40"/>
    <w:rsid w:val="00111F35"/>
    <w:rsid w:val="00112515"/>
    <w:rsid w:val="00112560"/>
    <w:rsid w:val="00112A2B"/>
    <w:rsid w:val="00112CCE"/>
    <w:rsid w:val="00112FBA"/>
    <w:rsid w:val="001132FA"/>
    <w:rsid w:val="001135E4"/>
    <w:rsid w:val="00113F78"/>
    <w:rsid w:val="0011433F"/>
    <w:rsid w:val="00115F29"/>
    <w:rsid w:val="00120781"/>
    <w:rsid w:val="00120901"/>
    <w:rsid w:val="00121113"/>
    <w:rsid w:val="001212D6"/>
    <w:rsid w:val="001214C2"/>
    <w:rsid w:val="00121DB2"/>
    <w:rsid w:val="001224FC"/>
    <w:rsid w:val="001225B6"/>
    <w:rsid w:val="0012304A"/>
    <w:rsid w:val="001242DE"/>
    <w:rsid w:val="00124C8B"/>
    <w:rsid w:val="00124FDF"/>
    <w:rsid w:val="001258A4"/>
    <w:rsid w:val="00126092"/>
    <w:rsid w:val="001267D0"/>
    <w:rsid w:val="00127E07"/>
    <w:rsid w:val="00130044"/>
    <w:rsid w:val="001300C7"/>
    <w:rsid w:val="00131F13"/>
    <w:rsid w:val="00133069"/>
    <w:rsid w:val="001332E0"/>
    <w:rsid w:val="00133D70"/>
    <w:rsid w:val="0013433F"/>
    <w:rsid w:val="00135DCE"/>
    <w:rsid w:val="001363EF"/>
    <w:rsid w:val="001365C0"/>
    <w:rsid w:val="00137E67"/>
    <w:rsid w:val="00137F95"/>
    <w:rsid w:val="00141250"/>
    <w:rsid w:val="001418EE"/>
    <w:rsid w:val="00141D50"/>
    <w:rsid w:val="00142672"/>
    <w:rsid w:val="001426AE"/>
    <w:rsid w:val="00142BAA"/>
    <w:rsid w:val="00142D37"/>
    <w:rsid w:val="00144012"/>
    <w:rsid w:val="001441FF"/>
    <w:rsid w:val="001442C6"/>
    <w:rsid w:val="0014481F"/>
    <w:rsid w:val="00144ED0"/>
    <w:rsid w:val="00144ED7"/>
    <w:rsid w:val="0014594D"/>
    <w:rsid w:val="00145C00"/>
    <w:rsid w:val="0015001E"/>
    <w:rsid w:val="0015053A"/>
    <w:rsid w:val="00151419"/>
    <w:rsid w:val="0015290F"/>
    <w:rsid w:val="00152C64"/>
    <w:rsid w:val="00153BBA"/>
    <w:rsid w:val="00153DA1"/>
    <w:rsid w:val="00154833"/>
    <w:rsid w:val="00154C47"/>
    <w:rsid w:val="00154F96"/>
    <w:rsid w:val="00155135"/>
    <w:rsid w:val="0015540D"/>
    <w:rsid w:val="0015549C"/>
    <w:rsid w:val="00155623"/>
    <w:rsid w:val="00155FBF"/>
    <w:rsid w:val="00156872"/>
    <w:rsid w:val="001568BC"/>
    <w:rsid w:val="00156EA2"/>
    <w:rsid w:val="00161189"/>
    <w:rsid w:val="00161FB5"/>
    <w:rsid w:val="001626CA"/>
    <w:rsid w:val="00162DFE"/>
    <w:rsid w:val="00162F25"/>
    <w:rsid w:val="00164180"/>
    <w:rsid w:val="00165408"/>
    <w:rsid w:val="00166020"/>
    <w:rsid w:val="001663B5"/>
    <w:rsid w:val="00166691"/>
    <w:rsid w:val="00166766"/>
    <w:rsid w:val="001669AD"/>
    <w:rsid w:val="00167174"/>
    <w:rsid w:val="00170332"/>
    <w:rsid w:val="0017118F"/>
    <w:rsid w:val="001714C1"/>
    <w:rsid w:val="00172400"/>
    <w:rsid w:val="001729D1"/>
    <w:rsid w:val="00172AD3"/>
    <w:rsid w:val="00173066"/>
    <w:rsid w:val="0017326F"/>
    <w:rsid w:val="00174E04"/>
    <w:rsid w:val="0017570A"/>
    <w:rsid w:val="00175853"/>
    <w:rsid w:val="001761AB"/>
    <w:rsid w:val="00176A08"/>
    <w:rsid w:val="001802D2"/>
    <w:rsid w:val="0018042E"/>
    <w:rsid w:val="00180A38"/>
    <w:rsid w:val="00180AD8"/>
    <w:rsid w:val="001820C6"/>
    <w:rsid w:val="001823F1"/>
    <w:rsid w:val="001826B5"/>
    <w:rsid w:val="001835B5"/>
    <w:rsid w:val="00183F28"/>
    <w:rsid w:val="0018457F"/>
    <w:rsid w:val="00184D55"/>
    <w:rsid w:val="001861B0"/>
    <w:rsid w:val="0018620F"/>
    <w:rsid w:val="00186D69"/>
    <w:rsid w:val="00187039"/>
    <w:rsid w:val="0018776E"/>
    <w:rsid w:val="001905A1"/>
    <w:rsid w:val="00192640"/>
    <w:rsid w:val="0019284C"/>
    <w:rsid w:val="00192A42"/>
    <w:rsid w:val="00192F06"/>
    <w:rsid w:val="0019360E"/>
    <w:rsid w:val="001946E6"/>
    <w:rsid w:val="00194E5F"/>
    <w:rsid w:val="00194EA2"/>
    <w:rsid w:val="00195914"/>
    <w:rsid w:val="00195CF2"/>
    <w:rsid w:val="00195ED3"/>
    <w:rsid w:val="00197443"/>
    <w:rsid w:val="00197553"/>
    <w:rsid w:val="001A0A0C"/>
    <w:rsid w:val="001A1B5F"/>
    <w:rsid w:val="001A219C"/>
    <w:rsid w:val="001A5D15"/>
    <w:rsid w:val="001A5D69"/>
    <w:rsid w:val="001A615C"/>
    <w:rsid w:val="001A6D9C"/>
    <w:rsid w:val="001A6DD7"/>
    <w:rsid w:val="001A713E"/>
    <w:rsid w:val="001A747B"/>
    <w:rsid w:val="001A7752"/>
    <w:rsid w:val="001A7781"/>
    <w:rsid w:val="001A7796"/>
    <w:rsid w:val="001B0500"/>
    <w:rsid w:val="001B0D9F"/>
    <w:rsid w:val="001B15AC"/>
    <w:rsid w:val="001B1D58"/>
    <w:rsid w:val="001B2BD6"/>
    <w:rsid w:val="001B398E"/>
    <w:rsid w:val="001B4132"/>
    <w:rsid w:val="001B5C99"/>
    <w:rsid w:val="001C04F9"/>
    <w:rsid w:val="001C06B6"/>
    <w:rsid w:val="001C10D7"/>
    <w:rsid w:val="001C1D82"/>
    <w:rsid w:val="001C2647"/>
    <w:rsid w:val="001C2959"/>
    <w:rsid w:val="001C2BF7"/>
    <w:rsid w:val="001C2F7F"/>
    <w:rsid w:val="001C46B1"/>
    <w:rsid w:val="001C59CE"/>
    <w:rsid w:val="001C5BE2"/>
    <w:rsid w:val="001C6621"/>
    <w:rsid w:val="001C6BDE"/>
    <w:rsid w:val="001C6E88"/>
    <w:rsid w:val="001C7142"/>
    <w:rsid w:val="001C769E"/>
    <w:rsid w:val="001C76BE"/>
    <w:rsid w:val="001C7C19"/>
    <w:rsid w:val="001C7CBE"/>
    <w:rsid w:val="001D057A"/>
    <w:rsid w:val="001D0684"/>
    <w:rsid w:val="001D080A"/>
    <w:rsid w:val="001D0A5D"/>
    <w:rsid w:val="001D143C"/>
    <w:rsid w:val="001D1A7E"/>
    <w:rsid w:val="001D21D1"/>
    <w:rsid w:val="001D239A"/>
    <w:rsid w:val="001D3B1B"/>
    <w:rsid w:val="001D40B5"/>
    <w:rsid w:val="001D5F96"/>
    <w:rsid w:val="001D604E"/>
    <w:rsid w:val="001D62C5"/>
    <w:rsid w:val="001D776C"/>
    <w:rsid w:val="001D791A"/>
    <w:rsid w:val="001E007E"/>
    <w:rsid w:val="001E04B4"/>
    <w:rsid w:val="001E0CE7"/>
    <w:rsid w:val="001E16B0"/>
    <w:rsid w:val="001E193E"/>
    <w:rsid w:val="001E1B4D"/>
    <w:rsid w:val="001E1F56"/>
    <w:rsid w:val="001E22C3"/>
    <w:rsid w:val="001E27DA"/>
    <w:rsid w:val="001E29F3"/>
    <w:rsid w:val="001E3395"/>
    <w:rsid w:val="001E3618"/>
    <w:rsid w:val="001E37A6"/>
    <w:rsid w:val="001E3D09"/>
    <w:rsid w:val="001E3EB7"/>
    <w:rsid w:val="001E446B"/>
    <w:rsid w:val="001E4752"/>
    <w:rsid w:val="001E4F61"/>
    <w:rsid w:val="001E51E2"/>
    <w:rsid w:val="001E591E"/>
    <w:rsid w:val="001E5A27"/>
    <w:rsid w:val="001E6378"/>
    <w:rsid w:val="001E6ADC"/>
    <w:rsid w:val="001E7004"/>
    <w:rsid w:val="001E7B0D"/>
    <w:rsid w:val="001E7CFB"/>
    <w:rsid w:val="001F00FD"/>
    <w:rsid w:val="001F1668"/>
    <w:rsid w:val="001F19A2"/>
    <w:rsid w:val="001F2DD0"/>
    <w:rsid w:val="001F2E5C"/>
    <w:rsid w:val="001F3B5D"/>
    <w:rsid w:val="001F4225"/>
    <w:rsid w:val="001F4A49"/>
    <w:rsid w:val="001F52A6"/>
    <w:rsid w:val="001F5EF3"/>
    <w:rsid w:val="001F61E5"/>
    <w:rsid w:val="001F65D7"/>
    <w:rsid w:val="001F6B5F"/>
    <w:rsid w:val="0020116B"/>
    <w:rsid w:val="00202135"/>
    <w:rsid w:val="00202288"/>
    <w:rsid w:val="00202566"/>
    <w:rsid w:val="00202B01"/>
    <w:rsid w:val="00202B8F"/>
    <w:rsid w:val="00203610"/>
    <w:rsid w:val="00205ABC"/>
    <w:rsid w:val="00207738"/>
    <w:rsid w:val="00207D5B"/>
    <w:rsid w:val="00207FB8"/>
    <w:rsid w:val="00210EF0"/>
    <w:rsid w:val="00211063"/>
    <w:rsid w:val="0021168D"/>
    <w:rsid w:val="002120CB"/>
    <w:rsid w:val="00212438"/>
    <w:rsid w:val="00212A1C"/>
    <w:rsid w:val="00212D40"/>
    <w:rsid w:val="00212D9C"/>
    <w:rsid w:val="002135BD"/>
    <w:rsid w:val="00213F8A"/>
    <w:rsid w:val="00215846"/>
    <w:rsid w:val="002160F5"/>
    <w:rsid w:val="002160FE"/>
    <w:rsid w:val="00216D8A"/>
    <w:rsid w:val="0021747F"/>
    <w:rsid w:val="00221431"/>
    <w:rsid w:val="002224BF"/>
    <w:rsid w:val="00222CFE"/>
    <w:rsid w:val="0022386F"/>
    <w:rsid w:val="002245E4"/>
    <w:rsid w:val="00224709"/>
    <w:rsid w:val="00225FCC"/>
    <w:rsid w:val="002263C2"/>
    <w:rsid w:val="00226C38"/>
    <w:rsid w:val="00227FB3"/>
    <w:rsid w:val="002307CA"/>
    <w:rsid w:val="00230B75"/>
    <w:rsid w:val="00230FC3"/>
    <w:rsid w:val="002312AD"/>
    <w:rsid w:val="00231DC9"/>
    <w:rsid w:val="00233342"/>
    <w:rsid w:val="00233617"/>
    <w:rsid w:val="0023377A"/>
    <w:rsid w:val="00233AF2"/>
    <w:rsid w:val="00235016"/>
    <w:rsid w:val="00235FD5"/>
    <w:rsid w:val="00236204"/>
    <w:rsid w:val="0023627D"/>
    <w:rsid w:val="002402E2"/>
    <w:rsid w:val="002410CF"/>
    <w:rsid w:val="0024112B"/>
    <w:rsid w:val="00241505"/>
    <w:rsid w:val="00241E6C"/>
    <w:rsid w:val="00242F73"/>
    <w:rsid w:val="002434EE"/>
    <w:rsid w:val="0024373C"/>
    <w:rsid w:val="002438E3"/>
    <w:rsid w:val="00243A6D"/>
    <w:rsid w:val="00244BE6"/>
    <w:rsid w:val="0024591C"/>
    <w:rsid w:val="0024593B"/>
    <w:rsid w:val="00245F9A"/>
    <w:rsid w:val="00246EDA"/>
    <w:rsid w:val="0024797D"/>
    <w:rsid w:val="002479D7"/>
    <w:rsid w:val="002500BA"/>
    <w:rsid w:val="00250251"/>
    <w:rsid w:val="00251187"/>
    <w:rsid w:val="00252A9D"/>
    <w:rsid w:val="00253128"/>
    <w:rsid w:val="00253CF6"/>
    <w:rsid w:val="002553B0"/>
    <w:rsid w:val="00255624"/>
    <w:rsid w:val="002566F0"/>
    <w:rsid w:val="0025759D"/>
    <w:rsid w:val="0025769C"/>
    <w:rsid w:val="002600B3"/>
    <w:rsid w:val="002602ED"/>
    <w:rsid w:val="00260F54"/>
    <w:rsid w:val="00261D47"/>
    <w:rsid w:val="002624FD"/>
    <w:rsid w:val="00262B5D"/>
    <w:rsid w:val="00262CFA"/>
    <w:rsid w:val="00262D8D"/>
    <w:rsid w:val="00264AB4"/>
    <w:rsid w:val="00264C7C"/>
    <w:rsid w:val="00264F41"/>
    <w:rsid w:val="002655B9"/>
    <w:rsid w:val="00266065"/>
    <w:rsid w:val="0026691A"/>
    <w:rsid w:val="00266D80"/>
    <w:rsid w:val="00267999"/>
    <w:rsid w:val="00270214"/>
    <w:rsid w:val="00270523"/>
    <w:rsid w:val="0027279F"/>
    <w:rsid w:val="00273030"/>
    <w:rsid w:val="00273A86"/>
    <w:rsid w:val="00273E29"/>
    <w:rsid w:val="0027466F"/>
    <w:rsid w:val="00274DAA"/>
    <w:rsid w:val="00275608"/>
    <w:rsid w:val="00275E5B"/>
    <w:rsid w:val="00276539"/>
    <w:rsid w:val="00276601"/>
    <w:rsid w:val="0028007F"/>
    <w:rsid w:val="00284094"/>
    <w:rsid w:val="00284434"/>
    <w:rsid w:val="00285BBC"/>
    <w:rsid w:val="00285D75"/>
    <w:rsid w:val="00285DAA"/>
    <w:rsid w:val="002863D4"/>
    <w:rsid w:val="00286CE9"/>
    <w:rsid w:val="00286EAD"/>
    <w:rsid w:val="00287C58"/>
    <w:rsid w:val="00290120"/>
    <w:rsid w:val="00292D54"/>
    <w:rsid w:val="00293B02"/>
    <w:rsid w:val="0029472D"/>
    <w:rsid w:val="00294AD2"/>
    <w:rsid w:val="0029594D"/>
    <w:rsid w:val="00295CCA"/>
    <w:rsid w:val="00295D53"/>
    <w:rsid w:val="00295F88"/>
    <w:rsid w:val="00297491"/>
    <w:rsid w:val="0029792B"/>
    <w:rsid w:val="00297E7E"/>
    <w:rsid w:val="002A0083"/>
    <w:rsid w:val="002A0358"/>
    <w:rsid w:val="002A288C"/>
    <w:rsid w:val="002A31CB"/>
    <w:rsid w:val="002A3320"/>
    <w:rsid w:val="002A3430"/>
    <w:rsid w:val="002A3FAA"/>
    <w:rsid w:val="002A4796"/>
    <w:rsid w:val="002A4B2F"/>
    <w:rsid w:val="002A4DD6"/>
    <w:rsid w:val="002A5A9E"/>
    <w:rsid w:val="002A6E15"/>
    <w:rsid w:val="002A6F14"/>
    <w:rsid w:val="002A78DE"/>
    <w:rsid w:val="002A795A"/>
    <w:rsid w:val="002A7DEE"/>
    <w:rsid w:val="002B0075"/>
    <w:rsid w:val="002B00A1"/>
    <w:rsid w:val="002B068C"/>
    <w:rsid w:val="002B0914"/>
    <w:rsid w:val="002B0F69"/>
    <w:rsid w:val="002B1587"/>
    <w:rsid w:val="002B1D3F"/>
    <w:rsid w:val="002B24D6"/>
    <w:rsid w:val="002B3343"/>
    <w:rsid w:val="002B3F69"/>
    <w:rsid w:val="002B5441"/>
    <w:rsid w:val="002B6E44"/>
    <w:rsid w:val="002B7245"/>
    <w:rsid w:val="002C0176"/>
    <w:rsid w:val="002C0C85"/>
    <w:rsid w:val="002C1CC2"/>
    <w:rsid w:val="002C295D"/>
    <w:rsid w:val="002C36BC"/>
    <w:rsid w:val="002C51A5"/>
    <w:rsid w:val="002C5DFC"/>
    <w:rsid w:val="002C67F0"/>
    <w:rsid w:val="002C6C6C"/>
    <w:rsid w:val="002C707E"/>
    <w:rsid w:val="002D0BCD"/>
    <w:rsid w:val="002D15D9"/>
    <w:rsid w:val="002D22A2"/>
    <w:rsid w:val="002D2F79"/>
    <w:rsid w:val="002D3F27"/>
    <w:rsid w:val="002D40BA"/>
    <w:rsid w:val="002D40D2"/>
    <w:rsid w:val="002D4432"/>
    <w:rsid w:val="002D4A4B"/>
    <w:rsid w:val="002D5331"/>
    <w:rsid w:val="002D59B8"/>
    <w:rsid w:val="002D5A59"/>
    <w:rsid w:val="002D7331"/>
    <w:rsid w:val="002E0B59"/>
    <w:rsid w:val="002E0F27"/>
    <w:rsid w:val="002E10BA"/>
    <w:rsid w:val="002E1181"/>
    <w:rsid w:val="002E134E"/>
    <w:rsid w:val="002E1413"/>
    <w:rsid w:val="002E1836"/>
    <w:rsid w:val="002E1A5B"/>
    <w:rsid w:val="002E2172"/>
    <w:rsid w:val="002E2978"/>
    <w:rsid w:val="002E38C2"/>
    <w:rsid w:val="002E3EA4"/>
    <w:rsid w:val="002E44A9"/>
    <w:rsid w:val="002E55EE"/>
    <w:rsid w:val="002E5A12"/>
    <w:rsid w:val="002E5A8E"/>
    <w:rsid w:val="002E5D3D"/>
    <w:rsid w:val="002E68B9"/>
    <w:rsid w:val="002E6CC1"/>
    <w:rsid w:val="002E7188"/>
    <w:rsid w:val="002E7638"/>
    <w:rsid w:val="002E7D77"/>
    <w:rsid w:val="002E7E6C"/>
    <w:rsid w:val="002F0031"/>
    <w:rsid w:val="002F02F8"/>
    <w:rsid w:val="002F1465"/>
    <w:rsid w:val="002F14A6"/>
    <w:rsid w:val="002F19E5"/>
    <w:rsid w:val="002F21E1"/>
    <w:rsid w:val="002F22EB"/>
    <w:rsid w:val="002F26AF"/>
    <w:rsid w:val="002F2FDE"/>
    <w:rsid w:val="002F353E"/>
    <w:rsid w:val="002F3DA1"/>
    <w:rsid w:val="002F463A"/>
    <w:rsid w:val="002F4CAF"/>
    <w:rsid w:val="002F5269"/>
    <w:rsid w:val="002F585B"/>
    <w:rsid w:val="002F5CA3"/>
    <w:rsid w:val="002F6221"/>
    <w:rsid w:val="002F641F"/>
    <w:rsid w:val="002F6764"/>
    <w:rsid w:val="002F7284"/>
    <w:rsid w:val="002F7576"/>
    <w:rsid w:val="002F7CAF"/>
    <w:rsid w:val="00301E05"/>
    <w:rsid w:val="00301FD3"/>
    <w:rsid w:val="00302A43"/>
    <w:rsid w:val="0030334C"/>
    <w:rsid w:val="00303623"/>
    <w:rsid w:val="003038BE"/>
    <w:rsid w:val="00303E60"/>
    <w:rsid w:val="003048D9"/>
    <w:rsid w:val="00305B05"/>
    <w:rsid w:val="00305B6E"/>
    <w:rsid w:val="00306065"/>
    <w:rsid w:val="00306A78"/>
    <w:rsid w:val="00306F2D"/>
    <w:rsid w:val="00307B79"/>
    <w:rsid w:val="00307DAA"/>
    <w:rsid w:val="00310534"/>
    <w:rsid w:val="00310A4A"/>
    <w:rsid w:val="00310AFD"/>
    <w:rsid w:val="00310F3E"/>
    <w:rsid w:val="003115BE"/>
    <w:rsid w:val="00312F48"/>
    <w:rsid w:val="003133BC"/>
    <w:rsid w:val="003139A8"/>
    <w:rsid w:val="00313AD8"/>
    <w:rsid w:val="00314049"/>
    <w:rsid w:val="003143DA"/>
    <w:rsid w:val="003145C9"/>
    <w:rsid w:val="00315482"/>
    <w:rsid w:val="00315ACB"/>
    <w:rsid w:val="003167ED"/>
    <w:rsid w:val="00317079"/>
    <w:rsid w:val="00317FE3"/>
    <w:rsid w:val="003202C7"/>
    <w:rsid w:val="003209CA"/>
    <w:rsid w:val="00320E9C"/>
    <w:rsid w:val="00321351"/>
    <w:rsid w:val="00321669"/>
    <w:rsid w:val="003220EE"/>
    <w:rsid w:val="0032354D"/>
    <w:rsid w:val="00324978"/>
    <w:rsid w:val="00324C8F"/>
    <w:rsid w:val="0032626C"/>
    <w:rsid w:val="0032658C"/>
    <w:rsid w:val="00326BCE"/>
    <w:rsid w:val="00327069"/>
    <w:rsid w:val="00327373"/>
    <w:rsid w:val="003279F4"/>
    <w:rsid w:val="00327C45"/>
    <w:rsid w:val="00327E84"/>
    <w:rsid w:val="00330037"/>
    <w:rsid w:val="00331281"/>
    <w:rsid w:val="003313FF"/>
    <w:rsid w:val="0033143F"/>
    <w:rsid w:val="003315C8"/>
    <w:rsid w:val="0033178E"/>
    <w:rsid w:val="003323AE"/>
    <w:rsid w:val="003326A6"/>
    <w:rsid w:val="00334A73"/>
    <w:rsid w:val="00334D1A"/>
    <w:rsid w:val="00335ECC"/>
    <w:rsid w:val="00336CC0"/>
    <w:rsid w:val="0033717B"/>
    <w:rsid w:val="0033743B"/>
    <w:rsid w:val="00337C00"/>
    <w:rsid w:val="003411B7"/>
    <w:rsid w:val="00341619"/>
    <w:rsid w:val="00341D17"/>
    <w:rsid w:val="003420D6"/>
    <w:rsid w:val="003421ED"/>
    <w:rsid w:val="0034272E"/>
    <w:rsid w:val="00342832"/>
    <w:rsid w:val="00342D0C"/>
    <w:rsid w:val="00342D89"/>
    <w:rsid w:val="0034397A"/>
    <w:rsid w:val="00344007"/>
    <w:rsid w:val="00344068"/>
    <w:rsid w:val="003443FA"/>
    <w:rsid w:val="003447E3"/>
    <w:rsid w:val="0034480A"/>
    <w:rsid w:val="00344DB0"/>
    <w:rsid w:val="003450F5"/>
    <w:rsid w:val="00346B3F"/>
    <w:rsid w:val="003476B9"/>
    <w:rsid w:val="00347AA2"/>
    <w:rsid w:val="00350912"/>
    <w:rsid w:val="00350DF7"/>
    <w:rsid w:val="00351AFB"/>
    <w:rsid w:val="00351B24"/>
    <w:rsid w:val="00351FD1"/>
    <w:rsid w:val="00352C32"/>
    <w:rsid w:val="00353214"/>
    <w:rsid w:val="00353A9B"/>
    <w:rsid w:val="00353AF3"/>
    <w:rsid w:val="00353CDE"/>
    <w:rsid w:val="00353E61"/>
    <w:rsid w:val="003546F7"/>
    <w:rsid w:val="00354C4D"/>
    <w:rsid w:val="003554E7"/>
    <w:rsid w:val="00355A57"/>
    <w:rsid w:val="00355C37"/>
    <w:rsid w:val="003562A0"/>
    <w:rsid w:val="00356C49"/>
    <w:rsid w:val="00356FF9"/>
    <w:rsid w:val="0036056F"/>
    <w:rsid w:val="00360B84"/>
    <w:rsid w:val="003616AE"/>
    <w:rsid w:val="00362808"/>
    <w:rsid w:val="00362E03"/>
    <w:rsid w:val="003633C4"/>
    <w:rsid w:val="0036344C"/>
    <w:rsid w:val="003636BA"/>
    <w:rsid w:val="00364109"/>
    <w:rsid w:val="003649C6"/>
    <w:rsid w:val="00365796"/>
    <w:rsid w:val="003657F9"/>
    <w:rsid w:val="00366FDD"/>
    <w:rsid w:val="00367333"/>
    <w:rsid w:val="00370237"/>
    <w:rsid w:val="003716A7"/>
    <w:rsid w:val="00371E45"/>
    <w:rsid w:val="00372761"/>
    <w:rsid w:val="003734DB"/>
    <w:rsid w:val="00373E44"/>
    <w:rsid w:val="0037474E"/>
    <w:rsid w:val="00374865"/>
    <w:rsid w:val="003752D3"/>
    <w:rsid w:val="00375561"/>
    <w:rsid w:val="00376015"/>
    <w:rsid w:val="003761D6"/>
    <w:rsid w:val="00376A40"/>
    <w:rsid w:val="00377F59"/>
    <w:rsid w:val="00383762"/>
    <w:rsid w:val="00383DF1"/>
    <w:rsid w:val="00383E9E"/>
    <w:rsid w:val="0038446E"/>
    <w:rsid w:val="00384D4A"/>
    <w:rsid w:val="00385AE6"/>
    <w:rsid w:val="00386721"/>
    <w:rsid w:val="00386BEB"/>
    <w:rsid w:val="00386C56"/>
    <w:rsid w:val="0038735F"/>
    <w:rsid w:val="00387615"/>
    <w:rsid w:val="00387CEF"/>
    <w:rsid w:val="00390109"/>
    <w:rsid w:val="0039100C"/>
    <w:rsid w:val="003914D5"/>
    <w:rsid w:val="00391547"/>
    <w:rsid w:val="00391610"/>
    <w:rsid w:val="00391F5A"/>
    <w:rsid w:val="00392247"/>
    <w:rsid w:val="00392326"/>
    <w:rsid w:val="00392762"/>
    <w:rsid w:val="0039326B"/>
    <w:rsid w:val="00393571"/>
    <w:rsid w:val="00393D2E"/>
    <w:rsid w:val="00393F99"/>
    <w:rsid w:val="00395674"/>
    <w:rsid w:val="00395D83"/>
    <w:rsid w:val="00396608"/>
    <w:rsid w:val="00396A97"/>
    <w:rsid w:val="00396B29"/>
    <w:rsid w:val="00396C27"/>
    <w:rsid w:val="003978C5"/>
    <w:rsid w:val="003A0762"/>
    <w:rsid w:val="003A0BD9"/>
    <w:rsid w:val="003A1462"/>
    <w:rsid w:val="003A1B86"/>
    <w:rsid w:val="003A1E05"/>
    <w:rsid w:val="003A1FCF"/>
    <w:rsid w:val="003A232F"/>
    <w:rsid w:val="003A27C6"/>
    <w:rsid w:val="003A2984"/>
    <w:rsid w:val="003A33ED"/>
    <w:rsid w:val="003A3A06"/>
    <w:rsid w:val="003A410F"/>
    <w:rsid w:val="003A41A5"/>
    <w:rsid w:val="003A4D5E"/>
    <w:rsid w:val="003A51B7"/>
    <w:rsid w:val="003A531B"/>
    <w:rsid w:val="003A568D"/>
    <w:rsid w:val="003A56BC"/>
    <w:rsid w:val="003A5DF8"/>
    <w:rsid w:val="003A61D4"/>
    <w:rsid w:val="003A62F0"/>
    <w:rsid w:val="003A6370"/>
    <w:rsid w:val="003A6825"/>
    <w:rsid w:val="003A69C7"/>
    <w:rsid w:val="003A6A94"/>
    <w:rsid w:val="003A6AD5"/>
    <w:rsid w:val="003A763B"/>
    <w:rsid w:val="003A7C08"/>
    <w:rsid w:val="003A7C2E"/>
    <w:rsid w:val="003B0756"/>
    <w:rsid w:val="003B0976"/>
    <w:rsid w:val="003B0F27"/>
    <w:rsid w:val="003B1414"/>
    <w:rsid w:val="003B1A0B"/>
    <w:rsid w:val="003B1D94"/>
    <w:rsid w:val="003B1E02"/>
    <w:rsid w:val="003B2074"/>
    <w:rsid w:val="003B2D6C"/>
    <w:rsid w:val="003B34A5"/>
    <w:rsid w:val="003B367B"/>
    <w:rsid w:val="003B3C6C"/>
    <w:rsid w:val="003B3EB0"/>
    <w:rsid w:val="003B4179"/>
    <w:rsid w:val="003B4D3F"/>
    <w:rsid w:val="003B4F71"/>
    <w:rsid w:val="003B568F"/>
    <w:rsid w:val="003B5B2E"/>
    <w:rsid w:val="003B6930"/>
    <w:rsid w:val="003B6B55"/>
    <w:rsid w:val="003B6B88"/>
    <w:rsid w:val="003B6DB5"/>
    <w:rsid w:val="003C009B"/>
    <w:rsid w:val="003C09B6"/>
    <w:rsid w:val="003C2EB1"/>
    <w:rsid w:val="003C48A7"/>
    <w:rsid w:val="003C5075"/>
    <w:rsid w:val="003C54BB"/>
    <w:rsid w:val="003C5E4C"/>
    <w:rsid w:val="003C62BD"/>
    <w:rsid w:val="003C63E1"/>
    <w:rsid w:val="003C6845"/>
    <w:rsid w:val="003C6EBA"/>
    <w:rsid w:val="003C7044"/>
    <w:rsid w:val="003C78FC"/>
    <w:rsid w:val="003D086C"/>
    <w:rsid w:val="003D097B"/>
    <w:rsid w:val="003D0B4B"/>
    <w:rsid w:val="003D0CC8"/>
    <w:rsid w:val="003D0DB6"/>
    <w:rsid w:val="003D416D"/>
    <w:rsid w:val="003D4290"/>
    <w:rsid w:val="003D5BFF"/>
    <w:rsid w:val="003D5C90"/>
    <w:rsid w:val="003D62B1"/>
    <w:rsid w:val="003D6A52"/>
    <w:rsid w:val="003D6C76"/>
    <w:rsid w:val="003D711C"/>
    <w:rsid w:val="003E05DF"/>
    <w:rsid w:val="003E0634"/>
    <w:rsid w:val="003E0FE6"/>
    <w:rsid w:val="003E1314"/>
    <w:rsid w:val="003E2482"/>
    <w:rsid w:val="003E3838"/>
    <w:rsid w:val="003E3E63"/>
    <w:rsid w:val="003E4210"/>
    <w:rsid w:val="003E4C44"/>
    <w:rsid w:val="003E4F98"/>
    <w:rsid w:val="003E5A70"/>
    <w:rsid w:val="003E6881"/>
    <w:rsid w:val="003E6B75"/>
    <w:rsid w:val="003E74FD"/>
    <w:rsid w:val="003F013F"/>
    <w:rsid w:val="003F03CE"/>
    <w:rsid w:val="003F09FE"/>
    <w:rsid w:val="003F1231"/>
    <w:rsid w:val="003F1831"/>
    <w:rsid w:val="003F18AE"/>
    <w:rsid w:val="003F21D4"/>
    <w:rsid w:val="003F2875"/>
    <w:rsid w:val="003F28D0"/>
    <w:rsid w:val="003F38BC"/>
    <w:rsid w:val="003F3EC6"/>
    <w:rsid w:val="003F5328"/>
    <w:rsid w:val="003F58F2"/>
    <w:rsid w:val="003F74B2"/>
    <w:rsid w:val="003F75A6"/>
    <w:rsid w:val="004010C3"/>
    <w:rsid w:val="00402216"/>
    <w:rsid w:val="0040275B"/>
    <w:rsid w:val="00403A3B"/>
    <w:rsid w:val="00403F23"/>
    <w:rsid w:val="004049CC"/>
    <w:rsid w:val="004057C6"/>
    <w:rsid w:val="00405F0A"/>
    <w:rsid w:val="0040664C"/>
    <w:rsid w:val="00406E26"/>
    <w:rsid w:val="004072E1"/>
    <w:rsid w:val="00407BA7"/>
    <w:rsid w:val="004118AB"/>
    <w:rsid w:val="00412182"/>
    <w:rsid w:val="00412F1A"/>
    <w:rsid w:val="004142C7"/>
    <w:rsid w:val="00414B8C"/>
    <w:rsid w:val="00414C21"/>
    <w:rsid w:val="00414E75"/>
    <w:rsid w:val="00415642"/>
    <w:rsid w:val="00415F85"/>
    <w:rsid w:val="00416095"/>
    <w:rsid w:val="0041621B"/>
    <w:rsid w:val="00416B89"/>
    <w:rsid w:val="004179C3"/>
    <w:rsid w:val="0042011F"/>
    <w:rsid w:val="004201CE"/>
    <w:rsid w:val="00420644"/>
    <w:rsid w:val="004209E3"/>
    <w:rsid w:val="00420D5C"/>
    <w:rsid w:val="00421047"/>
    <w:rsid w:val="004218FF"/>
    <w:rsid w:val="00421F42"/>
    <w:rsid w:val="0042248B"/>
    <w:rsid w:val="0042325A"/>
    <w:rsid w:val="0042403C"/>
    <w:rsid w:val="00424154"/>
    <w:rsid w:val="004249EC"/>
    <w:rsid w:val="004253AE"/>
    <w:rsid w:val="00425C05"/>
    <w:rsid w:val="00426277"/>
    <w:rsid w:val="004269B6"/>
    <w:rsid w:val="00426CD9"/>
    <w:rsid w:val="00426F80"/>
    <w:rsid w:val="00427C9C"/>
    <w:rsid w:val="00427DE0"/>
    <w:rsid w:val="004300E7"/>
    <w:rsid w:val="004308BB"/>
    <w:rsid w:val="0043130C"/>
    <w:rsid w:val="00431905"/>
    <w:rsid w:val="0043472E"/>
    <w:rsid w:val="004350D8"/>
    <w:rsid w:val="00435A46"/>
    <w:rsid w:val="00435C67"/>
    <w:rsid w:val="00435D6C"/>
    <w:rsid w:val="00435F1F"/>
    <w:rsid w:val="004404B0"/>
    <w:rsid w:val="00440E0D"/>
    <w:rsid w:val="00441ABC"/>
    <w:rsid w:val="00442088"/>
    <w:rsid w:val="004427D5"/>
    <w:rsid w:val="00443160"/>
    <w:rsid w:val="00444160"/>
    <w:rsid w:val="00444835"/>
    <w:rsid w:val="004459A3"/>
    <w:rsid w:val="004459B1"/>
    <w:rsid w:val="0044653A"/>
    <w:rsid w:val="0045004D"/>
    <w:rsid w:val="004500BA"/>
    <w:rsid w:val="0045068D"/>
    <w:rsid w:val="00450FA6"/>
    <w:rsid w:val="00451732"/>
    <w:rsid w:val="00451B08"/>
    <w:rsid w:val="004522A6"/>
    <w:rsid w:val="0045235D"/>
    <w:rsid w:val="004527AF"/>
    <w:rsid w:val="00452A02"/>
    <w:rsid w:val="00452E95"/>
    <w:rsid w:val="00453267"/>
    <w:rsid w:val="00453940"/>
    <w:rsid w:val="00453961"/>
    <w:rsid w:val="00453B47"/>
    <w:rsid w:val="00454166"/>
    <w:rsid w:val="00454210"/>
    <w:rsid w:val="00454B3D"/>
    <w:rsid w:val="004564EE"/>
    <w:rsid w:val="00456A88"/>
    <w:rsid w:val="00456DEF"/>
    <w:rsid w:val="004602E9"/>
    <w:rsid w:val="00461CEB"/>
    <w:rsid w:val="0046233B"/>
    <w:rsid w:val="00462724"/>
    <w:rsid w:val="00462BB7"/>
    <w:rsid w:val="00463267"/>
    <w:rsid w:val="00463318"/>
    <w:rsid w:val="00463BF2"/>
    <w:rsid w:val="004647C4"/>
    <w:rsid w:val="004654C1"/>
    <w:rsid w:val="00465794"/>
    <w:rsid w:val="00466D87"/>
    <w:rsid w:val="004675C2"/>
    <w:rsid w:val="00467B73"/>
    <w:rsid w:val="00470053"/>
    <w:rsid w:val="004703E2"/>
    <w:rsid w:val="00471C68"/>
    <w:rsid w:val="0047262A"/>
    <w:rsid w:val="0047264A"/>
    <w:rsid w:val="00472F4D"/>
    <w:rsid w:val="00473946"/>
    <w:rsid w:val="00474011"/>
    <w:rsid w:val="00474686"/>
    <w:rsid w:val="00474A4A"/>
    <w:rsid w:val="00475243"/>
    <w:rsid w:val="00475A66"/>
    <w:rsid w:val="0047721A"/>
    <w:rsid w:val="004774B6"/>
    <w:rsid w:val="004776CD"/>
    <w:rsid w:val="0048066D"/>
    <w:rsid w:val="00480C0B"/>
    <w:rsid w:val="00481EB3"/>
    <w:rsid w:val="004820C7"/>
    <w:rsid w:val="00483349"/>
    <w:rsid w:val="00484682"/>
    <w:rsid w:val="00484685"/>
    <w:rsid w:val="00486611"/>
    <w:rsid w:val="00486DF0"/>
    <w:rsid w:val="00487FBB"/>
    <w:rsid w:val="004905B1"/>
    <w:rsid w:val="00490A69"/>
    <w:rsid w:val="00492549"/>
    <w:rsid w:val="00492876"/>
    <w:rsid w:val="00493635"/>
    <w:rsid w:val="00493D4B"/>
    <w:rsid w:val="00494191"/>
    <w:rsid w:val="00494BAC"/>
    <w:rsid w:val="004952E0"/>
    <w:rsid w:val="0049538B"/>
    <w:rsid w:val="0049619C"/>
    <w:rsid w:val="00497080"/>
    <w:rsid w:val="004A06D9"/>
    <w:rsid w:val="004A100F"/>
    <w:rsid w:val="004A10DF"/>
    <w:rsid w:val="004A1B0A"/>
    <w:rsid w:val="004A1B5F"/>
    <w:rsid w:val="004A2581"/>
    <w:rsid w:val="004A295B"/>
    <w:rsid w:val="004A2DA8"/>
    <w:rsid w:val="004A37BF"/>
    <w:rsid w:val="004A4151"/>
    <w:rsid w:val="004A4B2C"/>
    <w:rsid w:val="004A5321"/>
    <w:rsid w:val="004A5F74"/>
    <w:rsid w:val="004A6020"/>
    <w:rsid w:val="004A74D4"/>
    <w:rsid w:val="004A759E"/>
    <w:rsid w:val="004B0EE7"/>
    <w:rsid w:val="004B12FF"/>
    <w:rsid w:val="004B1C51"/>
    <w:rsid w:val="004B1E8D"/>
    <w:rsid w:val="004B263B"/>
    <w:rsid w:val="004B276F"/>
    <w:rsid w:val="004B2B88"/>
    <w:rsid w:val="004B2D85"/>
    <w:rsid w:val="004B2E97"/>
    <w:rsid w:val="004B3398"/>
    <w:rsid w:val="004B3BA9"/>
    <w:rsid w:val="004B431B"/>
    <w:rsid w:val="004B4FDD"/>
    <w:rsid w:val="004B6C32"/>
    <w:rsid w:val="004B74D8"/>
    <w:rsid w:val="004B7716"/>
    <w:rsid w:val="004B7B76"/>
    <w:rsid w:val="004C0487"/>
    <w:rsid w:val="004C0579"/>
    <w:rsid w:val="004C0B0D"/>
    <w:rsid w:val="004C0E38"/>
    <w:rsid w:val="004C0F48"/>
    <w:rsid w:val="004C1650"/>
    <w:rsid w:val="004C28F8"/>
    <w:rsid w:val="004C3019"/>
    <w:rsid w:val="004C3D4F"/>
    <w:rsid w:val="004C46DC"/>
    <w:rsid w:val="004C4767"/>
    <w:rsid w:val="004C4B5E"/>
    <w:rsid w:val="004C5498"/>
    <w:rsid w:val="004C696B"/>
    <w:rsid w:val="004C7270"/>
    <w:rsid w:val="004C7B28"/>
    <w:rsid w:val="004C7B98"/>
    <w:rsid w:val="004D2425"/>
    <w:rsid w:val="004D3244"/>
    <w:rsid w:val="004D33D2"/>
    <w:rsid w:val="004D3C7C"/>
    <w:rsid w:val="004D5923"/>
    <w:rsid w:val="004E06E2"/>
    <w:rsid w:val="004E0BB8"/>
    <w:rsid w:val="004E1AB1"/>
    <w:rsid w:val="004E1F93"/>
    <w:rsid w:val="004E208B"/>
    <w:rsid w:val="004E22FF"/>
    <w:rsid w:val="004E238B"/>
    <w:rsid w:val="004E364C"/>
    <w:rsid w:val="004E458D"/>
    <w:rsid w:val="004E4933"/>
    <w:rsid w:val="004E498C"/>
    <w:rsid w:val="004E4B09"/>
    <w:rsid w:val="004E5E4B"/>
    <w:rsid w:val="004E639D"/>
    <w:rsid w:val="004E6863"/>
    <w:rsid w:val="004E7486"/>
    <w:rsid w:val="004E7671"/>
    <w:rsid w:val="004E7BA6"/>
    <w:rsid w:val="004F02AC"/>
    <w:rsid w:val="004F0347"/>
    <w:rsid w:val="004F04A8"/>
    <w:rsid w:val="004F0713"/>
    <w:rsid w:val="004F0DC6"/>
    <w:rsid w:val="004F1543"/>
    <w:rsid w:val="004F170A"/>
    <w:rsid w:val="004F2657"/>
    <w:rsid w:val="004F32FF"/>
    <w:rsid w:val="004F3B30"/>
    <w:rsid w:val="004F3B4D"/>
    <w:rsid w:val="004F3D3A"/>
    <w:rsid w:val="004F3E85"/>
    <w:rsid w:val="004F531D"/>
    <w:rsid w:val="004F5B21"/>
    <w:rsid w:val="004F6D17"/>
    <w:rsid w:val="004F6DA1"/>
    <w:rsid w:val="004F7B2E"/>
    <w:rsid w:val="00500A49"/>
    <w:rsid w:val="00502320"/>
    <w:rsid w:val="00503A29"/>
    <w:rsid w:val="00504977"/>
    <w:rsid w:val="00504C0D"/>
    <w:rsid w:val="00504DAF"/>
    <w:rsid w:val="00505DB3"/>
    <w:rsid w:val="005062F7"/>
    <w:rsid w:val="005064A7"/>
    <w:rsid w:val="00506539"/>
    <w:rsid w:val="005068D8"/>
    <w:rsid w:val="00506ADA"/>
    <w:rsid w:val="0050737A"/>
    <w:rsid w:val="00507889"/>
    <w:rsid w:val="00507CDA"/>
    <w:rsid w:val="005100D4"/>
    <w:rsid w:val="005111B3"/>
    <w:rsid w:val="0051139E"/>
    <w:rsid w:val="005119D5"/>
    <w:rsid w:val="00512810"/>
    <w:rsid w:val="00512BBD"/>
    <w:rsid w:val="00513CC0"/>
    <w:rsid w:val="00513DAA"/>
    <w:rsid w:val="00514316"/>
    <w:rsid w:val="0051534A"/>
    <w:rsid w:val="005153B0"/>
    <w:rsid w:val="00515542"/>
    <w:rsid w:val="005156EC"/>
    <w:rsid w:val="00515941"/>
    <w:rsid w:val="0051643A"/>
    <w:rsid w:val="005172D4"/>
    <w:rsid w:val="00517AA7"/>
    <w:rsid w:val="00520D24"/>
    <w:rsid w:val="0052116C"/>
    <w:rsid w:val="00521349"/>
    <w:rsid w:val="0052197F"/>
    <w:rsid w:val="00522034"/>
    <w:rsid w:val="00523080"/>
    <w:rsid w:val="005233A5"/>
    <w:rsid w:val="00523F93"/>
    <w:rsid w:val="0052428B"/>
    <w:rsid w:val="005246F7"/>
    <w:rsid w:val="00524C60"/>
    <w:rsid w:val="00524E40"/>
    <w:rsid w:val="005257B1"/>
    <w:rsid w:val="00525D4E"/>
    <w:rsid w:val="00525E4E"/>
    <w:rsid w:val="00526692"/>
    <w:rsid w:val="00527B9E"/>
    <w:rsid w:val="005318CD"/>
    <w:rsid w:val="00531B22"/>
    <w:rsid w:val="00532828"/>
    <w:rsid w:val="00533D4E"/>
    <w:rsid w:val="005354BD"/>
    <w:rsid w:val="005358C0"/>
    <w:rsid w:val="00535FF6"/>
    <w:rsid w:val="00536A57"/>
    <w:rsid w:val="00536C07"/>
    <w:rsid w:val="00536E9C"/>
    <w:rsid w:val="005376E8"/>
    <w:rsid w:val="005405CF"/>
    <w:rsid w:val="005415C5"/>
    <w:rsid w:val="0054263D"/>
    <w:rsid w:val="005438DB"/>
    <w:rsid w:val="0054539A"/>
    <w:rsid w:val="0054559D"/>
    <w:rsid w:val="00546398"/>
    <w:rsid w:val="00547880"/>
    <w:rsid w:val="00547B55"/>
    <w:rsid w:val="00550BF7"/>
    <w:rsid w:val="005515BB"/>
    <w:rsid w:val="00552C24"/>
    <w:rsid w:val="00552F0E"/>
    <w:rsid w:val="00552F44"/>
    <w:rsid w:val="00553231"/>
    <w:rsid w:val="005539C1"/>
    <w:rsid w:val="00554053"/>
    <w:rsid w:val="005547EC"/>
    <w:rsid w:val="00555973"/>
    <w:rsid w:val="005575A4"/>
    <w:rsid w:val="00557C30"/>
    <w:rsid w:val="0056079A"/>
    <w:rsid w:val="00560D6D"/>
    <w:rsid w:val="00560FF4"/>
    <w:rsid w:val="00561F7D"/>
    <w:rsid w:val="00562618"/>
    <w:rsid w:val="00563909"/>
    <w:rsid w:val="0056414C"/>
    <w:rsid w:val="005642A1"/>
    <w:rsid w:val="00565FEF"/>
    <w:rsid w:val="00567733"/>
    <w:rsid w:val="0056782D"/>
    <w:rsid w:val="005700BF"/>
    <w:rsid w:val="00572A5C"/>
    <w:rsid w:val="00572DDF"/>
    <w:rsid w:val="00572EC5"/>
    <w:rsid w:val="005737D7"/>
    <w:rsid w:val="00574408"/>
    <w:rsid w:val="00574727"/>
    <w:rsid w:val="005748CD"/>
    <w:rsid w:val="005762FB"/>
    <w:rsid w:val="005764E2"/>
    <w:rsid w:val="0057700D"/>
    <w:rsid w:val="00577B19"/>
    <w:rsid w:val="00580E5A"/>
    <w:rsid w:val="005814AB"/>
    <w:rsid w:val="00582ACA"/>
    <w:rsid w:val="00583960"/>
    <w:rsid w:val="00583A07"/>
    <w:rsid w:val="00583FBB"/>
    <w:rsid w:val="00584148"/>
    <w:rsid w:val="00584230"/>
    <w:rsid w:val="00584FA4"/>
    <w:rsid w:val="005856BA"/>
    <w:rsid w:val="005857F3"/>
    <w:rsid w:val="00585B00"/>
    <w:rsid w:val="00586005"/>
    <w:rsid w:val="00586E03"/>
    <w:rsid w:val="00587D0C"/>
    <w:rsid w:val="005902F7"/>
    <w:rsid w:val="00590C2A"/>
    <w:rsid w:val="00591742"/>
    <w:rsid w:val="00591BF0"/>
    <w:rsid w:val="00592EAB"/>
    <w:rsid w:val="00594705"/>
    <w:rsid w:val="00594DA6"/>
    <w:rsid w:val="00594E3F"/>
    <w:rsid w:val="00595932"/>
    <w:rsid w:val="00596B3D"/>
    <w:rsid w:val="005979B7"/>
    <w:rsid w:val="00597D2A"/>
    <w:rsid w:val="005A00E2"/>
    <w:rsid w:val="005A0A27"/>
    <w:rsid w:val="005A0C94"/>
    <w:rsid w:val="005A126D"/>
    <w:rsid w:val="005A187C"/>
    <w:rsid w:val="005A509E"/>
    <w:rsid w:val="005A5AF5"/>
    <w:rsid w:val="005A5B45"/>
    <w:rsid w:val="005A6208"/>
    <w:rsid w:val="005A660B"/>
    <w:rsid w:val="005A6718"/>
    <w:rsid w:val="005A6931"/>
    <w:rsid w:val="005B0194"/>
    <w:rsid w:val="005B14DB"/>
    <w:rsid w:val="005B2980"/>
    <w:rsid w:val="005B2A93"/>
    <w:rsid w:val="005B38DA"/>
    <w:rsid w:val="005B483D"/>
    <w:rsid w:val="005B4BB9"/>
    <w:rsid w:val="005B4E6D"/>
    <w:rsid w:val="005B5229"/>
    <w:rsid w:val="005B552D"/>
    <w:rsid w:val="005B60C6"/>
    <w:rsid w:val="005B76BF"/>
    <w:rsid w:val="005B7DF3"/>
    <w:rsid w:val="005B7F3B"/>
    <w:rsid w:val="005C068F"/>
    <w:rsid w:val="005C086E"/>
    <w:rsid w:val="005C0FA4"/>
    <w:rsid w:val="005C295D"/>
    <w:rsid w:val="005C2B7F"/>
    <w:rsid w:val="005C2BFD"/>
    <w:rsid w:val="005C2CA5"/>
    <w:rsid w:val="005C32BF"/>
    <w:rsid w:val="005C3360"/>
    <w:rsid w:val="005C4648"/>
    <w:rsid w:val="005C49A7"/>
    <w:rsid w:val="005C4EC0"/>
    <w:rsid w:val="005C4EF6"/>
    <w:rsid w:val="005C4F49"/>
    <w:rsid w:val="005C6107"/>
    <w:rsid w:val="005C62C2"/>
    <w:rsid w:val="005C69F3"/>
    <w:rsid w:val="005C6BAE"/>
    <w:rsid w:val="005C70C2"/>
    <w:rsid w:val="005D024B"/>
    <w:rsid w:val="005D06DB"/>
    <w:rsid w:val="005D0A59"/>
    <w:rsid w:val="005D14B8"/>
    <w:rsid w:val="005D165B"/>
    <w:rsid w:val="005D18CE"/>
    <w:rsid w:val="005D1BAC"/>
    <w:rsid w:val="005D1C08"/>
    <w:rsid w:val="005D1D64"/>
    <w:rsid w:val="005D1F8F"/>
    <w:rsid w:val="005D2619"/>
    <w:rsid w:val="005D325A"/>
    <w:rsid w:val="005D5628"/>
    <w:rsid w:val="005D70F5"/>
    <w:rsid w:val="005D75B8"/>
    <w:rsid w:val="005D768C"/>
    <w:rsid w:val="005D7D63"/>
    <w:rsid w:val="005E0920"/>
    <w:rsid w:val="005E1E88"/>
    <w:rsid w:val="005E2070"/>
    <w:rsid w:val="005E20FB"/>
    <w:rsid w:val="005E246A"/>
    <w:rsid w:val="005E2B80"/>
    <w:rsid w:val="005E333C"/>
    <w:rsid w:val="005E3A8A"/>
    <w:rsid w:val="005E5A03"/>
    <w:rsid w:val="005E6F46"/>
    <w:rsid w:val="005E7806"/>
    <w:rsid w:val="005F050F"/>
    <w:rsid w:val="005F10B2"/>
    <w:rsid w:val="005F118B"/>
    <w:rsid w:val="005F155D"/>
    <w:rsid w:val="005F1801"/>
    <w:rsid w:val="005F1F07"/>
    <w:rsid w:val="005F2BE2"/>
    <w:rsid w:val="005F362E"/>
    <w:rsid w:val="005F5905"/>
    <w:rsid w:val="005F5D8C"/>
    <w:rsid w:val="005F7E2F"/>
    <w:rsid w:val="00600B1C"/>
    <w:rsid w:val="00600EA4"/>
    <w:rsid w:val="006011BD"/>
    <w:rsid w:val="006014A6"/>
    <w:rsid w:val="00601FB2"/>
    <w:rsid w:val="006020CA"/>
    <w:rsid w:val="006026DF"/>
    <w:rsid w:val="00602C13"/>
    <w:rsid w:val="00602F8E"/>
    <w:rsid w:val="00603278"/>
    <w:rsid w:val="00603D40"/>
    <w:rsid w:val="006051C9"/>
    <w:rsid w:val="00610206"/>
    <w:rsid w:val="0061028C"/>
    <w:rsid w:val="00610756"/>
    <w:rsid w:val="00611000"/>
    <w:rsid w:val="0061106B"/>
    <w:rsid w:val="0061125A"/>
    <w:rsid w:val="00613435"/>
    <w:rsid w:val="00613C37"/>
    <w:rsid w:val="00614926"/>
    <w:rsid w:val="0061507C"/>
    <w:rsid w:val="006160DA"/>
    <w:rsid w:val="0061676B"/>
    <w:rsid w:val="00616D65"/>
    <w:rsid w:val="0061741F"/>
    <w:rsid w:val="00617588"/>
    <w:rsid w:val="00617932"/>
    <w:rsid w:val="00617BA7"/>
    <w:rsid w:val="006202BD"/>
    <w:rsid w:val="006214E8"/>
    <w:rsid w:val="0062279D"/>
    <w:rsid w:val="00622E0F"/>
    <w:rsid w:val="00622FD4"/>
    <w:rsid w:val="00623148"/>
    <w:rsid w:val="00623896"/>
    <w:rsid w:val="00623E67"/>
    <w:rsid w:val="00624A60"/>
    <w:rsid w:val="00625852"/>
    <w:rsid w:val="00625989"/>
    <w:rsid w:val="0062606F"/>
    <w:rsid w:val="00626175"/>
    <w:rsid w:val="00626433"/>
    <w:rsid w:val="00626505"/>
    <w:rsid w:val="006267D7"/>
    <w:rsid w:val="00626EF5"/>
    <w:rsid w:val="006277B6"/>
    <w:rsid w:val="00627B13"/>
    <w:rsid w:val="00627B4E"/>
    <w:rsid w:val="0063054C"/>
    <w:rsid w:val="0063119A"/>
    <w:rsid w:val="006312E8"/>
    <w:rsid w:val="00631975"/>
    <w:rsid w:val="006320EB"/>
    <w:rsid w:val="006323D7"/>
    <w:rsid w:val="00632434"/>
    <w:rsid w:val="00632FAB"/>
    <w:rsid w:val="00634B7F"/>
    <w:rsid w:val="00634BFB"/>
    <w:rsid w:val="006351AD"/>
    <w:rsid w:val="00635509"/>
    <w:rsid w:val="00635685"/>
    <w:rsid w:val="006363A3"/>
    <w:rsid w:val="006364E2"/>
    <w:rsid w:val="00637D40"/>
    <w:rsid w:val="00640479"/>
    <w:rsid w:val="006405A2"/>
    <w:rsid w:val="0064079C"/>
    <w:rsid w:val="00640D62"/>
    <w:rsid w:val="0064135F"/>
    <w:rsid w:val="00641467"/>
    <w:rsid w:val="006422AF"/>
    <w:rsid w:val="0064299C"/>
    <w:rsid w:val="00642C8A"/>
    <w:rsid w:val="006432B0"/>
    <w:rsid w:val="00644B6D"/>
    <w:rsid w:val="00645006"/>
    <w:rsid w:val="006454C2"/>
    <w:rsid w:val="006457C7"/>
    <w:rsid w:val="006457EE"/>
    <w:rsid w:val="00645D73"/>
    <w:rsid w:val="0064662D"/>
    <w:rsid w:val="00646A89"/>
    <w:rsid w:val="00651E8E"/>
    <w:rsid w:val="00652E97"/>
    <w:rsid w:val="00653823"/>
    <w:rsid w:val="00653CF4"/>
    <w:rsid w:val="00655232"/>
    <w:rsid w:val="00657431"/>
    <w:rsid w:val="00657875"/>
    <w:rsid w:val="006579A7"/>
    <w:rsid w:val="00657C3F"/>
    <w:rsid w:val="00660050"/>
    <w:rsid w:val="0066104E"/>
    <w:rsid w:val="00661576"/>
    <w:rsid w:val="00661B1A"/>
    <w:rsid w:val="00662B29"/>
    <w:rsid w:val="00662B77"/>
    <w:rsid w:val="00662F8E"/>
    <w:rsid w:val="00663513"/>
    <w:rsid w:val="006640CF"/>
    <w:rsid w:val="00664F0E"/>
    <w:rsid w:val="006656C8"/>
    <w:rsid w:val="00665ADD"/>
    <w:rsid w:val="00666B7E"/>
    <w:rsid w:val="00666BFE"/>
    <w:rsid w:val="00666D12"/>
    <w:rsid w:val="00666F22"/>
    <w:rsid w:val="00666FC6"/>
    <w:rsid w:val="00666FF2"/>
    <w:rsid w:val="006678E8"/>
    <w:rsid w:val="006701FB"/>
    <w:rsid w:val="00670348"/>
    <w:rsid w:val="00671179"/>
    <w:rsid w:val="00671BA2"/>
    <w:rsid w:val="00671CF0"/>
    <w:rsid w:val="0067241E"/>
    <w:rsid w:val="0067289C"/>
    <w:rsid w:val="00673418"/>
    <w:rsid w:val="006739A1"/>
    <w:rsid w:val="006739ED"/>
    <w:rsid w:val="0067432C"/>
    <w:rsid w:val="00674C3F"/>
    <w:rsid w:val="00675453"/>
    <w:rsid w:val="00675D06"/>
    <w:rsid w:val="0067608D"/>
    <w:rsid w:val="00676765"/>
    <w:rsid w:val="00676785"/>
    <w:rsid w:val="006778C1"/>
    <w:rsid w:val="00680237"/>
    <w:rsid w:val="00680512"/>
    <w:rsid w:val="00681311"/>
    <w:rsid w:val="006822CD"/>
    <w:rsid w:val="00683175"/>
    <w:rsid w:val="00683BF9"/>
    <w:rsid w:val="00683FAF"/>
    <w:rsid w:val="00684AE0"/>
    <w:rsid w:val="006851F1"/>
    <w:rsid w:val="006861A3"/>
    <w:rsid w:val="0068663A"/>
    <w:rsid w:val="00687E1C"/>
    <w:rsid w:val="00691F16"/>
    <w:rsid w:val="00692541"/>
    <w:rsid w:val="006934B2"/>
    <w:rsid w:val="00693A07"/>
    <w:rsid w:val="00693BAD"/>
    <w:rsid w:val="006967BC"/>
    <w:rsid w:val="0069685E"/>
    <w:rsid w:val="00696AC3"/>
    <w:rsid w:val="006A3CC9"/>
    <w:rsid w:val="006A5477"/>
    <w:rsid w:val="006A5D2C"/>
    <w:rsid w:val="006A7C54"/>
    <w:rsid w:val="006B0F1D"/>
    <w:rsid w:val="006B1639"/>
    <w:rsid w:val="006B24D2"/>
    <w:rsid w:val="006B352F"/>
    <w:rsid w:val="006B35C6"/>
    <w:rsid w:val="006B384B"/>
    <w:rsid w:val="006B3D29"/>
    <w:rsid w:val="006B3F42"/>
    <w:rsid w:val="006B4867"/>
    <w:rsid w:val="006B4908"/>
    <w:rsid w:val="006B4C60"/>
    <w:rsid w:val="006B672F"/>
    <w:rsid w:val="006B780F"/>
    <w:rsid w:val="006B7D95"/>
    <w:rsid w:val="006B7FDC"/>
    <w:rsid w:val="006C1282"/>
    <w:rsid w:val="006C33A9"/>
    <w:rsid w:val="006C35F6"/>
    <w:rsid w:val="006C366F"/>
    <w:rsid w:val="006C3F33"/>
    <w:rsid w:val="006C4501"/>
    <w:rsid w:val="006C4543"/>
    <w:rsid w:val="006C4591"/>
    <w:rsid w:val="006C4C6A"/>
    <w:rsid w:val="006C586E"/>
    <w:rsid w:val="006C608F"/>
    <w:rsid w:val="006C6432"/>
    <w:rsid w:val="006C6594"/>
    <w:rsid w:val="006C6D75"/>
    <w:rsid w:val="006C7CA9"/>
    <w:rsid w:val="006C7E86"/>
    <w:rsid w:val="006D15A4"/>
    <w:rsid w:val="006D16B5"/>
    <w:rsid w:val="006D2E2F"/>
    <w:rsid w:val="006D31EE"/>
    <w:rsid w:val="006D41E1"/>
    <w:rsid w:val="006D49BD"/>
    <w:rsid w:val="006D4AB4"/>
    <w:rsid w:val="006D5AF0"/>
    <w:rsid w:val="006D5DBC"/>
    <w:rsid w:val="006D66E9"/>
    <w:rsid w:val="006D72FD"/>
    <w:rsid w:val="006D7361"/>
    <w:rsid w:val="006D7565"/>
    <w:rsid w:val="006D7B49"/>
    <w:rsid w:val="006D7D46"/>
    <w:rsid w:val="006E05CB"/>
    <w:rsid w:val="006E060C"/>
    <w:rsid w:val="006E08CA"/>
    <w:rsid w:val="006E14BA"/>
    <w:rsid w:val="006E1786"/>
    <w:rsid w:val="006E1C83"/>
    <w:rsid w:val="006E2984"/>
    <w:rsid w:val="006E2DD7"/>
    <w:rsid w:val="006E2F0D"/>
    <w:rsid w:val="006E2F5F"/>
    <w:rsid w:val="006E308C"/>
    <w:rsid w:val="006E355E"/>
    <w:rsid w:val="006E412F"/>
    <w:rsid w:val="006E433D"/>
    <w:rsid w:val="006E4E73"/>
    <w:rsid w:val="006E4E7D"/>
    <w:rsid w:val="006E6661"/>
    <w:rsid w:val="006E6929"/>
    <w:rsid w:val="006E74BE"/>
    <w:rsid w:val="006E7CBD"/>
    <w:rsid w:val="006F01F4"/>
    <w:rsid w:val="006F05E7"/>
    <w:rsid w:val="006F1B53"/>
    <w:rsid w:val="006F24BA"/>
    <w:rsid w:val="006F4C23"/>
    <w:rsid w:val="006F53EA"/>
    <w:rsid w:val="006F558C"/>
    <w:rsid w:val="006F56B0"/>
    <w:rsid w:val="006F5CF8"/>
    <w:rsid w:val="006F65DB"/>
    <w:rsid w:val="006F67DC"/>
    <w:rsid w:val="006F6919"/>
    <w:rsid w:val="006F6B96"/>
    <w:rsid w:val="006F6C87"/>
    <w:rsid w:val="006F772F"/>
    <w:rsid w:val="006F78FF"/>
    <w:rsid w:val="00700BE6"/>
    <w:rsid w:val="0070149B"/>
    <w:rsid w:val="0070199C"/>
    <w:rsid w:val="0070222E"/>
    <w:rsid w:val="007049F7"/>
    <w:rsid w:val="00704EC2"/>
    <w:rsid w:val="0070584E"/>
    <w:rsid w:val="00707676"/>
    <w:rsid w:val="007105A0"/>
    <w:rsid w:val="00710798"/>
    <w:rsid w:val="0071178F"/>
    <w:rsid w:val="00712643"/>
    <w:rsid w:val="00713502"/>
    <w:rsid w:val="00713BCD"/>
    <w:rsid w:val="0071433E"/>
    <w:rsid w:val="0071441C"/>
    <w:rsid w:val="00714BEB"/>
    <w:rsid w:val="00714D8B"/>
    <w:rsid w:val="007152D8"/>
    <w:rsid w:val="007153C7"/>
    <w:rsid w:val="00715E09"/>
    <w:rsid w:val="00716CF1"/>
    <w:rsid w:val="007171B9"/>
    <w:rsid w:val="0071752D"/>
    <w:rsid w:val="00717700"/>
    <w:rsid w:val="007200C1"/>
    <w:rsid w:val="007204BE"/>
    <w:rsid w:val="007209ED"/>
    <w:rsid w:val="00721C2F"/>
    <w:rsid w:val="00721E43"/>
    <w:rsid w:val="00722B98"/>
    <w:rsid w:val="007230C3"/>
    <w:rsid w:val="00723AC8"/>
    <w:rsid w:val="007249A1"/>
    <w:rsid w:val="00724A3E"/>
    <w:rsid w:val="00725547"/>
    <w:rsid w:val="007255D2"/>
    <w:rsid w:val="00725942"/>
    <w:rsid w:val="00726D39"/>
    <w:rsid w:val="00726FE5"/>
    <w:rsid w:val="00727BE4"/>
    <w:rsid w:val="00727E2C"/>
    <w:rsid w:val="00727E45"/>
    <w:rsid w:val="00731AAC"/>
    <w:rsid w:val="007326D8"/>
    <w:rsid w:val="00732A42"/>
    <w:rsid w:val="00732C06"/>
    <w:rsid w:val="00732E9E"/>
    <w:rsid w:val="00733993"/>
    <w:rsid w:val="00733E34"/>
    <w:rsid w:val="00733E79"/>
    <w:rsid w:val="00734E12"/>
    <w:rsid w:val="00734EA3"/>
    <w:rsid w:val="007351C1"/>
    <w:rsid w:val="00736DF4"/>
    <w:rsid w:val="00737E91"/>
    <w:rsid w:val="0074017E"/>
    <w:rsid w:val="00741616"/>
    <w:rsid w:val="00741696"/>
    <w:rsid w:val="00741E48"/>
    <w:rsid w:val="00741F16"/>
    <w:rsid w:val="00741FBB"/>
    <w:rsid w:val="00743076"/>
    <w:rsid w:val="00744155"/>
    <w:rsid w:val="00744F0A"/>
    <w:rsid w:val="0074545E"/>
    <w:rsid w:val="0074618D"/>
    <w:rsid w:val="007503E7"/>
    <w:rsid w:val="007504ED"/>
    <w:rsid w:val="007510E6"/>
    <w:rsid w:val="00751F77"/>
    <w:rsid w:val="00753130"/>
    <w:rsid w:val="00753167"/>
    <w:rsid w:val="00753703"/>
    <w:rsid w:val="0075405D"/>
    <w:rsid w:val="0075436D"/>
    <w:rsid w:val="00754695"/>
    <w:rsid w:val="007547B5"/>
    <w:rsid w:val="007553B6"/>
    <w:rsid w:val="00755589"/>
    <w:rsid w:val="00755925"/>
    <w:rsid w:val="00755EDA"/>
    <w:rsid w:val="00756BDA"/>
    <w:rsid w:val="007574E5"/>
    <w:rsid w:val="0076016D"/>
    <w:rsid w:val="00760424"/>
    <w:rsid w:val="00760BDE"/>
    <w:rsid w:val="0076110B"/>
    <w:rsid w:val="007629B2"/>
    <w:rsid w:val="00763362"/>
    <w:rsid w:val="0076338B"/>
    <w:rsid w:val="00764A49"/>
    <w:rsid w:val="00765299"/>
    <w:rsid w:val="00766854"/>
    <w:rsid w:val="00767CFE"/>
    <w:rsid w:val="007709E1"/>
    <w:rsid w:val="007713E1"/>
    <w:rsid w:val="0077214F"/>
    <w:rsid w:val="0077280F"/>
    <w:rsid w:val="00772967"/>
    <w:rsid w:val="00772FA6"/>
    <w:rsid w:val="0077327F"/>
    <w:rsid w:val="007736DC"/>
    <w:rsid w:val="00774543"/>
    <w:rsid w:val="007748E5"/>
    <w:rsid w:val="00774E33"/>
    <w:rsid w:val="00774F4F"/>
    <w:rsid w:val="0077563F"/>
    <w:rsid w:val="00775742"/>
    <w:rsid w:val="007758C0"/>
    <w:rsid w:val="0077678E"/>
    <w:rsid w:val="007770FD"/>
    <w:rsid w:val="00777C7E"/>
    <w:rsid w:val="007800B7"/>
    <w:rsid w:val="007808C6"/>
    <w:rsid w:val="00780A38"/>
    <w:rsid w:val="00781530"/>
    <w:rsid w:val="007822BA"/>
    <w:rsid w:val="00782462"/>
    <w:rsid w:val="00782BAE"/>
    <w:rsid w:val="00783921"/>
    <w:rsid w:val="00784124"/>
    <w:rsid w:val="00784BAF"/>
    <w:rsid w:val="00784D13"/>
    <w:rsid w:val="0078563E"/>
    <w:rsid w:val="00785B88"/>
    <w:rsid w:val="00785C6B"/>
    <w:rsid w:val="00785F3E"/>
    <w:rsid w:val="0078679F"/>
    <w:rsid w:val="00786B29"/>
    <w:rsid w:val="00786DA7"/>
    <w:rsid w:val="00790544"/>
    <w:rsid w:val="007906B0"/>
    <w:rsid w:val="00791250"/>
    <w:rsid w:val="007919B5"/>
    <w:rsid w:val="00791A36"/>
    <w:rsid w:val="00792F9A"/>
    <w:rsid w:val="0079331F"/>
    <w:rsid w:val="007935BA"/>
    <w:rsid w:val="0079365E"/>
    <w:rsid w:val="00793849"/>
    <w:rsid w:val="00794161"/>
    <w:rsid w:val="007942B4"/>
    <w:rsid w:val="00796037"/>
    <w:rsid w:val="007961B8"/>
    <w:rsid w:val="0079671E"/>
    <w:rsid w:val="00797411"/>
    <w:rsid w:val="00797528"/>
    <w:rsid w:val="00797677"/>
    <w:rsid w:val="007A01EF"/>
    <w:rsid w:val="007A0686"/>
    <w:rsid w:val="007A07F4"/>
    <w:rsid w:val="007A1135"/>
    <w:rsid w:val="007A2CB7"/>
    <w:rsid w:val="007A35CA"/>
    <w:rsid w:val="007A38F8"/>
    <w:rsid w:val="007A4F1C"/>
    <w:rsid w:val="007A5118"/>
    <w:rsid w:val="007A541E"/>
    <w:rsid w:val="007A5D57"/>
    <w:rsid w:val="007B00FC"/>
    <w:rsid w:val="007B034C"/>
    <w:rsid w:val="007B08EA"/>
    <w:rsid w:val="007B0DDE"/>
    <w:rsid w:val="007B1DE1"/>
    <w:rsid w:val="007B2107"/>
    <w:rsid w:val="007B22BA"/>
    <w:rsid w:val="007B2D47"/>
    <w:rsid w:val="007B3D6C"/>
    <w:rsid w:val="007B434E"/>
    <w:rsid w:val="007B6008"/>
    <w:rsid w:val="007B6115"/>
    <w:rsid w:val="007B6C6D"/>
    <w:rsid w:val="007B7AE0"/>
    <w:rsid w:val="007C0522"/>
    <w:rsid w:val="007C0EFF"/>
    <w:rsid w:val="007C13D5"/>
    <w:rsid w:val="007C1633"/>
    <w:rsid w:val="007C172F"/>
    <w:rsid w:val="007C1D17"/>
    <w:rsid w:val="007C26C8"/>
    <w:rsid w:val="007C3350"/>
    <w:rsid w:val="007C3E73"/>
    <w:rsid w:val="007C5EBC"/>
    <w:rsid w:val="007C6039"/>
    <w:rsid w:val="007C6EA9"/>
    <w:rsid w:val="007C7203"/>
    <w:rsid w:val="007C790D"/>
    <w:rsid w:val="007C791F"/>
    <w:rsid w:val="007D0D59"/>
    <w:rsid w:val="007D0FCA"/>
    <w:rsid w:val="007D1181"/>
    <w:rsid w:val="007D14B5"/>
    <w:rsid w:val="007D24FC"/>
    <w:rsid w:val="007D2DCB"/>
    <w:rsid w:val="007D2E43"/>
    <w:rsid w:val="007D2ED9"/>
    <w:rsid w:val="007D36C0"/>
    <w:rsid w:val="007D3AEF"/>
    <w:rsid w:val="007D427F"/>
    <w:rsid w:val="007D432B"/>
    <w:rsid w:val="007D446A"/>
    <w:rsid w:val="007D5158"/>
    <w:rsid w:val="007D544F"/>
    <w:rsid w:val="007D64E2"/>
    <w:rsid w:val="007D7F65"/>
    <w:rsid w:val="007E03C5"/>
    <w:rsid w:val="007E04D8"/>
    <w:rsid w:val="007E1337"/>
    <w:rsid w:val="007E153E"/>
    <w:rsid w:val="007E16EC"/>
    <w:rsid w:val="007E3A46"/>
    <w:rsid w:val="007E45ED"/>
    <w:rsid w:val="007E494D"/>
    <w:rsid w:val="007E5035"/>
    <w:rsid w:val="007E5869"/>
    <w:rsid w:val="007E6C87"/>
    <w:rsid w:val="007E74C2"/>
    <w:rsid w:val="007F04F7"/>
    <w:rsid w:val="007F066D"/>
    <w:rsid w:val="007F15C8"/>
    <w:rsid w:val="007F1D2A"/>
    <w:rsid w:val="007F2051"/>
    <w:rsid w:val="007F22FC"/>
    <w:rsid w:val="007F2A73"/>
    <w:rsid w:val="007F3310"/>
    <w:rsid w:val="007F347D"/>
    <w:rsid w:val="007F56AC"/>
    <w:rsid w:val="007F597C"/>
    <w:rsid w:val="007F7468"/>
    <w:rsid w:val="007F7FAC"/>
    <w:rsid w:val="008002F0"/>
    <w:rsid w:val="00800C30"/>
    <w:rsid w:val="00800C69"/>
    <w:rsid w:val="0080123B"/>
    <w:rsid w:val="00801700"/>
    <w:rsid w:val="00802609"/>
    <w:rsid w:val="008029B6"/>
    <w:rsid w:val="00802B35"/>
    <w:rsid w:val="008048E3"/>
    <w:rsid w:val="008050C6"/>
    <w:rsid w:val="008055D5"/>
    <w:rsid w:val="00805D0F"/>
    <w:rsid w:val="00806489"/>
    <w:rsid w:val="008066B1"/>
    <w:rsid w:val="00806A46"/>
    <w:rsid w:val="00807110"/>
    <w:rsid w:val="008074C1"/>
    <w:rsid w:val="0081021D"/>
    <w:rsid w:val="00810454"/>
    <w:rsid w:val="0081079D"/>
    <w:rsid w:val="00810DC1"/>
    <w:rsid w:val="00810EE2"/>
    <w:rsid w:val="008111DC"/>
    <w:rsid w:val="008125D7"/>
    <w:rsid w:val="00812F9A"/>
    <w:rsid w:val="00814938"/>
    <w:rsid w:val="00814961"/>
    <w:rsid w:val="00814B47"/>
    <w:rsid w:val="008150F0"/>
    <w:rsid w:val="00815194"/>
    <w:rsid w:val="00815737"/>
    <w:rsid w:val="00815CEB"/>
    <w:rsid w:val="00815F60"/>
    <w:rsid w:val="008161F2"/>
    <w:rsid w:val="0082056B"/>
    <w:rsid w:val="00820BA6"/>
    <w:rsid w:val="00821237"/>
    <w:rsid w:val="00822B37"/>
    <w:rsid w:val="00822C59"/>
    <w:rsid w:val="00822E96"/>
    <w:rsid w:val="00823D2E"/>
    <w:rsid w:val="008241C2"/>
    <w:rsid w:val="00824321"/>
    <w:rsid w:val="008258C1"/>
    <w:rsid w:val="00826966"/>
    <w:rsid w:val="00826F28"/>
    <w:rsid w:val="00827080"/>
    <w:rsid w:val="00830C4B"/>
    <w:rsid w:val="00831B23"/>
    <w:rsid w:val="00831D33"/>
    <w:rsid w:val="00832DA3"/>
    <w:rsid w:val="008348A1"/>
    <w:rsid w:val="00835A7D"/>
    <w:rsid w:val="008403AC"/>
    <w:rsid w:val="008407C7"/>
    <w:rsid w:val="00841305"/>
    <w:rsid w:val="008416D3"/>
    <w:rsid w:val="00841CAE"/>
    <w:rsid w:val="00841F64"/>
    <w:rsid w:val="0084244D"/>
    <w:rsid w:val="00842485"/>
    <w:rsid w:val="008428BC"/>
    <w:rsid w:val="008429E3"/>
    <w:rsid w:val="00842AAC"/>
    <w:rsid w:val="00842CDD"/>
    <w:rsid w:val="0084327E"/>
    <w:rsid w:val="00843C69"/>
    <w:rsid w:val="008441DB"/>
    <w:rsid w:val="00844216"/>
    <w:rsid w:val="00844D33"/>
    <w:rsid w:val="00844E2E"/>
    <w:rsid w:val="0084709B"/>
    <w:rsid w:val="0084741A"/>
    <w:rsid w:val="0084772F"/>
    <w:rsid w:val="00847F59"/>
    <w:rsid w:val="0085230C"/>
    <w:rsid w:val="00852AFF"/>
    <w:rsid w:val="0085462D"/>
    <w:rsid w:val="008549B8"/>
    <w:rsid w:val="0085561A"/>
    <w:rsid w:val="008556D9"/>
    <w:rsid w:val="00855A45"/>
    <w:rsid w:val="00856165"/>
    <w:rsid w:val="008562FE"/>
    <w:rsid w:val="00856E3A"/>
    <w:rsid w:val="0085728F"/>
    <w:rsid w:val="0086042A"/>
    <w:rsid w:val="00860A14"/>
    <w:rsid w:val="00860E3D"/>
    <w:rsid w:val="008615A5"/>
    <w:rsid w:val="0086186B"/>
    <w:rsid w:val="00861C43"/>
    <w:rsid w:val="008628D0"/>
    <w:rsid w:val="00862CF0"/>
    <w:rsid w:val="00862E57"/>
    <w:rsid w:val="00862FA0"/>
    <w:rsid w:val="00863372"/>
    <w:rsid w:val="00863536"/>
    <w:rsid w:val="008640E9"/>
    <w:rsid w:val="0086430C"/>
    <w:rsid w:val="00865716"/>
    <w:rsid w:val="0086592D"/>
    <w:rsid w:val="00866E2C"/>
    <w:rsid w:val="00867209"/>
    <w:rsid w:val="0087014F"/>
    <w:rsid w:val="008704EE"/>
    <w:rsid w:val="00870EB5"/>
    <w:rsid w:val="00871765"/>
    <w:rsid w:val="00872740"/>
    <w:rsid w:val="00872FE1"/>
    <w:rsid w:val="00873010"/>
    <w:rsid w:val="00873099"/>
    <w:rsid w:val="0087422A"/>
    <w:rsid w:val="00874C01"/>
    <w:rsid w:val="00875081"/>
    <w:rsid w:val="00875EF6"/>
    <w:rsid w:val="0087605F"/>
    <w:rsid w:val="008760E6"/>
    <w:rsid w:val="008762D8"/>
    <w:rsid w:val="008766D9"/>
    <w:rsid w:val="00876A69"/>
    <w:rsid w:val="00876AC2"/>
    <w:rsid w:val="00877AD0"/>
    <w:rsid w:val="00877AEE"/>
    <w:rsid w:val="00877D86"/>
    <w:rsid w:val="008805B9"/>
    <w:rsid w:val="00880658"/>
    <w:rsid w:val="00880813"/>
    <w:rsid w:val="00881A4C"/>
    <w:rsid w:val="00881AFF"/>
    <w:rsid w:val="00882823"/>
    <w:rsid w:val="0088288F"/>
    <w:rsid w:val="00882B0B"/>
    <w:rsid w:val="00883564"/>
    <w:rsid w:val="00883593"/>
    <w:rsid w:val="008836B7"/>
    <w:rsid w:val="00883A50"/>
    <w:rsid w:val="008841E8"/>
    <w:rsid w:val="00884FD9"/>
    <w:rsid w:val="00886231"/>
    <w:rsid w:val="008862D5"/>
    <w:rsid w:val="00887F49"/>
    <w:rsid w:val="00890496"/>
    <w:rsid w:val="00890501"/>
    <w:rsid w:val="00890733"/>
    <w:rsid w:val="0089099C"/>
    <w:rsid w:val="00891014"/>
    <w:rsid w:val="008912F4"/>
    <w:rsid w:val="00891409"/>
    <w:rsid w:val="00891606"/>
    <w:rsid w:val="008917BA"/>
    <w:rsid w:val="00891CBF"/>
    <w:rsid w:val="00893403"/>
    <w:rsid w:val="008939B9"/>
    <w:rsid w:val="00893A47"/>
    <w:rsid w:val="00894024"/>
    <w:rsid w:val="00894038"/>
    <w:rsid w:val="0089433F"/>
    <w:rsid w:val="008943CD"/>
    <w:rsid w:val="00894D39"/>
    <w:rsid w:val="008957D6"/>
    <w:rsid w:val="00896293"/>
    <w:rsid w:val="00896A93"/>
    <w:rsid w:val="0089741B"/>
    <w:rsid w:val="00897C04"/>
    <w:rsid w:val="008A05CE"/>
    <w:rsid w:val="008A12F4"/>
    <w:rsid w:val="008A1650"/>
    <w:rsid w:val="008A2CA9"/>
    <w:rsid w:val="008A2DF4"/>
    <w:rsid w:val="008A38E0"/>
    <w:rsid w:val="008A41B9"/>
    <w:rsid w:val="008A4BCC"/>
    <w:rsid w:val="008A4F08"/>
    <w:rsid w:val="008A4F77"/>
    <w:rsid w:val="008A5FFB"/>
    <w:rsid w:val="008A6229"/>
    <w:rsid w:val="008A69AC"/>
    <w:rsid w:val="008A7582"/>
    <w:rsid w:val="008A783C"/>
    <w:rsid w:val="008A7DD9"/>
    <w:rsid w:val="008B0A36"/>
    <w:rsid w:val="008B1AAF"/>
    <w:rsid w:val="008B1D70"/>
    <w:rsid w:val="008B34FF"/>
    <w:rsid w:val="008B481F"/>
    <w:rsid w:val="008B53A4"/>
    <w:rsid w:val="008B5826"/>
    <w:rsid w:val="008B649D"/>
    <w:rsid w:val="008B6778"/>
    <w:rsid w:val="008B7207"/>
    <w:rsid w:val="008B7B09"/>
    <w:rsid w:val="008C07AA"/>
    <w:rsid w:val="008C0DBB"/>
    <w:rsid w:val="008C2087"/>
    <w:rsid w:val="008C2EEA"/>
    <w:rsid w:val="008C3026"/>
    <w:rsid w:val="008C3781"/>
    <w:rsid w:val="008C41CF"/>
    <w:rsid w:val="008C5029"/>
    <w:rsid w:val="008C5422"/>
    <w:rsid w:val="008C5B7F"/>
    <w:rsid w:val="008C6024"/>
    <w:rsid w:val="008C6115"/>
    <w:rsid w:val="008C627B"/>
    <w:rsid w:val="008C62E2"/>
    <w:rsid w:val="008C638E"/>
    <w:rsid w:val="008C6727"/>
    <w:rsid w:val="008C730C"/>
    <w:rsid w:val="008D234D"/>
    <w:rsid w:val="008D30B4"/>
    <w:rsid w:val="008D31AB"/>
    <w:rsid w:val="008D32E3"/>
    <w:rsid w:val="008D332E"/>
    <w:rsid w:val="008D4037"/>
    <w:rsid w:val="008D41FC"/>
    <w:rsid w:val="008D4306"/>
    <w:rsid w:val="008D48B9"/>
    <w:rsid w:val="008D4908"/>
    <w:rsid w:val="008D519E"/>
    <w:rsid w:val="008D58D1"/>
    <w:rsid w:val="008D6554"/>
    <w:rsid w:val="008D6C26"/>
    <w:rsid w:val="008D7A49"/>
    <w:rsid w:val="008D7DBA"/>
    <w:rsid w:val="008E0067"/>
    <w:rsid w:val="008E0D30"/>
    <w:rsid w:val="008E176C"/>
    <w:rsid w:val="008E17A0"/>
    <w:rsid w:val="008E1B87"/>
    <w:rsid w:val="008E20F9"/>
    <w:rsid w:val="008E23B4"/>
    <w:rsid w:val="008E2B1B"/>
    <w:rsid w:val="008E2EB1"/>
    <w:rsid w:val="008E3239"/>
    <w:rsid w:val="008E3249"/>
    <w:rsid w:val="008E3848"/>
    <w:rsid w:val="008E64A9"/>
    <w:rsid w:val="008E6F05"/>
    <w:rsid w:val="008E7022"/>
    <w:rsid w:val="008E7ADB"/>
    <w:rsid w:val="008E7B3C"/>
    <w:rsid w:val="008F0D03"/>
    <w:rsid w:val="008F112F"/>
    <w:rsid w:val="008F11C5"/>
    <w:rsid w:val="008F139B"/>
    <w:rsid w:val="008F1C3E"/>
    <w:rsid w:val="008F228D"/>
    <w:rsid w:val="008F2CAB"/>
    <w:rsid w:val="008F2F37"/>
    <w:rsid w:val="008F3526"/>
    <w:rsid w:val="008F41A0"/>
    <w:rsid w:val="008F5307"/>
    <w:rsid w:val="008F5369"/>
    <w:rsid w:val="008F613F"/>
    <w:rsid w:val="008F6924"/>
    <w:rsid w:val="008F6DF3"/>
    <w:rsid w:val="008F728A"/>
    <w:rsid w:val="00900156"/>
    <w:rsid w:val="009006A7"/>
    <w:rsid w:val="00900AAB"/>
    <w:rsid w:val="00900DE8"/>
    <w:rsid w:val="00901ADF"/>
    <w:rsid w:val="00901BCD"/>
    <w:rsid w:val="00901E96"/>
    <w:rsid w:val="009024D5"/>
    <w:rsid w:val="0090284D"/>
    <w:rsid w:val="00902DEC"/>
    <w:rsid w:val="009047B1"/>
    <w:rsid w:val="00904C2A"/>
    <w:rsid w:val="00904E47"/>
    <w:rsid w:val="00905943"/>
    <w:rsid w:val="00906090"/>
    <w:rsid w:val="00907ADF"/>
    <w:rsid w:val="009101FE"/>
    <w:rsid w:val="009105AE"/>
    <w:rsid w:val="00910B40"/>
    <w:rsid w:val="00911711"/>
    <w:rsid w:val="00912EA3"/>
    <w:rsid w:val="009131EE"/>
    <w:rsid w:val="00914248"/>
    <w:rsid w:val="009145C9"/>
    <w:rsid w:val="0091481B"/>
    <w:rsid w:val="0091523C"/>
    <w:rsid w:val="009159F2"/>
    <w:rsid w:val="00915CED"/>
    <w:rsid w:val="009169F4"/>
    <w:rsid w:val="00916A11"/>
    <w:rsid w:val="00916D64"/>
    <w:rsid w:val="00916E2E"/>
    <w:rsid w:val="0092081E"/>
    <w:rsid w:val="00920C22"/>
    <w:rsid w:val="00921576"/>
    <w:rsid w:val="00922B29"/>
    <w:rsid w:val="009237C3"/>
    <w:rsid w:val="00924F1A"/>
    <w:rsid w:val="0092633A"/>
    <w:rsid w:val="00926D15"/>
    <w:rsid w:val="00926F41"/>
    <w:rsid w:val="00927093"/>
    <w:rsid w:val="0092714F"/>
    <w:rsid w:val="00927CA5"/>
    <w:rsid w:val="0093087C"/>
    <w:rsid w:val="009310A0"/>
    <w:rsid w:val="00931A60"/>
    <w:rsid w:val="00931E6E"/>
    <w:rsid w:val="00932197"/>
    <w:rsid w:val="0093237C"/>
    <w:rsid w:val="00932C34"/>
    <w:rsid w:val="00932C8F"/>
    <w:rsid w:val="0093313E"/>
    <w:rsid w:val="009334AE"/>
    <w:rsid w:val="009342E1"/>
    <w:rsid w:val="009346B3"/>
    <w:rsid w:val="009348B2"/>
    <w:rsid w:val="00934EDE"/>
    <w:rsid w:val="00935206"/>
    <w:rsid w:val="009361BC"/>
    <w:rsid w:val="00936222"/>
    <w:rsid w:val="00936977"/>
    <w:rsid w:val="00936AB8"/>
    <w:rsid w:val="00936AF6"/>
    <w:rsid w:val="009377F5"/>
    <w:rsid w:val="0093785A"/>
    <w:rsid w:val="00937873"/>
    <w:rsid w:val="0094003A"/>
    <w:rsid w:val="00940959"/>
    <w:rsid w:val="00940BD4"/>
    <w:rsid w:val="00941FA9"/>
    <w:rsid w:val="00942CB3"/>
    <w:rsid w:val="00942DBF"/>
    <w:rsid w:val="009432EC"/>
    <w:rsid w:val="00943772"/>
    <w:rsid w:val="00943F59"/>
    <w:rsid w:val="00944059"/>
    <w:rsid w:val="00944E69"/>
    <w:rsid w:val="00944E8E"/>
    <w:rsid w:val="00945568"/>
    <w:rsid w:val="0094649A"/>
    <w:rsid w:val="0094662D"/>
    <w:rsid w:val="00950064"/>
    <w:rsid w:val="00950F04"/>
    <w:rsid w:val="0095114B"/>
    <w:rsid w:val="00951AA6"/>
    <w:rsid w:val="00952C36"/>
    <w:rsid w:val="00952D58"/>
    <w:rsid w:val="00953F54"/>
    <w:rsid w:val="00954867"/>
    <w:rsid w:val="009557BC"/>
    <w:rsid w:val="00955970"/>
    <w:rsid w:val="00957081"/>
    <w:rsid w:val="0095726F"/>
    <w:rsid w:val="009575CF"/>
    <w:rsid w:val="009576E0"/>
    <w:rsid w:val="00957761"/>
    <w:rsid w:val="0096058C"/>
    <w:rsid w:val="009605AA"/>
    <w:rsid w:val="00960730"/>
    <w:rsid w:val="00962B85"/>
    <w:rsid w:val="00962BF8"/>
    <w:rsid w:val="00962F79"/>
    <w:rsid w:val="00963050"/>
    <w:rsid w:val="009630CE"/>
    <w:rsid w:val="00963B96"/>
    <w:rsid w:val="0096422C"/>
    <w:rsid w:val="00964858"/>
    <w:rsid w:val="00964BAA"/>
    <w:rsid w:val="00965A2A"/>
    <w:rsid w:val="009662DF"/>
    <w:rsid w:val="00966A9B"/>
    <w:rsid w:val="009674DB"/>
    <w:rsid w:val="0096772A"/>
    <w:rsid w:val="009677B3"/>
    <w:rsid w:val="009678CE"/>
    <w:rsid w:val="00967B44"/>
    <w:rsid w:val="009716C9"/>
    <w:rsid w:val="00971D57"/>
    <w:rsid w:val="00972838"/>
    <w:rsid w:val="00972F77"/>
    <w:rsid w:val="00973834"/>
    <w:rsid w:val="00973874"/>
    <w:rsid w:val="00973D51"/>
    <w:rsid w:val="00973DB3"/>
    <w:rsid w:val="009745DE"/>
    <w:rsid w:val="00974B2E"/>
    <w:rsid w:val="0097565D"/>
    <w:rsid w:val="009769EF"/>
    <w:rsid w:val="00977113"/>
    <w:rsid w:val="009804B5"/>
    <w:rsid w:val="00980A82"/>
    <w:rsid w:val="00980F60"/>
    <w:rsid w:val="00981B74"/>
    <w:rsid w:val="00982D37"/>
    <w:rsid w:val="009832E1"/>
    <w:rsid w:val="009837CA"/>
    <w:rsid w:val="00983852"/>
    <w:rsid w:val="00983E5B"/>
    <w:rsid w:val="00985AB1"/>
    <w:rsid w:val="00986FB5"/>
    <w:rsid w:val="009874D3"/>
    <w:rsid w:val="0098776D"/>
    <w:rsid w:val="009879D3"/>
    <w:rsid w:val="00990BAF"/>
    <w:rsid w:val="009913AA"/>
    <w:rsid w:val="00991D65"/>
    <w:rsid w:val="0099312D"/>
    <w:rsid w:val="00993A9B"/>
    <w:rsid w:val="0099421E"/>
    <w:rsid w:val="009953EF"/>
    <w:rsid w:val="009958CE"/>
    <w:rsid w:val="00995BFF"/>
    <w:rsid w:val="00995E7A"/>
    <w:rsid w:val="0099663D"/>
    <w:rsid w:val="00996BDB"/>
    <w:rsid w:val="00996C63"/>
    <w:rsid w:val="00996D2A"/>
    <w:rsid w:val="009A03D2"/>
    <w:rsid w:val="009A0A15"/>
    <w:rsid w:val="009A2A68"/>
    <w:rsid w:val="009A388B"/>
    <w:rsid w:val="009A472B"/>
    <w:rsid w:val="009A493E"/>
    <w:rsid w:val="009A76C9"/>
    <w:rsid w:val="009A7E98"/>
    <w:rsid w:val="009B029B"/>
    <w:rsid w:val="009B0383"/>
    <w:rsid w:val="009B0CBE"/>
    <w:rsid w:val="009B15C0"/>
    <w:rsid w:val="009B2AE8"/>
    <w:rsid w:val="009B2BA3"/>
    <w:rsid w:val="009B3062"/>
    <w:rsid w:val="009B35F3"/>
    <w:rsid w:val="009B47A5"/>
    <w:rsid w:val="009B54A1"/>
    <w:rsid w:val="009B6252"/>
    <w:rsid w:val="009B6569"/>
    <w:rsid w:val="009B69B0"/>
    <w:rsid w:val="009B6AFD"/>
    <w:rsid w:val="009B6DF5"/>
    <w:rsid w:val="009C08EF"/>
    <w:rsid w:val="009C099C"/>
    <w:rsid w:val="009C09D4"/>
    <w:rsid w:val="009C0D08"/>
    <w:rsid w:val="009C1442"/>
    <w:rsid w:val="009C2A8E"/>
    <w:rsid w:val="009C2D8E"/>
    <w:rsid w:val="009C2DF9"/>
    <w:rsid w:val="009C3677"/>
    <w:rsid w:val="009C3DB6"/>
    <w:rsid w:val="009C4B0E"/>
    <w:rsid w:val="009C4CC6"/>
    <w:rsid w:val="009C4D33"/>
    <w:rsid w:val="009C59F9"/>
    <w:rsid w:val="009C5C52"/>
    <w:rsid w:val="009C658A"/>
    <w:rsid w:val="009C6A5F"/>
    <w:rsid w:val="009C6A9C"/>
    <w:rsid w:val="009C7293"/>
    <w:rsid w:val="009D2015"/>
    <w:rsid w:val="009D28BC"/>
    <w:rsid w:val="009D33E6"/>
    <w:rsid w:val="009D54F9"/>
    <w:rsid w:val="009D5904"/>
    <w:rsid w:val="009D5BA5"/>
    <w:rsid w:val="009D7166"/>
    <w:rsid w:val="009D7947"/>
    <w:rsid w:val="009E0465"/>
    <w:rsid w:val="009E17C8"/>
    <w:rsid w:val="009E2011"/>
    <w:rsid w:val="009E2117"/>
    <w:rsid w:val="009E28C6"/>
    <w:rsid w:val="009E300F"/>
    <w:rsid w:val="009E3B3D"/>
    <w:rsid w:val="009E51EE"/>
    <w:rsid w:val="009E5753"/>
    <w:rsid w:val="009E5CBF"/>
    <w:rsid w:val="009E6BEC"/>
    <w:rsid w:val="009E7E9B"/>
    <w:rsid w:val="009F0450"/>
    <w:rsid w:val="009F0E67"/>
    <w:rsid w:val="009F1F27"/>
    <w:rsid w:val="009F299C"/>
    <w:rsid w:val="009F2B22"/>
    <w:rsid w:val="009F2DCC"/>
    <w:rsid w:val="009F385B"/>
    <w:rsid w:val="009F3937"/>
    <w:rsid w:val="009F42BD"/>
    <w:rsid w:val="009F432D"/>
    <w:rsid w:val="009F446F"/>
    <w:rsid w:val="009F44E5"/>
    <w:rsid w:val="009F49EF"/>
    <w:rsid w:val="009F506B"/>
    <w:rsid w:val="009F5076"/>
    <w:rsid w:val="009F544D"/>
    <w:rsid w:val="009F54FB"/>
    <w:rsid w:val="009F6ED8"/>
    <w:rsid w:val="009F7689"/>
    <w:rsid w:val="00A003AB"/>
    <w:rsid w:val="00A004A2"/>
    <w:rsid w:val="00A019B3"/>
    <w:rsid w:val="00A02517"/>
    <w:rsid w:val="00A0270A"/>
    <w:rsid w:val="00A02B11"/>
    <w:rsid w:val="00A02EEB"/>
    <w:rsid w:val="00A03095"/>
    <w:rsid w:val="00A0335D"/>
    <w:rsid w:val="00A03DC4"/>
    <w:rsid w:val="00A044C2"/>
    <w:rsid w:val="00A05BD4"/>
    <w:rsid w:val="00A0676C"/>
    <w:rsid w:val="00A06800"/>
    <w:rsid w:val="00A069CC"/>
    <w:rsid w:val="00A10929"/>
    <w:rsid w:val="00A10C1E"/>
    <w:rsid w:val="00A11547"/>
    <w:rsid w:val="00A11BA9"/>
    <w:rsid w:val="00A12157"/>
    <w:rsid w:val="00A12A36"/>
    <w:rsid w:val="00A12D41"/>
    <w:rsid w:val="00A12D6F"/>
    <w:rsid w:val="00A136BF"/>
    <w:rsid w:val="00A1399C"/>
    <w:rsid w:val="00A13C26"/>
    <w:rsid w:val="00A14252"/>
    <w:rsid w:val="00A145FC"/>
    <w:rsid w:val="00A14B08"/>
    <w:rsid w:val="00A150B9"/>
    <w:rsid w:val="00A16467"/>
    <w:rsid w:val="00A1648B"/>
    <w:rsid w:val="00A16E09"/>
    <w:rsid w:val="00A176B6"/>
    <w:rsid w:val="00A20355"/>
    <w:rsid w:val="00A21591"/>
    <w:rsid w:val="00A2169D"/>
    <w:rsid w:val="00A21FD7"/>
    <w:rsid w:val="00A223DC"/>
    <w:rsid w:val="00A22C7C"/>
    <w:rsid w:val="00A2344F"/>
    <w:rsid w:val="00A24C9B"/>
    <w:rsid w:val="00A25807"/>
    <w:rsid w:val="00A262D2"/>
    <w:rsid w:val="00A26EB2"/>
    <w:rsid w:val="00A2706E"/>
    <w:rsid w:val="00A30046"/>
    <w:rsid w:val="00A303D1"/>
    <w:rsid w:val="00A33363"/>
    <w:rsid w:val="00A33625"/>
    <w:rsid w:val="00A338BD"/>
    <w:rsid w:val="00A34010"/>
    <w:rsid w:val="00A34C67"/>
    <w:rsid w:val="00A364F0"/>
    <w:rsid w:val="00A36648"/>
    <w:rsid w:val="00A3720C"/>
    <w:rsid w:val="00A372F0"/>
    <w:rsid w:val="00A375C3"/>
    <w:rsid w:val="00A37700"/>
    <w:rsid w:val="00A37FA0"/>
    <w:rsid w:val="00A40F3A"/>
    <w:rsid w:val="00A41888"/>
    <w:rsid w:val="00A41BF0"/>
    <w:rsid w:val="00A41CAA"/>
    <w:rsid w:val="00A4334E"/>
    <w:rsid w:val="00A4356D"/>
    <w:rsid w:val="00A43779"/>
    <w:rsid w:val="00A43E9F"/>
    <w:rsid w:val="00A442B7"/>
    <w:rsid w:val="00A44A25"/>
    <w:rsid w:val="00A44F0E"/>
    <w:rsid w:val="00A4523A"/>
    <w:rsid w:val="00A454FB"/>
    <w:rsid w:val="00A46826"/>
    <w:rsid w:val="00A46967"/>
    <w:rsid w:val="00A46A42"/>
    <w:rsid w:val="00A46C24"/>
    <w:rsid w:val="00A47C75"/>
    <w:rsid w:val="00A47DE2"/>
    <w:rsid w:val="00A50E0B"/>
    <w:rsid w:val="00A52039"/>
    <w:rsid w:val="00A5225D"/>
    <w:rsid w:val="00A5247B"/>
    <w:rsid w:val="00A52727"/>
    <w:rsid w:val="00A52CAD"/>
    <w:rsid w:val="00A52E10"/>
    <w:rsid w:val="00A53232"/>
    <w:rsid w:val="00A53912"/>
    <w:rsid w:val="00A547C9"/>
    <w:rsid w:val="00A547FF"/>
    <w:rsid w:val="00A549C2"/>
    <w:rsid w:val="00A551AD"/>
    <w:rsid w:val="00A56376"/>
    <w:rsid w:val="00A576B3"/>
    <w:rsid w:val="00A577B6"/>
    <w:rsid w:val="00A57DBA"/>
    <w:rsid w:val="00A608E5"/>
    <w:rsid w:val="00A6090A"/>
    <w:rsid w:val="00A62039"/>
    <w:rsid w:val="00A644AF"/>
    <w:rsid w:val="00A647B3"/>
    <w:rsid w:val="00A651E6"/>
    <w:rsid w:val="00A656D5"/>
    <w:rsid w:val="00A65869"/>
    <w:rsid w:val="00A6596D"/>
    <w:rsid w:val="00A66268"/>
    <w:rsid w:val="00A6637C"/>
    <w:rsid w:val="00A668D1"/>
    <w:rsid w:val="00A66ADB"/>
    <w:rsid w:val="00A67252"/>
    <w:rsid w:val="00A67524"/>
    <w:rsid w:val="00A67AD3"/>
    <w:rsid w:val="00A70661"/>
    <w:rsid w:val="00A70ADF"/>
    <w:rsid w:val="00A70BDA"/>
    <w:rsid w:val="00A71902"/>
    <w:rsid w:val="00A7214A"/>
    <w:rsid w:val="00A73204"/>
    <w:rsid w:val="00A73AD3"/>
    <w:rsid w:val="00A73B32"/>
    <w:rsid w:val="00A74526"/>
    <w:rsid w:val="00A747C3"/>
    <w:rsid w:val="00A748EA"/>
    <w:rsid w:val="00A76005"/>
    <w:rsid w:val="00A765DE"/>
    <w:rsid w:val="00A775B3"/>
    <w:rsid w:val="00A77C85"/>
    <w:rsid w:val="00A80DCE"/>
    <w:rsid w:val="00A81357"/>
    <w:rsid w:val="00A825E4"/>
    <w:rsid w:val="00A828CF"/>
    <w:rsid w:val="00A829B3"/>
    <w:rsid w:val="00A82AA3"/>
    <w:rsid w:val="00A83D89"/>
    <w:rsid w:val="00A847C7"/>
    <w:rsid w:val="00A84E31"/>
    <w:rsid w:val="00A8547C"/>
    <w:rsid w:val="00A855E2"/>
    <w:rsid w:val="00A85D45"/>
    <w:rsid w:val="00A85EB8"/>
    <w:rsid w:val="00A86735"/>
    <w:rsid w:val="00A8723E"/>
    <w:rsid w:val="00A873AA"/>
    <w:rsid w:val="00A8795A"/>
    <w:rsid w:val="00A879DA"/>
    <w:rsid w:val="00A87D15"/>
    <w:rsid w:val="00A919DC"/>
    <w:rsid w:val="00A92709"/>
    <w:rsid w:val="00A9296F"/>
    <w:rsid w:val="00A92D1B"/>
    <w:rsid w:val="00A92E48"/>
    <w:rsid w:val="00A94DCB"/>
    <w:rsid w:val="00A9579F"/>
    <w:rsid w:val="00A9642C"/>
    <w:rsid w:val="00A964C2"/>
    <w:rsid w:val="00A97876"/>
    <w:rsid w:val="00AA0AB8"/>
    <w:rsid w:val="00AA12B3"/>
    <w:rsid w:val="00AA25D4"/>
    <w:rsid w:val="00AA2970"/>
    <w:rsid w:val="00AA41F3"/>
    <w:rsid w:val="00AA46D9"/>
    <w:rsid w:val="00AA47ED"/>
    <w:rsid w:val="00AA4985"/>
    <w:rsid w:val="00AA5715"/>
    <w:rsid w:val="00AA57F6"/>
    <w:rsid w:val="00AA5BAD"/>
    <w:rsid w:val="00AA67A2"/>
    <w:rsid w:val="00AA69D4"/>
    <w:rsid w:val="00AA73C1"/>
    <w:rsid w:val="00AA7B82"/>
    <w:rsid w:val="00AB0057"/>
    <w:rsid w:val="00AB0D62"/>
    <w:rsid w:val="00AB0FFC"/>
    <w:rsid w:val="00AB1B42"/>
    <w:rsid w:val="00AB1E97"/>
    <w:rsid w:val="00AB27C6"/>
    <w:rsid w:val="00AB2A48"/>
    <w:rsid w:val="00AB2BDE"/>
    <w:rsid w:val="00AB2C5F"/>
    <w:rsid w:val="00AB3141"/>
    <w:rsid w:val="00AB3A52"/>
    <w:rsid w:val="00AB3D9E"/>
    <w:rsid w:val="00AB4166"/>
    <w:rsid w:val="00AB4D93"/>
    <w:rsid w:val="00AB5CA1"/>
    <w:rsid w:val="00AB62E3"/>
    <w:rsid w:val="00AB71A4"/>
    <w:rsid w:val="00AB74FD"/>
    <w:rsid w:val="00AB7E3A"/>
    <w:rsid w:val="00AC0307"/>
    <w:rsid w:val="00AC0488"/>
    <w:rsid w:val="00AC074D"/>
    <w:rsid w:val="00AC1480"/>
    <w:rsid w:val="00AC15BF"/>
    <w:rsid w:val="00AC17B6"/>
    <w:rsid w:val="00AC1B6C"/>
    <w:rsid w:val="00AC1C9D"/>
    <w:rsid w:val="00AC1E7B"/>
    <w:rsid w:val="00AC41C5"/>
    <w:rsid w:val="00AC41D6"/>
    <w:rsid w:val="00AC505D"/>
    <w:rsid w:val="00AC5BDE"/>
    <w:rsid w:val="00AC6B67"/>
    <w:rsid w:val="00AC6E0A"/>
    <w:rsid w:val="00AC78A5"/>
    <w:rsid w:val="00AC7F7F"/>
    <w:rsid w:val="00AD0533"/>
    <w:rsid w:val="00AD0913"/>
    <w:rsid w:val="00AD17EF"/>
    <w:rsid w:val="00AD1936"/>
    <w:rsid w:val="00AD27DF"/>
    <w:rsid w:val="00AD2D95"/>
    <w:rsid w:val="00AD30B7"/>
    <w:rsid w:val="00AD3742"/>
    <w:rsid w:val="00AD39E0"/>
    <w:rsid w:val="00AD3F7C"/>
    <w:rsid w:val="00AD428A"/>
    <w:rsid w:val="00AD4A03"/>
    <w:rsid w:val="00AD52F2"/>
    <w:rsid w:val="00AD5962"/>
    <w:rsid w:val="00AD7147"/>
    <w:rsid w:val="00AD73FD"/>
    <w:rsid w:val="00AE052F"/>
    <w:rsid w:val="00AE07B4"/>
    <w:rsid w:val="00AE0F9D"/>
    <w:rsid w:val="00AE0FAB"/>
    <w:rsid w:val="00AE16E6"/>
    <w:rsid w:val="00AE16FB"/>
    <w:rsid w:val="00AE2375"/>
    <w:rsid w:val="00AE3B2A"/>
    <w:rsid w:val="00AE493E"/>
    <w:rsid w:val="00AE63D7"/>
    <w:rsid w:val="00AE70BB"/>
    <w:rsid w:val="00AE715A"/>
    <w:rsid w:val="00AF034C"/>
    <w:rsid w:val="00AF0DEB"/>
    <w:rsid w:val="00AF134F"/>
    <w:rsid w:val="00AF1C93"/>
    <w:rsid w:val="00AF2354"/>
    <w:rsid w:val="00AF23B0"/>
    <w:rsid w:val="00AF2543"/>
    <w:rsid w:val="00AF4616"/>
    <w:rsid w:val="00AF504A"/>
    <w:rsid w:val="00AF51FA"/>
    <w:rsid w:val="00AF537F"/>
    <w:rsid w:val="00AF5512"/>
    <w:rsid w:val="00AF5531"/>
    <w:rsid w:val="00AF5682"/>
    <w:rsid w:val="00AF65FB"/>
    <w:rsid w:val="00AF6763"/>
    <w:rsid w:val="00AF6D02"/>
    <w:rsid w:val="00AF74FD"/>
    <w:rsid w:val="00AF765C"/>
    <w:rsid w:val="00AF77C0"/>
    <w:rsid w:val="00AF79E4"/>
    <w:rsid w:val="00B01594"/>
    <w:rsid w:val="00B01728"/>
    <w:rsid w:val="00B01C63"/>
    <w:rsid w:val="00B0519C"/>
    <w:rsid w:val="00B057C2"/>
    <w:rsid w:val="00B05E11"/>
    <w:rsid w:val="00B06855"/>
    <w:rsid w:val="00B100B4"/>
    <w:rsid w:val="00B1019C"/>
    <w:rsid w:val="00B11831"/>
    <w:rsid w:val="00B11A54"/>
    <w:rsid w:val="00B12061"/>
    <w:rsid w:val="00B12EB0"/>
    <w:rsid w:val="00B13187"/>
    <w:rsid w:val="00B132A3"/>
    <w:rsid w:val="00B14059"/>
    <w:rsid w:val="00B14260"/>
    <w:rsid w:val="00B14410"/>
    <w:rsid w:val="00B1461A"/>
    <w:rsid w:val="00B1527B"/>
    <w:rsid w:val="00B15B7A"/>
    <w:rsid w:val="00B168F3"/>
    <w:rsid w:val="00B16DC5"/>
    <w:rsid w:val="00B17121"/>
    <w:rsid w:val="00B17BAE"/>
    <w:rsid w:val="00B2079F"/>
    <w:rsid w:val="00B209D4"/>
    <w:rsid w:val="00B214BC"/>
    <w:rsid w:val="00B21BEF"/>
    <w:rsid w:val="00B22A2D"/>
    <w:rsid w:val="00B2487C"/>
    <w:rsid w:val="00B24AFD"/>
    <w:rsid w:val="00B24D8B"/>
    <w:rsid w:val="00B25C08"/>
    <w:rsid w:val="00B263AA"/>
    <w:rsid w:val="00B26DF6"/>
    <w:rsid w:val="00B26E1C"/>
    <w:rsid w:val="00B26EB5"/>
    <w:rsid w:val="00B30BF4"/>
    <w:rsid w:val="00B30F9D"/>
    <w:rsid w:val="00B3114D"/>
    <w:rsid w:val="00B314AA"/>
    <w:rsid w:val="00B33146"/>
    <w:rsid w:val="00B33A56"/>
    <w:rsid w:val="00B33B78"/>
    <w:rsid w:val="00B368B6"/>
    <w:rsid w:val="00B372E9"/>
    <w:rsid w:val="00B373B4"/>
    <w:rsid w:val="00B37620"/>
    <w:rsid w:val="00B40739"/>
    <w:rsid w:val="00B409C8"/>
    <w:rsid w:val="00B4115D"/>
    <w:rsid w:val="00B41218"/>
    <w:rsid w:val="00B43BBB"/>
    <w:rsid w:val="00B44327"/>
    <w:rsid w:val="00B44560"/>
    <w:rsid w:val="00B44DBF"/>
    <w:rsid w:val="00B458B1"/>
    <w:rsid w:val="00B45B2F"/>
    <w:rsid w:val="00B45F98"/>
    <w:rsid w:val="00B46623"/>
    <w:rsid w:val="00B46AAF"/>
    <w:rsid w:val="00B46B7C"/>
    <w:rsid w:val="00B47012"/>
    <w:rsid w:val="00B479E0"/>
    <w:rsid w:val="00B47CA6"/>
    <w:rsid w:val="00B5052A"/>
    <w:rsid w:val="00B51687"/>
    <w:rsid w:val="00B5186B"/>
    <w:rsid w:val="00B5298F"/>
    <w:rsid w:val="00B52AC0"/>
    <w:rsid w:val="00B5427A"/>
    <w:rsid w:val="00B54430"/>
    <w:rsid w:val="00B555BA"/>
    <w:rsid w:val="00B56C8B"/>
    <w:rsid w:val="00B56D65"/>
    <w:rsid w:val="00B57710"/>
    <w:rsid w:val="00B602B6"/>
    <w:rsid w:val="00B60DFA"/>
    <w:rsid w:val="00B629FB"/>
    <w:rsid w:val="00B62C83"/>
    <w:rsid w:val="00B63526"/>
    <w:rsid w:val="00B63600"/>
    <w:rsid w:val="00B63F3E"/>
    <w:rsid w:val="00B64024"/>
    <w:rsid w:val="00B64702"/>
    <w:rsid w:val="00B653F8"/>
    <w:rsid w:val="00B663D1"/>
    <w:rsid w:val="00B666C9"/>
    <w:rsid w:val="00B6683E"/>
    <w:rsid w:val="00B67603"/>
    <w:rsid w:val="00B67921"/>
    <w:rsid w:val="00B67FB6"/>
    <w:rsid w:val="00B7000D"/>
    <w:rsid w:val="00B70713"/>
    <w:rsid w:val="00B70721"/>
    <w:rsid w:val="00B708D4"/>
    <w:rsid w:val="00B70ECD"/>
    <w:rsid w:val="00B710E0"/>
    <w:rsid w:val="00B71C46"/>
    <w:rsid w:val="00B722EC"/>
    <w:rsid w:val="00B7260A"/>
    <w:rsid w:val="00B72692"/>
    <w:rsid w:val="00B727AD"/>
    <w:rsid w:val="00B73201"/>
    <w:rsid w:val="00B73264"/>
    <w:rsid w:val="00B73305"/>
    <w:rsid w:val="00B73CC0"/>
    <w:rsid w:val="00B7488E"/>
    <w:rsid w:val="00B749FC"/>
    <w:rsid w:val="00B75584"/>
    <w:rsid w:val="00B75A3A"/>
    <w:rsid w:val="00B75AB1"/>
    <w:rsid w:val="00B75DEA"/>
    <w:rsid w:val="00B76DC5"/>
    <w:rsid w:val="00B77662"/>
    <w:rsid w:val="00B77871"/>
    <w:rsid w:val="00B77934"/>
    <w:rsid w:val="00B77C32"/>
    <w:rsid w:val="00B8082D"/>
    <w:rsid w:val="00B809DC"/>
    <w:rsid w:val="00B80B1F"/>
    <w:rsid w:val="00B8120E"/>
    <w:rsid w:val="00B812C2"/>
    <w:rsid w:val="00B81AEC"/>
    <w:rsid w:val="00B826A7"/>
    <w:rsid w:val="00B8340E"/>
    <w:rsid w:val="00B83E7C"/>
    <w:rsid w:val="00B84000"/>
    <w:rsid w:val="00B858C7"/>
    <w:rsid w:val="00B8615A"/>
    <w:rsid w:val="00B86755"/>
    <w:rsid w:val="00B903FA"/>
    <w:rsid w:val="00B909E9"/>
    <w:rsid w:val="00B90B00"/>
    <w:rsid w:val="00B90BB2"/>
    <w:rsid w:val="00B90D58"/>
    <w:rsid w:val="00B91BE3"/>
    <w:rsid w:val="00B9201A"/>
    <w:rsid w:val="00B9229F"/>
    <w:rsid w:val="00B923C3"/>
    <w:rsid w:val="00B9270B"/>
    <w:rsid w:val="00B929D7"/>
    <w:rsid w:val="00B92AC3"/>
    <w:rsid w:val="00B93968"/>
    <w:rsid w:val="00B93B75"/>
    <w:rsid w:val="00B93E89"/>
    <w:rsid w:val="00B9412E"/>
    <w:rsid w:val="00B94167"/>
    <w:rsid w:val="00B94F15"/>
    <w:rsid w:val="00B95819"/>
    <w:rsid w:val="00B95A1A"/>
    <w:rsid w:val="00B973A0"/>
    <w:rsid w:val="00B97754"/>
    <w:rsid w:val="00B9779E"/>
    <w:rsid w:val="00B97A31"/>
    <w:rsid w:val="00BA05AB"/>
    <w:rsid w:val="00BA0BF0"/>
    <w:rsid w:val="00BA1558"/>
    <w:rsid w:val="00BA1CCA"/>
    <w:rsid w:val="00BA200B"/>
    <w:rsid w:val="00BA2A62"/>
    <w:rsid w:val="00BA2C90"/>
    <w:rsid w:val="00BA3484"/>
    <w:rsid w:val="00BA398D"/>
    <w:rsid w:val="00BA4638"/>
    <w:rsid w:val="00BA50A8"/>
    <w:rsid w:val="00BA5C05"/>
    <w:rsid w:val="00BA6341"/>
    <w:rsid w:val="00BA65B7"/>
    <w:rsid w:val="00BA680E"/>
    <w:rsid w:val="00BA6DB4"/>
    <w:rsid w:val="00BA743A"/>
    <w:rsid w:val="00BA74F3"/>
    <w:rsid w:val="00BA7CC5"/>
    <w:rsid w:val="00BA7DAB"/>
    <w:rsid w:val="00BB0CD3"/>
    <w:rsid w:val="00BB0D28"/>
    <w:rsid w:val="00BB0D9E"/>
    <w:rsid w:val="00BB1F04"/>
    <w:rsid w:val="00BB2353"/>
    <w:rsid w:val="00BB2E53"/>
    <w:rsid w:val="00BB30C2"/>
    <w:rsid w:val="00BB41C4"/>
    <w:rsid w:val="00BB51F0"/>
    <w:rsid w:val="00BB54D8"/>
    <w:rsid w:val="00BB5EE0"/>
    <w:rsid w:val="00BB636C"/>
    <w:rsid w:val="00BB65FB"/>
    <w:rsid w:val="00BB769E"/>
    <w:rsid w:val="00BC08BB"/>
    <w:rsid w:val="00BC0DDD"/>
    <w:rsid w:val="00BC0E32"/>
    <w:rsid w:val="00BC177F"/>
    <w:rsid w:val="00BC227D"/>
    <w:rsid w:val="00BC2380"/>
    <w:rsid w:val="00BC2D57"/>
    <w:rsid w:val="00BC315D"/>
    <w:rsid w:val="00BC3AE0"/>
    <w:rsid w:val="00BC3C5D"/>
    <w:rsid w:val="00BC3DA5"/>
    <w:rsid w:val="00BC3DB5"/>
    <w:rsid w:val="00BC52DB"/>
    <w:rsid w:val="00BC56B7"/>
    <w:rsid w:val="00BC64CC"/>
    <w:rsid w:val="00BC76A2"/>
    <w:rsid w:val="00BC7750"/>
    <w:rsid w:val="00BC7D2C"/>
    <w:rsid w:val="00BD01BE"/>
    <w:rsid w:val="00BD07DC"/>
    <w:rsid w:val="00BD08F6"/>
    <w:rsid w:val="00BD0AA0"/>
    <w:rsid w:val="00BD142B"/>
    <w:rsid w:val="00BD14C8"/>
    <w:rsid w:val="00BD163C"/>
    <w:rsid w:val="00BD1763"/>
    <w:rsid w:val="00BD2352"/>
    <w:rsid w:val="00BD2CFF"/>
    <w:rsid w:val="00BD3A87"/>
    <w:rsid w:val="00BD4065"/>
    <w:rsid w:val="00BD4173"/>
    <w:rsid w:val="00BD4309"/>
    <w:rsid w:val="00BD46CE"/>
    <w:rsid w:val="00BD4DE0"/>
    <w:rsid w:val="00BD4E05"/>
    <w:rsid w:val="00BD662D"/>
    <w:rsid w:val="00BD6AC3"/>
    <w:rsid w:val="00BD7125"/>
    <w:rsid w:val="00BD753F"/>
    <w:rsid w:val="00BD7BE2"/>
    <w:rsid w:val="00BE1062"/>
    <w:rsid w:val="00BE1C87"/>
    <w:rsid w:val="00BE1DA7"/>
    <w:rsid w:val="00BE23AB"/>
    <w:rsid w:val="00BE327E"/>
    <w:rsid w:val="00BE6563"/>
    <w:rsid w:val="00BE6B49"/>
    <w:rsid w:val="00BF008E"/>
    <w:rsid w:val="00BF00A3"/>
    <w:rsid w:val="00BF06AC"/>
    <w:rsid w:val="00BF0F49"/>
    <w:rsid w:val="00BF10F5"/>
    <w:rsid w:val="00BF243B"/>
    <w:rsid w:val="00BF245E"/>
    <w:rsid w:val="00BF31E6"/>
    <w:rsid w:val="00BF3C9C"/>
    <w:rsid w:val="00BF43CD"/>
    <w:rsid w:val="00BF44B8"/>
    <w:rsid w:val="00BF4C9D"/>
    <w:rsid w:val="00BF6F79"/>
    <w:rsid w:val="00BF7C2C"/>
    <w:rsid w:val="00BF7D77"/>
    <w:rsid w:val="00C001F9"/>
    <w:rsid w:val="00C009A8"/>
    <w:rsid w:val="00C00AD0"/>
    <w:rsid w:val="00C0126F"/>
    <w:rsid w:val="00C02526"/>
    <w:rsid w:val="00C02A57"/>
    <w:rsid w:val="00C02D06"/>
    <w:rsid w:val="00C03EFD"/>
    <w:rsid w:val="00C043BF"/>
    <w:rsid w:val="00C04509"/>
    <w:rsid w:val="00C056D6"/>
    <w:rsid w:val="00C05FB5"/>
    <w:rsid w:val="00C063C1"/>
    <w:rsid w:val="00C063C6"/>
    <w:rsid w:val="00C063DE"/>
    <w:rsid w:val="00C06B39"/>
    <w:rsid w:val="00C06BE7"/>
    <w:rsid w:val="00C07030"/>
    <w:rsid w:val="00C07A27"/>
    <w:rsid w:val="00C103F4"/>
    <w:rsid w:val="00C11241"/>
    <w:rsid w:val="00C11A64"/>
    <w:rsid w:val="00C1248F"/>
    <w:rsid w:val="00C13471"/>
    <w:rsid w:val="00C13686"/>
    <w:rsid w:val="00C13A4B"/>
    <w:rsid w:val="00C14630"/>
    <w:rsid w:val="00C14A05"/>
    <w:rsid w:val="00C14A9C"/>
    <w:rsid w:val="00C14CAA"/>
    <w:rsid w:val="00C156E7"/>
    <w:rsid w:val="00C16070"/>
    <w:rsid w:val="00C16F11"/>
    <w:rsid w:val="00C17C60"/>
    <w:rsid w:val="00C17D34"/>
    <w:rsid w:val="00C20759"/>
    <w:rsid w:val="00C20DAB"/>
    <w:rsid w:val="00C21083"/>
    <w:rsid w:val="00C21FC2"/>
    <w:rsid w:val="00C229E6"/>
    <w:rsid w:val="00C2312A"/>
    <w:rsid w:val="00C23C3C"/>
    <w:rsid w:val="00C30514"/>
    <w:rsid w:val="00C31243"/>
    <w:rsid w:val="00C318F4"/>
    <w:rsid w:val="00C31CC4"/>
    <w:rsid w:val="00C32AE5"/>
    <w:rsid w:val="00C334E7"/>
    <w:rsid w:val="00C33EB2"/>
    <w:rsid w:val="00C345B3"/>
    <w:rsid w:val="00C35435"/>
    <w:rsid w:val="00C359E9"/>
    <w:rsid w:val="00C366E1"/>
    <w:rsid w:val="00C379DB"/>
    <w:rsid w:val="00C37B44"/>
    <w:rsid w:val="00C40619"/>
    <w:rsid w:val="00C40646"/>
    <w:rsid w:val="00C40B21"/>
    <w:rsid w:val="00C40E10"/>
    <w:rsid w:val="00C41C58"/>
    <w:rsid w:val="00C42883"/>
    <w:rsid w:val="00C42FD9"/>
    <w:rsid w:val="00C4379D"/>
    <w:rsid w:val="00C44FA1"/>
    <w:rsid w:val="00C45684"/>
    <w:rsid w:val="00C45772"/>
    <w:rsid w:val="00C45DD7"/>
    <w:rsid w:val="00C50551"/>
    <w:rsid w:val="00C50C5A"/>
    <w:rsid w:val="00C51FBE"/>
    <w:rsid w:val="00C52231"/>
    <w:rsid w:val="00C52304"/>
    <w:rsid w:val="00C53035"/>
    <w:rsid w:val="00C5472B"/>
    <w:rsid w:val="00C54F3C"/>
    <w:rsid w:val="00C558DF"/>
    <w:rsid w:val="00C56101"/>
    <w:rsid w:val="00C5656E"/>
    <w:rsid w:val="00C56F09"/>
    <w:rsid w:val="00C56F92"/>
    <w:rsid w:val="00C57A87"/>
    <w:rsid w:val="00C6017F"/>
    <w:rsid w:val="00C6094A"/>
    <w:rsid w:val="00C609B0"/>
    <w:rsid w:val="00C60DA3"/>
    <w:rsid w:val="00C61232"/>
    <w:rsid w:val="00C6146E"/>
    <w:rsid w:val="00C61BC9"/>
    <w:rsid w:val="00C639C5"/>
    <w:rsid w:val="00C63F1D"/>
    <w:rsid w:val="00C64248"/>
    <w:rsid w:val="00C64BD1"/>
    <w:rsid w:val="00C6515F"/>
    <w:rsid w:val="00C65791"/>
    <w:rsid w:val="00C65999"/>
    <w:rsid w:val="00C66E12"/>
    <w:rsid w:val="00C67B3D"/>
    <w:rsid w:val="00C67BDD"/>
    <w:rsid w:val="00C7083B"/>
    <w:rsid w:val="00C70F42"/>
    <w:rsid w:val="00C7119C"/>
    <w:rsid w:val="00C72025"/>
    <w:rsid w:val="00C72B79"/>
    <w:rsid w:val="00C72BA1"/>
    <w:rsid w:val="00C72EE2"/>
    <w:rsid w:val="00C73F10"/>
    <w:rsid w:val="00C75DB5"/>
    <w:rsid w:val="00C75EFB"/>
    <w:rsid w:val="00C76300"/>
    <w:rsid w:val="00C77200"/>
    <w:rsid w:val="00C80020"/>
    <w:rsid w:val="00C801C5"/>
    <w:rsid w:val="00C809BD"/>
    <w:rsid w:val="00C80B58"/>
    <w:rsid w:val="00C80F2D"/>
    <w:rsid w:val="00C818D9"/>
    <w:rsid w:val="00C819DE"/>
    <w:rsid w:val="00C82303"/>
    <w:rsid w:val="00C82A4F"/>
    <w:rsid w:val="00C835FF"/>
    <w:rsid w:val="00C84683"/>
    <w:rsid w:val="00C846B7"/>
    <w:rsid w:val="00C85C5F"/>
    <w:rsid w:val="00C85DF5"/>
    <w:rsid w:val="00C86AA5"/>
    <w:rsid w:val="00C86C5D"/>
    <w:rsid w:val="00C87D02"/>
    <w:rsid w:val="00C901BB"/>
    <w:rsid w:val="00C90289"/>
    <w:rsid w:val="00C907BB"/>
    <w:rsid w:val="00C90B5A"/>
    <w:rsid w:val="00C91820"/>
    <w:rsid w:val="00C91B8B"/>
    <w:rsid w:val="00C91D40"/>
    <w:rsid w:val="00C92244"/>
    <w:rsid w:val="00C92705"/>
    <w:rsid w:val="00C93182"/>
    <w:rsid w:val="00C9319B"/>
    <w:rsid w:val="00C93496"/>
    <w:rsid w:val="00C94219"/>
    <w:rsid w:val="00C947F8"/>
    <w:rsid w:val="00C94C85"/>
    <w:rsid w:val="00C951EF"/>
    <w:rsid w:val="00C95EB2"/>
    <w:rsid w:val="00C9656D"/>
    <w:rsid w:val="00C97551"/>
    <w:rsid w:val="00C97764"/>
    <w:rsid w:val="00CA0919"/>
    <w:rsid w:val="00CA0BBD"/>
    <w:rsid w:val="00CA0D38"/>
    <w:rsid w:val="00CA2B38"/>
    <w:rsid w:val="00CA324E"/>
    <w:rsid w:val="00CA3B7C"/>
    <w:rsid w:val="00CA3BAE"/>
    <w:rsid w:val="00CA3F4A"/>
    <w:rsid w:val="00CA67DF"/>
    <w:rsid w:val="00CA7160"/>
    <w:rsid w:val="00CA776E"/>
    <w:rsid w:val="00CA783B"/>
    <w:rsid w:val="00CB00E8"/>
    <w:rsid w:val="00CB0652"/>
    <w:rsid w:val="00CB086C"/>
    <w:rsid w:val="00CB0B13"/>
    <w:rsid w:val="00CB12E6"/>
    <w:rsid w:val="00CB1E9E"/>
    <w:rsid w:val="00CB2012"/>
    <w:rsid w:val="00CB32AD"/>
    <w:rsid w:val="00CB42A6"/>
    <w:rsid w:val="00CB557E"/>
    <w:rsid w:val="00CB5CEE"/>
    <w:rsid w:val="00CB6A9D"/>
    <w:rsid w:val="00CB6DA1"/>
    <w:rsid w:val="00CB6DDA"/>
    <w:rsid w:val="00CB6F1A"/>
    <w:rsid w:val="00CB72CC"/>
    <w:rsid w:val="00CB77F6"/>
    <w:rsid w:val="00CB7B3E"/>
    <w:rsid w:val="00CB7FC9"/>
    <w:rsid w:val="00CC0649"/>
    <w:rsid w:val="00CC1553"/>
    <w:rsid w:val="00CC2AFE"/>
    <w:rsid w:val="00CC34C1"/>
    <w:rsid w:val="00CC379D"/>
    <w:rsid w:val="00CC40BB"/>
    <w:rsid w:val="00CC4433"/>
    <w:rsid w:val="00CC4892"/>
    <w:rsid w:val="00CC5070"/>
    <w:rsid w:val="00CC56A4"/>
    <w:rsid w:val="00CC5DA9"/>
    <w:rsid w:val="00CC5EEF"/>
    <w:rsid w:val="00CC701B"/>
    <w:rsid w:val="00CC70E5"/>
    <w:rsid w:val="00CC76C0"/>
    <w:rsid w:val="00CC7D91"/>
    <w:rsid w:val="00CD005D"/>
    <w:rsid w:val="00CD040D"/>
    <w:rsid w:val="00CD06C4"/>
    <w:rsid w:val="00CD0926"/>
    <w:rsid w:val="00CD0CCE"/>
    <w:rsid w:val="00CD1784"/>
    <w:rsid w:val="00CD1E29"/>
    <w:rsid w:val="00CD2ADD"/>
    <w:rsid w:val="00CD312F"/>
    <w:rsid w:val="00CD46A5"/>
    <w:rsid w:val="00CD475D"/>
    <w:rsid w:val="00CD4863"/>
    <w:rsid w:val="00CD4C41"/>
    <w:rsid w:val="00CD67C1"/>
    <w:rsid w:val="00CD6BEE"/>
    <w:rsid w:val="00CD74A2"/>
    <w:rsid w:val="00CD7CA5"/>
    <w:rsid w:val="00CE0F40"/>
    <w:rsid w:val="00CE1A0E"/>
    <w:rsid w:val="00CE30EA"/>
    <w:rsid w:val="00CE3A66"/>
    <w:rsid w:val="00CE4A91"/>
    <w:rsid w:val="00CE52B8"/>
    <w:rsid w:val="00CE59E2"/>
    <w:rsid w:val="00CE61BF"/>
    <w:rsid w:val="00CE6468"/>
    <w:rsid w:val="00CE6544"/>
    <w:rsid w:val="00CE6CD9"/>
    <w:rsid w:val="00CF066D"/>
    <w:rsid w:val="00CF0CC3"/>
    <w:rsid w:val="00CF1294"/>
    <w:rsid w:val="00CF1353"/>
    <w:rsid w:val="00CF18D6"/>
    <w:rsid w:val="00CF3648"/>
    <w:rsid w:val="00CF4705"/>
    <w:rsid w:val="00CF4826"/>
    <w:rsid w:val="00CF5B92"/>
    <w:rsid w:val="00CF5D20"/>
    <w:rsid w:val="00CF6A8C"/>
    <w:rsid w:val="00CF6E8F"/>
    <w:rsid w:val="00CF794E"/>
    <w:rsid w:val="00D003FC"/>
    <w:rsid w:val="00D0084A"/>
    <w:rsid w:val="00D01027"/>
    <w:rsid w:val="00D025C3"/>
    <w:rsid w:val="00D02740"/>
    <w:rsid w:val="00D02885"/>
    <w:rsid w:val="00D028C2"/>
    <w:rsid w:val="00D02CAA"/>
    <w:rsid w:val="00D0334B"/>
    <w:rsid w:val="00D03A2C"/>
    <w:rsid w:val="00D03EA7"/>
    <w:rsid w:val="00D03EFC"/>
    <w:rsid w:val="00D0504C"/>
    <w:rsid w:val="00D05929"/>
    <w:rsid w:val="00D05C9C"/>
    <w:rsid w:val="00D062A1"/>
    <w:rsid w:val="00D066D3"/>
    <w:rsid w:val="00D06BB9"/>
    <w:rsid w:val="00D0709D"/>
    <w:rsid w:val="00D105BF"/>
    <w:rsid w:val="00D10D45"/>
    <w:rsid w:val="00D1113F"/>
    <w:rsid w:val="00D12358"/>
    <w:rsid w:val="00D12A07"/>
    <w:rsid w:val="00D13691"/>
    <w:rsid w:val="00D13E7C"/>
    <w:rsid w:val="00D149F2"/>
    <w:rsid w:val="00D14A43"/>
    <w:rsid w:val="00D169E1"/>
    <w:rsid w:val="00D169EF"/>
    <w:rsid w:val="00D17C2A"/>
    <w:rsid w:val="00D202FB"/>
    <w:rsid w:val="00D20370"/>
    <w:rsid w:val="00D20A85"/>
    <w:rsid w:val="00D216ED"/>
    <w:rsid w:val="00D2225A"/>
    <w:rsid w:val="00D228BA"/>
    <w:rsid w:val="00D22CA5"/>
    <w:rsid w:val="00D22D44"/>
    <w:rsid w:val="00D23ADC"/>
    <w:rsid w:val="00D23F72"/>
    <w:rsid w:val="00D2437F"/>
    <w:rsid w:val="00D256F5"/>
    <w:rsid w:val="00D25870"/>
    <w:rsid w:val="00D258AF"/>
    <w:rsid w:val="00D25906"/>
    <w:rsid w:val="00D25EE1"/>
    <w:rsid w:val="00D267B5"/>
    <w:rsid w:val="00D2773C"/>
    <w:rsid w:val="00D278A9"/>
    <w:rsid w:val="00D27EB0"/>
    <w:rsid w:val="00D30244"/>
    <w:rsid w:val="00D313F9"/>
    <w:rsid w:val="00D314F6"/>
    <w:rsid w:val="00D31784"/>
    <w:rsid w:val="00D3179E"/>
    <w:rsid w:val="00D31AD1"/>
    <w:rsid w:val="00D321DB"/>
    <w:rsid w:val="00D32937"/>
    <w:rsid w:val="00D32BC9"/>
    <w:rsid w:val="00D34B81"/>
    <w:rsid w:val="00D34C6B"/>
    <w:rsid w:val="00D35E2A"/>
    <w:rsid w:val="00D362B9"/>
    <w:rsid w:val="00D36677"/>
    <w:rsid w:val="00D367A5"/>
    <w:rsid w:val="00D367C1"/>
    <w:rsid w:val="00D37689"/>
    <w:rsid w:val="00D41780"/>
    <w:rsid w:val="00D41F2F"/>
    <w:rsid w:val="00D42377"/>
    <w:rsid w:val="00D424DB"/>
    <w:rsid w:val="00D43255"/>
    <w:rsid w:val="00D433BB"/>
    <w:rsid w:val="00D441A8"/>
    <w:rsid w:val="00D44448"/>
    <w:rsid w:val="00D4483B"/>
    <w:rsid w:val="00D44F47"/>
    <w:rsid w:val="00D45514"/>
    <w:rsid w:val="00D457A8"/>
    <w:rsid w:val="00D45F9C"/>
    <w:rsid w:val="00D45FF2"/>
    <w:rsid w:val="00D467D3"/>
    <w:rsid w:val="00D46A82"/>
    <w:rsid w:val="00D46BD4"/>
    <w:rsid w:val="00D46D08"/>
    <w:rsid w:val="00D46F64"/>
    <w:rsid w:val="00D5070C"/>
    <w:rsid w:val="00D521F4"/>
    <w:rsid w:val="00D528E9"/>
    <w:rsid w:val="00D52FA3"/>
    <w:rsid w:val="00D530C2"/>
    <w:rsid w:val="00D5423D"/>
    <w:rsid w:val="00D545E3"/>
    <w:rsid w:val="00D558C1"/>
    <w:rsid w:val="00D559A3"/>
    <w:rsid w:val="00D55CFE"/>
    <w:rsid w:val="00D57412"/>
    <w:rsid w:val="00D57485"/>
    <w:rsid w:val="00D57DA0"/>
    <w:rsid w:val="00D60505"/>
    <w:rsid w:val="00D6056B"/>
    <w:rsid w:val="00D6264A"/>
    <w:rsid w:val="00D63155"/>
    <w:rsid w:val="00D63503"/>
    <w:rsid w:val="00D63CBC"/>
    <w:rsid w:val="00D63D54"/>
    <w:rsid w:val="00D63DCF"/>
    <w:rsid w:val="00D64C19"/>
    <w:rsid w:val="00D65862"/>
    <w:rsid w:val="00D65CB3"/>
    <w:rsid w:val="00D65E03"/>
    <w:rsid w:val="00D65E0D"/>
    <w:rsid w:val="00D661FE"/>
    <w:rsid w:val="00D66261"/>
    <w:rsid w:val="00D66B91"/>
    <w:rsid w:val="00D671B1"/>
    <w:rsid w:val="00D67F98"/>
    <w:rsid w:val="00D702F8"/>
    <w:rsid w:val="00D709F1"/>
    <w:rsid w:val="00D71110"/>
    <w:rsid w:val="00D72E26"/>
    <w:rsid w:val="00D746F2"/>
    <w:rsid w:val="00D74741"/>
    <w:rsid w:val="00D7480A"/>
    <w:rsid w:val="00D74E27"/>
    <w:rsid w:val="00D755C1"/>
    <w:rsid w:val="00D75F39"/>
    <w:rsid w:val="00D76DA0"/>
    <w:rsid w:val="00D76EFD"/>
    <w:rsid w:val="00D76F0F"/>
    <w:rsid w:val="00D77B82"/>
    <w:rsid w:val="00D80E53"/>
    <w:rsid w:val="00D81026"/>
    <w:rsid w:val="00D815C8"/>
    <w:rsid w:val="00D818F2"/>
    <w:rsid w:val="00D83DFB"/>
    <w:rsid w:val="00D84240"/>
    <w:rsid w:val="00D842EA"/>
    <w:rsid w:val="00D8454A"/>
    <w:rsid w:val="00D8460E"/>
    <w:rsid w:val="00D8508A"/>
    <w:rsid w:val="00D85409"/>
    <w:rsid w:val="00D85E12"/>
    <w:rsid w:val="00D86611"/>
    <w:rsid w:val="00D8739E"/>
    <w:rsid w:val="00D87AAB"/>
    <w:rsid w:val="00D87DA0"/>
    <w:rsid w:val="00D914D3"/>
    <w:rsid w:val="00D9322E"/>
    <w:rsid w:val="00D93556"/>
    <w:rsid w:val="00D939FC"/>
    <w:rsid w:val="00D93C8A"/>
    <w:rsid w:val="00D94028"/>
    <w:rsid w:val="00D94534"/>
    <w:rsid w:val="00D94C0D"/>
    <w:rsid w:val="00D95020"/>
    <w:rsid w:val="00D95FA1"/>
    <w:rsid w:val="00D96A27"/>
    <w:rsid w:val="00D9723D"/>
    <w:rsid w:val="00D97290"/>
    <w:rsid w:val="00D97C45"/>
    <w:rsid w:val="00D97F15"/>
    <w:rsid w:val="00DA1F41"/>
    <w:rsid w:val="00DA1FB7"/>
    <w:rsid w:val="00DA27F6"/>
    <w:rsid w:val="00DA2900"/>
    <w:rsid w:val="00DA2DDE"/>
    <w:rsid w:val="00DA469A"/>
    <w:rsid w:val="00DA53CA"/>
    <w:rsid w:val="00DA5543"/>
    <w:rsid w:val="00DA62EE"/>
    <w:rsid w:val="00DA6339"/>
    <w:rsid w:val="00DA641C"/>
    <w:rsid w:val="00DA6A96"/>
    <w:rsid w:val="00DA7265"/>
    <w:rsid w:val="00DA73B9"/>
    <w:rsid w:val="00DA7D8D"/>
    <w:rsid w:val="00DB01E3"/>
    <w:rsid w:val="00DB0715"/>
    <w:rsid w:val="00DB0E8E"/>
    <w:rsid w:val="00DB1DE7"/>
    <w:rsid w:val="00DB3714"/>
    <w:rsid w:val="00DB3D18"/>
    <w:rsid w:val="00DB5438"/>
    <w:rsid w:val="00DB5631"/>
    <w:rsid w:val="00DB58A1"/>
    <w:rsid w:val="00DB71CC"/>
    <w:rsid w:val="00DB7C37"/>
    <w:rsid w:val="00DB7C3D"/>
    <w:rsid w:val="00DB7FB2"/>
    <w:rsid w:val="00DC110A"/>
    <w:rsid w:val="00DC2E5D"/>
    <w:rsid w:val="00DC3007"/>
    <w:rsid w:val="00DC3837"/>
    <w:rsid w:val="00DC3E05"/>
    <w:rsid w:val="00DC50BE"/>
    <w:rsid w:val="00DC698E"/>
    <w:rsid w:val="00DC6DBD"/>
    <w:rsid w:val="00DC7582"/>
    <w:rsid w:val="00DC78A2"/>
    <w:rsid w:val="00DC7B72"/>
    <w:rsid w:val="00DD0010"/>
    <w:rsid w:val="00DD0A6E"/>
    <w:rsid w:val="00DD10C2"/>
    <w:rsid w:val="00DD202A"/>
    <w:rsid w:val="00DD397C"/>
    <w:rsid w:val="00DD3BCF"/>
    <w:rsid w:val="00DD3D78"/>
    <w:rsid w:val="00DD54C1"/>
    <w:rsid w:val="00DD645A"/>
    <w:rsid w:val="00DD6511"/>
    <w:rsid w:val="00DD7BDA"/>
    <w:rsid w:val="00DE01FA"/>
    <w:rsid w:val="00DE0939"/>
    <w:rsid w:val="00DE0AA1"/>
    <w:rsid w:val="00DE1137"/>
    <w:rsid w:val="00DE1A14"/>
    <w:rsid w:val="00DE1D5D"/>
    <w:rsid w:val="00DE1E37"/>
    <w:rsid w:val="00DE25C9"/>
    <w:rsid w:val="00DE261B"/>
    <w:rsid w:val="00DE3505"/>
    <w:rsid w:val="00DE49AA"/>
    <w:rsid w:val="00DE5BCD"/>
    <w:rsid w:val="00DE5CA7"/>
    <w:rsid w:val="00DE61C2"/>
    <w:rsid w:val="00DE6440"/>
    <w:rsid w:val="00DE6BB7"/>
    <w:rsid w:val="00DE7BC0"/>
    <w:rsid w:val="00DE7C31"/>
    <w:rsid w:val="00DF1048"/>
    <w:rsid w:val="00DF1144"/>
    <w:rsid w:val="00DF23A6"/>
    <w:rsid w:val="00DF2BFB"/>
    <w:rsid w:val="00DF2C2D"/>
    <w:rsid w:val="00DF36A9"/>
    <w:rsid w:val="00DF4175"/>
    <w:rsid w:val="00DF4418"/>
    <w:rsid w:val="00DF4725"/>
    <w:rsid w:val="00DF5883"/>
    <w:rsid w:val="00DF5CEA"/>
    <w:rsid w:val="00DF5E12"/>
    <w:rsid w:val="00DF6BAA"/>
    <w:rsid w:val="00DF74AB"/>
    <w:rsid w:val="00DF7A51"/>
    <w:rsid w:val="00E001D9"/>
    <w:rsid w:val="00E00AFB"/>
    <w:rsid w:val="00E0192E"/>
    <w:rsid w:val="00E020ED"/>
    <w:rsid w:val="00E0224E"/>
    <w:rsid w:val="00E049B0"/>
    <w:rsid w:val="00E04C57"/>
    <w:rsid w:val="00E05B58"/>
    <w:rsid w:val="00E05F29"/>
    <w:rsid w:val="00E06A38"/>
    <w:rsid w:val="00E06B70"/>
    <w:rsid w:val="00E06FDC"/>
    <w:rsid w:val="00E07435"/>
    <w:rsid w:val="00E1100E"/>
    <w:rsid w:val="00E112DE"/>
    <w:rsid w:val="00E11915"/>
    <w:rsid w:val="00E124E8"/>
    <w:rsid w:val="00E141E7"/>
    <w:rsid w:val="00E1468B"/>
    <w:rsid w:val="00E14793"/>
    <w:rsid w:val="00E14DE0"/>
    <w:rsid w:val="00E154AC"/>
    <w:rsid w:val="00E15E98"/>
    <w:rsid w:val="00E15EA4"/>
    <w:rsid w:val="00E1608B"/>
    <w:rsid w:val="00E16562"/>
    <w:rsid w:val="00E16B9B"/>
    <w:rsid w:val="00E1777B"/>
    <w:rsid w:val="00E2040C"/>
    <w:rsid w:val="00E204AE"/>
    <w:rsid w:val="00E206DE"/>
    <w:rsid w:val="00E22E2C"/>
    <w:rsid w:val="00E22EB7"/>
    <w:rsid w:val="00E22F02"/>
    <w:rsid w:val="00E2325B"/>
    <w:rsid w:val="00E23636"/>
    <w:rsid w:val="00E237B3"/>
    <w:rsid w:val="00E23AF0"/>
    <w:rsid w:val="00E23BB8"/>
    <w:rsid w:val="00E25D00"/>
    <w:rsid w:val="00E25D6B"/>
    <w:rsid w:val="00E25D8D"/>
    <w:rsid w:val="00E26E4A"/>
    <w:rsid w:val="00E30A51"/>
    <w:rsid w:val="00E30BA2"/>
    <w:rsid w:val="00E30D6E"/>
    <w:rsid w:val="00E31DD8"/>
    <w:rsid w:val="00E32223"/>
    <w:rsid w:val="00E323D4"/>
    <w:rsid w:val="00E328B9"/>
    <w:rsid w:val="00E32DDC"/>
    <w:rsid w:val="00E33B00"/>
    <w:rsid w:val="00E34D51"/>
    <w:rsid w:val="00E355B1"/>
    <w:rsid w:val="00E36975"/>
    <w:rsid w:val="00E36B71"/>
    <w:rsid w:val="00E36CA4"/>
    <w:rsid w:val="00E36FF2"/>
    <w:rsid w:val="00E3707F"/>
    <w:rsid w:val="00E37202"/>
    <w:rsid w:val="00E37EF0"/>
    <w:rsid w:val="00E40969"/>
    <w:rsid w:val="00E415C0"/>
    <w:rsid w:val="00E41AD2"/>
    <w:rsid w:val="00E41AD8"/>
    <w:rsid w:val="00E41C36"/>
    <w:rsid w:val="00E41F2D"/>
    <w:rsid w:val="00E42437"/>
    <w:rsid w:val="00E43691"/>
    <w:rsid w:val="00E442EE"/>
    <w:rsid w:val="00E44A93"/>
    <w:rsid w:val="00E45FF0"/>
    <w:rsid w:val="00E46614"/>
    <w:rsid w:val="00E50741"/>
    <w:rsid w:val="00E52483"/>
    <w:rsid w:val="00E52F3D"/>
    <w:rsid w:val="00E53B01"/>
    <w:rsid w:val="00E54B4C"/>
    <w:rsid w:val="00E54E24"/>
    <w:rsid w:val="00E552A5"/>
    <w:rsid w:val="00E5539A"/>
    <w:rsid w:val="00E55C04"/>
    <w:rsid w:val="00E55E77"/>
    <w:rsid w:val="00E5626E"/>
    <w:rsid w:val="00E56411"/>
    <w:rsid w:val="00E56CCE"/>
    <w:rsid w:val="00E5728A"/>
    <w:rsid w:val="00E57ABD"/>
    <w:rsid w:val="00E60917"/>
    <w:rsid w:val="00E60CAD"/>
    <w:rsid w:val="00E63243"/>
    <w:rsid w:val="00E635FF"/>
    <w:rsid w:val="00E64EAE"/>
    <w:rsid w:val="00E65A4D"/>
    <w:rsid w:val="00E65B8C"/>
    <w:rsid w:val="00E65B9D"/>
    <w:rsid w:val="00E70762"/>
    <w:rsid w:val="00E70B3F"/>
    <w:rsid w:val="00E7184E"/>
    <w:rsid w:val="00E73EC9"/>
    <w:rsid w:val="00E74047"/>
    <w:rsid w:val="00E75B9D"/>
    <w:rsid w:val="00E767A8"/>
    <w:rsid w:val="00E76996"/>
    <w:rsid w:val="00E76FC0"/>
    <w:rsid w:val="00E775B2"/>
    <w:rsid w:val="00E80A88"/>
    <w:rsid w:val="00E81531"/>
    <w:rsid w:val="00E81EE6"/>
    <w:rsid w:val="00E81FEA"/>
    <w:rsid w:val="00E83332"/>
    <w:rsid w:val="00E83DEE"/>
    <w:rsid w:val="00E84310"/>
    <w:rsid w:val="00E867A5"/>
    <w:rsid w:val="00E86E09"/>
    <w:rsid w:val="00E87B2E"/>
    <w:rsid w:val="00E87C33"/>
    <w:rsid w:val="00E90155"/>
    <w:rsid w:val="00E906D7"/>
    <w:rsid w:val="00E90B9A"/>
    <w:rsid w:val="00E91314"/>
    <w:rsid w:val="00E923F3"/>
    <w:rsid w:val="00E933AC"/>
    <w:rsid w:val="00E93760"/>
    <w:rsid w:val="00E939CE"/>
    <w:rsid w:val="00E93C9A"/>
    <w:rsid w:val="00E93E90"/>
    <w:rsid w:val="00E93FA1"/>
    <w:rsid w:val="00E95161"/>
    <w:rsid w:val="00E960CE"/>
    <w:rsid w:val="00E963CD"/>
    <w:rsid w:val="00E96D31"/>
    <w:rsid w:val="00E9727C"/>
    <w:rsid w:val="00E97576"/>
    <w:rsid w:val="00E979CB"/>
    <w:rsid w:val="00EA0A09"/>
    <w:rsid w:val="00EA0AFF"/>
    <w:rsid w:val="00EA0D98"/>
    <w:rsid w:val="00EA279C"/>
    <w:rsid w:val="00EA32F6"/>
    <w:rsid w:val="00EA3CC0"/>
    <w:rsid w:val="00EA5DA0"/>
    <w:rsid w:val="00EA5F55"/>
    <w:rsid w:val="00EA61E4"/>
    <w:rsid w:val="00EA6C2B"/>
    <w:rsid w:val="00EA6C82"/>
    <w:rsid w:val="00EA7F84"/>
    <w:rsid w:val="00EB05D1"/>
    <w:rsid w:val="00EB108C"/>
    <w:rsid w:val="00EB16B5"/>
    <w:rsid w:val="00EB19B2"/>
    <w:rsid w:val="00EB1E4D"/>
    <w:rsid w:val="00EB2051"/>
    <w:rsid w:val="00EB2196"/>
    <w:rsid w:val="00EB2838"/>
    <w:rsid w:val="00EB2F10"/>
    <w:rsid w:val="00EB41EF"/>
    <w:rsid w:val="00EB4871"/>
    <w:rsid w:val="00EB4974"/>
    <w:rsid w:val="00EB651B"/>
    <w:rsid w:val="00EC05E3"/>
    <w:rsid w:val="00EC15F9"/>
    <w:rsid w:val="00EC16EE"/>
    <w:rsid w:val="00EC1890"/>
    <w:rsid w:val="00EC1B25"/>
    <w:rsid w:val="00EC22A3"/>
    <w:rsid w:val="00EC4A64"/>
    <w:rsid w:val="00EC62D5"/>
    <w:rsid w:val="00EC680D"/>
    <w:rsid w:val="00EC7681"/>
    <w:rsid w:val="00ED031A"/>
    <w:rsid w:val="00ED0ADC"/>
    <w:rsid w:val="00ED0D86"/>
    <w:rsid w:val="00ED23D7"/>
    <w:rsid w:val="00ED2526"/>
    <w:rsid w:val="00ED27A6"/>
    <w:rsid w:val="00ED2B05"/>
    <w:rsid w:val="00ED3141"/>
    <w:rsid w:val="00ED3B57"/>
    <w:rsid w:val="00ED3FCF"/>
    <w:rsid w:val="00ED4346"/>
    <w:rsid w:val="00ED4FFC"/>
    <w:rsid w:val="00ED571C"/>
    <w:rsid w:val="00ED5BC2"/>
    <w:rsid w:val="00ED6047"/>
    <w:rsid w:val="00ED6452"/>
    <w:rsid w:val="00ED6A34"/>
    <w:rsid w:val="00ED6E47"/>
    <w:rsid w:val="00ED7716"/>
    <w:rsid w:val="00ED78D6"/>
    <w:rsid w:val="00ED7D34"/>
    <w:rsid w:val="00ED7D4D"/>
    <w:rsid w:val="00ED7FF0"/>
    <w:rsid w:val="00EE09CE"/>
    <w:rsid w:val="00EE1EA8"/>
    <w:rsid w:val="00EE2054"/>
    <w:rsid w:val="00EE3321"/>
    <w:rsid w:val="00EE33D9"/>
    <w:rsid w:val="00EE37F8"/>
    <w:rsid w:val="00EE39E3"/>
    <w:rsid w:val="00EE415D"/>
    <w:rsid w:val="00EE55AC"/>
    <w:rsid w:val="00EE5EFB"/>
    <w:rsid w:val="00EE6153"/>
    <w:rsid w:val="00EE63AE"/>
    <w:rsid w:val="00EE6C44"/>
    <w:rsid w:val="00EE6D25"/>
    <w:rsid w:val="00EE7226"/>
    <w:rsid w:val="00EE75D7"/>
    <w:rsid w:val="00EE7BDD"/>
    <w:rsid w:val="00EE7D22"/>
    <w:rsid w:val="00EF0320"/>
    <w:rsid w:val="00EF0B86"/>
    <w:rsid w:val="00EF0F22"/>
    <w:rsid w:val="00EF1CED"/>
    <w:rsid w:val="00EF5105"/>
    <w:rsid w:val="00EF7BA6"/>
    <w:rsid w:val="00EF7E08"/>
    <w:rsid w:val="00F00B16"/>
    <w:rsid w:val="00F01B20"/>
    <w:rsid w:val="00F01C93"/>
    <w:rsid w:val="00F01EFD"/>
    <w:rsid w:val="00F023A9"/>
    <w:rsid w:val="00F0252C"/>
    <w:rsid w:val="00F0296C"/>
    <w:rsid w:val="00F034F1"/>
    <w:rsid w:val="00F04568"/>
    <w:rsid w:val="00F04F5E"/>
    <w:rsid w:val="00F05C68"/>
    <w:rsid w:val="00F06095"/>
    <w:rsid w:val="00F06C5F"/>
    <w:rsid w:val="00F073D3"/>
    <w:rsid w:val="00F079BE"/>
    <w:rsid w:val="00F07AD1"/>
    <w:rsid w:val="00F111A8"/>
    <w:rsid w:val="00F127B4"/>
    <w:rsid w:val="00F12969"/>
    <w:rsid w:val="00F12E27"/>
    <w:rsid w:val="00F136D7"/>
    <w:rsid w:val="00F13BB8"/>
    <w:rsid w:val="00F14E36"/>
    <w:rsid w:val="00F1599F"/>
    <w:rsid w:val="00F15ACD"/>
    <w:rsid w:val="00F15AFF"/>
    <w:rsid w:val="00F1653F"/>
    <w:rsid w:val="00F16A38"/>
    <w:rsid w:val="00F16DBD"/>
    <w:rsid w:val="00F17101"/>
    <w:rsid w:val="00F21910"/>
    <w:rsid w:val="00F21B6A"/>
    <w:rsid w:val="00F21D79"/>
    <w:rsid w:val="00F21E22"/>
    <w:rsid w:val="00F22474"/>
    <w:rsid w:val="00F22658"/>
    <w:rsid w:val="00F23202"/>
    <w:rsid w:val="00F239FA"/>
    <w:rsid w:val="00F23CA1"/>
    <w:rsid w:val="00F250C7"/>
    <w:rsid w:val="00F254B2"/>
    <w:rsid w:val="00F2661C"/>
    <w:rsid w:val="00F2681A"/>
    <w:rsid w:val="00F30064"/>
    <w:rsid w:val="00F310FA"/>
    <w:rsid w:val="00F31613"/>
    <w:rsid w:val="00F3198D"/>
    <w:rsid w:val="00F31BF8"/>
    <w:rsid w:val="00F31BFE"/>
    <w:rsid w:val="00F33C4C"/>
    <w:rsid w:val="00F33ED3"/>
    <w:rsid w:val="00F37432"/>
    <w:rsid w:val="00F41066"/>
    <w:rsid w:val="00F41B25"/>
    <w:rsid w:val="00F422ED"/>
    <w:rsid w:val="00F42642"/>
    <w:rsid w:val="00F4329F"/>
    <w:rsid w:val="00F437EF"/>
    <w:rsid w:val="00F43AD5"/>
    <w:rsid w:val="00F43E3D"/>
    <w:rsid w:val="00F44575"/>
    <w:rsid w:val="00F45055"/>
    <w:rsid w:val="00F451CC"/>
    <w:rsid w:val="00F453B0"/>
    <w:rsid w:val="00F4576C"/>
    <w:rsid w:val="00F4582D"/>
    <w:rsid w:val="00F458DC"/>
    <w:rsid w:val="00F45C89"/>
    <w:rsid w:val="00F45F98"/>
    <w:rsid w:val="00F463CB"/>
    <w:rsid w:val="00F4663C"/>
    <w:rsid w:val="00F471B1"/>
    <w:rsid w:val="00F47C4C"/>
    <w:rsid w:val="00F47C95"/>
    <w:rsid w:val="00F47E73"/>
    <w:rsid w:val="00F501F1"/>
    <w:rsid w:val="00F51DEB"/>
    <w:rsid w:val="00F5200A"/>
    <w:rsid w:val="00F520CE"/>
    <w:rsid w:val="00F52C5C"/>
    <w:rsid w:val="00F52D14"/>
    <w:rsid w:val="00F538F3"/>
    <w:rsid w:val="00F54DBD"/>
    <w:rsid w:val="00F551A8"/>
    <w:rsid w:val="00F56B55"/>
    <w:rsid w:val="00F578D3"/>
    <w:rsid w:val="00F60229"/>
    <w:rsid w:val="00F60236"/>
    <w:rsid w:val="00F607CE"/>
    <w:rsid w:val="00F6099D"/>
    <w:rsid w:val="00F610E9"/>
    <w:rsid w:val="00F612D5"/>
    <w:rsid w:val="00F62110"/>
    <w:rsid w:val="00F62480"/>
    <w:rsid w:val="00F63304"/>
    <w:rsid w:val="00F63B85"/>
    <w:rsid w:val="00F63C58"/>
    <w:rsid w:val="00F6497B"/>
    <w:rsid w:val="00F653BC"/>
    <w:rsid w:val="00F6658C"/>
    <w:rsid w:val="00F669E7"/>
    <w:rsid w:val="00F66DEB"/>
    <w:rsid w:val="00F673F6"/>
    <w:rsid w:val="00F70004"/>
    <w:rsid w:val="00F7010F"/>
    <w:rsid w:val="00F7060C"/>
    <w:rsid w:val="00F71E08"/>
    <w:rsid w:val="00F7246A"/>
    <w:rsid w:val="00F72581"/>
    <w:rsid w:val="00F72AA7"/>
    <w:rsid w:val="00F7379A"/>
    <w:rsid w:val="00F743CC"/>
    <w:rsid w:val="00F74876"/>
    <w:rsid w:val="00F75273"/>
    <w:rsid w:val="00F75530"/>
    <w:rsid w:val="00F75FBB"/>
    <w:rsid w:val="00F77433"/>
    <w:rsid w:val="00F77FF4"/>
    <w:rsid w:val="00F80109"/>
    <w:rsid w:val="00F80294"/>
    <w:rsid w:val="00F812FD"/>
    <w:rsid w:val="00F81A01"/>
    <w:rsid w:val="00F81B0E"/>
    <w:rsid w:val="00F82579"/>
    <w:rsid w:val="00F83A8E"/>
    <w:rsid w:val="00F84596"/>
    <w:rsid w:val="00F85873"/>
    <w:rsid w:val="00F87185"/>
    <w:rsid w:val="00F87659"/>
    <w:rsid w:val="00F87922"/>
    <w:rsid w:val="00F8798B"/>
    <w:rsid w:val="00F9111C"/>
    <w:rsid w:val="00F9117D"/>
    <w:rsid w:val="00F9120C"/>
    <w:rsid w:val="00F91EFD"/>
    <w:rsid w:val="00F92122"/>
    <w:rsid w:val="00F9294A"/>
    <w:rsid w:val="00F92F9A"/>
    <w:rsid w:val="00F938A4"/>
    <w:rsid w:val="00F93A39"/>
    <w:rsid w:val="00F94D74"/>
    <w:rsid w:val="00F95B63"/>
    <w:rsid w:val="00F96860"/>
    <w:rsid w:val="00F96AA3"/>
    <w:rsid w:val="00F972A2"/>
    <w:rsid w:val="00F973F1"/>
    <w:rsid w:val="00FA0045"/>
    <w:rsid w:val="00FA0A15"/>
    <w:rsid w:val="00FA1455"/>
    <w:rsid w:val="00FA2A4F"/>
    <w:rsid w:val="00FA343E"/>
    <w:rsid w:val="00FA3B47"/>
    <w:rsid w:val="00FA4457"/>
    <w:rsid w:val="00FA451C"/>
    <w:rsid w:val="00FA5CDC"/>
    <w:rsid w:val="00FA5E89"/>
    <w:rsid w:val="00FA6F88"/>
    <w:rsid w:val="00FA76F3"/>
    <w:rsid w:val="00FB0B18"/>
    <w:rsid w:val="00FB0C24"/>
    <w:rsid w:val="00FB0C8A"/>
    <w:rsid w:val="00FB1E24"/>
    <w:rsid w:val="00FB205D"/>
    <w:rsid w:val="00FB3203"/>
    <w:rsid w:val="00FB346E"/>
    <w:rsid w:val="00FB4B81"/>
    <w:rsid w:val="00FB6E6C"/>
    <w:rsid w:val="00FB6F46"/>
    <w:rsid w:val="00FB76A2"/>
    <w:rsid w:val="00FC03CA"/>
    <w:rsid w:val="00FC0A32"/>
    <w:rsid w:val="00FC1095"/>
    <w:rsid w:val="00FC11BC"/>
    <w:rsid w:val="00FC1512"/>
    <w:rsid w:val="00FC217B"/>
    <w:rsid w:val="00FC29BB"/>
    <w:rsid w:val="00FC2AA9"/>
    <w:rsid w:val="00FC3B64"/>
    <w:rsid w:val="00FC4174"/>
    <w:rsid w:val="00FC44D9"/>
    <w:rsid w:val="00FC482F"/>
    <w:rsid w:val="00FC4F84"/>
    <w:rsid w:val="00FC500B"/>
    <w:rsid w:val="00FC529F"/>
    <w:rsid w:val="00FC5E81"/>
    <w:rsid w:val="00FC6B43"/>
    <w:rsid w:val="00FC6ED4"/>
    <w:rsid w:val="00FC7659"/>
    <w:rsid w:val="00FD029E"/>
    <w:rsid w:val="00FD0737"/>
    <w:rsid w:val="00FD0CAB"/>
    <w:rsid w:val="00FD14F6"/>
    <w:rsid w:val="00FD26A3"/>
    <w:rsid w:val="00FD2AD5"/>
    <w:rsid w:val="00FD3309"/>
    <w:rsid w:val="00FD3D5E"/>
    <w:rsid w:val="00FD3E45"/>
    <w:rsid w:val="00FD5659"/>
    <w:rsid w:val="00FD6BA9"/>
    <w:rsid w:val="00FD6C40"/>
    <w:rsid w:val="00FD6ED2"/>
    <w:rsid w:val="00FD6F50"/>
    <w:rsid w:val="00FE019D"/>
    <w:rsid w:val="00FE0E01"/>
    <w:rsid w:val="00FE1489"/>
    <w:rsid w:val="00FE1EAB"/>
    <w:rsid w:val="00FE4681"/>
    <w:rsid w:val="00FE484D"/>
    <w:rsid w:val="00FE5B44"/>
    <w:rsid w:val="00FE5E96"/>
    <w:rsid w:val="00FE6B99"/>
    <w:rsid w:val="00FE76E2"/>
    <w:rsid w:val="00FE771A"/>
    <w:rsid w:val="00FF034F"/>
    <w:rsid w:val="00FF12DB"/>
    <w:rsid w:val="00FF18D7"/>
    <w:rsid w:val="00FF1A7A"/>
    <w:rsid w:val="00FF2490"/>
    <w:rsid w:val="00FF27C5"/>
    <w:rsid w:val="00FF3893"/>
    <w:rsid w:val="00FF50AC"/>
    <w:rsid w:val="00FF653B"/>
    <w:rsid w:val="00FF6F96"/>
    <w:rsid w:val="00FF7032"/>
    <w:rsid w:val="00FF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8AD5CC13-4E0D-4187-9300-E1D0B1FC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CR" w:eastAsia="es-CR"/>
    </w:rPr>
  </w:style>
  <w:style w:type="paragraph" w:styleId="Ttulo1">
    <w:name w:val="heading 1"/>
    <w:basedOn w:val="Prrafodelista"/>
    <w:next w:val="Normal"/>
    <w:link w:val="Ttulo1Car"/>
    <w:uiPriority w:val="9"/>
    <w:qFormat/>
    <w:rsid w:val="0062279D"/>
    <w:pPr>
      <w:numPr>
        <w:numId w:val="3"/>
      </w:numPr>
      <w:spacing w:after="0" w:line="240" w:lineRule="auto"/>
      <w:ind w:right="1444"/>
      <w:jc w:val="both"/>
      <w:outlineLvl w:val="0"/>
    </w:pPr>
    <w:rPr>
      <w:rFonts w:ascii="Verdana" w:hAnsi="Verdana" w:cs="Verdana"/>
      <w:b/>
      <w:sz w:val="20"/>
      <w:szCs w:val="20"/>
      <w:lang w:val="es-ES"/>
    </w:rPr>
  </w:style>
  <w:style w:type="paragraph" w:styleId="Ttulo2">
    <w:name w:val="heading 2"/>
    <w:basedOn w:val="Normal"/>
    <w:next w:val="Normal"/>
    <w:link w:val="Ttulo2Car"/>
    <w:uiPriority w:val="9"/>
    <w:unhideWhenUsed/>
    <w:qFormat/>
    <w:rsid w:val="001A713E"/>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52428B"/>
    <w:rPr>
      <w:vertAlign w:val="superscript"/>
    </w:rPr>
  </w:style>
  <w:style w:type="paragraph" w:styleId="Sinespaciado">
    <w:name w:val="No Spacing"/>
    <w:uiPriority w:val="1"/>
    <w:qFormat/>
    <w:rsid w:val="0052428B"/>
    <w:rPr>
      <w:sz w:val="22"/>
      <w:szCs w:val="22"/>
      <w:lang w:val="es-CR" w:eastAsia="es-CR"/>
    </w:rPr>
  </w:style>
  <w:style w:type="paragraph" w:styleId="Prrafodelista">
    <w:name w:val="List Paragraph"/>
    <w:aliases w:val="Footnote,Párrafo de lista1"/>
    <w:basedOn w:val="Normal"/>
    <w:link w:val="PrrafodelistaCar"/>
    <w:uiPriority w:val="34"/>
    <w:qFormat/>
    <w:rsid w:val="0052428B"/>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52428B"/>
    <w:pPr>
      <w:spacing w:after="0" w:line="240" w:lineRule="auto"/>
    </w:pPr>
    <w:rPr>
      <w:rFonts w:ascii="Times" w:eastAsia="Times" w:hAnsi="Times"/>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2428B"/>
    <w:rPr>
      <w:rFonts w:ascii="Times" w:eastAsia="Times" w:hAnsi="Times" w:cs="Times New Roman"/>
      <w:sz w:val="24"/>
      <w:szCs w:val="20"/>
      <w:lang w:val="es-ES_tradnl"/>
    </w:rPr>
  </w:style>
  <w:style w:type="character" w:customStyle="1" w:styleId="PrrafodelistaCar">
    <w:name w:val="Párrafo de lista Car"/>
    <w:aliases w:val="Footnote Car,Párrafo de lista1 Car"/>
    <w:link w:val="Prrafodelista"/>
    <w:uiPriority w:val="34"/>
    <w:rsid w:val="0052428B"/>
  </w:style>
  <w:style w:type="paragraph" w:styleId="Textodeglobo">
    <w:name w:val="Balloon Text"/>
    <w:basedOn w:val="Normal"/>
    <w:link w:val="TextodegloboCar"/>
    <w:uiPriority w:val="99"/>
    <w:semiHidden/>
    <w:unhideWhenUsed/>
    <w:rsid w:val="00D4483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4483B"/>
    <w:rPr>
      <w:rFonts w:ascii="Tahoma" w:hAnsi="Tahoma" w:cs="Tahoma"/>
      <w:sz w:val="16"/>
      <w:szCs w:val="16"/>
    </w:rPr>
  </w:style>
  <w:style w:type="paragraph" w:styleId="Mapadeldocumento">
    <w:name w:val="Document Map"/>
    <w:basedOn w:val="Normal"/>
    <w:link w:val="MapadeldocumentoCar"/>
    <w:uiPriority w:val="99"/>
    <w:semiHidden/>
    <w:unhideWhenUsed/>
    <w:rsid w:val="00625989"/>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rsid w:val="00625989"/>
    <w:rPr>
      <w:rFonts w:ascii="Tahoma" w:hAnsi="Tahoma" w:cs="Tahoma"/>
      <w:sz w:val="16"/>
      <w:szCs w:val="16"/>
    </w:rPr>
  </w:style>
  <w:style w:type="character" w:styleId="Refdecomentario">
    <w:name w:val="annotation reference"/>
    <w:uiPriority w:val="99"/>
    <w:semiHidden/>
    <w:unhideWhenUsed/>
    <w:rsid w:val="009D5904"/>
    <w:rPr>
      <w:sz w:val="16"/>
      <w:szCs w:val="16"/>
    </w:rPr>
  </w:style>
  <w:style w:type="paragraph" w:styleId="Textocomentario">
    <w:name w:val="annotation text"/>
    <w:basedOn w:val="Normal"/>
    <w:link w:val="TextocomentarioCar"/>
    <w:uiPriority w:val="99"/>
    <w:semiHidden/>
    <w:unhideWhenUsed/>
    <w:rsid w:val="009D5904"/>
    <w:pPr>
      <w:spacing w:line="240" w:lineRule="auto"/>
    </w:pPr>
    <w:rPr>
      <w:sz w:val="20"/>
      <w:szCs w:val="20"/>
    </w:rPr>
  </w:style>
  <w:style w:type="character" w:customStyle="1" w:styleId="TextocomentarioCar">
    <w:name w:val="Texto comentario Car"/>
    <w:link w:val="Textocomentario"/>
    <w:uiPriority w:val="99"/>
    <w:semiHidden/>
    <w:rsid w:val="009D5904"/>
    <w:rPr>
      <w:sz w:val="20"/>
      <w:szCs w:val="20"/>
    </w:rPr>
  </w:style>
  <w:style w:type="paragraph" w:styleId="Asuntodelcomentario">
    <w:name w:val="annotation subject"/>
    <w:basedOn w:val="Textocomentario"/>
    <w:next w:val="Textocomentario"/>
    <w:link w:val="AsuntodelcomentarioCar"/>
    <w:uiPriority w:val="99"/>
    <w:semiHidden/>
    <w:unhideWhenUsed/>
    <w:rsid w:val="009D5904"/>
    <w:rPr>
      <w:b/>
      <w:bCs/>
    </w:rPr>
  </w:style>
  <w:style w:type="character" w:customStyle="1" w:styleId="AsuntodelcomentarioCar">
    <w:name w:val="Asunto del comentario Car"/>
    <w:link w:val="Asuntodelcomentario"/>
    <w:uiPriority w:val="99"/>
    <w:semiHidden/>
    <w:rsid w:val="009D5904"/>
    <w:rPr>
      <w:b/>
      <w:bCs/>
      <w:sz w:val="20"/>
      <w:szCs w:val="20"/>
    </w:rPr>
  </w:style>
  <w:style w:type="paragraph" w:styleId="Revisin">
    <w:name w:val="Revision"/>
    <w:hidden/>
    <w:uiPriority w:val="99"/>
    <w:semiHidden/>
    <w:rsid w:val="009D5904"/>
    <w:rPr>
      <w:sz w:val="22"/>
      <w:szCs w:val="22"/>
      <w:lang w:val="es-CR" w:eastAsia="es-CR"/>
    </w:rPr>
  </w:style>
  <w:style w:type="paragraph" w:styleId="Encabezado">
    <w:name w:val="header"/>
    <w:basedOn w:val="Normal"/>
    <w:link w:val="EncabezadoCar"/>
    <w:uiPriority w:val="99"/>
    <w:unhideWhenUsed/>
    <w:rsid w:val="00E112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12DE"/>
  </w:style>
  <w:style w:type="paragraph" w:styleId="Piedepgina">
    <w:name w:val="footer"/>
    <w:basedOn w:val="Normal"/>
    <w:link w:val="PiedepginaCar"/>
    <w:uiPriority w:val="99"/>
    <w:unhideWhenUsed/>
    <w:rsid w:val="00E112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12DE"/>
  </w:style>
  <w:style w:type="character" w:styleId="Hipervnculo">
    <w:name w:val="Hyperlink"/>
    <w:uiPriority w:val="99"/>
    <w:unhideWhenUsed/>
    <w:rsid w:val="00E25D8D"/>
    <w:rPr>
      <w:color w:val="0000FF"/>
      <w:u w:val="single"/>
    </w:rPr>
  </w:style>
  <w:style w:type="paragraph" w:styleId="Textoindependiente2">
    <w:name w:val="Body Text 2"/>
    <w:basedOn w:val="Normal"/>
    <w:link w:val="Textoindependiente2Car"/>
    <w:rsid w:val="00653CF4"/>
    <w:pPr>
      <w:spacing w:after="0" w:line="240" w:lineRule="auto"/>
      <w:jc w:val="both"/>
    </w:pPr>
    <w:rPr>
      <w:rFonts w:ascii="Verdana" w:eastAsia="Times" w:hAnsi="Verdana"/>
      <w:sz w:val="20"/>
      <w:szCs w:val="20"/>
      <w:lang w:val="es-ES_tradnl"/>
    </w:rPr>
  </w:style>
  <w:style w:type="character" w:customStyle="1" w:styleId="Textoindependiente2Car">
    <w:name w:val="Texto independiente 2 Car"/>
    <w:link w:val="Textoindependiente2"/>
    <w:rsid w:val="00653CF4"/>
    <w:rPr>
      <w:rFonts w:ascii="Verdana" w:eastAsia="Times" w:hAnsi="Verdana" w:cs="Times New Roman"/>
      <w:sz w:val="20"/>
      <w:szCs w:val="20"/>
      <w:lang w:val="es-ES_tradnl"/>
    </w:rPr>
  </w:style>
  <w:style w:type="character" w:customStyle="1" w:styleId="Ttulo1Car">
    <w:name w:val="Título 1 Car"/>
    <w:link w:val="Ttulo1"/>
    <w:uiPriority w:val="9"/>
    <w:rsid w:val="0062279D"/>
    <w:rPr>
      <w:rFonts w:ascii="Verdana" w:hAnsi="Verdana" w:cs="Verdana"/>
      <w:b/>
      <w:sz w:val="20"/>
      <w:szCs w:val="20"/>
      <w:lang w:val="es-ES"/>
    </w:rPr>
  </w:style>
  <w:style w:type="paragraph" w:styleId="TtulodeTDC">
    <w:name w:val="Título de TDC"/>
    <w:basedOn w:val="Ttulo1"/>
    <w:next w:val="Normal"/>
    <w:uiPriority w:val="39"/>
    <w:unhideWhenUsed/>
    <w:qFormat/>
    <w:rsid w:val="005D325A"/>
    <w:pPr>
      <w:outlineLvl w:val="9"/>
    </w:pPr>
  </w:style>
  <w:style w:type="paragraph" w:styleId="TDC1">
    <w:name w:val="toc 1"/>
    <w:basedOn w:val="Normal"/>
    <w:next w:val="Normal"/>
    <w:autoRedefine/>
    <w:uiPriority w:val="39"/>
    <w:unhideWhenUsed/>
    <w:rsid w:val="00507889"/>
    <w:pPr>
      <w:tabs>
        <w:tab w:val="left" w:pos="660"/>
        <w:tab w:val="right" w:leader="dot" w:pos="9350"/>
      </w:tabs>
      <w:spacing w:after="100"/>
      <w:ind w:right="1444"/>
      <w:jc w:val="both"/>
    </w:pPr>
    <w:rPr>
      <w:rFonts w:ascii="Verdana" w:hAnsi="Verdana"/>
      <w:b/>
      <w:noProof/>
      <w:sz w:val="20"/>
      <w:szCs w:val="20"/>
    </w:rPr>
  </w:style>
  <w:style w:type="character" w:styleId="Nmerodelnea">
    <w:name w:val="line number"/>
    <w:basedOn w:val="Fuentedeprrafopredeter"/>
    <w:uiPriority w:val="99"/>
    <w:semiHidden/>
    <w:unhideWhenUsed/>
    <w:rsid w:val="00D362B9"/>
  </w:style>
  <w:style w:type="character" w:styleId="Textoennegrita">
    <w:name w:val="Strong"/>
    <w:uiPriority w:val="22"/>
    <w:qFormat/>
    <w:rsid w:val="00C14CAA"/>
    <w:rPr>
      <w:b/>
      <w:bCs/>
    </w:rPr>
  </w:style>
  <w:style w:type="paragraph" w:styleId="Textoindependiente">
    <w:name w:val="Body Text"/>
    <w:basedOn w:val="Normal"/>
    <w:link w:val="TextoindependienteCar"/>
    <w:uiPriority w:val="99"/>
    <w:semiHidden/>
    <w:unhideWhenUsed/>
    <w:rsid w:val="0015290F"/>
    <w:pPr>
      <w:spacing w:after="120"/>
    </w:pPr>
  </w:style>
  <w:style w:type="character" w:customStyle="1" w:styleId="TextoindependienteCar">
    <w:name w:val="Texto independiente Car"/>
    <w:basedOn w:val="Fuentedeprrafopredeter"/>
    <w:link w:val="Textoindependiente"/>
    <w:uiPriority w:val="99"/>
    <w:semiHidden/>
    <w:rsid w:val="0015290F"/>
  </w:style>
  <w:style w:type="paragraph" w:styleId="NormalWeb">
    <w:name w:val="Normal (Web)"/>
    <w:basedOn w:val="Normal"/>
    <w:uiPriority w:val="99"/>
    <w:unhideWhenUsed/>
    <w:rsid w:val="00B56D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Fuentedeprrafopredeter"/>
    <w:rsid w:val="00C14630"/>
  </w:style>
  <w:style w:type="character" w:customStyle="1" w:styleId="PrrafodelistaCar1">
    <w:name w:val="Párrafo de lista Car1"/>
    <w:aliases w:val="Footnote Car1,Párrafo de lista1 Car1"/>
    <w:uiPriority w:val="34"/>
    <w:rsid w:val="00C17D34"/>
    <w:rPr>
      <w:lang w:val="es-CR"/>
    </w:rPr>
  </w:style>
  <w:style w:type="paragraph" w:customStyle="1" w:styleId="Sangradetindependiente">
    <w:name w:val="SangrÌa de t. independiente"/>
    <w:basedOn w:val="Normal"/>
    <w:rsid w:val="008549B8"/>
    <w:pPr>
      <w:spacing w:after="0" w:line="240" w:lineRule="auto"/>
      <w:ind w:right="12"/>
      <w:jc w:val="both"/>
    </w:pPr>
    <w:rPr>
      <w:rFonts w:ascii="Garamond" w:eastAsia="Times New Roman" w:hAnsi="Garamond"/>
      <w:sz w:val="20"/>
      <w:szCs w:val="20"/>
      <w:lang w:val="es-ES_tradnl" w:eastAsia="es-ES"/>
    </w:rPr>
  </w:style>
  <w:style w:type="character" w:customStyle="1" w:styleId="Cuadrculamedia1-nfasis2Car">
    <w:name w:val="Cuadrícula media 1 - Énfasis 2 Car"/>
    <w:link w:val="Cuadrculamedia1-nfasis2"/>
    <w:uiPriority w:val="34"/>
    <w:rsid w:val="008549B8"/>
    <w:rPr>
      <w:rFonts w:ascii="Garamond" w:eastAsia="Times" w:hAnsi="Garamond"/>
      <w:sz w:val="24"/>
      <w:lang w:val="es-ES_tradnl" w:eastAsia="en-US"/>
    </w:rPr>
  </w:style>
  <w:style w:type="table" w:styleId="Cuadrculamedia1-nfasis2">
    <w:name w:val="Medium Grid 1 Accent 2"/>
    <w:basedOn w:val="Tablanormal"/>
    <w:link w:val="Cuadrculamedia1-nfasis2Car"/>
    <w:uiPriority w:val="34"/>
    <w:rsid w:val="008549B8"/>
    <w:rPr>
      <w:rFonts w:ascii="Garamond" w:eastAsia="Times" w:hAnsi="Garamond"/>
      <w:sz w:val="24"/>
      <w:lang w:val="es-ES_tradn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6b621b36">
    <w:name w:val="s6b621b36"/>
    <w:basedOn w:val="Fuentedeprrafopredeter"/>
    <w:rsid w:val="0074545E"/>
  </w:style>
  <w:style w:type="table" w:styleId="Tablaconcuadrcula">
    <w:name w:val="Table Grid"/>
    <w:basedOn w:val="Tablanormal"/>
    <w:uiPriority w:val="59"/>
    <w:rsid w:val="00AE2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FB6E6C"/>
    <w:rPr>
      <w:color w:val="800080"/>
      <w:u w:val="single"/>
    </w:rPr>
  </w:style>
  <w:style w:type="character" w:customStyle="1" w:styleId="Ttulo2Car">
    <w:name w:val="Título 2 Car"/>
    <w:link w:val="Ttulo2"/>
    <w:uiPriority w:val="9"/>
    <w:rsid w:val="001A713E"/>
    <w:rPr>
      <w:rFonts w:ascii="Cambria" w:eastAsia="Times New Roman" w:hAnsi="Cambria" w:cs="Times New Roman"/>
      <w:b/>
      <w:bCs/>
      <w:i/>
      <w:iCs/>
      <w:sz w:val="28"/>
      <w:szCs w:val="28"/>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F451CC"/>
    <w:pPr>
      <w:spacing w:after="0" w:line="240" w:lineRule="auto"/>
      <w:jc w:val="both"/>
    </w:pPr>
    <w:rPr>
      <w:sz w:val="20"/>
      <w:szCs w:val="20"/>
      <w:vertAlign w:val="superscript"/>
    </w:rPr>
  </w:style>
  <w:style w:type="character" w:customStyle="1" w:styleId="apple-style-span">
    <w:name w:val="apple-style-span"/>
    <w:qFormat/>
    <w:rsid w:val="00F0252C"/>
    <w:rPr>
      <w:rFonts w:cs="Times New Roman"/>
    </w:rPr>
  </w:style>
  <w:style w:type="paragraph" w:customStyle="1" w:styleId="Default">
    <w:name w:val="Default"/>
    <w:rsid w:val="00D66B91"/>
    <w:pPr>
      <w:autoSpaceDE w:val="0"/>
      <w:autoSpaceDN w:val="0"/>
      <w:adjustRightInd w:val="0"/>
    </w:pPr>
    <w:rPr>
      <w:rFonts w:ascii="Verdana" w:hAnsi="Verdana" w:cs="Verdana"/>
      <w:color w:val="000000"/>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0720">
      <w:bodyDiv w:val="1"/>
      <w:marLeft w:val="0"/>
      <w:marRight w:val="0"/>
      <w:marTop w:val="0"/>
      <w:marBottom w:val="0"/>
      <w:divBdr>
        <w:top w:val="none" w:sz="0" w:space="0" w:color="auto"/>
        <w:left w:val="none" w:sz="0" w:space="0" w:color="auto"/>
        <w:bottom w:val="none" w:sz="0" w:space="0" w:color="auto"/>
        <w:right w:val="none" w:sz="0" w:space="0" w:color="auto"/>
      </w:divBdr>
    </w:div>
    <w:div w:id="176358561">
      <w:bodyDiv w:val="1"/>
      <w:marLeft w:val="0"/>
      <w:marRight w:val="0"/>
      <w:marTop w:val="0"/>
      <w:marBottom w:val="0"/>
      <w:divBdr>
        <w:top w:val="none" w:sz="0" w:space="0" w:color="auto"/>
        <w:left w:val="none" w:sz="0" w:space="0" w:color="auto"/>
        <w:bottom w:val="none" w:sz="0" w:space="0" w:color="auto"/>
        <w:right w:val="none" w:sz="0" w:space="0" w:color="auto"/>
      </w:divBdr>
    </w:div>
    <w:div w:id="334772806">
      <w:bodyDiv w:val="1"/>
      <w:marLeft w:val="0"/>
      <w:marRight w:val="0"/>
      <w:marTop w:val="0"/>
      <w:marBottom w:val="0"/>
      <w:divBdr>
        <w:top w:val="none" w:sz="0" w:space="0" w:color="auto"/>
        <w:left w:val="none" w:sz="0" w:space="0" w:color="auto"/>
        <w:bottom w:val="none" w:sz="0" w:space="0" w:color="auto"/>
        <w:right w:val="none" w:sz="0" w:space="0" w:color="auto"/>
      </w:divBdr>
    </w:div>
    <w:div w:id="401102982">
      <w:bodyDiv w:val="1"/>
      <w:marLeft w:val="0"/>
      <w:marRight w:val="0"/>
      <w:marTop w:val="0"/>
      <w:marBottom w:val="0"/>
      <w:divBdr>
        <w:top w:val="none" w:sz="0" w:space="0" w:color="auto"/>
        <w:left w:val="none" w:sz="0" w:space="0" w:color="auto"/>
        <w:bottom w:val="none" w:sz="0" w:space="0" w:color="auto"/>
        <w:right w:val="none" w:sz="0" w:space="0" w:color="auto"/>
      </w:divBdr>
    </w:div>
    <w:div w:id="509098772">
      <w:bodyDiv w:val="1"/>
      <w:marLeft w:val="0"/>
      <w:marRight w:val="0"/>
      <w:marTop w:val="0"/>
      <w:marBottom w:val="0"/>
      <w:divBdr>
        <w:top w:val="none" w:sz="0" w:space="0" w:color="auto"/>
        <w:left w:val="none" w:sz="0" w:space="0" w:color="auto"/>
        <w:bottom w:val="none" w:sz="0" w:space="0" w:color="auto"/>
        <w:right w:val="none" w:sz="0" w:space="0" w:color="auto"/>
      </w:divBdr>
    </w:div>
    <w:div w:id="621303439">
      <w:bodyDiv w:val="1"/>
      <w:marLeft w:val="0"/>
      <w:marRight w:val="0"/>
      <w:marTop w:val="0"/>
      <w:marBottom w:val="0"/>
      <w:divBdr>
        <w:top w:val="none" w:sz="0" w:space="0" w:color="auto"/>
        <w:left w:val="none" w:sz="0" w:space="0" w:color="auto"/>
        <w:bottom w:val="none" w:sz="0" w:space="0" w:color="auto"/>
        <w:right w:val="none" w:sz="0" w:space="0" w:color="auto"/>
      </w:divBdr>
    </w:div>
    <w:div w:id="623855440">
      <w:bodyDiv w:val="1"/>
      <w:marLeft w:val="0"/>
      <w:marRight w:val="0"/>
      <w:marTop w:val="0"/>
      <w:marBottom w:val="0"/>
      <w:divBdr>
        <w:top w:val="none" w:sz="0" w:space="0" w:color="auto"/>
        <w:left w:val="none" w:sz="0" w:space="0" w:color="auto"/>
        <w:bottom w:val="none" w:sz="0" w:space="0" w:color="auto"/>
        <w:right w:val="none" w:sz="0" w:space="0" w:color="auto"/>
      </w:divBdr>
    </w:div>
    <w:div w:id="806170170">
      <w:bodyDiv w:val="1"/>
      <w:marLeft w:val="0"/>
      <w:marRight w:val="0"/>
      <w:marTop w:val="0"/>
      <w:marBottom w:val="0"/>
      <w:divBdr>
        <w:top w:val="none" w:sz="0" w:space="0" w:color="auto"/>
        <w:left w:val="none" w:sz="0" w:space="0" w:color="auto"/>
        <w:bottom w:val="none" w:sz="0" w:space="0" w:color="auto"/>
        <w:right w:val="none" w:sz="0" w:space="0" w:color="auto"/>
      </w:divBdr>
    </w:div>
    <w:div w:id="901329178">
      <w:bodyDiv w:val="1"/>
      <w:marLeft w:val="0"/>
      <w:marRight w:val="0"/>
      <w:marTop w:val="0"/>
      <w:marBottom w:val="0"/>
      <w:divBdr>
        <w:top w:val="none" w:sz="0" w:space="0" w:color="auto"/>
        <w:left w:val="none" w:sz="0" w:space="0" w:color="auto"/>
        <w:bottom w:val="none" w:sz="0" w:space="0" w:color="auto"/>
        <w:right w:val="none" w:sz="0" w:space="0" w:color="auto"/>
      </w:divBdr>
    </w:div>
    <w:div w:id="1143502332">
      <w:bodyDiv w:val="1"/>
      <w:marLeft w:val="0"/>
      <w:marRight w:val="0"/>
      <w:marTop w:val="0"/>
      <w:marBottom w:val="0"/>
      <w:divBdr>
        <w:top w:val="none" w:sz="0" w:space="0" w:color="auto"/>
        <w:left w:val="none" w:sz="0" w:space="0" w:color="auto"/>
        <w:bottom w:val="none" w:sz="0" w:space="0" w:color="auto"/>
        <w:right w:val="none" w:sz="0" w:space="0" w:color="auto"/>
      </w:divBdr>
    </w:div>
    <w:div w:id="1255020569">
      <w:bodyDiv w:val="1"/>
      <w:marLeft w:val="0"/>
      <w:marRight w:val="0"/>
      <w:marTop w:val="0"/>
      <w:marBottom w:val="0"/>
      <w:divBdr>
        <w:top w:val="none" w:sz="0" w:space="0" w:color="auto"/>
        <w:left w:val="none" w:sz="0" w:space="0" w:color="auto"/>
        <w:bottom w:val="none" w:sz="0" w:space="0" w:color="auto"/>
        <w:right w:val="none" w:sz="0" w:space="0" w:color="auto"/>
      </w:divBdr>
    </w:div>
    <w:div w:id="1276719917">
      <w:bodyDiv w:val="1"/>
      <w:marLeft w:val="0"/>
      <w:marRight w:val="0"/>
      <w:marTop w:val="0"/>
      <w:marBottom w:val="0"/>
      <w:divBdr>
        <w:top w:val="none" w:sz="0" w:space="0" w:color="auto"/>
        <w:left w:val="none" w:sz="0" w:space="0" w:color="auto"/>
        <w:bottom w:val="none" w:sz="0" w:space="0" w:color="auto"/>
        <w:right w:val="none" w:sz="0" w:space="0" w:color="auto"/>
      </w:divBdr>
    </w:div>
    <w:div w:id="1309550747">
      <w:bodyDiv w:val="1"/>
      <w:marLeft w:val="0"/>
      <w:marRight w:val="0"/>
      <w:marTop w:val="0"/>
      <w:marBottom w:val="0"/>
      <w:divBdr>
        <w:top w:val="none" w:sz="0" w:space="0" w:color="auto"/>
        <w:left w:val="none" w:sz="0" w:space="0" w:color="auto"/>
        <w:bottom w:val="none" w:sz="0" w:space="0" w:color="auto"/>
        <w:right w:val="none" w:sz="0" w:space="0" w:color="auto"/>
      </w:divBdr>
    </w:div>
    <w:div w:id="1428499957">
      <w:bodyDiv w:val="1"/>
      <w:marLeft w:val="0"/>
      <w:marRight w:val="0"/>
      <w:marTop w:val="0"/>
      <w:marBottom w:val="0"/>
      <w:divBdr>
        <w:top w:val="none" w:sz="0" w:space="0" w:color="auto"/>
        <w:left w:val="none" w:sz="0" w:space="0" w:color="auto"/>
        <w:bottom w:val="none" w:sz="0" w:space="0" w:color="auto"/>
        <w:right w:val="none" w:sz="0" w:space="0" w:color="auto"/>
      </w:divBdr>
    </w:div>
    <w:div w:id="1474055447">
      <w:bodyDiv w:val="1"/>
      <w:marLeft w:val="0"/>
      <w:marRight w:val="0"/>
      <w:marTop w:val="0"/>
      <w:marBottom w:val="0"/>
      <w:divBdr>
        <w:top w:val="none" w:sz="0" w:space="0" w:color="auto"/>
        <w:left w:val="none" w:sz="0" w:space="0" w:color="auto"/>
        <w:bottom w:val="none" w:sz="0" w:space="0" w:color="auto"/>
        <w:right w:val="none" w:sz="0" w:space="0" w:color="auto"/>
      </w:divBdr>
    </w:div>
    <w:div w:id="1531188702">
      <w:bodyDiv w:val="1"/>
      <w:marLeft w:val="0"/>
      <w:marRight w:val="0"/>
      <w:marTop w:val="0"/>
      <w:marBottom w:val="0"/>
      <w:divBdr>
        <w:top w:val="none" w:sz="0" w:space="0" w:color="auto"/>
        <w:left w:val="none" w:sz="0" w:space="0" w:color="auto"/>
        <w:bottom w:val="none" w:sz="0" w:space="0" w:color="auto"/>
        <w:right w:val="none" w:sz="0" w:space="0" w:color="auto"/>
      </w:divBdr>
    </w:div>
    <w:div w:id="1581787283">
      <w:bodyDiv w:val="1"/>
      <w:marLeft w:val="0"/>
      <w:marRight w:val="0"/>
      <w:marTop w:val="0"/>
      <w:marBottom w:val="0"/>
      <w:divBdr>
        <w:top w:val="none" w:sz="0" w:space="0" w:color="auto"/>
        <w:left w:val="none" w:sz="0" w:space="0" w:color="auto"/>
        <w:bottom w:val="none" w:sz="0" w:space="0" w:color="auto"/>
        <w:right w:val="none" w:sz="0" w:space="0" w:color="auto"/>
      </w:divBdr>
    </w:div>
    <w:div w:id="1716395321">
      <w:bodyDiv w:val="1"/>
      <w:marLeft w:val="0"/>
      <w:marRight w:val="0"/>
      <w:marTop w:val="0"/>
      <w:marBottom w:val="0"/>
      <w:divBdr>
        <w:top w:val="none" w:sz="0" w:space="0" w:color="auto"/>
        <w:left w:val="none" w:sz="0" w:space="0" w:color="auto"/>
        <w:bottom w:val="none" w:sz="0" w:space="0" w:color="auto"/>
        <w:right w:val="none" w:sz="0" w:space="0" w:color="auto"/>
      </w:divBdr>
    </w:div>
    <w:div w:id="2110536927">
      <w:bodyDiv w:val="1"/>
      <w:marLeft w:val="0"/>
      <w:marRight w:val="0"/>
      <w:marTop w:val="0"/>
      <w:marBottom w:val="0"/>
      <w:divBdr>
        <w:top w:val="none" w:sz="0" w:space="0" w:color="auto"/>
        <w:left w:val="none" w:sz="0" w:space="0" w:color="auto"/>
        <w:bottom w:val="none" w:sz="0" w:space="0" w:color="auto"/>
        <w:right w:val="none" w:sz="0" w:space="0" w:color="auto"/>
      </w:divBdr>
    </w:div>
    <w:div w:id="21117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asuntos/chinchilla_fv_18.pdf" TargetMode="External"/><Relationship Id="rId1" Type="http://schemas.openxmlformats.org/officeDocument/2006/relationships/hyperlink" Target="http://www.corteidh.or.cr/docs/casos/articulos/seriec_31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4E3D9-0A9B-4F22-88A4-1E9345B6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1827</Words>
  <Characters>10414</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12217</CharactersWithSpaces>
  <SharedDoc>false</SharedDoc>
  <HLinks>
    <vt:vector size="12" baseType="variant">
      <vt:variant>
        <vt:i4>1703966</vt:i4>
      </vt:variant>
      <vt:variant>
        <vt:i4>3</vt:i4>
      </vt:variant>
      <vt:variant>
        <vt:i4>0</vt:i4>
      </vt:variant>
      <vt:variant>
        <vt:i4>5</vt:i4>
      </vt:variant>
      <vt:variant>
        <vt:lpwstr>http://www.corteidh.or.cr/docs/asuntos/chinchilla_fv_18.pdf</vt:lpwstr>
      </vt:variant>
      <vt:variant>
        <vt:lpwstr/>
      </vt:variant>
      <vt:variant>
        <vt:i4>5308501</vt:i4>
      </vt:variant>
      <vt:variant>
        <vt:i4>0</vt:i4>
      </vt:variant>
      <vt:variant>
        <vt:i4>0</vt:i4>
      </vt:variant>
      <vt:variant>
        <vt:i4>5</vt:i4>
      </vt:variant>
      <vt:variant>
        <vt:lpwstr>http://www.corteidh.or.cr/docs/casos/articulos/seriec_312_esp.pdf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2019-12-12T12:41:00Z</cp:lastPrinted>
  <dcterms:created xsi:type="dcterms:W3CDTF">2020-01-08T17:42:00Z</dcterms:created>
  <dcterms:modified xsi:type="dcterms:W3CDTF">2020-01-08T17:42:00Z</dcterms:modified>
</cp:coreProperties>
</file>