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0021C" w14:textId="77777777" w:rsidR="001C05D8" w:rsidRPr="000B33B9" w:rsidRDefault="001C05D8" w:rsidP="002B25FD">
      <w:pPr>
        <w:pStyle w:val="2Footnotes"/>
        <w:spacing w:before="0" w:after="0"/>
        <w:rPr>
          <w:sz w:val="20"/>
          <w:szCs w:val="20"/>
        </w:rPr>
      </w:pPr>
      <w:bookmarkStart w:id="0" w:name="_GoBack"/>
      <w:bookmarkEnd w:id="0"/>
    </w:p>
    <w:p w14:paraId="399CC41C" w14:textId="77777777" w:rsidR="00F36E51" w:rsidRPr="000B33B9" w:rsidRDefault="00F36E51" w:rsidP="002B25FD">
      <w:pPr>
        <w:pStyle w:val="2Footnotes"/>
        <w:spacing w:before="0" w:after="0"/>
        <w:rPr>
          <w:sz w:val="20"/>
          <w:szCs w:val="20"/>
        </w:rPr>
      </w:pPr>
    </w:p>
    <w:p w14:paraId="1AADE422" w14:textId="77777777" w:rsidR="001C05D8" w:rsidRPr="000B33B9" w:rsidRDefault="001C05D8" w:rsidP="002B25FD">
      <w:pPr>
        <w:widowControl w:val="0"/>
        <w:adjustRightInd w:val="0"/>
        <w:spacing w:after="0" w:line="240" w:lineRule="auto"/>
        <w:jc w:val="center"/>
        <w:textAlignment w:val="baseline"/>
        <w:rPr>
          <w:rFonts w:ascii="Verdana" w:eastAsia="Calibri" w:hAnsi="Verdana" w:cs="Calibri"/>
          <w:b/>
          <w:sz w:val="20"/>
          <w:szCs w:val="20"/>
          <w:lang w:val="es-CR" w:eastAsia="es-CR"/>
        </w:rPr>
      </w:pPr>
    </w:p>
    <w:p w14:paraId="1C15BEC6" w14:textId="77777777" w:rsidR="001C05D8" w:rsidRPr="000B33B9" w:rsidRDefault="001C05D8" w:rsidP="002B25FD">
      <w:pPr>
        <w:widowControl w:val="0"/>
        <w:adjustRightInd w:val="0"/>
        <w:spacing w:after="0" w:line="240" w:lineRule="auto"/>
        <w:jc w:val="center"/>
        <w:textAlignment w:val="baseline"/>
        <w:rPr>
          <w:rFonts w:ascii="Verdana" w:eastAsia="Calibri" w:hAnsi="Verdana" w:cs="Calibri"/>
          <w:b/>
          <w:sz w:val="20"/>
          <w:szCs w:val="20"/>
          <w:lang w:val="es-ES" w:eastAsia="es-CR"/>
        </w:rPr>
      </w:pPr>
      <w:r w:rsidRPr="000B33B9">
        <w:rPr>
          <w:rFonts w:ascii="Verdana" w:eastAsia="Calibri" w:hAnsi="Verdana" w:cs="Calibri"/>
          <w:b/>
          <w:sz w:val="20"/>
          <w:szCs w:val="20"/>
          <w:lang w:val="es-ES" w:eastAsia="es-CR"/>
        </w:rPr>
        <w:t>CORTE INTERAMERICANA DE DERECHOS HUMANOS</w:t>
      </w:r>
    </w:p>
    <w:p w14:paraId="09448448" w14:textId="77777777" w:rsidR="001C05D8" w:rsidRPr="000B33B9" w:rsidRDefault="001C05D8" w:rsidP="002B25FD">
      <w:pPr>
        <w:widowControl w:val="0"/>
        <w:tabs>
          <w:tab w:val="left" w:pos="720"/>
        </w:tabs>
        <w:adjustRightInd w:val="0"/>
        <w:spacing w:after="0" w:line="240" w:lineRule="auto"/>
        <w:jc w:val="center"/>
        <w:textAlignment w:val="baseline"/>
        <w:rPr>
          <w:rFonts w:ascii="Verdana" w:eastAsia="Calibri" w:hAnsi="Verdana" w:cs="Verdana"/>
          <w:bCs/>
          <w:caps/>
          <w:snapToGrid w:val="0"/>
          <w:sz w:val="20"/>
          <w:szCs w:val="20"/>
          <w:lang w:val="es-ES" w:eastAsia="es-ES"/>
        </w:rPr>
      </w:pPr>
    </w:p>
    <w:p w14:paraId="0EC0B8A2" w14:textId="77777777" w:rsidR="002B25FD" w:rsidRPr="000B33B9" w:rsidRDefault="002B25FD" w:rsidP="002B25FD">
      <w:pPr>
        <w:widowControl w:val="0"/>
        <w:tabs>
          <w:tab w:val="left" w:pos="720"/>
        </w:tabs>
        <w:adjustRightInd w:val="0"/>
        <w:spacing w:after="0" w:line="240" w:lineRule="auto"/>
        <w:jc w:val="center"/>
        <w:textAlignment w:val="baseline"/>
        <w:rPr>
          <w:rFonts w:ascii="Verdana" w:eastAsia="Calibri" w:hAnsi="Verdana" w:cs="Verdana"/>
          <w:bCs/>
          <w:caps/>
          <w:snapToGrid w:val="0"/>
          <w:sz w:val="20"/>
          <w:szCs w:val="20"/>
          <w:lang w:val="es-ES" w:eastAsia="es-ES"/>
        </w:rPr>
      </w:pPr>
    </w:p>
    <w:p w14:paraId="2493632C" w14:textId="56D5495D" w:rsidR="001C05D8" w:rsidRPr="000B33B9" w:rsidRDefault="001C05D8" w:rsidP="002B25FD">
      <w:pPr>
        <w:spacing w:after="0" w:line="240" w:lineRule="auto"/>
        <w:jc w:val="center"/>
        <w:rPr>
          <w:rFonts w:ascii="Verdana" w:eastAsia="Calibri" w:hAnsi="Verdana" w:cs="Calibri"/>
          <w:b/>
          <w:sz w:val="20"/>
          <w:szCs w:val="20"/>
          <w:lang w:val="es-CR" w:eastAsia="es-CR"/>
        </w:rPr>
      </w:pPr>
      <w:r w:rsidRPr="000B33B9">
        <w:rPr>
          <w:rFonts w:ascii="Verdana" w:eastAsia="Calibri" w:hAnsi="Verdana" w:cs="Calibri"/>
          <w:b/>
          <w:sz w:val="20"/>
          <w:szCs w:val="20"/>
          <w:lang w:val="es-CR" w:eastAsia="es-CR"/>
        </w:rPr>
        <w:t xml:space="preserve">CASO </w:t>
      </w:r>
      <w:r w:rsidR="00C87792" w:rsidRPr="000B33B9">
        <w:rPr>
          <w:rFonts w:ascii="Verdana" w:hAnsi="Verdana" w:cs="Arial"/>
          <w:b/>
          <w:color w:val="1A1A1A"/>
          <w:sz w:val="20"/>
          <w:szCs w:val="20"/>
          <w:lang w:val="es-CR" w:eastAsia="es-CR"/>
        </w:rPr>
        <w:t>ASOCIACIÓN NACIONAL DE CESANTES Y JUBILADOS DE LA SUPERINTENDENCIA NACIONAL DE ADMINISTRACIÓN TRIBUTARIA (ANCEJUB-SUNAT</w:t>
      </w:r>
      <w:r w:rsidR="00C87792" w:rsidRPr="000B33B9">
        <w:rPr>
          <w:rFonts w:ascii="Verdana" w:eastAsia="Calibri" w:hAnsi="Verdana" w:cs="Calibri"/>
          <w:b/>
          <w:sz w:val="20"/>
          <w:szCs w:val="20"/>
          <w:lang w:val="es-CR" w:eastAsia="es-CR"/>
        </w:rPr>
        <w:t xml:space="preserve">) </w:t>
      </w:r>
      <w:r w:rsidRPr="000B33B9">
        <w:rPr>
          <w:rFonts w:ascii="Verdana" w:eastAsia="Calibri" w:hAnsi="Verdana" w:cs="Calibri"/>
          <w:b/>
          <w:i/>
          <w:sz w:val="20"/>
          <w:szCs w:val="20"/>
          <w:lang w:val="es-CR" w:eastAsia="es-CR"/>
        </w:rPr>
        <w:t>VS.</w:t>
      </w:r>
      <w:r w:rsidRPr="000B33B9">
        <w:rPr>
          <w:rFonts w:ascii="Verdana" w:eastAsia="Calibri" w:hAnsi="Verdana" w:cs="Calibri"/>
          <w:b/>
          <w:sz w:val="20"/>
          <w:szCs w:val="20"/>
          <w:lang w:val="es-CR" w:eastAsia="es-CR"/>
        </w:rPr>
        <w:t xml:space="preserve"> </w:t>
      </w:r>
      <w:r w:rsidR="00E201D1" w:rsidRPr="000B33B9">
        <w:rPr>
          <w:rFonts w:ascii="Verdana" w:eastAsia="Calibri" w:hAnsi="Verdana" w:cs="Calibri"/>
          <w:b/>
          <w:sz w:val="20"/>
          <w:szCs w:val="20"/>
          <w:lang w:val="es-CR" w:eastAsia="es-CR"/>
        </w:rPr>
        <w:t>PERÚ</w:t>
      </w:r>
    </w:p>
    <w:p w14:paraId="45505E7C" w14:textId="77777777" w:rsidR="001C05D8" w:rsidRPr="000B33B9" w:rsidRDefault="001C05D8" w:rsidP="002B25FD">
      <w:pPr>
        <w:widowControl w:val="0"/>
        <w:tabs>
          <w:tab w:val="left" w:pos="720"/>
        </w:tabs>
        <w:adjustRightInd w:val="0"/>
        <w:spacing w:after="0" w:line="240" w:lineRule="auto"/>
        <w:jc w:val="center"/>
        <w:textAlignment w:val="baseline"/>
        <w:rPr>
          <w:rFonts w:ascii="Verdana" w:eastAsia="Calibri" w:hAnsi="Verdana" w:cs="Verdana"/>
          <w:bCs/>
          <w:caps/>
          <w:snapToGrid w:val="0"/>
          <w:sz w:val="20"/>
          <w:szCs w:val="20"/>
          <w:lang w:val="es-ES" w:eastAsia="es-ES"/>
        </w:rPr>
      </w:pPr>
    </w:p>
    <w:p w14:paraId="17AB1FAB" w14:textId="77777777" w:rsidR="002B25FD" w:rsidRPr="000B33B9" w:rsidRDefault="002B25FD" w:rsidP="002B25FD">
      <w:pPr>
        <w:widowControl w:val="0"/>
        <w:tabs>
          <w:tab w:val="left" w:pos="720"/>
        </w:tabs>
        <w:adjustRightInd w:val="0"/>
        <w:spacing w:after="0" w:line="240" w:lineRule="auto"/>
        <w:jc w:val="center"/>
        <w:textAlignment w:val="baseline"/>
        <w:rPr>
          <w:rFonts w:ascii="Verdana" w:eastAsia="Calibri" w:hAnsi="Verdana" w:cs="Verdana"/>
          <w:bCs/>
          <w:caps/>
          <w:snapToGrid w:val="0"/>
          <w:sz w:val="20"/>
          <w:szCs w:val="20"/>
          <w:lang w:val="es-ES" w:eastAsia="es-ES"/>
        </w:rPr>
      </w:pPr>
    </w:p>
    <w:p w14:paraId="37458A2C" w14:textId="2F450B64" w:rsidR="001C05D8" w:rsidRPr="000B33B9" w:rsidRDefault="001C05D8" w:rsidP="002B25FD">
      <w:pPr>
        <w:widowControl w:val="0"/>
        <w:tabs>
          <w:tab w:val="left" w:pos="720"/>
        </w:tabs>
        <w:adjustRightInd w:val="0"/>
        <w:spacing w:after="0" w:line="240" w:lineRule="auto"/>
        <w:jc w:val="center"/>
        <w:textAlignment w:val="baseline"/>
        <w:rPr>
          <w:rFonts w:ascii="Verdana" w:eastAsia="Calibri" w:hAnsi="Verdana" w:cs="Verdana"/>
          <w:b/>
          <w:bCs/>
          <w:snapToGrid w:val="0"/>
          <w:sz w:val="20"/>
          <w:szCs w:val="20"/>
          <w:lang w:val="es-ES" w:eastAsia="es-ES"/>
        </w:rPr>
      </w:pPr>
      <w:r w:rsidRPr="000B33B9">
        <w:rPr>
          <w:rFonts w:ascii="Verdana" w:eastAsia="Calibri" w:hAnsi="Verdana" w:cs="Verdana"/>
          <w:b/>
          <w:bCs/>
          <w:snapToGrid w:val="0"/>
          <w:sz w:val="20"/>
          <w:szCs w:val="20"/>
          <w:lang w:val="es-ES" w:eastAsia="es-ES"/>
        </w:rPr>
        <w:t xml:space="preserve">SENTENCIA DE </w:t>
      </w:r>
      <w:r w:rsidR="00863BC5" w:rsidRPr="000B33B9">
        <w:rPr>
          <w:rFonts w:ascii="Verdana" w:eastAsia="Calibri" w:hAnsi="Verdana" w:cs="Verdana"/>
          <w:b/>
          <w:bCs/>
          <w:snapToGrid w:val="0"/>
          <w:sz w:val="20"/>
          <w:szCs w:val="20"/>
          <w:lang w:val="es-ES" w:eastAsia="es-ES"/>
        </w:rPr>
        <w:t xml:space="preserve">21 </w:t>
      </w:r>
      <w:r w:rsidRPr="000B33B9">
        <w:rPr>
          <w:rFonts w:ascii="Verdana" w:eastAsia="Calibri" w:hAnsi="Verdana" w:cs="Verdana"/>
          <w:b/>
          <w:bCs/>
          <w:snapToGrid w:val="0"/>
          <w:sz w:val="20"/>
          <w:szCs w:val="20"/>
          <w:lang w:val="es-ES" w:eastAsia="es-ES"/>
        </w:rPr>
        <w:t xml:space="preserve">DE </w:t>
      </w:r>
      <w:r w:rsidR="00AA541A" w:rsidRPr="000B33B9">
        <w:rPr>
          <w:rFonts w:ascii="Verdana" w:eastAsia="Calibri" w:hAnsi="Verdana" w:cs="Verdana"/>
          <w:b/>
          <w:bCs/>
          <w:snapToGrid w:val="0"/>
          <w:sz w:val="20"/>
          <w:szCs w:val="20"/>
          <w:lang w:val="es-ES" w:eastAsia="es-ES"/>
        </w:rPr>
        <w:t>NOVIEMBRE</w:t>
      </w:r>
      <w:r w:rsidRPr="000B33B9">
        <w:rPr>
          <w:rFonts w:ascii="Verdana" w:eastAsia="Calibri" w:hAnsi="Verdana" w:cs="Verdana"/>
          <w:b/>
          <w:bCs/>
          <w:snapToGrid w:val="0"/>
          <w:sz w:val="20"/>
          <w:szCs w:val="20"/>
          <w:lang w:val="es-ES" w:eastAsia="es-ES"/>
        </w:rPr>
        <w:t xml:space="preserve"> DE 2019</w:t>
      </w:r>
    </w:p>
    <w:p w14:paraId="01D28CA2" w14:textId="77777777" w:rsidR="001C05D8" w:rsidRPr="000B33B9" w:rsidRDefault="001C05D8" w:rsidP="002B25FD">
      <w:pPr>
        <w:widowControl w:val="0"/>
        <w:tabs>
          <w:tab w:val="left" w:pos="720"/>
        </w:tabs>
        <w:adjustRightInd w:val="0"/>
        <w:spacing w:after="0" w:line="240" w:lineRule="auto"/>
        <w:jc w:val="center"/>
        <w:textAlignment w:val="baseline"/>
        <w:rPr>
          <w:rFonts w:ascii="Verdana" w:eastAsia="Calibri" w:hAnsi="Verdana" w:cs="Verdana"/>
          <w:bCs/>
          <w:caps/>
          <w:snapToGrid w:val="0"/>
          <w:sz w:val="20"/>
          <w:szCs w:val="20"/>
          <w:lang w:val="es-ES" w:eastAsia="es-ES"/>
        </w:rPr>
      </w:pPr>
    </w:p>
    <w:p w14:paraId="572A4FDD" w14:textId="77777777" w:rsidR="006C2CBA" w:rsidRPr="000B33B9" w:rsidRDefault="006C2CBA" w:rsidP="002B25FD">
      <w:pPr>
        <w:widowControl w:val="0"/>
        <w:tabs>
          <w:tab w:val="left" w:pos="720"/>
        </w:tabs>
        <w:adjustRightInd w:val="0"/>
        <w:spacing w:after="0" w:line="240" w:lineRule="auto"/>
        <w:jc w:val="center"/>
        <w:textAlignment w:val="baseline"/>
        <w:rPr>
          <w:rFonts w:ascii="Verdana" w:eastAsia="Calibri" w:hAnsi="Verdana" w:cs="Verdana"/>
          <w:bCs/>
          <w:caps/>
          <w:snapToGrid w:val="0"/>
          <w:sz w:val="20"/>
          <w:szCs w:val="20"/>
          <w:lang w:val="es-ES" w:eastAsia="es-ES"/>
        </w:rPr>
      </w:pPr>
    </w:p>
    <w:p w14:paraId="0569E3BE" w14:textId="4DD0B79F" w:rsidR="001C05D8" w:rsidRPr="000B33B9" w:rsidRDefault="001C05D8" w:rsidP="002B25FD">
      <w:pPr>
        <w:widowControl w:val="0"/>
        <w:tabs>
          <w:tab w:val="left" w:pos="720"/>
        </w:tabs>
        <w:adjustRightInd w:val="0"/>
        <w:spacing w:after="0" w:line="240" w:lineRule="auto"/>
        <w:jc w:val="center"/>
        <w:textAlignment w:val="baseline"/>
        <w:rPr>
          <w:rFonts w:ascii="Verdana" w:eastAsia="Calibri" w:hAnsi="Verdana" w:cs="Verdana"/>
          <w:b/>
          <w:bCs/>
          <w:i/>
          <w:iCs/>
          <w:snapToGrid w:val="0"/>
          <w:sz w:val="20"/>
          <w:szCs w:val="20"/>
          <w:lang w:val="es-ES" w:eastAsia="es-ES"/>
        </w:rPr>
      </w:pPr>
      <w:r w:rsidRPr="000B33B9">
        <w:rPr>
          <w:rFonts w:ascii="Verdana" w:eastAsia="Calibri" w:hAnsi="Verdana" w:cs="Verdana"/>
          <w:b/>
          <w:bCs/>
          <w:i/>
          <w:iCs/>
          <w:snapToGrid w:val="0"/>
          <w:sz w:val="20"/>
          <w:szCs w:val="20"/>
          <w:lang w:val="es-ES" w:eastAsia="es-ES"/>
        </w:rPr>
        <w:t>(</w:t>
      </w:r>
      <w:r w:rsidR="00706CF1" w:rsidRPr="000B33B9">
        <w:rPr>
          <w:rFonts w:ascii="Verdana" w:eastAsia="Calibri" w:hAnsi="Verdana" w:cs="Verdana"/>
          <w:b/>
          <w:bCs/>
          <w:i/>
          <w:iCs/>
          <w:snapToGrid w:val="0"/>
          <w:sz w:val="20"/>
          <w:szCs w:val="20"/>
          <w:lang w:val="es-ES" w:eastAsia="es-ES"/>
        </w:rPr>
        <w:t>Excepciones</w:t>
      </w:r>
      <w:r w:rsidR="00977ACB" w:rsidRPr="000B33B9">
        <w:rPr>
          <w:rFonts w:ascii="Verdana" w:eastAsia="Calibri" w:hAnsi="Verdana" w:cs="Verdana"/>
          <w:b/>
          <w:bCs/>
          <w:i/>
          <w:iCs/>
          <w:snapToGrid w:val="0"/>
          <w:sz w:val="20"/>
          <w:szCs w:val="20"/>
          <w:lang w:val="es-ES" w:eastAsia="es-ES"/>
        </w:rPr>
        <w:t xml:space="preserve"> Preliminar</w:t>
      </w:r>
      <w:r w:rsidR="00706CF1" w:rsidRPr="000B33B9">
        <w:rPr>
          <w:rFonts w:ascii="Verdana" w:eastAsia="Calibri" w:hAnsi="Verdana" w:cs="Verdana"/>
          <w:b/>
          <w:bCs/>
          <w:i/>
          <w:iCs/>
          <w:snapToGrid w:val="0"/>
          <w:sz w:val="20"/>
          <w:szCs w:val="20"/>
          <w:lang w:val="es-ES" w:eastAsia="es-ES"/>
        </w:rPr>
        <w:t>es</w:t>
      </w:r>
      <w:r w:rsidR="00977ACB" w:rsidRPr="000B33B9">
        <w:rPr>
          <w:rFonts w:ascii="Verdana" w:eastAsia="Calibri" w:hAnsi="Verdana" w:cs="Verdana"/>
          <w:b/>
          <w:bCs/>
          <w:i/>
          <w:iCs/>
          <w:snapToGrid w:val="0"/>
          <w:sz w:val="20"/>
          <w:szCs w:val="20"/>
          <w:lang w:val="es-ES" w:eastAsia="es-ES"/>
        </w:rPr>
        <w:t>, Fondo, Reparaciones y Costas</w:t>
      </w:r>
      <w:r w:rsidRPr="000B33B9">
        <w:rPr>
          <w:rFonts w:ascii="Verdana" w:eastAsia="Calibri" w:hAnsi="Verdana" w:cs="Verdana"/>
          <w:b/>
          <w:bCs/>
          <w:i/>
          <w:iCs/>
          <w:snapToGrid w:val="0"/>
          <w:sz w:val="20"/>
          <w:szCs w:val="20"/>
          <w:lang w:val="es-ES" w:eastAsia="es-ES"/>
        </w:rPr>
        <w:t>)</w:t>
      </w:r>
    </w:p>
    <w:p w14:paraId="4A52AF0A" w14:textId="77777777" w:rsidR="001C05D8" w:rsidRPr="000B33B9" w:rsidRDefault="001C05D8" w:rsidP="002B25FD">
      <w:pPr>
        <w:widowControl w:val="0"/>
        <w:tabs>
          <w:tab w:val="left" w:pos="720"/>
        </w:tabs>
        <w:adjustRightInd w:val="0"/>
        <w:spacing w:after="0" w:line="240" w:lineRule="auto"/>
        <w:jc w:val="both"/>
        <w:textAlignment w:val="baseline"/>
        <w:rPr>
          <w:rFonts w:ascii="Verdana" w:eastAsia="Calibri" w:hAnsi="Verdana" w:cs="Verdana"/>
          <w:bCs/>
          <w:caps/>
          <w:snapToGrid w:val="0"/>
          <w:sz w:val="20"/>
          <w:szCs w:val="20"/>
          <w:lang w:val="es-ES" w:eastAsia="es-ES"/>
        </w:rPr>
      </w:pPr>
    </w:p>
    <w:p w14:paraId="126A2237" w14:textId="77777777" w:rsidR="002B25FD" w:rsidRPr="000B33B9" w:rsidRDefault="002B25FD" w:rsidP="002B25FD">
      <w:pPr>
        <w:widowControl w:val="0"/>
        <w:tabs>
          <w:tab w:val="left" w:pos="720"/>
        </w:tabs>
        <w:adjustRightInd w:val="0"/>
        <w:spacing w:after="0" w:line="240" w:lineRule="auto"/>
        <w:jc w:val="both"/>
        <w:textAlignment w:val="baseline"/>
        <w:rPr>
          <w:rFonts w:ascii="Verdana" w:eastAsia="Calibri" w:hAnsi="Verdana" w:cs="Verdana"/>
          <w:bCs/>
          <w:caps/>
          <w:snapToGrid w:val="0"/>
          <w:sz w:val="20"/>
          <w:szCs w:val="20"/>
          <w:lang w:val="es-ES" w:eastAsia="es-ES"/>
        </w:rPr>
      </w:pPr>
    </w:p>
    <w:p w14:paraId="6111FA3F" w14:textId="77777777" w:rsidR="001C05D8" w:rsidRPr="000B33B9" w:rsidRDefault="001C05D8" w:rsidP="002B25FD">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7B1E2A36" w14:textId="77777777" w:rsidR="002B25FD" w:rsidRPr="000B33B9" w:rsidRDefault="002B25FD" w:rsidP="002B25FD">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09BA3BD3" w14:textId="52620B86" w:rsidR="001C05D8" w:rsidRPr="000B33B9" w:rsidRDefault="001C05D8" w:rsidP="002B25FD">
      <w:pPr>
        <w:widowControl w:val="0"/>
        <w:tabs>
          <w:tab w:val="left" w:pos="720"/>
        </w:tabs>
        <w:adjustRightInd w:val="0"/>
        <w:spacing w:after="0" w:line="240" w:lineRule="auto"/>
        <w:jc w:val="both"/>
        <w:textAlignment w:val="baseline"/>
        <w:rPr>
          <w:rFonts w:ascii="Verdana" w:eastAsia="Verdana" w:hAnsi="Verdana" w:cs="Verdana"/>
          <w:sz w:val="20"/>
          <w:szCs w:val="20"/>
          <w:lang w:val="es-ES" w:eastAsia="es-CR"/>
        </w:rPr>
      </w:pPr>
      <w:r w:rsidRPr="000B33B9">
        <w:rPr>
          <w:rFonts w:ascii="Verdana" w:eastAsia="Verdana" w:hAnsi="Verdana" w:cs="Verdana"/>
          <w:sz w:val="20"/>
          <w:szCs w:val="20"/>
          <w:lang w:val="es-ES" w:eastAsia="es-CR"/>
        </w:rPr>
        <w:t xml:space="preserve">En el caso </w:t>
      </w:r>
      <w:r w:rsidR="00AA541A" w:rsidRPr="000B33B9">
        <w:rPr>
          <w:rFonts w:ascii="Verdana" w:eastAsia="Verdana" w:hAnsi="Verdana" w:cs="Verdana"/>
          <w:i/>
          <w:sz w:val="20"/>
          <w:szCs w:val="20"/>
          <w:lang w:val="es-ES" w:eastAsia="es-CR"/>
        </w:rPr>
        <w:t>ANCEJUB-SUNAT</w:t>
      </w:r>
      <w:r w:rsidR="000965F4" w:rsidRPr="000B33B9">
        <w:rPr>
          <w:rFonts w:ascii="Verdana" w:eastAsia="Verdana" w:hAnsi="Verdana" w:cs="Verdana"/>
          <w:i/>
          <w:sz w:val="20"/>
          <w:szCs w:val="20"/>
          <w:lang w:val="es-ES" w:eastAsia="es-CR"/>
        </w:rPr>
        <w:t xml:space="preserve"> Vs. </w:t>
      </w:r>
      <w:r w:rsidR="00AA541A" w:rsidRPr="000B33B9">
        <w:rPr>
          <w:rFonts w:ascii="Verdana" w:eastAsia="Verdana" w:hAnsi="Verdana" w:cs="Verdana"/>
          <w:i/>
          <w:sz w:val="20"/>
          <w:szCs w:val="20"/>
          <w:lang w:val="es-ES" w:eastAsia="es-CR"/>
        </w:rPr>
        <w:t>Perú</w:t>
      </w:r>
      <w:r w:rsidRPr="000B33B9">
        <w:rPr>
          <w:rFonts w:ascii="Verdana" w:eastAsia="Verdana" w:hAnsi="Verdana" w:cs="Verdana"/>
          <w:sz w:val="20"/>
          <w:szCs w:val="20"/>
          <w:lang w:val="es-ES" w:eastAsia="es-CR"/>
        </w:rPr>
        <w:t>,</w:t>
      </w:r>
    </w:p>
    <w:p w14:paraId="4895C792" w14:textId="77777777" w:rsidR="001C05D8" w:rsidRPr="000B33B9" w:rsidRDefault="001C05D8" w:rsidP="002B25FD">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4FA6A751" w14:textId="77777777" w:rsidR="006C2CBA" w:rsidRPr="000B33B9" w:rsidRDefault="006C2CBA" w:rsidP="002B25FD">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3516158A" w14:textId="1CDD5898" w:rsidR="001C05D8" w:rsidRPr="000B33B9" w:rsidRDefault="001C05D8" w:rsidP="002B25FD">
      <w:pPr>
        <w:widowControl w:val="0"/>
        <w:adjustRightInd w:val="0"/>
        <w:spacing w:after="0" w:line="240" w:lineRule="auto"/>
        <w:jc w:val="both"/>
        <w:textAlignment w:val="baseline"/>
        <w:rPr>
          <w:rFonts w:ascii="Verdana" w:eastAsiaTheme="minorHAnsi" w:hAnsi="Verdana" w:cs="Times New Roman"/>
          <w:sz w:val="20"/>
          <w:szCs w:val="20"/>
          <w:lang w:val="es-CR" w:eastAsia="es-CR"/>
        </w:rPr>
      </w:pPr>
      <w:r w:rsidRPr="000B33B9">
        <w:rPr>
          <w:rFonts w:ascii="Verdana" w:eastAsia="Calibri" w:hAnsi="Verdana" w:cs="Verdana"/>
          <w:sz w:val="20"/>
          <w:szCs w:val="20"/>
          <w:lang w:val="es-ES" w:eastAsia="es-CR"/>
        </w:rPr>
        <w:t>la Corte Interamericana de Derechos Humanos (en adelante “la Corte Interamericana”, “la Corte” o “este Tribunal”), integrada por los siguientes jueces:</w:t>
      </w:r>
    </w:p>
    <w:p w14:paraId="2B451F62" w14:textId="77777777" w:rsidR="001C05D8" w:rsidRPr="000B33B9" w:rsidRDefault="001C05D8" w:rsidP="002B25FD">
      <w:pPr>
        <w:widowControl w:val="0"/>
        <w:adjustRightInd w:val="0"/>
        <w:spacing w:after="0" w:line="240" w:lineRule="auto"/>
        <w:jc w:val="both"/>
        <w:textAlignment w:val="baseline"/>
        <w:rPr>
          <w:rFonts w:ascii="Verdana" w:eastAsia="Calibri" w:hAnsi="Verdana" w:cs="Verdana"/>
          <w:sz w:val="20"/>
          <w:szCs w:val="20"/>
          <w:lang w:val="es-CR" w:eastAsia="es-CR"/>
        </w:rPr>
      </w:pPr>
    </w:p>
    <w:p w14:paraId="476DB7A0" w14:textId="77777777" w:rsidR="006C2CBA" w:rsidRPr="000B33B9" w:rsidRDefault="006C2CBA" w:rsidP="002B25FD">
      <w:pPr>
        <w:widowControl w:val="0"/>
        <w:adjustRightInd w:val="0"/>
        <w:spacing w:after="0" w:line="240" w:lineRule="auto"/>
        <w:jc w:val="both"/>
        <w:textAlignment w:val="baseline"/>
        <w:rPr>
          <w:rFonts w:ascii="Verdana" w:eastAsia="Calibri" w:hAnsi="Verdana" w:cs="Verdana"/>
          <w:sz w:val="20"/>
          <w:szCs w:val="20"/>
          <w:lang w:val="es-CR" w:eastAsia="es-CR"/>
        </w:rPr>
      </w:pPr>
    </w:p>
    <w:p w14:paraId="15D1BAAF" w14:textId="77777777" w:rsidR="001C05D8" w:rsidRPr="000B33B9" w:rsidRDefault="001C05D8" w:rsidP="002B25FD">
      <w:pPr>
        <w:widowControl w:val="0"/>
        <w:tabs>
          <w:tab w:val="left" w:pos="720"/>
        </w:tabs>
        <w:adjustRightInd w:val="0"/>
        <w:spacing w:after="0" w:line="240" w:lineRule="auto"/>
        <w:ind w:left="720"/>
        <w:jc w:val="both"/>
        <w:textAlignment w:val="baseline"/>
        <w:rPr>
          <w:rFonts w:ascii="Verdana" w:eastAsia="Calibri" w:hAnsi="Verdana" w:cs="Verdana"/>
          <w:sz w:val="20"/>
          <w:szCs w:val="20"/>
          <w:lang w:val="pt-BR" w:eastAsia="es-CR"/>
        </w:rPr>
      </w:pPr>
      <w:r w:rsidRPr="000B33B9">
        <w:rPr>
          <w:rFonts w:ascii="Verdana" w:eastAsia="Calibri" w:hAnsi="Verdana" w:cs="Verdana"/>
          <w:sz w:val="20"/>
          <w:szCs w:val="20"/>
          <w:lang w:val="pt-BR" w:eastAsia="es-CR"/>
        </w:rPr>
        <w:t>Eduardo Ferrer Mac-Gregor Poisot, Presidente;</w:t>
      </w:r>
    </w:p>
    <w:p w14:paraId="29F39B60" w14:textId="7DD43E88" w:rsidR="001C05D8" w:rsidRPr="000B33B9" w:rsidRDefault="00E201D1" w:rsidP="002B25FD">
      <w:pPr>
        <w:widowControl w:val="0"/>
        <w:tabs>
          <w:tab w:val="left" w:pos="720"/>
        </w:tabs>
        <w:adjustRightInd w:val="0"/>
        <w:spacing w:after="0" w:line="240" w:lineRule="auto"/>
        <w:ind w:left="720"/>
        <w:jc w:val="both"/>
        <w:textAlignment w:val="baseline"/>
        <w:rPr>
          <w:rFonts w:ascii="Verdana" w:eastAsia="Calibri" w:hAnsi="Verdana" w:cs="Verdana"/>
          <w:sz w:val="20"/>
          <w:szCs w:val="20"/>
          <w:lang w:val="pt-BR" w:eastAsia="es-CR"/>
        </w:rPr>
      </w:pPr>
      <w:r w:rsidRPr="000B33B9">
        <w:rPr>
          <w:rFonts w:ascii="Verdana" w:eastAsia="Calibri" w:hAnsi="Verdana" w:cs="Verdana"/>
          <w:sz w:val="20"/>
          <w:szCs w:val="20"/>
          <w:lang w:val="pt-BR" w:eastAsia="es-CR"/>
        </w:rPr>
        <w:t>Eduardo Vio Grossi, Vicep</w:t>
      </w:r>
      <w:r w:rsidR="001C05D8" w:rsidRPr="000B33B9">
        <w:rPr>
          <w:rFonts w:ascii="Verdana" w:eastAsia="Calibri" w:hAnsi="Verdana" w:cs="Verdana"/>
          <w:sz w:val="20"/>
          <w:szCs w:val="20"/>
          <w:lang w:val="pt-BR" w:eastAsia="es-CR"/>
        </w:rPr>
        <w:t>residente;</w:t>
      </w:r>
    </w:p>
    <w:p w14:paraId="019C7683" w14:textId="64356F70" w:rsidR="001C05D8" w:rsidRPr="000B33B9" w:rsidRDefault="001C05D8" w:rsidP="002B25FD">
      <w:pPr>
        <w:widowControl w:val="0"/>
        <w:tabs>
          <w:tab w:val="left" w:pos="720"/>
        </w:tabs>
        <w:adjustRightInd w:val="0"/>
        <w:spacing w:after="0" w:line="240" w:lineRule="auto"/>
        <w:ind w:left="720"/>
        <w:jc w:val="both"/>
        <w:textAlignment w:val="baseline"/>
        <w:rPr>
          <w:rFonts w:ascii="Verdana" w:eastAsia="Calibri" w:hAnsi="Verdana" w:cs="Verdana"/>
          <w:sz w:val="20"/>
          <w:szCs w:val="20"/>
          <w:lang w:val="pt-BR" w:eastAsia="es-CR"/>
        </w:rPr>
      </w:pPr>
      <w:r w:rsidRPr="000B33B9">
        <w:rPr>
          <w:rFonts w:ascii="Verdana" w:eastAsia="Calibri" w:hAnsi="Verdana" w:cs="Verdana"/>
          <w:sz w:val="20"/>
          <w:szCs w:val="20"/>
          <w:lang w:val="pt-BR" w:eastAsia="es-CR"/>
        </w:rPr>
        <w:t>Humberto Antonio Sierra Porto</w:t>
      </w:r>
      <w:r w:rsidR="00067313" w:rsidRPr="000B33B9">
        <w:rPr>
          <w:rFonts w:ascii="Verdana" w:eastAsia="Calibri" w:hAnsi="Verdana" w:cs="Verdana"/>
          <w:sz w:val="20"/>
          <w:szCs w:val="20"/>
          <w:lang w:val="pt-BR" w:eastAsia="es-CR"/>
        </w:rPr>
        <w:t>, Juez</w:t>
      </w:r>
      <w:r w:rsidRPr="000B33B9">
        <w:rPr>
          <w:rFonts w:ascii="Verdana" w:eastAsia="Calibri" w:hAnsi="Verdana" w:cs="Verdana"/>
          <w:sz w:val="20"/>
          <w:szCs w:val="20"/>
          <w:lang w:val="pt-BR" w:eastAsia="es-CR"/>
        </w:rPr>
        <w:t>;</w:t>
      </w:r>
    </w:p>
    <w:p w14:paraId="6A7B41C0" w14:textId="77777777" w:rsidR="001C05D8" w:rsidRPr="000B33B9" w:rsidRDefault="001C05D8" w:rsidP="002B25FD">
      <w:pPr>
        <w:widowControl w:val="0"/>
        <w:tabs>
          <w:tab w:val="left" w:pos="720"/>
        </w:tabs>
        <w:adjustRightInd w:val="0"/>
        <w:spacing w:after="0" w:line="240" w:lineRule="auto"/>
        <w:ind w:left="720"/>
        <w:jc w:val="both"/>
        <w:textAlignment w:val="baseline"/>
        <w:rPr>
          <w:rFonts w:ascii="Verdana" w:eastAsia="Calibri" w:hAnsi="Verdana" w:cs="Verdana"/>
          <w:sz w:val="20"/>
          <w:szCs w:val="20"/>
          <w:lang w:val="pt-BR" w:eastAsia="es-CR"/>
        </w:rPr>
      </w:pPr>
      <w:r w:rsidRPr="000B33B9">
        <w:rPr>
          <w:rFonts w:ascii="Verdana" w:eastAsia="Calibri" w:hAnsi="Verdana" w:cs="Verdana"/>
          <w:sz w:val="20"/>
          <w:szCs w:val="20"/>
          <w:lang w:val="pt-BR" w:eastAsia="es-CR"/>
        </w:rPr>
        <w:t>Elizabeth Odio Benito, Jueza;</w:t>
      </w:r>
    </w:p>
    <w:p w14:paraId="09AE1491" w14:textId="1B1443BA" w:rsidR="00E201D1" w:rsidRPr="000B33B9" w:rsidRDefault="00E201D1" w:rsidP="002B25FD">
      <w:pPr>
        <w:widowControl w:val="0"/>
        <w:tabs>
          <w:tab w:val="left" w:pos="720"/>
        </w:tabs>
        <w:adjustRightInd w:val="0"/>
        <w:spacing w:after="0" w:line="240" w:lineRule="auto"/>
        <w:ind w:left="720"/>
        <w:jc w:val="both"/>
        <w:textAlignment w:val="baseline"/>
        <w:rPr>
          <w:rFonts w:ascii="Verdana" w:eastAsia="Calibri" w:hAnsi="Verdana" w:cs="Verdana"/>
          <w:sz w:val="20"/>
          <w:szCs w:val="20"/>
          <w:lang w:val="pt-BR" w:eastAsia="es-CR"/>
        </w:rPr>
      </w:pPr>
      <w:r w:rsidRPr="000B33B9">
        <w:rPr>
          <w:rFonts w:ascii="Verdana" w:eastAsia="Calibri" w:hAnsi="Verdana" w:cs="Verdana"/>
          <w:sz w:val="20"/>
          <w:szCs w:val="20"/>
          <w:lang w:val="pt-BR" w:eastAsia="es-CR"/>
        </w:rPr>
        <w:t>Eugenio Raúl Zaffaroni, Juez;</w:t>
      </w:r>
    </w:p>
    <w:p w14:paraId="15964B81" w14:textId="07B4F1D3" w:rsidR="001C05D8" w:rsidRPr="000B33B9" w:rsidRDefault="001C05D8" w:rsidP="004732FB">
      <w:pPr>
        <w:widowControl w:val="0"/>
        <w:tabs>
          <w:tab w:val="left" w:pos="720"/>
          <w:tab w:val="left" w:pos="4800"/>
        </w:tabs>
        <w:adjustRightInd w:val="0"/>
        <w:spacing w:after="0" w:line="240" w:lineRule="auto"/>
        <w:ind w:left="720"/>
        <w:jc w:val="both"/>
        <w:textAlignment w:val="baseline"/>
        <w:rPr>
          <w:rFonts w:ascii="Verdana" w:eastAsia="Calibri" w:hAnsi="Verdana" w:cs="Verdana"/>
          <w:sz w:val="20"/>
          <w:szCs w:val="20"/>
          <w:lang w:val="pt-BR" w:eastAsia="es-CR"/>
        </w:rPr>
      </w:pPr>
      <w:r w:rsidRPr="000B33B9">
        <w:rPr>
          <w:rFonts w:ascii="Verdana" w:eastAsia="Calibri" w:hAnsi="Verdana" w:cs="Verdana"/>
          <w:sz w:val="20"/>
          <w:szCs w:val="20"/>
          <w:lang w:val="pt-BR" w:eastAsia="es-CR"/>
        </w:rPr>
        <w:t>L. Patricio Pazmiño Freire, Juez, y</w:t>
      </w:r>
      <w:r w:rsidR="004732FB" w:rsidRPr="000B33B9">
        <w:rPr>
          <w:rFonts w:ascii="Verdana" w:eastAsia="Calibri" w:hAnsi="Verdana" w:cs="Verdana"/>
          <w:sz w:val="20"/>
          <w:szCs w:val="20"/>
          <w:lang w:val="pt-BR" w:eastAsia="es-CR"/>
        </w:rPr>
        <w:tab/>
      </w:r>
    </w:p>
    <w:p w14:paraId="41DB5041" w14:textId="10E8013F" w:rsidR="001C05D8" w:rsidRPr="000B33B9" w:rsidRDefault="00067313" w:rsidP="002B25FD">
      <w:pPr>
        <w:widowControl w:val="0"/>
        <w:tabs>
          <w:tab w:val="left" w:pos="720"/>
        </w:tabs>
        <w:adjustRightInd w:val="0"/>
        <w:spacing w:after="0" w:line="240" w:lineRule="auto"/>
        <w:ind w:left="720"/>
        <w:jc w:val="both"/>
        <w:textAlignment w:val="baseline"/>
        <w:rPr>
          <w:rFonts w:ascii="Verdana" w:eastAsia="Calibri" w:hAnsi="Verdana" w:cs="Verdana"/>
          <w:sz w:val="20"/>
          <w:szCs w:val="20"/>
          <w:lang w:val="es-ES" w:eastAsia="es-CR"/>
        </w:rPr>
      </w:pPr>
      <w:r w:rsidRPr="000B33B9">
        <w:rPr>
          <w:rFonts w:ascii="Verdana" w:eastAsia="Calibri" w:hAnsi="Verdana" w:cs="Verdana"/>
          <w:sz w:val="20"/>
          <w:szCs w:val="20"/>
          <w:lang w:val="es-ES" w:eastAsia="es-CR"/>
        </w:rPr>
        <w:t>Ricardo Pérez Manrique, Juez</w:t>
      </w:r>
      <w:r w:rsidR="001C05D8" w:rsidRPr="000B33B9">
        <w:rPr>
          <w:rFonts w:ascii="Verdana" w:eastAsia="Calibri" w:hAnsi="Verdana" w:cs="Verdana"/>
          <w:sz w:val="20"/>
          <w:szCs w:val="20"/>
          <w:lang w:val="es-ES" w:eastAsia="es-CR"/>
        </w:rPr>
        <w:t xml:space="preserve"> </w:t>
      </w:r>
    </w:p>
    <w:p w14:paraId="15A2B6E4" w14:textId="77777777" w:rsidR="001C05D8" w:rsidRPr="000B33B9" w:rsidRDefault="001C05D8"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3679D158" w14:textId="77777777" w:rsidR="002B25FD" w:rsidRPr="000B33B9" w:rsidRDefault="002B25FD"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1E4F042C" w14:textId="77777777" w:rsidR="001C05D8" w:rsidRPr="000B33B9" w:rsidRDefault="0006055E"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0B33B9">
        <w:rPr>
          <w:rFonts w:ascii="Verdana" w:eastAsia="Calibri" w:hAnsi="Verdana" w:cs="Verdana"/>
          <w:sz w:val="20"/>
          <w:szCs w:val="20"/>
          <w:lang w:val="es-ES" w:eastAsia="es-CR"/>
        </w:rPr>
        <w:t>presente</w:t>
      </w:r>
      <w:r w:rsidR="001C05D8" w:rsidRPr="000B33B9">
        <w:rPr>
          <w:rFonts w:ascii="Verdana" w:eastAsia="Calibri" w:hAnsi="Verdana" w:cs="Verdana"/>
          <w:sz w:val="20"/>
          <w:szCs w:val="20"/>
          <w:lang w:val="es-ES" w:eastAsia="es-CR"/>
        </w:rPr>
        <w:t xml:space="preserve"> además,</w:t>
      </w:r>
    </w:p>
    <w:p w14:paraId="585FE06D" w14:textId="77777777" w:rsidR="001C05D8" w:rsidRPr="000B33B9" w:rsidRDefault="001C05D8"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5C91AEA3" w14:textId="77777777" w:rsidR="002B25FD" w:rsidRPr="000B33B9" w:rsidRDefault="002B25FD"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7131AAA2" w14:textId="23CFE5F4" w:rsidR="001C05D8" w:rsidRPr="000B33B9" w:rsidRDefault="00851757"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0B33B9">
        <w:rPr>
          <w:rFonts w:ascii="Verdana" w:eastAsia="Calibri" w:hAnsi="Verdana" w:cs="Verdana"/>
          <w:sz w:val="20"/>
          <w:szCs w:val="20"/>
          <w:lang w:val="es-ES" w:eastAsia="es-CR"/>
        </w:rPr>
        <w:tab/>
      </w:r>
      <w:r w:rsidR="001C05D8" w:rsidRPr="000B33B9">
        <w:rPr>
          <w:rFonts w:ascii="Verdana" w:eastAsia="Calibri" w:hAnsi="Verdana" w:cs="Verdana"/>
          <w:sz w:val="20"/>
          <w:szCs w:val="20"/>
          <w:lang w:val="es-ES" w:eastAsia="es-CR"/>
        </w:rPr>
        <w:t xml:space="preserve">Pablo </w:t>
      </w:r>
      <w:r w:rsidR="0006055E" w:rsidRPr="000B33B9">
        <w:rPr>
          <w:rFonts w:ascii="Verdana" w:eastAsia="Calibri" w:hAnsi="Verdana" w:cs="Verdana"/>
          <w:sz w:val="20"/>
          <w:szCs w:val="20"/>
          <w:lang w:val="es-ES" w:eastAsia="es-CR"/>
        </w:rPr>
        <w:t>Saavedra Alessandri, Secretario,</w:t>
      </w:r>
    </w:p>
    <w:p w14:paraId="196BFE6B" w14:textId="77777777" w:rsidR="008379B6" w:rsidRPr="000B33B9" w:rsidRDefault="008379B6"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4B3D02A5" w14:textId="77777777" w:rsidR="002B25FD" w:rsidRPr="000B33B9" w:rsidRDefault="002B25FD"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5F0C0232" w14:textId="0F9E8F77" w:rsidR="001C05D8" w:rsidRPr="000B33B9" w:rsidRDefault="00851757" w:rsidP="002B25FD">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0B33B9">
        <w:rPr>
          <w:rFonts w:ascii="Verdana" w:eastAsia="Calibri" w:hAnsi="Verdana" w:cs="Verdana"/>
          <w:sz w:val="20"/>
          <w:szCs w:val="20"/>
          <w:lang w:val="es-ES" w:eastAsia="es-CR"/>
        </w:rPr>
        <w:t>d</w:t>
      </w:r>
      <w:r w:rsidR="0006055E" w:rsidRPr="000B33B9">
        <w:rPr>
          <w:rFonts w:ascii="Verdana" w:eastAsia="Calibri" w:hAnsi="Verdana" w:cs="Verdana"/>
          <w:sz w:val="20"/>
          <w:szCs w:val="20"/>
          <w:lang w:val="es-ES" w:eastAsia="es-CR"/>
        </w:rPr>
        <w:t>e</w:t>
      </w:r>
      <w:r w:rsidR="001C05D8" w:rsidRPr="000B33B9">
        <w:rPr>
          <w:rFonts w:ascii="Verdana" w:eastAsia="Calibri" w:hAnsi="Verdana" w:cs="Verdana"/>
          <w:sz w:val="20"/>
          <w:szCs w:val="20"/>
          <w:lang w:val="es-ES" w:eastAsia="es-CR"/>
        </w:rPr>
        <w:t xml:space="preserve"> conformidad con los artículos 62.3 y 63.1 de la Convención Americana sobre Derechos Humanos (en adelante “la Convención Americana” o “la Convención”) y con los artículos 31, 32,</w:t>
      </w:r>
      <w:r w:rsidR="00713E16" w:rsidRPr="000B33B9">
        <w:rPr>
          <w:rFonts w:ascii="Verdana" w:eastAsia="Calibri" w:hAnsi="Verdana" w:cs="Verdana"/>
          <w:sz w:val="20"/>
          <w:szCs w:val="20"/>
          <w:lang w:val="es-ES" w:eastAsia="es-CR"/>
        </w:rPr>
        <w:t xml:space="preserve"> 42,</w:t>
      </w:r>
      <w:r w:rsidR="001C05D8" w:rsidRPr="000B33B9">
        <w:rPr>
          <w:rFonts w:ascii="Verdana" w:eastAsia="Calibri" w:hAnsi="Verdana" w:cs="Verdana"/>
          <w:sz w:val="20"/>
          <w:szCs w:val="20"/>
          <w:lang w:val="es-ES" w:eastAsia="es-CR"/>
        </w:rPr>
        <w:t xml:space="preserve"> 65 y 67 del Reglamento de la Corte (en adelante “el Reglamento” o “Reglamento de la Corte”), dicta la presente Sentencia, que se estructura en el siguiente orden:</w:t>
      </w:r>
    </w:p>
    <w:p w14:paraId="6ABD2243" w14:textId="77777777" w:rsidR="001C05D8" w:rsidRPr="000B33B9" w:rsidRDefault="001C05D8" w:rsidP="002B25FD">
      <w:pPr>
        <w:widowControl w:val="0"/>
        <w:adjustRightInd w:val="0"/>
        <w:spacing w:after="0" w:line="240" w:lineRule="auto"/>
        <w:ind w:left="100" w:right="-1085"/>
        <w:jc w:val="both"/>
        <w:textAlignment w:val="baseline"/>
        <w:rPr>
          <w:rFonts w:ascii="Verdana" w:eastAsia="Verdana" w:hAnsi="Verdana" w:cs="Verdana"/>
          <w:position w:val="-1"/>
          <w:sz w:val="20"/>
          <w:szCs w:val="20"/>
          <w:lang w:val="es-ES" w:eastAsia="es-CR"/>
        </w:rPr>
      </w:pPr>
    </w:p>
    <w:p w14:paraId="74D845F8" w14:textId="77777777" w:rsidR="001C05D8" w:rsidRPr="000B33B9" w:rsidRDefault="001C05D8" w:rsidP="002B25FD">
      <w:pPr>
        <w:widowControl w:val="0"/>
        <w:adjustRightInd w:val="0"/>
        <w:spacing w:after="0" w:line="240" w:lineRule="auto"/>
        <w:jc w:val="both"/>
        <w:textAlignment w:val="baseline"/>
        <w:rPr>
          <w:rFonts w:ascii="Verdana" w:eastAsia="Verdana" w:hAnsi="Verdana" w:cs="Verdana"/>
          <w:position w:val="-1"/>
          <w:sz w:val="20"/>
          <w:szCs w:val="20"/>
          <w:lang w:val="es-ES" w:eastAsia="es-CR"/>
        </w:rPr>
      </w:pPr>
      <w:r w:rsidRPr="000B33B9">
        <w:rPr>
          <w:rFonts w:ascii="Verdana" w:eastAsia="Verdana" w:hAnsi="Verdana" w:cs="Verdana"/>
          <w:position w:val="-1"/>
          <w:sz w:val="20"/>
          <w:szCs w:val="20"/>
          <w:lang w:val="es-ES" w:eastAsia="es-CR"/>
        </w:rPr>
        <w:br w:type="page"/>
      </w:r>
    </w:p>
    <w:p w14:paraId="450CB61C" w14:textId="77777777" w:rsidR="00FA2965" w:rsidRPr="000B33B9" w:rsidRDefault="00FA2965" w:rsidP="002B063D">
      <w:pPr>
        <w:pStyle w:val="TDC1"/>
        <w:rPr>
          <w:rFonts w:eastAsia="Calibri"/>
        </w:rPr>
      </w:pPr>
      <w:bookmarkStart w:id="1" w:name="_Toc390328152"/>
    </w:p>
    <w:p w14:paraId="4D7C468D" w14:textId="77777777" w:rsidR="002B063D" w:rsidRPr="000B33B9" w:rsidRDefault="002F20D8" w:rsidP="002B063D">
      <w:pPr>
        <w:pStyle w:val="TDC1"/>
        <w:rPr>
          <w:rFonts w:eastAsiaTheme="minorEastAsia" w:cstheme="minorBidi"/>
          <w:b w:val="0"/>
          <w:bCs w:val="0"/>
          <w:caps w:val="0"/>
          <w:snapToGrid/>
          <w:lang w:val="es-CR" w:eastAsia="es-CR"/>
        </w:rPr>
      </w:pPr>
      <w:r w:rsidRPr="000B33B9">
        <w:rPr>
          <w:rFonts w:eastAsia="Calibri"/>
        </w:rPr>
        <w:fldChar w:fldCharType="begin"/>
      </w:r>
      <w:r w:rsidR="001C05D8" w:rsidRPr="000B33B9">
        <w:rPr>
          <w:rFonts w:eastAsia="Calibri"/>
        </w:rPr>
        <w:instrText xml:space="preserve"> TOC \o "1-5" \h \z \u </w:instrText>
      </w:r>
      <w:r w:rsidRPr="000B33B9">
        <w:rPr>
          <w:rFonts w:eastAsia="Calibri"/>
        </w:rPr>
        <w:fldChar w:fldCharType="separate"/>
      </w:r>
      <w:hyperlink w:anchor="_Toc27329737" w:history="1">
        <w:r w:rsidR="002B063D" w:rsidRPr="000B33B9">
          <w:rPr>
            <w:rStyle w:val="Hipervnculo"/>
          </w:rPr>
          <w:t>I INTRODUCCIÓN DE LA CAUSA Y OBJETO DE LA CONTROVERSIA</w:t>
        </w:r>
        <w:r w:rsidR="002B063D" w:rsidRPr="000B33B9">
          <w:rPr>
            <w:webHidden/>
          </w:rPr>
          <w:tab/>
        </w:r>
        <w:r w:rsidR="002B063D" w:rsidRPr="000B33B9">
          <w:rPr>
            <w:webHidden/>
          </w:rPr>
          <w:fldChar w:fldCharType="begin"/>
        </w:r>
        <w:r w:rsidR="002B063D" w:rsidRPr="000B33B9">
          <w:rPr>
            <w:webHidden/>
          </w:rPr>
          <w:instrText xml:space="preserve"> PAGEREF _Toc27329737 \h </w:instrText>
        </w:r>
        <w:r w:rsidR="002B063D" w:rsidRPr="000B33B9">
          <w:rPr>
            <w:webHidden/>
          </w:rPr>
        </w:r>
        <w:r w:rsidR="002B063D" w:rsidRPr="000B33B9">
          <w:rPr>
            <w:webHidden/>
          </w:rPr>
          <w:fldChar w:fldCharType="separate"/>
        </w:r>
        <w:r w:rsidR="00E5193C">
          <w:rPr>
            <w:webHidden/>
          </w:rPr>
          <w:t>4</w:t>
        </w:r>
        <w:r w:rsidR="002B063D" w:rsidRPr="000B33B9">
          <w:rPr>
            <w:webHidden/>
          </w:rPr>
          <w:fldChar w:fldCharType="end"/>
        </w:r>
      </w:hyperlink>
    </w:p>
    <w:p w14:paraId="33AB6637"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38" w:history="1">
        <w:r w:rsidR="002B063D" w:rsidRPr="000B33B9">
          <w:rPr>
            <w:rStyle w:val="Hipervnculo"/>
          </w:rPr>
          <w:t>II PROCEDIMIENTO ANTE LA CORTE</w:t>
        </w:r>
        <w:r w:rsidR="002B063D" w:rsidRPr="000B33B9">
          <w:rPr>
            <w:webHidden/>
          </w:rPr>
          <w:tab/>
        </w:r>
        <w:r w:rsidR="002B063D" w:rsidRPr="000B33B9">
          <w:rPr>
            <w:webHidden/>
          </w:rPr>
          <w:fldChar w:fldCharType="begin"/>
        </w:r>
        <w:r w:rsidR="002B063D" w:rsidRPr="000B33B9">
          <w:rPr>
            <w:webHidden/>
          </w:rPr>
          <w:instrText xml:space="preserve"> PAGEREF _Toc27329738 \h </w:instrText>
        </w:r>
        <w:r w:rsidR="002B063D" w:rsidRPr="000B33B9">
          <w:rPr>
            <w:webHidden/>
          </w:rPr>
        </w:r>
        <w:r w:rsidR="002B063D" w:rsidRPr="000B33B9">
          <w:rPr>
            <w:webHidden/>
          </w:rPr>
          <w:fldChar w:fldCharType="separate"/>
        </w:r>
        <w:r w:rsidR="00E5193C">
          <w:rPr>
            <w:webHidden/>
          </w:rPr>
          <w:t>5</w:t>
        </w:r>
        <w:r w:rsidR="002B063D" w:rsidRPr="000B33B9">
          <w:rPr>
            <w:webHidden/>
          </w:rPr>
          <w:fldChar w:fldCharType="end"/>
        </w:r>
      </w:hyperlink>
    </w:p>
    <w:p w14:paraId="517D2166"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39" w:history="1">
        <w:r w:rsidR="002B063D" w:rsidRPr="000B33B9">
          <w:rPr>
            <w:rStyle w:val="Hipervnculo"/>
          </w:rPr>
          <w:t>III COMPETENCIA</w:t>
        </w:r>
        <w:r w:rsidR="002B063D" w:rsidRPr="000B33B9">
          <w:rPr>
            <w:webHidden/>
          </w:rPr>
          <w:tab/>
        </w:r>
        <w:r w:rsidR="002B063D" w:rsidRPr="000B33B9">
          <w:rPr>
            <w:webHidden/>
          </w:rPr>
          <w:fldChar w:fldCharType="begin"/>
        </w:r>
        <w:r w:rsidR="002B063D" w:rsidRPr="000B33B9">
          <w:rPr>
            <w:webHidden/>
          </w:rPr>
          <w:instrText xml:space="preserve"> PAGEREF _Toc27329739 \h </w:instrText>
        </w:r>
        <w:r w:rsidR="002B063D" w:rsidRPr="000B33B9">
          <w:rPr>
            <w:webHidden/>
          </w:rPr>
        </w:r>
        <w:r w:rsidR="002B063D" w:rsidRPr="000B33B9">
          <w:rPr>
            <w:webHidden/>
          </w:rPr>
          <w:fldChar w:fldCharType="separate"/>
        </w:r>
        <w:r w:rsidR="00E5193C">
          <w:rPr>
            <w:webHidden/>
          </w:rPr>
          <w:t>6</w:t>
        </w:r>
        <w:r w:rsidR="002B063D" w:rsidRPr="000B33B9">
          <w:rPr>
            <w:webHidden/>
          </w:rPr>
          <w:fldChar w:fldCharType="end"/>
        </w:r>
      </w:hyperlink>
    </w:p>
    <w:p w14:paraId="48772297"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40" w:history="1">
        <w:r w:rsidR="002B063D" w:rsidRPr="000B33B9">
          <w:rPr>
            <w:rStyle w:val="Hipervnculo"/>
          </w:rPr>
          <w:t>IV EXCEPCIONES PRELIMINARES</w:t>
        </w:r>
        <w:r w:rsidR="002B063D" w:rsidRPr="000B33B9">
          <w:rPr>
            <w:webHidden/>
          </w:rPr>
          <w:tab/>
        </w:r>
        <w:r w:rsidR="002B063D" w:rsidRPr="000B33B9">
          <w:rPr>
            <w:webHidden/>
          </w:rPr>
          <w:fldChar w:fldCharType="begin"/>
        </w:r>
        <w:r w:rsidR="002B063D" w:rsidRPr="000B33B9">
          <w:rPr>
            <w:webHidden/>
          </w:rPr>
          <w:instrText xml:space="preserve"> PAGEREF _Toc27329740 \h </w:instrText>
        </w:r>
        <w:r w:rsidR="002B063D" w:rsidRPr="000B33B9">
          <w:rPr>
            <w:webHidden/>
          </w:rPr>
        </w:r>
        <w:r w:rsidR="002B063D" w:rsidRPr="000B33B9">
          <w:rPr>
            <w:webHidden/>
          </w:rPr>
          <w:fldChar w:fldCharType="separate"/>
        </w:r>
        <w:r w:rsidR="00E5193C">
          <w:rPr>
            <w:webHidden/>
          </w:rPr>
          <w:t>6</w:t>
        </w:r>
        <w:r w:rsidR="002B063D" w:rsidRPr="000B33B9">
          <w:rPr>
            <w:webHidden/>
          </w:rPr>
          <w:fldChar w:fldCharType="end"/>
        </w:r>
      </w:hyperlink>
    </w:p>
    <w:p w14:paraId="1D76E136" w14:textId="77777777" w:rsidR="002B063D" w:rsidRPr="000B33B9" w:rsidRDefault="005B1820" w:rsidP="002B063D">
      <w:pPr>
        <w:pStyle w:val="TDC2"/>
        <w:rPr>
          <w:rFonts w:eastAsiaTheme="minorEastAsia" w:cstheme="minorBidi"/>
          <w:bCs w:val="0"/>
          <w:i w:val="0"/>
          <w:smallCaps w:val="0"/>
          <w:lang w:val="es-CR"/>
        </w:rPr>
      </w:pPr>
      <w:hyperlink w:anchor="_Toc27329741" w:history="1">
        <w:r w:rsidR="002B063D" w:rsidRPr="000B33B9">
          <w:rPr>
            <w:rStyle w:val="Hipervnculo"/>
          </w:rPr>
          <w:t>A.</w:t>
        </w:r>
        <w:r w:rsidR="002B063D" w:rsidRPr="000B33B9">
          <w:rPr>
            <w:rFonts w:eastAsiaTheme="minorEastAsia" w:cstheme="minorBidi"/>
            <w:bCs w:val="0"/>
            <w:i w:val="0"/>
            <w:smallCaps w:val="0"/>
            <w:lang w:val="es-CR"/>
          </w:rPr>
          <w:tab/>
        </w:r>
        <w:r w:rsidR="002B063D" w:rsidRPr="000B33B9">
          <w:rPr>
            <w:rStyle w:val="Hipervnculo"/>
          </w:rPr>
          <w:t>Excepción por falta de agotamiento de los recursos internos</w:t>
        </w:r>
        <w:r w:rsidR="002B063D" w:rsidRPr="000B33B9">
          <w:rPr>
            <w:webHidden/>
          </w:rPr>
          <w:tab/>
        </w:r>
        <w:r w:rsidR="002B063D" w:rsidRPr="000B33B9">
          <w:rPr>
            <w:webHidden/>
          </w:rPr>
          <w:fldChar w:fldCharType="begin"/>
        </w:r>
        <w:r w:rsidR="002B063D" w:rsidRPr="000B33B9">
          <w:rPr>
            <w:webHidden/>
          </w:rPr>
          <w:instrText xml:space="preserve"> PAGEREF _Toc27329741 \h </w:instrText>
        </w:r>
        <w:r w:rsidR="002B063D" w:rsidRPr="000B33B9">
          <w:rPr>
            <w:webHidden/>
          </w:rPr>
        </w:r>
        <w:r w:rsidR="002B063D" w:rsidRPr="000B33B9">
          <w:rPr>
            <w:webHidden/>
          </w:rPr>
          <w:fldChar w:fldCharType="separate"/>
        </w:r>
        <w:r w:rsidR="00E5193C">
          <w:rPr>
            <w:webHidden/>
          </w:rPr>
          <w:t>6</w:t>
        </w:r>
        <w:r w:rsidR="002B063D" w:rsidRPr="000B33B9">
          <w:rPr>
            <w:webHidden/>
          </w:rPr>
          <w:fldChar w:fldCharType="end"/>
        </w:r>
      </w:hyperlink>
    </w:p>
    <w:p w14:paraId="74AA8CBC"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42" w:history="1">
        <w:r w:rsidR="002B063D" w:rsidRPr="000B33B9">
          <w:rPr>
            <w:rStyle w:val="Hipervnculo"/>
            <w:rFonts w:ascii="Verdana" w:hAnsi="Verdana"/>
            <w:noProof/>
            <w:sz w:val="18"/>
            <w:szCs w:val="18"/>
          </w:rPr>
          <w:t>A.1. Alegatos del Estado y observaciones de la Comisión y de los representantes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_Toc27329742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6</w:t>
        </w:r>
        <w:r w:rsidR="002B063D" w:rsidRPr="000B33B9">
          <w:rPr>
            <w:rFonts w:ascii="Verdana" w:hAnsi="Verdana"/>
            <w:noProof/>
            <w:webHidden/>
            <w:sz w:val="18"/>
            <w:szCs w:val="18"/>
          </w:rPr>
          <w:fldChar w:fldCharType="end"/>
        </w:r>
      </w:hyperlink>
    </w:p>
    <w:p w14:paraId="4DE60A5F"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43" w:history="1">
        <w:r w:rsidR="002B063D" w:rsidRPr="000B33B9">
          <w:rPr>
            <w:rStyle w:val="Hipervnculo"/>
            <w:rFonts w:ascii="Verdana" w:hAnsi="Verdana"/>
            <w:noProof/>
            <w:sz w:val="18"/>
            <w:szCs w:val="18"/>
          </w:rPr>
          <w:t>A.2. 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_Toc27329743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7</w:t>
        </w:r>
        <w:r w:rsidR="002B063D" w:rsidRPr="000B33B9">
          <w:rPr>
            <w:rFonts w:ascii="Verdana" w:hAnsi="Verdana"/>
            <w:noProof/>
            <w:webHidden/>
            <w:sz w:val="18"/>
            <w:szCs w:val="18"/>
          </w:rPr>
          <w:fldChar w:fldCharType="end"/>
        </w:r>
      </w:hyperlink>
    </w:p>
    <w:p w14:paraId="0D28C4F1" w14:textId="77777777" w:rsidR="002B063D" w:rsidRPr="000B33B9" w:rsidRDefault="005B1820" w:rsidP="002B063D">
      <w:pPr>
        <w:pStyle w:val="TDC2"/>
        <w:rPr>
          <w:rFonts w:eastAsiaTheme="minorEastAsia" w:cstheme="minorBidi"/>
          <w:bCs w:val="0"/>
          <w:i w:val="0"/>
          <w:smallCaps w:val="0"/>
          <w:lang w:val="es-CR"/>
        </w:rPr>
      </w:pPr>
      <w:hyperlink w:anchor="_Toc27329744" w:history="1">
        <w:r w:rsidR="002B063D" w:rsidRPr="000B33B9">
          <w:rPr>
            <w:rStyle w:val="Hipervnculo"/>
          </w:rPr>
          <w:t>B.</w:t>
        </w:r>
        <w:r w:rsidR="002B063D" w:rsidRPr="000B33B9">
          <w:rPr>
            <w:rFonts w:eastAsiaTheme="minorEastAsia" w:cstheme="minorBidi"/>
            <w:bCs w:val="0"/>
            <w:i w:val="0"/>
            <w:smallCaps w:val="0"/>
            <w:lang w:val="es-CR"/>
          </w:rPr>
          <w:tab/>
        </w:r>
        <w:r w:rsidR="002B063D" w:rsidRPr="000B33B9">
          <w:rPr>
            <w:rStyle w:val="Hipervnculo"/>
          </w:rPr>
          <w:t>Excepción por “cuarta instancia”</w:t>
        </w:r>
        <w:r w:rsidR="002B063D" w:rsidRPr="000B33B9">
          <w:rPr>
            <w:webHidden/>
          </w:rPr>
          <w:tab/>
        </w:r>
        <w:r w:rsidR="002B063D" w:rsidRPr="000B33B9">
          <w:rPr>
            <w:webHidden/>
          </w:rPr>
          <w:fldChar w:fldCharType="begin"/>
        </w:r>
        <w:r w:rsidR="002B063D" w:rsidRPr="000B33B9">
          <w:rPr>
            <w:webHidden/>
          </w:rPr>
          <w:instrText xml:space="preserve"> PAGEREF _Toc27329744 \h </w:instrText>
        </w:r>
        <w:r w:rsidR="002B063D" w:rsidRPr="000B33B9">
          <w:rPr>
            <w:webHidden/>
          </w:rPr>
        </w:r>
        <w:r w:rsidR="002B063D" w:rsidRPr="000B33B9">
          <w:rPr>
            <w:webHidden/>
          </w:rPr>
          <w:fldChar w:fldCharType="separate"/>
        </w:r>
        <w:r w:rsidR="00E5193C">
          <w:rPr>
            <w:webHidden/>
          </w:rPr>
          <w:t>8</w:t>
        </w:r>
        <w:r w:rsidR="002B063D" w:rsidRPr="000B33B9">
          <w:rPr>
            <w:webHidden/>
          </w:rPr>
          <w:fldChar w:fldCharType="end"/>
        </w:r>
      </w:hyperlink>
    </w:p>
    <w:p w14:paraId="701810A3"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45" w:history="1">
        <w:r w:rsidR="002B063D" w:rsidRPr="000B33B9">
          <w:rPr>
            <w:rStyle w:val="Hipervnculo"/>
            <w:rFonts w:ascii="Verdana" w:hAnsi="Verdana"/>
            <w:noProof/>
            <w:sz w:val="18"/>
            <w:szCs w:val="18"/>
          </w:rPr>
          <w:t>B.1. Alegatos del Estado y observaciones de la Comisión y de los representantes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_Toc27329745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8</w:t>
        </w:r>
        <w:r w:rsidR="002B063D" w:rsidRPr="000B33B9">
          <w:rPr>
            <w:rFonts w:ascii="Verdana" w:hAnsi="Verdana"/>
            <w:noProof/>
            <w:webHidden/>
            <w:sz w:val="18"/>
            <w:szCs w:val="18"/>
          </w:rPr>
          <w:fldChar w:fldCharType="end"/>
        </w:r>
      </w:hyperlink>
    </w:p>
    <w:p w14:paraId="66433B2B"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46" w:history="1">
        <w:r w:rsidR="002B063D" w:rsidRPr="000B33B9">
          <w:rPr>
            <w:rStyle w:val="Hipervnculo"/>
            <w:rFonts w:ascii="Verdana" w:hAnsi="Verdana"/>
            <w:noProof/>
            <w:sz w:val="18"/>
            <w:szCs w:val="18"/>
          </w:rPr>
          <w:t>B.2. 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_Toc27329746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9</w:t>
        </w:r>
        <w:r w:rsidR="002B063D" w:rsidRPr="000B33B9">
          <w:rPr>
            <w:rFonts w:ascii="Verdana" w:hAnsi="Verdana"/>
            <w:noProof/>
            <w:webHidden/>
            <w:sz w:val="18"/>
            <w:szCs w:val="18"/>
          </w:rPr>
          <w:fldChar w:fldCharType="end"/>
        </w:r>
      </w:hyperlink>
    </w:p>
    <w:p w14:paraId="3C41C780" w14:textId="77777777" w:rsidR="002B063D" w:rsidRPr="000B33B9" w:rsidRDefault="005B1820" w:rsidP="002B063D">
      <w:pPr>
        <w:pStyle w:val="TDC2"/>
        <w:rPr>
          <w:rFonts w:eastAsiaTheme="minorEastAsia" w:cstheme="minorBidi"/>
          <w:bCs w:val="0"/>
          <w:i w:val="0"/>
          <w:smallCaps w:val="0"/>
          <w:lang w:val="es-CR"/>
        </w:rPr>
      </w:pPr>
      <w:hyperlink w:anchor="_Toc27329747" w:history="1">
        <w:r w:rsidR="002B063D" w:rsidRPr="000B33B9">
          <w:rPr>
            <w:rStyle w:val="Hipervnculo"/>
          </w:rPr>
          <w:t>C.</w:t>
        </w:r>
        <w:r w:rsidR="002B063D" w:rsidRPr="000B33B9">
          <w:rPr>
            <w:rFonts w:eastAsiaTheme="minorEastAsia" w:cstheme="minorBidi"/>
            <w:bCs w:val="0"/>
            <w:i w:val="0"/>
            <w:smallCaps w:val="0"/>
            <w:lang w:val="es-CR"/>
          </w:rPr>
          <w:tab/>
        </w:r>
        <w:r w:rsidR="002B063D" w:rsidRPr="000B33B9">
          <w:rPr>
            <w:rStyle w:val="Hipervnculo"/>
          </w:rPr>
          <w:t>Excepción por inclusión de los artículos 26 y 4 por parte de los representantes</w:t>
        </w:r>
        <w:r w:rsidR="002B063D" w:rsidRPr="000B33B9">
          <w:rPr>
            <w:webHidden/>
          </w:rPr>
          <w:tab/>
        </w:r>
        <w:r w:rsidR="002B063D" w:rsidRPr="000B33B9">
          <w:rPr>
            <w:webHidden/>
          </w:rPr>
          <w:fldChar w:fldCharType="begin"/>
        </w:r>
        <w:r w:rsidR="002B063D" w:rsidRPr="000B33B9">
          <w:rPr>
            <w:webHidden/>
          </w:rPr>
          <w:instrText xml:space="preserve"> PAGEREF _Toc27329747 \h </w:instrText>
        </w:r>
        <w:r w:rsidR="002B063D" w:rsidRPr="000B33B9">
          <w:rPr>
            <w:webHidden/>
          </w:rPr>
        </w:r>
        <w:r w:rsidR="002B063D" w:rsidRPr="000B33B9">
          <w:rPr>
            <w:webHidden/>
          </w:rPr>
          <w:fldChar w:fldCharType="separate"/>
        </w:r>
        <w:r w:rsidR="00E5193C">
          <w:rPr>
            <w:webHidden/>
          </w:rPr>
          <w:t>10</w:t>
        </w:r>
        <w:r w:rsidR="002B063D" w:rsidRPr="000B33B9">
          <w:rPr>
            <w:webHidden/>
          </w:rPr>
          <w:fldChar w:fldCharType="end"/>
        </w:r>
      </w:hyperlink>
    </w:p>
    <w:p w14:paraId="428F3C09"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48" w:history="1">
        <w:r w:rsidR="002B063D" w:rsidRPr="000B33B9">
          <w:rPr>
            <w:rStyle w:val="Hipervnculo"/>
            <w:rFonts w:ascii="Verdana" w:hAnsi="Verdana"/>
            <w:noProof/>
            <w:sz w:val="18"/>
            <w:szCs w:val="18"/>
          </w:rPr>
          <w:t>C.1. Alegatos del Estado y observaciones de la Comisión y de los representantes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_Toc27329748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10</w:t>
        </w:r>
        <w:r w:rsidR="002B063D" w:rsidRPr="000B33B9">
          <w:rPr>
            <w:rFonts w:ascii="Verdana" w:hAnsi="Verdana"/>
            <w:noProof/>
            <w:webHidden/>
            <w:sz w:val="18"/>
            <w:szCs w:val="18"/>
          </w:rPr>
          <w:fldChar w:fldCharType="end"/>
        </w:r>
      </w:hyperlink>
    </w:p>
    <w:p w14:paraId="0BFF0A80"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49" w:history="1">
        <w:r w:rsidR="002B063D" w:rsidRPr="000B33B9">
          <w:rPr>
            <w:rStyle w:val="Hipervnculo"/>
            <w:rFonts w:ascii="Verdana" w:hAnsi="Verdana"/>
            <w:noProof/>
            <w:sz w:val="18"/>
            <w:szCs w:val="18"/>
          </w:rPr>
          <w:t>C.2. 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_Toc27329749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11</w:t>
        </w:r>
        <w:r w:rsidR="002B063D" w:rsidRPr="000B33B9">
          <w:rPr>
            <w:rFonts w:ascii="Verdana" w:hAnsi="Verdana"/>
            <w:noProof/>
            <w:webHidden/>
            <w:sz w:val="18"/>
            <w:szCs w:val="18"/>
          </w:rPr>
          <w:fldChar w:fldCharType="end"/>
        </w:r>
      </w:hyperlink>
    </w:p>
    <w:p w14:paraId="5242932F"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50" w:history="1">
        <w:r w:rsidR="002B063D" w:rsidRPr="000B33B9">
          <w:rPr>
            <w:rStyle w:val="Hipervnculo"/>
          </w:rPr>
          <w:t xml:space="preserve">V </w:t>
        </w:r>
        <w:r w:rsidR="002B063D" w:rsidRPr="000B33B9">
          <w:rPr>
            <w:rStyle w:val="Hipervnculo"/>
            <w:rFonts w:cs="Times New Roman"/>
          </w:rPr>
          <w:t>ConsideraciÓN previa</w:t>
        </w:r>
        <w:r w:rsidR="002B063D" w:rsidRPr="000B33B9">
          <w:rPr>
            <w:webHidden/>
          </w:rPr>
          <w:tab/>
        </w:r>
        <w:r w:rsidR="002B063D" w:rsidRPr="000B33B9">
          <w:rPr>
            <w:webHidden/>
          </w:rPr>
          <w:fldChar w:fldCharType="begin"/>
        </w:r>
        <w:r w:rsidR="002B063D" w:rsidRPr="000B33B9">
          <w:rPr>
            <w:webHidden/>
          </w:rPr>
          <w:instrText xml:space="preserve"> PAGEREF _Toc27329750 \h </w:instrText>
        </w:r>
        <w:r w:rsidR="002B063D" w:rsidRPr="000B33B9">
          <w:rPr>
            <w:webHidden/>
          </w:rPr>
        </w:r>
        <w:r w:rsidR="002B063D" w:rsidRPr="000B33B9">
          <w:rPr>
            <w:webHidden/>
          </w:rPr>
          <w:fldChar w:fldCharType="separate"/>
        </w:r>
        <w:r w:rsidR="00E5193C">
          <w:rPr>
            <w:webHidden/>
          </w:rPr>
          <w:t>12</w:t>
        </w:r>
        <w:r w:rsidR="002B063D" w:rsidRPr="000B33B9">
          <w:rPr>
            <w:webHidden/>
          </w:rPr>
          <w:fldChar w:fldCharType="end"/>
        </w:r>
      </w:hyperlink>
    </w:p>
    <w:p w14:paraId="5F15653D" w14:textId="77777777" w:rsidR="002B063D" w:rsidRPr="000B33B9" w:rsidRDefault="005B1820" w:rsidP="002B063D">
      <w:pPr>
        <w:pStyle w:val="TDC2"/>
        <w:rPr>
          <w:rFonts w:eastAsiaTheme="minorEastAsia" w:cstheme="minorBidi"/>
          <w:bCs w:val="0"/>
          <w:i w:val="0"/>
          <w:smallCaps w:val="0"/>
          <w:lang w:val="es-CR"/>
        </w:rPr>
      </w:pPr>
      <w:hyperlink w:anchor="_Toc27329751" w:history="1">
        <w:r w:rsidR="002B063D" w:rsidRPr="000B33B9">
          <w:rPr>
            <w:rStyle w:val="Hipervnculo"/>
            <w:rFonts w:eastAsia="Times New Roman"/>
          </w:rPr>
          <w:t>A.</w:t>
        </w:r>
        <w:r w:rsidR="002B063D" w:rsidRPr="000B33B9">
          <w:rPr>
            <w:rFonts w:eastAsiaTheme="minorEastAsia" w:cstheme="minorBidi"/>
            <w:bCs w:val="0"/>
            <w:i w:val="0"/>
            <w:smallCaps w:val="0"/>
            <w:lang w:val="es-CR"/>
          </w:rPr>
          <w:tab/>
        </w:r>
        <w:r w:rsidR="002B063D" w:rsidRPr="000B33B9">
          <w:rPr>
            <w:rStyle w:val="Hipervnculo"/>
          </w:rPr>
          <w:t>Determinación de víctimas</w:t>
        </w:r>
        <w:r w:rsidR="002B063D" w:rsidRPr="000B33B9">
          <w:rPr>
            <w:webHidden/>
          </w:rPr>
          <w:tab/>
        </w:r>
        <w:r w:rsidR="002B063D" w:rsidRPr="000B33B9">
          <w:rPr>
            <w:webHidden/>
          </w:rPr>
          <w:fldChar w:fldCharType="begin"/>
        </w:r>
        <w:r w:rsidR="002B063D" w:rsidRPr="000B33B9">
          <w:rPr>
            <w:webHidden/>
          </w:rPr>
          <w:instrText xml:space="preserve"> PAGEREF _Toc27329751 \h </w:instrText>
        </w:r>
        <w:r w:rsidR="002B063D" w:rsidRPr="000B33B9">
          <w:rPr>
            <w:webHidden/>
          </w:rPr>
        </w:r>
        <w:r w:rsidR="002B063D" w:rsidRPr="000B33B9">
          <w:rPr>
            <w:webHidden/>
          </w:rPr>
          <w:fldChar w:fldCharType="separate"/>
        </w:r>
        <w:r w:rsidR="00E5193C">
          <w:rPr>
            <w:webHidden/>
          </w:rPr>
          <w:t>12</w:t>
        </w:r>
        <w:r w:rsidR="002B063D" w:rsidRPr="000B33B9">
          <w:rPr>
            <w:webHidden/>
          </w:rPr>
          <w:fldChar w:fldCharType="end"/>
        </w:r>
      </w:hyperlink>
    </w:p>
    <w:p w14:paraId="52D9B5F7" w14:textId="77777777" w:rsidR="002B063D" w:rsidRPr="000B33B9" w:rsidRDefault="005B1820" w:rsidP="002B063D">
      <w:pPr>
        <w:pStyle w:val="TDC3"/>
        <w:tabs>
          <w:tab w:val="left" w:pos="1100"/>
          <w:tab w:val="right" w:leader="dot" w:pos="9792"/>
        </w:tabs>
        <w:spacing w:line="240" w:lineRule="auto"/>
        <w:rPr>
          <w:rFonts w:ascii="Verdana" w:eastAsiaTheme="minorEastAsia" w:hAnsi="Verdana"/>
          <w:i w:val="0"/>
          <w:iCs w:val="0"/>
          <w:noProof/>
          <w:sz w:val="18"/>
          <w:szCs w:val="18"/>
          <w:lang w:val="es-CR" w:eastAsia="es-CR"/>
        </w:rPr>
      </w:pPr>
      <w:hyperlink w:anchor="_Toc27329752" w:history="1">
        <w:r w:rsidR="002B063D" w:rsidRPr="000B33B9">
          <w:rPr>
            <w:rStyle w:val="Hipervnculo"/>
            <w:rFonts w:ascii="Verdana" w:hAnsi="Verdana"/>
            <w:noProof/>
            <w:sz w:val="18"/>
            <w:szCs w:val="18"/>
          </w:rPr>
          <w:t>A.1</w:t>
        </w:r>
        <w:r w:rsidR="002B063D" w:rsidRPr="000B33B9">
          <w:rPr>
            <w:rFonts w:ascii="Verdana" w:eastAsiaTheme="minorEastAsia" w:hAnsi="Verdana"/>
            <w:i w:val="0"/>
            <w:iCs w:val="0"/>
            <w:noProof/>
            <w:sz w:val="18"/>
            <w:szCs w:val="18"/>
            <w:lang w:val="es-CR" w:eastAsia="es-CR"/>
          </w:rPr>
          <w:tab/>
        </w:r>
        <w:r w:rsidR="002B063D" w:rsidRPr="000B33B9">
          <w:rPr>
            <w:rStyle w:val="Hipervnculo"/>
            <w:rFonts w:ascii="Verdana" w:hAnsi="Verdana"/>
            <w:noProof/>
            <w:sz w:val="18"/>
            <w:szCs w:val="18"/>
          </w:rPr>
          <w:t>Alegatos del Estado y observaciones de la Comisión y de los representantes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_Toc27329752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12</w:t>
        </w:r>
        <w:r w:rsidR="002B063D" w:rsidRPr="000B33B9">
          <w:rPr>
            <w:rFonts w:ascii="Verdana" w:hAnsi="Verdana"/>
            <w:noProof/>
            <w:webHidden/>
            <w:sz w:val="18"/>
            <w:szCs w:val="18"/>
          </w:rPr>
          <w:fldChar w:fldCharType="end"/>
        </w:r>
      </w:hyperlink>
    </w:p>
    <w:p w14:paraId="0526B8A6" w14:textId="77777777" w:rsidR="002B063D" w:rsidRPr="000B33B9" w:rsidRDefault="005B1820" w:rsidP="002B063D">
      <w:pPr>
        <w:pStyle w:val="TDC3"/>
        <w:tabs>
          <w:tab w:val="left" w:pos="1100"/>
          <w:tab w:val="right" w:leader="dot" w:pos="9792"/>
        </w:tabs>
        <w:spacing w:line="240" w:lineRule="auto"/>
        <w:rPr>
          <w:rFonts w:ascii="Verdana" w:eastAsiaTheme="minorEastAsia" w:hAnsi="Verdana"/>
          <w:i w:val="0"/>
          <w:iCs w:val="0"/>
          <w:noProof/>
          <w:sz w:val="18"/>
          <w:szCs w:val="18"/>
          <w:lang w:val="es-CR" w:eastAsia="es-CR"/>
        </w:rPr>
      </w:pPr>
      <w:hyperlink w:anchor="_Toc27329753" w:history="1">
        <w:r w:rsidR="002B063D" w:rsidRPr="000B33B9">
          <w:rPr>
            <w:rStyle w:val="Hipervnculo"/>
            <w:rFonts w:ascii="Verdana" w:hAnsi="Verdana"/>
            <w:noProof/>
            <w:sz w:val="18"/>
            <w:szCs w:val="18"/>
          </w:rPr>
          <w:t>A.2</w:t>
        </w:r>
        <w:r w:rsidR="002B063D" w:rsidRPr="000B33B9">
          <w:rPr>
            <w:rFonts w:ascii="Verdana" w:eastAsiaTheme="minorEastAsia" w:hAnsi="Verdana"/>
            <w:i w:val="0"/>
            <w:iCs w:val="0"/>
            <w:noProof/>
            <w:sz w:val="18"/>
            <w:szCs w:val="18"/>
            <w:lang w:val="es-CR" w:eastAsia="es-CR"/>
          </w:rPr>
          <w:tab/>
        </w:r>
        <w:r w:rsidR="002B063D" w:rsidRPr="000B33B9">
          <w:rPr>
            <w:rStyle w:val="Hipervnculo"/>
            <w:rFonts w:ascii="Verdana" w:hAnsi="Verdana"/>
            <w:noProof/>
            <w:sz w:val="18"/>
            <w:szCs w:val="18"/>
          </w:rPr>
          <w:t>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_Toc27329753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13</w:t>
        </w:r>
        <w:r w:rsidR="002B063D" w:rsidRPr="000B33B9">
          <w:rPr>
            <w:rFonts w:ascii="Verdana" w:hAnsi="Verdana"/>
            <w:noProof/>
            <w:webHidden/>
            <w:sz w:val="18"/>
            <w:szCs w:val="18"/>
          </w:rPr>
          <w:fldChar w:fldCharType="end"/>
        </w:r>
      </w:hyperlink>
    </w:p>
    <w:p w14:paraId="39866BB5"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54" w:history="1">
        <w:r w:rsidR="002B063D" w:rsidRPr="000B33B9">
          <w:rPr>
            <w:rStyle w:val="Hipervnculo"/>
          </w:rPr>
          <w:t>VI PRUEBA</w:t>
        </w:r>
        <w:r w:rsidR="002B063D" w:rsidRPr="000B33B9">
          <w:rPr>
            <w:webHidden/>
          </w:rPr>
          <w:tab/>
        </w:r>
        <w:r w:rsidR="002B063D" w:rsidRPr="000B33B9">
          <w:rPr>
            <w:webHidden/>
          </w:rPr>
          <w:fldChar w:fldCharType="begin"/>
        </w:r>
        <w:r w:rsidR="002B063D" w:rsidRPr="000B33B9">
          <w:rPr>
            <w:webHidden/>
          </w:rPr>
          <w:instrText xml:space="preserve"> PAGEREF _Toc27329754 \h </w:instrText>
        </w:r>
        <w:r w:rsidR="002B063D" w:rsidRPr="000B33B9">
          <w:rPr>
            <w:webHidden/>
          </w:rPr>
        </w:r>
        <w:r w:rsidR="002B063D" w:rsidRPr="000B33B9">
          <w:rPr>
            <w:webHidden/>
          </w:rPr>
          <w:fldChar w:fldCharType="separate"/>
        </w:r>
        <w:r w:rsidR="00E5193C">
          <w:rPr>
            <w:webHidden/>
          </w:rPr>
          <w:t>14</w:t>
        </w:r>
        <w:r w:rsidR="002B063D" w:rsidRPr="000B33B9">
          <w:rPr>
            <w:webHidden/>
          </w:rPr>
          <w:fldChar w:fldCharType="end"/>
        </w:r>
      </w:hyperlink>
    </w:p>
    <w:p w14:paraId="74DEC974" w14:textId="77777777" w:rsidR="002B063D" w:rsidRPr="000B33B9" w:rsidRDefault="005B1820" w:rsidP="002B063D">
      <w:pPr>
        <w:pStyle w:val="TDC2"/>
        <w:rPr>
          <w:rFonts w:eastAsiaTheme="minorEastAsia" w:cstheme="minorBidi"/>
          <w:bCs w:val="0"/>
          <w:i w:val="0"/>
          <w:smallCaps w:val="0"/>
          <w:lang w:val="es-CR"/>
        </w:rPr>
      </w:pPr>
      <w:hyperlink w:anchor="_Toc27329755" w:history="1">
        <w:r w:rsidR="002B063D" w:rsidRPr="000B33B9">
          <w:rPr>
            <w:rStyle w:val="Hipervnculo"/>
          </w:rPr>
          <w:t>A.</w:t>
        </w:r>
        <w:r w:rsidR="002B063D" w:rsidRPr="000B33B9">
          <w:rPr>
            <w:rFonts w:eastAsiaTheme="minorEastAsia" w:cstheme="minorBidi"/>
            <w:bCs w:val="0"/>
            <w:i w:val="0"/>
            <w:smallCaps w:val="0"/>
            <w:lang w:val="es-CR"/>
          </w:rPr>
          <w:tab/>
        </w:r>
        <w:r w:rsidR="002B063D" w:rsidRPr="000B33B9">
          <w:rPr>
            <w:rStyle w:val="Hipervnculo"/>
          </w:rPr>
          <w:t>Admisibilidad de la prueba documental</w:t>
        </w:r>
        <w:r w:rsidR="002B063D" w:rsidRPr="000B33B9">
          <w:rPr>
            <w:webHidden/>
          </w:rPr>
          <w:tab/>
        </w:r>
        <w:r w:rsidR="002B063D" w:rsidRPr="000B33B9">
          <w:rPr>
            <w:webHidden/>
          </w:rPr>
          <w:fldChar w:fldCharType="begin"/>
        </w:r>
        <w:r w:rsidR="002B063D" w:rsidRPr="000B33B9">
          <w:rPr>
            <w:webHidden/>
          </w:rPr>
          <w:instrText xml:space="preserve"> PAGEREF _Toc27329755 \h </w:instrText>
        </w:r>
        <w:r w:rsidR="002B063D" w:rsidRPr="000B33B9">
          <w:rPr>
            <w:webHidden/>
          </w:rPr>
        </w:r>
        <w:r w:rsidR="002B063D" w:rsidRPr="000B33B9">
          <w:rPr>
            <w:webHidden/>
          </w:rPr>
          <w:fldChar w:fldCharType="separate"/>
        </w:r>
        <w:r w:rsidR="00E5193C">
          <w:rPr>
            <w:webHidden/>
          </w:rPr>
          <w:t>14</w:t>
        </w:r>
        <w:r w:rsidR="002B063D" w:rsidRPr="000B33B9">
          <w:rPr>
            <w:webHidden/>
          </w:rPr>
          <w:fldChar w:fldCharType="end"/>
        </w:r>
      </w:hyperlink>
    </w:p>
    <w:p w14:paraId="21E36B04" w14:textId="77777777" w:rsidR="002B063D" w:rsidRPr="000B33B9" w:rsidRDefault="005B1820" w:rsidP="002B063D">
      <w:pPr>
        <w:pStyle w:val="TDC2"/>
        <w:rPr>
          <w:rFonts w:eastAsiaTheme="minorEastAsia" w:cstheme="minorBidi"/>
          <w:bCs w:val="0"/>
          <w:i w:val="0"/>
          <w:smallCaps w:val="0"/>
          <w:lang w:val="es-CR"/>
        </w:rPr>
      </w:pPr>
      <w:hyperlink w:anchor="_Toc27329756" w:history="1">
        <w:r w:rsidR="002B063D" w:rsidRPr="000B33B9">
          <w:rPr>
            <w:rStyle w:val="Hipervnculo"/>
          </w:rPr>
          <w:t>B.</w:t>
        </w:r>
        <w:r w:rsidR="002B063D" w:rsidRPr="000B33B9">
          <w:rPr>
            <w:rFonts w:eastAsiaTheme="minorEastAsia" w:cstheme="minorBidi"/>
            <w:bCs w:val="0"/>
            <w:i w:val="0"/>
            <w:smallCaps w:val="0"/>
            <w:lang w:val="es-CR"/>
          </w:rPr>
          <w:tab/>
        </w:r>
        <w:r w:rsidR="002B063D" w:rsidRPr="000B33B9">
          <w:rPr>
            <w:rStyle w:val="Hipervnculo"/>
          </w:rPr>
          <w:t>Admisibilidad de la prueba testimonial y pericial</w:t>
        </w:r>
        <w:r w:rsidR="002B063D" w:rsidRPr="000B33B9">
          <w:rPr>
            <w:webHidden/>
          </w:rPr>
          <w:tab/>
        </w:r>
        <w:r w:rsidR="002B063D" w:rsidRPr="000B33B9">
          <w:rPr>
            <w:webHidden/>
          </w:rPr>
          <w:fldChar w:fldCharType="begin"/>
        </w:r>
        <w:r w:rsidR="002B063D" w:rsidRPr="000B33B9">
          <w:rPr>
            <w:webHidden/>
          </w:rPr>
          <w:instrText xml:space="preserve"> PAGEREF _Toc27329756 \h </w:instrText>
        </w:r>
        <w:r w:rsidR="002B063D" w:rsidRPr="000B33B9">
          <w:rPr>
            <w:webHidden/>
          </w:rPr>
        </w:r>
        <w:r w:rsidR="002B063D" w:rsidRPr="000B33B9">
          <w:rPr>
            <w:webHidden/>
          </w:rPr>
          <w:fldChar w:fldCharType="separate"/>
        </w:r>
        <w:r w:rsidR="00E5193C">
          <w:rPr>
            <w:webHidden/>
          </w:rPr>
          <w:t>15</w:t>
        </w:r>
        <w:r w:rsidR="002B063D" w:rsidRPr="000B33B9">
          <w:rPr>
            <w:webHidden/>
          </w:rPr>
          <w:fldChar w:fldCharType="end"/>
        </w:r>
      </w:hyperlink>
    </w:p>
    <w:p w14:paraId="2C8D464E"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57" w:history="1">
        <w:r w:rsidR="002B063D" w:rsidRPr="000B33B9">
          <w:rPr>
            <w:rStyle w:val="Hipervnculo"/>
          </w:rPr>
          <w:t>VII HECHOS</w:t>
        </w:r>
        <w:r w:rsidR="002B063D" w:rsidRPr="000B33B9">
          <w:rPr>
            <w:webHidden/>
          </w:rPr>
          <w:tab/>
        </w:r>
        <w:r w:rsidR="002B063D" w:rsidRPr="000B33B9">
          <w:rPr>
            <w:webHidden/>
          </w:rPr>
          <w:fldChar w:fldCharType="begin"/>
        </w:r>
        <w:r w:rsidR="002B063D" w:rsidRPr="000B33B9">
          <w:rPr>
            <w:webHidden/>
          </w:rPr>
          <w:instrText xml:space="preserve"> PAGEREF _Toc27329757 \h </w:instrText>
        </w:r>
        <w:r w:rsidR="002B063D" w:rsidRPr="000B33B9">
          <w:rPr>
            <w:webHidden/>
          </w:rPr>
        </w:r>
        <w:r w:rsidR="002B063D" w:rsidRPr="000B33B9">
          <w:rPr>
            <w:webHidden/>
          </w:rPr>
          <w:fldChar w:fldCharType="separate"/>
        </w:r>
        <w:r w:rsidR="00E5193C">
          <w:rPr>
            <w:webHidden/>
          </w:rPr>
          <w:t>15</w:t>
        </w:r>
        <w:r w:rsidR="002B063D" w:rsidRPr="000B33B9">
          <w:rPr>
            <w:webHidden/>
          </w:rPr>
          <w:fldChar w:fldCharType="end"/>
        </w:r>
      </w:hyperlink>
    </w:p>
    <w:p w14:paraId="42CEED9C" w14:textId="77777777" w:rsidR="002B063D" w:rsidRPr="000B33B9" w:rsidRDefault="005B1820" w:rsidP="002B063D">
      <w:pPr>
        <w:pStyle w:val="TDC2"/>
        <w:rPr>
          <w:rFonts w:eastAsiaTheme="minorEastAsia" w:cstheme="minorBidi"/>
          <w:bCs w:val="0"/>
          <w:i w:val="0"/>
          <w:smallCaps w:val="0"/>
          <w:lang w:val="es-CR"/>
        </w:rPr>
      </w:pPr>
      <w:hyperlink w:anchor="_Toc27329758" w:history="1">
        <w:r w:rsidR="002B063D" w:rsidRPr="000B33B9">
          <w:rPr>
            <w:rStyle w:val="Hipervnculo"/>
          </w:rPr>
          <w:t>A.</w:t>
        </w:r>
        <w:r w:rsidR="002B063D" w:rsidRPr="000B33B9">
          <w:rPr>
            <w:rFonts w:eastAsiaTheme="minorEastAsia" w:cstheme="minorBidi"/>
            <w:bCs w:val="0"/>
            <w:i w:val="0"/>
            <w:smallCaps w:val="0"/>
            <w:lang w:val="es-CR"/>
          </w:rPr>
          <w:tab/>
        </w:r>
        <w:r w:rsidR="002B063D" w:rsidRPr="000B33B9">
          <w:rPr>
            <w:rStyle w:val="Hipervnculo"/>
          </w:rPr>
          <w:t>Antecedentes</w:t>
        </w:r>
        <w:r w:rsidR="002B063D" w:rsidRPr="000B33B9">
          <w:rPr>
            <w:webHidden/>
          </w:rPr>
          <w:tab/>
        </w:r>
        <w:r w:rsidR="002B063D" w:rsidRPr="000B33B9">
          <w:rPr>
            <w:webHidden/>
          </w:rPr>
          <w:fldChar w:fldCharType="begin"/>
        </w:r>
        <w:r w:rsidR="002B063D" w:rsidRPr="000B33B9">
          <w:rPr>
            <w:webHidden/>
          </w:rPr>
          <w:instrText xml:space="preserve"> PAGEREF _Toc27329758 \h </w:instrText>
        </w:r>
        <w:r w:rsidR="002B063D" w:rsidRPr="000B33B9">
          <w:rPr>
            <w:webHidden/>
          </w:rPr>
        </w:r>
        <w:r w:rsidR="002B063D" w:rsidRPr="000B33B9">
          <w:rPr>
            <w:webHidden/>
          </w:rPr>
          <w:fldChar w:fldCharType="separate"/>
        </w:r>
        <w:r w:rsidR="00E5193C">
          <w:rPr>
            <w:webHidden/>
          </w:rPr>
          <w:t>15</w:t>
        </w:r>
        <w:r w:rsidR="002B063D" w:rsidRPr="000B33B9">
          <w:rPr>
            <w:webHidden/>
          </w:rPr>
          <w:fldChar w:fldCharType="end"/>
        </w:r>
      </w:hyperlink>
    </w:p>
    <w:p w14:paraId="177E5A42" w14:textId="77777777" w:rsidR="002B063D" w:rsidRPr="000B33B9" w:rsidRDefault="005B1820" w:rsidP="002B063D">
      <w:pPr>
        <w:pStyle w:val="TDC2"/>
        <w:rPr>
          <w:rFonts w:eastAsiaTheme="minorEastAsia" w:cstheme="minorBidi"/>
          <w:bCs w:val="0"/>
          <w:i w:val="0"/>
          <w:smallCaps w:val="0"/>
          <w:lang w:val="es-CR"/>
        </w:rPr>
      </w:pPr>
      <w:hyperlink w:anchor="_Toc27329759" w:history="1">
        <w:r w:rsidR="002B063D" w:rsidRPr="000B33B9">
          <w:rPr>
            <w:rStyle w:val="Hipervnculo"/>
          </w:rPr>
          <w:t>B.</w:t>
        </w:r>
        <w:r w:rsidR="002B063D" w:rsidRPr="000B33B9">
          <w:rPr>
            <w:rFonts w:eastAsiaTheme="minorEastAsia" w:cstheme="minorBidi"/>
            <w:bCs w:val="0"/>
            <w:i w:val="0"/>
            <w:smallCaps w:val="0"/>
            <w:lang w:val="es-CR"/>
          </w:rPr>
          <w:tab/>
        </w:r>
        <w:r w:rsidR="002B063D" w:rsidRPr="000B33B9">
          <w:rPr>
            <w:rStyle w:val="Hipervnculo"/>
          </w:rPr>
          <w:t>Primera acción de amparo</w:t>
        </w:r>
        <w:r w:rsidR="002B063D" w:rsidRPr="000B33B9">
          <w:rPr>
            <w:webHidden/>
          </w:rPr>
          <w:tab/>
        </w:r>
        <w:r w:rsidR="002B063D" w:rsidRPr="000B33B9">
          <w:rPr>
            <w:webHidden/>
          </w:rPr>
          <w:fldChar w:fldCharType="begin"/>
        </w:r>
        <w:r w:rsidR="002B063D" w:rsidRPr="000B33B9">
          <w:rPr>
            <w:webHidden/>
          </w:rPr>
          <w:instrText xml:space="preserve"> PAGEREF _Toc27329759 \h </w:instrText>
        </w:r>
        <w:r w:rsidR="002B063D" w:rsidRPr="000B33B9">
          <w:rPr>
            <w:webHidden/>
          </w:rPr>
        </w:r>
        <w:r w:rsidR="002B063D" w:rsidRPr="000B33B9">
          <w:rPr>
            <w:webHidden/>
          </w:rPr>
          <w:fldChar w:fldCharType="separate"/>
        </w:r>
        <w:r w:rsidR="00E5193C">
          <w:rPr>
            <w:webHidden/>
          </w:rPr>
          <w:t>18</w:t>
        </w:r>
        <w:r w:rsidR="002B063D" w:rsidRPr="000B33B9">
          <w:rPr>
            <w:webHidden/>
          </w:rPr>
          <w:fldChar w:fldCharType="end"/>
        </w:r>
      </w:hyperlink>
    </w:p>
    <w:p w14:paraId="65594E9F" w14:textId="77777777" w:rsidR="002B063D" w:rsidRPr="000B33B9" w:rsidRDefault="005B1820" w:rsidP="002B063D">
      <w:pPr>
        <w:pStyle w:val="TDC2"/>
        <w:rPr>
          <w:rFonts w:eastAsiaTheme="minorEastAsia" w:cstheme="minorBidi"/>
          <w:bCs w:val="0"/>
          <w:i w:val="0"/>
          <w:smallCaps w:val="0"/>
          <w:lang w:val="es-CR"/>
        </w:rPr>
      </w:pPr>
      <w:hyperlink w:anchor="_Toc27329760" w:history="1">
        <w:r w:rsidR="002B063D" w:rsidRPr="000B33B9">
          <w:rPr>
            <w:rStyle w:val="Hipervnculo"/>
          </w:rPr>
          <w:t>C.</w:t>
        </w:r>
        <w:r w:rsidR="002B063D" w:rsidRPr="000B33B9">
          <w:rPr>
            <w:rFonts w:eastAsiaTheme="minorEastAsia" w:cstheme="minorBidi"/>
            <w:bCs w:val="0"/>
            <w:i w:val="0"/>
            <w:smallCaps w:val="0"/>
            <w:lang w:val="es-CR"/>
          </w:rPr>
          <w:tab/>
        </w:r>
        <w:r w:rsidR="002B063D" w:rsidRPr="000B33B9">
          <w:rPr>
            <w:rStyle w:val="Hipervnculo"/>
          </w:rPr>
          <w:t>Segunda acción de amparo</w:t>
        </w:r>
        <w:r w:rsidR="002B063D" w:rsidRPr="000B33B9">
          <w:rPr>
            <w:webHidden/>
          </w:rPr>
          <w:tab/>
        </w:r>
        <w:r w:rsidR="002B063D" w:rsidRPr="000B33B9">
          <w:rPr>
            <w:webHidden/>
          </w:rPr>
          <w:fldChar w:fldCharType="begin"/>
        </w:r>
        <w:r w:rsidR="002B063D" w:rsidRPr="000B33B9">
          <w:rPr>
            <w:webHidden/>
          </w:rPr>
          <w:instrText xml:space="preserve"> PAGEREF _Toc27329760 \h </w:instrText>
        </w:r>
        <w:r w:rsidR="002B063D" w:rsidRPr="000B33B9">
          <w:rPr>
            <w:webHidden/>
          </w:rPr>
        </w:r>
        <w:r w:rsidR="002B063D" w:rsidRPr="000B33B9">
          <w:rPr>
            <w:webHidden/>
          </w:rPr>
          <w:fldChar w:fldCharType="separate"/>
        </w:r>
        <w:r w:rsidR="00E5193C">
          <w:rPr>
            <w:webHidden/>
          </w:rPr>
          <w:t>20</w:t>
        </w:r>
        <w:r w:rsidR="002B063D" w:rsidRPr="000B33B9">
          <w:rPr>
            <w:webHidden/>
          </w:rPr>
          <w:fldChar w:fldCharType="end"/>
        </w:r>
      </w:hyperlink>
    </w:p>
    <w:p w14:paraId="2E2A0FE4" w14:textId="77777777" w:rsidR="002B063D" w:rsidRPr="000B33B9" w:rsidRDefault="005B1820" w:rsidP="002B063D">
      <w:pPr>
        <w:pStyle w:val="TDC2"/>
        <w:rPr>
          <w:rFonts w:eastAsiaTheme="minorEastAsia" w:cstheme="minorBidi"/>
          <w:bCs w:val="0"/>
          <w:i w:val="0"/>
          <w:smallCaps w:val="0"/>
          <w:lang w:val="es-CR"/>
        </w:rPr>
      </w:pPr>
      <w:hyperlink w:anchor="_Toc27329761" w:history="1">
        <w:r w:rsidR="002B063D" w:rsidRPr="000B33B9">
          <w:rPr>
            <w:rStyle w:val="Hipervnculo"/>
          </w:rPr>
          <w:t>D.</w:t>
        </w:r>
        <w:r w:rsidR="002B063D" w:rsidRPr="000B33B9">
          <w:rPr>
            <w:rFonts w:eastAsiaTheme="minorEastAsia" w:cstheme="minorBidi"/>
            <w:bCs w:val="0"/>
            <w:i w:val="0"/>
            <w:smallCaps w:val="0"/>
            <w:lang w:val="es-CR"/>
          </w:rPr>
          <w:tab/>
        </w:r>
        <w:r w:rsidR="002B063D" w:rsidRPr="000B33B9">
          <w:rPr>
            <w:rStyle w:val="Hipervnculo"/>
          </w:rPr>
          <w:t>Tercera acción de amparo</w:t>
        </w:r>
        <w:r w:rsidR="002B063D" w:rsidRPr="000B33B9">
          <w:rPr>
            <w:webHidden/>
          </w:rPr>
          <w:tab/>
        </w:r>
        <w:r w:rsidR="002B063D" w:rsidRPr="000B33B9">
          <w:rPr>
            <w:webHidden/>
          </w:rPr>
          <w:fldChar w:fldCharType="begin"/>
        </w:r>
        <w:r w:rsidR="002B063D" w:rsidRPr="000B33B9">
          <w:rPr>
            <w:webHidden/>
          </w:rPr>
          <w:instrText xml:space="preserve"> PAGEREF _Toc27329761 \h </w:instrText>
        </w:r>
        <w:r w:rsidR="002B063D" w:rsidRPr="000B33B9">
          <w:rPr>
            <w:webHidden/>
          </w:rPr>
        </w:r>
        <w:r w:rsidR="002B063D" w:rsidRPr="000B33B9">
          <w:rPr>
            <w:webHidden/>
          </w:rPr>
          <w:fldChar w:fldCharType="separate"/>
        </w:r>
        <w:r w:rsidR="00E5193C">
          <w:rPr>
            <w:webHidden/>
          </w:rPr>
          <w:t>28</w:t>
        </w:r>
        <w:r w:rsidR="002B063D" w:rsidRPr="000B33B9">
          <w:rPr>
            <w:webHidden/>
          </w:rPr>
          <w:fldChar w:fldCharType="end"/>
        </w:r>
      </w:hyperlink>
    </w:p>
    <w:p w14:paraId="1EB06769" w14:textId="77777777" w:rsidR="002B063D" w:rsidRPr="000B33B9" w:rsidRDefault="005B1820" w:rsidP="002B063D">
      <w:pPr>
        <w:pStyle w:val="TDC2"/>
        <w:rPr>
          <w:rFonts w:eastAsiaTheme="minorEastAsia" w:cstheme="minorBidi"/>
          <w:bCs w:val="0"/>
          <w:i w:val="0"/>
          <w:smallCaps w:val="0"/>
          <w:lang w:val="es-CR"/>
        </w:rPr>
      </w:pPr>
      <w:hyperlink w:anchor="_Toc27329762" w:history="1">
        <w:r w:rsidR="002B063D" w:rsidRPr="000B33B9">
          <w:rPr>
            <w:rStyle w:val="Hipervnculo"/>
          </w:rPr>
          <w:t>E.</w:t>
        </w:r>
        <w:r w:rsidR="002B063D" w:rsidRPr="000B33B9">
          <w:rPr>
            <w:rFonts w:eastAsiaTheme="minorEastAsia" w:cstheme="minorBidi"/>
            <w:bCs w:val="0"/>
            <w:i w:val="0"/>
            <w:smallCaps w:val="0"/>
            <w:lang w:val="es-CR"/>
          </w:rPr>
          <w:tab/>
        </w:r>
        <w:r w:rsidR="002B063D" w:rsidRPr="000B33B9">
          <w:rPr>
            <w:rStyle w:val="Hipervnculo"/>
          </w:rPr>
          <w:t>Recursos intentados por el señor Ipanaqué</w:t>
        </w:r>
        <w:r w:rsidR="002B063D" w:rsidRPr="000B33B9">
          <w:rPr>
            <w:webHidden/>
          </w:rPr>
          <w:tab/>
        </w:r>
        <w:r w:rsidR="002B063D" w:rsidRPr="000B33B9">
          <w:rPr>
            <w:webHidden/>
          </w:rPr>
          <w:fldChar w:fldCharType="begin"/>
        </w:r>
        <w:r w:rsidR="002B063D" w:rsidRPr="000B33B9">
          <w:rPr>
            <w:webHidden/>
          </w:rPr>
          <w:instrText xml:space="preserve"> PAGEREF _Toc27329762 \h </w:instrText>
        </w:r>
        <w:r w:rsidR="002B063D" w:rsidRPr="000B33B9">
          <w:rPr>
            <w:webHidden/>
          </w:rPr>
        </w:r>
        <w:r w:rsidR="002B063D" w:rsidRPr="000B33B9">
          <w:rPr>
            <w:webHidden/>
          </w:rPr>
          <w:fldChar w:fldCharType="separate"/>
        </w:r>
        <w:r w:rsidR="00E5193C">
          <w:rPr>
            <w:webHidden/>
          </w:rPr>
          <w:t>29</w:t>
        </w:r>
        <w:r w:rsidR="002B063D" w:rsidRPr="000B33B9">
          <w:rPr>
            <w:webHidden/>
          </w:rPr>
          <w:fldChar w:fldCharType="end"/>
        </w:r>
      </w:hyperlink>
    </w:p>
    <w:p w14:paraId="707BE8DB"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63" w:history="1">
        <w:r w:rsidR="002B063D" w:rsidRPr="000B33B9">
          <w:rPr>
            <w:rStyle w:val="Hipervnculo"/>
          </w:rPr>
          <w:t>VIII FONDO</w:t>
        </w:r>
        <w:r w:rsidR="002B063D" w:rsidRPr="000B33B9">
          <w:rPr>
            <w:webHidden/>
          </w:rPr>
          <w:tab/>
        </w:r>
        <w:r w:rsidR="002B063D" w:rsidRPr="000B33B9">
          <w:rPr>
            <w:webHidden/>
          </w:rPr>
          <w:fldChar w:fldCharType="begin"/>
        </w:r>
        <w:r w:rsidR="002B063D" w:rsidRPr="000B33B9">
          <w:rPr>
            <w:webHidden/>
          </w:rPr>
          <w:instrText xml:space="preserve"> PAGEREF _Toc27329763 \h </w:instrText>
        </w:r>
        <w:r w:rsidR="002B063D" w:rsidRPr="000B33B9">
          <w:rPr>
            <w:webHidden/>
          </w:rPr>
        </w:r>
        <w:r w:rsidR="002B063D" w:rsidRPr="000B33B9">
          <w:rPr>
            <w:webHidden/>
          </w:rPr>
          <w:fldChar w:fldCharType="separate"/>
        </w:r>
        <w:r w:rsidR="00E5193C">
          <w:rPr>
            <w:webHidden/>
          </w:rPr>
          <w:t>31</w:t>
        </w:r>
        <w:r w:rsidR="002B063D" w:rsidRPr="000B33B9">
          <w:rPr>
            <w:webHidden/>
          </w:rPr>
          <w:fldChar w:fldCharType="end"/>
        </w:r>
      </w:hyperlink>
    </w:p>
    <w:p w14:paraId="5CA0FEDC"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64" w:history="1">
        <w:r w:rsidR="002B063D" w:rsidRPr="000B33B9">
          <w:rPr>
            <w:rStyle w:val="Hipervnculo"/>
          </w:rPr>
          <w:t>VIII DERECHOS A LAS GARANTÍAS JUDICIALES, LA PROTECCIÓN JUDICIAL, LA SEGURIDAD SOCIAL, LA VIDA DIGNA, LA PROPIEDAD PRIVADA Y EL DEBER DE ADOPTAR DISPOSICIONES DE DERECHO INTERNO</w:t>
        </w:r>
        <w:r w:rsidR="002B063D" w:rsidRPr="000B33B9">
          <w:rPr>
            <w:webHidden/>
          </w:rPr>
          <w:tab/>
        </w:r>
        <w:r w:rsidR="002B063D" w:rsidRPr="000B33B9">
          <w:rPr>
            <w:webHidden/>
          </w:rPr>
          <w:fldChar w:fldCharType="begin"/>
        </w:r>
        <w:r w:rsidR="002B063D" w:rsidRPr="000B33B9">
          <w:rPr>
            <w:webHidden/>
          </w:rPr>
          <w:instrText xml:space="preserve"> PAGEREF _Toc27329764 \h </w:instrText>
        </w:r>
        <w:r w:rsidR="002B063D" w:rsidRPr="000B33B9">
          <w:rPr>
            <w:webHidden/>
          </w:rPr>
        </w:r>
        <w:r w:rsidR="002B063D" w:rsidRPr="000B33B9">
          <w:rPr>
            <w:webHidden/>
          </w:rPr>
          <w:fldChar w:fldCharType="separate"/>
        </w:r>
        <w:r w:rsidR="00E5193C">
          <w:rPr>
            <w:webHidden/>
          </w:rPr>
          <w:t>32</w:t>
        </w:r>
        <w:r w:rsidR="002B063D" w:rsidRPr="000B33B9">
          <w:rPr>
            <w:webHidden/>
          </w:rPr>
          <w:fldChar w:fldCharType="end"/>
        </w:r>
      </w:hyperlink>
    </w:p>
    <w:p w14:paraId="275E2DF1" w14:textId="77777777" w:rsidR="002B063D" w:rsidRPr="000B33B9" w:rsidRDefault="005B1820" w:rsidP="002B063D">
      <w:pPr>
        <w:pStyle w:val="TDC2"/>
        <w:rPr>
          <w:rFonts w:eastAsiaTheme="minorEastAsia" w:cstheme="minorBidi"/>
          <w:bCs w:val="0"/>
          <w:i w:val="0"/>
          <w:smallCaps w:val="0"/>
          <w:lang w:val="es-CR"/>
        </w:rPr>
      </w:pPr>
      <w:hyperlink w:anchor="_Toc27329765" w:history="1">
        <w:r w:rsidR="002B063D" w:rsidRPr="000B33B9">
          <w:rPr>
            <w:rStyle w:val="Hipervnculo"/>
          </w:rPr>
          <w:t>A.</w:t>
        </w:r>
        <w:r w:rsidR="002B063D" w:rsidRPr="000B33B9">
          <w:rPr>
            <w:rFonts w:eastAsiaTheme="minorEastAsia" w:cstheme="minorBidi"/>
            <w:bCs w:val="0"/>
            <w:i w:val="0"/>
            <w:smallCaps w:val="0"/>
            <w:lang w:val="es-CR"/>
          </w:rPr>
          <w:tab/>
        </w:r>
        <w:r w:rsidR="002B063D" w:rsidRPr="000B33B9">
          <w:rPr>
            <w:rStyle w:val="Hipervnculo"/>
          </w:rPr>
          <w:t>Derecho a la protección judicial</w:t>
        </w:r>
        <w:r w:rsidR="002B063D" w:rsidRPr="000B33B9">
          <w:rPr>
            <w:webHidden/>
          </w:rPr>
          <w:tab/>
        </w:r>
        <w:r w:rsidR="002B063D" w:rsidRPr="000B33B9">
          <w:rPr>
            <w:webHidden/>
          </w:rPr>
          <w:fldChar w:fldCharType="begin"/>
        </w:r>
        <w:r w:rsidR="002B063D" w:rsidRPr="000B33B9">
          <w:rPr>
            <w:webHidden/>
          </w:rPr>
          <w:instrText xml:space="preserve"> PAGEREF _Toc27329765 \h </w:instrText>
        </w:r>
        <w:r w:rsidR="002B063D" w:rsidRPr="000B33B9">
          <w:rPr>
            <w:webHidden/>
          </w:rPr>
        </w:r>
        <w:r w:rsidR="002B063D" w:rsidRPr="000B33B9">
          <w:rPr>
            <w:webHidden/>
          </w:rPr>
          <w:fldChar w:fldCharType="separate"/>
        </w:r>
        <w:r w:rsidR="00E5193C">
          <w:rPr>
            <w:webHidden/>
          </w:rPr>
          <w:t>32</w:t>
        </w:r>
        <w:r w:rsidR="002B063D" w:rsidRPr="000B33B9">
          <w:rPr>
            <w:webHidden/>
          </w:rPr>
          <w:fldChar w:fldCharType="end"/>
        </w:r>
      </w:hyperlink>
    </w:p>
    <w:p w14:paraId="63153F3B"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66" w:history="1">
        <w:r w:rsidR="002B063D" w:rsidRPr="000B33B9">
          <w:rPr>
            <w:rStyle w:val="Hipervnculo"/>
            <w:rFonts w:ascii="Verdana" w:hAnsi="Verdana"/>
            <w:noProof/>
            <w:sz w:val="18"/>
            <w:szCs w:val="18"/>
            <w:lang w:val="es-DO"/>
          </w:rPr>
          <w:t>A.1. Argumentos de la Comisión y de las partes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_Toc27329766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32</w:t>
        </w:r>
        <w:r w:rsidR="002B063D" w:rsidRPr="000B33B9">
          <w:rPr>
            <w:rFonts w:ascii="Verdana" w:hAnsi="Verdana"/>
            <w:noProof/>
            <w:webHidden/>
            <w:sz w:val="18"/>
            <w:szCs w:val="18"/>
          </w:rPr>
          <w:fldChar w:fldCharType="end"/>
        </w:r>
      </w:hyperlink>
    </w:p>
    <w:p w14:paraId="41279B9E"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67" w:history="1">
        <w:r w:rsidR="002B063D" w:rsidRPr="000B33B9">
          <w:rPr>
            <w:rStyle w:val="Hipervnculo"/>
            <w:rFonts w:ascii="Verdana" w:hAnsi="Verdana"/>
            <w:noProof/>
            <w:sz w:val="18"/>
            <w:szCs w:val="18"/>
            <w:lang w:val="es-DO"/>
          </w:rPr>
          <w:t>A.2. 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_Toc27329767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33</w:t>
        </w:r>
        <w:r w:rsidR="002B063D" w:rsidRPr="000B33B9">
          <w:rPr>
            <w:rFonts w:ascii="Verdana" w:hAnsi="Verdana"/>
            <w:noProof/>
            <w:webHidden/>
            <w:sz w:val="18"/>
            <w:szCs w:val="18"/>
          </w:rPr>
          <w:fldChar w:fldCharType="end"/>
        </w:r>
      </w:hyperlink>
    </w:p>
    <w:p w14:paraId="2789C66E"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68" w:history="1">
        <w:r w:rsidR="002B063D" w:rsidRPr="000B33B9">
          <w:rPr>
            <w:rStyle w:val="Hipervnculo"/>
            <w:rFonts w:ascii="Verdana" w:hAnsi="Verdana"/>
            <w:noProof/>
          </w:rPr>
          <w:t>A.2.1. El alegado cumplimiento de la sentencia de 25 de octubre de 1993</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_Toc27329768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35</w:t>
        </w:r>
        <w:r w:rsidR="002B063D" w:rsidRPr="000B33B9">
          <w:rPr>
            <w:rFonts w:ascii="Verdana" w:hAnsi="Verdana"/>
            <w:noProof/>
            <w:webHidden/>
          </w:rPr>
          <w:fldChar w:fldCharType="end"/>
        </w:r>
      </w:hyperlink>
    </w:p>
    <w:p w14:paraId="6B8E2F1E"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69" w:history="1">
        <w:r w:rsidR="002B063D" w:rsidRPr="000B33B9">
          <w:rPr>
            <w:rStyle w:val="Hipervnculo"/>
            <w:rFonts w:ascii="Verdana" w:hAnsi="Verdana"/>
            <w:noProof/>
          </w:rPr>
          <w:t xml:space="preserve">A.2.2. </w:t>
        </w:r>
        <w:r w:rsidR="002B063D" w:rsidRPr="000B33B9">
          <w:rPr>
            <w:rStyle w:val="Hipervnculo"/>
            <w:rFonts w:ascii="Verdana" w:hAnsi="Verdana"/>
            <w:noProof/>
            <w:lang w:eastAsia="ja-JP"/>
          </w:rPr>
          <w:t>La inejecución del pago de los reintegros por concepto de la nivelación de las pensiones</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_Toc27329769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40</w:t>
        </w:r>
        <w:r w:rsidR="002B063D" w:rsidRPr="000B33B9">
          <w:rPr>
            <w:rFonts w:ascii="Verdana" w:hAnsi="Verdana"/>
            <w:noProof/>
            <w:webHidden/>
          </w:rPr>
          <w:fldChar w:fldCharType="end"/>
        </w:r>
      </w:hyperlink>
    </w:p>
    <w:p w14:paraId="48B284D7"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70" w:history="1">
        <w:r w:rsidR="002B063D" w:rsidRPr="000B33B9">
          <w:rPr>
            <w:rStyle w:val="Hipervnculo"/>
            <w:rFonts w:ascii="Verdana" w:hAnsi="Verdana"/>
            <w:noProof/>
          </w:rPr>
          <w:t>A.2.3. Las dilaciones propiciadas por el Estado que incidieron en la falta de ejecución de la sentencia de 25 de octubre de 1993</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_Toc27329770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43</w:t>
        </w:r>
        <w:r w:rsidR="002B063D" w:rsidRPr="000B33B9">
          <w:rPr>
            <w:rFonts w:ascii="Verdana" w:hAnsi="Verdana"/>
            <w:noProof/>
            <w:webHidden/>
          </w:rPr>
          <w:fldChar w:fldCharType="end"/>
        </w:r>
      </w:hyperlink>
    </w:p>
    <w:p w14:paraId="039EF829" w14:textId="24DC6427" w:rsidR="002B063D" w:rsidRPr="000B33B9" w:rsidRDefault="005B1820" w:rsidP="002B063D">
      <w:pPr>
        <w:pStyle w:val="TDC2"/>
        <w:rPr>
          <w:rFonts w:eastAsiaTheme="minorEastAsia" w:cstheme="minorBidi"/>
          <w:bCs w:val="0"/>
          <w:i w:val="0"/>
          <w:smallCaps w:val="0"/>
          <w:lang w:val="es-CR"/>
        </w:rPr>
      </w:pPr>
      <w:hyperlink w:anchor="_Toc27329771" w:history="1">
        <w:r w:rsidR="002B063D" w:rsidRPr="000B33B9">
          <w:rPr>
            <w:rStyle w:val="Hipervnculo"/>
          </w:rPr>
          <w:t xml:space="preserve">B. </w:t>
        </w:r>
        <w:r w:rsidR="008166FA" w:rsidRPr="000B33B9">
          <w:rPr>
            <w:rStyle w:val="Hipervnculo"/>
          </w:rPr>
          <w:tab/>
        </w:r>
        <w:r w:rsidR="002B063D" w:rsidRPr="000B33B9">
          <w:rPr>
            <w:rStyle w:val="Hipervnculo"/>
          </w:rPr>
          <w:t>Plazo razonable</w:t>
        </w:r>
        <w:r w:rsidR="002B063D" w:rsidRPr="000B33B9">
          <w:rPr>
            <w:webHidden/>
          </w:rPr>
          <w:tab/>
        </w:r>
        <w:r w:rsidR="002B063D" w:rsidRPr="000B33B9">
          <w:rPr>
            <w:webHidden/>
          </w:rPr>
          <w:fldChar w:fldCharType="begin"/>
        </w:r>
        <w:r w:rsidR="002B063D" w:rsidRPr="000B33B9">
          <w:rPr>
            <w:webHidden/>
          </w:rPr>
          <w:instrText xml:space="preserve"> PAGEREF _Toc27329771 \h </w:instrText>
        </w:r>
        <w:r w:rsidR="002B063D" w:rsidRPr="000B33B9">
          <w:rPr>
            <w:webHidden/>
          </w:rPr>
        </w:r>
        <w:r w:rsidR="002B063D" w:rsidRPr="000B33B9">
          <w:rPr>
            <w:webHidden/>
          </w:rPr>
          <w:fldChar w:fldCharType="separate"/>
        </w:r>
        <w:r w:rsidR="00E5193C">
          <w:rPr>
            <w:webHidden/>
          </w:rPr>
          <w:t>44</w:t>
        </w:r>
        <w:r w:rsidR="002B063D" w:rsidRPr="000B33B9">
          <w:rPr>
            <w:webHidden/>
          </w:rPr>
          <w:fldChar w:fldCharType="end"/>
        </w:r>
      </w:hyperlink>
    </w:p>
    <w:p w14:paraId="04A2FE63"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72" w:history="1">
        <w:r w:rsidR="002B063D" w:rsidRPr="000B33B9">
          <w:rPr>
            <w:rStyle w:val="Hipervnculo"/>
            <w:rFonts w:ascii="Verdana" w:hAnsi="Verdana"/>
            <w:noProof/>
            <w:sz w:val="18"/>
            <w:szCs w:val="18"/>
            <w:lang w:val="es-DO"/>
          </w:rPr>
          <w:t>B.1. Argumentos de la Comisión y las partes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_Toc27329772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44</w:t>
        </w:r>
        <w:r w:rsidR="002B063D" w:rsidRPr="000B33B9">
          <w:rPr>
            <w:rFonts w:ascii="Verdana" w:hAnsi="Verdana"/>
            <w:noProof/>
            <w:webHidden/>
            <w:sz w:val="18"/>
            <w:szCs w:val="18"/>
          </w:rPr>
          <w:fldChar w:fldCharType="end"/>
        </w:r>
      </w:hyperlink>
    </w:p>
    <w:p w14:paraId="7C05C5FF"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73" w:history="1">
        <w:r w:rsidR="002B063D" w:rsidRPr="000B33B9">
          <w:rPr>
            <w:rStyle w:val="Hipervnculo"/>
            <w:rFonts w:ascii="Verdana" w:hAnsi="Verdana"/>
            <w:noProof/>
            <w:sz w:val="18"/>
            <w:szCs w:val="18"/>
            <w:lang w:val="es-DO"/>
          </w:rPr>
          <w:t>B.2. 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_Toc27329773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45</w:t>
        </w:r>
        <w:r w:rsidR="002B063D" w:rsidRPr="000B33B9">
          <w:rPr>
            <w:rFonts w:ascii="Verdana" w:hAnsi="Verdana"/>
            <w:noProof/>
            <w:webHidden/>
            <w:sz w:val="18"/>
            <w:szCs w:val="18"/>
          </w:rPr>
          <w:fldChar w:fldCharType="end"/>
        </w:r>
      </w:hyperlink>
    </w:p>
    <w:p w14:paraId="0489C406"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74" w:history="1">
        <w:r w:rsidR="002B063D" w:rsidRPr="000B33B9">
          <w:rPr>
            <w:rStyle w:val="Hipervnculo"/>
            <w:rFonts w:ascii="Verdana" w:hAnsi="Verdana"/>
            <w:noProof/>
            <w:lang w:val="es-ES" w:eastAsia="es-MX"/>
          </w:rPr>
          <w:t>B.2.1. Complejidad del asunto</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_Toc27329774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45</w:t>
        </w:r>
        <w:r w:rsidR="002B063D" w:rsidRPr="000B33B9">
          <w:rPr>
            <w:rFonts w:ascii="Verdana" w:hAnsi="Verdana"/>
            <w:noProof/>
            <w:webHidden/>
          </w:rPr>
          <w:fldChar w:fldCharType="end"/>
        </w:r>
      </w:hyperlink>
    </w:p>
    <w:p w14:paraId="3431BB60"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75" w:history="1">
        <w:r w:rsidR="002B063D" w:rsidRPr="000B33B9">
          <w:rPr>
            <w:rStyle w:val="Hipervnculo"/>
            <w:rFonts w:ascii="Verdana" w:hAnsi="Verdana"/>
            <w:noProof/>
            <w:lang w:val="es-ES" w:eastAsia="es-MX"/>
          </w:rPr>
          <w:t>B.2.2. Actividad procesal de los interesados</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_Toc27329775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46</w:t>
        </w:r>
        <w:r w:rsidR="002B063D" w:rsidRPr="000B33B9">
          <w:rPr>
            <w:rFonts w:ascii="Verdana" w:hAnsi="Verdana"/>
            <w:noProof/>
            <w:webHidden/>
          </w:rPr>
          <w:fldChar w:fldCharType="end"/>
        </w:r>
      </w:hyperlink>
    </w:p>
    <w:p w14:paraId="72EE1741"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76" w:history="1">
        <w:r w:rsidR="002B063D" w:rsidRPr="000B33B9">
          <w:rPr>
            <w:rStyle w:val="Hipervnculo"/>
            <w:rFonts w:ascii="Verdana" w:hAnsi="Verdana"/>
            <w:noProof/>
          </w:rPr>
          <w:t>B.2.3. Actuación de las autoridades judiciales</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_Toc27329776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47</w:t>
        </w:r>
        <w:r w:rsidR="002B063D" w:rsidRPr="000B33B9">
          <w:rPr>
            <w:rFonts w:ascii="Verdana" w:hAnsi="Verdana"/>
            <w:noProof/>
            <w:webHidden/>
          </w:rPr>
          <w:fldChar w:fldCharType="end"/>
        </w:r>
      </w:hyperlink>
    </w:p>
    <w:p w14:paraId="32FF2076"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77" w:history="1">
        <w:r w:rsidR="002B063D" w:rsidRPr="000B33B9">
          <w:rPr>
            <w:rStyle w:val="Hipervnculo"/>
            <w:rFonts w:ascii="Verdana" w:hAnsi="Verdana"/>
            <w:noProof/>
            <w:lang w:val="es-DO"/>
          </w:rPr>
          <w:t>B.2.4. Afectación generada</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_Toc27329777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49</w:t>
        </w:r>
        <w:r w:rsidR="002B063D" w:rsidRPr="000B33B9">
          <w:rPr>
            <w:rFonts w:ascii="Verdana" w:hAnsi="Verdana"/>
            <w:noProof/>
            <w:webHidden/>
          </w:rPr>
          <w:fldChar w:fldCharType="end"/>
        </w:r>
      </w:hyperlink>
    </w:p>
    <w:p w14:paraId="008D0E7C"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78" w:history="1">
        <w:r w:rsidR="002B063D" w:rsidRPr="000B33B9">
          <w:rPr>
            <w:rStyle w:val="Hipervnculo"/>
            <w:rFonts w:ascii="Verdana" w:hAnsi="Verdana"/>
            <w:noProof/>
            <w:sz w:val="18"/>
            <w:szCs w:val="18"/>
          </w:rPr>
          <w:t>B.3. Conclusión</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_Toc27329778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49</w:t>
        </w:r>
        <w:r w:rsidR="002B063D" w:rsidRPr="000B33B9">
          <w:rPr>
            <w:rFonts w:ascii="Verdana" w:hAnsi="Verdana"/>
            <w:noProof/>
            <w:webHidden/>
            <w:sz w:val="18"/>
            <w:szCs w:val="18"/>
          </w:rPr>
          <w:fldChar w:fldCharType="end"/>
        </w:r>
      </w:hyperlink>
    </w:p>
    <w:p w14:paraId="3E7166B1" w14:textId="5485CF01" w:rsidR="002B063D" w:rsidRPr="000B33B9" w:rsidRDefault="005B1820" w:rsidP="002B063D">
      <w:pPr>
        <w:pStyle w:val="TDC2"/>
        <w:rPr>
          <w:rFonts w:eastAsiaTheme="minorEastAsia" w:cstheme="minorBidi"/>
          <w:bCs w:val="0"/>
          <w:i w:val="0"/>
          <w:smallCaps w:val="0"/>
          <w:lang w:val="es-CR"/>
        </w:rPr>
      </w:pPr>
      <w:hyperlink w:anchor="_Toc27329779" w:history="1">
        <w:r w:rsidR="002B063D" w:rsidRPr="000B33B9">
          <w:rPr>
            <w:rStyle w:val="Hipervnculo"/>
          </w:rPr>
          <w:t xml:space="preserve">C. </w:t>
        </w:r>
        <w:r w:rsidR="008166FA" w:rsidRPr="000B33B9">
          <w:rPr>
            <w:rStyle w:val="Hipervnculo"/>
          </w:rPr>
          <w:tab/>
        </w:r>
        <w:r w:rsidR="002B063D" w:rsidRPr="000B33B9">
          <w:rPr>
            <w:rStyle w:val="Hipervnculo"/>
          </w:rPr>
          <w:t>Derechos a la seguridad social, a la vida digna y a la propiedad</w:t>
        </w:r>
        <w:r w:rsidR="002B063D" w:rsidRPr="000B33B9">
          <w:rPr>
            <w:webHidden/>
          </w:rPr>
          <w:tab/>
        </w:r>
        <w:r w:rsidR="002B063D" w:rsidRPr="000B33B9">
          <w:rPr>
            <w:webHidden/>
          </w:rPr>
          <w:fldChar w:fldCharType="begin"/>
        </w:r>
        <w:r w:rsidR="002B063D" w:rsidRPr="000B33B9">
          <w:rPr>
            <w:webHidden/>
          </w:rPr>
          <w:instrText xml:space="preserve"> PAGEREF _Toc27329779 \h </w:instrText>
        </w:r>
        <w:r w:rsidR="002B063D" w:rsidRPr="000B33B9">
          <w:rPr>
            <w:webHidden/>
          </w:rPr>
        </w:r>
        <w:r w:rsidR="002B063D" w:rsidRPr="000B33B9">
          <w:rPr>
            <w:webHidden/>
          </w:rPr>
          <w:fldChar w:fldCharType="separate"/>
        </w:r>
        <w:r w:rsidR="00E5193C">
          <w:rPr>
            <w:webHidden/>
          </w:rPr>
          <w:t>50</w:t>
        </w:r>
        <w:r w:rsidR="002B063D" w:rsidRPr="000B33B9">
          <w:rPr>
            <w:webHidden/>
          </w:rPr>
          <w:fldChar w:fldCharType="end"/>
        </w:r>
      </w:hyperlink>
    </w:p>
    <w:p w14:paraId="1F7D5E42"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80" w:history="1">
        <w:r w:rsidR="002B063D" w:rsidRPr="000B33B9">
          <w:rPr>
            <w:rStyle w:val="Hipervnculo"/>
            <w:rFonts w:ascii="Verdana" w:hAnsi="Verdana"/>
            <w:noProof/>
            <w:sz w:val="18"/>
            <w:szCs w:val="18"/>
          </w:rPr>
          <w:t>C.1. Argumentos de la Comisión y de las partes</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_Toc27329780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50</w:t>
        </w:r>
        <w:r w:rsidR="002B063D" w:rsidRPr="000B33B9">
          <w:rPr>
            <w:rFonts w:ascii="Verdana" w:hAnsi="Verdana"/>
            <w:noProof/>
            <w:webHidden/>
            <w:sz w:val="18"/>
            <w:szCs w:val="18"/>
          </w:rPr>
          <w:fldChar w:fldCharType="end"/>
        </w:r>
      </w:hyperlink>
    </w:p>
    <w:p w14:paraId="2795D3A2"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81" w:history="1">
        <w:r w:rsidR="002B063D" w:rsidRPr="000B33B9">
          <w:rPr>
            <w:rStyle w:val="Hipervnculo"/>
            <w:rFonts w:ascii="Verdana" w:hAnsi="Verdana"/>
            <w:noProof/>
            <w:sz w:val="18"/>
            <w:szCs w:val="18"/>
          </w:rPr>
          <w:t>C.2. Consideraciones de la Corte</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_Toc27329781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51</w:t>
        </w:r>
        <w:r w:rsidR="002B063D" w:rsidRPr="000B33B9">
          <w:rPr>
            <w:rFonts w:ascii="Verdana" w:hAnsi="Verdana"/>
            <w:noProof/>
            <w:webHidden/>
            <w:sz w:val="18"/>
            <w:szCs w:val="18"/>
          </w:rPr>
          <w:fldChar w:fldCharType="end"/>
        </w:r>
      </w:hyperlink>
    </w:p>
    <w:p w14:paraId="39E4B688"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82" w:history="1">
        <w:r w:rsidR="002B063D" w:rsidRPr="000B33B9">
          <w:rPr>
            <w:rStyle w:val="Hipervnculo"/>
            <w:rFonts w:ascii="Verdana" w:hAnsi="Verdana"/>
            <w:noProof/>
          </w:rPr>
          <w:t>C.2.1. El derecho a la seguridad social como derecho autónomo y justiciable</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_Toc27329782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51</w:t>
        </w:r>
        <w:r w:rsidR="002B063D" w:rsidRPr="000B33B9">
          <w:rPr>
            <w:rFonts w:ascii="Verdana" w:hAnsi="Verdana"/>
            <w:noProof/>
            <w:webHidden/>
          </w:rPr>
          <w:fldChar w:fldCharType="end"/>
        </w:r>
      </w:hyperlink>
    </w:p>
    <w:p w14:paraId="163B6097"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83" w:history="1">
        <w:r w:rsidR="002B063D" w:rsidRPr="000B33B9">
          <w:rPr>
            <w:rStyle w:val="Hipervnculo"/>
            <w:rFonts w:ascii="Verdana" w:hAnsi="Verdana"/>
            <w:noProof/>
            <w:lang w:val="es-PE"/>
          </w:rPr>
          <w:t>C.2.2. El contenido del derecho a la seguridad social</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_Toc27329783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54</w:t>
        </w:r>
        <w:r w:rsidR="002B063D" w:rsidRPr="000B33B9">
          <w:rPr>
            <w:rFonts w:ascii="Verdana" w:hAnsi="Verdana"/>
            <w:noProof/>
            <w:webHidden/>
          </w:rPr>
          <w:fldChar w:fldCharType="end"/>
        </w:r>
      </w:hyperlink>
    </w:p>
    <w:p w14:paraId="7EF54AE2"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84" w:history="1">
        <w:r w:rsidR="002B063D" w:rsidRPr="000B33B9">
          <w:rPr>
            <w:rStyle w:val="Hipervnculo"/>
            <w:rFonts w:ascii="Verdana" w:hAnsi="Verdana"/>
            <w:noProof/>
            <w:lang w:val="es-PE"/>
          </w:rPr>
          <w:t>C.2.3. La afectación de la seguridad social y la vida digna en el caso concreto</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_Toc27329784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59</w:t>
        </w:r>
        <w:r w:rsidR="002B063D" w:rsidRPr="000B33B9">
          <w:rPr>
            <w:rFonts w:ascii="Verdana" w:hAnsi="Verdana"/>
            <w:noProof/>
            <w:webHidden/>
          </w:rPr>
          <w:fldChar w:fldCharType="end"/>
        </w:r>
      </w:hyperlink>
    </w:p>
    <w:p w14:paraId="2346ABA0" w14:textId="77777777" w:rsidR="002B063D" w:rsidRPr="000B33B9" w:rsidRDefault="005B1820" w:rsidP="002B063D">
      <w:pPr>
        <w:pStyle w:val="TDC4"/>
        <w:tabs>
          <w:tab w:val="right" w:leader="dot" w:pos="9792"/>
        </w:tabs>
        <w:spacing w:line="240" w:lineRule="auto"/>
        <w:rPr>
          <w:rFonts w:ascii="Verdana" w:eastAsiaTheme="minorEastAsia" w:hAnsi="Verdana"/>
          <w:noProof/>
          <w:lang w:val="es-CR" w:eastAsia="es-CR"/>
        </w:rPr>
      </w:pPr>
      <w:hyperlink w:anchor="_Toc27329785" w:history="1">
        <w:r w:rsidR="002B063D" w:rsidRPr="000B33B9">
          <w:rPr>
            <w:rStyle w:val="Hipervnculo"/>
            <w:rFonts w:ascii="Verdana" w:hAnsi="Verdana"/>
            <w:noProof/>
            <w:lang w:val="es-PE"/>
          </w:rPr>
          <w:t>C.2.4. La afectación del derecho a la propiedad en el caso concreto</w:t>
        </w:r>
        <w:r w:rsidR="002B063D" w:rsidRPr="000B33B9">
          <w:rPr>
            <w:rFonts w:ascii="Verdana" w:hAnsi="Verdana"/>
            <w:noProof/>
            <w:webHidden/>
          </w:rPr>
          <w:tab/>
        </w:r>
        <w:r w:rsidR="002B063D" w:rsidRPr="000B33B9">
          <w:rPr>
            <w:rFonts w:ascii="Verdana" w:hAnsi="Verdana"/>
            <w:noProof/>
            <w:webHidden/>
          </w:rPr>
          <w:fldChar w:fldCharType="begin"/>
        </w:r>
        <w:r w:rsidR="002B063D" w:rsidRPr="000B33B9">
          <w:rPr>
            <w:rFonts w:ascii="Verdana" w:hAnsi="Verdana"/>
            <w:noProof/>
            <w:webHidden/>
          </w:rPr>
          <w:instrText xml:space="preserve"> PAGEREF _Toc27329785 \h </w:instrText>
        </w:r>
        <w:r w:rsidR="002B063D" w:rsidRPr="000B33B9">
          <w:rPr>
            <w:rFonts w:ascii="Verdana" w:hAnsi="Verdana"/>
            <w:noProof/>
            <w:webHidden/>
          </w:rPr>
        </w:r>
        <w:r w:rsidR="002B063D" w:rsidRPr="000B33B9">
          <w:rPr>
            <w:rFonts w:ascii="Verdana" w:hAnsi="Verdana"/>
            <w:noProof/>
            <w:webHidden/>
          </w:rPr>
          <w:fldChar w:fldCharType="separate"/>
        </w:r>
        <w:r w:rsidR="00E5193C">
          <w:rPr>
            <w:rFonts w:ascii="Verdana" w:hAnsi="Verdana"/>
            <w:noProof/>
            <w:webHidden/>
          </w:rPr>
          <w:t>64</w:t>
        </w:r>
        <w:r w:rsidR="002B063D" w:rsidRPr="000B33B9">
          <w:rPr>
            <w:rFonts w:ascii="Verdana" w:hAnsi="Verdana"/>
            <w:noProof/>
            <w:webHidden/>
          </w:rPr>
          <w:fldChar w:fldCharType="end"/>
        </w:r>
      </w:hyperlink>
    </w:p>
    <w:p w14:paraId="6932E5C6"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86" w:history="1">
        <w:r w:rsidR="002B063D" w:rsidRPr="000B33B9">
          <w:rPr>
            <w:rStyle w:val="Hipervnculo"/>
            <w:rFonts w:ascii="Verdana" w:hAnsi="Verdana"/>
            <w:noProof/>
            <w:sz w:val="18"/>
            <w:szCs w:val="18"/>
            <w:lang w:val="es-PE"/>
          </w:rPr>
          <w:t>C.3. Conclusión</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_Toc27329786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66</w:t>
        </w:r>
        <w:r w:rsidR="002B063D" w:rsidRPr="000B33B9">
          <w:rPr>
            <w:rFonts w:ascii="Verdana" w:hAnsi="Verdana"/>
            <w:noProof/>
            <w:webHidden/>
            <w:sz w:val="18"/>
            <w:szCs w:val="18"/>
          </w:rPr>
          <w:fldChar w:fldCharType="end"/>
        </w:r>
      </w:hyperlink>
    </w:p>
    <w:p w14:paraId="60A5D629" w14:textId="77777777" w:rsidR="002B063D" w:rsidRPr="000B33B9" w:rsidRDefault="005B1820" w:rsidP="002B063D">
      <w:pPr>
        <w:pStyle w:val="TDC2"/>
        <w:rPr>
          <w:rFonts w:eastAsiaTheme="minorEastAsia" w:cstheme="minorBidi"/>
          <w:bCs w:val="0"/>
          <w:i w:val="0"/>
          <w:smallCaps w:val="0"/>
          <w:lang w:val="es-CR"/>
        </w:rPr>
      </w:pPr>
      <w:hyperlink w:anchor="_Toc27329787" w:history="1">
        <w:r w:rsidR="002B063D" w:rsidRPr="000B33B9">
          <w:rPr>
            <w:rStyle w:val="Hipervnculo"/>
          </w:rPr>
          <w:t>D.</w:t>
        </w:r>
        <w:r w:rsidR="002B063D" w:rsidRPr="000B33B9">
          <w:rPr>
            <w:rFonts w:eastAsiaTheme="minorEastAsia" w:cstheme="minorBidi"/>
            <w:bCs w:val="0"/>
            <w:i w:val="0"/>
            <w:smallCaps w:val="0"/>
            <w:lang w:val="es-CR"/>
          </w:rPr>
          <w:tab/>
        </w:r>
        <w:r w:rsidR="002B063D" w:rsidRPr="000B33B9">
          <w:rPr>
            <w:rStyle w:val="Hipervnculo"/>
          </w:rPr>
          <w:t>Deber de adoptar disposiciones de derecho interno</w:t>
        </w:r>
        <w:r w:rsidR="002B063D" w:rsidRPr="000B33B9">
          <w:rPr>
            <w:webHidden/>
          </w:rPr>
          <w:tab/>
        </w:r>
        <w:r w:rsidR="002B063D" w:rsidRPr="000B33B9">
          <w:rPr>
            <w:webHidden/>
          </w:rPr>
          <w:fldChar w:fldCharType="begin"/>
        </w:r>
        <w:r w:rsidR="002B063D" w:rsidRPr="000B33B9">
          <w:rPr>
            <w:webHidden/>
          </w:rPr>
          <w:instrText xml:space="preserve"> PAGEREF _Toc27329787 \h </w:instrText>
        </w:r>
        <w:r w:rsidR="002B063D" w:rsidRPr="000B33B9">
          <w:rPr>
            <w:webHidden/>
          </w:rPr>
        </w:r>
        <w:r w:rsidR="002B063D" w:rsidRPr="000B33B9">
          <w:rPr>
            <w:webHidden/>
          </w:rPr>
          <w:fldChar w:fldCharType="separate"/>
        </w:r>
        <w:r w:rsidR="00E5193C">
          <w:rPr>
            <w:webHidden/>
          </w:rPr>
          <w:t>66</w:t>
        </w:r>
        <w:r w:rsidR="002B063D" w:rsidRPr="000B33B9">
          <w:rPr>
            <w:webHidden/>
          </w:rPr>
          <w:fldChar w:fldCharType="end"/>
        </w:r>
      </w:hyperlink>
    </w:p>
    <w:p w14:paraId="5515DF0D" w14:textId="77777777" w:rsidR="002B063D" w:rsidRPr="000B33B9" w:rsidRDefault="005B1820" w:rsidP="002B063D">
      <w:pPr>
        <w:pStyle w:val="TDC2"/>
        <w:rPr>
          <w:rFonts w:eastAsiaTheme="minorEastAsia" w:cstheme="minorBidi"/>
          <w:bCs w:val="0"/>
          <w:i w:val="0"/>
          <w:smallCaps w:val="0"/>
          <w:lang w:val="es-CR"/>
        </w:rPr>
      </w:pPr>
      <w:hyperlink w:anchor="_Toc27329788" w:history="1">
        <w:r w:rsidR="002B063D" w:rsidRPr="000B33B9">
          <w:rPr>
            <w:rStyle w:val="Hipervnculo"/>
          </w:rPr>
          <w:t>E. Conclusión del capítulo</w:t>
        </w:r>
        <w:r w:rsidR="002B063D" w:rsidRPr="000B33B9">
          <w:rPr>
            <w:webHidden/>
          </w:rPr>
          <w:tab/>
        </w:r>
        <w:r w:rsidR="002B063D" w:rsidRPr="000B33B9">
          <w:rPr>
            <w:webHidden/>
          </w:rPr>
          <w:fldChar w:fldCharType="begin"/>
        </w:r>
        <w:r w:rsidR="002B063D" w:rsidRPr="000B33B9">
          <w:rPr>
            <w:webHidden/>
          </w:rPr>
          <w:instrText xml:space="preserve"> PAGEREF _Toc27329788 \h </w:instrText>
        </w:r>
        <w:r w:rsidR="002B063D" w:rsidRPr="000B33B9">
          <w:rPr>
            <w:webHidden/>
          </w:rPr>
        </w:r>
        <w:r w:rsidR="002B063D" w:rsidRPr="000B33B9">
          <w:rPr>
            <w:webHidden/>
          </w:rPr>
          <w:fldChar w:fldCharType="separate"/>
        </w:r>
        <w:r w:rsidR="00E5193C">
          <w:rPr>
            <w:webHidden/>
          </w:rPr>
          <w:t>69</w:t>
        </w:r>
        <w:r w:rsidR="002B063D" w:rsidRPr="000B33B9">
          <w:rPr>
            <w:webHidden/>
          </w:rPr>
          <w:fldChar w:fldCharType="end"/>
        </w:r>
      </w:hyperlink>
    </w:p>
    <w:p w14:paraId="431ACEBD" w14:textId="77777777" w:rsidR="002B063D" w:rsidRPr="000B33B9" w:rsidRDefault="005B1820" w:rsidP="002B063D">
      <w:pPr>
        <w:pStyle w:val="TDC1"/>
        <w:rPr>
          <w:rFonts w:eastAsiaTheme="minorEastAsia" w:cstheme="minorBidi"/>
          <w:b w:val="0"/>
          <w:bCs w:val="0"/>
          <w:caps w:val="0"/>
          <w:snapToGrid/>
          <w:lang w:val="es-CR" w:eastAsia="es-CR"/>
        </w:rPr>
      </w:pPr>
      <w:hyperlink w:anchor="_Toc27329789" w:history="1">
        <w:r w:rsidR="002B063D" w:rsidRPr="000B33B9">
          <w:rPr>
            <w:rStyle w:val="Hipervnculo"/>
          </w:rPr>
          <w:t>IX reparaciones</w:t>
        </w:r>
        <w:r w:rsidR="002B063D" w:rsidRPr="000B33B9">
          <w:rPr>
            <w:webHidden/>
          </w:rPr>
          <w:tab/>
        </w:r>
        <w:r w:rsidR="002B063D" w:rsidRPr="000B33B9">
          <w:rPr>
            <w:webHidden/>
          </w:rPr>
          <w:fldChar w:fldCharType="begin"/>
        </w:r>
        <w:r w:rsidR="002B063D" w:rsidRPr="000B33B9">
          <w:rPr>
            <w:webHidden/>
          </w:rPr>
          <w:instrText xml:space="preserve"> PAGEREF _Toc27329789 \h </w:instrText>
        </w:r>
        <w:r w:rsidR="002B063D" w:rsidRPr="000B33B9">
          <w:rPr>
            <w:webHidden/>
          </w:rPr>
        </w:r>
        <w:r w:rsidR="002B063D" w:rsidRPr="000B33B9">
          <w:rPr>
            <w:webHidden/>
          </w:rPr>
          <w:fldChar w:fldCharType="separate"/>
        </w:r>
        <w:r w:rsidR="00E5193C">
          <w:rPr>
            <w:webHidden/>
          </w:rPr>
          <w:t>69</w:t>
        </w:r>
        <w:r w:rsidR="002B063D" w:rsidRPr="000B33B9">
          <w:rPr>
            <w:webHidden/>
          </w:rPr>
          <w:fldChar w:fldCharType="end"/>
        </w:r>
      </w:hyperlink>
    </w:p>
    <w:p w14:paraId="7679FA67" w14:textId="77777777" w:rsidR="002B063D" w:rsidRPr="000B33B9" w:rsidRDefault="005B1820" w:rsidP="002B063D">
      <w:pPr>
        <w:pStyle w:val="TDC2"/>
        <w:rPr>
          <w:rFonts w:eastAsiaTheme="minorEastAsia" w:cstheme="minorBidi"/>
          <w:bCs w:val="0"/>
          <w:i w:val="0"/>
          <w:smallCaps w:val="0"/>
          <w:lang w:val="es-CR"/>
        </w:rPr>
      </w:pPr>
      <w:hyperlink w:anchor="_Toc27329790" w:history="1">
        <w:r w:rsidR="002B063D" w:rsidRPr="000B33B9">
          <w:rPr>
            <w:rStyle w:val="Hipervnculo"/>
          </w:rPr>
          <w:t>A.</w:t>
        </w:r>
        <w:r w:rsidR="002B063D" w:rsidRPr="000B33B9">
          <w:rPr>
            <w:rFonts w:eastAsiaTheme="minorEastAsia" w:cstheme="minorBidi"/>
            <w:bCs w:val="0"/>
            <w:i w:val="0"/>
            <w:smallCaps w:val="0"/>
            <w:lang w:val="es-CR"/>
          </w:rPr>
          <w:tab/>
        </w:r>
        <w:r w:rsidR="002B063D" w:rsidRPr="000B33B9">
          <w:rPr>
            <w:rStyle w:val="Hipervnculo"/>
          </w:rPr>
          <w:t>Parte Lesionada</w:t>
        </w:r>
        <w:r w:rsidR="002B063D" w:rsidRPr="000B33B9">
          <w:rPr>
            <w:webHidden/>
          </w:rPr>
          <w:tab/>
        </w:r>
        <w:r w:rsidR="002B063D" w:rsidRPr="000B33B9">
          <w:rPr>
            <w:webHidden/>
          </w:rPr>
          <w:fldChar w:fldCharType="begin"/>
        </w:r>
        <w:r w:rsidR="002B063D" w:rsidRPr="000B33B9">
          <w:rPr>
            <w:webHidden/>
          </w:rPr>
          <w:instrText xml:space="preserve"> PAGEREF _Toc27329790 \h </w:instrText>
        </w:r>
        <w:r w:rsidR="002B063D" w:rsidRPr="000B33B9">
          <w:rPr>
            <w:webHidden/>
          </w:rPr>
        </w:r>
        <w:r w:rsidR="002B063D" w:rsidRPr="000B33B9">
          <w:rPr>
            <w:webHidden/>
          </w:rPr>
          <w:fldChar w:fldCharType="separate"/>
        </w:r>
        <w:r w:rsidR="00E5193C">
          <w:rPr>
            <w:webHidden/>
          </w:rPr>
          <w:t>70</w:t>
        </w:r>
        <w:r w:rsidR="002B063D" w:rsidRPr="000B33B9">
          <w:rPr>
            <w:webHidden/>
          </w:rPr>
          <w:fldChar w:fldCharType="end"/>
        </w:r>
      </w:hyperlink>
    </w:p>
    <w:p w14:paraId="40884824" w14:textId="77777777" w:rsidR="002B063D" w:rsidRPr="000B33B9" w:rsidRDefault="005B1820" w:rsidP="002B063D">
      <w:pPr>
        <w:pStyle w:val="TDC2"/>
        <w:rPr>
          <w:rFonts w:eastAsiaTheme="minorEastAsia" w:cstheme="minorBidi"/>
          <w:bCs w:val="0"/>
          <w:i w:val="0"/>
          <w:smallCaps w:val="0"/>
          <w:lang w:val="es-CR"/>
        </w:rPr>
      </w:pPr>
      <w:hyperlink w:anchor="_Toc27329791" w:history="1">
        <w:r w:rsidR="002B063D" w:rsidRPr="000B33B9">
          <w:rPr>
            <w:rStyle w:val="Hipervnculo"/>
            <w:rFonts w:cs="Arial"/>
          </w:rPr>
          <w:t>B.</w:t>
        </w:r>
        <w:r w:rsidR="002B063D" w:rsidRPr="000B33B9">
          <w:rPr>
            <w:rFonts w:eastAsiaTheme="minorEastAsia" w:cstheme="minorBidi"/>
            <w:bCs w:val="0"/>
            <w:i w:val="0"/>
            <w:smallCaps w:val="0"/>
            <w:lang w:val="es-CR"/>
          </w:rPr>
          <w:tab/>
        </w:r>
        <w:r w:rsidR="002B063D" w:rsidRPr="000B33B9">
          <w:rPr>
            <w:rStyle w:val="Hipervnculo"/>
            <w:rFonts w:cs="Arial"/>
          </w:rPr>
          <w:t>Medidas de restitución, satisfacción y garantías de no repetición</w:t>
        </w:r>
        <w:r w:rsidR="002B063D" w:rsidRPr="000B33B9">
          <w:rPr>
            <w:webHidden/>
          </w:rPr>
          <w:tab/>
        </w:r>
        <w:r w:rsidR="002B063D" w:rsidRPr="000B33B9">
          <w:rPr>
            <w:webHidden/>
          </w:rPr>
          <w:fldChar w:fldCharType="begin"/>
        </w:r>
        <w:r w:rsidR="002B063D" w:rsidRPr="000B33B9">
          <w:rPr>
            <w:webHidden/>
          </w:rPr>
          <w:instrText xml:space="preserve"> PAGEREF _Toc27329791 \h </w:instrText>
        </w:r>
        <w:r w:rsidR="002B063D" w:rsidRPr="000B33B9">
          <w:rPr>
            <w:webHidden/>
          </w:rPr>
        </w:r>
        <w:r w:rsidR="002B063D" w:rsidRPr="000B33B9">
          <w:rPr>
            <w:webHidden/>
          </w:rPr>
          <w:fldChar w:fldCharType="separate"/>
        </w:r>
        <w:r w:rsidR="00E5193C">
          <w:rPr>
            <w:webHidden/>
          </w:rPr>
          <w:t>71</w:t>
        </w:r>
        <w:r w:rsidR="002B063D" w:rsidRPr="000B33B9">
          <w:rPr>
            <w:webHidden/>
          </w:rPr>
          <w:fldChar w:fldCharType="end"/>
        </w:r>
      </w:hyperlink>
    </w:p>
    <w:p w14:paraId="47445755"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92" w:history="1">
        <w:r w:rsidR="002B063D" w:rsidRPr="000B33B9">
          <w:rPr>
            <w:rStyle w:val="Hipervnculo"/>
            <w:rFonts w:ascii="Verdana" w:hAnsi="Verdana" w:cs="Arial"/>
            <w:noProof/>
            <w:sz w:val="18"/>
            <w:szCs w:val="18"/>
            <w:lang w:val="es-CR"/>
          </w:rPr>
          <w:t>B.1 Medidas de restitución</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_Toc27329792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71</w:t>
        </w:r>
        <w:r w:rsidR="002B063D" w:rsidRPr="000B33B9">
          <w:rPr>
            <w:rFonts w:ascii="Verdana" w:hAnsi="Verdana"/>
            <w:noProof/>
            <w:webHidden/>
            <w:sz w:val="18"/>
            <w:szCs w:val="18"/>
          </w:rPr>
          <w:fldChar w:fldCharType="end"/>
        </w:r>
      </w:hyperlink>
    </w:p>
    <w:p w14:paraId="23D731F2"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93" w:history="1">
        <w:r w:rsidR="002B063D" w:rsidRPr="000B33B9">
          <w:rPr>
            <w:rStyle w:val="Hipervnculo"/>
            <w:rFonts w:ascii="Verdana" w:hAnsi="Verdana" w:cs="Arial"/>
            <w:noProof/>
            <w:sz w:val="18"/>
            <w:szCs w:val="18"/>
            <w:lang w:val="es-CR"/>
          </w:rPr>
          <w:t>B.2 Medida de satisfacción</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_Toc27329793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72</w:t>
        </w:r>
        <w:r w:rsidR="002B063D" w:rsidRPr="000B33B9">
          <w:rPr>
            <w:rFonts w:ascii="Verdana" w:hAnsi="Verdana"/>
            <w:noProof/>
            <w:webHidden/>
            <w:sz w:val="18"/>
            <w:szCs w:val="18"/>
          </w:rPr>
          <w:fldChar w:fldCharType="end"/>
        </w:r>
      </w:hyperlink>
    </w:p>
    <w:p w14:paraId="11A3D121"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94" w:history="1">
        <w:r w:rsidR="002B063D" w:rsidRPr="000B33B9">
          <w:rPr>
            <w:rStyle w:val="Hipervnculo"/>
            <w:rFonts w:ascii="Verdana" w:hAnsi="Verdana" w:cs="Arial"/>
            <w:noProof/>
            <w:sz w:val="18"/>
            <w:szCs w:val="18"/>
            <w:lang w:val="es-CR"/>
          </w:rPr>
          <w:t>B.3 Garantías de no repetición</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_Toc27329794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73</w:t>
        </w:r>
        <w:r w:rsidR="002B063D" w:rsidRPr="000B33B9">
          <w:rPr>
            <w:rFonts w:ascii="Verdana" w:hAnsi="Verdana"/>
            <w:noProof/>
            <w:webHidden/>
            <w:sz w:val="18"/>
            <w:szCs w:val="18"/>
          </w:rPr>
          <w:fldChar w:fldCharType="end"/>
        </w:r>
      </w:hyperlink>
    </w:p>
    <w:p w14:paraId="549AAC03" w14:textId="77777777" w:rsidR="002B063D" w:rsidRPr="000B33B9" w:rsidRDefault="005B1820" w:rsidP="002B063D">
      <w:pPr>
        <w:pStyle w:val="TDC2"/>
        <w:rPr>
          <w:rFonts w:eastAsiaTheme="minorEastAsia" w:cstheme="minorBidi"/>
          <w:bCs w:val="0"/>
          <w:i w:val="0"/>
          <w:smallCaps w:val="0"/>
          <w:lang w:val="es-CR"/>
        </w:rPr>
      </w:pPr>
      <w:hyperlink w:anchor="_Toc27329795" w:history="1">
        <w:r w:rsidR="002B063D" w:rsidRPr="000B33B9">
          <w:rPr>
            <w:rStyle w:val="Hipervnculo"/>
            <w:rFonts w:cs="Arial"/>
          </w:rPr>
          <w:t>C.</w:t>
        </w:r>
        <w:r w:rsidR="002B063D" w:rsidRPr="000B33B9">
          <w:rPr>
            <w:rFonts w:eastAsiaTheme="minorEastAsia" w:cstheme="minorBidi"/>
            <w:bCs w:val="0"/>
            <w:i w:val="0"/>
            <w:smallCaps w:val="0"/>
            <w:lang w:val="es-CR"/>
          </w:rPr>
          <w:tab/>
        </w:r>
        <w:r w:rsidR="002B063D" w:rsidRPr="000B33B9">
          <w:rPr>
            <w:rStyle w:val="Hipervnculo"/>
            <w:rFonts w:cs="Arial"/>
          </w:rPr>
          <w:t>Indemnizaciones compensatorias</w:t>
        </w:r>
        <w:r w:rsidR="002B063D" w:rsidRPr="000B33B9">
          <w:rPr>
            <w:webHidden/>
          </w:rPr>
          <w:tab/>
        </w:r>
        <w:r w:rsidR="002B063D" w:rsidRPr="000B33B9">
          <w:rPr>
            <w:webHidden/>
          </w:rPr>
          <w:fldChar w:fldCharType="begin"/>
        </w:r>
        <w:r w:rsidR="002B063D" w:rsidRPr="000B33B9">
          <w:rPr>
            <w:webHidden/>
          </w:rPr>
          <w:instrText xml:space="preserve"> PAGEREF _Toc27329795 \h </w:instrText>
        </w:r>
        <w:r w:rsidR="002B063D" w:rsidRPr="000B33B9">
          <w:rPr>
            <w:webHidden/>
          </w:rPr>
        </w:r>
        <w:r w:rsidR="002B063D" w:rsidRPr="000B33B9">
          <w:rPr>
            <w:webHidden/>
          </w:rPr>
          <w:fldChar w:fldCharType="separate"/>
        </w:r>
        <w:r w:rsidR="00E5193C">
          <w:rPr>
            <w:webHidden/>
          </w:rPr>
          <w:t>74</w:t>
        </w:r>
        <w:r w:rsidR="002B063D" w:rsidRPr="000B33B9">
          <w:rPr>
            <w:webHidden/>
          </w:rPr>
          <w:fldChar w:fldCharType="end"/>
        </w:r>
      </w:hyperlink>
    </w:p>
    <w:p w14:paraId="4CC5E4CD"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96" w:history="1">
        <w:r w:rsidR="002B063D" w:rsidRPr="000B33B9">
          <w:rPr>
            <w:rStyle w:val="Hipervnculo"/>
            <w:rFonts w:ascii="Verdana" w:hAnsi="Verdana" w:cs="Arial"/>
            <w:noProof/>
            <w:sz w:val="18"/>
            <w:szCs w:val="18"/>
            <w:lang w:val="es-CR"/>
          </w:rPr>
          <w:t>C.1 Daño material</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_Toc27329796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74</w:t>
        </w:r>
        <w:r w:rsidR="002B063D" w:rsidRPr="000B33B9">
          <w:rPr>
            <w:rFonts w:ascii="Verdana" w:hAnsi="Verdana"/>
            <w:noProof/>
            <w:webHidden/>
            <w:sz w:val="18"/>
            <w:szCs w:val="18"/>
          </w:rPr>
          <w:fldChar w:fldCharType="end"/>
        </w:r>
      </w:hyperlink>
    </w:p>
    <w:p w14:paraId="5EE77406" w14:textId="77777777" w:rsidR="002B063D" w:rsidRPr="000B33B9" w:rsidRDefault="005B1820" w:rsidP="002B063D">
      <w:pPr>
        <w:pStyle w:val="TDC3"/>
        <w:tabs>
          <w:tab w:val="right" w:leader="dot" w:pos="9792"/>
        </w:tabs>
        <w:spacing w:line="240" w:lineRule="auto"/>
        <w:rPr>
          <w:rFonts w:ascii="Verdana" w:eastAsiaTheme="minorEastAsia" w:hAnsi="Verdana"/>
          <w:i w:val="0"/>
          <w:iCs w:val="0"/>
          <w:noProof/>
          <w:sz w:val="18"/>
          <w:szCs w:val="18"/>
          <w:lang w:val="es-CR" w:eastAsia="es-CR"/>
        </w:rPr>
      </w:pPr>
      <w:hyperlink w:anchor="_Toc27329797" w:history="1">
        <w:r w:rsidR="002B063D" w:rsidRPr="000B33B9">
          <w:rPr>
            <w:rStyle w:val="Hipervnculo"/>
            <w:rFonts w:ascii="Verdana" w:hAnsi="Verdana" w:cs="Arial"/>
            <w:noProof/>
            <w:sz w:val="18"/>
            <w:szCs w:val="18"/>
            <w:lang w:val="es-CR"/>
          </w:rPr>
          <w:t>C.2 Daño inmaterial</w:t>
        </w:r>
        <w:r w:rsidR="002B063D" w:rsidRPr="000B33B9">
          <w:rPr>
            <w:rFonts w:ascii="Verdana" w:hAnsi="Verdana"/>
            <w:noProof/>
            <w:webHidden/>
            <w:sz w:val="18"/>
            <w:szCs w:val="18"/>
          </w:rPr>
          <w:tab/>
        </w:r>
        <w:r w:rsidR="002B063D" w:rsidRPr="000B33B9">
          <w:rPr>
            <w:rFonts w:ascii="Verdana" w:hAnsi="Verdana"/>
            <w:noProof/>
            <w:webHidden/>
            <w:sz w:val="18"/>
            <w:szCs w:val="18"/>
          </w:rPr>
          <w:fldChar w:fldCharType="begin"/>
        </w:r>
        <w:r w:rsidR="002B063D" w:rsidRPr="000B33B9">
          <w:rPr>
            <w:rFonts w:ascii="Verdana" w:hAnsi="Verdana"/>
            <w:noProof/>
            <w:webHidden/>
            <w:sz w:val="18"/>
            <w:szCs w:val="18"/>
          </w:rPr>
          <w:instrText xml:space="preserve"> PAGEREF _Toc27329797 \h </w:instrText>
        </w:r>
        <w:r w:rsidR="002B063D" w:rsidRPr="000B33B9">
          <w:rPr>
            <w:rFonts w:ascii="Verdana" w:hAnsi="Verdana"/>
            <w:noProof/>
            <w:webHidden/>
            <w:sz w:val="18"/>
            <w:szCs w:val="18"/>
          </w:rPr>
        </w:r>
        <w:r w:rsidR="002B063D" w:rsidRPr="000B33B9">
          <w:rPr>
            <w:rFonts w:ascii="Verdana" w:hAnsi="Verdana"/>
            <w:noProof/>
            <w:webHidden/>
            <w:sz w:val="18"/>
            <w:szCs w:val="18"/>
          </w:rPr>
          <w:fldChar w:fldCharType="separate"/>
        </w:r>
        <w:r w:rsidR="00E5193C">
          <w:rPr>
            <w:rFonts w:ascii="Verdana" w:hAnsi="Verdana"/>
            <w:noProof/>
            <w:webHidden/>
            <w:sz w:val="18"/>
            <w:szCs w:val="18"/>
          </w:rPr>
          <w:t>75</w:t>
        </w:r>
        <w:r w:rsidR="002B063D" w:rsidRPr="000B33B9">
          <w:rPr>
            <w:rFonts w:ascii="Verdana" w:hAnsi="Verdana"/>
            <w:noProof/>
            <w:webHidden/>
            <w:sz w:val="18"/>
            <w:szCs w:val="18"/>
          </w:rPr>
          <w:fldChar w:fldCharType="end"/>
        </w:r>
      </w:hyperlink>
    </w:p>
    <w:p w14:paraId="705AE511" w14:textId="77777777" w:rsidR="002B063D" w:rsidRPr="000B33B9" w:rsidRDefault="005B1820" w:rsidP="002B063D">
      <w:pPr>
        <w:pStyle w:val="TDC2"/>
        <w:rPr>
          <w:rFonts w:eastAsiaTheme="minorEastAsia" w:cstheme="minorBidi"/>
          <w:bCs w:val="0"/>
          <w:i w:val="0"/>
          <w:smallCaps w:val="0"/>
          <w:lang w:val="es-CR"/>
        </w:rPr>
      </w:pPr>
      <w:hyperlink w:anchor="_Toc27329798" w:history="1">
        <w:r w:rsidR="002B063D" w:rsidRPr="000B33B9">
          <w:rPr>
            <w:rStyle w:val="Hipervnculo"/>
            <w:rFonts w:cs="Arial"/>
          </w:rPr>
          <w:t>D.</w:t>
        </w:r>
        <w:r w:rsidR="002B063D" w:rsidRPr="000B33B9">
          <w:rPr>
            <w:rFonts w:eastAsiaTheme="minorEastAsia" w:cstheme="minorBidi"/>
            <w:bCs w:val="0"/>
            <w:i w:val="0"/>
            <w:smallCaps w:val="0"/>
            <w:lang w:val="es-CR"/>
          </w:rPr>
          <w:tab/>
        </w:r>
        <w:r w:rsidR="002B063D" w:rsidRPr="000B33B9">
          <w:rPr>
            <w:rStyle w:val="Hipervnculo"/>
            <w:rFonts w:cs="Arial"/>
          </w:rPr>
          <w:t>Costas y gastos</w:t>
        </w:r>
        <w:r w:rsidR="002B063D" w:rsidRPr="000B33B9">
          <w:rPr>
            <w:webHidden/>
          </w:rPr>
          <w:tab/>
        </w:r>
        <w:r w:rsidR="002B063D" w:rsidRPr="000B33B9">
          <w:rPr>
            <w:webHidden/>
          </w:rPr>
          <w:fldChar w:fldCharType="begin"/>
        </w:r>
        <w:r w:rsidR="002B063D" w:rsidRPr="000B33B9">
          <w:rPr>
            <w:webHidden/>
          </w:rPr>
          <w:instrText xml:space="preserve"> PAGEREF _Toc27329798 \h </w:instrText>
        </w:r>
        <w:r w:rsidR="002B063D" w:rsidRPr="000B33B9">
          <w:rPr>
            <w:webHidden/>
          </w:rPr>
        </w:r>
        <w:r w:rsidR="002B063D" w:rsidRPr="000B33B9">
          <w:rPr>
            <w:webHidden/>
          </w:rPr>
          <w:fldChar w:fldCharType="separate"/>
        </w:r>
        <w:r w:rsidR="00E5193C">
          <w:rPr>
            <w:webHidden/>
          </w:rPr>
          <w:t>76</w:t>
        </w:r>
        <w:r w:rsidR="002B063D" w:rsidRPr="000B33B9">
          <w:rPr>
            <w:webHidden/>
          </w:rPr>
          <w:fldChar w:fldCharType="end"/>
        </w:r>
      </w:hyperlink>
    </w:p>
    <w:p w14:paraId="6A12A3AD" w14:textId="77777777" w:rsidR="002B063D" w:rsidRPr="000B33B9" w:rsidRDefault="005B1820" w:rsidP="002B063D">
      <w:pPr>
        <w:pStyle w:val="TDC2"/>
        <w:rPr>
          <w:rFonts w:eastAsiaTheme="minorEastAsia" w:cstheme="minorBidi"/>
          <w:bCs w:val="0"/>
          <w:i w:val="0"/>
          <w:smallCaps w:val="0"/>
          <w:lang w:val="es-CR"/>
        </w:rPr>
      </w:pPr>
      <w:hyperlink w:anchor="_Toc27329799" w:history="1">
        <w:r w:rsidR="002B063D" w:rsidRPr="000B33B9">
          <w:rPr>
            <w:rStyle w:val="Hipervnculo"/>
            <w:rFonts w:cs="Arial"/>
          </w:rPr>
          <w:t>E.</w:t>
        </w:r>
        <w:r w:rsidR="002B063D" w:rsidRPr="000B33B9">
          <w:rPr>
            <w:rFonts w:eastAsiaTheme="minorEastAsia" w:cstheme="minorBidi"/>
            <w:bCs w:val="0"/>
            <w:i w:val="0"/>
            <w:smallCaps w:val="0"/>
            <w:lang w:val="es-CR"/>
          </w:rPr>
          <w:tab/>
        </w:r>
        <w:r w:rsidR="002B063D" w:rsidRPr="000B33B9">
          <w:rPr>
            <w:rStyle w:val="Hipervnculo"/>
            <w:rFonts w:cs="Arial"/>
          </w:rPr>
          <w:t>Modalidad de cumplimiento de los pagos ordenados</w:t>
        </w:r>
        <w:r w:rsidR="002B063D" w:rsidRPr="000B33B9">
          <w:rPr>
            <w:webHidden/>
          </w:rPr>
          <w:tab/>
        </w:r>
        <w:r w:rsidR="002B063D" w:rsidRPr="000B33B9">
          <w:rPr>
            <w:webHidden/>
          </w:rPr>
          <w:fldChar w:fldCharType="begin"/>
        </w:r>
        <w:r w:rsidR="002B063D" w:rsidRPr="000B33B9">
          <w:rPr>
            <w:webHidden/>
          </w:rPr>
          <w:instrText xml:space="preserve"> PAGEREF _Toc27329799 \h </w:instrText>
        </w:r>
        <w:r w:rsidR="002B063D" w:rsidRPr="000B33B9">
          <w:rPr>
            <w:webHidden/>
          </w:rPr>
        </w:r>
        <w:r w:rsidR="002B063D" w:rsidRPr="000B33B9">
          <w:rPr>
            <w:webHidden/>
          </w:rPr>
          <w:fldChar w:fldCharType="separate"/>
        </w:r>
        <w:r w:rsidR="00E5193C">
          <w:rPr>
            <w:webHidden/>
          </w:rPr>
          <w:t>77</w:t>
        </w:r>
        <w:r w:rsidR="002B063D" w:rsidRPr="000B33B9">
          <w:rPr>
            <w:webHidden/>
          </w:rPr>
          <w:fldChar w:fldCharType="end"/>
        </w:r>
      </w:hyperlink>
    </w:p>
    <w:p w14:paraId="681E1044" w14:textId="77777777" w:rsidR="002B063D" w:rsidRPr="000B33B9" w:rsidRDefault="005B1820" w:rsidP="002B063D">
      <w:pPr>
        <w:pStyle w:val="TDC1"/>
        <w:rPr>
          <w:rFonts w:eastAsiaTheme="minorEastAsia" w:cstheme="minorBidi"/>
          <w:b w:val="0"/>
          <w:bCs w:val="0"/>
          <w:caps w:val="0"/>
          <w:snapToGrid/>
          <w:lang w:val="es-CR" w:eastAsia="es-CR"/>
        </w:rPr>
      </w:pPr>
      <w:hyperlink w:anchor="_Toc27329800" w:history="1">
        <w:r w:rsidR="002B063D" w:rsidRPr="000B33B9">
          <w:rPr>
            <w:rStyle w:val="Hipervnculo"/>
          </w:rPr>
          <w:t>X PUNTOS RESOLUTIVOS</w:t>
        </w:r>
        <w:r w:rsidR="002B063D" w:rsidRPr="000B33B9">
          <w:rPr>
            <w:webHidden/>
          </w:rPr>
          <w:tab/>
        </w:r>
        <w:r w:rsidR="002B063D" w:rsidRPr="000B33B9">
          <w:rPr>
            <w:webHidden/>
          </w:rPr>
          <w:fldChar w:fldCharType="begin"/>
        </w:r>
        <w:r w:rsidR="002B063D" w:rsidRPr="000B33B9">
          <w:rPr>
            <w:webHidden/>
          </w:rPr>
          <w:instrText xml:space="preserve"> PAGEREF _Toc27329800 \h </w:instrText>
        </w:r>
        <w:r w:rsidR="002B063D" w:rsidRPr="000B33B9">
          <w:rPr>
            <w:webHidden/>
          </w:rPr>
        </w:r>
        <w:r w:rsidR="002B063D" w:rsidRPr="000B33B9">
          <w:rPr>
            <w:webHidden/>
          </w:rPr>
          <w:fldChar w:fldCharType="separate"/>
        </w:r>
        <w:r w:rsidR="00E5193C">
          <w:rPr>
            <w:webHidden/>
          </w:rPr>
          <w:t>78</w:t>
        </w:r>
        <w:r w:rsidR="002B063D" w:rsidRPr="000B33B9">
          <w:rPr>
            <w:webHidden/>
          </w:rPr>
          <w:fldChar w:fldCharType="end"/>
        </w:r>
      </w:hyperlink>
    </w:p>
    <w:p w14:paraId="6462FA89" w14:textId="77777777" w:rsidR="002B063D" w:rsidRPr="000B33B9" w:rsidRDefault="005B1820" w:rsidP="002B063D">
      <w:pPr>
        <w:pStyle w:val="TDC1"/>
        <w:rPr>
          <w:rFonts w:eastAsiaTheme="minorEastAsia" w:cstheme="minorBidi"/>
          <w:b w:val="0"/>
          <w:bCs w:val="0"/>
          <w:caps w:val="0"/>
          <w:snapToGrid/>
          <w:lang w:val="es-CR" w:eastAsia="es-CR"/>
        </w:rPr>
      </w:pPr>
      <w:hyperlink r:id="rId11" w:anchor="_Toc27329801" w:history="1">
        <w:r w:rsidR="002B063D" w:rsidRPr="000B33B9">
          <w:rPr>
            <w:rStyle w:val="Hipervnculo"/>
          </w:rPr>
          <w:t>ANEXO 1. LISTADO DE PRESUNTAS VÍCTIMAS REMITIDO POR LA CIDH</w:t>
        </w:r>
        <w:r w:rsidR="002B063D" w:rsidRPr="000B33B9">
          <w:rPr>
            <w:webHidden/>
          </w:rPr>
          <w:tab/>
        </w:r>
        <w:r w:rsidR="002B063D" w:rsidRPr="000B33B9">
          <w:rPr>
            <w:webHidden/>
          </w:rPr>
          <w:fldChar w:fldCharType="begin"/>
        </w:r>
        <w:r w:rsidR="002B063D" w:rsidRPr="000B33B9">
          <w:rPr>
            <w:webHidden/>
          </w:rPr>
          <w:instrText xml:space="preserve"> PAGEREF _Toc27329801 \h </w:instrText>
        </w:r>
        <w:r w:rsidR="002B063D" w:rsidRPr="000B33B9">
          <w:rPr>
            <w:webHidden/>
          </w:rPr>
        </w:r>
        <w:r w:rsidR="002B063D" w:rsidRPr="000B33B9">
          <w:rPr>
            <w:webHidden/>
          </w:rPr>
          <w:fldChar w:fldCharType="separate"/>
        </w:r>
        <w:r w:rsidR="00E5193C">
          <w:rPr>
            <w:webHidden/>
          </w:rPr>
          <w:t>81</w:t>
        </w:r>
        <w:r w:rsidR="002B063D" w:rsidRPr="000B33B9">
          <w:rPr>
            <w:webHidden/>
          </w:rPr>
          <w:fldChar w:fldCharType="end"/>
        </w:r>
      </w:hyperlink>
    </w:p>
    <w:p w14:paraId="443240F2" w14:textId="77777777" w:rsidR="002B063D" w:rsidRPr="000B33B9" w:rsidRDefault="005B1820" w:rsidP="002B063D">
      <w:pPr>
        <w:pStyle w:val="TDC1"/>
        <w:rPr>
          <w:rFonts w:eastAsiaTheme="minorEastAsia" w:cstheme="minorBidi"/>
          <w:b w:val="0"/>
          <w:bCs w:val="0"/>
          <w:caps w:val="0"/>
          <w:snapToGrid/>
          <w:lang w:val="es-CR" w:eastAsia="es-CR"/>
        </w:rPr>
      </w:pPr>
      <w:hyperlink r:id="rId12" w:anchor="_Toc27329802" w:history="1">
        <w:r w:rsidR="002B063D" w:rsidRPr="000B33B9">
          <w:rPr>
            <w:rStyle w:val="Hipervnculo"/>
          </w:rPr>
          <w:t>ANEXO 2. LISTADO DE VÍCTIMAS DEL CASO</w:t>
        </w:r>
        <w:r w:rsidR="002B063D" w:rsidRPr="000B33B9">
          <w:rPr>
            <w:webHidden/>
          </w:rPr>
          <w:tab/>
        </w:r>
        <w:r w:rsidR="002B063D" w:rsidRPr="000B33B9">
          <w:rPr>
            <w:webHidden/>
          </w:rPr>
          <w:fldChar w:fldCharType="begin"/>
        </w:r>
        <w:r w:rsidR="002B063D" w:rsidRPr="000B33B9">
          <w:rPr>
            <w:webHidden/>
          </w:rPr>
          <w:instrText xml:space="preserve"> PAGEREF _Toc27329802 \h </w:instrText>
        </w:r>
        <w:r w:rsidR="002B063D" w:rsidRPr="000B33B9">
          <w:rPr>
            <w:webHidden/>
          </w:rPr>
        </w:r>
        <w:r w:rsidR="002B063D" w:rsidRPr="000B33B9">
          <w:rPr>
            <w:webHidden/>
          </w:rPr>
          <w:fldChar w:fldCharType="separate"/>
        </w:r>
        <w:r w:rsidR="00E5193C">
          <w:rPr>
            <w:webHidden/>
          </w:rPr>
          <w:t>90</w:t>
        </w:r>
        <w:r w:rsidR="002B063D" w:rsidRPr="000B33B9">
          <w:rPr>
            <w:webHidden/>
          </w:rPr>
          <w:fldChar w:fldCharType="end"/>
        </w:r>
      </w:hyperlink>
    </w:p>
    <w:p w14:paraId="48A843EC" w14:textId="3DC9A735" w:rsidR="001C05D8" w:rsidRPr="000B33B9" w:rsidRDefault="002F20D8" w:rsidP="002B063D">
      <w:pPr>
        <w:pStyle w:val="TDC1"/>
        <w:jc w:val="both"/>
        <w:rPr>
          <w:rFonts w:eastAsia="Calibri"/>
        </w:rPr>
      </w:pPr>
      <w:r w:rsidRPr="000B33B9">
        <w:rPr>
          <w:rFonts w:eastAsia="Calibri"/>
        </w:rPr>
        <w:fldChar w:fldCharType="end"/>
      </w:r>
      <w:r w:rsidR="001C05D8" w:rsidRPr="000B33B9">
        <w:rPr>
          <w:rFonts w:eastAsia="Calibri"/>
        </w:rPr>
        <w:br w:type="page"/>
      </w:r>
    </w:p>
    <w:p w14:paraId="7A428CC6" w14:textId="77777777" w:rsidR="001C05D8" w:rsidRPr="000B33B9" w:rsidRDefault="001C05D8" w:rsidP="003C0487">
      <w:pPr>
        <w:pStyle w:val="Ttulo1"/>
        <w:rPr>
          <w:rFonts w:eastAsia="Times New Roman" w:cs="Verdana"/>
          <w:bCs/>
          <w:caps/>
          <w:snapToGrid w:val="0"/>
          <w:lang w:val="es-ES_tradnl"/>
        </w:rPr>
      </w:pPr>
      <w:bookmarkStart w:id="2" w:name="_Toc494123963"/>
      <w:bookmarkStart w:id="3" w:name="_Toc27329737"/>
      <w:r w:rsidRPr="000B33B9">
        <w:rPr>
          <w:rFonts w:eastAsia="Times New Roman" w:cs="Verdana"/>
          <w:bCs/>
          <w:caps/>
          <w:snapToGrid w:val="0"/>
          <w:lang w:val="es-ES_tradnl"/>
        </w:rPr>
        <w:t>I</w:t>
      </w:r>
      <w:r w:rsidRPr="000B33B9">
        <w:rPr>
          <w:rFonts w:eastAsia="Times New Roman" w:cs="Verdana"/>
          <w:bCs/>
          <w:caps/>
          <w:snapToGrid w:val="0"/>
          <w:lang w:val="es-ES_tradnl"/>
        </w:rPr>
        <w:br/>
      </w:r>
      <w:bookmarkEnd w:id="1"/>
      <w:r w:rsidRPr="000B33B9">
        <w:rPr>
          <w:rFonts w:eastAsia="Times New Roman" w:cs="Verdana"/>
          <w:bCs/>
          <w:caps/>
          <w:snapToGrid w:val="0"/>
          <w:lang w:val="es-ES_tradnl"/>
        </w:rPr>
        <w:t>INTRODUCCIÓN DE LA CAUSA Y OBJETO DE LA CONTROVERSIA</w:t>
      </w:r>
      <w:bookmarkEnd w:id="2"/>
      <w:bookmarkEnd w:id="3"/>
    </w:p>
    <w:p w14:paraId="161AA85B" w14:textId="77777777" w:rsidR="008A351B" w:rsidRPr="000B33B9" w:rsidRDefault="008A351B" w:rsidP="00C962FE">
      <w:pPr>
        <w:spacing w:after="0" w:line="240" w:lineRule="auto"/>
        <w:rPr>
          <w:rFonts w:ascii="Verdana" w:hAnsi="Verdana"/>
          <w:sz w:val="20"/>
          <w:szCs w:val="20"/>
          <w:lang w:val="es-ES_tradnl"/>
        </w:rPr>
      </w:pPr>
    </w:p>
    <w:p w14:paraId="661F722D" w14:textId="7459AE05" w:rsidR="009C600B"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hAnsi="Verdana"/>
          <w:color w:val="151515"/>
          <w:sz w:val="20"/>
          <w:szCs w:val="20"/>
          <w:lang w:val="es-CR" w:eastAsia="es-CR"/>
        </w:rPr>
      </w:pPr>
      <w:r w:rsidRPr="000B33B9">
        <w:rPr>
          <w:rFonts w:ascii="Verdana" w:eastAsia="Verdana" w:hAnsi="Verdana" w:cs="Verdana"/>
          <w:i/>
          <w:sz w:val="20"/>
          <w:szCs w:val="20"/>
          <w:lang w:val="es-ES" w:eastAsia="es-CR"/>
        </w:rPr>
        <w:t xml:space="preserve">El caso sometido a la Corte. – </w:t>
      </w:r>
      <w:r w:rsidRPr="000B33B9">
        <w:rPr>
          <w:rFonts w:ascii="Verdana" w:eastAsia="Verdana" w:hAnsi="Verdana" w:cs="Verdana"/>
          <w:sz w:val="20"/>
          <w:szCs w:val="20"/>
          <w:lang w:val="es-ES" w:eastAsia="es-CR"/>
        </w:rPr>
        <w:t xml:space="preserve">El </w:t>
      </w:r>
      <w:r w:rsidR="00E17AE9" w:rsidRPr="000B33B9">
        <w:rPr>
          <w:rFonts w:ascii="Verdana" w:eastAsia="Verdana" w:hAnsi="Verdana" w:cs="Verdana"/>
          <w:sz w:val="20"/>
          <w:szCs w:val="20"/>
          <w:lang w:val="es-ES" w:eastAsia="es-CR"/>
        </w:rPr>
        <w:t>15 de septiembre de 2017</w:t>
      </w:r>
      <w:r w:rsidRPr="000B33B9">
        <w:rPr>
          <w:rFonts w:ascii="Verdana" w:eastAsia="Verdana" w:hAnsi="Verdana" w:cs="Verdana"/>
          <w:sz w:val="20"/>
          <w:szCs w:val="20"/>
          <w:lang w:val="es-ES" w:eastAsia="es-CR"/>
        </w:rPr>
        <w:t xml:space="preserve"> la Comisión Interamericana de Derechos Humanos (en adelante “la Comisión Interamericana” o “la Comisión”) sometió a la jurisdicción de la Corte el caso </w:t>
      </w:r>
      <w:r w:rsidR="00E17AE9" w:rsidRPr="000B33B9">
        <w:rPr>
          <w:rFonts w:ascii="Verdana" w:eastAsia="Verdana" w:hAnsi="Verdana" w:cs="Verdana"/>
          <w:i/>
          <w:sz w:val="20"/>
          <w:szCs w:val="20"/>
          <w:lang w:val="es-ES" w:eastAsia="es-CR"/>
        </w:rPr>
        <w:t>Asociación Nacional de Cesantes y Jubilados de la Superintendencia Nacional de Administración Tributaria (ANCEJUB-SUNAT)</w:t>
      </w:r>
      <w:r w:rsidRPr="000B33B9">
        <w:rPr>
          <w:rFonts w:ascii="Verdana" w:eastAsia="Verdana" w:hAnsi="Verdana" w:cs="Verdana"/>
          <w:sz w:val="20"/>
          <w:szCs w:val="20"/>
          <w:lang w:val="es-ES" w:eastAsia="es-CR"/>
        </w:rPr>
        <w:t xml:space="preserve"> contra la República de</w:t>
      </w:r>
      <w:r w:rsidR="00E17AE9" w:rsidRPr="000B33B9">
        <w:rPr>
          <w:rFonts w:ascii="Verdana" w:eastAsia="Verdana" w:hAnsi="Verdana" w:cs="Verdana"/>
          <w:sz w:val="20"/>
          <w:szCs w:val="20"/>
          <w:lang w:val="es-ES" w:eastAsia="es-CR"/>
        </w:rPr>
        <w:t>l Perú</w:t>
      </w:r>
      <w:r w:rsidRPr="000B33B9">
        <w:rPr>
          <w:rFonts w:ascii="Verdana" w:eastAsia="Verdana" w:hAnsi="Verdana" w:cs="Verdana"/>
          <w:sz w:val="20"/>
          <w:szCs w:val="20"/>
          <w:lang w:val="es-ES" w:eastAsia="es-CR"/>
        </w:rPr>
        <w:t xml:space="preserve"> (en adelante “el Estado </w:t>
      </w:r>
      <w:r w:rsidR="00E17AE9" w:rsidRPr="000B33B9">
        <w:rPr>
          <w:rFonts w:ascii="Verdana" w:eastAsia="Verdana" w:hAnsi="Verdana" w:cs="Verdana"/>
          <w:sz w:val="20"/>
          <w:szCs w:val="20"/>
          <w:lang w:val="es-ES" w:eastAsia="es-CR"/>
        </w:rPr>
        <w:t>peruano</w:t>
      </w:r>
      <w:r w:rsidRPr="000B33B9">
        <w:rPr>
          <w:rFonts w:ascii="Verdana" w:eastAsia="Verdana" w:hAnsi="Verdana" w:cs="Verdana"/>
          <w:sz w:val="20"/>
          <w:szCs w:val="20"/>
          <w:lang w:val="es-ES" w:eastAsia="es-CR"/>
        </w:rPr>
        <w:t>”, “el Estado” o “</w:t>
      </w:r>
      <w:r w:rsidR="00E17AE9" w:rsidRPr="000B33B9">
        <w:rPr>
          <w:rFonts w:ascii="Verdana" w:eastAsia="Verdana" w:hAnsi="Verdana" w:cs="Verdana"/>
          <w:sz w:val="20"/>
          <w:szCs w:val="20"/>
          <w:lang w:val="es-ES" w:eastAsia="es-CR"/>
        </w:rPr>
        <w:t>Perú</w:t>
      </w:r>
      <w:r w:rsidRPr="000B33B9">
        <w:rPr>
          <w:rFonts w:ascii="Verdana" w:eastAsia="Verdana" w:hAnsi="Verdana" w:cs="Verdana"/>
          <w:sz w:val="20"/>
          <w:szCs w:val="20"/>
          <w:lang w:val="es-ES" w:eastAsia="es-CR"/>
        </w:rPr>
        <w:t xml:space="preserve">”). De acuerdo con lo indicado por la Comisión, el caso </w:t>
      </w:r>
      <w:r w:rsidR="00130BEF" w:rsidRPr="000B33B9">
        <w:rPr>
          <w:rFonts w:ascii="Verdana" w:eastAsia="Verdana" w:hAnsi="Verdana" w:cs="Verdana"/>
          <w:sz w:val="20"/>
          <w:szCs w:val="20"/>
          <w:lang w:val="es-ES" w:eastAsia="es-CR"/>
        </w:rPr>
        <w:t xml:space="preserve">se </w:t>
      </w:r>
      <w:r w:rsidRPr="000B33B9">
        <w:rPr>
          <w:rFonts w:ascii="Verdana" w:hAnsi="Verdana"/>
          <w:sz w:val="20"/>
          <w:szCs w:val="20"/>
          <w:lang w:val="es-CR" w:eastAsia="es-CR"/>
        </w:rPr>
        <w:t xml:space="preserve">relaciona </w:t>
      </w:r>
      <w:r w:rsidRPr="000B33B9">
        <w:rPr>
          <w:rFonts w:ascii="Verdana" w:hAnsi="Verdana" w:cs="Arial"/>
          <w:color w:val="1A1A1A"/>
          <w:sz w:val="20"/>
          <w:szCs w:val="20"/>
          <w:lang w:val="es-CR" w:eastAsia="es-CR"/>
        </w:rPr>
        <w:t xml:space="preserve">con </w:t>
      </w:r>
      <w:r w:rsidR="00E17AE9" w:rsidRPr="000B33B9">
        <w:rPr>
          <w:rFonts w:ascii="Verdana" w:hAnsi="Verdana" w:cs="Arial"/>
          <w:color w:val="1A1A1A"/>
          <w:sz w:val="20"/>
          <w:szCs w:val="20"/>
          <w:lang w:val="es-CR" w:eastAsia="es-CR"/>
        </w:rPr>
        <w:t>la vulneración del derecho a la protección judicial por la falta de cumplimiento de una sentencia de la Corte Suprema de Justicia del Perú, de</w:t>
      </w:r>
      <w:r w:rsidR="0049488A" w:rsidRPr="000B33B9">
        <w:rPr>
          <w:rFonts w:ascii="Verdana" w:hAnsi="Verdana" w:cs="Arial"/>
          <w:color w:val="1A1A1A"/>
          <w:sz w:val="20"/>
          <w:szCs w:val="20"/>
          <w:lang w:val="es-CR" w:eastAsia="es-CR"/>
        </w:rPr>
        <w:t xml:space="preserve"> 25 de</w:t>
      </w:r>
      <w:r w:rsidR="00E17AE9" w:rsidRPr="000B33B9">
        <w:rPr>
          <w:rFonts w:ascii="Verdana" w:hAnsi="Verdana" w:cs="Arial"/>
          <w:color w:val="1A1A1A"/>
          <w:sz w:val="20"/>
          <w:szCs w:val="20"/>
          <w:lang w:val="es-CR" w:eastAsia="es-CR"/>
        </w:rPr>
        <w:t xml:space="preserve"> octubre de 1993, que reconocía derechos pensionarios a </w:t>
      </w:r>
      <w:r w:rsidR="00E3367A" w:rsidRPr="000B33B9">
        <w:rPr>
          <w:rFonts w:ascii="Verdana" w:hAnsi="Verdana" w:cs="Arial"/>
          <w:color w:val="1A1A1A"/>
          <w:sz w:val="20"/>
          <w:szCs w:val="20"/>
          <w:lang w:val="es-CR" w:eastAsia="es-CR"/>
        </w:rPr>
        <w:t xml:space="preserve">la </w:t>
      </w:r>
      <w:r w:rsidR="00E3367A" w:rsidRPr="000B33B9">
        <w:rPr>
          <w:rFonts w:ascii="Verdana" w:hAnsi="Verdana"/>
          <w:sz w:val="20"/>
          <w:szCs w:val="20"/>
          <w:lang w:val="es-DO"/>
        </w:rPr>
        <w:t>Asociación Nacional de Cesantes y Jubilados de la Superintendencia Nacional de Administración Tributaria (en adelante “ANCEJUB-SUNAT”)</w:t>
      </w:r>
      <w:r w:rsidR="00E17AE9" w:rsidRPr="000B33B9">
        <w:rPr>
          <w:rFonts w:ascii="Verdana" w:hAnsi="Verdana" w:cs="Arial"/>
          <w:color w:val="1A1A1A"/>
          <w:sz w:val="20"/>
          <w:szCs w:val="20"/>
          <w:lang w:val="es-CR" w:eastAsia="es-CR"/>
        </w:rPr>
        <w:t>. La Comisión consideró que el Poder Judicial peruano no ha aplicado las medidas necesarias para la implementación de un fallo judicial favorable a un grupo de pensionistas</w:t>
      </w:r>
      <w:r w:rsidR="009C6E35" w:rsidRPr="000B33B9">
        <w:rPr>
          <w:rFonts w:ascii="Verdana" w:hAnsi="Verdana" w:cs="Arial"/>
          <w:color w:val="1A1A1A"/>
          <w:sz w:val="20"/>
          <w:szCs w:val="20"/>
          <w:lang w:val="es-CR" w:eastAsia="es-CR"/>
        </w:rPr>
        <w:t>. La C</w:t>
      </w:r>
      <w:r w:rsidR="002F36FF" w:rsidRPr="000B33B9">
        <w:rPr>
          <w:rFonts w:ascii="Verdana" w:hAnsi="Verdana" w:cs="Arial"/>
          <w:color w:val="1A1A1A"/>
          <w:sz w:val="20"/>
          <w:szCs w:val="20"/>
          <w:lang w:val="es-CR" w:eastAsia="es-CR"/>
        </w:rPr>
        <w:t>omisión agregó que</w:t>
      </w:r>
      <w:r w:rsidR="000106BD" w:rsidRPr="000B33B9">
        <w:rPr>
          <w:rFonts w:ascii="Verdana" w:hAnsi="Verdana" w:cs="Arial"/>
          <w:color w:val="1A1A1A"/>
          <w:sz w:val="20"/>
          <w:szCs w:val="20"/>
          <w:lang w:val="es-CR" w:eastAsia="es-CR"/>
        </w:rPr>
        <w:t xml:space="preserve"> el lapso de más de 23 años sin que se ejecute la sentencia de la Corte Suprema de octubre de 1993 sobrepasa un plazo que pueda considerarse razonable. Finalmente, la Comisión</w:t>
      </w:r>
      <w:r w:rsidR="000B07EF" w:rsidRPr="000B33B9">
        <w:rPr>
          <w:rFonts w:ascii="Verdana" w:hAnsi="Verdana" w:cs="Arial"/>
          <w:color w:val="1A1A1A"/>
          <w:sz w:val="20"/>
          <w:szCs w:val="20"/>
          <w:lang w:val="es-CR" w:eastAsia="es-CR"/>
        </w:rPr>
        <w:t xml:space="preserve"> concluyó que el Estado violó el derecho a la propiedad de las </w:t>
      </w:r>
      <w:r w:rsidR="0049488A" w:rsidRPr="000B33B9">
        <w:rPr>
          <w:rFonts w:ascii="Verdana" w:hAnsi="Verdana" w:cs="Arial"/>
          <w:color w:val="1A1A1A"/>
          <w:sz w:val="20"/>
          <w:szCs w:val="20"/>
          <w:lang w:val="es-CR" w:eastAsia="es-CR"/>
        </w:rPr>
        <w:t xml:space="preserve">presuntas </w:t>
      </w:r>
      <w:r w:rsidR="000B07EF" w:rsidRPr="000B33B9">
        <w:rPr>
          <w:rFonts w:ascii="Verdana" w:hAnsi="Verdana" w:cs="Arial"/>
          <w:color w:val="1A1A1A"/>
          <w:sz w:val="20"/>
          <w:szCs w:val="20"/>
          <w:lang w:val="es-CR" w:eastAsia="es-CR"/>
        </w:rPr>
        <w:t>víctimas puesto que estas no pudieron gozar integralmente de los efectos patrimoniales</w:t>
      </w:r>
      <w:r w:rsidR="00CD6B75" w:rsidRPr="000B33B9">
        <w:rPr>
          <w:rFonts w:ascii="Verdana" w:hAnsi="Verdana" w:cs="Arial"/>
          <w:color w:val="1A1A1A"/>
          <w:sz w:val="20"/>
          <w:szCs w:val="20"/>
          <w:lang w:val="es-CR" w:eastAsia="es-CR"/>
        </w:rPr>
        <w:t xml:space="preserve"> </w:t>
      </w:r>
      <w:r w:rsidR="000B07EF" w:rsidRPr="000B33B9">
        <w:rPr>
          <w:rFonts w:ascii="Verdana" w:hAnsi="Verdana" w:cs="Arial"/>
          <w:color w:val="1A1A1A"/>
          <w:sz w:val="20"/>
          <w:szCs w:val="20"/>
          <w:lang w:val="es-CR" w:eastAsia="es-CR"/>
        </w:rPr>
        <w:t>de su pensión conforme a lo establecido por la sentencia de</w:t>
      </w:r>
      <w:r w:rsidR="0049488A" w:rsidRPr="000B33B9">
        <w:rPr>
          <w:rFonts w:ascii="Verdana" w:hAnsi="Verdana" w:cs="Arial"/>
          <w:color w:val="1A1A1A"/>
          <w:sz w:val="20"/>
          <w:szCs w:val="20"/>
          <w:lang w:val="es-CR" w:eastAsia="es-CR"/>
        </w:rPr>
        <w:t xml:space="preserve"> 25 de</w:t>
      </w:r>
      <w:r w:rsidR="000B07EF" w:rsidRPr="000B33B9">
        <w:rPr>
          <w:rFonts w:ascii="Verdana" w:hAnsi="Verdana" w:cs="Arial"/>
          <w:color w:val="1A1A1A"/>
          <w:sz w:val="20"/>
          <w:szCs w:val="20"/>
          <w:lang w:val="es-CR" w:eastAsia="es-CR"/>
        </w:rPr>
        <w:t xml:space="preserve"> octubre de 1993.</w:t>
      </w:r>
    </w:p>
    <w:p w14:paraId="10ACB23D" w14:textId="77777777" w:rsidR="008A351B" w:rsidRPr="000B33B9" w:rsidRDefault="008A351B" w:rsidP="00C962FE">
      <w:pPr>
        <w:widowControl w:val="0"/>
        <w:tabs>
          <w:tab w:val="left" w:pos="567"/>
        </w:tabs>
        <w:adjustRightInd w:val="0"/>
        <w:spacing w:after="0" w:line="240" w:lineRule="auto"/>
        <w:jc w:val="both"/>
        <w:textAlignment w:val="baseline"/>
        <w:rPr>
          <w:rFonts w:ascii="Verdana" w:hAnsi="Verdana"/>
          <w:color w:val="151515"/>
          <w:sz w:val="20"/>
          <w:szCs w:val="20"/>
          <w:lang w:val="es-CR" w:eastAsia="es-CR"/>
        </w:rPr>
      </w:pPr>
    </w:p>
    <w:p w14:paraId="5F6C1810" w14:textId="77777777"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Calibri" w:hAnsi="Verdana" w:cs="Arial"/>
          <w:sz w:val="20"/>
          <w:szCs w:val="20"/>
          <w:lang w:val="es-ES" w:eastAsia="es-CR"/>
        </w:rPr>
      </w:pPr>
      <w:r w:rsidRPr="000B33B9">
        <w:rPr>
          <w:rFonts w:ascii="Verdana" w:eastAsia="Verdana" w:hAnsi="Verdana" w:cs="Verdana"/>
          <w:i/>
          <w:sz w:val="20"/>
          <w:szCs w:val="20"/>
          <w:lang w:val="es-ES" w:eastAsia="es-CR"/>
        </w:rPr>
        <w:t xml:space="preserve">Trámite ante la Comisión. – </w:t>
      </w:r>
      <w:r w:rsidRPr="000B33B9">
        <w:rPr>
          <w:rFonts w:ascii="Verdana" w:eastAsia="Verdana" w:hAnsi="Verdana" w:cs="Verdana"/>
          <w:sz w:val="20"/>
          <w:szCs w:val="20"/>
          <w:lang w:val="es-ES" w:eastAsia="es-CR"/>
        </w:rPr>
        <w:t>El trámite ante la Comisión fue el siguiente:</w:t>
      </w:r>
    </w:p>
    <w:p w14:paraId="379E38EE"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Calibri" w:hAnsi="Verdana" w:cs="Arial"/>
          <w:sz w:val="20"/>
          <w:szCs w:val="20"/>
          <w:lang w:val="es-ES" w:eastAsia="es-CR"/>
        </w:rPr>
      </w:pPr>
    </w:p>
    <w:p w14:paraId="50E41758" w14:textId="47046E93" w:rsidR="00C06400" w:rsidRPr="000B33B9" w:rsidRDefault="001C05D8" w:rsidP="007B74B8">
      <w:pPr>
        <w:widowControl w:val="0"/>
        <w:numPr>
          <w:ilvl w:val="0"/>
          <w:numId w:val="11"/>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 xml:space="preserve">Petición. – </w:t>
      </w:r>
      <w:r w:rsidR="00C27650" w:rsidRPr="000B33B9">
        <w:rPr>
          <w:rFonts w:ascii="Verdana" w:eastAsia="Verdana" w:hAnsi="Verdana" w:cs="Verdana"/>
          <w:sz w:val="20"/>
          <w:szCs w:val="20"/>
          <w:lang w:val="es-ES" w:eastAsia="es-CR"/>
        </w:rPr>
        <w:t>El 11 de noviembre de 1998, el 27 de agosto de 2003 y el 8 de octubre de 2004</w:t>
      </w:r>
      <w:r w:rsidR="00C06400" w:rsidRPr="000B33B9">
        <w:rPr>
          <w:rFonts w:ascii="Verdana" w:eastAsia="Verdana" w:hAnsi="Verdana" w:cs="Verdana"/>
          <w:sz w:val="20"/>
          <w:szCs w:val="20"/>
          <w:lang w:val="es-ES" w:eastAsia="es-CR"/>
        </w:rPr>
        <w:t xml:space="preserve"> </w:t>
      </w:r>
      <w:r w:rsidR="00C27650" w:rsidRPr="000B33B9">
        <w:rPr>
          <w:rFonts w:ascii="Verdana" w:eastAsia="Verdana" w:hAnsi="Verdana" w:cs="Verdana"/>
          <w:sz w:val="20"/>
          <w:szCs w:val="20"/>
          <w:lang w:val="es-ES" w:eastAsia="es-CR"/>
        </w:rPr>
        <w:t>se</w:t>
      </w:r>
      <w:r w:rsidR="00C06400" w:rsidRPr="000B33B9">
        <w:rPr>
          <w:rFonts w:ascii="Verdana" w:eastAsia="Verdana" w:hAnsi="Verdana" w:cs="Verdana"/>
          <w:sz w:val="20"/>
          <w:szCs w:val="20"/>
          <w:lang w:val="es-ES" w:eastAsia="es-CR"/>
        </w:rPr>
        <w:t xml:space="preserve"> presentaron </w:t>
      </w:r>
      <w:r w:rsidR="00C27650" w:rsidRPr="000B33B9">
        <w:rPr>
          <w:rFonts w:ascii="Verdana" w:eastAsia="Verdana" w:hAnsi="Verdana" w:cs="Verdana"/>
          <w:sz w:val="20"/>
          <w:szCs w:val="20"/>
          <w:lang w:val="es-ES" w:eastAsia="es-CR"/>
        </w:rPr>
        <w:t>tres</w:t>
      </w:r>
      <w:r w:rsidR="002219CE" w:rsidRPr="000B33B9">
        <w:rPr>
          <w:rFonts w:ascii="Verdana" w:eastAsia="Verdana" w:hAnsi="Verdana" w:cs="Verdana"/>
          <w:sz w:val="20"/>
          <w:szCs w:val="20"/>
          <w:lang w:val="es-ES" w:eastAsia="es-CR"/>
        </w:rPr>
        <w:t xml:space="preserve"> peticiones</w:t>
      </w:r>
      <w:r w:rsidR="00C06400" w:rsidRPr="000B33B9">
        <w:rPr>
          <w:rFonts w:ascii="Verdana" w:eastAsia="Verdana" w:hAnsi="Verdana" w:cs="Verdana"/>
          <w:sz w:val="20"/>
          <w:szCs w:val="20"/>
          <w:lang w:val="es-ES" w:eastAsia="es-CR"/>
        </w:rPr>
        <w:t xml:space="preserve"> ante la Comisión</w:t>
      </w:r>
      <w:r w:rsidR="00C27650" w:rsidRPr="000B33B9">
        <w:rPr>
          <w:rFonts w:ascii="Verdana" w:eastAsia="Verdana" w:hAnsi="Verdana" w:cs="Verdana"/>
          <w:sz w:val="20"/>
          <w:szCs w:val="20"/>
          <w:lang w:val="es-ES" w:eastAsia="es-CR"/>
        </w:rPr>
        <w:t xml:space="preserve"> a favor de 703 personas</w:t>
      </w:r>
      <w:r w:rsidR="00C06400" w:rsidRPr="000B33B9">
        <w:rPr>
          <w:rFonts w:ascii="Verdana" w:eastAsia="Verdana" w:hAnsi="Verdana" w:cs="Verdana"/>
          <w:sz w:val="20"/>
          <w:szCs w:val="20"/>
          <w:lang w:val="es-ES" w:eastAsia="es-CR"/>
        </w:rPr>
        <w:t>.</w:t>
      </w:r>
    </w:p>
    <w:p w14:paraId="2334FF2A" w14:textId="77777777" w:rsidR="008A351B" w:rsidRPr="000B33B9" w:rsidRDefault="008A351B" w:rsidP="00C962FE">
      <w:pPr>
        <w:widowControl w:val="0"/>
        <w:adjustRightInd w:val="0"/>
        <w:spacing w:after="0" w:line="240" w:lineRule="auto"/>
        <w:ind w:left="816" w:right="142"/>
        <w:jc w:val="both"/>
        <w:textAlignment w:val="baseline"/>
        <w:rPr>
          <w:rFonts w:ascii="Verdana" w:eastAsia="Verdana" w:hAnsi="Verdana" w:cs="Verdana"/>
          <w:sz w:val="20"/>
          <w:szCs w:val="20"/>
          <w:lang w:val="es-ES" w:eastAsia="es-CR"/>
        </w:rPr>
      </w:pPr>
    </w:p>
    <w:p w14:paraId="59607CA2" w14:textId="77FE6B90" w:rsidR="001C05D8" w:rsidRPr="000B33B9" w:rsidRDefault="001C05D8" w:rsidP="007B74B8">
      <w:pPr>
        <w:widowControl w:val="0"/>
        <w:numPr>
          <w:ilvl w:val="0"/>
          <w:numId w:val="11"/>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 xml:space="preserve">Informe de Admisibilidad. – </w:t>
      </w:r>
      <w:r w:rsidRPr="000B33B9">
        <w:rPr>
          <w:rFonts w:ascii="Verdana" w:eastAsia="Verdana" w:hAnsi="Verdana" w:cs="Verdana"/>
          <w:sz w:val="20"/>
          <w:szCs w:val="20"/>
          <w:lang w:val="es-ES" w:eastAsia="es-CR"/>
        </w:rPr>
        <w:t xml:space="preserve">El </w:t>
      </w:r>
      <w:r w:rsidR="00CD6B75" w:rsidRPr="000B33B9">
        <w:rPr>
          <w:rFonts w:ascii="Verdana" w:eastAsia="Verdana" w:hAnsi="Verdana" w:cs="Verdana"/>
          <w:sz w:val="20"/>
          <w:szCs w:val="20"/>
          <w:lang w:val="es-ES" w:eastAsia="es-CR"/>
        </w:rPr>
        <w:t>19</w:t>
      </w:r>
      <w:r w:rsidR="002219CE" w:rsidRPr="000B33B9">
        <w:rPr>
          <w:rFonts w:ascii="Verdana" w:eastAsia="Verdana" w:hAnsi="Verdana" w:cs="Verdana"/>
          <w:sz w:val="20"/>
          <w:szCs w:val="20"/>
          <w:lang w:val="es-ES" w:eastAsia="es-CR"/>
        </w:rPr>
        <w:t xml:space="preserve"> de </w:t>
      </w:r>
      <w:r w:rsidR="00CD6B75" w:rsidRPr="000B33B9">
        <w:rPr>
          <w:rFonts w:ascii="Verdana" w:eastAsia="Verdana" w:hAnsi="Verdana" w:cs="Verdana"/>
          <w:sz w:val="20"/>
          <w:szCs w:val="20"/>
          <w:lang w:val="es-ES" w:eastAsia="es-CR"/>
        </w:rPr>
        <w:t>marzo</w:t>
      </w:r>
      <w:r w:rsidR="002219CE" w:rsidRPr="000B33B9">
        <w:rPr>
          <w:rFonts w:ascii="Verdana" w:eastAsia="Verdana" w:hAnsi="Verdana" w:cs="Verdana"/>
          <w:sz w:val="20"/>
          <w:szCs w:val="20"/>
          <w:lang w:val="es-ES" w:eastAsia="es-CR"/>
        </w:rPr>
        <w:t xml:space="preserve"> de 2009</w:t>
      </w:r>
      <w:r w:rsidRPr="000B33B9">
        <w:rPr>
          <w:rFonts w:ascii="Verdana" w:eastAsia="Verdana" w:hAnsi="Verdana" w:cs="Verdana"/>
          <w:sz w:val="20"/>
          <w:szCs w:val="20"/>
          <w:lang w:val="es-ES" w:eastAsia="es-CR"/>
        </w:rPr>
        <w:t xml:space="preserve"> la Comisión aprobó el Informe de </w:t>
      </w:r>
      <w:r w:rsidR="002219CE" w:rsidRPr="000B33B9">
        <w:rPr>
          <w:rFonts w:ascii="Verdana" w:eastAsia="Verdana" w:hAnsi="Verdana" w:cs="Verdana"/>
          <w:position w:val="-1"/>
          <w:sz w:val="20"/>
          <w:szCs w:val="20"/>
          <w:lang w:val="es-ES" w:eastAsia="es-CR"/>
        </w:rPr>
        <w:t>Admisibilidad No. 21/09</w:t>
      </w:r>
      <w:r w:rsidRPr="000B33B9">
        <w:rPr>
          <w:rStyle w:val="Refdenotaalpie"/>
          <w:rFonts w:ascii="Verdana" w:eastAsia="Verdana" w:hAnsi="Verdana" w:cs="Verdana"/>
          <w:position w:val="-1"/>
          <w:sz w:val="20"/>
          <w:szCs w:val="20"/>
          <w:lang w:val="es-ES" w:eastAsia="es-CR"/>
        </w:rPr>
        <w:footnoteReference w:id="2"/>
      </w:r>
      <w:r w:rsidR="00AA5948" w:rsidRPr="000B33B9">
        <w:rPr>
          <w:rFonts w:ascii="Verdana" w:eastAsia="Verdana" w:hAnsi="Verdana" w:cs="Verdana"/>
          <w:position w:val="-1"/>
          <w:sz w:val="20"/>
          <w:szCs w:val="20"/>
          <w:lang w:val="es-ES" w:eastAsia="es-CR"/>
        </w:rPr>
        <w:t>.</w:t>
      </w:r>
    </w:p>
    <w:p w14:paraId="1E9CB7BA" w14:textId="77777777" w:rsidR="008A351B" w:rsidRPr="000B33B9"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659A41BE" w14:textId="74986BA4" w:rsidR="001C05D8" w:rsidRPr="000B33B9" w:rsidRDefault="001C05D8" w:rsidP="007B74B8">
      <w:pPr>
        <w:widowControl w:val="0"/>
        <w:numPr>
          <w:ilvl w:val="0"/>
          <w:numId w:val="11"/>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 xml:space="preserve">Informe de Fondo. – </w:t>
      </w:r>
      <w:r w:rsidRPr="000B33B9">
        <w:rPr>
          <w:rFonts w:ascii="Verdana" w:eastAsia="Verdana" w:hAnsi="Verdana" w:cs="Verdana"/>
          <w:sz w:val="20"/>
          <w:szCs w:val="20"/>
          <w:lang w:val="es-ES" w:eastAsia="es-CR"/>
        </w:rPr>
        <w:t xml:space="preserve">El </w:t>
      </w:r>
      <w:r w:rsidR="00654EBF" w:rsidRPr="000B33B9">
        <w:rPr>
          <w:rFonts w:ascii="Verdana" w:eastAsia="Verdana" w:hAnsi="Verdana" w:cs="Verdana"/>
          <w:sz w:val="20"/>
          <w:szCs w:val="20"/>
          <w:lang w:val="es-ES" w:eastAsia="es-CR"/>
        </w:rPr>
        <w:t>23</w:t>
      </w:r>
      <w:r w:rsidR="00637034" w:rsidRPr="000B33B9">
        <w:rPr>
          <w:rFonts w:ascii="Verdana" w:eastAsia="Verdana" w:hAnsi="Verdana" w:cs="Verdana"/>
          <w:sz w:val="20"/>
          <w:szCs w:val="20"/>
          <w:lang w:val="es-ES" w:eastAsia="es-CR"/>
        </w:rPr>
        <w:t xml:space="preserve"> de mayo</w:t>
      </w:r>
      <w:r w:rsidR="005D5ED8" w:rsidRPr="000B33B9">
        <w:rPr>
          <w:rFonts w:ascii="Verdana" w:eastAsia="Verdana" w:hAnsi="Verdana" w:cs="Verdana"/>
          <w:sz w:val="20"/>
          <w:szCs w:val="20"/>
          <w:lang w:val="es-ES" w:eastAsia="es-CR"/>
        </w:rPr>
        <w:t xml:space="preserve"> de 2017</w:t>
      </w:r>
      <w:r w:rsidRPr="000B33B9">
        <w:rPr>
          <w:rFonts w:ascii="Verdana" w:eastAsia="Verdana" w:hAnsi="Verdana" w:cs="Verdana"/>
          <w:sz w:val="20"/>
          <w:szCs w:val="20"/>
          <w:lang w:val="es-ES" w:eastAsia="es-CR"/>
        </w:rPr>
        <w:t xml:space="preserve"> la Comisión </w:t>
      </w:r>
      <w:r w:rsidR="005D5ED8" w:rsidRPr="000B33B9">
        <w:rPr>
          <w:rFonts w:ascii="Verdana" w:eastAsia="Verdana" w:hAnsi="Verdana" w:cs="Verdana"/>
          <w:sz w:val="20"/>
          <w:szCs w:val="20"/>
          <w:lang w:val="es-ES" w:eastAsia="es-CR"/>
        </w:rPr>
        <w:t>a</w:t>
      </w:r>
      <w:r w:rsidR="00637034" w:rsidRPr="000B33B9">
        <w:rPr>
          <w:rFonts w:ascii="Verdana" w:eastAsia="Verdana" w:hAnsi="Verdana" w:cs="Verdana"/>
          <w:sz w:val="20"/>
          <w:szCs w:val="20"/>
          <w:lang w:val="es-ES" w:eastAsia="es-CR"/>
        </w:rPr>
        <w:t>probó el Informe de Fondo No. 41</w:t>
      </w:r>
      <w:r w:rsidRPr="000B33B9">
        <w:rPr>
          <w:rFonts w:ascii="Verdana" w:eastAsia="Verdana" w:hAnsi="Verdana" w:cs="Verdana"/>
          <w:sz w:val="20"/>
          <w:szCs w:val="20"/>
          <w:lang w:val="es-ES" w:eastAsia="es-CR"/>
        </w:rPr>
        <w:t xml:space="preserve">/17, de conformidad con el artículo 50 de la Convención (en adelante también “el Informe de Fondo” o “el Informe No. </w:t>
      </w:r>
      <w:r w:rsidR="00637034" w:rsidRPr="000B33B9">
        <w:rPr>
          <w:rFonts w:ascii="Verdana" w:eastAsia="Verdana" w:hAnsi="Verdana" w:cs="Verdana"/>
          <w:sz w:val="20"/>
          <w:szCs w:val="20"/>
          <w:lang w:val="es-ES" w:eastAsia="es-CR"/>
        </w:rPr>
        <w:t>41</w:t>
      </w:r>
      <w:r w:rsidRPr="000B33B9">
        <w:rPr>
          <w:rFonts w:ascii="Verdana" w:eastAsia="Verdana" w:hAnsi="Verdana" w:cs="Verdana"/>
          <w:sz w:val="20"/>
          <w:szCs w:val="20"/>
          <w:lang w:val="es-ES" w:eastAsia="es-CR"/>
        </w:rPr>
        <w:t>/1</w:t>
      </w:r>
      <w:r w:rsidR="00E05FB3" w:rsidRPr="000B33B9">
        <w:rPr>
          <w:rFonts w:ascii="Verdana" w:eastAsia="Verdana" w:hAnsi="Verdana" w:cs="Verdana"/>
          <w:sz w:val="20"/>
          <w:szCs w:val="20"/>
          <w:lang w:val="es-ES" w:eastAsia="es-CR"/>
        </w:rPr>
        <w:t>7</w:t>
      </w:r>
      <w:r w:rsidRPr="000B33B9">
        <w:rPr>
          <w:rFonts w:ascii="Verdana" w:eastAsia="Verdana" w:hAnsi="Verdana" w:cs="Verdana"/>
          <w:sz w:val="20"/>
          <w:szCs w:val="20"/>
          <w:lang w:val="es-ES" w:eastAsia="es-CR"/>
        </w:rPr>
        <w:t>”), en el cual llegó a una serie de conclusiones y formuló varias recomendaciones al Estado</w:t>
      </w:r>
      <w:r w:rsidR="00BF5893" w:rsidRPr="000B33B9">
        <w:rPr>
          <w:rFonts w:ascii="Verdana" w:eastAsia="Verdana" w:hAnsi="Verdana" w:cs="Verdana"/>
          <w:sz w:val="20"/>
          <w:szCs w:val="20"/>
          <w:lang w:val="es-ES" w:eastAsia="es-CR"/>
        </w:rPr>
        <w:t>.</w:t>
      </w:r>
    </w:p>
    <w:p w14:paraId="6FFABE4A" w14:textId="77777777" w:rsidR="008A351B" w:rsidRPr="000B33B9"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69D90FA1" w14:textId="053067F4" w:rsidR="001C05D8" w:rsidRPr="000B33B9" w:rsidRDefault="001C05D8" w:rsidP="007B74B8">
      <w:pPr>
        <w:widowControl w:val="0"/>
        <w:numPr>
          <w:ilvl w:val="0"/>
          <w:numId w:val="11"/>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 xml:space="preserve">Notificación al Estado. – </w:t>
      </w:r>
      <w:r w:rsidRPr="000B33B9">
        <w:rPr>
          <w:rFonts w:ascii="Verdana" w:eastAsia="Verdana" w:hAnsi="Verdana" w:cs="Verdana"/>
          <w:sz w:val="20"/>
          <w:szCs w:val="20"/>
          <w:lang w:val="es-ES" w:eastAsia="es-CR"/>
        </w:rPr>
        <w:t xml:space="preserve">El </w:t>
      </w:r>
      <w:r w:rsidR="00E176B2" w:rsidRPr="000B33B9">
        <w:rPr>
          <w:rFonts w:ascii="Verdana" w:eastAsia="Verdana" w:hAnsi="Verdana" w:cs="Verdana"/>
          <w:sz w:val="20"/>
          <w:szCs w:val="20"/>
          <w:lang w:val="es-ES" w:eastAsia="es-CR"/>
        </w:rPr>
        <w:t>15</w:t>
      </w:r>
      <w:r w:rsidR="00D17468" w:rsidRPr="000B33B9">
        <w:rPr>
          <w:rFonts w:ascii="Verdana" w:eastAsia="Verdana" w:hAnsi="Verdana" w:cs="Verdana"/>
          <w:sz w:val="20"/>
          <w:szCs w:val="20"/>
          <w:lang w:val="es-ES" w:eastAsia="es-CR"/>
        </w:rPr>
        <w:t xml:space="preserve"> de </w:t>
      </w:r>
      <w:r w:rsidR="00E176B2" w:rsidRPr="000B33B9">
        <w:rPr>
          <w:rFonts w:ascii="Verdana" w:eastAsia="Verdana" w:hAnsi="Verdana" w:cs="Verdana"/>
          <w:sz w:val="20"/>
          <w:szCs w:val="20"/>
          <w:lang w:val="es-ES" w:eastAsia="es-CR"/>
        </w:rPr>
        <w:t>junio</w:t>
      </w:r>
      <w:r w:rsidRPr="000B33B9">
        <w:rPr>
          <w:rFonts w:ascii="Verdana" w:eastAsia="Verdana" w:hAnsi="Verdana" w:cs="Verdana"/>
          <w:sz w:val="20"/>
          <w:szCs w:val="20"/>
          <w:lang w:val="es-ES" w:eastAsia="es-CR"/>
        </w:rPr>
        <w:t xml:space="preserve"> de 2017 fue notifi</w:t>
      </w:r>
      <w:r w:rsidR="00D17468" w:rsidRPr="000B33B9">
        <w:rPr>
          <w:rFonts w:ascii="Verdana" w:eastAsia="Verdana" w:hAnsi="Verdana" w:cs="Verdana"/>
          <w:sz w:val="20"/>
          <w:szCs w:val="20"/>
          <w:lang w:val="es-ES" w:eastAsia="es-CR"/>
        </w:rPr>
        <w:t>cado al Estado el Informe No. 41</w:t>
      </w:r>
      <w:r w:rsidRPr="000B33B9">
        <w:rPr>
          <w:rFonts w:ascii="Verdana" w:eastAsia="Verdana" w:hAnsi="Verdana" w:cs="Verdana"/>
          <w:sz w:val="20"/>
          <w:szCs w:val="20"/>
          <w:lang w:val="es-ES" w:eastAsia="es-CR"/>
        </w:rPr>
        <w:t>/17, otorgándole un plazo de dos meses para informar sobre el cumpl</w:t>
      </w:r>
      <w:r w:rsidR="00BF5893" w:rsidRPr="000B33B9">
        <w:rPr>
          <w:rFonts w:ascii="Verdana" w:eastAsia="Verdana" w:hAnsi="Verdana" w:cs="Verdana"/>
          <w:sz w:val="20"/>
          <w:szCs w:val="20"/>
          <w:lang w:val="es-ES" w:eastAsia="es-CR"/>
        </w:rPr>
        <w:t>imiento de las recomendaciones.</w:t>
      </w:r>
    </w:p>
    <w:p w14:paraId="7FCD368E" w14:textId="77777777" w:rsidR="008A351B" w:rsidRPr="000B33B9"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47398C1F" w14:textId="28D58ECC" w:rsidR="001C05D8" w:rsidRPr="000B33B9" w:rsidRDefault="001C05D8" w:rsidP="007B74B8">
      <w:pPr>
        <w:widowControl w:val="0"/>
        <w:numPr>
          <w:ilvl w:val="0"/>
          <w:numId w:val="11"/>
        </w:numPr>
        <w:adjustRightInd w:val="0"/>
        <w:spacing w:after="0" w:line="240" w:lineRule="auto"/>
        <w:ind w:left="816" w:right="142" w:hanging="357"/>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 xml:space="preserve">Informes sobre las recomendaciones de la Comisión. – </w:t>
      </w:r>
      <w:r w:rsidRPr="000B33B9">
        <w:rPr>
          <w:rFonts w:ascii="Verdana" w:eastAsia="Verdana" w:hAnsi="Verdana" w:cs="Verdana"/>
          <w:sz w:val="20"/>
          <w:szCs w:val="20"/>
          <w:lang w:val="es-ES" w:eastAsia="es-CR"/>
        </w:rPr>
        <w:t xml:space="preserve">El Estado </w:t>
      </w:r>
      <w:r w:rsidR="00E176B2" w:rsidRPr="000B33B9">
        <w:rPr>
          <w:rFonts w:ascii="Verdana" w:eastAsia="Verdana" w:hAnsi="Verdana" w:cs="Verdana"/>
          <w:sz w:val="20"/>
          <w:szCs w:val="20"/>
          <w:lang w:val="es-ES" w:eastAsia="es-CR"/>
        </w:rPr>
        <w:t>presentó un informe mediante el cual señaló que no incurrió en las violaciones establecidas en el Informe No. 41/17.</w:t>
      </w:r>
    </w:p>
    <w:p w14:paraId="6E238413" w14:textId="77777777" w:rsidR="008A351B" w:rsidRPr="000B33B9" w:rsidRDefault="008A351B" w:rsidP="00C962FE">
      <w:pPr>
        <w:widowControl w:val="0"/>
        <w:adjustRightInd w:val="0"/>
        <w:spacing w:after="0" w:line="240" w:lineRule="auto"/>
        <w:ind w:right="142"/>
        <w:jc w:val="both"/>
        <w:textAlignment w:val="baseline"/>
        <w:rPr>
          <w:rFonts w:ascii="Verdana" w:eastAsia="Verdana" w:hAnsi="Verdana" w:cs="Verdana"/>
          <w:sz w:val="20"/>
          <w:szCs w:val="20"/>
          <w:lang w:val="es-ES" w:eastAsia="es-CR"/>
        </w:rPr>
      </w:pPr>
    </w:p>
    <w:p w14:paraId="14E5FC6F" w14:textId="6ABE5CCC" w:rsidR="008A351B" w:rsidRPr="000B33B9" w:rsidRDefault="001C05D8" w:rsidP="007B74B8">
      <w:pPr>
        <w:widowControl w:val="0"/>
        <w:numPr>
          <w:ilvl w:val="0"/>
          <w:numId w:val="11"/>
        </w:numPr>
        <w:adjustRightInd w:val="0"/>
        <w:spacing w:after="0" w:line="240" w:lineRule="auto"/>
        <w:ind w:left="816" w:right="142" w:hanging="357"/>
        <w:jc w:val="both"/>
        <w:textAlignment w:val="baseline"/>
        <w:rPr>
          <w:rFonts w:ascii="Verdana" w:eastAsia="Times New Roman" w:hAnsi="Verdana" w:cs="Arial"/>
          <w:sz w:val="20"/>
          <w:szCs w:val="20"/>
          <w:lang w:val="es-ES" w:eastAsia="es-CR"/>
        </w:rPr>
      </w:pPr>
      <w:r w:rsidRPr="000B33B9">
        <w:rPr>
          <w:rFonts w:ascii="Verdana" w:eastAsia="Verdana" w:hAnsi="Verdana" w:cs="Verdana"/>
          <w:i/>
          <w:sz w:val="20"/>
          <w:szCs w:val="20"/>
          <w:lang w:val="es-ES" w:eastAsia="es-CR"/>
        </w:rPr>
        <w:t>Sometimiento a la Corte. –</w:t>
      </w:r>
      <w:r w:rsidRPr="000B33B9">
        <w:rPr>
          <w:rFonts w:ascii="Verdana" w:eastAsia="Verdana" w:hAnsi="Verdana" w:cs="Verdana"/>
          <w:sz w:val="20"/>
          <w:szCs w:val="20"/>
          <w:lang w:val="es-ES" w:eastAsia="es-CR"/>
        </w:rPr>
        <w:t xml:space="preserve"> El </w:t>
      </w:r>
      <w:r w:rsidR="00D17468" w:rsidRPr="000B33B9">
        <w:rPr>
          <w:rFonts w:ascii="Verdana" w:eastAsia="Verdana" w:hAnsi="Verdana" w:cs="Verdana"/>
          <w:sz w:val="20"/>
          <w:szCs w:val="20"/>
          <w:lang w:val="es-ES" w:eastAsia="es-CR"/>
        </w:rPr>
        <w:t>15</w:t>
      </w:r>
      <w:r w:rsidR="00EE634C" w:rsidRPr="000B33B9">
        <w:rPr>
          <w:rFonts w:ascii="Verdana" w:eastAsia="Verdana" w:hAnsi="Verdana" w:cs="Verdana"/>
          <w:sz w:val="20"/>
          <w:szCs w:val="20"/>
          <w:lang w:val="es-ES" w:eastAsia="es-CR"/>
        </w:rPr>
        <w:t xml:space="preserve"> d</w:t>
      </w:r>
      <w:r w:rsidR="00D17468" w:rsidRPr="000B33B9">
        <w:rPr>
          <w:rFonts w:ascii="Verdana" w:eastAsia="Verdana" w:hAnsi="Verdana" w:cs="Verdana"/>
          <w:sz w:val="20"/>
          <w:szCs w:val="20"/>
          <w:lang w:val="es-ES" w:eastAsia="es-CR"/>
        </w:rPr>
        <w:t>e septiembre de 2017</w:t>
      </w:r>
      <w:r w:rsidR="00E87C57" w:rsidRPr="000B33B9">
        <w:rPr>
          <w:rFonts w:ascii="Verdana" w:eastAsia="Verdana" w:hAnsi="Verdana" w:cs="Verdana"/>
          <w:sz w:val="20"/>
          <w:szCs w:val="20"/>
          <w:lang w:val="es-ES" w:eastAsia="es-CR"/>
        </w:rPr>
        <w:t xml:space="preserve"> </w:t>
      </w:r>
      <w:r w:rsidRPr="000B33B9">
        <w:rPr>
          <w:rFonts w:ascii="Verdana" w:eastAsia="Verdana" w:hAnsi="Verdana" w:cs="Verdana"/>
          <w:sz w:val="20"/>
          <w:szCs w:val="20"/>
          <w:lang w:val="es-ES" w:eastAsia="es-CR"/>
        </w:rPr>
        <w:t>la Comisión sometió a la jurisdicción de la Corte Interamericana la totalidad de los hechos y violaciones de derechos humanos descritos en el Informe de Fondo</w:t>
      </w:r>
      <w:r w:rsidRPr="000B33B9">
        <w:rPr>
          <w:rFonts w:ascii="Verdana" w:eastAsia="Verdana" w:hAnsi="Verdana" w:cs="Verdana"/>
          <w:sz w:val="20"/>
          <w:szCs w:val="20"/>
          <w:vertAlign w:val="superscript"/>
          <w:lang w:val="es-ES" w:eastAsia="es-CR"/>
        </w:rPr>
        <w:footnoteReference w:id="3"/>
      </w:r>
      <w:r w:rsidR="00BF5893" w:rsidRPr="000B33B9">
        <w:rPr>
          <w:rFonts w:ascii="Verdana" w:eastAsia="Verdana" w:hAnsi="Verdana" w:cs="Verdana"/>
          <w:sz w:val="20"/>
          <w:szCs w:val="20"/>
          <w:lang w:val="es-ES" w:eastAsia="es-CR"/>
        </w:rPr>
        <w:t>.</w:t>
      </w:r>
    </w:p>
    <w:p w14:paraId="3839BBAD" w14:textId="77777777" w:rsidR="008A351B" w:rsidRPr="000B33B9" w:rsidRDefault="008A351B" w:rsidP="00C962FE">
      <w:pPr>
        <w:widowControl w:val="0"/>
        <w:adjustRightInd w:val="0"/>
        <w:spacing w:after="0" w:line="240" w:lineRule="auto"/>
        <w:ind w:right="142"/>
        <w:jc w:val="both"/>
        <w:textAlignment w:val="baseline"/>
        <w:rPr>
          <w:rFonts w:ascii="Verdana" w:eastAsia="Times New Roman" w:hAnsi="Verdana" w:cs="Arial"/>
          <w:sz w:val="20"/>
          <w:szCs w:val="20"/>
          <w:lang w:val="es-ES" w:eastAsia="es-CR"/>
        </w:rPr>
      </w:pPr>
    </w:p>
    <w:p w14:paraId="685A68E3" w14:textId="25DACD6F"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Solicitudes de la Comisión Interamericana. –</w:t>
      </w:r>
      <w:r w:rsidR="00604B8A" w:rsidRPr="000B33B9">
        <w:rPr>
          <w:rFonts w:ascii="Verdana" w:eastAsia="Verdana" w:hAnsi="Verdana" w:cs="Verdana"/>
          <w:i/>
          <w:sz w:val="20"/>
          <w:szCs w:val="20"/>
          <w:lang w:val="es-ES" w:eastAsia="es-CR"/>
        </w:rPr>
        <w:t xml:space="preserve"> </w:t>
      </w:r>
      <w:r w:rsidR="00604B8A" w:rsidRPr="000B33B9">
        <w:rPr>
          <w:rFonts w:ascii="Verdana" w:eastAsia="Verdana" w:hAnsi="Verdana" w:cs="Verdana"/>
          <w:sz w:val="20"/>
          <w:szCs w:val="20"/>
          <w:lang w:val="es-ES" w:eastAsia="es-CR"/>
        </w:rPr>
        <w:t>L</w:t>
      </w:r>
      <w:r w:rsidRPr="000B33B9">
        <w:rPr>
          <w:rFonts w:ascii="Verdana" w:eastAsia="Verdana" w:hAnsi="Verdana" w:cs="Verdana"/>
          <w:sz w:val="20"/>
          <w:szCs w:val="20"/>
          <w:lang w:val="es-ES" w:eastAsia="es-CR"/>
        </w:rPr>
        <w:t xml:space="preserve">a Comisión solicitó a </w:t>
      </w:r>
      <w:r w:rsidR="00604B8A" w:rsidRPr="000B33B9">
        <w:rPr>
          <w:rFonts w:ascii="Verdana" w:eastAsia="Verdana" w:hAnsi="Verdana" w:cs="Verdana"/>
          <w:sz w:val="20"/>
          <w:szCs w:val="20"/>
          <w:lang w:val="es-ES" w:eastAsia="es-CR"/>
        </w:rPr>
        <w:t>este Tribunal</w:t>
      </w:r>
      <w:r w:rsidRPr="000B33B9">
        <w:rPr>
          <w:rFonts w:ascii="Verdana" w:eastAsia="Verdana" w:hAnsi="Verdana" w:cs="Verdana"/>
          <w:sz w:val="20"/>
          <w:szCs w:val="20"/>
          <w:lang w:val="es-ES" w:eastAsia="es-CR"/>
        </w:rPr>
        <w:t xml:space="preserve"> que </w:t>
      </w:r>
      <w:r w:rsidR="00604B8A" w:rsidRPr="000B33B9">
        <w:rPr>
          <w:rFonts w:ascii="Verdana" w:eastAsia="Verdana" w:hAnsi="Verdana" w:cs="Verdana"/>
          <w:sz w:val="20"/>
          <w:szCs w:val="20"/>
          <w:lang w:val="es-ES" w:eastAsia="es-CR"/>
        </w:rPr>
        <w:t xml:space="preserve">concluya y </w:t>
      </w:r>
      <w:r w:rsidRPr="000B33B9">
        <w:rPr>
          <w:rFonts w:ascii="Verdana" w:eastAsia="Verdana" w:hAnsi="Verdana" w:cs="Verdana"/>
          <w:sz w:val="20"/>
          <w:szCs w:val="20"/>
          <w:lang w:val="es-ES" w:eastAsia="es-CR"/>
        </w:rPr>
        <w:t>declar</w:t>
      </w:r>
      <w:r w:rsidR="00604B8A" w:rsidRPr="000B33B9">
        <w:rPr>
          <w:rFonts w:ascii="Verdana" w:eastAsia="Verdana" w:hAnsi="Verdana" w:cs="Verdana"/>
          <w:sz w:val="20"/>
          <w:szCs w:val="20"/>
          <w:lang w:val="es-ES" w:eastAsia="es-CR"/>
        </w:rPr>
        <w:t>e</w:t>
      </w:r>
      <w:r w:rsidRPr="000B33B9">
        <w:rPr>
          <w:rFonts w:ascii="Verdana" w:eastAsia="Verdana" w:hAnsi="Verdana" w:cs="Verdana"/>
          <w:sz w:val="20"/>
          <w:szCs w:val="20"/>
          <w:lang w:val="es-ES" w:eastAsia="es-CR"/>
        </w:rPr>
        <w:t xml:space="preserve"> la responsabilidad internacional del Estado por las violaciones </w:t>
      </w:r>
      <w:r w:rsidR="00604B8A" w:rsidRPr="000B33B9">
        <w:rPr>
          <w:rFonts w:ascii="Verdana" w:eastAsia="Verdana" w:hAnsi="Verdana" w:cs="Verdana"/>
          <w:sz w:val="20"/>
          <w:szCs w:val="20"/>
          <w:lang w:val="es-ES" w:eastAsia="es-CR"/>
        </w:rPr>
        <w:t>contenidas en el Informe d</w:t>
      </w:r>
      <w:r w:rsidR="00D17468" w:rsidRPr="000B33B9">
        <w:rPr>
          <w:rFonts w:ascii="Verdana" w:eastAsia="Verdana" w:hAnsi="Verdana" w:cs="Verdana"/>
          <w:sz w:val="20"/>
          <w:szCs w:val="20"/>
          <w:lang w:val="es-ES" w:eastAsia="es-CR"/>
        </w:rPr>
        <w:t>e Fondo y que ordene a Perú</w:t>
      </w:r>
      <w:r w:rsidR="00604B8A" w:rsidRPr="000B33B9">
        <w:rPr>
          <w:rFonts w:ascii="Verdana" w:eastAsia="Verdana" w:hAnsi="Verdana" w:cs="Verdana"/>
          <w:sz w:val="20"/>
          <w:szCs w:val="20"/>
          <w:lang w:val="es-ES" w:eastAsia="es-CR"/>
        </w:rPr>
        <w:t>, como me</w:t>
      </w:r>
      <w:r w:rsidR="00A7367D" w:rsidRPr="000B33B9">
        <w:rPr>
          <w:rFonts w:ascii="Verdana" w:eastAsia="Verdana" w:hAnsi="Verdana" w:cs="Verdana"/>
          <w:sz w:val="20"/>
          <w:szCs w:val="20"/>
          <w:lang w:val="es-ES" w:eastAsia="es-CR"/>
        </w:rPr>
        <w:t>didas de reparación, las recomendaciones incluidas en el mismo (</w:t>
      </w:r>
      <w:r w:rsidR="00904755" w:rsidRPr="000B33B9">
        <w:rPr>
          <w:rFonts w:ascii="Verdana" w:eastAsia="Verdana" w:hAnsi="Verdana" w:cs="Verdana"/>
          <w:i/>
          <w:sz w:val="20"/>
          <w:szCs w:val="20"/>
          <w:lang w:val="es-ES" w:eastAsia="es-CR"/>
        </w:rPr>
        <w:t>supra</w:t>
      </w:r>
      <w:r w:rsidR="00A7367D" w:rsidRPr="000B33B9">
        <w:rPr>
          <w:rFonts w:ascii="Verdana" w:eastAsia="Verdana" w:hAnsi="Verdana" w:cs="Verdana"/>
          <w:i/>
          <w:sz w:val="20"/>
          <w:szCs w:val="20"/>
          <w:lang w:val="es-ES" w:eastAsia="es-CR"/>
        </w:rPr>
        <w:t xml:space="preserve"> </w:t>
      </w:r>
      <w:r w:rsidR="00397A38" w:rsidRPr="000B33B9">
        <w:rPr>
          <w:rFonts w:ascii="Verdana" w:eastAsia="Verdana" w:hAnsi="Verdana" w:cs="Verdana"/>
          <w:sz w:val="20"/>
          <w:szCs w:val="20"/>
          <w:lang w:val="es-ES" w:eastAsia="es-CR"/>
        </w:rPr>
        <w:t>párr. 2.c</w:t>
      </w:r>
      <w:r w:rsidR="00A7367D" w:rsidRPr="000B33B9">
        <w:rPr>
          <w:rFonts w:ascii="Verdana" w:eastAsia="Verdana" w:hAnsi="Verdana" w:cs="Verdana"/>
          <w:sz w:val="20"/>
          <w:szCs w:val="20"/>
          <w:lang w:val="es-ES" w:eastAsia="es-CR"/>
        </w:rPr>
        <w:t>)</w:t>
      </w:r>
      <w:r w:rsidR="00397A38" w:rsidRPr="000B33B9">
        <w:rPr>
          <w:rFonts w:ascii="Verdana" w:eastAsia="Verdana" w:hAnsi="Verdana" w:cs="Verdana"/>
          <w:sz w:val="20"/>
          <w:szCs w:val="20"/>
          <w:lang w:val="es-ES" w:eastAsia="es-CR"/>
        </w:rPr>
        <w:t>.</w:t>
      </w:r>
    </w:p>
    <w:p w14:paraId="6E41B393" w14:textId="77777777" w:rsidR="00AE50C3" w:rsidRPr="000B33B9" w:rsidRDefault="00AE50C3" w:rsidP="00AE50C3">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6F76C193" w14:textId="77777777" w:rsidR="001C05D8" w:rsidRPr="000B33B9" w:rsidRDefault="001C05D8" w:rsidP="003C0487">
      <w:pPr>
        <w:pStyle w:val="Ttulo1"/>
        <w:rPr>
          <w:rFonts w:eastAsia="Times New Roman" w:cs="Verdana"/>
          <w:b w:val="0"/>
          <w:bCs/>
          <w:caps/>
          <w:snapToGrid w:val="0"/>
          <w:lang w:val="es-ES_tradnl"/>
        </w:rPr>
      </w:pPr>
      <w:bookmarkStart w:id="4" w:name="_Toc494123964"/>
      <w:bookmarkStart w:id="5" w:name="_Toc27329738"/>
      <w:r w:rsidRPr="000B33B9">
        <w:rPr>
          <w:rFonts w:eastAsia="Times New Roman" w:cs="Verdana"/>
          <w:bCs/>
          <w:caps/>
          <w:snapToGrid w:val="0"/>
          <w:lang w:val="es-ES_tradnl"/>
        </w:rPr>
        <w:t>II</w:t>
      </w:r>
      <w:r w:rsidRPr="000B33B9">
        <w:rPr>
          <w:rFonts w:eastAsia="Times New Roman" w:cs="Verdana"/>
          <w:bCs/>
          <w:caps/>
          <w:snapToGrid w:val="0"/>
          <w:lang w:val="es-ES_tradnl"/>
        </w:rPr>
        <w:br/>
        <w:t>PROCEDIMIENTO ANTE LA CORTE</w:t>
      </w:r>
      <w:bookmarkEnd w:id="4"/>
      <w:bookmarkEnd w:id="5"/>
    </w:p>
    <w:p w14:paraId="0BABF6FA" w14:textId="77777777" w:rsidR="008A351B" w:rsidRPr="000B33B9" w:rsidRDefault="008A351B" w:rsidP="00C962FE">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p>
    <w:p w14:paraId="39ED20EF" w14:textId="4C394596"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0B33B9">
        <w:rPr>
          <w:rFonts w:ascii="Verdana" w:eastAsia="Verdana" w:hAnsi="Verdana" w:cs="Verdana"/>
          <w:i/>
          <w:sz w:val="20"/>
          <w:szCs w:val="20"/>
          <w:lang w:val="es-ES" w:eastAsia="es-CR"/>
        </w:rPr>
        <w:t>Notificación a</w:t>
      </w:r>
      <w:r w:rsidR="00654EBF" w:rsidRPr="000B33B9">
        <w:rPr>
          <w:rFonts w:ascii="Verdana" w:eastAsia="Verdana" w:hAnsi="Verdana" w:cs="Verdana"/>
          <w:i/>
          <w:sz w:val="20"/>
          <w:szCs w:val="20"/>
          <w:lang w:val="es-ES" w:eastAsia="es-CR"/>
        </w:rPr>
        <w:t xml:space="preserve"> </w:t>
      </w:r>
      <w:r w:rsidRPr="000B33B9">
        <w:rPr>
          <w:rFonts w:ascii="Verdana" w:eastAsia="Verdana" w:hAnsi="Verdana" w:cs="Verdana"/>
          <w:i/>
          <w:sz w:val="20"/>
          <w:szCs w:val="20"/>
          <w:lang w:val="es-ES" w:eastAsia="es-CR"/>
        </w:rPr>
        <w:t>l</w:t>
      </w:r>
      <w:r w:rsidR="00654EBF" w:rsidRPr="000B33B9">
        <w:rPr>
          <w:rFonts w:ascii="Verdana" w:eastAsia="Verdana" w:hAnsi="Verdana" w:cs="Verdana"/>
          <w:i/>
          <w:sz w:val="20"/>
          <w:szCs w:val="20"/>
          <w:lang w:val="es-ES" w:eastAsia="es-CR"/>
        </w:rPr>
        <w:t>os</w:t>
      </w:r>
      <w:r w:rsidRPr="000B33B9">
        <w:rPr>
          <w:rFonts w:ascii="Verdana" w:eastAsia="Verdana" w:hAnsi="Verdana" w:cs="Verdana"/>
          <w:i/>
          <w:sz w:val="20"/>
          <w:szCs w:val="20"/>
          <w:lang w:val="es-ES" w:eastAsia="es-CR"/>
        </w:rPr>
        <w:t xml:space="preserve"> representante</w:t>
      </w:r>
      <w:r w:rsidR="00654EBF" w:rsidRPr="000B33B9">
        <w:rPr>
          <w:rFonts w:ascii="Verdana" w:eastAsia="Verdana" w:hAnsi="Verdana" w:cs="Verdana"/>
          <w:i/>
          <w:sz w:val="20"/>
          <w:szCs w:val="20"/>
          <w:lang w:val="es-ES" w:eastAsia="es-CR"/>
        </w:rPr>
        <w:t>s</w:t>
      </w:r>
      <w:r w:rsidRPr="000B33B9">
        <w:rPr>
          <w:rFonts w:ascii="Verdana" w:eastAsia="Verdana" w:hAnsi="Verdana" w:cs="Verdana"/>
          <w:i/>
          <w:sz w:val="20"/>
          <w:szCs w:val="20"/>
          <w:lang w:val="es-ES" w:eastAsia="es-CR"/>
        </w:rPr>
        <w:t xml:space="preserve"> y al Estado. – </w:t>
      </w:r>
      <w:r w:rsidRPr="000B33B9">
        <w:rPr>
          <w:rFonts w:ascii="Verdana" w:eastAsia="Verdana" w:hAnsi="Verdana" w:cs="Verdana"/>
          <w:sz w:val="20"/>
          <w:szCs w:val="20"/>
          <w:lang w:val="es-ES" w:eastAsia="es-CR"/>
        </w:rPr>
        <w:t>El sometimiento del caso por parte de la Comisión fue notificado por la Corte a</w:t>
      </w:r>
      <w:r w:rsidR="002B6281" w:rsidRPr="000B33B9">
        <w:rPr>
          <w:rFonts w:ascii="Verdana" w:eastAsia="Verdana" w:hAnsi="Verdana" w:cs="Verdana"/>
          <w:sz w:val="20"/>
          <w:szCs w:val="20"/>
          <w:lang w:val="es-ES" w:eastAsia="es-CR"/>
        </w:rPr>
        <w:t xml:space="preserve"> los</w:t>
      </w:r>
      <w:r w:rsidRPr="000B33B9">
        <w:rPr>
          <w:rFonts w:ascii="Verdana" w:eastAsia="Verdana" w:hAnsi="Verdana" w:cs="Verdana"/>
          <w:sz w:val="20"/>
          <w:szCs w:val="20"/>
          <w:lang w:val="es-ES" w:eastAsia="es-CR"/>
        </w:rPr>
        <w:t xml:space="preserve"> representante</w:t>
      </w:r>
      <w:r w:rsidR="002B6281" w:rsidRPr="000B33B9">
        <w:rPr>
          <w:rFonts w:ascii="Verdana" w:eastAsia="Verdana" w:hAnsi="Verdana" w:cs="Verdana"/>
          <w:sz w:val="20"/>
          <w:szCs w:val="20"/>
          <w:lang w:val="es-ES" w:eastAsia="es-CR"/>
        </w:rPr>
        <w:t>s de la</w:t>
      </w:r>
      <w:r w:rsidR="00A56DA6" w:rsidRPr="000B33B9">
        <w:rPr>
          <w:rFonts w:ascii="Verdana" w:eastAsia="Verdana" w:hAnsi="Verdana" w:cs="Verdana"/>
          <w:sz w:val="20"/>
          <w:szCs w:val="20"/>
          <w:lang w:val="es-ES" w:eastAsia="es-CR"/>
        </w:rPr>
        <w:t>s</w:t>
      </w:r>
      <w:r w:rsidRPr="000B33B9">
        <w:rPr>
          <w:rFonts w:ascii="Verdana" w:eastAsia="Verdana" w:hAnsi="Verdana" w:cs="Verdana"/>
          <w:sz w:val="20"/>
          <w:szCs w:val="20"/>
          <w:lang w:val="es-ES" w:eastAsia="es-CR"/>
        </w:rPr>
        <w:t xml:space="preserve"> presuntas víctimas (en adelante “l</w:t>
      </w:r>
      <w:r w:rsidR="00C70633" w:rsidRPr="000B33B9">
        <w:rPr>
          <w:rFonts w:ascii="Verdana" w:eastAsia="Verdana" w:hAnsi="Verdana" w:cs="Verdana"/>
          <w:sz w:val="20"/>
          <w:szCs w:val="20"/>
          <w:lang w:val="es-ES" w:eastAsia="es-CR"/>
        </w:rPr>
        <w:t>o</w:t>
      </w:r>
      <w:r w:rsidRPr="000B33B9">
        <w:rPr>
          <w:rFonts w:ascii="Verdana" w:eastAsia="Verdana" w:hAnsi="Verdana" w:cs="Verdana"/>
          <w:sz w:val="20"/>
          <w:szCs w:val="20"/>
          <w:lang w:val="es-ES" w:eastAsia="es-CR"/>
        </w:rPr>
        <w:t xml:space="preserve">s representantes”) </w:t>
      </w:r>
      <w:r w:rsidR="00F017FC" w:rsidRPr="000B33B9">
        <w:rPr>
          <w:rFonts w:ascii="Verdana" w:eastAsia="Verdana" w:hAnsi="Verdana" w:cs="Verdana"/>
          <w:sz w:val="20"/>
          <w:szCs w:val="20"/>
          <w:lang w:val="es-ES" w:eastAsia="es-CR"/>
        </w:rPr>
        <w:t>el 26 de febrero</w:t>
      </w:r>
      <w:r w:rsidRPr="000B33B9">
        <w:rPr>
          <w:rFonts w:ascii="Verdana" w:eastAsia="Verdana" w:hAnsi="Verdana" w:cs="Verdana"/>
          <w:sz w:val="20"/>
          <w:szCs w:val="20"/>
          <w:lang w:val="es-ES" w:eastAsia="es-CR"/>
        </w:rPr>
        <w:t xml:space="preserve"> de 2018</w:t>
      </w:r>
      <w:r w:rsidR="00406957" w:rsidRPr="000B33B9">
        <w:rPr>
          <w:rFonts w:ascii="Verdana" w:eastAsia="Verdana" w:hAnsi="Verdana" w:cs="Verdana"/>
          <w:sz w:val="20"/>
          <w:szCs w:val="20"/>
          <w:lang w:val="es-ES" w:eastAsia="es-CR"/>
        </w:rPr>
        <w:t>.</w:t>
      </w:r>
    </w:p>
    <w:p w14:paraId="2F6712C5"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59154677" w14:textId="7EE1B243"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u w:val="single"/>
          <w:lang w:val="es-ES" w:eastAsia="es-CR"/>
        </w:rPr>
      </w:pPr>
      <w:r w:rsidRPr="000B33B9">
        <w:rPr>
          <w:rFonts w:ascii="Verdana" w:eastAsia="Verdana" w:hAnsi="Verdana" w:cs="Verdana"/>
          <w:i/>
          <w:sz w:val="20"/>
          <w:szCs w:val="20"/>
          <w:lang w:val="es-ES" w:eastAsia="es-CR"/>
        </w:rPr>
        <w:t xml:space="preserve">Escrito de solicitudes, argumentos y pruebas. – </w:t>
      </w:r>
      <w:r w:rsidRPr="000B33B9">
        <w:rPr>
          <w:rFonts w:ascii="Verdana" w:eastAsia="Verdana" w:hAnsi="Verdana" w:cs="Verdana"/>
          <w:sz w:val="20"/>
          <w:szCs w:val="20"/>
          <w:lang w:val="es-ES" w:eastAsia="es-CR"/>
        </w:rPr>
        <w:t xml:space="preserve">El </w:t>
      </w:r>
      <w:r w:rsidR="00E934D6" w:rsidRPr="000B33B9">
        <w:rPr>
          <w:rFonts w:ascii="Verdana" w:eastAsia="Verdana" w:hAnsi="Verdana" w:cs="Verdana"/>
          <w:sz w:val="20"/>
          <w:szCs w:val="20"/>
          <w:lang w:val="es-ES" w:eastAsia="es-CR"/>
        </w:rPr>
        <w:t>26 de abril</w:t>
      </w:r>
      <w:r w:rsidRPr="000B33B9">
        <w:rPr>
          <w:rFonts w:ascii="Verdana" w:eastAsia="Verdana" w:hAnsi="Verdana" w:cs="Verdana"/>
          <w:sz w:val="20"/>
          <w:szCs w:val="20"/>
          <w:lang w:val="es-ES" w:eastAsia="es-CR"/>
        </w:rPr>
        <w:t xml:space="preserve"> </w:t>
      </w:r>
      <w:r w:rsidR="004933DC" w:rsidRPr="000B33B9">
        <w:rPr>
          <w:rFonts w:ascii="Verdana" w:eastAsia="Verdana" w:hAnsi="Verdana" w:cs="Verdana"/>
          <w:sz w:val="20"/>
          <w:szCs w:val="20"/>
          <w:lang w:val="es-ES" w:eastAsia="es-CR"/>
        </w:rPr>
        <w:t xml:space="preserve">y del 12 de junio </w:t>
      </w:r>
      <w:r w:rsidRPr="000B33B9">
        <w:rPr>
          <w:rFonts w:ascii="Verdana" w:eastAsia="Verdana" w:hAnsi="Verdana" w:cs="Verdana"/>
          <w:sz w:val="20"/>
          <w:szCs w:val="20"/>
          <w:lang w:val="es-ES" w:eastAsia="es-CR"/>
        </w:rPr>
        <w:t>de 2018</w:t>
      </w:r>
      <w:r w:rsidR="004933DC" w:rsidRPr="000B33B9">
        <w:rPr>
          <w:rStyle w:val="Refdenotaalpie"/>
          <w:rFonts w:ascii="Verdana" w:eastAsia="Verdana" w:hAnsi="Verdana" w:cs="Verdana"/>
          <w:sz w:val="20"/>
          <w:szCs w:val="20"/>
          <w:lang w:val="es-ES" w:eastAsia="es-CR"/>
        </w:rPr>
        <w:footnoteReference w:id="4"/>
      </w:r>
      <w:r w:rsidRPr="000B33B9">
        <w:rPr>
          <w:rFonts w:ascii="Verdana" w:eastAsia="Verdana" w:hAnsi="Verdana" w:cs="Verdana"/>
          <w:sz w:val="20"/>
          <w:szCs w:val="20"/>
          <w:lang w:val="es-ES" w:eastAsia="es-CR"/>
        </w:rPr>
        <w:t xml:space="preserve"> </w:t>
      </w:r>
      <w:r w:rsidR="00C27C71" w:rsidRPr="000B33B9">
        <w:rPr>
          <w:rFonts w:ascii="Verdana" w:eastAsia="Verdana" w:hAnsi="Verdana" w:cs="Verdana"/>
          <w:sz w:val="20"/>
          <w:szCs w:val="20"/>
          <w:lang w:val="es-ES" w:eastAsia="es-CR"/>
        </w:rPr>
        <w:t>los</w:t>
      </w:r>
      <w:r w:rsidRPr="000B33B9">
        <w:rPr>
          <w:rFonts w:ascii="Verdana" w:eastAsia="Verdana" w:hAnsi="Verdana" w:cs="Verdana"/>
          <w:sz w:val="20"/>
          <w:szCs w:val="20"/>
          <w:lang w:val="es-ES" w:eastAsia="es-CR"/>
        </w:rPr>
        <w:t xml:space="preserve"> </w:t>
      </w:r>
      <w:r w:rsidRPr="000B33B9">
        <w:rPr>
          <w:rFonts w:ascii="Verdana" w:eastAsia="Calibri" w:hAnsi="Verdana" w:cs="Arial"/>
          <w:sz w:val="20"/>
          <w:szCs w:val="20"/>
          <w:lang w:val="es-ES" w:eastAsia="es-CR"/>
        </w:rPr>
        <w:t>representantes</w:t>
      </w:r>
      <w:r w:rsidRPr="000B33B9">
        <w:rPr>
          <w:rFonts w:ascii="Verdana" w:eastAsia="Verdana" w:hAnsi="Verdana" w:cs="Verdana"/>
          <w:sz w:val="20"/>
          <w:szCs w:val="20"/>
          <w:lang w:val="es-ES" w:eastAsia="es-CR"/>
        </w:rPr>
        <w:t xml:space="preserve"> presentaron ante la Corte su escrito de solicitudes, argumentos y pruebas (en adelante “escrito de solicitudes y argumentos” o </w:t>
      </w:r>
      <w:r w:rsidR="00E05FB3" w:rsidRPr="000B33B9">
        <w:rPr>
          <w:rFonts w:ascii="Verdana" w:eastAsia="Verdana" w:hAnsi="Verdana" w:cs="Verdana"/>
          <w:sz w:val="20"/>
          <w:szCs w:val="20"/>
          <w:lang w:val="es-ES" w:eastAsia="es-CR"/>
        </w:rPr>
        <w:t>“</w:t>
      </w:r>
      <w:r w:rsidRPr="000B33B9">
        <w:rPr>
          <w:rFonts w:ascii="Verdana" w:eastAsia="Verdana" w:hAnsi="Verdana" w:cs="Verdana"/>
          <w:sz w:val="20"/>
          <w:szCs w:val="20"/>
          <w:lang w:val="es-ES" w:eastAsia="es-CR"/>
        </w:rPr>
        <w:t>ESAP</w:t>
      </w:r>
      <w:r w:rsidR="00E05FB3" w:rsidRPr="000B33B9">
        <w:rPr>
          <w:rFonts w:ascii="Verdana" w:eastAsia="Verdana" w:hAnsi="Verdana" w:cs="Verdana"/>
          <w:sz w:val="20"/>
          <w:szCs w:val="20"/>
          <w:lang w:val="es-ES" w:eastAsia="es-CR"/>
        </w:rPr>
        <w:t>”</w:t>
      </w:r>
      <w:r w:rsidRPr="000B33B9">
        <w:rPr>
          <w:rFonts w:ascii="Verdana" w:eastAsia="Verdana" w:hAnsi="Verdana" w:cs="Verdana"/>
          <w:sz w:val="20"/>
          <w:szCs w:val="20"/>
          <w:lang w:val="es-ES" w:eastAsia="es-CR"/>
        </w:rPr>
        <w:t>). Los representantes</w:t>
      </w:r>
      <w:r w:rsidR="00130BEF" w:rsidRPr="000B33B9">
        <w:rPr>
          <w:rFonts w:ascii="Verdana" w:eastAsia="Verdana" w:hAnsi="Verdana" w:cs="Verdana"/>
          <w:sz w:val="20"/>
          <w:szCs w:val="20"/>
          <w:lang w:val="es-ES" w:eastAsia="es-CR"/>
        </w:rPr>
        <w:t xml:space="preserve"> </w:t>
      </w:r>
      <w:r w:rsidRPr="000B33B9">
        <w:rPr>
          <w:rFonts w:ascii="Verdana" w:eastAsia="Verdana" w:hAnsi="Verdana" w:cs="Verdana"/>
          <w:sz w:val="20"/>
          <w:szCs w:val="20"/>
          <w:lang w:val="es-ES" w:eastAsia="es-CR"/>
        </w:rPr>
        <w:t xml:space="preserve">remitieron </w:t>
      </w:r>
      <w:r w:rsidR="00130BEF" w:rsidRPr="000B33B9">
        <w:rPr>
          <w:rFonts w:ascii="Verdana" w:eastAsia="Verdana" w:hAnsi="Verdana" w:cs="Verdana"/>
          <w:sz w:val="20"/>
          <w:szCs w:val="20"/>
          <w:lang w:val="es-ES" w:eastAsia="es-CR"/>
        </w:rPr>
        <w:t xml:space="preserve">y </w:t>
      </w:r>
      <w:r w:rsidR="00654EBF" w:rsidRPr="000B33B9">
        <w:rPr>
          <w:rFonts w:ascii="Verdana" w:eastAsia="Verdana" w:hAnsi="Verdana" w:cs="Verdana"/>
          <w:sz w:val="20"/>
          <w:szCs w:val="20"/>
          <w:lang w:val="es-ES" w:eastAsia="es-CR"/>
        </w:rPr>
        <w:t xml:space="preserve">se </w:t>
      </w:r>
      <w:r w:rsidR="00130BEF" w:rsidRPr="000B33B9">
        <w:rPr>
          <w:rFonts w:ascii="Verdana" w:eastAsia="Verdana" w:hAnsi="Verdana" w:cs="Verdana"/>
          <w:sz w:val="20"/>
          <w:szCs w:val="20"/>
          <w:lang w:val="es-ES" w:eastAsia="es-CR"/>
        </w:rPr>
        <w:t>adhirieron</w:t>
      </w:r>
      <w:r w:rsidR="00654EBF" w:rsidRPr="000B33B9">
        <w:rPr>
          <w:rFonts w:ascii="Verdana" w:eastAsia="Verdana" w:hAnsi="Verdana" w:cs="Verdana"/>
          <w:sz w:val="20"/>
          <w:szCs w:val="20"/>
          <w:lang w:val="es-ES" w:eastAsia="es-CR"/>
        </w:rPr>
        <w:t xml:space="preserve"> a</w:t>
      </w:r>
      <w:r w:rsidRPr="000B33B9">
        <w:rPr>
          <w:rFonts w:ascii="Verdana" w:eastAsia="Verdana" w:hAnsi="Verdana" w:cs="Verdana"/>
          <w:sz w:val="20"/>
          <w:szCs w:val="20"/>
          <w:lang w:val="es-ES" w:eastAsia="es-CR"/>
        </w:rPr>
        <w:t xml:space="preserve"> la descripción de hechos efectuada por la Comisión. De igual manera, se adhirieron a los alegatos de la Comisión en cuanto a la</w:t>
      </w:r>
      <w:r w:rsidR="001B2451" w:rsidRPr="000B33B9">
        <w:rPr>
          <w:rFonts w:ascii="Verdana" w:eastAsia="Verdana" w:hAnsi="Verdana" w:cs="Verdana"/>
          <w:sz w:val="20"/>
          <w:szCs w:val="20"/>
          <w:lang w:val="es-ES" w:eastAsia="es-CR"/>
        </w:rPr>
        <w:t>s</w:t>
      </w:r>
      <w:r w:rsidRPr="000B33B9">
        <w:rPr>
          <w:rFonts w:ascii="Verdana" w:eastAsia="Verdana" w:hAnsi="Verdana" w:cs="Verdana"/>
          <w:sz w:val="20"/>
          <w:szCs w:val="20"/>
          <w:lang w:val="es-ES" w:eastAsia="es-CR"/>
        </w:rPr>
        <w:t xml:space="preserve"> </w:t>
      </w:r>
      <w:r w:rsidR="001B2451" w:rsidRPr="000B33B9">
        <w:rPr>
          <w:rFonts w:ascii="Verdana" w:eastAsia="Verdana" w:hAnsi="Verdana" w:cs="Verdana"/>
          <w:sz w:val="20"/>
          <w:szCs w:val="20"/>
          <w:lang w:val="es-ES" w:eastAsia="es-CR"/>
        </w:rPr>
        <w:t>excepciones</w:t>
      </w:r>
      <w:r w:rsidR="00B075C4" w:rsidRPr="000B33B9">
        <w:rPr>
          <w:rFonts w:ascii="Verdana" w:eastAsia="Verdana" w:hAnsi="Verdana" w:cs="Verdana"/>
          <w:sz w:val="20"/>
          <w:szCs w:val="20"/>
          <w:lang w:val="es-ES" w:eastAsia="es-CR"/>
        </w:rPr>
        <w:t xml:space="preserve"> preliminar</w:t>
      </w:r>
      <w:r w:rsidR="001B2451" w:rsidRPr="000B33B9">
        <w:rPr>
          <w:rFonts w:ascii="Verdana" w:eastAsia="Verdana" w:hAnsi="Verdana" w:cs="Verdana"/>
          <w:sz w:val="20"/>
          <w:szCs w:val="20"/>
          <w:lang w:val="es-ES" w:eastAsia="es-CR"/>
        </w:rPr>
        <w:t>es</w:t>
      </w:r>
      <w:r w:rsidRPr="000B33B9">
        <w:rPr>
          <w:rFonts w:ascii="Verdana" w:eastAsia="Verdana" w:hAnsi="Verdana" w:cs="Verdana"/>
          <w:sz w:val="20"/>
          <w:szCs w:val="20"/>
          <w:lang w:val="es-ES" w:eastAsia="es-CR"/>
        </w:rPr>
        <w:t xml:space="preserve"> y el fondo del asunto.</w:t>
      </w:r>
      <w:r w:rsidR="007F6256" w:rsidRPr="000B33B9">
        <w:rPr>
          <w:rFonts w:ascii="Verdana" w:eastAsia="Verdana" w:hAnsi="Verdana" w:cs="Verdana"/>
          <w:sz w:val="20"/>
          <w:szCs w:val="20"/>
          <w:lang w:val="es-ES" w:eastAsia="es-CR"/>
        </w:rPr>
        <w:t xml:space="preserve"> Además, alegaron la violación a los derechos a la vida digna, la propiedad, la seguridad social y a tomar medidas para hacerlos efectivos en términos de los artículos </w:t>
      </w:r>
      <w:r w:rsidR="009038C8" w:rsidRPr="000B33B9">
        <w:rPr>
          <w:rFonts w:ascii="Verdana" w:eastAsia="Verdana" w:hAnsi="Verdana" w:cs="Verdana"/>
          <w:sz w:val="20"/>
          <w:szCs w:val="20"/>
          <w:lang w:val="es-ES" w:eastAsia="es-CR"/>
        </w:rPr>
        <w:t>4.1, 21, 26 y</w:t>
      </w:r>
      <w:r w:rsidR="00654EBF" w:rsidRPr="000B33B9">
        <w:rPr>
          <w:rFonts w:ascii="Verdana" w:eastAsia="Verdana" w:hAnsi="Verdana" w:cs="Verdana"/>
          <w:sz w:val="20"/>
          <w:szCs w:val="20"/>
          <w:lang w:val="es-ES" w:eastAsia="es-CR"/>
        </w:rPr>
        <w:t xml:space="preserve"> 2</w:t>
      </w:r>
      <w:r w:rsidR="009038C8" w:rsidRPr="000B33B9">
        <w:rPr>
          <w:rFonts w:ascii="Verdana" w:eastAsia="Verdana" w:hAnsi="Verdana" w:cs="Verdana"/>
          <w:sz w:val="20"/>
          <w:szCs w:val="20"/>
          <w:lang w:val="es-ES" w:eastAsia="es-CR"/>
        </w:rPr>
        <w:t xml:space="preserve"> de la Convención Americana, en perjuicio de las presuntas víctimas.</w:t>
      </w:r>
      <w:r w:rsidRPr="000B33B9">
        <w:rPr>
          <w:rFonts w:ascii="Verdana" w:eastAsia="Verdana" w:hAnsi="Verdana" w:cs="Verdana"/>
          <w:sz w:val="20"/>
          <w:szCs w:val="20"/>
          <w:lang w:val="es-ES" w:eastAsia="es-CR"/>
        </w:rPr>
        <w:t xml:space="preserve"> Finalmente, solicitaron a la Corte que ordenara al Estado la adopción de diversas medidas de reparación y e</w:t>
      </w:r>
      <w:r w:rsidR="00406957" w:rsidRPr="000B33B9">
        <w:rPr>
          <w:rFonts w:ascii="Verdana" w:eastAsia="Verdana" w:hAnsi="Verdana" w:cs="Verdana"/>
          <w:sz w:val="20"/>
          <w:szCs w:val="20"/>
          <w:lang w:val="es-ES" w:eastAsia="es-CR"/>
        </w:rPr>
        <w:t>l reintegro de costas y gastos.</w:t>
      </w:r>
    </w:p>
    <w:p w14:paraId="02EAF623"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u w:val="single"/>
          <w:lang w:val="es-ES" w:eastAsia="es-CR"/>
        </w:rPr>
      </w:pPr>
    </w:p>
    <w:p w14:paraId="203D34AD" w14:textId="5548E67C"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i/>
          <w:sz w:val="20"/>
          <w:szCs w:val="20"/>
          <w:lang w:val="es-ES" w:eastAsia="es-CR"/>
        </w:rPr>
      </w:pPr>
      <w:r w:rsidRPr="000B33B9">
        <w:rPr>
          <w:rFonts w:ascii="Verdana" w:eastAsia="Verdana" w:hAnsi="Verdana" w:cs="Verdana"/>
          <w:i/>
          <w:sz w:val="20"/>
          <w:szCs w:val="20"/>
          <w:lang w:val="es-ES" w:eastAsia="es-CR"/>
        </w:rPr>
        <w:t xml:space="preserve">Escrito de contestación. – </w:t>
      </w:r>
      <w:r w:rsidRPr="000B33B9">
        <w:rPr>
          <w:rFonts w:ascii="Verdana" w:eastAsia="Verdana" w:hAnsi="Verdana" w:cs="Verdana"/>
          <w:sz w:val="20"/>
          <w:szCs w:val="20"/>
          <w:lang w:val="es-ES" w:eastAsia="es-CR"/>
        </w:rPr>
        <w:t xml:space="preserve">El </w:t>
      </w:r>
      <w:r w:rsidR="00E02A5C" w:rsidRPr="000B33B9">
        <w:rPr>
          <w:rFonts w:ascii="Verdana" w:eastAsia="Verdana" w:hAnsi="Verdana" w:cs="Verdana"/>
          <w:sz w:val="20"/>
          <w:szCs w:val="20"/>
          <w:lang w:val="es-ES" w:eastAsia="es-CR"/>
        </w:rPr>
        <w:t>29</w:t>
      </w:r>
      <w:r w:rsidR="006B0067" w:rsidRPr="000B33B9">
        <w:rPr>
          <w:rFonts w:ascii="Verdana" w:eastAsia="Verdana" w:hAnsi="Verdana" w:cs="Verdana"/>
          <w:sz w:val="20"/>
          <w:szCs w:val="20"/>
          <w:lang w:val="es-ES" w:eastAsia="es-CR"/>
        </w:rPr>
        <w:t xml:space="preserve"> de agosto</w:t>
      </w:r>
      <w:r w:rsidRPr="000B33B9">
        <w:rPr>
          <w:rFonts w:ascii="Verdana" w:eastAsia="Verdana" w:hAnsi="Verdana" w:cs="Verdana"/>
          <w:sz w:val="20"/>
          <w:szCs w:val="20"/>
          <w:lang w:val="es-ES" w:eastAsia="es-CR"/>
        </w:rPr>
        <w:t xml:space="preserve"> de 2018 el Estado</w:t>
      </w:r>
      <w:r w:rsidRPr="000B33B9">
        <w:rPr>
          <w:rFonts w:ascii="Verdana" w:eastAsia="Verdana" w:hAnsi="Verdana" w:cs="Verdana"/>
          <w:sz w:val="20"/>
          <w:szCs w:val="20"/>
          <w:vertAlign w:val="superscript"/>
          <w:lang w:val="es-ES" w:eastAsia="es-CR"/>
        </w:rPr>
        <w:footnoteReference w:id="5"/>
      </w:r>
      <w:r w:rsidRPr="000B33B9">
        <w:rPr>
          <w:rFonts w:ascii="Verdana" w:eastAsia="Verdana" w:hAnsi="Verdana" w:cs="Verdana"/>
          <w:sz w:val="20"/>
          <w:szCs w:val="20"/>
          <w:lang w:val="es-ES" w:eastAsia="es-CR"/>
        </w:rPr>
        <w:t xml:space="preserve"> presentó ante la Corte su </w:t>
      </w:r>
      <w:r w:rsidRPr="000B33B9">
        <w:rPr>
          <w:rFonts w:ascii="Verdana" w:eastAsia="Calibri" w:hAnsi="Verdana" w:cs="Arial"/>
          <w:sz w:val="20"/>
          <w:szCs w:val="20"/>
          <w:lang w:val="es-ES" w:eastAsia="es-CR"/>
        </w:rPr>
        <w:t>escrito</w:t>
      </w:r>
      <w:r w:rsidRPr="000B33B9">
        <w:rPr>
          <w:rFonts w:ascii="Verdana" w:eastAsia="Verdana" w:hAnsi="Verdana" w:cs="Verdana"/>
          <w:sz w:val="20"/>
          <w:szCs w:val="20"/>
          <w:lang w:val="es-ES" w:eastAsia="es-CR"/>
        </w:rPr>
        <w:t xml:space="preserve"> de contestación (en adelante “escrito de contestación”) al sometimiento e Informe de Fondo de la Comisión y al escrito de solicitudes y argumentos. </w:t>
      </w:r>
      <w:r w:rsidRPr="000B33B9">
        <w:rPr>
          <w:rFonts w:ascii="Verdana" w:eastAsia="Verdana" w:hAnsi="Verdana" w:cs="Verdana"/>
          <w:sz w:val="20"/>
          <w:szCs w:val="20"/>
          <w:lang w:val="es-CR" w:eastAsia="es-CR"/>
        </w:rPr>
        <w:t xml:space="preserve">El Estado presentó </w:t>
      </w:r>
      <w:r w:rsidR="00E60821" w:rsidRPr="000B33B9">
        <w:rPr>
          <w:rFonts w:ascii="Verdana" w:eastAsia="Verdana" w:hAnsi="Verdana" w:cs="Verdana"/>
          <w:sz w:val="20"/>
          <w:szCs w:val="20"/>
          <w:lang w:val="es-CR" w:eastAsia="es-CR"/>
        </w:rPr>
        <w:t>excepciones</w:t>
      </w:r>
      <w:r w:rsidR="006B0067" w:rsidRPr="000B33B9">
        <w:rPr>
          <w:rFonts w:ascii="Verdana" w:eastAsia="Verdana" w:hAnsi="Verdana" w:cs="Verdana"/>
          <w:sz w:val="20"/>
          <w:szCs w:val="20"/>
          <w:lang w:val="es-CR" w:eastAsia="es-CR"/>
        </w:rPr>
        <w:t xml:space="preserve"> preliminar</w:t>
      </w:r>
      <w:r w:rsidR="00E60821" w:rsidRPr="000B33B9">
        <w:rPr>
          <w:rFonts w:ascii="Verdana" w:eastAsia="Verdana" w:hAnsi="Verdana" w:cs="Verdana"/>
          <w:sz w:val="20"/>
          <w:szCs w:val="20"/>
          <w:lang w:val="es-CR" w:eastAsia="es-CR"/>
        </w:rPr>
        <w:t>es</w:t>
      </w:r>
      <w:r w:rsidRPr="000B33B9">
        <w:rPr>
          <w:rFonts w:ascii="Verdana" w:eastAsia="Verdana" w:hAnsi="Verdana" w:cs="Verdana"/>
          <w:sz w:val="20"/>
          <w:szCs w:val="20"/>
          <w:lang w:val="es-CR" w:eastAsia="es-CR"/>
        </w:rPr>
        <w:t>. D</w:t>
      </w:r>
      <w:r w:rsidR="00E02A5C" w:rsidRPr="000B33B9">
        <w:rPr>
          <w:rFonts w:ascii="Verdana" w:eastAsia="Verdana" w:hAnsi="Verdana" w:cs="Verdana"/>
          <w:sz w:val="20"/>
          <w:szCs w:val="20"/>
          <w:lang w:val="es-CR" w:eastAsia="es-CR"/>
        </w:rPr>
        <w:t>icho escrito fue notificado a los representantes</w:t>
      </w:r>
      <w:r w:rsidR="00A7367D" w:rsidRPr="000B33B9">
        <w:rPr>
          <w:rFonts w:ascii="Verdana" w:eastAsia="Verdana" w:hAnsi="Verdana" w:cs="Verdana"/>
          <w:sz w:val="20"/>
          <w:szCs w:val="20"/>
          <w:lang w:val="es-CR" w:eastAsia="es-CR"/>
        </w:rPr>
        <w:t xml:space="preserve"> y a la Comisión</w:t>
      </w:r>
      <w:r w:rsidRPr="000B33B9">
        <w:rPr>
          <w:rFonts w:ascii="Verdana" w:eastAsia="Verdana" w:hAnsi="Verdana" w:cs="Verdana"/>
          <w:sz w:val="20"/>
          <w:szCs w:val="20"/>
          <w:lang w:val="es-CR" w:eastAsia="es-CR"/>
        </w:rPr>
        <w:t xml:space="preserve"> el </w:t>
      </w:r>
      <w:r w:rsidR="00E02A5C" w:rsidRPr="000B33B9">
        <w:rPr>
          <w:rFonts w:ascii="Verdana" w:eastAsia="Verdana" w:hAnsi="Verdana" w:cs="Verdana"/>
          <w:sz w:val="20"/>
          <w:szCs w:val="20"/>
          <w:lang w:val="es-CR" w:eastAsia="es-CR"/>
        </w:rPr>
        <w:t>25 de octubre</w:t>
      </w:r>
      <w:r w:rsidR="00406957" w:rsidRPr="000B33B9">
        <w:rPr>
          <w:rFonts w:ascii="Verdana" w:eastAsia="Verdana" w:hAnsi="Verdana" w:cs="Verdana"/>
          <w:sz w:val="20"/>
          <w:szCs w:val="20"/>
          <w:lang w:val="es-CR" w:eastAsia="es-CR"/>
        </w:rPr>
        <w:t xml:space="preserve"> de 2018.</w:t>
      </w:r>
    </w:p>
    <w:p w14:paraId="3DB2BC9D"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671A8479" w14:textId="0F4BFBAC"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i/>
          <w:sz w:val="20"/>
          <w:szCs w:val="20"/>
          <w:lang w:val="es-ES" w:eastAsia="es-CR"/>
        </w:rPr>
      </w:pPr>
      <w:r w:rsidRPr="000B33B9">
        <w:rPr>
          <w:rFonts w:ascii="Verdana" w:eastAsia="Verdana" w:hAnsi="Verdana" w:cs="Verdana"/>
          <w:i/>
          <w:sz w:val="20"/>
          <w:szCs w:val="20"/>
          <w:lang w:val="es-ES" w:eastAsia="es-CR"/>
        </w:rPr>
        <w:t>Observaciones a la</w:t>
      </w:r>
      <w:r w:rsidR="00E60821" w:rsidRPr="000B33B9">
        <w:rPr>
          <w:rFonts w:ascii="Verdana" w:eastAsia="Verdana" w:hAnsi="Verdana" w:cs="Verdana"/>
          <w:i/>
          <w:sz w:val="20"/>
          <w:szCs w:val="20"/>
          <w:lang w:val="es-ES" w:eastAsia="es-CR"/>
        </w:rPr>
        <w:t>s excepcio</w:t>
      </w:r>
      <w:r w:rsidR="00E327EC" w:rsidRPr="000B33B9">
        <w:rPr>
          <w:rFonts w:ascii="Verdana" w:eastAsia="Verdana" w:hAnsi="Verdana" w:cs="Verdana"/>
          <w:i/>
          <w:sz w:val="20"/>
          <w:szCs w:val="20"/>
          <w:lang w:val="es-ES" w:eastAsia="es-CR"/>
        </w:rPr>
        <w:t>n</w:t>
      </w:r>
      <w:r w:rsidR="00E60821" w:rsidRPr="000B33B9">
        <w:rPr>
          <w:rFonts w:ascii="Verdana" w:eastAsia="Verdana" w:hAnsi="Verdana" w:cs="Verdana"/>
          <w:i/>
          <w:sz w:val="20"/>
          <w:szCs w:val="20"/>
          <w:lang w:val="es-ES" w:eastAsia="es-CR"/>
        </w:rPr>
        <w:t>es</w:t>
      </w:r>
      <w:r w:rsidR="00E327EC" w:rsidRPr="000B33B9">
        <w:rPr>
          <w:rFonts w:ascii="Verdana" w:eastAsia="Verdana" w:hAnsi="Verdana" w:cs="Verdana"/>
          <w:i/>
          <w:sz w:val="20"/>
          <w:szCs w:val="20"/>
          <w:lang w:val="es-ES" w:eastAsia="es-CR"/>
        </w:rPr>
        <w:t xml:space="preserve"> preliminar</w:t>
      </w:r>
      <w:r w:rsidR="00E60821" w:rsidRPr="000B33B9">
        <w:rPr>
          <w:rFonts w:ascii="Verdana" w:eastAsia="Verdana" w:hAnsi="Verdana" w:cs="Verdana"/>
          <w:i/>
          <w:sz w:val="20"/>
          <w:szCs w:val="20"/>
          <w:lang w:val="es-ES" w:eastAsia="es-CR"/>
        </w:rPr>
        <w:t>es</w:t>
      </w:r>
      <w:r w:rsidRPr="000B33B9">
        <w:rPr>
          <w:rFonts w:ascii="Verdana" w:eastAsia="Verdana" w:hAnsi="Verdana" w:cs="Verdana"/>
          <w:i/>
          <w:sz w:val="20"/>
          <w:szCs w:val="20"/>
          <w:lang w:val="es-ES" w:eastAsia="es-CR"/>
        </w:rPr>
        <w:t xml:space="preserve">. – </w:t>
      </w:r>
      <w:r w:rsidRPr="000B33B9">
        <w:rPr>
          <w:rFonts w:ascii="Verdana" w:eastAsia="Verdana" w:hAnsi="Verdana" w:cs="Verdana"/>
          <w:sz w:val="20"/>
          <w:szCs w:val="20"/>
          <w:lang w:val="es-ES" w:eastAsia="es-CR"/>
        </w:rPr>
        <w:t xml:space="preserve">El </w:t>
      </w:r>
      <w:r w:rsidR="00E60821" w:rsidRPr="000B33B9">
        <w:rPr>
          <w:rFonts w:ascii="Verdana" w:eastAsia="Verdana" w:hAnsi="Verdana" w:cs="Verdana"/>
          <w:sz w:val="20"/>
          <w:szCs w:val="20"/>
          <w:lang w:val="es-ES" w:eastAsia="es-CR"/>
        </w:rPr>
        <w:t>23 y 26 de noviembre de 2018, los representantes de las presuntas víctimas y la Comisión</w:t>
      </w:r>
      <w:r w:rsidRPr="000B33B9">
        <w:rPr>
          <w:rFonts w:ascii="Verdana" w:eastAsia="Verdana" w:hAnsi="Verdana" w:cs="Verdana"/>
          <w:sz w:val="20"/>
          <w:szCs w:val="20"/>
          <w:lang w:val="es-ES" w:eastAsia="es-CR"/>
        </w:rPr>
        <w:t xml:space="preserve"> pre</w:t>
      </w:r>
      <w:r w:rsidR="00E33DF4" w:rsidRPr="000B33B9">
        <w:rPr>
          <w:rFonts w:ascii="Verdana" w:eastAsia="Verdana" w:hAnsi="Verdana" w:cs="Verdana"/>
          <w:sz w:val="20"/>
          <w:szCs w:val="20"/>
          <w:lang w:val="es-ES" w:eastAsia="es-CR"/>
        </w:rPr>
        <w:t>sentaron</w:t>
      </w:r>
      <w:r w:rsidR="00654EBF" w:rsidRPr="000B33B9">
        <w:rPr>
          <w:rFonts w:ascii="Verdana" w:eastAsia="Verdana" w:hAnsi="Verdana" w:cs="Verdana"/>
          <w:sz w:val="20"/>
          <w:szCs w:val="20"/>
          <w:lang w:val="es-ES" w:eastAsia="es-CR"/>
        </w:rPr>
        <w:t>, respectivamente,</w:t>
      </w:r>
      <w:r w:rsidR="00E33DF4" w:rsidRPr="000B33B9">
        <w:rPr>
          <w:rFonts w:ascii="Verdana" w:eastAsia="Verdana" w:hAnsi="Verdana" w:cs="Verdana"/>
          <w:sz w:val="20"/>
          <w:szCs w:val="20"/>
          <w:lang w:val="es-ES" w:eastAsia="es-CR"/>
        </w:rPr>
        <w:t xml:space="preserve"> sus observaciones a la</w:t>
      </w:r>
      <w:r w:rsidR="00F30664" w:rsidRPr="000B33B9">
        <w:rPr>
          <w:rFonts w:ascii="Verdana" w:eastAsia="Verdana" w:hAnsi="Verdana" w:cs="Verdana"/>
          <w:sz w:val="20"/>
          <w:szCs w:val="20"/>
          <w:lang w:val="es-ES" w:eastAsia="es-CR"/>
        </w:rPr>
        <w:t>s excepciones</w:t>
      </w:r>
      <w:r w:rsidR="00E33DF4" w:rsidRPr="000B33B9">
        <w:rPr>
          <w:rFonts w:ascii="Verdana" w:eastAsia="Verdana" w:hAnsi="Verdana" w:cs="Verdana"/>
          <w:sz w:val="20"/>
          <w:szCs w:val="20"/>
          <w:lang w:val="es-ES" w:eastAsia="es-CR"/>
        </w:rPr>
        <w:t xml:space="preserve"> preliminar</w:t>
      </w:r>
      <w:r w:rsidR="00F30664" w:rsidRPr="000B33B9">
        <w:rPr>
          <w:rFonts w:ascii="Verdana" w:eastAsia="Verdana" w:hAnsi="Verdana" w:cs="Verdana"/>
          <w:sz w:val="20"/>
          <w:szCs w:val="20"/>
          <w:lang w:val="es-ES" w:eastAsia="es-CR"/>
        </w:rPr>
        <w:t>es</w:t>
      </w:r>
      <w:r w:rsidR="008A351B" w:rsidRPr="000B33B9">
        <w:rPr>
          <w:rFonts w:ascii="Verdana" w:eastAsia="Verdana" w:hAnsi="Verdana" w:cs="Verdana"/>
          <w:sz w:val="20"/>
          <w:szCs w:val="20"/>
          <w:lang w:val="es-ES" w:eastAsia="es-CR"/>
        </w:rPr>
        <w:t xml:space="preserve"> interpuesta</w:t>
      </w:r>
      <w:r w:rsidR="00F30664" w:rsidRPr="000B33B9">
        <w:rPr>
          <w:rFonts w:ascii="Verdana" w:eastAsia="Verdana" w:hAnsi="Verdana" w:cs="Verdana"/>
          <w:sz w:val="20"/>
          <w:szCs w:val="20"/>
          <w:lang w:val="es-ES" w:eastAsia="es-CR"/>
        </w:rPr>
        <w:t>s</w:t>
      </w:r>
      <w:r w:rsidR="008A351B" w:rsidRPr="000B33B9">
        <w:rPr>
          <w:rFonts w:ascii="Verdana" w:eastAsia="Verdana" w:hAnsi="Verdana" w:cs="Verdana"/>
          <w:sz w:val="20"/>
          <w:szCs w:val="20"/>
          <w:lang w:val="es-ES" w:eastAsia="es-CR"/>
        </w:rPr>
        <w:t xml:space="preserve"> por el Estado.</w:t>
      </w:r>
    </w:p>
    <w:p w14:paraId="45F82EFB"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7F58F590" w14:textId="6F336A0B"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0B33B9">
        <w:rPr>
          <w:rFonts w:ascii="Verdana" w:eastAsia="Verdana" w:hAnsi="Verdana" w:cs="Verdana"/>
          <w:i/>
          <w:position w:val="-1"/>
          <w:sz w:val="20"/>
          <w:szCs w:val="20"/>
          <w:lang w:val="es-ES" w:eastAsia="es-CR"/>
        </w:rPr>
        <w:t>Audiencia Pública</w:t>
      </w:r>
      <w:r w:rsidR="00A533E5" w:rsidRPr="000B33B9">
        <w:rPr>
          <w:rFonts w:ascii="Verdana" w:eastAsia="Verdana" w:hAnsi="Verdana" w:cs="Verdana"/>
          <w:i/>
          <w:position w:val="-1"/>
          <w:sz w:val="20"/>
          <w:szCs w:val="20"/>
          <w:lang w:val="es-ES" w:eastAsia="es-CR"/>
        </w:rPr>
        <w:t>.</w:t>
      </w:r>
      <w:r w:rsidRPr="000B33B9">
        <w:rPr>
          <w:rFonts w:ascii="Verdana" w:eastAsia="Verdana" w:hAnsi="Verdana" w:cs="Verdana"/>
          <w:i/>
          <w:position w:val="-1"/>
          <w:sz w:val="20"/>
          <w:szCs w:val="20"/>
          <w:lang w:val="es-ES" w:eastAsia="es-CR"/>
        </w:rPr>
        <w:t xml:space="preserve"> - </w:t>
      </w:r>
      <w:r w:rsidRPr="000B33B9">
        <w:rPr>
          <w:rFonts w:ascii="Verdana" w:eastAsia="Verdana" w:hAnsi="Verdana" w:cs="Verdana"/>
          <w:position w:val="-1"/>
          <w:sz w:val="20"/>
          <w:szCs w:val="20"/>
          <w:lang w:val="es-ES" w:eastAsia="es-CR"/>
        </w:rPr>
        <w:t xml:space="preserve">Mediante </w:t>
      </w:r>
      <w:r w:rsidR="00130BEF" w:rsidRPr="000B33B9">
        <w:rPr>
          <w:rFonts w:ascii="Verdana" w:eastAsia="Verdana" w:hAnsi="Verdana" w:cs="Verdana"/>
          <w:position w:val="-1"/>
          <w:sz w:val="20"/>
          <w:szCs w:val="20"/>
          <w:lang w:val="es-ES" w:eastAsia="es-CR"/>
        </w:rPr>
        <w:t>r</w:t>
      </w:r>
      <w:r w:rsidR="00E33DF4" w:rsidRPr="000B33B9">
        <w:rPr>
          <w:rFonts w:ascii="Verdana" w:eastAsia="Verdana" w:hAnsi="Verdana" w:cs="Verdana"/>
          <w:position w:val="-1"/>
          <w:sz w:val="20"/>
          <w:szCs w:val="20"/>
          <w:lang w:val="es-ES" w:eastAsia="es-CR"/>
        </w:rPr>
        <w:t>esolución</w:t>
      </w:r>
      <w:r w:rsidR="00E327EC" w:rsidRPr="000B33B9">
        <w:rPr>
          <w:rFonts w:ascii="Verdana" w:eastAsia="Verdana" w:hAnsi="Verdana" w:cs="Verdana"/>
          <w:position w:val="-1"/>
          <w:sz w:val="20"/>
          <w:szCs w:val="20"/>
          <w:lang w:val="es-ES" w:eastAsia="es-CR"/>
        </w:rPr>
        <w:t xml:space="preserve"> del Presidente</w:t>
      </w:r>
      <w:r w:rsidR="00A56DA6" w:rsidRPr="000B33B9">
        <w:rPr>
          <w:rFonts w:ascii="Verdana" w:eastAsia="Verdana" w:hAnsi="Verdana" w:cs="Verdana"/>
          <w:position w:val="-1"/>
          <w:sz w:val="20"/>
          <w:szCs w:val="20"/>
          <w:lang w:val="es-ES" w:eastAsia="es-CR"/>
        </w:rPr>
        <w:t xml:space="preserve"> de la Corte</w:t>
      </w:r>
      <w:r w:rsidRPr="000B33B9">
        <w:rPr>
          <w:rFonts w:ascii="Verdana" w:eastAsia="Verdana" w:hAnsi="Verdana" w:cs="Verdana"/>
          <w:position w:val="-1"/>
          <w:sz w:val="20"/>
          <w:szCs w:val="20"/>
          <w:lang w:val="es-ES" w:eastAsia="es-CR"/>
        </w:rPr>
        <w:t xml:space="preserve"> de </w:t>
      </w:r>
      <w:r w:rsidR="007C64DA" w:rsidRPr="000B33B9">
        <w:rPr>
          <w:rFonts w:ascii="Verdana" w:eastAsia="Verdana" w:hAnsi="Verdana" w:cs="Verdana"/>
          <w:position w:val="-1"/>
          <w:sz w:val="20"/>
          <w:szCs w:val="20"/>
          <w:lang w:val="es-ES" w:eastAsia="es-CR"/>
        </w:rPr>
        <w:t>21</w:t>
      </w:r>
      <w:r w:rsidR="00E33DF4" w:rsidRPr="000B33B9">
        <w:rPr>
          <w:rFonts w:ascii="Verdana" w:eastAsia="Verdana" w:hAnsi="Verdana" w:cs="Verdana"/>
          <w:position w:val="-1"/>
          <w:sz w:val="20"/>
          <w:szCs w:val="20"/>
          <w:lang w:val="es-ES" w:eastAsia="es-CR"/>
        </w:rPr>
        <w:t xml:space="preserve"> de marzo</w:t>
      </w:r>
      <w:r w:rsidR="00BB6280" w:rsidRPr="000B33B9">
        <w:rPr>
          <w:rFonts w:ascii="Verdana" w:eastAsia="Verdana" w:hAnsi="Verdana" w:cs="Verdana"/>
          <w:position w:val="-1"/>
          <w:sz w:val="20"/>
          <w:szCs w:val="20"/>
          <w:lang w:val="es-ES" w:eastAsia="es-CR"/>
        </w:rPr>
        <w:t xml:space="preserve"> de 2019</w:t>
      </w:r>
      <w:r w:rsidRPr="000B33B9">
        <w:rPr>
          <w:rFonts w:ascii="Verdana" w:eastAsia="Verdana" w:hAnsi="Verdana" w:cs="Verdana"/>
          <w:position w:val="-1"/>
          <w:sz w:val="20"/>
          <w:szCs w:val="20"/>
          <w:vertAlign w:val="superscript"/>
          <w:lang w:val="es-ES" w:eastAsia="es-CR"/>
        </w:rPr>
        <w:footnoteReference w:id="6"/>
      </w:r>
      <w:r w:rsidRPr="000B33B9">
        <w:rPr>
          <w:rFonts w:ascii="Verdana" w:eastAsia="Verdana" w:hAnsi="Verdana" w:cs="Verdana"/>
          <w:position w:val="-1"/>
          <w:sz w:val="20"/>
          <w:szCs w:val="20"/>
          <w:lang w:val="es-ES" w:eastAsia="es-CR"/>
        </w:rPr>
        <w:t xml:space="preserve"> se convocó a las partes y a la Comisión Interamericana a una audiencia pública para recibir sus observaciones finales orales sobre</w:t>
      </w:r>
      <w:r w:rsidR="00E33DF4" w:rsidRPr="000B33B9">
        <w:rPr>
          <w:rFonts w:ascii="Verdana" w:eastAsia="Verdana" w:hAnsi="Verdana" w:cs="Verdana"/>
          <w:position w:val="-1"/>
          <w:sz w:val="20"/>
          <w:szCs w:val="20"/>
          <w:lang w:val="es-ES" w:eastAsia="es-CR"/>
        </w:rPr>
        <w:t xml:space="preserve"> la</w:t>
      </w:r>
      <w:r w:rsidR="001B2451" w:rsidRPr="000B33B9">
        <w:rPr>
          <w:rFonts w:ascii="Verdana" w:eastAsia="Verdana" w:hAnsi="Verdana" w:cs="Verdana"/>
          <w:position w:val="-1"/>
          <w:sz w:val="20"/>
          <w:szCs w:val="20"/>
          <w:lang w:val="es-ES" w:eastAsia="es-CR"/>
        </w:rPr>
        <w:t>s excepciones</w:t>
      </w:r>
      <w:r w:rsidR="00E33DF4" w:rsidRPr="000B33B9">
        <w:rPr>
          <w:rFonts w:ascii="Verdana" w:eastAsia="Verdana" w:hAnsi="Verdana" w:cs="Verdana"/>
          <w:position w:val="-1"/>
          <w:sz w:val="20"/>
          <w:szCs w:val="20"/>
          <w:lang w:val="es-ES" w:eastAsia="es-CR"/>
        </w:rPr>
        <w:t xml:space="preserve"> preliminar</w:t>
      </w:r>
      <w:r w:rsidR="001B2451" w:rsidRPr="000B33B9">
        <w:rPr>
          <w:rFonts w:ascii="Verdana" w:eastAsia="Verdana" w:hAnsi="Verdana" w:cs="Verdana"/>
          <w:position w:val="-1"/>
          <w:sz w:val="20"/>
          <w:szCs w:val="20"/>
          <w:lang w:val="es-ES" w:eastAsia="es-CR"/>
        </w:rPr>
        <w:t>es</w:t>
      </w:r>
      <w:r w:rsidRPr="000B33B9">
        <w:rPr>
          <w:rFonts w:ascii="Verdana" w:eastAsia="Verdana" w:hAnsi="Verdana" w:cs="Verdana"/>
          <w:position w:val="-1"/>
          <w:sz w:val="20"/>
          <w:szCs w:val="20"/>
          <w:lang w:val="es-ES" w:eastAsia="es-CR"/>
        </w:rPr>
        <w:t xml:space="preserve">, el fondo y eventuales reparaciones y costas, así como para recibir la declaración </w:t>
      </w:r>
      <w:r w:rsidR="00663E14" w:rsidRPr="000B33B9">
        <w:rPr>
          <w:rFonts w:ascii="Verdana" w:eastAsia="Verdana" w:hAnsi="Verdana" w:cs="Verdana"/>
          <w:sz w:val="20"/>
          <w:szCs w:val="20"/>
          <w:lang w:val="es-ES" w:eastAsia="es-CR"/>
        </w:rPr>
        <w:t>de una víctima, una perita y dos peritos</w:t>
      </w:r>
      <w:r w:rsidRPr="000B33B9">
        <w:rPr>
          <w:rFonts w:ascii="Verdana" w:eastAsia="Verdana" w:hAnsi="Verdana" w:cs="Verdana"/>
          <w:position w:val="-1"/>
          <w:sz w:val="20"/>
          <w:szCs w:val="20"/>
          <w:lang w:val="es-ES" w:eastAsia="es-CR"/>
        </w:rPr>
        <w:t xml:space="preserve">. </w:t>
      </w:r>
      <w:r w:rsidRPr="000B33B9">
        <w:rPr>
          <w:rFonts w:ascii="Verdana" w:eastAsia="Verdana" w:hAnsi="Verdana" w:cs="Verdana"/>
          <w:sz w:val="20"/>
          <w:szCs w:val="20"/>
          <w:lang w:val="es-ES" w:eastAsia="es-CR"/>
        </w:rPr>
        <w:t xml:space="preserve">La audiencia pública fue celebrada el </w:t>
      </w:r>
      <w:r w:rsidR="00663E14" w:rsidRPr="000B33B9">
        <w:rPr>
          <w:rFonts w:ascii="Verdana" w:eastAsia="Verdana" w:hAnsi="Verdana" w:cs="Verdana"/>
          <w:sz w:val="20"/>
          <w:szCs w:val="20"/>
          <w:lang w:val="es-ES" w:eastAsia="es-CR"/>
        </w:rPr>
        <w:t>7</w:t>
      </w:r>
      <w:r w:rsidR="00DA6263" w:rsidRPr="000B33B9">
        <w:rPr>
          <w:rFonts w:ascii="Verdana" w:eastAsia="Verdana" w:hAnsi="Verdana" w:cs="Verdana"/>
          <w:sz w:val="20"/>
          <w:szCs w:val="20"/>
          <w:lang w:val="es-ES" w:eastAsia="es-CR"/>
        </w:rPr>
        <w:t xml:space="preserve"> de mayo de 2019, durante el 60° Período Extrao</w:t>
      </w:r>
      <w:r w:rsidRPr="000B33B9">
        <w:rPr>
          <w:rFonts w:ascii="Verdana" w:eastAsia="Verdana" w:hAnsi="Verdana" w:cs="Verdana"/>
          <w:sz w:val="20"/>
          <w:szCs w:val="20"/>
          <w:lang w:val="es-ES" w:eastAsia="es-CR"/>
        </w:rPr>
        <w:t xml:space="preserve">rdinario de Sesiones de la Corte, llevado a cabo en </w:t>
      </w:r>
      <w:r w:rsidR="00DA6263" w:rsidRPr="000B33B9">
        <w:rPr>
          <w:rFonts w:ascii="Verdana" w:eastAsia="Verdana" w:hAnsi="Verdana" w:cs="Verdana"/>
          <w:sz w:val="20"/>
          <w:szCs w:val="20"/>
          <w:lang w:val="es-ES" w:eastAsia="es-CR"/>
        </w:rPr>
        <w:t>Montevideo, Uruguay</w:t>
      </w:r>
      <w:r w:rsidRPr="000B33B9">
        <w:rPr>
          <w:rFonts w:ascii="Verdana" w:eastAsia="Verdana" w:hAnsi="Verdana" w:cs="Verdana"/>
          <w:sz w:val="20"/>
          <w:szCs w:val="20"/>
          <w:vertAlign w:val="superscript"/>
          <w:lang w:val="es-ES" w:eastAsia="es-CR"/>
        </w:rPr>
        <w:footnoteReference w:id="7"/>
      </w:r>
      <w:r w:rsidR="008A351B" w:rsidRPr="000B33B9">
        <w:rPr>
          <w:rFonts w:ascii="Verdana" w:eastAsia="Verdana" w:hAnsi="Verdana" w:cs="Verdana"/>
          <w:sz w:val="20"/>
          <w:szCs w:val="20"/>
          <w:lang w:val="es-ES" w:eastAsia="es-CR"/>
        </w:rPr>
        <w:t>.</w:t>
      </w:r>
    </w:p>
    <w:p w14:paraId="12E7B14A"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12D18CD4" w14:textId="02980B68" w:rsidR="00A533E5" w:rsidRPr="000B33B9" w:rsidRDefault="00A533E5"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Verdana" w:hAnsi="Verdana" w:cs="Verdana"/>
          <w:sz w:val="20"/>
          <w:szCs w:val="20"/>
          <w:lang w:val="es-ES" w:eastAsia="es-CR"/>
        </w:rPr>
      </w:pPr>
      <w:r w:rsidRPr="000B33B9">
        <w:rPr>
          <w:rFonts w:ascii="Verdana" w:eastAsia="Verdana" w:hAnsi="Verdana" w:cs="Verdana"/>
          <w:i/>
          <w:position w:val="-1"/>
          <w:sz w:val="20"/>
          <w:szCs w:val="20"/>
          <w:lang w:val="es-ES" w:eastAsia="es-CR"/>
        </w:rPr>
        <w:t xml:space="preserve">Amicus curiae. – </w:t>
      </w:r>
      <w:r w:rsidR="00CE7982" w:rsidRPr="000B33B9">
        <w:rPr>
          <w:rFonts w:ascii="Verdana" w:eastAsia="Verdana" w:hAnsi="Verdana" w:cs="Verdana"/>
          <w:position w:val="-1"/>
          <w:sz w:val="20"/>
          <w:szCs w:val="20"/>
          <w:lang w:val="es-ES" w:eastAsia="es-CR"/>
        </w:rPr>
        <w:t xml:space="preserve">El Tribunal recibió </w:t>
      </w:r>
      <w:r w:rsidR="00B948EF" w:rsidRPr="000B33B9">
        <w:rPr>
          <w:rFonts w:ascii="Verdana" w:eastAsia="Verdana" w:hAnsi="Verdana" w:cs="Verdana"/>
          <w:position w:val="-1"/>
          <w:sz w:val="20"/>
          <w:szCs w:val="20"/>
          <w:lang w:val="es-ES" w:eastAsia="es-CR"/>
        </w:rPr>
        <w:t xml:space="preserve">dos </w:t>
      </w:r>
      <w:r w:rsidRPr="000B33B9">
        <w:rPr>
          <w:rFonts w:ascii="Verdana" w:eastAsia="Verdana" w:hAnsi="Verdana" w:cs="Verdana"/>
          <w:position w:val="-1"/>
          <w:sz w:val="20"/>
          <w:szCs w:val="20"/>
          <w:lang w:val="es-ES" w:eastAsia="es-CR"/>
        </w:rPr>
        <w:t xml:space="preserve">escritos en calidad de </w:t>
      </w:r>
      <w:r w:rsidRPr="000B33B9">
        <w:rPr>
          <w:rFonts w:ascii="Verdana" w:eastAsia="Verdana" w:hAnsi="Verdana" w:cs="Verdana"/>
          <w:i/>
          <w:position w:val="-1"/>
          <w:sz w:val="20"/>
          <w:szCs w:val="20"/>
          <w:lang w:val="es-ES" w:eastAsia="es-CR"/>
        </w:rPr>
        <w:t>amicus curiae</w:t>
      </w:r>
      <w:r w:rsidRPr="000B33B9">
        <w:rPr>
          <w:rFonts w:ascii="Verdana" w:eastAsia="Verdana" w:hAnsi="Verdana" w:cs="Verdana"/>
          <w:position w:val="-1"/>
          <w:sz w:val="20"/>
          <w:szCs w:val="20"/>
          <w:lang w:val="es-ES" w:eastAsia="es-CR"/>
        </w:rPr>
        <w:t xml:space="preserve"> presentados por: i)</w:t>
      </w:r>
      <w:r w:rsidR="00DE45AC" w:rsidRPr="000B33B9">
        <w:rPr>
          <w:rFonts w:ascii="Verdana" w:eastAsia="Verdana" w:hAnsi="Verdana" w:cs="Verdana"/>
          <w:position w:val="-1"/>
          <w:sz w:val="20"/>
          <w:szCs w:val="20"/>
          <w:lang w:val="es-ES" w:eastAsia="es-CR"/>
        </w:rPr>
        <w:t xml:space="preserve"> </w:t>
      </w:r>
      <w:r w:rsidR="00B948EF" w:rsidRPr="000B33B9">
        <w:rPr>
          <w:rFonts w:ascii="Verdana" w:eastAsia="Verdana" w:hAnsi="Verdana" w:cs="Verdana"/>
          <w:position w:val="-1"/>
          <w:sz w:val="20"/>
          <w:szCs w:val="20"/>
          <w:lang w:val="es-ES" w:eastAsia="es-CR"/>
        </w:rPr>
        <w:t>la Asociación Latinoamericana de Abogados Laboralistas (ALAL)</w:t>
      </w:r>
      <w:r w:rsidR="0051368E" w:rsidRPr="000B33B9">
        <w:rPr>
          <w:rStyle w:val="Refdenotaalpie"/>
          <w:rFonts w:ascii="Verdana" w:eastAsia="Verdana" w:hAnsi="Verdana" w:cs="Verdana"/>
          <w:position w:val="-1"/>
          <w:sz w:val="20"/>
          <w:szCs w:val="20"/>
          <w:lang w:val="es-ES" w:eastAsia="es-CR"/>
        </w:rPr>
        <w:footnoteReference w:id="8"/>
      </w:r>
      <w:r w:rsidR="00DE45AC" w:rsidRPr="000B33B9">
        <w:rPr>
          <w:rFonts w:ascii="Verdana" w:eastAsia="Verdana" w:hAnsi="Verdana" w:cs="Verdana"/>
          <w:position w:val="-1"/>
          <w:sz w:val="20"/>
          <w:szCs w:val="20"/>
          <w:lang w:val="es-ES" w:eastAsia="es-CR"/>
        </w:rPr>
        <w:t>,</w:t>
      </w:r>
      <w:r w:rsidR="00B948EF" w:rsidRPr="000B33B9">
        <w:rPr>
          <w:rFonts w:ascii="Verdana" w:eastAsia="Verdana" w:hAnsi="Verdana" w:cs="Verdana"/>
          <w:position w:val="-1"/>
          <w:sz w:val="20"/>
          <w:szCs w:val="20"/>
          <w:lang w:val="es-ES" w:eastAsia="es-CR"/>
        </w:rPr>
        <w:t xml:space="preserve"> y</w:t>
      </w:r>
      <w:r w:rsidR="00DE45AC" w:rsidRPr="000B33B9">
        <w:rPr>
          <w:rFonts w:ascii="Verdana" w:eastAsia="Verdana" w:hAnsi="Verdana" w:cs="Verdana"/>
          <w:position w:val="-1"/>
          <w:sz w:val="20"/>
          <w:szCs w:val="20"/>
          <w:lang w:val="es-ES" w:eastAsia="es-CR"/>
        </w:rPr>
        <w:t xml:space="preserve"> ii) </w:t>
      </w:r>
      <w:r w:rsidR="00B948EF" w:rsidRPr="000B33B9">
        <w:rPr>
          <w:rFonts w:ascii="Verdana" w:eastAsia="Verdana" w:hAnsi="Verdana" w:cs="Verdana"/>
          <w:position w:val="-1"/>
          <w:sz w:val="20"/>
          <w:szCs w:val="20"/>
          <w:lang w:val="es-ES" w:eastAsia="es-CR"/>
        </w:rPr>
        <w:t>Carlos Rodríguez Mejía y Alberto León Gómez Zuluaga</w:t>
      </w:r>
      <w:r w:rsidR="00146232" w:rsidRPr="000B33B9">
        <w:rPr>
          <w:rStyle w:val="Refdenotaalpie"/>
          <w:rFonts w:ascii="Verdana" w:eastAsia="Verdana" w:hAnsi="Verdana" w:cs="Verdana"/>
          <w:position w:val="-1"/>
          <w:sz w:val="20"/>
          <w:szCs w:val="20"/>
          <w:lang w:val="es-ES" w:eastAsia="es-CR"/>
        </w:rPr>
        <w:footnoteReference w:id="9"/>
      </w:r>
      <w:r w:rsidRPr="000B33B9">
        <w:rPr>
          <w:rFonts w:ascii="Verdana" w:eastAsia="Verdana" w:hAnsi="Verdana" w:cs="Verdana"/>
          <w:position w:val="-1"/>
          <w:sz w:val="20"/>
          <w:szCs w:val="20"/>
          <w:lang w:val="es-ES" w:eastAsia="es-CR"/>
        </w:rPr>
        <w:t>.</w:t>
      </w:r>
    </w:p>
    <w:p w14:paraId="03241B61"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Verdana" w:hAnsi="Verdana" w:cs="Verdana"/>
          <w:sz w:val="20"/>
          <w:szCs w:val="20"/>
          <w:lang w:val="es-ES" w:eastAsia="es-CR"/>
        </w:rPr>
      </w:pPr>
    </w:p>
    <w:p w14:paraId="0C1449B5" w14:textId="140D5739"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bookmarkStart w:id="6" w:name="_Ref354147731"/>
      <w:r w:rsidRPr="000B33B9">
        <w:rPr>
          <w:rFonts w:ascii="Verdana" w:eastAsia="Times New Roman" w:hAnsi="Verdana" w:cs="Verdana"/>
          <w:i/>
          <w:sz w:val="20"/>
          <w:szCs w:val="20"/>
          <w:lang w:val="es-ES" w:eastAsia="es-CR"/>
        </w:rPr>
        <w:t xml:space="preserve">Alegatos y observaciones finales escritas. </w:t>
      </w:r>
      <w:bookmarkEnd w:id="6"/>
      <w:r w:rsidRPr="000B33B9">
        <w:rPr>
          <w:rFonts w:ascii="Verdana" w:eastAsia="Times New Roman" w:hAnsi="Verdana" w:cs="Verdana"/>
          <w:i/>
          <w:sz w:val="20"/>
          <w:szCs w:val="20"/>
          <w:lang w:val="es-ES" w:eastAsia="es-CR"/>
        </w:rPr>
        <w:t xml:space="preserve">– </w:t>
      </w:r>
      <w:r w:rsidR="004E0B3D" w:rsidRPr="000B33B9">
        <w:rPr>
          <w:rFonts w:ascii="Verdana" w:eastAsia="Times New Roman" w:hAnsi="Verdana" w:cs="Verdana"/>
          <w:sz w:val="20"/>
          <w:szCs w:val="20"/>
          <w:lang w:val="es-ES" w:eastAsia="es-CR"/>
        </w:rPr>
        <w:t>Los días</w:t>
      </w:r>
      <w:r w:rsidRPr="000B33B9">
        <w:rPr>
          <w:rFonts w:ascii="Verdana" w:eastAsia="Times New Roman" w:hAnsi="Verdana" w:cs="Verdana"/>
          <w:sz w:val="20"/>
          <w:szCs w:val="20"/>
          <w:lang w:val="es-ES" w:eastAsia="es-CR"/>
        </w:rPr>
        <w:t xml:space="preserve"> </w:t>
      </w:r>
      <w:r w:rsidR="003D17B7" w:rsidRPr="000B33B9">
        <w:rPr>
          <w:rFonts w:ascii="Verdana" w:eastAsia="Times New Roman" w:hAnsi="Verdana" w:cs="Verdana"/>
          <w:sz w:val="20"/>
          <w:szCs w:val="20"/>
          <w:lang w:val="es-ES" w:eastAsia="es-CR"/>
        </w:rPr>
        <w:t>8 y 10</w:t>
      </w:r>
      <w:r w:rsidR="005D1D0B" w:rsidRPr="000B33B9">
        <w:rPr>
          <w:rFonts w:ascii="Verdana" w:eastAsia="Times New Roman" w:hAnsi="Verdana" w:cs="Verdana"/>
          <w:sz w:val="20"/>
          <w:szCs w:val="20"/>
          <w:lang w:val="es-ES" w:eastAsia="es-CR"/>
        </w:rPr>
        <w:t xml:space="preserve"> de junio</w:t>
      </w:r>
      <w:r w:rsidRPr="000B33B9">
        <w:rPr>
          <w:rFonts w:ascii="Verdana" w:eastAsia="Times New Roman" w:hAnsi="Verdana" w:cs="Verdana"/>
          <w:sz w:val="20"/>
          <w:szCs w:val="20"/>
          <w:lang w:val="es-ES" w:eastAsia="es-CR"/>
        </w:rPr>
        <w:t xml:space="preserve"> de 2019</w:t>
      </w:r>
      <w:r w:rsidR="00A7367D" w:rsidRPr="000B33B9">
        <w:rPr>
          <w:rFonts w:ascii="Verdana" w:eastAsia="Times New Roman" w:hAnsi="Verdana" w:cs="Verdana"/>
          <w:sz w:val="20"/>
          <w:szCs w:val="20"/>
          <w:lang w:val="es-ES" w:eastAsia="es-CR"/>
        </w:rPr>
        <w:t xml:space="preserve"> </w:t>
      </w:r>
      <w:r w:rsidR="004E0B3D" w:rsidRPr="000B33B9">
        <w:rPr>
          <w:rFonts w:ascii="Verdana" w:eastAsia="Times New Roman" w:hAnsi="Verdana" w:cs="Verdana"/>
          <w:sz w:val="20"/>
          <w:szCs w:val="20"/>
          <w:lang w:val="es-ES" w:eastAsia="es-CR"/>
        </w:rPr>
        <w:t>los representantes</w:t>
      </w:r>
      <w:r w:rsidR="005E5302" w:rsidRPr="000B33B9">
        <w:rPr>
          <w:rFonts w:ascii="Verdana" w:eastAsia="Times New Roman" w:hAnsi="Verdana" w:cs="Verdana"/>
          <w:sz w:val="20"/>
          <w:szCs w:val="20"/>
          <w:lang w:val="es-ES" w:eastAsia="es-CR"/>
        </w:rPr>
        <w:t xml:space="preserve"> y el Estado</w:t>
      </w:r>
      <w:r w:rsidR="00A7367D" w:rsidRPr="000B33B9">
        <w:rPr>
          <w:rFonts w:ascii="Verdana" w:eastAsia="Times New Roman" w:hAnsi="Verdana" w:cs="Verdana"/>
          <w:sz w:val="20"/>
          <w:szCs w:val="20"/>
          <w:lang w:val="es-ES" w:eastAsia="es-CR"/>
        </w:rPr>
        <w:t>, respectivamente,</w:t>
      </w:r>
      <w:r w:rsidRPr="000B33B9">
        <w:rPr>
          <w:rFonts w:ascii="Verdana" w:eastAsia="Times New Roman" w:hAnsi="Verdana" w:cs="Verdana"/>
          <w:sz w:val="20"/>
          <w:szCs w:val="20"/>
          <w:lang w:val="es-ES" w:eastAsia="es-CR"/>
        </w:rPr>
        <w:t xml:space="preserve"> remitieron alegatos finales escritos, junto con sus anexos. El </w:t>
      </w:r>
      <w:r w:rsidR="003D17B7" w:rsidRPr="000B33B9">
        <w:rPr>
          <w:rFonts w:ascii="Verdana" w:eastAsia="Times New Roman" w:hAnsi="Verdana" w:cs="Verdana"/>
          <w:sz w:val="20"/>
          <w:szCs w:val="20"/>
          <w:lang w:val="es-ES" w:eastAsia="es-CR"/>
        </w:rPr>
        <w:t>10</w:t>
      </w:r>
      <w:r w:rsidR="005E5302" w:rsidRPr="000B33B9">
        <w:rPr>
          <w:rFonts w:ascii="Verdana" w:eastAsia="Times New Roman" w:hAnsi="Verdana" w:cs="Verdana"/>
          <w:sz w:val="20"/>
          <w:szCs w:val="20"/>
          <w:lang w:val="es-ES" w:eastAsia="es-CR"/>
        </w:rPr>
        <w:t xml:space="preserve"> de junio</w:t>
      </w:r>
      <w:r w:rsidRPr="000B33B9">
        <w:rPr>
          <w:rFonts w:ascii="Verdana" w:eastAsia="Times New Roman" w:hAnsi="Verdana" w:cs="Verdana"/>
          <w:sz w:val="20"/>
          <w:szCs w:val="20"/>
          <w:lang w:val="es-ES" w:eastAsia="es-CR"/>
        </w:rPr>
        <w:t xml:space="preserve"> de 2019 la Comisión presentó sus observaciones finales escritas.</w:t>
      </w:r>
    </w:p>
    <w:p w14:paraId="6C0EFD48"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4C92598C" w14:textId="3D3D865C"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r w:rsidRPr="000B33B9">
        <w:rPr>
          <w:rFonts w:ascii="Verdana" w:eastAsia="Times New Roman" w:hAnsi="Verdana" w:cs="Verdana"/>
          <w:i/>
          <w:snapToGrid w:val="0"/>
          <w:sz w:val="20"/>
          <w:szCs w:val="20"/>
          <w:lang w:val="es-ES" w:eastAsia="es-ES"/>
        </w:rPr>
        <w:t>Observaciones de los anexos a los alegatos finales</w:t>
      </w:r>
      <w:r w:rsidR="00F2232F" w:rsidRPr="000B33B9">
        <w:rPr>
          <w:rFonts w:ascii="Verdana" w:eastAsia="Times New Roman" w:hAnsi="Verdana" w:cs="Verdana"/>
          <w:i/>
          <w:snapToGrid w:val="0"/>
          <w:sz w:val="20"/>
          <w:szCs w:val="20"/>
          <w:lang w:val="es-ES" w:eastAsia="es-ES"/>
        </w:rPr>
        <w:t xml:space="preserve">. </w:t>
      </w:r>
      <w:r w:rsidRPr="000B33B9">
        <w:rPr>
          <w:rFonts w:ascii="Verdana" w:eastAsia="Times New Roman" w:hAnsi="Verdana" w:cs="Verdana"/>
          <w:snapToGrid w:val="0"/>
          <w:sz w:val="20"/>
          <w:szCs w:val="20"/>
          <w:lang w:val="es-ES" w:eastAsia="es-ES"/>
        </w:rPr>
        <w:t xml:space="preserve">- </w:t>
      </w:r>
      <w:r w:rsidR="004E0B3D" w:rsidRPr="000B33B9">
        <w:rPr>
          <w:rFonts w:ascii="Verdana" w:eastAsia="Times New Roman" w:hAnsi="Verdana" w:cs="Verdana"/>
          <w:snapToGrid w:val="0"/>
          <w:sz w:val="20"/>
          <w:szCs w:val="20"/>
          <w:lang w:val="es-ES" w:eastAsia="es-ES"/>
        </w:rPr>
        <w:t>Los días</w:t>
      </w:r>
      <w:r w:rsidRPr="000B33B9">
        <w:rPr>
          <w:rFonts w:ascii="Verdana" w:eastAsia="Times New Roman" w:hAnsi="Verdana" w:cs="Verdana"/>
          <w:snapToGrid w:val="0"/>
          <w:sz w:val="20"/>
          <w:szCs w:val="20"/>
          <w:lang w:val="es-ES" w:eastAsia="es-ES"/>
        </w:rPr>
        <w:t xml:space="preserve"> </w:t>
      </w:r>
      <w:r w:rsidR="00493FF7" w:rsidRPr="000B33B9">
        <w:rPr>
          <w:rFonts w:ascii="Verdana" w:eastAsia="Times New Roman" w:hAnsi="Verdana" w:cs="Verdana"/>
          <w:snapToGrid w:val="0"/>
          <w:sz w:val="20"/>
          <w:szCs w:val="20"/>
          <w:lang w:val="es-ES" w:eastAsia="es-ES"/>
        </w:rPr>
        <w:t>21 y 25</w:t>
      </w:r>
      <w:r w:rsidR="003636FF" w:rsidRPr="000B33B9">
        <w:rPr>
          <w:rFonts w:ascii="Verdana" w:eastAsia="Times New Roman" w:hAnsi="Verdana" w:cs="Verdana"/>
          <w:snapToGrid w:val="0"/>
          <w:sz w:val="20"/>
          <w:szCs w:val="20"/>
          <w:lang w:val="es-ES" w:eastAsia="es-ES"/>
        </w:rPr>
        <w:t xml:space="preserve"> </w:t>
      </w:r>
      <w:r w:rsidRPr="000B33B9">
        <w:rPr>
          <w:rFonts w:ascii="Verdana" w:eastAsia="Times New Roman" w:hAnsi="Verdana" w:cs="Verdana"/>
          <w:snapToGrid w:val="0"/>
          <w:sz w:val="20"/>
          <w:szCs w:val="20"/>
          <w:lang w:val="es-ES" w:eastAsia="es-ES"/>
        </w:rPr>
        <w:t xml:space="preserve">de </w:t>
      </w:r>
      <w:r w:rsidR="005E5302" w:rsidRPr="000B33B9">
        <w:rPr>
          <w:rFonts w:ascii="Verdana" w:eastAsia="Times New Roman" w:hAnsi="Verdana" w:cs="Verdana"/>
          <w:snapToGrid w:val="0"/>
          <w:sz w:val="20"/>
          <w:szCs w:val="20"/>
          <w:lang w:val="es-ES" w:eastAsia="es-ES"/>
        </w:rPr>
        <w:t>junio</w:t>
      </w:r>
      <w:r w:rsidRPr="000B33B9">
        <w:rPr>
          <w:rFonts w:ascii="Verdana" w:eastAsia="Times New Roman" w:hAnsi="Verdana" w:cs="Verdana"/>
          <w:snapToGrid w:val="0"/>
          <w:sz w:val="20"/>
          <w:szCs w:val="20"/>
          <w:lang w:val="es-ES" w:eastAsia="es-ES"/>
        </w:rPr>
        <w:t xml:space="preserve"> de 2019, respectivamente, </w:t>
      </w:r>
      <w:r w:rsidR="004E0B3D" w:rsidRPr="000B33B9">
        <w:rPr>
          <w:rFonts w:ascii="Verdana" w:eastAsia="Times New Roman" w:hAnsi="Verdana" w:cs="Verdana"/>
          <w:snapToGrid w:val="0"/>
          <w:sz w:val="20"/>
          <w:szCs w:val="20"/>
          <w:lang w:val="es-ES" w:eastAsia="es-ES"/>
        </w:rPr>
        <w:t>los representantes</w:t>
      </w:r>
      <w:r w:rsidR="00493FF7" w:rsidRPr="000B33B9">
        <w:rPr>
          <w:rFonts w:ascii="Verdana" w:eastAsia="Times New Roman" w:hAnsi="Verdana" w:cs="Verdana"/>
          <w:snapToGrid w:val="0"/>
          <w:sz w:val="20"/>
          <w:szCs w:val="20"/>
          <w:lang w:val="es-ES" w:eastAsia="es-ES"/>
        </w:rPr>
        <w:t xml:space="preserve"> y el Estado</w:t>
      </w:r>
      <w:r w:rsidR="004E0B3D" w:rsidRPr="000B33B9">
        <w:rPr>
          <w:rFonts w:ascii="Verdana" w:eastAsia="Times New Roman" w:hAnsi="Verdana" w:cs="Verdana"/>
          <w:snapToGrid w:val="0"/>
          <w:sz w:val="20"/>
          <w:szCs w:val="20"/>
          <w:lang w:val="es-ES" w:eastAsia="es-ES"/>
        </w:rPr>
        <w:t xml:space="preserve"> </w:t>
      </w:r>
      <w:r w:rsidR="00F2232F" w:rsidRPr="000B33B9">
        <w:rPr>
          <w:rFonts w:ascii="Verdana" w:eastAsia="Times New Roman" w:hAnsi="Verdana" w:cs="Verdana"/>
          <w:snapToGrid w:val="0"/>
          <w:sz w:val="20"/>
          <w:szCs w:val="20"/>
          <w:lang w:val="es-ES" w:eastAsia="es-ES"/>
        </w:rPr>
        <w:t>presentaron</w:t>
      </w:r>
      <w:r w:rsidRPr="000B33B9">
        <w:rPr>
          <w:rFonts w:ascii="Verdana" w:eastAsia="Times New Roman" w:hAnsi="Verdana" w:cs="Verdana"/>
          <w:snapToGrid w:val="0"/>
          <w:sz w:val="20"/>
          <w:szCs w:val="20"/>
          <w:lang w:val="es-ES" w:eastAsia="es-ES"/>
        </w:rPr>
        <w:t xml:space="preserve"> sus observaciones a los anexos remitidos junto a los alegatos finales escritos.</w:t>
      </w:r>
      <w:r w:rsidR="00DD6C38" w:rsidRPr="000B33B9">
        <w:rPr>
          <w:rFonts w:ascii="Verdana" w:eastAsia="Times New Roman" w:hAnsi="Verdana" w:cs="Verdana"/>
          <w:snapToGrid w:val="0"/>
          <w:sz w:val="20"/>
          <w:szCs w:val="20"/>
          <w:lang w:val="es-ES" w:eastAsia="es-ES"/>
        </w:rPr>
        <w:t xml:space="preserve"> </w:t>
      </w:r>
      <w:r w:rsidR="00493FF7" w:rsidRPr="000B33B9">
        <w:rPr>
          <w:rFonts w:ascii="Verdana" w:eastAsia="Times New Roman" w:hAnsi="Verdana" w:cs="Verdana"/>
          <w:snapToGrid w:val="0"/>
          <w:sz w:val="20"/>
          <w:szCs w:val="20"/>
          <w:lang w:val="es-ES" w:eastAsia="es-ES"/>
        </w:rPr>
        <w:t>El día 24 de junio de 2019 la Comisión informó que no tenía observaciones respecto a los anexos de los alegatos finales escritos presentados por el Estado y los representantes.</w:t>
      </w:r>
    </w:p>
    <w:p w14:paraId="766EAFC1"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258234DE" w14:textId="33EF2493" w:rsidR="001C05D8"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Times New Roman" w:hAnsi="Verdana" w:cs="Verdana"/>
          <w:snapToGrid w:val="0"/>
          <w:sz w:val="20"/>
          <w:szCs w:val="20"/>
          <w:lang w:val="es-ES" w:eastAsia="es-ES"/>
        </w:rPr>
      </w:pPr>
      <w:r w:rsidRPr="000B33B9">
        <w:rPr>
          <w:rFonts w:ascii="Verdana" w:eastAsia="Times New Roman" w:hAnsi="Verdana" w:cs="Verdana"/>
          <w:i/>
          <w:snapToGrid w:val="0"/>
          <w:sz w:val="20"/>
          <w:szCs w:val="20"/>
          <w:lang w:val="es-ES" w:eastAsia="es-ES"/>
        </w:rPr>
        <w:t>Deliberación</w:t>
      </w:r>
      <w:r w:rsidRPr="000B33B9">
        <w:rPr>
          <w:rFonts w:ascii="Verdana" w:eastAsia="Times New Roman" w:hAnsi="Verdana" w:cs="Verdana"/>
          <w:i/>
          <w:iCs/>
          <w:snapToGrid w:val="0"/>
          <w:sz w:val="20"/>
          <w:szCs w:val="20"/>
          <w:lang w:val="es-ES" w:eastAsia="es-ES"/>
        </w:rPr>
        <w:t xml:space="preserve"> del presente caso. - </w:t>
      </w:r>
      <w:r w:rsidRPr="000B33B9">
        <w:rPr>
          <w:rFonts w:ascii="Verdana" w:eastAsia="Times New Roman" w:hAnsi="Verdana" w:cs="Verdana"/>
          <w:snapToGrid w:val="0"/>
          <w:sz w:val="20"/>
          <w:szCs w:val="20"/>
          <w:lang w:val="es-ES" w:eastAsia="es-ES"/>
        </w:rPr>
        <w:t>La Corte inició la deliberación de la presente Sentencia el</w:t>
      </w:r>
      <w:r w:rsidR="00D64AF7" w:rsidRPr="000B33B9">
        <w:rPr>
          <w:rFonts w:ascii="Verdana" w:eastAsia="Times New Roman" w:hAnsi="Verdana" w:cs="Verdana"/>
          <w:snapToGrid w:val="0"/>
          <w:sz w:val="20"/>
          <w:szCs w:val="20"/>
          <w:lang w:val="es-ES" w:eastAsia="es-ES"/>
        </w:rPr>
        <w:t xml:space="preserve"> </w:t>
      </w:r>
      <w:r w:rsidR="00F2232F" w:rsidRPr="000B33B9">
        <w:rPr>
          <w:rFonts w:ascii="Verdana" w:eastAsia="Times New Roman" w:hAnsi="Verdana" w:cs="Verdana"/>
          <w:snapToGrid w:val="0"/>
          <w:sz w:val="20"/>
          <w:szCs w:val="20"/>
          <w:lang w:val="es-ES" w:eastAsia="es-ES"/>
        </w:rPr>
        <w:t>18</w:t>
      </w:r>
      <w:r w:rsidR="00DD6C38" w:rsidRPr="000B33B9">
        <w:rPr>
          <w:rFonts w:ascii="Verdana" w:eastAsia="Times New Roman" w:hAnsi="Verdana" w:cs="Verdana"/>
          <w:snapToGrid w:val="0"/>
          <w:sz w:val="20"/>
          <w:szCs w:val="20"/>
          <w:lang w:val="es-ES" w:eastAsia="es-ES"/>
        </w:rPr>
        <w:t xml:space="preserve"> </w:t>
      </w:r>
      <w:r w:rsidR="00D64AF7" w:rsidRPr="000B33B9">
        <w:rPr>
          <w:rFonts w:ascii="Verdana" w:eastAsia="Times New Roman" w:hAnsi="Verdana" w:cs="Verdana"/>
          <w:snapToGrid w:val="0"/>
          <w:sz w:val="20"/>
          <w:szCs w:val="20"/>
          <w:lang w:val="es-ES" w:eastAsia="es-ES"/>
        </w:rPr>
        <w:t xml:space="preserve">de </w:t>
      </w:r>
      <w:r w:rsidR="0038654D" w:rsidRPr="000B33B9">
        <w:rPr>
          <w:rFonts w:ascii="Verdana" w:eastAsia="Times New Roman" w:hAnsi="Verdana" w:cs="Verdana"/>
          <w:snapToGrid w:val="0"/>
          <w:sz w:val="20"/>
          <w:szCs w:val="20"/>
          <w:lang w:val="es-ES" w:eastAsia="es-ES"/>
        </w:rPr>
        <w:t>noviembre</w:t>
      </w:r>
      <w:r w:rsidRPr="000B33B9">
        <w:rPr>
          <w:rFonts w:ascii="Verdana" w:eastAsia="Times New Roman" w:hAnsi="Verdana" w:cs="Verdana"/>
          <w:snapToGrid w:val="0"/>
          <w:sz w:val="20"/>
          <w:szCs w:val="20"/>
          <w:lang w:val="es-ES" w:eastAsia="es-ES"/>
        </w:rPr>
        <w:t xml:space="preserve"> de 2019.</w:t>
      </w:r>
    </w:p>
    <w:p w14:paraId="68F38D14"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Times New Roman" w:hAnsi="Verdana" w:cs="Verdana"/>
          <w:snapToGrid w:val="0"/>
          <w:sz w:val="20"/>
          <w:szCs w:val="20"/>
          <w:lang w:val="es-ES" w:eastAsia="es-ES"/>
        </w:rPr>
      </w:pPr>
    </w:p>
    <w:p w14:paraId="0F32E1E6" w14:textId="77777777" w:rsidR="001C05D8" w:rsidRPr="000B33B9" w:rsidRDefault="001C05D8" w:rsidP="003C0487">
      <w:pPr>
        <w:pStyle w:val="Ttulo1"/>
        <w:rPr>
          <w:rFonts w:eastAsia="Times New Roman" w:cs="Verdana"/>
          <w:b w:val="0"/>
          <w:bCs/>
          <w:caps/>
          <w:snapToGrid w:val="0"/>
          <w:lang w:val="es-ES_tradnl"/>
        </w:rPr>
      </w:pPr>
      <w:bookmarkStart w:id="7" w:name="_Toc437960385"/>
      <w:bookmarkStart w:id="8" w:name="_Toc494123965"/>
      <w:bookmarkStart w:id="9" w:name="_Toc27329739"/>
      <w:r w:rsidRPr="000B33B9">
        <w:rPr>
          <w:rFonts w:eastAsia="Times New Roman" w:cs="Verdana"/>
          <w:bCs/>
          <w:caps/>
          <w:snapToGrid w:val="0"/>
          <w:lang w:val="es-ES_tradnl"/>
        </w:rPr>
        <w:t>III</w:t>
      </w:r>
      <w:r w:rsidRPr="000B33B9">
        <w:rPr>
          <w:rFonts w:eastAsia="Times New Roman" w:cs="Verdana"/>
          <w:bCs/>
          <w:caps/>
          <w:snapToGrid w:val="0"/>
          <w:lang w:val="es-ES_tradnl"/>
        </w:rPr>
        <w:br/>
        <w:t>COMPETENCIA</w:t>
      </w:r>
      <w:bookmarkEnd w:id="7"/>
      <w:bookmarkEnd w:id="8"/>
      <w:bookmarkEnd w:id="9"/>
    </w:p>
    <w:p w14:paraId="39C32394" w14:textId="77777777" w:rsidR="008A351B" w:rsidRPr="000B33B9" w:rsidRDefault="008A351B" w:rsidP="00C962FE">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p>
    <w:p w14:paraId="09284725" w14:textId="03D60383" w:rsidR="00C25FED" w:rsidRPr="000B33B9" w:rsidRDefault="001C05D8"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eastAsia="Times New Roman" w:hAnsi="Verdana" w:cs="Times New Roman"/>
          <w:sz w:val="20"/>
          <w:szCs w:val="20"/>
          <w:lang w:val="es-ES" w:eastAsia="es-CR"/>
        </w:rPr>
      </w:pPr>
      <w:r w:rsidRPr="000B33B9">
        <w:rPr>
          <w:rFonts w:ascii="Verdana" w:eastAsia="Times New Roman" w:hAnsi="Verdana" w:cs="Times New Roman"/>
          <w:sz w:val="20"/>
          <w:szCs w:val="20"/>
          <w:lang w:val="es-ES" w:eastAsia="es-CR"/>
        </w:rPr>
        <w:t>La Corte Interamericana es competente</w:t>
      </w:r>
      <w:r w:rsidR="00C25FED" w:rsidRPr="000B33B9">
        <w:rPr>
          <w:rFonts w:ascii="Verdana" w:eastAsia="Times New Roman" w:hAnsi="Verdana" w:cs="Times New Roman"/>
          <w:sz w:val="20"/>
          <w:szCs w:val="20"/>
          <w:lang w:val="es-ES" w:eastAsia="es-CR"/>
        </w:rPr>
        <w:t xml:space="preserve"> para conocer del presente caso</w:t>
      </w:r>
      <w:r w:rsidRPr="000B33B9">
        <w:rPr>
          <w:rFonts w:ascii="Verdana" w:eastAsia="Times New Roman" w:hAnsi="Verdana" w:cs="Times New Roman"/>
          <w:sz w:val="20"/>
          <w:szCs w:val="20"/>
          <w:lang w:val="es-ES" w:eastAsia="es-CR"/>
        </w:rPr>
        <w:t xml:space="preserve"> en los términos del artículo 62.3 de la Convención Americana, en</w:t>
      </w:r>
      <w:r w:rsidR="00F2232F" w:rsidRPr="000B33B9">
        <w:rPr>
          <w:rFonts w:ascii="Verdana" w:eastAsia="Times New Roman" w:hAnsi="Verdana" w:cs="Times New Roman"/>
          <w:sz w:val="20"/>
          <w:szCs w:val="20"/>
          <w:lang w:val="es-ES" w:eastAsia="es-CR"/>
        </w:rPr>
        <w:t xml:space="preserve"> razón de que</w:t>
      </w:r>
      <w:r w:rsidR="00C25FED" w:rsidRPr="000B33B9">
        <w:rPr>
          <w:rFonts w:ascii="Verdana" w:eastAsia="Times New Roman" w:hAnsi="Verdana" w:cs="Times New Roman"/>
          <w:sz w:val="20"/>
          <w:szCs w:val="20"/>
          <w:lang w:val="es-ES" w:eastAsia="es-CR"/>
        </w:rPr>
        <w:t xml:space="preserve"> Perú</w:t>
      </w:r>
      <w:r w:rsidRPr="000B33B9">
        <w:rPr>
          <w:rFonts w:ascii="Verdana" w:eastAsia="Times New Roman" w:hAnsi="Verdana" w:cs="Times New Roman"/>
          <w:sz w:val="20"/>
          <w:szCs w:val="20"/>
          <w:lang w:val="es-ES" w:eastAsia="es-CR"/>
        </w:rPr>
        <w:t xml:space="preserve"> </w:t>
      </w:r>
      <w:r w:rsidR="00C25FED" w:rsidRPr="000B33B9">
        <w:rPr>
          <w:rFonts w:ascii="Verdana" w:eastAsia="Times New Roman" w:hAnsi="Verdana" w:cs="Times New Roman"/>
          <w:sz w:val="20"/>
          <w:szCs w:val="20"/>
          <w:lang w:val="es-ES" w:eastAsia="es-CR"/>
        </w:rPr>
        <w:t xml:space="preserve">ratificó la Convención Americana el 28 de julio de 1978, </w:t>
      </w:r>
      <w:r w:rsidRPr="000B33B9">
        <w:rPr>
          <w:rFonts w:ascii="Verdana" w:eastAsia="Times New Roman" w:hAnsi="Verdana" w:cs="Times New Roman"/>
          <w:sz w:val="20"/>
          <w:szCs w:val="20"/>
          <w:lang w:val="es-ES" w:eastAsia="es-CR"/>
        </w:rPr>
        <w:t xml:space="preserve">y reconoció la competencia contenciosa de </w:t>
      </w:r>
      <w:r w:rsidR="00C25FED" w:rsidRPr="000B33B9">
        <w:rPr>
          <w:rFonts w:ascii="Verdana" w:eastAsia="Times New Roman" w:hAnsi="Verdana" w:cs="Times New Roman"/>
          <w:sz w:val="20"/>
          <w:szCs w:val="20"/>
          <w:lang w:val="es-ES" w:eastAsia="es-CR"/>
        </w:rPr>
        <w:t>la Corte el 21 de enero de 1981.</w:t>
      </w:r>
    </w:p>
    <w:p w14:paraId="11531BF6" w14:textId="77777777" w:rsidR="008A351B" w:rsidRPr="000B33B9" w:rsidRDefault="008A351B" w:rsidP="00C962FE">
      <w:pPr>
        <w:widowControl w:val="0"/>
        <w:tabs>
          <w:tab w:val="left" w:pos="567"/>
        </w:tabs>
        <w:adjustRightInd w:val="0"/>
        <w:spacing w:after="0" w:line="240" w:lineRule="auto"/>
        <w:jc w:val="both"/>
        <w:textAlignment w:val="baseline"/>
        <w:rPr>
          <w:rFonts w:ascii="Verdana" w:eastAsia="Times New Roman" w:hAnsi="Verdana" w:cs="Times New Roman"/>
          <w:sz w:val="20"/>
          <w:szCs w:val="20"/>
          <w:lang w:val="es-ES" w:eastAsia="es-CR"/>
        </w:rPr>
      </w:pPr>
    </w:p>
    <w:p w14:paraId="18DC2806" w14:textId="6CEB8692" w:rsidR="0038654D" w:rsidRPr="000B33B9" w:rsidRDefault="0038654D" w:rsidP="00640C2A">
      <w:pPr>
        <w:pStyle w:val="Ttulo1"/>
        <w:rPr>
          <w:snapToGrid w:val="0"/>
          <w:lang w:val="es-ES_tradnl"/>
        </w:rPr>
      </w:pPr>
      <w:bookmarkStart w:id="10" w:name="_Toc437960386"/>
      <w:bookmarkStart w:id="11" w:name="_Toc494123966"/>
      <w:bookmarkStart w:id="12" w:name="_Toc12726708"/>
      <w:bookmarkStart w:id="13" w:name="_Toc19024929"/>
      <w:bookmarkStart w:id="14" w:name="_Toc27329740"/>
      <w:r w:rsidRPr="000B33B9">
        <w:rPr>
          <w:rFonts w:cs="Verdana"/>
          <w:snapToGrid w:val="0"/>
          <w:lang w:val="es-ES_tradnl"/>
        </w:rPr>
        <w:t>IV</w:t>
      </w:r>
      <w:r w:rsidRPr="000B33B9">
        <w:rPr>
          <w:rFonts w:cs="Verdana"/>
          <w:snapToGrid w:val="0"/>
          <w:lang w:val="es-ES_tradnl"/>
        </w:rPr>
        <w:br/>
      </w:r>
      <w:r w:rsidRPr="000B33B9">
        <w:rPr>
          <w:snapToGrid w:val="0"/>
          <w:lang w:val="es-ES_tradnl"/>
        </w:rPr>
        <w:t>EXCEPCI</w:t>
      </w:r>
      <w:r w:rsidR="00640C2A" w:rsidRPr="000B33B9">
        <w:rPr>
          <w:snapToGrid w:val="0"/>
          <w:lang w:val="es-ES_tradnl"/>
        </w:rPr>
        <w:t>ONES</w:t>
      </w:r>
      <w:r w:rsidRPr="000B33B9">
        <w:rPr>
          <w:snapToGrid w:val="0"/>
          <w:lang w:val="es-ES_tradnl"/>
        </w:rPr>
        <w:t xml:space="preserve"> PRELIMINAR</w:t>
      </w:r>
      <w:bookmarkEnd w:id="10"/>
      <w:bookmarkEnd w:id="11"/>
      <w:bookmarkEnd w:id="12"/>
      <w:bookmarkEnd w:id="13"/>
      <w:r w:rsidR="00640C2A" w:rsidRPr="000B33B9">
        <w:rPr>
          <w:snapToGrid w:val="0"/>
          <w:lang w:val="es-ES_tradnl"/>
        </w:rPr>
        <w:t>ES</w:t>
      </w:r>
      <w:bookmarkEnd w:id="14"/>
    </w:p>
    <w:p w14:paraId="50F83CA1" w14:textId="77777777" w:rsidR="0038654D" w:rsidRPr="000B33B9" w:rsidRDefault="0038654D" w:rsidP="0038654D">
      <w:pPr>
        <w:keepNext/>
        <w:keepLines/>
        <w:tabs>
          <w:tab w:val="left" w:pos="851"/>
        </w:tabs>
        <w:spacing w:after="0" w:line="240" w:lineRule="auto"/>
        <w:jc w:val="center"/>
        <w:outlineLvl w:val="0"/>
        <w:rPr>
          <w:rFonts w:ascii="Verdana" w:eastAsia="Times New Roman" w:hAnsi="Verdana" w:cs="Times New Roman"/>
          <w:bCs/>
          <w:caps/>
          <w:snapToGrid w:val="0"/>
          <w:sz w:val="20"/>
          <w:szCs w:val="20"/>
          <w:lang w:val="es-ES_tradnl"/>
        </w:rPr>
      </w:pPr>
    </w:p>
    <w:p w14:paraId="544B3397" w14:textId="7AAB9330" w:rsidR="00962281" w:rsidRPr="000B33B9" w:rsidRDefault="00962281" w:rsidP="007B74B8">
      <w:pPr>
        <w:pStyle w:val="NormalNumbered"/>
        <w:numPr>
          <w:ilvl w:val="0"/>
          <w:numId w:val="10"/>
        </w:numPr>
        <w:ind w:left="0" w:firstLine="0"/>
        <w:rPr>
          <w:snapToGrid w:val="0"/>
          <w:lang w:val="es-ES_tradnl"/>
        </w:rPr>
      </w:pPr>
      <w:r w:rsidRPr="000B33B9">
        <w:rPr>
          <w:snapToGrid w:val="0"/>
          <w:lang w:val="es-ES_tradnl"/>
        </w:rPr>
        <w:t>El Estado presentó cuatro</w:t>
      </w:r>
      <w:r w:rsidR="00157A51" w:rsidRPr="000B33B9">
        <w:rPr>
          <w:snapToGrid w:val="0"/>
          <w:lang w:val="es-ES_tradnl"/>
        </w:rPr>
        <w:t xml:space="preserve"> “cuestionamientos procesales” en relación con la competencia de este Tribunal y dos “observaciones preliminares” con el </w:t>
      </w:r>
      <w:r w:rsidR="00B12AAE" w:rsidRPr="000B33B9">
        <w:rPr>
          <w:snapToGrid w:val="0"/>
          <w:lang w:val="es-ES_tradnl"/>
        </w:rPr>
        <w:t>propósito</w:t>
      </w:r>
      <w:r w:rsidR="00157A51" w:rsidRPr="000B33B9">
        <w:rPr>
          <w:snapToGrid w:val="0"/>
          <w:lang w:val="es-ES_tradnl"/>
        </w:rPr>
        <w:t xml:space="preserve"> de realizar ciertas aclaraciones y precisiones sobre el objeto de la controversia y la delimitación de las presuntas víctimas del caso. En el presente </w:t>
      </w:r>
      <w:r w:rsidR="00E87C57" w:rsidRPr="000B33B9">
        <w:rPr>
          <w:snapToGrid w:val="0"/>
          <w:lang w:val="es-ES_tradnl"/>
        </w:rPr>
        <w:t xml:space="preserve">apartado la Corte </w:t>
      </w:r>
      <w:r w:rsidR="00157A51" w:rsidRPr="000B33B9">
        <w:rPr>
          <w:snapToGrid w:val="0"/>
          <w:lang w:val="es-ES_tradnl"/>
        </w:rPr>
        <w:t>analizará los argumentos dirigidos a cuestionar la competencia de este Tribunal por razón de: a) la falta de agotamiento de los recursos internos</w:t>
      </w:r>
      <w:r w:rsidR="00C61306" w:rsidRPr="000B33B9">
        <w:rPr>
          <w:snapToGrid w:val="0"/>
          <w:lang w:val="es-ES_tradnl"/>
        </w:rPr>
        <w:t xml:space="preserve"> por parte de las presuntas víctimas</w:t>
      </w:r>
      <w:r w:rsidR="00157A51" w:rsidRPr="000B33B9">
        <w:rPr>
          <w:snapToGrid w:val="0"/>
          <w:lang w:val="es-ES_tradnl"/>
        </w:rPr>
        <w:t>; b) la imposibilidad</w:t>
      </w:r>
      <w:r w:rsidR="00C61306" w:rsidRPr="000B33B9">
        <w:rPr>
          <w:snapToGrid w:val="0"/>
          <w:lang w:val="es-ES_tradnl"/>
        </w:rPr>
        <w:t xml:space="preserve"> del Tribunal</w:t>
      </w:r>
      <w:r w:rsidR="00157A51" w:rsidRPr="000B33B9">
        <w:rPr>
          <w:snapToGrid w:val="0"/>
          <w:lang w:val="es-ES_tradnl"/>
        </w:rPr>
        <w:t xml:space="preserve"> para act</w:t>
      </w:r>
      <w:r w:rsidR="00912E28" w:rsidRPr="000B33B9">
        <w:rPr>
          <w:snapToGrid w:val="0"/>
          <w:lang w:val="es-ES_tradnl"/>
        </w:rPr>
        <w:t>uar como una “cuarta instancia”,</w:t>
      </w:r>
      <w:r w:rsidR="00157A51" w:rsidRPr="000B33B9">
        <w:rPr>
          <w:snapToGrid w:val="0"/>
          <w:lang w:val="es-ES_tradnl"/>
        </w:rPr>
        <w:t xml:space="preserve"> y c) </w:t>
      </w:r>
      <w:r w:rsidR="00C61306" w:rsidRPr="000B33B9">
        <w:rPr>
          <w:snapToGrid w:val="0"/>
          <w:lang w:val="es-ES_tradnl"/>
        </w:rPr>
        <w:t xml:space="preserve">la indebida inclusión por parte de los representantes de alegatos relacionados con la violación a los artículos 26 y 4 de la Convención Americana. Las observaciones preliminares del Estado serán tomadas en consideración, en lo pertinente, en el </w:t>
      </w:r>
      <w:r w:rsidR="00CB7833" w:rsidRPr="000B33B9">
        <w:rPr>
          <w:snapToGrid w:val="0"/>
          <w:lang w:val="es-ES_tradnl"/>
        </w:rPr>
        <w:t xml:space="preserve">siguiente apartado y en el </w:t>
      </w:r>
      <w:r w:rsidR="00C61306" w:rsidRPr="000B33B9">
        <w:rPr>
          <w:snapToGrid w:val="0"/>
          <w:lang w:val="es-ES_tradnl"/>
        </w:rPr>
        <w:t>análisis de fondo del caso.</w:t>
      </w:r>
    </w:p>
    <w:p w14:paraId="34F32A13" w14:textId="77777777" w:rsidR="00C61306" w:rsidRPr="000B33B9" w:rsidRDefault="00C61306" w:rsidP="0038654D">
      <w:pPr>
        <w:keepNext/>
        <w:keepLines/>
        <w:tabs>
          <w:tab w:val="left" w:pos="851"/>
        </w:tabs>
        <w:spacing w:after="0" w:line="240" w:lineRule="auto"/>
        <w:jc w:val="center"/>
        <w:outlineLvl w:val="0"/>
        <w:rPr>
          <w:rFonts w:ascii="Verdana" w:eastAsia="Times New Roman" w:hAnsi="Verdana" w:cs="Times New Roman"/>
          <w:bCs/>
          <w:caps/>
          <w:snapToGrid w:val="0"/>
          <w:sz w:val="20"/>
          <w:szCs w:val="20"/>
          <w:lang w:val="es-ES_tradnl"/>
        </w:rPr>
      </w:pPr>
    </w:p>
    <w:p w14:paraId="5E3ACD25" w14:textId="77777777" w:rsidR="0038654D" w:rsidRPr="000B33B9" w:rsidRDefault="0038654D" w:rsidP="007B74B8">
      <w:pPr>
        <w:pStyle w:val="Ttulo2"/>
        <w:keepLines w:val="0"/>
        <w:widowControl/>
        <w:numPr>
          <w:ilvl w:val="0"/>
          <w:numId w:val="15"/>
        </w:numPr>
        <w:adjustRightInd/>
        <w:ind w:hanging="720"/>
        <w:textAlignment w:val="auto"/>
      </w:pPr>
      <w:bookmarkStart w:id="15" w:name="_Toc19024930"/>
      <w:bookmarkStart w:id="16" w:name="_Toc27329741"/>
      <w:r w:rsidRPr="000B33B9">
        <w:t>Excepción por falta de agotamiento de los recursos internos</w:t>
      </w:r>
      <w:bookmarkEnd w:id="15"/>
      <w:bookmarkEnd w:id="16"/>
    </w:p>
    <w:p w14:paraId="10DCEA6C" w14:textId="77777777" w:rsidR="0038654D" w:rsidRPr="000B33B9" w:rsidRDefault="0038654D" w:rsidP="00F46836">
      <w:pPr>
        <w:pStyle w:val="Ttulo3"/>
        <w:numPr>
          <w:ilvl w:val="0"/>
          <w:numId w:val="0"/>
        </w:numPr>
        <w:ind w:left="993"/>
        <w:rPr>
          <w:b w:val="0"/>
          <w:i w:val="0"/>
          <w:lang w:val="es-CR"/>
        </w:rPr>
      </w:pPr>
    </w:p>
    <w:p w14:paraId="0619ECE2" w14:textId="77777777" w:rsidR="0038654D" w:rsidRPr="000B33B9" w:rsidRDefault="0038654D" w:rsidP="00F46836">
      <w:pPr>
        <w:pStyle w:val="Ttulo3"/>
        <w:numPr>
          <w:ilvl w:val="0"/>
          <w:numId w:val="0"/>
        </w:numPr>
        <w:ind w:left="1353"/>
      </w:pPr>
      <w:bookmarkStart w:id="17" w:name="_Toc27329742"/>
      <w:r w:rsidRPr="000B33B9">
        <w:t>A.1. Alegatos del Estado y observaciones de la Comisión y de los representantes</w:t>
      </w:r>
      <w:bookmarkEnd w:id="17"/>
    </w:p>
    <w:p w14:paraId="2BA13DB2" w14:textId="77777777" w:rsidR="0038654D" w:rsidRPr="000B33B9" w:rsidRDefault="0038654D" w:rsidP="0038654D">
      <w:pPr>
        <w:spacing w:after="0" w:line="240" w:lineRule="auto"/>
        <w:rPr>
          <w:rFonts w:ascii="Verdana" w:hAnsi="Verdana"/>
          <w:sz w:val="20"/>
          <w:szCs w:val="20"/>
        </w:rPr>
      </w:pPr>
    </w:p>
    <w:p w14:paraId="63C893DA" w14:textId="73F13247"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El </w:t>
      </w:r>
      <w:r w:rsidRPr="000B33B9">
        <w:rPr>
          <w:rFonts w:ascii="Verdana" w:hAnsi="Verdana"/>
          <w:b/>
          <w:i/>
          <w:sz w:val="20"/>
          <w:szCs w:val="20"/>
        </w:rPr>
        <w:t>Estado</w:t>
      </w:r>
      <w:r w:rsidRPr="000B33B9">
        <w:rPr>
          <w:rFonts w:ascii="Verdana" w:hAnsi="Verdana"/>
          <w:sz w:val="20"/>
          <w:szCs w:val="20"/>
        </w:rPr>
        <w:t xml:space="preserve"> alegó que las presuntas víctimas no agotaron los recursos judiciales internos, puesto que al momento en que se </w:t>
      </w:r>
      <w:r w:rsidR="0044343A" w:rsidRPr="000B33B9">
        <w:rPr>
          <w:rFonts w:ascii="Verdana" w:hAnsi="Verdana"/>
          <w:sz w:val="20"/>
          <w:szCs w:val="20"/>
        </w:rPr>
        <w:t xml:space="preserve">presentaron </w:t>
      </w:r>
      <w:r w:rsidRPr="000B33B9">
        <w:rPr>
          <w:rFonts w:ascii="Verdana" w:hAnsi="Verdana"/>
          <w:sz w:val="20"/>
          <w:szCs w:val="20"/>
        </w:rPr>
        <w:t>las peticiones de los días 11 de noviembre de 1998, 27 de agosto de 2003 y 8 de octubre de 2004, el proceso de ejecución de sentencia aún se encontraba abierto y pendiente de decisión. Asimismo, manifestó que presentó de forma oportuna la excepción preliminar por falta de agotamiento de los recursos de la jurisdicción interna conforme lo establece el artículo 46.1.a). Adicionalmente, el Estado alegó que el cumplimiento del agotamiento de los recursos internos debe ser verificado al momento de la presentación de la petición y no cuando la Comisión se pronuncia sobre la admisibilidad de la misma.</w:t>
      </w:r>
    </w:p>
    <w:p w14:paraId="20DD0942" w14:textId="77777777" w:rsidR="0038654D" w:rsidRPr="000B33B9" w:rsidRDefault="0038654D" w:rsidP="0038654D">
      <w:pPr>
        <w:pStyle w:val="Prrafodelista"/>
        <w:spacing w:after="0" w:line="240" w:lineRule="auto"/>
        <w:ind w:left="0"/>
        <w:jc w:val="both"/>
        <w:rPr>
          <w:rFonts w:ascii="Verdana" w:hAnsi="Verdana"/>
          <w:sz w:val="20"/>
          <w:szCs w:val="20"/>
        </w:rPr>
      </w:pPr>
    </w:p>
    <w:p w14:paraId="5AB8F481" w14:textId="6CA3D796"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Los </w:t>
      </w:r>
      <w:r w:rsidRPr="000B33B9">
        <w:rPr>
          <w:rFonts w:ascii="Verdana" w:hAnsi="Verdana"/>
          <w:b/>
          <w:i/>
          <w:sz w:val="20"/>
          <w:szCs w:val="20"/>
        </w:rPr>
        <w:t xml:space="preserve">representantes </w:t>
      </w:r>
      <w:r w:rsidRPr="000B33B9">
        <w:rPr>
          <w:rFonts w:ascii="Verdana" w:hAnsi="Verdana"/>
          <w:sz w:val="20"/>
          <w:szCs w:val="20"/>
        </w:rPr>
        <w:t>alegaron que al no haberse indicado los supuestos recursos que debían ser agotados</w:t>
      </w:r>
      <w:r w:rsidR="0044343A" w:rsidRPr="000B33B9">
        <w:rPr>
          <w:rFonts w:ascii="Verdana" w:hAnsi="Verdana"/>
          <w:sz w:val="20"/>
          <w:szCs w:val="20"/>
        </w:rPr>
        <w:t xml:space="preserve"> por parte del Estado</w:t>
      </w:r>
      <w:r w:rsidRPr="000B33B9">
        <w:rPr>
          <w:rFonts w:ascii="Verdana" w:hAnsi="Verdana"/>
          <w:sz w:val="20"/>
          <w:szCs w:val="20"/>
        </w:rPr>
        <w:t xml:space="preserve">, se debe seguir lo indicado por la Comisión en su Informe de Fondo. Asimismo, alegaron que el Estado debió probar que estos </w:t>
      </w:r>
      <w:r w:rsidR="00E87C57" w:rsidRPr="000B33B9">
        <w:rPr>
          <w:rFonts w:ascii="Verdana" w:hAnsi="Verdana"/>
          <w:sz w:val="20"/>
          <w:szCs w:val="20"/>
        </w:rPr>
        <w:t xml:space="preserve">recursos </w:t>
      </w:r>
      <w:r w:rsidRPr="000B33B9">
        <w:rPr>
          <w:rFonts w:ascii="Verdana" w:hAnsi="Verdana"/>
          <w:sz w:val="20"/>
          <w:szCs w:val="20"/>
        </w:rPr>
        <w:t xml:space="preserve">eran idóneos y efectivos. </w:t>
      </w:r>
      <w:r w:rsidR="0044343A" w:rsidRPr="000B33B9">
        <w:rPr>
          <w:rFonts w:ascii="Verdana" w:hAnsi="Verdana"/>
          <w:sz w:val="20"/>
          <w:szCs w:val="20"/>
        </w:rPr>
        <w:t>L</w:t>
      </w:r>
      <w:r w:rsidRPr="000B33B9">
        <w:rPr>
          <w:rFonts w:ascii="Verdana" w:hAnsi="Verdana"/>
          <w:sz w:val="20"/>
          <w:szCs w:val="20"/>
        </w:rPr>
        <w:t xml:space="preserve">os representantes alegaron que la Corte debe apegarse a lo establecido en la sentencia en el caso </w:t>
      </w:r>
      <w:r w:rsidRPr="000B33B9">
        <w:rPr>
          <w:rFonts w:ascii="Verdana" w:hAnsi="Verdana"/>
          <w:i/>
          <w:sz w:val="20"/>
          <w:szCs w:val="20"/>
        </w:rPr>
        <w:t>Wong Ho Wing Vs. Perú</w:t>
      </w:r>
      <w:r w:rsidR="00E87C57" w:rsidRPr="000B33B9">
        <w:rPr>
          <w:rFonts w:ascii="Verdana" w:hAnsi="Verdana"/>
          <w:sz w:val="20"/>
          <w:szCs w:val="20"/>
        </w:rPr>
        <w:t>,</w:t>
      </w:r>
      <w:r w:rsidRPr="000B33B9">
        <w:rPr>
          <w:rFonts w:ascii="Verdana" w:hAnsi="Verdana"/>
          <w:i/>
          <w:sz w:val="20"/>
          <w:szCs w:val="20"/>
        </w:rPr>
        <w:t xml:space="preserve"> </w:t>
      </w:r>
      <w:r w:rsidRPr="000B33B9">
        <w:rPr>
          <w:rFonts w:ascii="Verdana" w:hAnsi="Verdana"/>
          <w:sz w:val="20"/>
          <w:szCs w:val="20"/>
        </w:rPr>
        <w:t xml:space="preserve">en el sentido que los recursos intentados deben ser agotados al momento del pronunciamiento sobre admisibilidad. Sin perjuicio de lo anterior, </w:t>
      </w:r>
      <w:r w:rsidR="0044343A" w:rsidRPr="000B33B9">
        <w:rPr>
          <w:rFonts w:ascii="Verdana" w:hAnsi="Verdana"/>
          <w:sz w:val="20"/>
          <w:szCs w:val="20"/>
        </w:rPr>
        <w:t xml:space="preserve">sostuvieron </w:t>
      </w:r>
      <w:r w:rsidRPr="000B33B9">
        <w:rPr>
          <w:rFonts w:ascii="Verdana" w:hAnsi="Verdana"/>
          <w:sz w:val="20"/>
          <w:szCs w:val="20"/>
        </w:rPr>
        <w:t>que se cumplió con lo dispuesto en el artículo 46.1.a) en tanto que dicho agotamiento se logró con la sentencia de fecha 25 de octubre de 19</w:t>
      </w:r>
      <w:r w:rsidR="00572A0B" w:rsidRPr="000B33B9">
        <w:rPr>
          <w:rFonts w:ascii="Verdana" w:hAnsi="Verdana"/>
          <w:sz w:val="20"/>
          <w:szCs w:val="20"/>
        </w:rPr>
        <w:t>93, la cual no admitía recursos</w:t>
      </w:r>
      <w:r w:rsidRPr="000B33B9">
        <w:rPr>
          <w:rFonts w:ascii="Verdana" w:hAnsi="Verdana"/>
          <w:sz w:val="20"/>
          <w:szCs w:val="20"/>
        </w:rPr>
        <w:t>.</w:t>
      </w:r>
    </w:p>
    <w:p w14:paraId="0488D64E" w14:textId="77777777" w:rsidR="0038654D" w:rsidRPr="000B33B9" w:rsidRDefault="0038654D" w:rsidP="0038654D">
      <w:pPr>
        <w:pStyle w:val="Prrafodelista"/>
        <w:spacing w:after="0" w:line="240" w:lineRule="auto"/>
        <w:ind w:left="0"/>
        <w:jc w:val="both"/>
        <w:rPr>
          <w:rFonts w:ascii="Verdana" w:hAnsi="Verdana"/>
          <w:sz w:val="20"/>
          <w:szCs w:val="20"/>
        </w:rPr>
      </w:pPr>
    </w:p>
    <w:p w14:paraId="10920EDC" w14:textId="67AEFD7A"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La </w:t>
      </w:r>
      <w:r w:rsidRPr="000B33B9">
        <w:rPr>
          <w:rFonts w:ascii="Verdana" w:hAnsi="Verdana"/>
          <w:b/>
          <w:i/>
          <w:sz w:val="20"/>
          <w:szCs w:val="20"/>
        </w:rPr>
        <w:t xml:space="preserve">Comisión </w:t>
      </w:r>
      <w:r w:rsidRPr="000B33B9">
        <w:rPr>
          <w:rFonts w:ascii="Verdana" w:hAnsi="Verdana"/>
          <w:sz w:val="20"/>
          <w:szCs w:val="20"/>
        </w:rPr>
        <w:t>s</w:t>
      </w:r>
      <w:r w:rsidR="009C4B15" w:rsidRPr="000B33B9">
        <w:rPr>
          <w:rFonts w:ascii="Verdana" w:hAnsi="Verdana"/>
          <w:sz w:val="20"/>
          <w:szCs w:val="20"/>
        </w:rPr>
        <w:t>ostuvo</w:t>
      </w:r>
      <w:r w:rsidRPr="000B33B9">
        <w:rPr>
          <w:rFonts w:ascii="Verdana" w:hAnsi="Verdana"/>
          <w:sz w:val="20"/>
          <w:szCs w:val="20"/>
        </w:rPr>
        <w:t xml:space="preserve"> que “en situaciones en las cuales la evolución de los hechos inicialmente presentados a nivel interno, implica un cambio en el cumplimiento o incumplimiento de los requisitos de admisibilidad, la Comisión ha señalado que su análisis debe hacerse a partir de la situación vigente al momento del pronunciamiento d</w:t>
      </w:r>
      <w:r w:rsidR="00C343F4" w:rsidRPr="000B33B9">
        <w:rPr>
          <w:rFonts w:ascii="Verdana" w:hAnsi="Verdana"/>
          <w:sz w:val="20"/>
          <w:szCs w:val="20"/>
        </w:rPr>
        <w:t>e admisibilidad”</w:t>
      </w:r>
      <w:r w:rsidRPr="000B33B9">
        <w:rPr>
          <w:rFonts w:ascii="Verdana" w:hAnsi="Verdana"/>
          <w:sz w:val="20"/>
          <w:szCs w:val="20"/>
        </w:rPr>
        <w:t>. En el mismo sentido, señaló que los recursos internos deben estar agotados al momento del pronunciamiento de admisibilidad y no necesariamente al momento de la presentación de la petición</w:t>
      </w:r>
      <w:r w:rsidR="009C4B15" w:rsidRPr="000B33B9">
        <w:rPr>
          <w:rFonts w:ascii="Verdana" w:hAnsi="Verdana"/>
          <w:sz w:val="20"/>
          <w:szCs w:val="20"/>
        </w:rPr>
        <w:t>,</w:t>
      </w:r>
      <w:r w:rsidRPr="000B33B9">
        <w:rPr>
          <w:rFonts w:ascii="Verdana" w:hAnsi="Verdana"/>
          <w:sz w:val="20"/>
          <w:szCs w:val="20"/>
        </w:rPr>
        <w:t xml:space="preserve"> criterio recogido en el caso </w:t>
      </w:r>
      <w:r w:rsidRPr="000B33B9">
        <w:rPr>
          <w:rFonts w:ascii="Verdana" w:hAnsi="Verdana"/>
          <w:i/>
          <w:sz w:val="20"/>
          <w:szCs w:val="20"/>
        </w:rPr>
        <w:t>Wong Ho Wing Vs. Perú</w:t>
      </w:r>
      <w:r w:rsidRPr="000B33B9">
        <w:rPr>
          <w:rFonts w:ascii="Verdana" w:hAnsi="Verdana"/>
          <w:sz w:val="20"/>
          <w:szCs w:val="20"/>
        </w:rPr>
        <w:t xml:space="preserve">. En virtud de ello, </w:t>
      </w:r>
      <w:r w:rsidR="00C343F4" w:rsidRPr="000B33B9">
        <w:rPr>
          <w:rFonts w:ascii="Verdana" w:hAnsi="Verdana"/>
          <w:sz w:val="20"/>
          <w:szCs w:val="20"/>
        </w:rPr>
        <w:t>solicitó</w:t>
      </w:r>
      <w:r w:rsidRPr="000B33B9">
        <w:rPr>
          <w:rFonts w:ascii="Verdana" w:hAnsi="Verdana"/>
          <w:sz w:val="20"/>
          <w:szCs w:val="20"/>
        </w:rPr>
        <w:t xml:space="preserve"> que se declare improcedente </w:t>
      </w:r>
      <w:r w:rsidR="00C343F4" w:rsidRPr="000B33B9">
        <w:rPr>
          <w:rFonts w:ascii="Verdana" w:hAnsi="Verdana"/>
          <w:sz w:val="20"/>
          <w:szCs w:val="20"/>
        </w:rPr>
        <w:t>este componente de la excepción</w:t>
      </w:r>
      <w:r w:rsidRPr="000B33B9">
        <w:rPr>
          <w:rFonts w:ascii="Verdana" w:hAnsi="Verdana"/>
          <w:sz w:val="20"/>
          <w:szCs w:val="20"/>
        </w:rPr>
        <w:t xml:space="preserve">. Asimismo, la Comisión reiteró su criterio expresado en el informe de admisibilidad en el sentido </w:t>
      </w:r>
      <w:r w:rsidR="004E103A" w:rsidRPr="000B33B9">
        <w:rPr>
          <w:rFonts w:ascii="Verdana" w:hAnsi="Verdana"/>
          <w:sz w:val="20"/>
          <w:szCs w:val="20"/>
        </w:rPr>
        <w:t xml:space="preserve">de </w:t>
      </w:r>
      <w:r w:rsidRPr="000B33B9">
        <w:rPr>
          <w:rFonts w:ascii="Verdana" w:hAnsi="Verdana"/>
          <w:sz w:val="20"/>
          <w:szCs w:val="20"/>
        </w:rPr>
        <w:t>que res</w:t>
      </w:r>
      <w:r w:rsidR="00C343F4" w:rsidRPr="000B33B9">
        <w:rPr>
          <w:rFonts w:ascii="Verdana" w:hAnsi="Verdana"/>
          <w:sz w:val="20"/>
          <w:szCs w:val="20"/>
        </w:rPr>
        <w:t>ultaba aplicable la excepción del</w:t>
      </w:r>
      <w:r w:rsidRPr="000B33B9">
        <w:rPr>
          <w:rFonts w:ascii="Verdana" w:hAnsi="Verdana"/>
          <w:sz w:val="20"/>
          <w:szCs w:val="20"/>
        </w:rPr>
        <w:t xml:space="preserve"> artículo 46.2.c) debido a los recursos interpuestos por las autoridades demandadas, la demora de las autoridades judiciales en la resolución de los recursos, y la falta de claridad respecto a la vía idónea para logr</w:t>
      </w:r>
      <w:r w:rsidR="00C343F4" w:rsidRPr="000B33B9">
        <w:rPr>
          <w:rFonts w:ascii="Verdana" w:hAnsi="Verdana"/>
          <w:sz w:val="20"/>
          <w:szCs w:val="20"/>
        </w:rPr>
        <w:t>ar la ejecución de la sentencia</w:t>
      </w:r>
      <w:r w:rsidRPr="000B33B9">
        <w:rPr>
          <w:rFonts w:ascii="Verdana" w:hAnsi="Verdana"/>
          <w:sz w:val="20"/>
          <w:szCs w:val="20"/>
        </w:rPr>
        <w:t>.</w:t>
      </w:r>
    </w:p>
    <w:p w14:paraId="4E50BAF4" w14:textId="77777777" w:rsidR="0038654D" w:rsidRPr="000B33B9" w:rsidRDefault="0038654D" w:rsidP="0038654D">
      <w:pPr>
        <w:spacing w:after="0" w:line="240" w:lineRule="auto"/>
        <w:jc w:val="both"/>
        <w:rPr>
          <w:rFonts w:ascii="Verdana" w:hAnsi="Verdana"/>
          <w:sz w:val="20"/>
          <w:szCs w:val="20"/>
        </w:rPr>
      </w:pPr>
    </w:p>
    <w:p w14:paraId="0A2102DA" w14:textId="77777777" w:rsidR="0038654D" w:rsidRPr="000B33B9" w:rsidRDefault="0038654D" w:rsidP="00F46836">
      <w:pPr>
        <w:pStyle w:val="Ttulo3"/>
        <w:numPr>
          <w:ilvl w:val="0"/>
          <w:numId w:val="0"/>
        </w:numPr>
        <w:ind w:left="1353"/>
      </w:pPr>
      <w:bookmarkStart w:id="18" w:name="_Toc27329743"/>
      <w:r w:rsidRPr="000B33B9">
        <w:t>A.2. Consideraciones de la Corte</w:t>
      </w:r>
      <w:bookmarkEnd w:id="18"/>
    </w:p>
    <w:p w14:paraId="2F77215D" w14:textId="77777777" w:rsidR="0038654D" w:rsidRPr="000B33B9" w:rsidRDefault="0038654D" w:rsidP="0038654D">
      <w:pPr>
        <w:spacing w:after="0" w:line="240" w:lineRule="auto"/>
        <w:jc w:val="both"/>
        <w:rPr>
          <w:rFonts w:ascii="Verdana" w:hAnsi="Verdana"/>
          <w:sz w:val="20"/>
          <w:szCs w:val="20"/>
        </w:rPr>
      </w:pPr>
    </w:p>
    <w:p w14:paraId="0847C128" w14:textId="356E6458" w:rsidR="0038654D" w:rsidRPr="000B33B9" w:rsidRDefault="0038654D" w:rsidP="007B74B8">
      <w:pPr>
        <w:pStyle w:val="Prrafodelista"/>
        <w:numPr>
          <w:ilvl w:val="0"/>
          <w:numId w:val="10"/>
        </w:numPr>
        <w:spacing w:after="0" w:line="240" w:lineRule="auto"/>
        <w:ind w:left="0" w:firstLine="0"/>
        <w:jc w:val="both"/>
        <w:rPr>
          <w:rFonts w:ascii="Verdana" w:hAnsi="Verdana" w:cs="Times"/>
          <w:sz w:val="20"/>
          <w:szCs w:val="20"/>
          <w:lang w:eastAsia="es-ES"/>
        </w:rPr>
      </w:pPr>
      <w:r w:rsidRPr="000B33B9">
        <w:rPr>
          <w:rFonts w:ascii="Verdana" w:eastAsia="Times New Roman" w:hAnsi="Verdana"/>
          <w:color w:val="000000"/>
          <w:sz w:val="20"/>
          <w:szCs w:val="20"/>
          <w:lang w:val="es-ES"/>
        </w:rPr>
        <w:t>El artículo 46.1</w:t>
      </w:r>
      <w:r w:rsidR="00E87C57" w:rsidRPr="000B33B9">
        <w:rPr>
          <w:rFonts w:ascii="Verdana" w:eastAsia="Times New Roman" w:hAnsi="Verdana"/>
          <w:color w:val="000000"/>
          <w:sz w:val="20"/>
          <w:szCs w:val="20"/>
          <w:lang w:val="es-ES"/>
        </w:rPr>
        <w:t xml:space="preserve">.a) de la Convención Americana </w:t>
      </w:r>
      <w:r w:rsidRPr="000B33B9">
        <w:rPr>
          <w:rFonts w:ascii="Verdana" w:eastAsia="Times New Roman" w:hAnsi="Verdana"/>
          <w:color w:val="000000"/>
          <w:sz w:val="20"/>
          <w:szCs w:val="20"/>
          <w:lang w:val="es-ES"/>
        </w:rPr>
        <w:t>dispone que, para determinar la admisibilidad de una petición o comunicación presentada ante la Comisión Interamericana, de conformidad con los artículos 44 o 45 de la Convención, es necesario que se hayan interpuesto y agotado los recursos de la jurisdicción interna, según los principios del Derecho Internacional generalmente reconocidos</w:t>
      </w:r>
      <w:bookmarkStart w:id="19" w:name="_Ref317495849"/>
      <w:r w:rsidRPr="000B33B9">
        <w:rPr>
          <w:rFonts w:ascii="Verdana" w:hAnsi="Verdana"/>
          <w:sz w:val="20"/>
          <w:szCs w:val="20"/>
          <w:vertAlign w:val="superscript"/>
          <w:lang w:val="es-ES"/>
        </w:rPr>
        <w:footnoteReference w:id="10"/>
      </w:r>
      <w:bookmarkEnd w:id="19"/>
      <w:r w:rsidR="00C343F4" w:rsidRPr="000B33B9">
        <w:rPr>
          <w:rFonts w:ascii="Verdana" w:eastAsia="Times New Roman" w:hAnsi="Verdana"/>
          <w:color w:val="000000"/>
          <w:sz w:val="20"/>
          <w:szCs w:val="20"/>
          <w:lang w:val="es-ES"/>
        </w:rPr>
        <w:t>.</w:t>
      </w:r>
    </w:p>
    <w:p w14:paraId="43C9E33D" w14:textId="77777777" w:rsidR="0038654D" w:rsidRPr="000B33B9" w:rsidRDefault="0038654D" w:rsidP="0038654D">
      <w:pPr>
        <w:spacing w:after="0" w:line="240" w:lineRule="auto"/>
        <w:jc w:val="both"/>
        <w:rPr>
          <w:rFonts w:ascii="Verdana" w:hAnsi="Verdana" w:cs="Times"/>
          <w:sz w:val="20"/>
          <w:szCs w:val="20"/>
          <w:lang w:eastAsia="es-ES"/>
        </w:rPr>
      </w:pPr>
    </w:p>
    <w:p w14:paraId="331F6E7B" w14:textId="2CF38C4B" w:rsidR="0038654D" w:rsidRPr="000B33B9" w:rsidRDefault="0038654D" w:rsidP="007B74B8">
      <w:pPr>
        <w:numPr>
          <w:ilvl w:val="0"/>
          <w:numId w:val="10"/>
        </w:numPr>
        <w:tabs>
          <w:tab w:val="num" w:pos="0"/>
        </w:tabs>
        <w:spacing w:after="0" w:line="240" w:lineRule="auto"/>
        <w:ind w:left="0" w:firstLine="0"/>
        <w:jc w:val="both"/>
        <w:rPr>
          <w:rFonts w:ascii="Verdana" w:hAnsi="Verdana" w:cs="Times"/>
          <w:sz w:val="20"/>
          <w:szCs w:val="20"/>
          <w:lang w:eastAsia="es-ES"/>
        </w:rPr>
      </w:pPr>
      <w:r w:rsidRPr="000B33B9">
        <w:rPr>
          <w:rFonts w:ascii="Verdana" w:hAnsi="Verdana"/>
          <w:sz w:val="20"/>
          <w:szCs w:val="20"/>
        </w:rPr>
        <w:t>Lo primero que procede determinar, en relación con una excepción preliminar de esta naturaleza, es si fue presentada en el momento procesal oportuno</w:t>
      </w:r>
      <w:r w:rsidRPr="000B33B9">
        <w:rPr>
          <w:rFonts w:ascii="Verdana" w:hAnsi="Verdana" w:cs="Verdana"/>
          <w:sz w:val="20"/>
          <w:szCs w:val="20"/>
          <w:vertAlign w:val="superscript"/>
        </w:rPr>
        <w:footnoteReference w:id="11"/>
      </w:r>
      <w:r w:rsidRPr="000B33B9">
        <w:rPr>
          <w:rFonts w:ascii="Verdana" w:hAnsi="Verdana"/>
          <w:sz w:val="20"/>
          <w:szCs w:val="20"/>
        </w:rPr>
        <w:t>. La Corte ha reiterado que el Estado debe precisar con claridad ante la Comisión, durante la etapa de admisibilidad, los recursos que en su criterio no se habían agotado</w:t>
      </w:r>
      <w:r w:rsidRPr="000B33B9">
        <w:rPr>
          <w:rFonts w:ascii="Verdana" w:hAnsi="Verdana" w:cs="Verdana"/>
          <w:sz w:val="20"/>
          <w:szCs w:val="20"/>
          <w:vertAlign w:val="superscript"/>
        </w:rPr>
        <w:footnoteReference w:id="12"/>
      </w:r>
      <w:r w:rsidRPr="000B33B9">
        <w:rPr>
          <w:rFonts w:ascii="Verdana" w:hAnsi="Verdana"/>
          <w:sz w:val="20"/>
          <w:szCs w:val="20"/>
        </w:rPr>
        <w:t>.</w:t>
      </w:r>
      <w:r w:rsidRPr="000B33B9">
        <w:rPr>
          <w:rFonts w:ascii="Verdana" w:hAnsi="Verdana" w:cs="Times"/>
          <w:sz w:val="20"/>
          <w:szCs w:val="20"/>
          <w:lang w:eastAsia="es-ES"/>
        </w:rPr>
        <w:t xml:space="preserve"> </w:t>
      </w:r>
      <w:r w:rsidRPr="000B33B9">
        <w:rPr>
          <w:rFonts w:ascii="Verdana" w:hAnsi="Verdana"/>
          <w:sz w:val="20"/>
          <w:szCs w:val="20"/>
        </w:rPr>
        <w:t>Por otra parte, los argumentos que dan contenido a la excepción preliminar interpuesta por el Estado ante la Comisión durante la etapa de admisibilidad, deben corresponder a aquellos esgrimidos ante la Corte</w:t>
      </w:r>
      <w:r w:rsidRPr="000B33B9">
        <w:rPr>
          <w:rFonts w:ascii="Verdana" w:hAnsi="Verdana" w:cs="Verdana"/>
          <w:sz w:val="20"/>
          <w:szCs w:val="20"/>
          <w:vertAlign w:val="superscript"/>
        </w:rPr>
        <w:footnoteReference w:id="13"/>
      </w:r>
      <w:r w:rsidRPr="000B33B9">
        <w:rPr>
          <w:rFonts w:ascii="Verdana" w:hAnsi="Verdana"/>
          <w:sz w:val="20"/>
          <w:szCs w:val="20"/>
        </w:rPr>
        <w:t>. La Corte constata que el Estado respondió a la comunicación de la Comisión de 29 de marzo de 2005, solicitando la inadmisibilidad de la petición por falta de agotamiento de los recursos internos. Específicamente, el Estado manifestó que “se debe tener presente que los supuestos hechos violatorios y peticiones que se formula</w:t>
      </w:r>
      <w:r w:rsidR="009A1DDB" w:rsidRPr="000B33B9">
        <w:rPr>
          <w:rFonts w:ascii="Verdana" w:hAnsi="Verdana"/>
          <w:sz w:val="20"/>
          <w:szCs w:val="20"/>
        </w:rPr>
        <w:t>[</w:t>
      </w:r>
      <w:r w:rsidRPr="000B33B9">
        <w:rPr>
          <w:rFonts w:ascii="Verdana" w:hAnsi="Verdana"/>
          <w:sz w:val="20"/>
          <w:szCs w:val="20"/>
        </w:rPr>
        <w:t>n</w:t>
      </w:r>
      <w:r w:rsidR="009A1DDB" w:rsidRPr="000B33B9">
        <w:rPr>
          <w:rFonts w:ascii="Verdana" w:hAnsi="Verdana"/>
          <w:sz w:val="20"/>
          <w:szCs w:val="20"/>
        </w:rPr>
        <w:t>]</w:t>
      </w:r>
      <w:r w:rsidRPr="000B33B9">
        <w:rPr>
          <w:rFonts w:ascii="Verdana" w:hAnsi="Verdana"/>
          <w:sz w:val="20"/>
          <w:szCs w:val="20"/>
        </w:rPr>
        <w:t xml:space="preserve"> se refieren a un proceso judicial en pleno trámite”, y que “la demanda se encuentra actualmente en etapa de Ejecución de Sentencia producto de lo dispuesto por Sentencia dictada el 10 de mayo de 2001 por el Tribunal Constitucional</w:t>
      </w:r>
      <w:r w:rsidR="00C343F4" w:rsidRPr="000B33B9">
        <w:rPr>
          <w:rFonts w:ascii="Verdana" w:hAnsi="Verdana"/>
          <w:sz w:val="20"/>
          <w:szCs w:val="20"/>
        </w:rPr>
        <w:t>”</w:t>
      </w:r>
      <w:r w:rsidRPr="000B33B9">
        <w:rPr>
          <w:rFonts w:ascii="Verdana" w:hAnsi="Verdana"/>
          <w:sz w:val="20"/>
          <w:szCs w:val="20"/>
        </w:rPr>
        <w:t>.</w:t>
      </w:r>
    </w:p>
    <w:p w14:paraId="57DE3DEC" w14:textId="77777777" w:rsidR="0038654D" w:rsidRPr="000B33B9" w:rsidRDefault="0038654D" w:rsidP="0038654D">
      <w:pPr>
        <w:spacing w:after="0" w:line="240" w:lineRule="auto"/>
        <w:jc w:val="both"/>
        <w:rPr>
          <w:rFonts w:ascii="Verdana" w:hAnsi="Verdana" w:cs="Times"/>
          <w:sz w:val="20"/>
          <w:szCs w:val="20"/>
          <w:lang w:eastAsia="es-ES"/>
        </w:rPr>
      </w:pPr>
    </w:p>
    <w:p w14:paraId="03FA6D64" w14:textId="0E7643D3" w:rsidR="0038654D" w:rsidRPr="000B33B9" w:rsidRDefault="0038654D" w:rsidP="007B74B8">
      <w:pPr>
        <w:numPr>
          <w:ilvl w:val="0"/>
          <w:numId w:val="10"/>
        </w:numPr>
        <w:tabs>
          <w:tab w:val="num" w:pos="0"/>
        </w:tabs>
        <w:spacing w:after="0" w:line="240" w:lineRule="auto"/>
        <w:ind w:left="0" w:firstLine="0"/>
        <w:jc w:val="both"/>
        <w:rPr>
          <w:rFonts w:ascii="Verdana" w:hAnsi="Verdana" w:cs="Times"/>
          <w:sz w:val="20"/>
          <w:szCs w:val="20"/>
          <w:lang w:eastAsia="es-ES"/>
        </w:rPr>
      </w:pPr>
      <w:r w:rsidRPr="000B33B9">
        <w:rPr>
          <w:rFonts w:ascii="Verdana" w:hAnsi="Verdana" w:cs="Times"/>
          <w:sz w:val="20"/>
          <w:szCs w:val="20"/>
          <w:lang w:eastAsia="es-ES"/>
        </w:rPr>
        <w:t>De lo anterior se desprende que el Estado identificó con claridad suficiente que no habían sido agotados los recursos conforme a la jurisdicción interna. Asimismo, la Corte advierte que los argumentos presentados por parte del Estado durante la etapa de admisibilidad corresponden a aquellos esgrimidos ante la Corte</w:t>
      </w:r>
      <w:r w:rsidR="00CA7747" w:rsidRPr="000B33B9">
        <w:rPr>
          <w:rFonts w:ascii="Verdana" w:hAnsi="Verdana" w:cs="Times"/>
          <w:sz w:val="20"/>
          <w:szCs w:val="20"/>
          <w:lang w:eastAsia="es-ES"/>
        </w:rPr>
        <w:t xml:space="preserve">, pues </w:t>
      </w:r>
      <w:r w:rsidRPr="000B33B9">
        <w:rPr>
          <w:rFonts w:ascii="Verdana" w:hAnsi="Verdana" w:cs="Times"/>
          <w:sz w:val="20"/>
          <w:szCs w:val="20"/>
          <w:lang w:eastAsia="es-ES"/>
        </w:rPr>
        <w:t>ha argumentado que al momento en que fue presentada la petición por parte de los representantes ante la Comisión, el proceso de ejecución de sentencia a nivel interno se encontraba abierto, y que no opera ninguna de las causales previstas como excepciones al requisito del agota</w:t>
      </w:r>
      <w:r w:rsidR="009A1DDB" w:rsidRPr="000B33B9">
        <w:rPr>
          <w:rFonts w:ascii="Verdana" w:hAnsi="Verdana" w:cs="Times"/>
          <w:sz w:val="20"/>
          <w:szCs w:val="20"/>
          <w:lang w:eastAsia="es-ES"/>
        </w:rPr>
        <w:t>miento de los recursos internos</w:t>
      </w:r>
      <w:r w:rsidRPr="000B33B9">
        <w:rPr>
          <w:rFonts w:ascii="Verdana" w:hAnsi="Verdana" w:cs="Times"/>
          <w:sz w:val="20"/>
          <w:szCs w:val="20"/>
          <w:lang w:eastAsia="es-ES"/>
        </w:rPr>
        <w:t>. En ese sentido, el Estado alega que no se ha configurado un retardo injustificado, tal como</w:t>
      </w:r>
      <w:r w:rsidR="00CA7747" w:rsidRPr="000B33B9">
        <w:rPr>
          <w:rFonts w:ascii="Verdana" w:hAnsi="Verdana" w:cs="Times"/>
          <w:sz w:val="20"/>
          <w:szCs w:val="20"/>
          <w:lang w:eastAsia="es-ES"/>
        </w:rPr>
        <w:t xml:space="preserve"> sostuvo</w:t>
      </w:r>
      <w:r w:rsidRPr="000B33B9">
        <w:rPr>
          <w:rFonts w:ascii="Verdana" w:hAnsi="Verdana" w:cs="Times"/>
          <w:sz w:val="20"/>
          <w:szCs w:val="20"/>
          <w:lang w:eastAsia="es-ES"/>
        </w:rPr>
        <w:t xml:space="preserve"> la Comisión en su informe de admisibilidad.</w:t>
      </w:r>
    </w:p>
    <w:p w14:paraId="36A68925" w14:textId="77777777" w:rsidR="0038654D" w:rsidRPr="000B33B9" w:rsidRDefault="0038654D" w:rsidP="0038654D">
      <w:pPr>
        <w:spacing w:after="0" w:line="240" w:lineRule="auto"/>
        <w:jc w:val="both"/>
        <w:rPr>
          <w:rFonts w:ascii="Verdana" w:hAnsi="Verdana" w:cs="Times"/>
          <w:sz w:val="20"/>
          <w:szCs w:val="20"/>
          <w:lang w:eastAsia="es-ES"/>
        </w:rPr>
      </w:pPr>
    </w:p>
    <w:p w14:paraId="5626084D" w14:textId="5D6EE7A1" w:rsidR="0038654D" w:rsidRPr="000B33B9" w:rsidRDefault="00A56DA6" w:rsidP="007B74B8">
      <w:pPr>
        <w:numPr>
          <w:ilvl w:val="0"/>
          <w:numId w:val="10"/>
        </w:numPr>
        <w:tabs>
          <w:tab w:val="num" w:pos="0"/>
        </w:tabs>
        <w:spacing w:after="0" w:line="240" w:lineRule="auto"/>
        <w:ind w:left="0" w:firstLine="0"/>
        <w:jc w:val="both"/>
        <w:rPr>
          <w:rFonts w:ascii="Verdana" w:hAnsi="Verdana" w:cs="Times"/>
          <w:sz w:val="20"/>
          <w:szCs w:val="20"/>
          <w:lang w:eastAsia="es-ES"/>
        </w:rPr>
      </w:pPr>
      <w:r w:rsidRPr="000B33B9">
        <w:rPr>
          <w:rFonts w:ascii="Verdana" w:hAnsi="Verdana" w:cs="Times"/>
          <w:sz w:val="20"/>
          <w:szCs w:val="20"/>
          <w:lang w:eastAsia="es-ES"/>
        </w:rPr>
        <w:t>L</w:t>
      </w:r>
      <w:r w:rsidR="0038654D" w:rsidRPr="000B33B9">
        <w:rPr>
          <w:rFonts w:ascii="Verdana" w:hAnsi="Verdana" w:cs="Times"/>
          <w:sz w:val="20"/>
          <w:szCs w:val="20"/>
          <w:lang w:eastAsia="es-ES"/>
        </w:rPr>
        <w:t xml:space="preserve">a Corte recuerda que una de las controversias principales del presente caso es si el Estado es responsable por la violación a la garantía del plazo razonable por el tiempo de ejecución de la sentencia del Tribunal Constitucional </w:t>
      </w:r>
      <w:r w:rsidR="009A1DDB" w:rsidRPr="000B33B9">
        <w:rPr>
          <w:rFonts w:ascii="Verdana" w:hAnsi="Verdana" w:cs="Times"/>
          <w:sz w:val="20"/>
          <w:szCs w:val="20"/>
          <w:lang w:eastAsia="es-ES"/>
        </w:rPr>
        <w:t>de</w:t>
      </w:r>
      <w:r w:rsidR="00CA7747" w:rsidRPr="000B33B9">
        <w:rPr>
          <w:rFonts w:ascii="Verdana" w:hAnsi="Verdana" w:cs="Times"/>
          <w:sz w:val="20"/>
          <w:szCs w:val="20"/>
          <w:lang w:eastAsia="es-ES"/>
        </w:rPr>
        <w:t xml:space="preserve"> 25 de junio de 1996 en la que indicó que “las resoluciones favorables a la parte </w:t>
      </w:r>
      <w:r w:rsidR="00326CF7" w:rsidRPr="000B33B9">
        <w:rPr>
          <w:rFonts w:ascii="Verdana" w:hAnsi="Verdana" w:cs="Times"/>
          <w:sz w:val="20"/>
          <w:szCs w:val="20"/>
          <w:lang w:eastAsia="es-ES"/>
        </w:rPr>
        <w:t>[</w:t>
      </w:r>
      <w:r w:rsidR="00CA7747" w:rsidRPr="000B33B9">
        <w:rPr>
          <w:rFonts w:ascii="Verdana" w:hAnsi="Verdana" w:cs="Times"/>
          <w:sz w:val="20"/>
          <w:szCs w:val="20"/>
          <w:lang w:eastAsia="es-ES"/>
        </w:rPr>
        <w:t>demandada</w:t>
      </w:r>
      <w:r w:rsidR="00326CF7" w:rsidRPr="000B33B9">
        <w:rPr>
          <w:rFonts w:ascii="Verdana" w:hAnsi="Verdana" w:cs="Times"/>
          <w:sz w:val="20"/>
          <w:szCs w:val="20"/>
          <w:lang w:eastAsia="es-ES"/>
        </w:rPr>
        <w:t>]</w:t>
      </w:r>
      <w:r w:rsidR="00CA7747" w:rsidRPr="000B33B9">
        <w:rPr>
          <w:rFonts w:ascii="Verdana" w:hAnsi="Verdana" w:cs="Times"/>
          <w:sz w:val="20"/>
          <w:szCs w:val="20"/>
          <w:lang w:eastAsia="es-ES"/>
        </w:rPr>
        <w:t xml:space="preserve"> recaídas en los procesos de amparo en que el Estado es parte, y que estuvieran pendientes de casación por el Tribunal de Garantías Constitucionales se conside</w:t>
      </w:r>
      <w:r w:rsidR="00326CF7" w:rsidRPr="000B33B9">
        <w:rPr>
          <w:rFonts w:ascii="Verdana" w:hAnsi="Verdana" w:cs="Times"/>
          <w:sz w:val="20"/>
          <w:szCs w:val="20"/>
          <w:lang w:eastAsia="es-ES"/>
        </w:rPr>
        <w:t>ran firmes y ejecutables”</w:t>
      </w:r>
      <w:r w:rsidR="0038654D" w:rsidRPr="000B33B9">
        <w:rPr>
          <w:rFonts w:ascii="Verdana" w:hAnsi="Verdana" w:cs="Times"/>
          <w:sz w:val="20"/>
          <w:szCs w:val="20"/>
          <w:lang w:eastAsia="es-ES"/>
        </w:rPr>
        <w:t>. En ese sentido, el Tribunal considera que determinar si el tiempo transcurrido entre la sentencia del Tribunal Constitucional de 25 de junio de 1996 y la adopción del Informe de Admisibilidad de 19 de marzo de 2009 constituyó un retraso injustificado, en términos del artículo 46.2.c) de la Convención Americana, es un debate que está directamente relacionado con la controversia de fondo relativa a los art</w:t>
      </w:r>
      <w:r w:rsidR="00E87C57" w:rsidRPr="000B33B9">
        <w:rPr>
          <w:rFonts w:ascii="Verdana" w:hAnsi="Verdana" w:cs="Times"/>
          <w:sz w:val="20"/>
          <w:szCs w:val="20"/>
          <w:lang w:eastAsia="es-ES"/>
        </w:rPr>
        <w:t>ículos 8 y 25 de la Convención.</w:t>
      </w:r>
    </w:p>
    <w:p w14:paraId="0C1959C0" w14:textId="77777777" w:rsidR="0038654D" w:rsidRPr="000B33B9" w:rsidRDefault="0038654D" w:rsidP="0038654D">
      <w:pPr>
        <w:spacing w:after="0" w:line="240" w:lineRule="auto"/>
        <w:jc w:val="both"/>
        <w:rPr>
          <w:rFonts w:ascii="Verdana" w:hAnsi="Verdana" w:cs="Times"/>
          <w:sz w:val="20"/>
          <w:szCs w:val="20"/>
          <w:lang w:eastAsia="es-ES"/>
        </w:rPr>
      </w:pPr>
    </w:p>
    <w:p w14:paraId="1489D62F" w14:textId="0ED76937" w:rsidR="008E7DF5" w:rsidRPr="000B33B9" w:rsidRDefault="00CA7747" w:rsidP="007B74B8">
      <w:pPr>
        <w:numPr>
          <w:ilvl w:val="0"/>
          <w:numId w:val="10"/>
        </w:numPr>
        <w:tabs>
          <w:tab w:val="num" w:pos="0"/>
        </w:tabs>
        <w:spacing w:after="0" w:line="240" w:lineRule="auto"/>
        <w:ind w:left="0" w:firstLine="0"/>
        <w:jc w:val="both"/>
        <w:rPr>
          <w:rFonts w:ascii="Verdana" w:hAnsi="Verdana" w:cs="Times"/>
          <w:sz w:val="20"/>
          <w:szCs w:val="20"/>
          <w:lang w:eastAsia="es-ES"/>
        </w:rPr>
      </w:pPr>
      <w:r w:rsidRPr="000B33B9">
        <w:rPr>
          <w:rFonts w:ascii="Verdana" w:hAnsi="Verdana" w:cs="Times"/>
          <w:sz w:val="20"/>
          <w:szCs w:val="20"/>
          <w:lang w:eastAsia="es-ES"/>
        </w:rPr>
        <w:t>Por otra parte</w:t>
      </w:r>
      <w:r w:rsidR="00326CF7" w:rsidRPr="000B33B9">
        <w:rPr>
          <w:rFonts w:ascii="Verdana" w:hAnsi="Verdana" w:cs="Times"/>
          <w:sz w:val="20"/>
          <w:szCs w:val="20"/>
          <w:lang w:eastAsia="es-ES"/>
        </w:rPr>
        <w:t>,</w:t>
      </w:r>
      <w:r w:rsidRPr="000B33B9">
        <w:rPr>
          <w:rFonts w:ascii="Verdana" w:hAnsi="Verdana" w:cs="Times"/>
          <w:sz w:val="20"/>
          <w:szCs w:val="20"/>
          <w:lang w:eastAsia="es-ES"/>
        </w:rPr>
        <w:t xml:space="preserve"> e</w:t>
      </w:r>
      <w:r w:rsidR="008E7DF5" w:rsidRPr="000B33B9">
        <w:rPr>
          <w:rFonts w:ascii="Verdana" w:hAnsi="Verdana" w:cs="Times"/>
          <w:sz w:val="20"/>
          <w:szCs w:val="20"/>
          <w:lang w:eastAsia="es-ES"/>
        </w:rPr>
        <w:t>l Estado alegó en su escrito de contestación que la verificación del agotamiento de los recursos internos por parte de la Comisión se debió realizar al momento de la presentación de la petición inicial de los representantes, y no al momento en que se pronunció sobre la admisibilidad. Sin embargo, la Corte ya ha señalado que el hecho de que el análisis del cumplimiento del requisito de agotamiento de recursos internos se realice de acuerdo con la situación al momento de decidir sobre la admisibilidad de la petición no afecta el carácter</w:t>
      </w:r>
      <w:r w:rsidR="0093785A" w:rsidRPr="000B33B9">
        <w:rPr>
          <w:rFonts w:ascii="Verdana" w:hAnsi="Verdana" w:cs="Times"/>
          <w:sz w:val="20"/>
          <w:szCs w:val="20"/>
          <w:lang w:eastAsia="es-ES"/>
        </w:rPr>
        <w:t xml:space="preserve"> subsidiario del Sistema I</w:t>
      </w:r>
      <w:r w:rsidR="008E7DF5" w:rsidRPr="000B33B9">
        <w:rPr>
          <w:rFonts w:ascii="Verdana" w:hAnsi="Verdana" w:cs="Times"/>
          <w:sz w:val="20"/>
          <w:szCs w:val="20"/>
          <w:lang w:eastAsia="es-ES"/>
        </w:rPr>
        <w:t>nteramericano, y de hecho le permite al Estado solucionar la situación alegada durante la etapa de admisibilidad</w:t>
      </w:r>
      <w:r w:rsidR="008E7DF5" w:rsidRPr="000B33B9">
        <w:rPr>
          <w:rStyle w:val="Refdenotaalpie"/>
          <w:rFonts w:ascii="Verdana" w:hAnsi="Verdana" w:cs="Times"/>
          <w:sz w:val="20"/>
          <w:szCs w:val="20"/>
          <w:lang w:eastAsia="es-ES"/>
        </w:rPr>
        <w:footnoteReference w:id="14"/>
      </w:r>
      <w:r w:rsidR="008E7DF5" w:rsidRPr="000B33B9">
        <w:rPr>
          <w:rFonts w:ascii="Verdana" w:hAnsi="Verdana" w:cs="Times"/>
          <w:sz w:val="20"/>
          <w:szCs w:val="20"/>
          <w:lang w:eastAsia="es-ES"/>
        </w:rPr>
        <w:t>. Este Tribunal no encuentra razones para apartarse del mencionado criterio.</w:t>
      </w:r>
    </w:p>
    <w:p w14:paraId="6644FE8E" w14:textId="77777777" w:rsidR="008E7DF5" w:rsidRPr="000B33B9" w:rsidRDefault="008E7DF5" w:rsidP="0038654D">
      <w:pPr>
        <w:spacing w:after="0" w:line="240" w:lineRule="auto"/>
        <w:jc w:val="both"/>
        <w:rPr>
          <w:rFonts w:ascii="Verdana" w:hAnsi="Verdana" w:cs="Times"/>
          <w:sz w:val="20"/>
          <w:szCs w:val="20"/>
          <w:lang w:eastAsia="es-ES"/>
        </w:rPr>
      </w:pPr>
    </w:p>
    <w:p w14:paraId="4394E42E" w14:textId="688FA530" w:rsidR="0038654D" w:rsidRPr="000B33B9" w:rsidRDefault="0038654D" w:rsidP="007B74B8">
      <w:pPr>
        <w:numPr>
          <w:ilvl w:val="0"/>
          <w:numId w:val="10"/>
        </w:numPr>
        <w:tabs>
          <w:tab w:val="num" w:pos="0"/>
        </w:tabs>
        <w:spacing w:after="0" w:line="240" w:lineRule="auto"/>
        <w:ind w:left="0" w:firstLine="0"/>
        <w:jc w:val="both"/>
        <w:rPr>
          <w:rFonts w:ascii="Verdana" w:hAnsi="Verdana" w:cs="Times"/>
          <w:sz w:val="20"/>
          <w:szCs w:val="20"/>
          <w:lang w:eastAsia="es-ES"/>
        </w:rPr>
      </w:pPr>
      <w:r w:rsidRPr="000B33B9">
        <w:rPr>
          <w:rFonts w:ascii="Verdana" w:hAnsi="Verdana" w:cs="Times"/>
          <w:sz w:val="20"/>
          <w:szCs w:val="20"/>
          <w:lang w:eastAsia="es-ES"/>
        </w:rPr>
        <w:t>En consecuencia, al existir una íntima relación entre la excepción preliminar del Estado y el análisis de fondo de la controversia, la Corte desestima la excepción preliminar del Estado.</w:t>
      </w:r>
    </w:p>
    <w:p w14:paraId="420292DA" w14:textId="77777777" w:rsidR="0038654D" w:rsidRPr="000B33B9" w:rsidRDefault="0038654D" w:rsidP="0038654D">
      <w:pPr>
        <w:spacing w:after="0" w:line="240" w:lineRule="auto"/>
        <w:rPr>
          <w:rFonts w:ascii="Verdana" w:hAnsi="Verdana"/>
          <w:sz w:val="20"/>
          <w:szCs w:val="20"/>
        </w:rPr>
      </w:pPr>
    </w:p>
    <w:p w14:paraId="77C87C60" w14:textId="40D3952A" w:rsidR="0038654D" w:rsidRPr="000B33B9" w:rsidRDefault="0038654D" w:rsidP="007B74B8">
      <w:pPr>
        <w:pStyle w:val="Ttulo2"/>
        <w:keepNext w:val="0"/>
        <w:keepLines w:val="0"/>
        <w:widowControl/>
        <w:numPr>
          <w:ilvl w:val="0"/>
          <w:numId w:val="15"/>
        </w:numPr>
        <w:adjustRightInd/>
        <w:contextualSpacing/>
        <w:jc w:val="left"/>
        <w:textAlignment w:val="auto"/>
      </w:pPr>
      <w:bookmarkStart w:id="20" w:name="_Toc27329744"/>
      <w:r w:rsidRPr="000B33B9">
        <w:t xml:space="preserve">Excepción por </w:t>
      </w:r>
      <w:r w:rsidR="00A56DA6" w:rsidRPr="000B33B9">
        <w:t>“</w:t>
      </w:r>
      <w:r w:rsidRPr="000B33B9">
        <w:t>cuarta instancia</w:t>
      </w:r>
      <w:r w:rsidR="00A56DA6" w:rsidRPr="000B33B9">
        <w:t>”</w:t>
      </w:r>
      <w:bookmarkEnd w:id="20"/>
    </w:p>
    <w:p w14:paraId="61585E24" w14:textId="77777777" w:rsidR="0038654D" w:rsidRPr="000B33B9" w:rsidRDefault="0038654D" w:rsidP="0038654D">
      <w:pPr>
        <w:spacing w:after="0" w:line="240" w:lineRule="auto"/>
        <w:rPr>
          <w:rFonts w:ascii="Verdana" w:hAnsi="Verdana"/>
          <w:sz w:val="20"/>
          <w:szCs w:val="20"/>
        </w:rPr>
      </w:pPr>
    </w:p>
    <w:p w14:paraId="1620813E" w14:textId="77777777" w:rsidR="0038654D" w:rsidRPr="000B33B9" w:rsidRDefault="0038654D" w:rsidP="00B128F9">
      <w:pPr>
        <w:pStyle w:val="Ttulo3"/>
        <w:numPr>
          <w:ilvl w:val="0"/>
          <w:numId w:val="0"/>
        </w:numPr>
        <w:ind w:left="1353"/>
      </w:pPr>
      <w:bookmarkStart w:id="21" w:name="_Toc27329745"/>
      <w:r w:rsidRPr="000B33B9">
        <w:t>B.1. Alegatos del Estado y observaciones de la Comisión y de los representantes</w:t>
      </w:r>
      <w:bookmarkEnd w:id="21"/>
    </w:p>
    <w:p w14:paraId="780AEC28" w14:textId="77777777" w:rsidR="0038654D" w:rsidRPr="000B33B9" w:rsidRDefault="0038654D" w:rsidP="0038654D">
      <w:pPr>
        <w:spacing w:after="0" w:line="240" w:lineRule="auto"/>
        <w:rPr>
          <w:rFonts w:ascii="Verdana" w:hAnsi="Verdana"/>
          <w:sz w:val="20"/>
          <w:szCs w:val="20"/>
        </w:rPr>
      </w:pPr>
    </w:p>
    <w:p w14:paraId="5612A30E" w14:textId="761A0B8F"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El </w:t>
      </w:r>
      <w:r w:rsidRPr="000B33B9">
        <w:rPr>
          <w:rFonts w:ascii="Verdana" w:hAnsi="Verdana"/>
          <w:b/>
          <w:i/>
          <w:sz w:val="20"/>
          <w:szCs w:val="20"/>
        </w:rPr>
        <w:t>Estado</w:t>
      </w:r>
      <w:r w:rsidRPr="000B33B9">
        <w:rPr>
          <w:rFonts w:ascii="Verdana" w:hAnsi="Verdana"/>
          <w:sz w:val="20"/>
          <w:szCs w:val="20"/>
        </w:rPr>
        <w:t xml:space="preserve"> manifestó que habría formulado la excepción preliminar de </w:t>
      </w:r>
      <w:r w:rsidR="00A56DA6" w:rsidRPr="000B33B9">
        <w:rPr>
          <w:rFonts w:ascii="Verdana" w:hAnsi="Verdana"/>
          <w:sz w:val="20"/>
          <w:szCs w:val="20"/>
        </w:rPr>
        <w:t>“</w:t>
      </w:r>
      <w:r w:rsidRPr="000B33B9">
        <w:rPr>
          <w:rFonts w:ascii="Verdana" w:hAnsi="Verdana"/>
          <w:sz w:val="20"/>
          <w:szCs w:val="20"/>
        </w:rPr>
        <w:t>cuarta instancia</w:t>
      </w:r>
      <w:r w:rsidR="00A56DA6" w:rsidRPr="000B33B9">
        <w:rPr>
          <w:rFonts w:ascii="Verdana" w:hAnsi="Verdana"/>
          <w:sz w:val="20"/>
          <w:szCs w:val="20"/>
        </w:rPr>
        <w:t>”</w:t>
      </w:r>
      <w:r w:rsidRPr="000B33B9">
        <w:rPr>
          <w:rFonts w:ascii="Verdana" w:hAnsi="Verdana"/>
          <w:sz w:val="20"/>
          <w:szCs w:val="20"/>
        </w:rPr>
        <w:t xml:space="preserve"> en la etapa de admisibilidad ante la Comisión Interamericana, </w:t>
      </w:r>
      <w:r w:rsidR="00326CF7" w:rsidRPr="000B33B9">
        <w:rPr>
          <w:rFonts w:ascii="Verdana" w:hAnsi="Verdana"/>
          <w:sz w:val="20"/>
          <w:szCs w:val="20"/>
        </w:rPr>
        <w:t>mediante dos informes estatales</w:t>
      </w:r>
      <w:r w:rsidRPr="000B33B9">
        <w:rPr>
          <w:rFonts w:ascii="Verdana" w:hAnsi="Verdana"/>
          <w:sz w:val="20"/>
          <w:szCs w:val="20"/>
        </w:rPr>
        <w:t>. El Estado precisó que el caso en sede interna fue claramente resuelto mediante decisión judicial de fecha 8 de mayo de 2006 de la Sexta Sala Civil de la Corte Superior de Justicia de Lima en la cual se resolvió que “no era posible homologar las pensiones con las remuneraciones de los trabajadores activos que pertenecían al r</w:t>
      </w:r>
      <w:r w:rsidR="00326CF7" w:rsidRPr="000B33B9">
        <w:rPr>
          <w:rFonts w:ascii="Verdana" w:hAnsi="Verdana"/>
          <w:sz w:val="20"/>
          <w:szCs w:val="20"/>
        </w:rPr>
        <w:t>égimen de la actividad privada”</w:t>
      </w:r>
      <w:r w:rsidRPr="000B33B9">
        <w:rPr>
          <w:rFonts w:ascii="Verdana" w:hAnsi="Verdana"/>
          <w:sz w:val="20"/>
          <w:szCs w:val="20"/>
        </w:rPr>
        <w:t>. En tal medida, el Estado consideró que los representantes no tienen sustento que fundamente la tramitación</w:t>
      </w:r>
      <w:r w:rsidR="00326CF7" w:rsidRPr="000B33B9">
        <w:rPr>
          <w:rFonts w:ascii="Verdana" w:hAnsi="Verdana"/>
          <w:sz w:val="20"/>
          <w:szCs w:val="20"/>
        </w:rPr>
        <w:t xml:space="preserve"> del caso en sede internacional</w:t>
      </w:r>
      <w:r w:rsidRPr="000B33B9">
        <w:rPr>
          <w:rFonts w:ascii="Verdana" w:hAnsi="Verdana"/>
          <w:sz w:val="20"/>
          <w:szCs w:val="20"/>
        </w:rPr>
        <w:t>. En consecuencia, el Estado aseguró que ni la Comisión ni la Corte podrían sustituir su propia evaluación de los hechos por aqu</w:t>
      </w:r>
      <w:r w:rsidR="00326CF7" w:rsidRPr="000B33B9">
        <w:rPr>
          <w:rFonts w:ascii="Verdana" w:hAnsi="Verdana"/>
          <w:sz w:val="20"/>
          <w:szCs w:val="20"/>
        </w:rPr>
        <w:t>ella de los tribunales internos</w:t>
      </w:r>
      <w:r w:rsidRPr="000B33B9">
        <w:rPr>
          <w:rFonts w:ascii="Verdana" w:hAnsi="Verdana"/>
          <w:sz w:val="20"/>
          <w:szCs w:val="20"/>
        </w:rPr>
        <w:t>.</w:t>
      </w:r>
    </w:p>
    <w:p w14:paraId="240638EA" w14:textId="77777777" w:rsidR="0038654D" w:rsidRPr="000B33B9" w:rsidRDefault="0038654D" w:rsidP="0038654D">
      <w:pPr>
        <w:pStyle w:val="Prrafodelista"/>
        <w:spacing w:after="0" w:line="240" w:lineRule="auto"/>
        <w:ind w:left="0"/>
        <w:jc w:val="both"/>
        <w:rPr>
          <w:rFonts w:ascii="Verdana" w:hAnsi="Verdana"/>
          <w:sz w:val="20"/>
          <w:szCs w:val="20"/>
        </w:rPr>
      </w:pPr>
    </w:p>
    <w:p w14:paraId="1DC220E8" w14:textId="79F51EA5"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Los </w:t>
      </w:r>
      <w:r w:rsidRPr="000B33B9">
        <w:rPr>
          <w:rFonts w:ascii="Verdana" w:hAnsi="Verdana"/>
          <w:b/>
          <w:i/>
          <w:sz w:val="20"/>
          <w:szCs w:val="20"/>
        </w:rPr>
        <w:t xml:space="preserve">representantes </w:t>
      </w:r>
      <w:r w:rsidRPr="000B33B9">
        <w:rPr>
          <w:rFonts w:ascii="Verdana" w:hAnsi="Verdana"/>
          <w:sz w:val="20"/>
          <w:szCs w:val="20"/>
        </w:rPr>
        <w:t>alegaron que no pretenden ni han pretendido la revisión de fallos o decisiones de los tribunales internos, sino la determinación sobre si el incumplimiento por el Estado de la sentencia proferida por la Corte Suprema el 25 de octubre de 1993, y el Tribunal Constitucional el 10 de mayo de 2001, resulta violatorio o no de varios derechos protegidos por la Convención Americana, teniendo en cuenta que el Estado es internacionalmente responsable por los actos u omisiones de cualquiera de sus poderes u órganos, incluidos los tribunales. Por esta razón, alegaron que debía desestimarse l</w:t>
      </w:r>
      <w:r w:rsidR="00326CF7" w:rsidRPr="000B33B9">
        <w:rPr>
          <w:rFonts w:ascii="Verdana" w:hAnsi="Verdana"/>
          <w:sz w:val="20"/>
          <w:szCs w:val="20"/>
        </w:rPr>
        <w:t>a excepción de cuarta instancia</w:t>
      </w:r>
      <w:r w:rsidRPr="000B33B9">
        <w:rPr>
          <w:rFonts w:ascii="Verdana" w:hAnsi="Verdana"/>
          <w:sz w:val="20"/>
          <w:szCs w:val="20"/>
        </w:rPr>
        <w:t>.</w:t>
      </w:r>
    </w:p>
    <w:p w14:paraId="3B752B17" w14:textId="77777777" w:rsidR="0038654D" w:rsidRPr="000B33B9" w:rsidRDefault="0038654D" w:rsidP="0038654D">
      <w:pPr>
        <w:pStyle w:val="Prrafodelista"/>
        <w:spacing w:after="0" w:line="240" w:lineRule="auto"/>
        <w:ind w:left="0"/>
        <w:jc w:val="both"/>
        <w:rPr>
          <w:rFonts w:ascii="Verdana" w:hAnsi="Verdana"/>
          <w:sz w:val="20"/>
          <w:szCs w:val="20"/>
        </w:rPr>
      </w:pPr>
    </w:p>
    <w:p w14:paraId="1902DDC9" w14:textId="46AB4AB4"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La </w:t>
      </w:r>
      <w:r w:rsidRPr="000B33B9">
        <w:rPr>
          <w:rFonts w:ascii="Verdana" w:hAnsi="Verdana"/>
          <w:b/>
          <w:i/>
          <w:sz w:val="20"/>
          <w:szCs w:val="20"/>
        </w:rPr>
        <w:t xml:space="preserve">Comisión </w:t>
      </w:r>
      <w:r w:rsidRPr="000B33B9">
        <w:rPr>
          <w:rFonts w:ascii="Verdana" w:hAnsi="Verdana"/>
          <w:sz w:val="20"/>
          <w:szCs w:val="20"/>
        </w:rPr>
        <w:t>afirmó que corresponde calificar la responsabilidad internacional del Estado derivada del incumplimiento de fallos judiciales y de la inoperancia del poder judicial para lograr tal cumplimiento de manera efectiva y oportuna. En consecuencia, solicitó que se declare impro</w:t>
      </w:r>
      <w:r w:rsidR="00326CF7" w:rsidRPr="000B33B9">
        <w:rPr>
          <w:rFonts w:ascii="Verdana" w:hAnsi="Verdana"/>
          <w:sz w:val="20"/>
          <w:szCs w:val="20"/>
        </w:rPr>
        <w:t>cedente la solicitud del Estado</w:t>
      </w:r>
      <w:r w:rsidRPr="000B33B9">
        <w:rPr>
          <w:rFonts w:ascii="Verdana" w:hAnsi="Verdana"/>
          <w:sz w:val="20"/>
          <w:szCs w:val="20"/>
        </w:rPr>
        <w:t>.</w:t>
      </w:r>
    </w:p>
    <w:p w14:paraId="1E0325FD" w14:textId="77777777" w:rsidR="0038654D" w:rsidRPr="000B33B9" w:rsidRDefault="0038654D" w:rsidP="0038654D">
      <w:pPr>
        <w:spacing w:after="0" w:line="240" w:lineRule="auto"/>
        <w:jc w:val="both"/>
        <w:rPr>
          <w:rFonts w:ascii="Verdana" w:hAnsi="Verdana"/>
          <w:sz w:val="20"/>
          <w:szCs w:val="20"/>
        </w:rPr>
      </w:pPr>
    </w:p>
    <w:p w14:paraId="79D516B3" w14:textId="77777777" w:rsidR="0038654D" w:rsidRPr="000B33B9" w:rsidRDefault="0038654D" w:rsidP="00B128F9">
      <w:pPr>
        <w:pStyle w:val="Ttulo3"/>
        <w:numPr>
          <w:ilvl w:val="0"/>
          <w:numId w:val="0"/>
        </w:numPr>
        <w:ind w:left="1353"/>
      </w:pPr>
      <w:bookmarkStart w:id="22" w:name="_Toc27329746"/>
      <w:r w:rsidRPr="000B33B9">
        <w:t>B.2. Consideraciones de la Corte</w:t>
      </w:r>
      <w:bookmarkEnd w:id="22"/>
    </w:p>
    <w:p w14:paraId="5E5EB75D" w14:textId="77777777" w:rsidR="0038654D" w:rsidRPr="000B33B9" w:rsidRDefault="0038654D" w:rsidP="0038654D">
      <w:pPr>
        <w:pStyle w:val="Prrafodelista"/>
        <w:suppressAutoHyphens/>
        <w:spacing w:after="0" w:line="240" w:lineRule="auto"/>
        <w:ind w:left="0"/>
        <w:jc w:val="both"/>
        <w:rPr>
          <w:rFonts w:ascii="Verdana" w:hAnsi="Verdana"/>
          <w:sz w:val="20"/>
          <w:szCs w:val="20"/>
          <w:lang w:val="es-CR"/>
        </w:rPr>
      </w:pPr>
    </w:p>
    <w:p w14:paraId="72AD58A1" w14:textId="40A09FC1" w:rsidR="0038654D" w:rsidRPr="000B33B9" w:rsidRDefault="00E249C1" w:rsidP="007B74B8">
      <w:pPr>
        <w:pStyle w:val="Prrafodelista"/>
        <w:numPr>
          <w:ilvl w:val="0"/>
          <w:numId w:val="10"/>
        </w:numPr>
        <w:suppressAutoHyphens/>
        <w:spacing w:after="0" w:line="240" w:lineRule="auto"/>
        <w:ind w:left="0" w:firstLine="0"/>
        <w:jc w:val="both"/>
        <w:rPr>
          <w:rFonts w:ascii="Verdana" w:hAnsi="Verdana"/>
          <w:sz w:val="20"/>
          <w:szCs w:val="20"/>
          <w:lang w:val="es-CR"/>
        </w:rPr>
      </w:pPr>
      <w:r w:rsidRPr="000B33B9">
        <w:rPr>
          <w:rFonts w:ascii="Verdana" w:hAnsi="Verdana" w:cs="Arial"/>
          <w:sz w:val="20"/>
          <w:szCs w:val="20"/>
          <w:lang w:val="es-CR"/>
        </w:rPr>
        <w:t>L</w:t>
      </w:r>
      <w:r w:rsidR="0038654D" w:rsidRPr="000B33B9">
        <w:rPr>
          <w:rFonts w:ascii="Verdana" w:hAnsi="Verdana" w:cs="Arial"/>
          <w:sz w:val="20"/>
          <w:szCs w:val="20"/>
          <w:lang w:val="es-CR"/>
        </w:rPr>
        <w:t>a Corte ha indicado que para que la excepción de cuarta instancia sea procedente sería necesario que el solicitante busque que la Corte revise el fallo de un tribunal interno</w:t>
      </w:r>
      <w:r w:rsidR="0038654D" w:rsidRPr="000B33B9">
        <w:rPr>
          <w:rFonts w:ascii="Verdana" w:hAnsi="Verdana" w:cs="Arial"/>
          <w:b/>
          <w:sz w:val="20"/>
          <w:szCs w:val="20"/>
          <w:lang w:val="es-CR"/>
        </w:rPr>
        <w:t xml:space="preserve"> </w:t>
      </w:r>
      <w:r w:rsidR="0038654D" w:rsidRPr="000B33B9">
        <w:rPr>
          <w:rFonts w:ascii="Verdana" w:hAnsi="Verdana" w:cs="Arial"/>
          <w:sz w:val="20"/>
          <w:szCs w:val="20"/>
          <w:lang w:val="es-CR"/>
        </w:rPr>
        <w:t>en virtud de su incorrecta apreciación de la prueba, los hechos o el derecho interno, sin que, a la vez, se alegue que tal fallo incurrió en una violación de tratados internacionales respecto de los que tenga competencia el Tribunal</w:t>
      </w:r>
      <w:r w:rsidR="0038654D" w:rsidRPr="000B33B9">
        <w:rPr>
          <w:rStyle w:val="Smbolodenotaalpie"/>
          <w:rFonts w:ascii="Verdana" w:hAnsi="Verdana"/>
          <w:sz w:val="20"/>
          <w:lang w:val="es-CR"/>
        </w:rPr>
        <w:footnoteReference w:id="15"/>
      </w:r>
      <w:r w:rsidR="0038654D" w:rsidRPr="000B33B9">
        <w:rPr>
          <w:rFonts w:ascii="Verdana" w:hAnsi="Verdana" w:cs="Arial"/>
          <w:sz w:val="20"/>
          <w:szCs w:val="20"/>
          <w:lang w:val="es-CR"/>
        </w:rPr>
        <w:t>.</w:t>
      </w:r>
      <w:r w:rsidR="0038654D" w:rsidRPr="000B33B9">
        <w:rPr>
          <w:rFonts w:ascii="Verdana" w:hAnsi="Verdana"/>
          <w:sz w:val="20"/>
          <w:szCs w:val="20"/>
        </w:rPr>
        <w:t xml:space="preserve"> Ello, en el marco de lo señalado por la jurisprudencia reiterada del Tribunal, que ha advertido que la determinación de si las actuaciones de órganos judiciales constituyen o no una violación de las obligaciones internacionales del Estado, puede conducir a que la Corte deba ocuparse de examinar los respectivos procesos internos para establecer su compatibilidad con la Convención Americana</w:t>
      </w:r>
      <w:r w:rsidR="0038654D" w:rsidRPr="000B33B9">
        <w:rPr>
          <w:rStyle w:val="Refdenotaalpie"/>
          <w:rFonts w:ascii="Verdana" w:hAnsi="Verdana"/>
          <w:sz w:val="20"/>
          <w:szCs w:val="20"/>
        </w:rPr>
        <w:footnoteReference w:id="16"/>
      </w:r>
      <w:r w:rsidR="00E50ABE" w:rsidRPr="000B33B9">
        <w:rPr>
          <w:rFonts w:ascii="Verdana" w:hAnsi="Verdana"/>
          <w:sz w:val="20"/>
          <w:szCs w:val="20"/>
        </w:rPr>
        <w:t>.</w:t>
      </w:r>
    </w:p>
    <w:p w14:paraId="7F2DFD43" w14:textId="77777777" w:rsidR="0038654D" w:rsidRPr="000B33B9" w:rsidRDefault="0038654D" w:rsidP="0038654D">
      <w:pPr>
        <w:pStyle w:val="Prrafodelista"/>
        <w:spacing w:after="0" w:line="240" w:lineRule="auto"/>
        <w:ind w:left="0"/>
        <w:rPr>
          <w:rFonts w:ascii="Verdana" w:hAnsi="Verdana"/>
          <w:sz w:val="20"/>
          <w:szCs w:val="20"/>
          <w:lang w:val="es-CR"/>
        </w:rPr>
      </w:pPr>
    </w:p>
    <w:p w14:paraId="2259FF62" w14:textId="30CE6442" w:rsidR="0038654D" w:rsidRPr="000B33B9" w:rsidRDefault="0038654D" w:rsidP="007B74B8">
      <w:pPr>
        <w:pStyle w:val="Prrafodelista"/>
        <w:numPr>
          <w:ilvl w:val="0"/>
          <w:numId w:val="10"/>
        </w:numPr>
        <w:suppressAutoHyphens/>
        <w:spacing w:after="0" w:line="240" w:lineRule="auto"/>
        <w:ind w:left="0" w:firstLine="0"/>
        <w:jc w:val="both"/>
        <w:rPr>
          <w:rFonts w:ascii="Verdana" w:hAnsi="Verdana"/>
          <w:sz w:val="20"/>
          <w:szCs w:val="20"/>
          <w:lang w:val="es-CR"/>
        </w:rPr>
      </w:pPr>
      <w:r w:rsidRPr="000B33B9">
        <w:rPr>
          <w:rFonts w:ascii="Verdana" w:hAnsi="Verdana"/>
          <w:sz w:val="20"/>
          <w:szCs w:val="20"/>
          <w:lang w:val="es-CR"/>
        </w:rPr>
        <w:t>En el presente caso, la Corte constata que el Estado manifestó ante la Comisión, durante la etapa de admisibilidad, que “la pretensión de los peticionarios actualmente está siendo sometida a la competencia y decisión de los órganos jurisdiccionales internos del Estado denunciado, por lo que un análisis de fondo de la presente petición, como pretenden los denunciantes, convertiría a la Comisión en una cuarta instancia”</w:t>
      </w:r>
      <w:r w:rsidRPr="000B33B9">
        <w:rPr>
          <w:rStyle w:val="Refdenotaalpie"/>
          <w:rFonts w:ascii="Verdana" w:hAnsi="Verdana"/>
          <w:sz w:val="20"/>
          <w:szCs w:val="20"/>
        </w:rPr>
        <w:footnoteReference w:id="17"/>
      </w:r>
      <w:r w:rsidRPr="000B33B9">
        <w:rPr>
          <w:rFonts w:ascii="Verdana" w:hAnsi="Verdana"/>
          <w:sz w:val="20"/>
          <w:szCs w:val="20"/>
          <w:lang w:val="es-CR"/>
        </w:rPr>
        <w:t>. Asimismo, el Estado expresó que “al parecer lo que pretenden a través de la presente denuncia es más bien desconocer el debido proceso al que se encuentra sujeta la ejecución de la sentencia emitida por la Corte Suprema de la República, en fecha 25 de octubre de 1993, y cuestionar los fallos de la jurisdicción interna, pretendiendo indebidamente que la Corte actúe como una cuarta instancia”</w:t>
      </w:r>
      <w:r w:rsidRPr="000B33B9">
        <w:rPr>
          <w:rStyle w:val="Refdenotaalpie"/>
          <w:rFonts w:ascii="Verdana" w:hAnsi="Verdana"/>
          <w:sz w:val="20"/>
          <w:szCs w:val="20"/>
        </w:rPr>
        <w:footnoteReference w:id="18"/>
      </w:r>
      <w:r w:rsidRPr="000B33B9">
        <w:rPr>
          <w:rFonts w:ascii="Verdana" w:hAnsi="Verdana"/>
          <w:sz w:val="20"/>
          <w:szCs w:val="20"/>
          <w:lang w:val="es-CR"/>
        </w:rPr>
        <w:t>. En el mismo sentido, en su contestación expresó que no existen afectaciones al debido proceso en el m</w:t>
      </w:r>
      <w:r w:rsidR="00326CF7" w:rsidRPr="000B33B9">
        <w:rPr>
          <w:rFonts w:ascii="Verdana" w:hAnsi="Verdana"/>
          <w:sz w:val="20"/>
          <w:szCs w:val="20"/>
          <w:lang w:val="es-CR"/>
        </w:rPr>
        <w:t>arco del desarrollo del proceso</w:t>
      </w:r>
      <w:r w:rsidRPr="000B33B9">
        <w:rPr>
          <w:rFonts w:ascii="Verdana" w:hAnsi="Verdana"/>
          <w:sz w:val="20"/>
          <w:szCs w:val="20"/>
          <w:lang w:val="es-CR"/>
        </w:rPr>
        <w:t xml:space="preserve">. </w:t>
      </w:r>
    </w:p>
    <w:p w14:paraId="71A718CF" w14:textId="77777777" w:rsidR="0038654D" w:rsidRPr="000B33B9" w:rsidRDefault="0038654D" w:rsidP="0038654D">
      <w:pPr>
        <w:pStyle w:val="Prrafodelista"/>
        <w:suppressAutoHyphens/>
        <w:spacing w:after="0" w:line="240" w:lineRule="auto"/>
        <w:ind w:left="0"/>
        <w:jc w:val="both"/>
        <w:rPr>
          <w:rFonts w:ascii="Verdana" w:hAnsi="Verdana"/>
          <w:sz w:val="20"/>
          <w:szCs w:val="20"/>
          <w:lang w:val="es-CR"/>
        </w:rPr>
      </w:pPr>
    </w:p>
    <w:p w14:paraId="36324CAF" w14:textId="6625C975" w:rsidR="0038654D" w:rsidRPr="000B33B9" w:rsidRDefault="00B21367" w:rsidP="007B74B8">
      <w:pPr>
        <w:pStyle w:val="Prrafodelista"/>
        <w:numPr>
          <w:ilvl w:val="0"/>
          <w:numId w:val="10"/>
        </w:numPr>
        <w:suppressAutoHyphens/>
        <w:spacing w:after="0" w:line="240" w:lineRule="auto"/>
        <w:ind w:left="0" w:firstLine="0"/>
        <w:jc w:val="both"/>
        <w:rPr>
          <w:rFonts w:ascii="Verdana" w:hAnsi="Verdana"/>
          <w:sz w:val="20"/>
          <w:szCs w:val="20"/>
          <w:lang w:val="es-CR"/>
        </w:rPr>
      </w:pPr>
      <w:r w:rsidRPr="000B33B9">
        <w:rPr>
          <w:rFonts w:ascii="Verdana" w:hAnsi="Verdana"/>
          <w:sz w:val="20"/>
          <w:szCs w:val="20"/>
        </w:rPr>
        <w:t>L</w:t>
      </w:r>
      <w:r w:rsidR="0038654D" w:rsidRPr="000B33B9">
        <w:rPr>
          <w:rFonts w:ascii="Verdana" w:hAnsi="Verdana"/>
          <w:sz w:val="20"/>
          <w:szCs w:val="20"/>
        </w:rPr>
        <w:t>a Corte observa que la excepción preliminar presentada por el Estado toma como punto de partida que no ha existido ninguna violación de derechos humanos en el presente caso, cuando es precisamente ello lo que se debatirá en el fondo del asunto. Al valorar el mérito de la petición la Corte determinará si los procedimientos internos, tal como alega el Estado, respondieron a la totalidad de los actos reclamados por la Comisión y los representantes ante este Tribunal y si en ese ejercicio se respetaron las obligaciones internacionales del Estado. En consecuencia, la Corte desestima la excepción preliminar del Estado.</w:t>
      </w:r>
    </w:p>
    <w:p w14:paraId="42B4A36D" w14:textId="77777777" w:rsidR="0038654D" w:rsidRPr="000B33B9" w:rsidRDefault="0038654D" w:rsidP="0038654D">
      <w:pPr>
        <w:spacing w:after="0" w:line="240" w:lineRule="auto"/>
        <w:jc w:val="both"/>
        <w:rPr>
          <w:rFonts w:ascii="Verdana" w:hAnsi="Verdana"/>
          <w:sz w:val="20"/>
          <w:szCs w:val="20"/>
        </w:rPr>
      </w:pPr>
    </w:p>
    <w:p w14:paraId="26EE5BE0" w14:textId="77777777" w:rsidR="0038654D" w:rsidRPr="000B33B9" w:rsidRDefault="0038654D" w:rsidP="007B74B8">
      <w:pPr>
        <w:pStyle w:val="Ttulo2"/>
        <w:keepNext w:val="0"/>
        <w:keepLines w:val="0"/>
        <w:widowControl/>
        <w:numPr>
          <w:ilvl w:val="0"/>
          <w:numId w:val="15"/>
        </w:numPr>
        <w:adjustRightInd/>
        <w:contextualSpacing/>
        <w:textAlignment w:val="auto"/>
      </w:pPr>
      <w:bookmarkStart w:id="23" w:name="_Toc27329747"/>
      <w:r w:rsidRPr="000B33B9">
        <w:t>Excepción por inclusión de los artículos 26 y 4 por parte de los representantes</w:t>
      </w:r>
      <w:bookmarkEnd w:id="23"/>
    </w:p>
    <w:p w14:paraId="21475A99" w14:textId="77777777" w:rsidR="0038654D" w:rsidRPr="000B33B9" w:rsidRDefault="0038654D" w:rsidP="0038654D">
      <w:pPr>
        <w:spacing w:after="0" w:line="240" w:lineRule="auto"/>
        <w:rPr>
          <w:rFonts w:ascii="Verdana" w:hAnsi="Verdana"/>
          <w:sz w:val="20"/>
          <w:szCs w:val="20"/>
        </w:rPr>
      </w:pPr>
    </w:p>
    <w:p w14:paraId="496B583A" w14:textId="77777777" w:rsidR="0038654D" w:rsidRPr="000B33B9" w:rsidRDefault="0038654D" w:rsidP="00B128F9">
      <w:pPr>
        <w:pStyle w:val="Ttulo3"/>
        <w:numPr>
          <w:ilvl w:val="0"/>
          <w:numId w:val="0"/>
        </w:numPr>
        <w:ind w:left="1353"/>
      </w:pPr>
      <w:bookmarkStart w:id="24" w:name="_Toc27329748"/>
      <w:r w:rsidRPr="000B33B9">
        <w:t>C.1. Alegatos del Estado y observaciones de la Comisión y de los representantes</w:t>
      </w:r>
      <w:bookmarkEnd w:id="24"/>
    </w:p>
    <w:p w14:paraId="36248F33" w14:textId="77777777" w:rsidR="0038654D" w:rsidRPr="000B33B9" w:rsidRDefault="0038654D" w:rsidP="0038654D">
      <w:pPr>
        <w:spacing w:after="0" w:line="240" w:lineRule="auto"/>
        <w:rPr>
          <w:rFonts w:ascii="Verdana" w:hAnsi="Verdana"/>
          <w:sz w:val="20"/>
          <w:szCs w:val="20"/>
        </w:rPr>
      </w:pPr>
    </w:p>
    <w:p w14:paraId="5A183367" w14:textId="635D726C"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El </w:t>
      </w:r>
      <w:r w:rsidRPr="000B33B9">
        <w:rPr>
          <w:rFonts w:ascii="Verdana" w:hAnsi="Verdana"/>
          <w:b/>
          <w:i/>
          <w:sz w:val="20"/>
          <w:szCs w:val="20"/>
        </w:rPr>
        <w:t>Estado</w:t>
      </w:r>
      <w:r w:rsidRPr="000B33B9">
        <w:rPr>
          <w:rFonts w:ascii="Verdana" w:hAnsi="Verdana"/>
          <w:sz w:val="20"/>
          <w:szCs w:val="20"/>
        </w:rPr>
        <w:t xml:space="preserve"> alegó que de conformidad con el artículo 19.6 del Protocolo Adicional a la Convención Americana sobre Derechos Humanos en materia de Derechos Económicos, Sociales y Culturales “Protocolo de San Salvador”, solo pueden ser objeto de análisis por medio del mecanismo de peticiones ante el Sistema Interamericano (ya sea directa o indirectamente) la protección de los derechos a la libertad sindical o el derecho a la educación, pero no permite tal posibilidad respecto a</w:t>
      </w:r>
      <w:r w:rsidR="00326CF7" w:rsidRPr="000B33B9">
        <w:rPr>
          <w:rFonts w:ascii="Verdana" w:hAnsi="Verdana"/>
          <w:sz w:val="20"/>
          <w:szCs w:val="20"/>
        </w:rPr>
        <w:t>l derecho a la seguridad social</w:t>
      </w:r>
      <w:r w:rsidRPr="000B33B9">
        <w:rPr>
          <w:rFonts w:ascii="Verdana" w:hAnsi="Verdana"/>
          <w:sz w:val="20"/>
          <w:szCs w:val="20"/>
        </w:rPr>
        <w:t xml:space="preserve">. Asimismo, </w:t>
      </w:r>
      <w:r w:rsidR="006710A8" w:rsidRPr="000B33B9">
        <w:rPr>
          <w:rFonts w:ascii="Verdana" w:hAnsi="Verdana"/>
          <w:sz w:val="20"/>
          <w:szCs w:val="20"/>
        </w:rPr>
        <w:t xml:space="preserve">solicitó </w:t>
      </w:r>
      <w:r w:rsidRPr="000B33B9">
        <w:rPr>
          <w:rFonts w:ascii="Verdana" w:hAnsi="Verdana"/>
          <w:sz w:val="20"/>
          <w:szCs w:val="20"/>
        </w:rPr>
        <w:t xml:space="preserve">que el Tribunal “realice un ejercicio prudente de las competencias y atribuciones que la Convención le otorga como garante de la misma, ejerciendo su labor </w:t>
      </w:r>
      <w:r w:rsidR="00326CF7" w:rsidRPr="000B33B9">
        <w:rPr>
          <w:rFonts w:ascii="Verdana" w:hAnsi="Verdana"/>
          <w:sz w:val="20"/>
          <w:szCs w:val="20"/>
        </w:rPr>
        <w:t>(…)</w:t>
      </w:r>
      <w:r w:rsidRPr="000B33B9">
        <w:rPr>
          <w:rFonts w:ascii="Verdana" w:hAnsi="Verdana"/>
          <w:sz w:val="20"/>
          <w:szCs w:val="20"/>
        </w:rPr>
        <w:t xml:space="preserve"> en irrestricto respeto del orden materi</w:t>
      </w:r>
      <w:r w:rsidR="00326CF7" w:rsidRPr="000B33B9">
        <w:rPr>
          <w:rFonts w:ascii="Verdana" w:hAnsi="Verdana"/>
          <w:sz w:val="20"/>
          <w:szCs w:val="20"/>
        </w:rPr>
        <w:t>al que la Convención establece”</w:t>
      </w:r>
      <w:r w:rsidRPr="000B33B9">
        <w:rPr>
          <w:rFonts w:ascii="Verdana" w:hAnsi="Verdana"/>
          <w:sz w:val="20"/>
          <w:szCs w:val="20"/>
        </w:rPr>
        <w:t>. Finalmente, manifestó que la Comisión no planteó afectaciones al artículo 26 de la Convención, sino que se trata de un alegato exclusiv</w:t>
      </w:r>
      <w:r w:rsidR="00157CD7" w:rsidRPr="000B33B9">
        <w:rPr>
          <w:rFonts w:ascii="Verdana" w:hAnsi="Verdana"/>
          <w:sz w:val="20"/>
          <w:szCs w:val="20"/>
        </w:rPr>
        <w:t>o</w:t>
      </w:r>
      <w:r w:rsidRPr="000B33B9">
        <w:rPr>
          <w:rFonts w:ascii="Verdana" w:hAnsi="Verdana"/>
          <w:sz w:val="20"/>
          <w:szCs w:val="20"/>
        </w:rPr>
        <w:t xml:space="preserve"> de los representantes sobre la base de ale</w:t>
      </w:r>
      <w:r w:rsidR="00326CF7" w:rsidRPr="000B33B9">
        <w:rPr>
          <w:rFonts w:ascii="Verdana" w:hAnsi="Verdana"/>
          <w:sz w:val="20"/>
          <w:szCs w:val="20"/>
        </w:rPr>
        <w:t>gaciones carentes de fundamento</w:t>
      </w:r>
      <w:r w:rsidRPr="000B33B9">
        <w:rPr>
          <w:rFonts w:ascii="Verdana" w:hAnsi="Verdana"/>
          <w:sz w:val="20"/>
          <w:szCs w:val="20"/>
        </w:rPr>
        <w:t>. En consecuencia, consideró que no resulta pertinente realizar un análisis al derecho a la seguridad social y tal pretensión de</w:t>
      </w:r>
      <w:r w:rsidR="00326CF7" w:rsidRPr="000B33B9">
        <w:rPr>
          <w:rFonts w:ascii="Verdana" w:hAnsi="Verdana"/>
          <w:sz w:val="20"/>
          <w:szCs w:val="20"/>
        </w:rPr>
        <w:t>be ser desestimada por la Corte</w:t>
      </w:r>
      <w:r w:rsidRPr="000B33B9">
        <w:rPr>
          <w:rFonts w:ascii="Verdana" w:hAnsi="Verdana"/>
          <w:sz w:val="20"/>
          <w:szCs w:val="20"/>
        </w:rPr>
        <w:t>.</w:t>
      </w:r>
      <w:r w:rsidR="00415BB4" w:rsidRPr="000B33B9">
        <w:rPr>
          <w:rFonts w:ascii="Verdana" w:hAnsi="Verdana"/>
          <w:sz w:val="20"/>
          <w:szCs w:val="20"/>
        </w:rPr>
        <w:t xml:space="preserve"> </w:t>
      </w:r>
      <w:r w:rsidRPr="000B33B9">
        <w:rPr>
          <w:rFonts w:ascii="Verdana" w:hAnsi="Verdana"/>
          <w:sz w:val="20"/>
          <w:szCs w:val="20"/>
        </w:rPr>
        <w:t>Asimismo, el Estado</w:t>
      </w:r>
      <w:r w:rsidRPr="000B33B9">
        <w:rPr>
          <w:rFonts w:ascii="Verdana" w:hAnsi="Verdana"/>
          <w:b/>
          <w:i/>
          <w:sz w:val="20"/>
          <w:szCs w:val="20"/>
        </w:rPr>
        <w:t xml:space="preserve"> </w:t>
      </w:r>
      <w:r w:rsidRPr="000B33B9">
        <w:rPr>
          <w:rFonts w:ascii="Verdana" w:hAnsi="Verdana"/>
          <w:sz w:val="20"/>
          <w:szCs w:val="20"/>
        </w:rPr>
        <w:t xml:space="preserve">alegó que no existe sustento fáctico que permita fundamentar de forma adecuada las alegadas afectaciones al derecho a la vida, </w:t>
      </w:r>
      <w:r w:rsidR="006710A8" w:rsidRPr="000B33B9">
        <w:rPr>
          <w:rFonts w:ascii="Verdana" w:hAnsi="Verdana"/>
          <w:sz w:val="20"/>
          <w:szCs w:val="20"/>
        </w:rPr>
        <w:t xml:space="preserve">pues </w:t>
      </w:r>
      <w:r w:rsidRPr="000B33B9">
        <w:rPr>
          <w:rFonts w:ascii="Verdana" w:hAnsi="Verdana"/>
          <w:sz w:val="20"/>
          <w:szCs w:val="20"/>
        </w:rPr>
        <w:t>nunca se dejó de abonar las pensiones que correspondían conforme a l</w:t>
      </w:r>
      <w:r w:rsidR="00326CF7" w:rsidRPr="000B33B9">
        <w:rPr>
          <w:rFonts w:ascii="Verdana" w:hAnsi="Verdana"/>
          <w:sz w:val="20"/>
          <w:szCs w:val="20"/>
        </w:rPr>
        <w:t>a ley a las presuntas víctimas</w:t>
      </w:r>
      <w:r w:rsidRPr="000B33B9">
        <w:rPr>
          <w:rFonts w:ascii="Verdana" w:hAnsi="Verdana"/>
          <w:sz w:val="20"/>
          <w:szCs w:val="20"/>
        </w:rPr>
        <w:t>.</w:t>
      </w:r>
    </w:p>
    <w:p w14:paraId="6D78E66F" w14:textId="77777777" w:rsidR="0038654D" w:rsidRPr="000B33B9" w:rsidRDefault="0038654D" w:rsidP="0038654D">
      <w:pPr>
        <w:pStyle w:val="Prrafodelista"/>
        <w:spacing w:after="0" w:line="240" w:lineRule="auto"/>
        <w:ind w:left="0"/>
        <w:jc w:val="both"/>
        <w:rPr>
          <w:rFonts w:ascii="Verdana" w:hAnsi="Verdana"/>
          <w:sz w:val="20"/>
          <w:szCs w:val="20"/>
        </w:rPr>
      </w:pPr>
    </w:p>
    <w:p w14:paraId="6AE558A6" w14:textId="4BD66F17" w:rsidR="0038654D" w:rsidRPr="000B33B9" w:rsidRDefault="0038654D"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Los </w:t>
      </w:r>
      <w:r w:rsidRPr="000B33B9">
        <w:rPr>
          <w:rFonts w:ascii="Verdana" w:hAnsi="Verdana"/>
          <w:b/>
          <w:i/>
          <w:sz w:val="20"/>
          <w:szCs w:val="20"/>
        </w:rPr>
        <w:t xml:space="preserve">representantes </w:t>
      </w:r>
      <w:r w:rsidRPr="000B33B9">
        <w:rPr>
          <w:rFonts w:ascii="Verdana" w:hAnsi="Verdana"/>
          <w:sz w:val="20"/>
          <w:szCs w:val="20"/>
        </w:rPr>
        <w:t xml:space="preserve">alegaron que </w:t>
      </w:r>
      <w:r w:rsidR="00326CF7" w:rsidRPr="000B33B9">
        <w:rPr>
          <w:rFonts w:ascii="Verdana" w:hAnsi="Verdana"/>
          <w:sz w:val="20"/>
          <w:szCs w:val="20"/>
        </w:rPr>
        <w:t xml:space="preserve">la </w:t>
      </w:r>
      <w:r w:rsidRPr="000B33B9">
        <w:rPr>
          <w:rFonts w:ascii="Verdana" w:hAnsi="Verdana"/>
          <w:sz w:val="20"/>
          <w:szCs w:val="20"/>
        </w:rPr>
        <w:t>Corte ya ha señalado que los derechos económicos, sociales y culturales “deben ser entendidos integralmente y de manera conglobada como derechos humanos, sin jerarquía entre sí y exigibles en todos los casos ante aquellas autoridades que result</w:t>
      </w:r>
      <w:r w:rsidR="00326CF7" w:rsidRPr="000B33B9">
        <w:rPr>
          <w:rFonts w:ascii="Verdana" w:hAnsi="Verdana"/>
          <w:sz w:val="20"/>
          <w:szCs w:val="20"/>
        </w:rPr>
        <w:t>en competentes para ello”. Respecto a</w:t>
      </w:r>
      <w:r w:rsidRPr="000B33B9">
        <w:rPr>
          <w:rFonts w:ascii="Verdana" w:hAnsi="Verdana"/>
          <w:sz w:val="20"/>
          <w:szCs w:val="20"/>
        </w:rPr>
        <w:t xml:space="preserve"> los derechos protegidos en el presente caso, al</w:t>
      </w:r>
      <w:r w:rsidR="00326CF7" w:rsidRPr="000B33B9">
        <w:rPr>
          <w:rFonts w:ascii="Verdana" w:hAnsi="Verdana"/>
          <w:sz w:val="20"/>
          <w:szCs w:val="20"/>
        </w:rPr>
        <w:t>egaron que de la Carta de la Organización de Estados Americanos (en adelante, “Carta de la OEA”) puede</w:t>
      </w:r>
      <w:r w:rsidRPr="000B33B9">
        <w:rPr>
          <w:rFonts w:ascii="Verdana" w:hAnsi="Verdana"/>
          <w:sz w:val="20"/>
          <w:szCs w:val="20"/>
        </w:rPr>
        <w:t xml:space="preserve"> inferirse el derecho a salarios justos, condiciones dignas de trabajo, a la libertad sindical y a la huelga, a la alimentación adecuada, a una vivienda digna, y a participar </w:t>
      </w:r>
      <w:r w:rsidR="00326CF7" w:rsidRPr="000B33B9">
        <w:rPr>
          <w:rFonts w:ascii="Verdana" w:hAnsi="Verdana"/>
          <w:sz w:val="20"/>
          <w:szCs w:val="20"/>
        </w:rPr>
        <w:t>de los beneficios de la cultura</w:t>
      </w:r>
      <w:r w:rsidRPr="000B33B9">
        <w:rPr>
          <w:rFonts w:ascii="Verdana" w:hAnsi="Verdana"/>
          <w:sz w:val="20"/>
          <w:szCs w:val="20"/>
        </w:rPr>
        <w:t>. Asimismo, manifestaron que el derecho a la seguridad social se deriva de la Carta de OEA, lo que incluye no solo el derecho a recibir una pensión de cesantía o jubila</w:t>
      </w:r>
      <w:r w:rsidR="00326CF7" w:rsidRPr="000B33B9">
        <w:rPr>
          <w:rFonts w:ascii="Verdana" w:hAnsi="Verdana"/>
          <w:sz w:val="20"/>
          <w:szCs w:val="20"/>
        </w:rPr>
        <w:t>ción, sino una pensión nivelada</w:t>
      </w:r>
      <w:r w:rsidRPr="000B33B9">
        <w:rPr>
          <w:rFonts w:ascii="Verdana" w:hAnsi="Verdana"/>
          <w:sz w:val="20"/>
          <w:szCs w:val="20"/>
        </w:rPr>
        <w:t>. Asimismo, sostuviero</w:t>
      </w:r>
      <w:r w:rsidR="00935FF1" w:rsidRPr="000B33B9">
        <w:rPr>
          <w:rFonts w:ascii="Verdana" w:hAnsi="Verdana"/>
          <w:sz w:val="20"/>
          <w:szCs w:val="20"/>
        </w:rPr>
        <w:t>n que el Decreto Legislativo</w:t>
      </w:r>
      <w:r w:rsidRPr="000B33B9">
        <w:rPr>
          <w:rFonts w:ascii="Verdana" w:hAnsi="Verdana"/>
          <w:sz w:val="20"/>
          <w:szCs w:val="20"/>
        </w:rPr>
        <w:t xml:space="preserve"> 673 constituyó una regresividad normati</w:t>
      </w:r>
      <w:r w:rsidR="00326CF7" w:rsidRPr="000B33B9">
        <w:rPr>
          <w:rFonts w:ascii="Verdana" w:hAnsi="Verdana"/>
          <w:sz w:val="20"/>
          <w:szCs w:val="20"/>
        </w:rPr>
        <w:t>va en violación del artículo 26</w:t>
      </w:r>
      <w:r w:rsidRPr="000B33B9">
        <w:rPr>
          <w:rFonts w:ascii="Verdana" w:hAnsi="Verdana"/>
          <w:sz w:val="20"/>
          <w:szCs w:val="20"/>
        </w:rPr>
        <w:t>.</w:t>
      </w:r>
      <w:r w:rsidR="00415BB4" w:rsidRPr="000B33B9">
        <w:rPr>
          <w:rFonts w:ascii="Verdana" w:hAnsi="Verdana"/>
          <w:sz w:val="20"/>
          <w:szCs w:val="20"/>
        </w:rPr>
        <w:t xml:space="preserve"> </w:t>
      </w:r>
      <w:r w:rsidRPr="000B33B9">
        <w:rPr>
          <w:rFonts w:ascii="Verdana" w:hAnsi="Verdana"/>
          <w:sz w:val="20"/>
          <w:szCs w:val="20"/>
        </w:rPr>
        <w:t>En relación con el derecho a la vida, los representantes</w:t>
      </w:r>
      <w:r w:rsidRPr="000B33B9">
        <w:rPr>
          <w:rFonts w:ascii="Verdana" w:hAnsi="Verdana"/>
          <w:b/>
          <w:i/>
          <w:sz w:val="20"/>
          <w:szCs w:val="20"/>
        </w:rPr>
        <w:t xml:space="preserve"> </w:t>
      </w:r>
      <w:r w:rsidRPr="000B33B9">
        <w:rPr>
          <w:rFonts w:ascii="Verdana" w:hAnsi="Verdana"/>
          <w:sz w:val="20"/>
          <w:szCs w:val="20"/>
        </w:rPr>
        <w:t>alegaron que al ser el Estado responsable por privar a las presuntas víctimas de sus pensiones también lo es del riesgo que</w:t>
      </w:r>
      <w:r w:rsidR="00326CF7" w:rsidRPr="000B33B9">
        <w:rPr>
          <w:rFonts w:ascii="Verdana" w:hAnsi="Verdana"/>
          <w:sz w:val="20"/>
          <w:szCs w:val="20"/>
        </w:rPr>
        <w:t xml:space="preserve"> generó a la vida de las mismas.</w:t>
      </w:r>
    </w:p>
    <w:p w14:paraId="7B86BB95" w14:textId="77777777" w:rsidR="0038654D" w:rsidRPr="000B33B9" w:rsidRDefault="0038654D" w:rsidP="0038654D">
      <w:pPr>
        <w:pStyle w:val="Prrafodelista"/>
        <w:spacing w:after="0" w:line="240" w:lineRule="auto"/>
        <w:ind w:left="0"/>
        <w:jc w:val="both"/>
        <w:rPr>
          <w:rFonts w:ascii="Verdana" w:hAnsi="Verdana"/>
          <w:sz w:val="20"/>
          <w:szCs w:val="20"/>
        </w:rPr>
      </w:pPr>
    </w:p>
    <w:p w14:paraId="7AD736E4" w14:textId="025279AC" w:rsidR="0038654D" w:rsidRPr="000B33B9" w:rsidRDefault="0038654D" w:rsidP="00CA7A59">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La </w:t>
      </w:r>
      <w:r w:rsidRPr="000B33B9">
        <w:rPr>
          <w:rFonts w:ascii="Verdana" w:hAnsi="Verdana"/>
          <w:b/>
          <w:i/>
          <w:sz w:val="20"/>
          <w:szCs w:val="20"/>
        </w:rPr>
        <w:t xml:space="preserve">Comisión </w:t>
      </w:r>
      <w:r w:rsidRPr="000B33B9">
        <w:rPr>
          <w:rFonts w:ascii="Verdana" w:hAnsi="Verdana"/>
          <w:sz w:val="20"/>
          <w:szCs w:val="20"/>
        </w:rPr>
        <w:t xml:space="preserve">observó que la Corte ya ha afirmado su competencia para conocer y resolver controversias relativas a su competencia para conocer violaciones al artículo 26 de la Convención. La Comisión resaltó los argumentos vertidos en las sentencias de los casos de </w:t>
      </w:r>
      <w:r w:rsidRPr="000B33B9">
        <w:rPr>
          <w:rFonts w:ascii="Verdana" w:hAnsi="Verdana"/>
          <w:i/>
          <w:sz w:val="20"/>
          <w:szCs w:val="20"/>
        </w:rPr>
        <w:t xml:space="preserve">Acevedo Buendía y otros Vs. Perú </w:t>
      </w:r>
      <w:r w:rsidRPr="000B33B9">
        <w:rPr>
          <w:rFonts w:ascii="Verdana" w:hAnsi="Verdana"/>
          <w:sz w:val="20"/>
          <w:szCs w:val="20"/>
        </w:rPr>
        <w:t xml:space="preserve">y </w:t>
      </w:r>
      <w:r w:rsidRPr="000B33B9">
        <w:rPr>
          <w:rFonts w:ascii="Verdana" w:hAnsi="Verdana"/>
          <w:i/>
          <w:sz w:val="20"/>
          <w:szCs w:val="20"/>
        </w:rPr>
        <w:t>Petroperú y otros Vs. Perú</w:t>
      </w:r>
      <w:r w:rsidRPr="000B33B9">
        <w:rPr>
          <w:rFonts w:ascii="Verdana" w:hAnsi="Verdana"/>
          <w:sz w:val="20"/>
          <w:szCs w:val="20"/>
        </w:rPr>
        <w:t xml:space="preserve"> en el sentido que la Corte “es competente para decidir si el Estado ha incurrido en una violación o incumplimiento de los derechos reconocidos en la Convención, inclusive en lo concerniente al artículo 26 de la misma”. En ese sentido, expresó que en el caso </w:t>
      </w:r>
      <w:r w:rsidRPr="000B33B9">
        <w:rPr>
          <w:rFonts w:ascii="Verdana" w:hAnsi="Verdana"/>
          <w:i/>
          <w:sz w:val="20"/>
          <w:szCs w:val="20"/>
        </w:rPr>
        <w:t xml:space="preserve">Cuscul Pivaral y otros Vs. Guatemala </w:t>
      </w:r>
      <w:r w:rsidRPr="000B33B9">
        <w:rPr>
          <w:rFonts w:ascii="Verdana" w:hAnsi="Verdana"/>
          <w:sz w:val="20"/>
          <w:szCs w:val="20"/>
        </w:rPr>
        <w:t xml:space="preserve">la Corte afirmó que el artículo 19.2 del </w:t>
      </w:r>
      <w:r w:rsidR="00CA7A59" w:rsidRPr="000B33B9">
        <w:rPr>
          <w:rFonts w:ascii="Verdana" w:hAnsi="Verdana"/>
          <w:sz w:val="20"/>
          <w:szCs w:val="20"/>
        </w:rPr>
        <w:t xml:space="preserve">Protocolo Adicional a la Convención Americana sobre Derechos Humanos en materia de Derechos Económicos, Sociales y Culturales “Protocolo de San Salvador” (en adelante “Protocolo de San Salvador”) </w:t>
      </w:r>
      <w:r w:rsidRPr="000B33B9">
        <w:rPr>
          <w:rFonts w:ascii="Verdana" w:hAnsi="Verdana"/>
          <w:sz w:val="20"/>
          <w:szCs w:val="20"/>
        </w:rPr>
        <w:t>no podía entenderse como una limitante del alcance de la competencia de la Corte respecto del artículo 26 de la Convención. La Comisión</w:t>
      </w:r>
      <w:r w:rsidRPr="000B33B9">
        <w:rPr>
          <w:rFonts w:ascii="Verdana" w:hAnsi="Verdana"/>
          <w:b/>
          <w:i/>
          <w:sz w:val="20"/>
          <w:szCs w:val="20"/>
        </w:rPr>
        <w:t xml:space="preserve"> </w:t>
      </w:r>
      <w:r w:rsidRPr="000B33B9">
        <w:rPr>
          <w:rFonts w:ascii="Verdana" w:hAnsi="Verdana"/>
          <w:sz w:val="20"/>
          <w:szCs w:val="20"/>
        </w:rPr>
        <w:t>no formuló argumentos respecto al alegato sobre la falta de competencia para conocer sobre violaciones al derecho a la vida.</w:t>
      </w:r>
    </w:p>
    <w:p w14:paraId="2D61BB18" w14:textId="77777777" w:rsidR="0038654D" w:rsidRPr="000B33B9" w:rsidRDefault="0038654D" w:rsidP="0038654D">
      <w:pPr>
        <w:spacing w:after="0" w:line="240" w:lineRule="auto"/>
        <w:rPr>
          <w:rFonts w:ascii="Verdana" w:hAnsi="Verdana"/>
          <w:sz w:val="20"/>
          <w:szCs w:val="20"/>
          <w:lang w:val="es-CR"/>
        </w:rPr>
      </w:pPr>
    </w:p>
    <w:p w14:paraId="195361B6" w14:textId="77777777" w:rsidR="0038654D" w:rsidRPr="000B33B9" w:rsidRDefault="0038654D" w:rsidP="00B128F9">
      <w:pPr>
        <w:pStyle w:val="Ttulo3"/>
        <w:numPr>
          <w:ilvl w:val="0"/>
          <w:numId w:val="0"/>
        </w:numPr>
        <w:ind w:left="1353"/>
      </w:pPr>
      <w:bookmarkStart w:id="25" w:name="_Toc27329749"/>
      <w:r w:rsidRPr="000B33B9">
        <w:t>C.2. Consideraciones de la Corte</w:t>
      </w:r>
      <w:bookmarkEnd w:id="25"/>
    </w:p>
    <w:p w14:paraId="2ED83C5D" w14:textId="77777777" w:rsidR="0038654D" w:rsidRPr="000B33B9" w:rsidRDefault="0038654D" w:rsidP="0038654D">
      <w:pPr>
        <w:spacing w:after="0" w:line="240" w:lineRule="auto"/>
        <w:rPr>
          <w:rFonts w:ascii="Verdana" w:hAnsi="Verdana"/>
          <w:sz w:val="20"/>
          <w:szCs w:val="20"/>
        </w:rPr>
      </w:pPr>
    </w:p>
    <w:p w14:paraId="38908CEF" w14:textId="2609C3EB" w:rsidR="0038654D" w:rsidRPr="000B33B9" w:rsidRDefault="0038654D" w:rsidP="007B74B8">
      <w:pPr>
        <w:pStyle w:val="Prrafodelista"/>
        <w:widowControl w:val="0"/>
        <w:numPr>
          <w:ilvl w:val="0"/>
          <w:numId w:val="10"/>
        </w:numPr>
        <w:autoSpaceDE w:val="0"/>
        <w:autoSpaceDN w:val="0"/>
        <w:adjustRightInd w:val="0"/>
        <w:spacing w:after="0" w:line="240" w:lineRule="auto"/>
        <w:ind w:left="0" w:firstLine="0"/>
        <w:jc w:val="both"/>
        <w:rPr>
          <w:rFonts w:ascii="Verdana" w:hAnsi="Verdana"/>
          <w:sz w:val="20"/>
          <w:szCs w:val="20"/>
        </w:rPr>
      </w:pPr>
      <w:r w:rsidRPr="000B33B9">
        <w:rPr>
          <w:rFonts w:ascii="Verdana" w:hAnsi="Verdana"/>
          <w:sz w:val="20"/>
          <w:szCs w:val="20"/>
        </w:rPr>
        <w:t>La Corte recuerda que, como todo órgano jurisdiccional, tiene el poder inherente a sus atribuciones para determinar el alcance de su propia competencia</w:t>
      </w:r>
      <w:r w:rsidRPr="000B33B9">
        <w:rPr>
          <w:rFonts w:ascii="Verdana" w:hAnsi="Verdana" w:cs="Verdana"/>
          <w:sz w:val="20"/>
          <w:szCs w:val="20"/>
        </w:rPr>
        <w:t xml:space="preserve"> </w:t>
      </w:r>
      <w:r w:rsidRPr="000B33B9">
        <w:rPr>
          <w:rFonts w:ascii="Verdana" w:eastAsia="Times" w:hAnsi="Verdana"/>
          <w:sz w:val="20"/>
          <w:szCs w:val="20"/>
        </w:rPr>
        <w:t>(</w:t>
      </w:r>
      <w:r w:rsidRPr="000B33B9">
        <w:rPr>
          <w:rFonts w:ascii="Verdana" w:eastAsia="Times" w:hAnsi="Verdana"/>
          <w:i/>
          <w:sz w:val="20"/>
          <w:szCs w:val="20"/>
        </w:rPr>
        <w:t>compétence de la compétence</w:t>
      </w:r>
      <w:r w:rsidRPr="000B33B9">
        <w:rPr>
          <w:rFonts w:ascii="Verdana" w:eastAsia="Times" w:hAnsi="Verdana"/>
          <w:sz w:val="20"/>
          <w:szCs w:val="20"/>
        </w:rPr>
        <w:t>)</w:t>
      </w:r>
      <w:r w:rsidRPr="000B33B9">
        <w:rPr>
          <w:rFonts w:ascii="Verdana" w:hAnsi="Verdana" w:cs="Verdana"/>
          <w:sz w:val="20"/>
          <w:szCs w:val="20"/>
        </w:rPr>
        <w:t>. Para hacer dicha determinación, la Corte debe tener en cuenta que los instrumentos de reconocimiento de la cláusula facultativa de la jurisdicción obligatoria (artículo 62.1 de la Convención) presuponen la admisión, por los Estados que la presentan, del derecho de la Corte a resolver cualquier controversia relativa a su jurisdicción</w:t>
      </w:r>
      <w:r w:rsidRPr="000B33B9">
        <w:rPr>
          <w:rStyle w:val="Refdenotaalpie"/>
          <w:rFonts w:ascii="Verdana" w:hAnsi="Verdana" w:cs="Verdana"/>
          <w:sz w:val="20"/>
          <w:szCs w:val="20"/>
        </w:rPr>
        <w:footnoteReference w:id="19"/>
      </w:r>
      <w:r w:rsidRPr="000B33B9">
        <w:rPr>
          <w:rFonts w:ascii="Verdana" w:hAnsi="Verdana" w:cs="Verdana"/>
          <w:sz w:val="20"/>
          <w:szCs w:val="20"/>
        </w:rPr>
        <w:t xml:space="preserve">. Además, el Tribunal </w:t>
      </w:r>
      <w:r w:rsidRPr="000B33B9">
        <w:rPr>
          <w:rFonts w:ascii="Verdana" w:hAnsi="Verdana"/>
          <w:sz w:val="20"/>
          <w:szCs w:val="20"/>
        </w:rPr>
        <w:t>ha afirmado su competencia para conocer y resolver controversias relativas al artículo 26 de la Convención Americana, como parte integrante de los derechos enumerados en la misma, respecto de los cuales el artículo 1.1 confiere obligaciones de respeto y garantía a los Estados</w:t>
      </w:r>
      <w:r w:rsidRPr="000B33B9">
        <w:rPr>
          <w:rFonts w:ascii="Verdana" w:hAnsi="Verdana"/>
          <w:bCs/>
          <w:sz w:val="20"/>
          <w:szCs w:val="20"/>
          <w:vertAlign w:val="superscript"/>
        </w:rPr>
        <w:footnoteReference w:id="20"/>
      </w:r>
      <w:r w:rsidRPr="000B33B9">
        <w:rPr>
          <w:rFonts w:ascii="Verdana" w:hAnsi="Verdana"/>
          <w:sz w:val="20"/>
          <w:szCs w:val="20"/>
        </w:rPr>
        <w:t>.</w:t>
      </w:r>
    </w:p>
    <w:p w14:paraId="1C7B7BCD" w14:textId="77777777" w:rsidR="0038654D" w:rsidRPr="000B33B9" w:rsidRDefault="0038654D" w:rsidP="0038654D">
      <w:pPr>
        <w:pStyle w:val="Prrafodelista"/>
        <w:widowControl w:val="0"/>
        <w:autoSpaceDE w:val="0"/>
        <w:autoSpaceDN w:val="0"/>
        <w:adjustRightInd w:val="0"/>
        <w:spacing w:after="0" w:line="240" w:lineRule="auto"/>
        <w:ind w:left="0"/>
        <w:jc w:val="both"/>
        <w:rPr>
          <w:rFonts w:ascii="Verdana" w:hAnsi="Verdana"/>
          <w:sz w:val="20"/>
          <w:szCs w:val="20"/>
        </w:rPr>
      </w:pPr>
    </w:p>
    <w:p w14:paraId="48492C2F" w14:textId="79EA6ADB" w:rsidR="0038654D" w:rsidRPr="000B33B9" w:rsidRDefault="0038654D" w:rsidP="007B74B8">
      <w:pPr>
        <w:pStyle w:val="Prrafodelista"/>
        <w:widowControl w:val="0"/>
        <w:numPr>
          <w:ilvl w:val="0"/>
          <w:numId w:val="10"/>
        </w:numPr>
        <w:autoSpaceDE w:val="0"/>
        <w:autoSpaceDN w:val="0"/>
        <w:adjustRightInd w:val="0"/>
        <w:spacing w:after="0" w:line="240" w:lineRule="auto"/>
        <w:ind w:left="0" w:firstLine="0"/>
        <w:jc w:val="both"/>
        <w:rPr>
          <w:rFonts w:ascii="Verdana" w:hAnsi="Verdana"/>
          <w:sz w:val="20"/>
          <w:szCs w:val="20"/>
        </w:rPr>
      </w:pPr>
      <w:r w:rsidRPr="000B33B9">
        <w:rPr>
          <w:rFonts w:ascii="Verdana" w:hAnsi="Verdana"/>
          <w:sz w:val="20"/>
          <w:szCs w:val="20"/>
        </w:rPr>
        <w:t xml:space="preserve">Este Tribunal ha señalado que </w:t>
      </w:r>
      <w:r w:rsidRPr="000B33B9">
        <w:rPr>
          <w:rFonts w:ascii="Verdana" w:hAnsi="Verdana" w:cs="Verdana"/>
          <w:sz w:val="20"/>
          <w:szCs w:val="20"/>
        </w:rPr>
        <w:t xml:space="preserve">una interpretación literal, </w:t>
      </w:r>
      <w:r w:rsidRPr="000B33B9">
        <w:rPr>
          <w:rFonts w:ascii="Verdana" w:hAnsi="Verdana"/>
          <w:sz w:val="20"/>
          <w:szCs w:val="20"/>
        </w:rPr>
        <w:t xml:space="preserve">sistemática, teleológica y evolutiva </w:t>
      </w:r>
      <w:r w:rsidRPr="000B33B9">
        <w:rPr>
          <w:rFonts w:ascii="Verdana" w:hAnsi="Verdana" w:cs="Verdana"/>
          <w:sz w:val="20"/>
          <w:szCs w:val="20"/>
        </w:rPr>
        <w:t>respecto al alcance de su competencia permite concluir que</w:t>
      </w:r>
      <w:r w:rsidRPr="000B33B9">
        <w:rPr>
          <w:rFonts w:ascii="Verdana" w:hAnsi="Verdana"/>
          <w:sz w:val="20"/>
          <w:szCs w:val="20"/>
        </w:rPr>
        <w:t xml:space="preserve"> </w:t>
      </w:r>
      <w:r w:rsidRPr="000B33B9">
        <w:rPr>
          <w:rFonts w:ascii="Verdana" w:eastAsia="Times" w:hAnsi="Verdana" w:cs="Arial"/>
          <w:sz w:val="20"/>
          <w:szCs w:val="20"/>
          <w:lang w:val="es-CR"/>
        </w:rPr>
        <w:t xml:space="preserve">“el artículo 26 de la Convención Americana protege aquellos derechos que derivan de las normas económicas, sociales y de educación, ciencia y cultura contenidas en la Carta de la OEA. Los alcances de estos derechos deben ser entendidos en relación con el resto de las demás cláusulas de la Convención Americana, por lo que están sujetos a las obligaciones generales contenidas en los artículos 1.1 y 2 de la Convención y pueden ser sujetos de supervisión por parte de este Tribunal en términos de los artículos 62 y 63 del mismo instrumento. Esta conclusión se fundamenta no sólo en cuestiones formales, sino que resulta de la interdependencia e indivisibilidad de los derechos civiles y políticos y los derechos económicos, sociales, culturales y ambientales, así como de su compatibilidad con el objeto y fin de la Convención, que es la protección de los derechos fundamentales de los seres humanos. </w:t>
      </w:r>
      <w:r w:rsidRPr="000B33B9">
        <w:rPr>
          <w:rFonts w:ascii="Verdana" w:eastAsia="Times" w:hAnsi="Verdana" w:cs="Arial"/>
          <w:sz w:val="20"/>
          <w:szCs w:val="20"/>
        </w:rPr>
        <w:t>Corresponderá, en cada caso concreto que requiera un análisis de DESCA, determinar si de la Carta de la OEA se deriva explícita o implícitamente un derecho humano protegido por el artículo 26 de la Convención Americana, así como los alcances de dicha protección”</w:t>
      </w:r>
      <w:r w:rsidRPr="000B33B9">
        <w:rPr>
          <w:rStyle w:val="Refdenotaalpie"/>
          <w:rFonts w:ascii="Verdana" w:eastAsia="Times" w:hAnsi="Verdana"/>
          <w:sz w:val="20"/>
          <w:szCs w:val="20"/>
        </w:rPr>
        <w:footnoteReference w:id="21"/>
      </w:r>
      <w:r w:rsidRPr="000B33B9">
        <w:rPr>
          <w:rFonts w:ascii="Verdana" w:eastAsia="Times" w:hAnsi="Verdana" w:cs="Arial"/>
          <w:sz w:val="20"/>
          <w:szCs w:val="20"/>
        </w:rPr>
        <w:t>.</w:t>
      </w:r>
    </w:p>
    <w:p w14:paraId="3A30D034" w14:textId="77777777" w:rsidR="0038654D" w:rsidRPr="000B33B9" w:rsidRDefault="0038654D" w:rsidP="0038654D">
      <w:pPr>
        <w:pStyle w:val="Prrafodelista"/>
        <w:widowControl w:val="0"/>
        <w:autoSpaceDE w:val="0"/>
        <w:autoSpaceDN w:val="0"/>
        <w:adjustRightInd w:val="0"/>
        <w:spacing w:after="0" w:line="240" w:lineRule="auto"/>
        <w:ind w:left="0"/>
        <w:jc w:val="both"/>
        <w:rPr>
          <w:rFonts w:ascii="Verdana" w:hAnsi="Verdana"/>
          <w:sz w:val="20"/>
          <w:szCs w:val="20"/>
        </w:rPr>
      </w:pPr>
    </w:p>
    <w:p w14:paraId="7DB03F84" w14:textId="2FD46849" w:rsidR="0038654D" w:rsidRPr="000B33B9" w:rsidRDefault="0038654D" w:rsidP="007B74B8">
      <w:pPr>
        <w:pStyle w:val="Prrafodelista"/>
        <w:widowControl w:val="0"/>
        <w:numPr>
          <w:ilvl w:val="0"/>
          <w:numId w:val="10"/>
        </w:numPr>
        <w:autoSpaceDE w:val="0"/>
        <w:autoSpaceDN w:val="0"/>
        <w:adjustRightInd w:val="0"/>
        <w:spacing w:after="0" w:line="240" w:lineRule="auto"/>
        <w:ind w:left="0" w:firstLine="0"/>
        <w:jc w:val="both"/>
        <w:rPr>
          <w:rFonts w:ascii="Verdana" w:hAnsi="Verdana"/>
          <w:sz w:val="20"/>
          <w:szCs w:val="20"/>
        </w:rPr>
      </w:pPr>
      <w:r w:rsidRPr="000B33B9">
        <w:rPr>
          <w:rFonts w:ascii="Verdana" w:hAnsi="Verdana"/>
          <w:sz w:val="20"/>
          <w:szCs w:val="20"/>
        </w:rPr>
        <w:t xml:space="preserve">En el caso </w:t>
      </w:r>
      <w:r w:rsidRPr="000B33B9">
        <w:rPr>
          <w:rFonts w:ascii="Verdana" w:hAnsi="Verdana"/>
          <w:i/>
          <w:sz w:val="20"/>
          <w:szCs w:val="20"/>
        </w:rPr>
        <w:t>Muelle Flores Vs. Perú</w:t>
      </w:r>
      <w:r w:rsidRPr="000B33B9">
        <w:rPr>
          <w:rFonts w:ascii="Verdana" w:hAnsi="Verdana"/>
          <w:sz w:val="20"/>
          <w:szCs w:val="20"/>
        </w:rPr>
        <w:t>, la Corte advirtió que el derecho a la seguridad social se deriva de una lectura integral de los artículos 3.j), 45.b), 45.h) y 46 de la Carta de la OEA</w:t>
      </w:r>
      <w:r w:rsidRPr="000B33B9">
        <w:rPr>
          <w:rStyle w:val="Refdenotaalpie"/>
          <w:rFonts w:ascii="Verdana" w:hAnsi="Verdana"/>
          <w:sz w:val="20"/>
          <w:szCs w:val="20"/>
        </w:rPr>
        <w:footnoteReference w:id="22"/>
      </w:r>
      <w:r w:rsidRPr="000B33B9">
        <w:rPr>
          <w:rFonts w:ascii="Verdana" w:hAnsi="Verdana"/>
          <w:sz w:val="20"/>
          <w:szCs w:val="20"/>
        </w:rPr>
        <w:t xml:space="preserve">. Adicionalmente, </w:t>
      </w:r>
      <w:r w:rsidRPr="000B33B9">
        <w:rPr>
          <w:rFonts w:ascii="Verdana" w:hAnsi="Verdana"/>
          <w:sz w:val="20"/>
          <w:szCs w:val="20"/>
          <w:lang w:val="es-CR"/>
        </w:rPr>
        <w:t xml:space="preserve">la Corte señaló que existe una referencia </w:t>
      </w:r>
      <w:r w:rsidR="005567D5" w:rsidRPr="000B33B9">
        <w:rPr>
          <w:rFonts w:ascii="Verdana" w:hAnsi="Verdana"/>
          <w:sz w:val="20"/>
          <w:szCs w:val="20"/>
          <w:lang w:val="es-CR"/>
        </w:rPr>
        <w:t>al</w:t>
      </w:r>
      <w:r w:rsidRPr="000B33B9">
        <w:rPr>
          <w:rFonts w:ascii="Verdana" w:hAnsi="Verdana"/>
          <w:sz w:val="20"/>
          <w:szCs w:val="20"/>
          <w:lang w:val="es-CR"/>
        </w:rPr>
        <w:t xml:space="preserve"> derecho a la seguridad social</w:t>
      </w:r>
      <w:r w:rsidR="005567D5" w:rsidRPr="000B33B9">
        <w:rPr>
          <w:rFonts w:ascii="Verdana" w:hAnsi="Verdana"/>
          <w:sz w:val="20"/>
          <w:szCs w:val="20"/>
          <w:lang w:val="es-CR"/>
        </w:rPr>
        <w:t xml:space="preserve"> con el suficiente grado de especificidad</w:t>
      </w:r>
      <w:r w:rsidRPr="000B33B9">
        <w:rPr>
          <w:rFonts w:ascii="Verdana" w:hAnsi="Verdana"/>
          <w:sz w:val="20"/>
          <w:szCs w:val="20"/>
          <w:lang w:val="es-CR"/>
        </w:rPr>
        <w:t xml:space="preserve"> para derivar su existencia y reconocimiento implícito en la Carta de la OEA. En particular, manifestó que de los distintos enunciados se deduce que el derecho a la seguridad social tiene como finalidad asegurar a las personas una vida, salud y niveles económicos decorosos en su vejez, o ante eventos que las priven de su posibilidad de trabajar, es decir en relación con eventos futuros que podrían afectar el nivel y calidad de sus vidas.</w:t>
      </w:r>
      <w:r w:rsidRPr="000B33B9">
        <w:rPr>
          <w:rFonts w:ascii="Verdana" w:eastAsia="Times" w:hAnsi="Verdana" w:cs="Arial"/>
          <w:sz w:val="20"/>
          <w:szCs w:val="20"/>
        </w:rPr>
        <w:t xml:space="preserve"> </w:t>
      </w:r>
      <w:r w:rsidRPr="000B33B9">
        <w:rPr>
          <w:rFonts w:ascii="Verdana" w:hAnsi="Verdana"/>
          <w:sz w:val="20"/>
          <w:szCs w:val="20"/>
        </w:rPr>
        <w:t>En vista de lo anterior, la Corte consideró que el derecho a la seguridad social es un derecho protegido por el artículo 26 de la Convención</w:t>
      </w:r>
      <w:r w:rsidRPr="000B33B9">
        <w:rPr>
          <w:rStyle w:val="Refdenotaalpie"/>
          <w:rFonts w:ascii="Verdana" w:hAnsi="Verdana"/>
          <w:sz w:val="20"/>
          <w:szCs w:val="20"/>
        </w:rPr>
        <w:footnoteReference w:id="23"/>
      </w:r>
      <w:r w:rsidRPr="000B33B9">
        <w:rPr>
          <w:rFonts w:ascii="Verdana" w:hAnsi="Verdana"/>
          <w:sz w:val="20"/>
          <w:szCs w:val="20"/>
        </w:rPr>
        <w:t>.</w:t>
      </w:r>
    </w:p>
    <w:p w14:paraId="6D81A8FB" w14:textId="77777777" w:rsidR="0038654D" w:rsidRPr="000B33B9" w:rsidRDefault="0038654D" w:rsidP="0038654D">
      <w:pPr>
        <w:pStyle w:val="Prrafodelista"/>
        <w:widowControl w:val="0"/>
        <w:autoSpaceDE w:val="0"/>
        <w:autoSpaceDN w:val="0"/>
        <w:adjustRightInd w:val="0"/>
        <w:spacing w:after="0" w:line="240" w:lineRule="auto"/>
        <w:ind w:left="0"/>
        <w:jc w:val="both"/>
        <w:rPr>
          <w:rFonts w:ascii="Verdana" w:hAnsi="Verdana"/>
          <w:sz w:val="20"/>
          <w:szCs w:val="20"/>
        </w:rPr>
      </w:pPr>
    </w:p>
    <w:p w14:paraId="223C931B" w14:textId="3B2A6CAE" w:rsidR="0038654D" w:rsidRPr="000B33B9" w:rsidRDefault="0038654D" w:rsidP="007B74B8">
      <w:pPr>
        <w:pStyle w:val="Prrafodelista"/>
        <w:widowControl w:val="0"/>
        <w:numPr>
          <w:ilvl w:val="0"/>
          <w:numId w:val="10"/>
        </w:numPr>
        <w:autoSpaceDE w:val="0"/>
        <w:autoSpaceDN w:val="0"/>
        <w:adjustRightInd w:val="0"/>
        <w:spacing w:after="0" w:line="240" w:lineRule="auto"/>
        <w:ind w:left="0" w:firstLine="0"/>
        <w:jc w:val="both"/>
        <w:rPr>
          <w:rFonts w:ascii="Verdana" w:hAnsi="Verdana"/>
          <w:sz w:val="20"/>
          <w:szCs w:val="20"/>
        </w:rPr>
      </w:pPr>
      <w:r w:rsidRPr="000B33B9">
        <w:rPr>
          <w:rFonts w:ascii="Verdana" w:hAnsi="Verdana"/>
          <w:sz w:val="20"/>
          <w:szCs w:val="20"/>
        </w:rPr>
        <w:t xml:space="preserve">En relación con </w:t>
      </w:r>
      <w:r w:rsidR="008C5235" w:rsidRPr="000B33B9">
        <w:rPr>
          <w:rFonts w:ascii="Verdana" w:hAnsi="Verdana"/>
          <w:sz w:val="20"/>
          <w:szCs w:val="20"/>
        </w:rPr>
        <w:t xml:space="preserve">el </w:t>
      </w:r>
      <w:r w:rsidRPr="000B33B9">
        <w:rPr>
          <w:rFonts w:ascii="Verdana" w:hAnsi="Verdana"/>
          <w:sz w:val="20"/>
          <w:szCs w:val="20"/>
        </w:rPr>
        <w:t xml:space="preserve">alegato del Estado sobre la falta de competencia para conocer sobre violaciones al derecho a la vida, la Corte advierte que uno de los </w:t>
      </w:r>
      <w:r w:rsidR="008C5235" w:rsidRPr="000B33B9">
        <w:rPr>
          <w:rFonts w:ascii="Verdana" w:hAnsi="Verdana"/>
          <w:sz w:val="20"/>
          <w:szCs w:val="20"/>
        </w:rPr>
        <w:t xml:space="preserve">argumentos </w:t>
      </w:r>
      <w:r w:rsidRPr="000B33B9">
        <w:rPr>
          <w:rFonts w:ascii="Verdana" w:hAnsi="Verdana"/>
          <w:sz w:val="20"/>
          <w:szCs w:val="20"/>
        </w:rPr>
        <w:t>de los representantes en el presente caso se dirige a cuestionar si la alegada falta de cumplimiento de la sentencia de 25 de octubre de 1993 generó una afectación al derecho a la vida digna en términos del artículo 4.1 de la Convención Americana. Asimismo, el Tribunal recuerda que las presuntas víctimas o sus representantes pueden invocar la violación de otros derechos distintos a los ya comprendidos en el Informe de Fondo, siempre que se deriven de los hechos presentados por la Comisión</w:t>
      </w:r>
      <w:r w:rsidR="00AF79A9" w:rsidRPr="000B33B9">
        <w:rPr>
          <w:rStyle w:val="Refdenotaalpie"/>
          <w:rFonts w:ascii="Verdana" w:hAnsi="Verdana"/>
          <w:sz w:val="20"/>
          <w:szCs w:val="20"/>
        </w:rPr>
        <w:footnoteReference w:id="24"/>
      </w:r>
      <w:r w:rsidRPr="000B33B9">
        <w:rPr>
          <w:rFonts w:ascii="Verdana" w:hAnsi="Verdana"/>
          <w:sz w:val="20"/>
          <w:szCs w:val="20"/>
        </w:rPr>
        <w:t xml:space="preserve">. De esta forma, por las razones expuestas anteriormente, la Corte considera que los alegatos del Estado no tienen el carácter de preliminar, por lo que su análisis corresponde a una cuestión de fondo. </w:t>
      </w:r>
    </w:p>
    <w:p w14:paraId="08E43845" w14:textId="77777777" w:rsidR="0038654D" w:rsidRPr="000B33B9" w:rsidRDefault="0038654D" w:rsidP="0038654D">
      <w:pPr>
        <w:pStyle w:val="Prrafodelista"/>
        <w:widowControl w:val="0"/>
        <w:autoSpaceDE w:val="0"/>
        <w:autoSpaceDN w:val="0"/>
        <w:adjustRightInd w:val="0"/>
        <w:spacing w:after="0" w:line="240" w:lineRule="auto"/>
        <w:ind w:left="0"/>
        <w:jc w:val="both"/>
        <w:rPr>
          <w:rFonts w:ascii="Verdana" w:hAnsi="Verdana"/>
          <w:sz w:val="20"/>
          <w:szCs w:val="20"/>
        </w:rPr>
      </w:pPr>
    </w:p>
    <w:p w14:paraId="364F7127" w14:textId="77777777" w:rsidR="0038654D" w:rsidRPr="000B33B9" w:rsidRDefault="0038654D" w:rsidP="007B74B8">
      <w:pPr>
        <w:pStyle w:val="Prrafodelista"/>
        <w:widowControl w:val="0"/>
        <w:numPr>
          <w:ilvl w:val="0"/>
          <w:numId w:val="10"/>
        </w:numPr>
        <w:autoSpaceDE w:val="0"/>
        <w:autoSpaceDN w:val="0"/>
        <w:adjustRightInd w:val="0"/>
        <w:spacing w:after="0" w:line="240" w:lineRule="auto"/>
        <w:ind w:left="0" w:firstLine="0"/>
        <w:jc w:val="both"/>
        <w:rPr>
          <w:rFonts w:ascii="Verdana" w:hAnsi="Verdana"/>
          <w:sz w:val="20"/>
          <w:szCs w:val="20"/>
        </w:rPr>
      </w:pPr>
      <w:r w:rsidRPr="000B33B9">
        <w:rPr>
          <w:rFonts w:ascii="Verdana" w:hAnsi="Verdana"/>
          <w:sz w:val="20"/>
          <w:szCs w:val="20"/>
          <w:lang w:val="es-CR"/>
        </w:rPr>
        <w:t>En razón de lo anteriormente expuesto,</w:t>
      </w:r>
      <w:r w:rsidRPr="000B33B9">
        <w:rPr>
          <w:rFonts w:ascii="Verdana" w:eastAsia="Verdana" w:hAnsi="Verdana" w:cs="Verdana"/>
          <w:sz w:val="20"/>
          <w:szCs w:val="20"/>
          <w:lang w:val="es-PE"/>
        </w:rPr>
        <w:t xml:space="preserve"> el Tribunal </w:t>
      </w:r>
      <w:r w:rsidRPr="000B33B9">
        <w:rPr>
          <w:rFonts w:ascii="Verdana" w:hAnsi="Verdana"/>
          <w:color w:val="000000"/>
          <w:sz w:val="20"/>
          <w:szCs w:val="20"/>
          <w:lang w:val="es-ES"/>
        </w:rPr>
        <w:t>desestima la excepción preliminar presentada por el Estado, por lo que se pronunciará sobre el fondo del asunto en el apartado correspondiente.</w:t>
      </w:r>
    </w:p>
    <w:p w14:paraId="5CBA51DE" w14:textId="35359362" w:rsidR="0038654D" w:rsidRPr="000B33B9" w:rsidRDefault="0038654D" w:rsidP="00196D41">
      <w:pPr>
        <w:pStyle w:val="Prrafodelista"/>
        <w:spacing w:after="0" w:line="240" w:lineRule="auto"/>
        <w:ind w:left="0" w:right="49"/>
        <w:jc w:val="both"/>
        <w:rPr>
          <w:rFonts w:ascii="Verdana" w:hAnsi="Verdana"/>
          <w:sz w:val="20"/>
          <w:szCs w:val="20"/>
        </w:rPr>
      </w:pPr>
    </w:p>
    <w:p w14:paraId="0745AA59" w14:textId="45BD22EB" w:rsidR="003A17A6" w:rsidRPr="000B33B9" w:rsidRDefault="003A17A6" w:rsidP="003A17A6">
      <w:pPr>
        <w:keepNext/>
        <w:keepLines/>
        <w:tabs>
          <w:tab w:val="left" w:pos="851"/>
        </w:tabs>
        <w:spacing w:after="0" w:line="240" w:lineRule="auto"/>
        <w:jc w:val="center"/>
        <w:outlineLvl w:val="0"/>
        <w:rPr>
          <w:rFonts w:ascii="Verdana" w:eastAsia="Times New Roman" w:hAnsi="Verdana" w:cs="Times New Roman"/>
          <w:b/>
          <w:bCs/>
          <w:caps/>
          <w:snapToGrid w:val="0"/>
          <w:sz w:val="20"/>
          <w:szCs w:val="20"/>
          <w:lang w:val="es-ES_tradnl"/>
        </w:rPr>
      </w:pPr>
      <w:bookmarkStart w:id="26" w:name="_Toc27329750"/>
      <w:r w:rsidRPr="000B33B9">
        <w:rPr>
          <w:rFonts w:ascii="Verdana" w:eastAsia="Times New Roman" w:hAnsi="Verdana" w:cs="Verdana"/>
          <w:b/>
          <w:bCs/>
          <w:caps/>
          <w:snapToGrid w:val="0"/>
          <w:sz w:val="20"/>
          <w:szCs w:val="20"/>
          <w:lang w:val="es-ES_tradnl"/>
        </w:rPr>
        <w:t>V</w:t>
      </w:r>
      <w:r w:rsidRPr="000B33B9">
        <w:rPr>
          <w:rFonts w:ascii="Verdana" w:eastAsia="Times New Roman" w:hAnsi="Verdana" w:cs="Verdana"/>
          <w:b/>
          <w:bCs/>
          <w:caps/>
          <w:snapToGrid w:val="0"/>
          <w:sz w:val="20"/>
          <w:szCs w:val="20"/>
          <w:lang w:val="es-ES_tradnl"/>
        </w:rPr>
        <w:br/>
      </w:r>
      <w:r w:rsidR="00CB7833" w:rsidRPr="000B33B9">
        <w:rPr>
          <w:rFonts w:ascii="Verdana" w:eastAsia="Times New Roman" w:hAnsi="Verdana" w:cs="Times New Roman"/>
          <w:b/>
          <w:bCs/>
          <w:caps/>
          <w:snapToGrid w:val="0"/>
          <w:sz w:val="20"/>
          <w:szCs w:val="20"/>
          <w:lang w:val="es-ES_tradnl"/>
        </w:rPr>
        <w:t>ConsideraciÓN previa</w:t>
      </w:r>
      <w:bookmarkEnd w:id="26"/>
    </w:p>
    <w:p w14:paraId="0DE643A9" w14:textId="77777777" w:rsidR="003A17A6" w:rsidRPr="000B33B9" w:rsidRDefault="003A17A6" w:rsidP="00196D41">
      <w:pPr>
        <w:pStyle w:val="Prrafodelista"/>
        <w:spacing w:after="0" w:line="240" w:lineRule="auto"/>
        <w:ind w:left="0" w:right="49"/>
        <w:jc w:val="both"/>
        <w:rPr>
          <w:rFonts w:ascii="Verdana" w:hAnsi="Verdana"/>
          <w:sz w:val="20"/>
          <w:szCs w:val="20"/>
        </w:rPr>
      </w:pPr>
    </w:p>
    <w:p w14:paraId="398845B8" w14:textId="77777777" w:rsidR="003A17A6" w:rsidRPr="000B33B9" w:rsidRDefault="003A17A6" w:rsidP="007B74B8">
      <w:pPr>
        <w:pStyle w:val="Ttulo2"/>
        <w:keepNext w:val="0"/>
        <w:keepLines w:val="0"/>
        <w:widowControl/>
        <w:numPr>
          <w:ilvl w:val="0"/>
          <w:numId w:val="18"/>
        </w:numPr>
        <w:adjustRightInd/>
        <w:contextualSpacing/>
        <w:jc w:val="left"/>
        <w:textAlignment w:val="auto"/>
        <w:rPr>
          <w:rFonts w:eastAsia="Times New Roman"/>
        </w:rPr>
      </w:pPr>
      <w:bookmarkStart w:id="27" w:name="_Toc27329751"/>
      <w:r w:rsidRPr="000B33B9">
        <w:t>Determinación de víctimas</w:t>
      </w:r>
      <w:bookmarkEnd w:id="27"/>
      <w:r w:rsidRPr="000B33B9">
        <w:t xml:space="preserve"> </w:t>
      </w:r>
    </w:p>
    <w:p w14:paraId="3BE781A8" w14:textId="77777777" w:rsidR="003A17A6" w:rsidRPr="000B33B9" w:rsidRDefault="003A17A6" w:rsidP="003A17A6">
      <w:pPr>
        <w:spacing w:after="0" w:line="240" w:lineRule="auto"/>
        <w:jc w:val="both"/>
        <w:rPr>
          <w:rFonts w:ascii="Verdana" w:hAnsi="Verdana"/>
          <w:sz w:val="20"/>
          <w:szCs w:val="20"/>
          <w:lang w:val="es-CR"/>
        </w:rPr>
      </w:pPr>
    </w:p>
    <w:p w14:paraId="3B65CD64" w14:textId="41827FF5" w:rsidR="003A17A6" w:rsidRPr="000B33B9" w:rsidRDefault="003A17A6" w:rsidP="003A17A6">
      <w:pPr>
        <w:pStyle w:val="Ttulo3"/>
      </w:pPr>
      <w:bookmarkStart w:id="28" w:name="_Toc27329752"/>
      <w:r w:rsidRPr="000B33B9">
        <w:t>Alegatos del Estado y observaciones de la Comisión y de los representantes</w:t>
      </w:r>
      <w:bookmarkEnd w:id="28"/>
    </w:p>
    <w:p w14:paraId="4B855A7B" w14:textId="77777777" w:rsidR="003A17A6" w:rsidRPr="000B33B9" w:rsidRDefault="003A17A6" w:rsidP="003A17A6">
      <w:pPr>
        <w:spacing w:after="0" w:line="240" w:lineRule="auto"/>
        <w:jc w:val="both"/>
        <w:rPr>
          <w:rFonts w:ascii="Verdana" w:hAnsi="Verdana"/>
          <w:sz w:val="20"/>
          <w:szCs w:val="20"/>
        </w:rPr>
      </w:pPr>
    </w:p>
    <w:p w14:paraId="55ED02C4" w14:textId="658BBA70" w:rsidR="003A17A6" w:rsidRPr="000B33B9" w:rsidRDefault="003A17A6"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El </w:t>
      </w:r>
      <w:r w:rsidRPr="000B33B9">
        <w:rPr>
          <w:rFonts w:ascii="Verdana" w:hAnsi="Verdana"/>
          <w:b/>
          <w:i/>
          <w:sz w:val="20"/>
          <w:szCs w:val="20"/>
        </w:rPr>
        <w:t>Estado</w:t>
      </w:r>
      <w:r w:rsidRPr="000B33B9">
        <w:rPr>
          <w:rFonts w:ascii="Verdana" w:hAnsi="Verdana"/>
          <w:sz w:val="20"/>
          <w:szCs w:val="20"/>
        </w:rPr>
        <w:t xml:space="preserve"> alegó que las presuntas víctimas del caso deben ser aquellas que resultaron beneficiadas con la Sentencia de la Corte Suprema de fecha 25 de octubre de 1993, en la cual se estableció a quienes resultaba de aplicación dicha decisión. El Estado precisó que en el año 2005 se determinó definitivamente el listado de beneficiarios de las decisiones emitidas en sede int</w:t>
      </w:r>
      <w:r w:rsidR="00935FF1" w:rsidRPr="000B33B9">
        <w:rPr>
          <w:rFonts w:ascii="Verdana" w:hAnsi="Verdana"/>
          <w:sz w:val="20"/>
          <w:szCs w:val="20"/>
        </w:rPr>
        <w:t xml:space="preserve">erna, pues en la resolución de </w:t>
      </w:r>
      <w:r w:rsidRPr="000B33B9">
        <w:rPr>
          <w:rFonts w:ascii="Verdana" w:hAnsi="Verdana"/>
          <w:sz w:val="20"/>
          <w:szCs w:val="20"/>
        </w:rPr>
        <w:t>3 de junio de 2005 se estableció que “solo deben considerarse como demandantes a quienes fueron asociados el tiempo en que se entabló el proceso, esto es, el 30 de diciembre de 1991”. Esta determinación difiere sustancialmente de aquella realizada por la Comisión en su Informe de Fondo. El Estado consideró que resulta inconsistente que tanto la CIDH como la ANCEJUB pretendan que sean consideradas como presuntas víctimas personas adicionales a la resolución de 3 de junio de 2005. Finalmente, el Estado manifestó que el párrafo 98 del Informe de Fondo no debe ser interpretado de forma tal que constituya una vía para ampliar la cantidad de víctimas del presente caso.</w:t>
      </w:r>
    </w:p>
    <w:p w14:paraId="008FEA21" w14:textId="77777777" w:rsidR="003A17A6" w:rsidRPr="000B33B9" w:rsidRDefault="003A17A6" w:rsidP="003A17A6">
      <w:pPr>
        <w:pStyle w:val="Prrafodelista"/>
        <w:spacing w:after="0" w:line="240" w:lineRule="auto"/>
        <w:ind w:left="0"/>
        <w:jc w:val="both"/>
        <w:rPr>
          <w:rFonts w:ascii="Verdana" w:hAnsi="Verdana"/>
          <w:sz w:val="20"/>
          <w:szCs w:val="20"/>
        </w:rPr>
      </w:pPr>
    </w:p>
    <w:p w14:paraId="2C15AE0F" w14:textId="607D0646" w:rsidR="003A17A6" w:rsidRPr="000B33B9" w:rsidRDefault="003A17A6"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Los </w:t>
      </w:r>
      <w:r w:rsidRPr="000B33B9">
        <w:rPr>
          <w:rFonts w:ascii="Verdana" w:hAnsi="Verdana"/>
          <w:b/>
          <w:i/>
          <w:sz w:val="20"/>
          <w:szCs w:val="20"/>
        </w:rPr>
        <w:t xml:space="preserve">representantes </w:t>
      </w:r>
      <w:r w:rsidRPr="000B33B9">
        <w:rPr>
          <w:rFonts w:ascii="Verdana" w:hAnsi="Verdana"/>
          <w:sz w:val="20"/>
          <w:szCs w:val="20"/>
        </w:rPr>
        <w:t xml:space="preserve">manifestaron que “no puede caber duda que los beneficiarios de la Sentencia de la Corte Suprema no pueden ser otros ni menos que todos los miembros de la asociación a quienes se aplicó arbitrariamente la Tercera Disposición Transitoria del Decreto </w:t>
      </w:r>
      <w:r w:rsidR="00935FF1" w:rsidRPr="000B33B9">
        <w:rPr>
          <w:rFonts w:ascii="Verdana" w:hAnsi="Verdana"/>
          <w:sz w:val="20"/>
          <w:szCs w:val="20"/>
        </w:rPr>
        <w:t xml:space="preserve">Legislativo </w:t>
      </w:r>
      <w:r w:rsidRPr="000B33B9">
        <w:rPr>
          <w:rFonts w:ascii="Verdana" w:hAnsi="Verdana"/>
          <w:sz w:val="20"/>
          <w:szCs w:val="20"/>
        </w:rPr>
        <w:t>673, y que han sido debidamente acreditados razonablemente por la Comisión en el número de 703 víctimas”. Adicionalmente, manifestaron que el número y relació</w:t>
      </w:r>
      <w:r w:rsidR="00935FF1" w:rsidRPr="000B33B9">
        <w:rPr>
          <w:rFonts w:ascii="Verdana" w:hAnsi="Verdana"/>
          <w:sz w:val="20"/>
          <w:szCs w:val="20"/>
        </w:rPr>
        <w:t xml:space="preserve">n fijados por la resolución </w:t>
      </w:r>
      <w:r w:rsidRPr="000B33B9">
        <w:rPr>
          <w:rFonts w:ascii="Verdana" w:hAnsi="Verdana"/>
          <w:sz w:val="20"/>
          <w:szCs w:val="20"/>
        </w:rPr>
        <w:t>80 del 3 de marzo de 2006 y la resolución de 3 de junio de 2005 “concluyeron en forma indebida y sin justificación objetiva a un número significativo de víctimas al pretender reducir su número a 566, a pesar del número mayor de los afiliados o asociados de la asociación a la fecha de interposición de la demanda”. Finalmente, manifestó que aun cuando las víctimas del presente caso son 704, la Comisión no incluyó 138 faltantes que deberán ser contempladas por el órgano independiente e imparcial que se con</w:t>
      </w:r>
      <w:r w:rsidR="00935FF1" w:rsidRPr="000B33B9">
        <w:rPr>
          <w:rFonts w:ascii="Verdana" w:hAnsi="Verdana"/>
          <w:sz w:val="20"/>
          <w:szCs w:val="20"/>
        </w:rPr>
        <w:t>stituya con motivo de este caso</w:t>
      </w:r>
      <w:r w:rsidRPr="000B33B9">
        <w:rPr>
          <w:rFonts w:ascii="Verdana" w:hAnsi="Verdana"/>
          <w:sz w:val="20"/>
          <w:szCs w:val="20"/>
        </w:rPr>
        <w:t>.</w:t>
      </w:r>
    </w:p>
    <w:p w14:paraId="56C34686" w14:textId="77777777" w:rsidR="003A17A6" w:rsidRPr="000B33B9" w:rsidRDefault="003A17A6" w:rsidP="003A17A6">
      <w:pPr>
        <w:pStyle w:val="Prrafodelista"/>
        <w:spacing w:after="0" w:line="240" w:lineRule="auto"/>
        <w:ind w:left="0"/>
        <w:jc w:val="both"/>
        <w:rPr>
          <w:rFonts w:ascii="Verdana" w:hAnsi="Verdana"/>
          <w:sz w:val="20"/>
          <w:szCs w:val="20"/>
        </w:rPr>
      </w:pPr>
    </w:p>
    <w:p w14:paraId="1C755631" w14:textId="2B96AB39" w:rsidR="003A17A6" w:rsidRPr="000B33B9" w:rsidRDefault="003A17A6"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La </w:t>
      </w:r>
      <w:r w:rsidRPr="000B33B9">
        <w:rPr>
          <w:rFonts w:ascii="Verdana" w:hAnsi="Verdana"/>
          <w:b/>
          <w:i/>
          <w:sz w:val="20"/>
          <w:szCs w:val="20"/>
        </w:rPr>
        <w:t xml:space="preserve">Comisión </w:t>
      </w:r>
      <w:r w:rsidRPr="000B33B9">
        <w:rPr>
          <w:rFonts w:ascii="Verdana" w:hAnsi="Verdana"/>
          <w:sz w:val="20"/>
          <w:szCs w:val="20"/>
        </w:rPr>
        <w:t xml:space="preserve">reiteró que desde la petición inicial se indicó como presuntas víctimas a 703 personas, sin perjuicio de los debates que en el proceso interno de ejecución de sentencias se han dado sobre la cantidad de personas beneficiarias. La Comisión </w:t>
      </w:r>
      <w:r w:rsidR="00935FF1" w:rsidRPr="000B33B9">
        <w:rPr>
          <w:rFonts w:ascii="Verdana" w:hAnsi="Verdana"/>
          <w:sz w:val="20"/>
          <w:szCs w:val="20"/>
        </w:rPr>
        <w:t>declaró</w:t>
      </w:r>
      <w:r w:rsidRPr="000B33B9">
        <w:rPr>
          <w:rFonts w:ascii="Verdana" w:hAnsi="Verdana"/>
          <w:sz w:val="20"/>
          <w:szCs w:val="20"/>
        </w:rPr>
        <w:t xml:space="preserve"> en su Informe de Fondo las violaciones correspondientes en perjuicio de las 703 personas, cumpliendo así con lo dispuesto en las normas reglamentarias de la Corte. En razón de lo anterior, y de que el alegato del Estado no tiene naturaleza preliminar, alegó que debe ser declarado improcedente. Finalmente, la Comisión expresó que debido a un error al momento de consignar el número de presuntas víctimas en el Informe de Fondo se omitió el conteo de una víctima, por lo q</w:t>
      </w:r>
      <w:r w:rsidR="00935FF1" w:rsidRPr="000B33B9">
        <w:rPr>
          <w:rFonts w:ascii="Verdana" w:hAnsi="Verdana"/>
          <w:sz w:val="20"/>
          <w:szCs w:val="20"/>
        </w:rPr>
        <w:t>ue deberán ser consideradas 704</w:t>
      </w:r>
      <w:r w:rsidRPr="000B33B9">
        <w:rPr>
          <w:rFonts w:ascii="Verdana" w:hAnsi="Verdana"/>
          <w:sz w:val="20"/>
          <w:szCs w:val="20"/>
        </w:rPr>
        <w:t>.</w:t>
      </w:r>
    </w:p>
    <w:p w14:paraId="5C7846F4" w14:textId="77777777" w:rsidR="003A17A6" w:rsidRPr="000B33B9" w:rsidRDefault="003A17A6" w:rsidP="003A17A6">
      <w:pPr>
        <w:pStyle w:val="Prrafodelista"/>
        <w:spacing w:after="0" w:line="240" w:lineRule="auto"/>
        <w:ind w:left="0"/>
        <w:jc w:val="both"/>
        <w:rPr>
          <w:rFonts w:ascii="Verdana" w:hAnsi="Verdana"/>
          <w:sz w:val="20"/>
          <w:szCs w:val="20"/>
        </w:rPr>
      </w:pPr>
    </w:p>
    <w:p w14:paraId="0D46DE7A" w14:textId="1AA0C5F7" w:rsidR="003A17A6" w:rsidRPr="000B33B9" w:rsidRDefault="003A17A6" w:rsidP="003A17A6">
      <w:pPr>
        <w:pStyle w:val="Ttulo3"/>
      </w:pPr>
      <w:bookmarkStart w:id="29" w:name="_Toc27329753"/>
      <w:r w:rsidRPr="000B33B9">
        <w:t>Consideraciones de la Corte</w:t>
      </w:r>
      <w:bookmarkEnd w:id="29"/>
    </w:p>
    <w:p w14:paraId="72D1AE02" w14:textId="77777777" w:rsidR="003A17A6" w:rsidRPr="000B33B9" w:rsidRDefault="003A17A6" w:rsidP="003A17A6">
      <w:pPr>
        <w:pStyle w:val="Prrafodelista"/>
        <w:spacing w:after="0" w:line="240" w:lineRule="auto"/>
        <w:ind w:left="0"/>
        <w:jc w:val="both"/>
        <w:rPr>
          <w:rFonts w:ascii="Verdana" w:hAnsi="Verdana"/>
          <w:sz w:val="20"/>
          <w:szCs w:val="20"/>
        </w:rPr>
      </w:pPr>
    </w:p>
    <w:p w14:paraId="685B95EE" w14:textId="27A71770" w:rsidR="00415BB4" w:rsidRPr="000B33B9" w:rsidRDefault="003A17A6"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En lo que respecta a la solicitud de la Comisión de modificar el número de presuntas víctimas como resultado de un error, la Corte recuerda que la seguridad jurídica exige, como regla general, que todas las presuntas víctimas estén debidamente identificadas en el Informe de Fondo y en la demanda, no siendo posible añadir nuevas presuntas víctimas en etapas posteriores, sin que ello conlleve un perjuicio al derecho a la defensa del Estado demandado</w:t>
      </w:r>
      <w:r w:rsidRPr="000B33B9">
        <w:rPr>
          <w:rStyle w:val="Refdenotaalpie"/>
          <w:rFonts w:ascii="Verdana" w:hAnsi="Verdana"/>
          <w:sz w:val="20"/>
          <w:szCs w:val="20"/>
        </w:rPr>
        <w:footnoteReference w:id="25"/>
      </w:r>
      <w:r w:rsidRPr="000B33B9">
        <w:rPr>
          <w:rFonts w:ascii="Verdana" w:hAnsi="Verdana"/>
          <w:sz w:val="20"/>
          <w:szCs w:val="20"/>
        </w:rPr>
        <w:t>. Esta regla no es absoluta y admite excepciones, como el supuesto previsto en el artículo 35.2 del Reglamento de la Corte, o en aquellos casos donde se alegue la existencia de un error material por parte de la Comisión</w:t>
      </w:r>
      <w:r w:rsidRPr="000B33B9">
        <w:rPr>
          <w:rStyle w:val="Refdenotaalpie"/>
          <w:rFonts w:ascii="Verdana" w:hAnsi="Verdana"/>
          <w:sz w:val="20"/>
          <w:szCs w:val="20"/>
        </w:rPr>
        <w:footnoteReference w:id="26"/>
      </w:r>
      <w:r w:rsidRPr="000B33B9">
        <w:rPr>
          <w:rFonts w:ascii="Verdana" w:hAnsi="Verdana"/>
          <w:sz w:val="20"/>
          <w:szCs w:val="20"/>
        </w:rPr>
        <w:t>. En el presente caso, la Corte advierte que el número de presuntas víctimas mencionadas en el “anexo único” de la Comisión en el Informe de Fondo es de 704, no 703 como indica la numeración reflejada en dicho anexo. La Corte advierte que dos presuntas víctimas se incluyeron en el número 591 del listado, lo que modificó la numeración total de presuntas víctimas. Lo anterior constituyó un error</w:t>
      </w:r>
      <w:r w:rsidRPr="000B33B9">
        <w:rPr>
          <w:rFonts w:ascii="Verdana" w:hAnsi="Verdana"/>
          <w:b/>
          <w:sz w:val="20"/>
          <w:szCs w:val="20"/>
        </w:rPr>
        <w:t xml:space="preserve"> </w:t>
      </w:r>
      <w:r w:rsidRPr="000B33B9">
        <w:rPr>
          <w:rFonts w:ascii="Verdana" w:hAnsi="Verdana"/>
          <w:sz w:val="20"/>
          <w:szCs w:val="20"/>
        </w:rPr>
        <w:t>que no altera la identificación de las presuntas víctimas por la Comisión en su Informe de Fondo.</w:t>
      </w:r>
    </w:p>
    <w:p w14:paraId="44FB1AEF" w14:textId="77777777" w:rsidR="00415BB4" w:rsidRPr="000B33B9" w:rsidRDefault="00415BB4" w:rsidP="00415BB4">
      <w:pPr>
        <w:pStyle w:val="Prrafodelista"/>
        <w:spacing w:after="0" w:line="240" w:lineRule="auto"/>
        <w:ind w:left="0"/>
        <w:jc w:val="both"/>
        <w:rPr>
          <w:rFonts w:ascii="Verdana" w:hAnsi="Verdana"/>
          <w:sz w:val="20"/>
          <w:szCs w:val="20"/>
        </w:rPr>
      </w:pPr>
    </w:p>
    <w:p w14:paraId="6B97E2B4" w14:textId="5FC9C4B2" w:rsidR="003A17A6" w:rsidRPr="000B33B9" w:rsidRDefault="003A17A6"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En el presente caso, la Corte constata que la Comisión identificó en su Informe de Fondo a 704 personas como presuntas víctimas del caso, las cuales fueron señaladas en un “anexo único”. El Estado alegó que el número de presuntas víctimas señalado por la Comisión no corresponde con </w:t>
      </w:r>
      <w:r w:rsidR="00F33F8D" w:rsidRPr="000B33B9">
        <w:rPr>
          <w:rFonts w:ascii="Verdana" w:hAnsi="Verdana"/>
          <w:sz w:val="20"/>
          <w:szCs w:val="20"/>
        </w:rPr>
        <w:t>la cantidad de personas señalados</w:t>
      </w:r>
      <w:r w:rsidRPr="000B33B9">
        <w:rPr>
          <w:rFonts w:ascii="Verdana" w:hAnsi="Verdana"/>
          <w:sz w:val="20"/>
          <w:szCs w:val="20"/>
        </w:rPr>
        <w:t xml:space="preserve"> como beneficiarios de la sentencia de la Corte Suprema de fecha 25 de octubre de 1993, quienes deberían ser las únicas consideradas como presuntas víctimas para efectos del presente caso. Al respecto, el Tribunal advierte que</w:t>
      </w:r>
      <w:r w:rsidR="00053A3B" w:rsidRPr="000B33B9">
        <w:rPr>
          <w:rFonts w:ascii="Verdana" w:hAnsi="Verdana"/>
          <w:sz w:val="20"/>
          <w:szCs w:val="20"/>
        </w:rPr>
        <w:t>,</w:t>
      </w:r>
      <w:r w:rsidR="00415BB4" w:rsidRPr="000B33B9">
        <w:rPr>
          <w:rFonts w:ascii="Verdana" w:hAnsi="Verdana"/>
          <w:sz w:val="20"/>
          <w:szCs w:val="20"/>
        </w:rPr>
        <w:t xml:space="preserve"> de conformidad con el artículo 35.2 del Reglamento, le corresponde a la Comisión identificar con precisión las presuntas víctimas de un caso, lo que ocurrió respecto a las 704 personas contempladas en el “anexo único” del Informe de Fondo.</w:t>
      </w:r>
      <w:r w:rsidRPr="000B33B9">
        <w:rPr>
          <w:rFonts w:ascii="Verdana" w:hAnsi="Verdana"/>
          <w:sz w:val="20"/>
          <w:szCs w:val="20"/>
        </w:rPr>
        <w:t xml:space="preserve"> </w:t>
      </w:r>
      <w:r w:rsidR="00053A3B" w:rsidRPr="000B33B9">
        <w:rPr>
          <w:rFonts w:ascii="Verdana" w:hAnsi="Verdana"/>
          <w:sz w:val="20"/>
          <w:szCs w:val="20"/>
        </w:rPr>
        <w:t>L</w:t>
      </w:r>
      <w:r w:rsidRPr="000B33B9">
        <w:rPr>
          <w:rFonts w:ascii="Verdana" w:hAnsi="Verdana"/>
          <w:sz w:val="20"/>
          <w:szCs w:val="20"/>
        </w:rPr>
        <w:t xml:space="preserve">a </w:t>
      </w:r>
      <w:r w:rsidR="00053A3B" w:rsidRPr="000B33B9">
        <w:rPr>
          <w:rFonts w:ascii="Verdana" w:hAnsi="Verdana"/>
          <w:sz w:val="20"/>
          <w:szCs w:val="20"/>
        </w:rPr>
        <w:t>pregunta sobre si existen violaciones a los derechos humanos de dichas personas</w:t>
      </w:r>
      <w:r w:rsidRPr="000B33B9">
        <w:rPr>
          <w:rFonts w:ascii="Verdana" w:hAnsi="Verdana"/>
          <w:sz w:val="20"/>
          <w:szCs w:val="20"/>
        </w:rPr>
        <w:t xml:space="preserve"> </w:t>
      </w:r>
      <w:r w:rsidR="00053A3B" w:rsidRPr="000B33B9">
        <w:rPr>
          <w:rFonts w:ascii="Verdana" w:hAnsi="Verdana"/>
          <w:sz w:val="20"/>
          <w:szCs w:val="20"/>
        </w:rPr>
        <w:t>es</w:t>
      </w:r>
      <w:r w:rsidRPr="000B33B9">
        <w:rPr>
          <w:rFonts w:ascii="Verdana" w:hAnsi="Verdana"/>
          <w:sz w:val="20"/>
          <w:szCs w:val="20"/>
        </w:rPr>
        <w:t xml:space="preserve"> una cuestión que debe ser analizada en el fondo de la controversia. </w:t>
      </w:r>
      <w:r w:rsidR="00F67EE3" w:rsidRPr="000B33B9">
        <w:rPr>
          <w:rFonts w:ascii="Verdana" w:hAnsi="Verdana"/>
          <w:sz w:val="20"/>
          <w:szCs w:val="20"/>
        </w:rPr>
        <w:t>Por consiguiente,</w:t>
      </w:r>
      <w:r w:rsidRPr="000B33B9">
        <w:rPr>
          <w:rFonts w:ascii="Verdana" w:hAnsi="Verdana"/>
          <w:sz w:val="20"/>
          <w:szCs w:val="20"/>
        </w:rPr>
        <w:t xml:space="preserve"> la Corte considera que los referidos alegatos del Estado deben ser analizados en el fondo de la controversia.</w:t>
      </w:r>
    </w:p>
    <w:p w14:paraId="3CE115EB" w14:textId="24018477" w:rsidR="003A17A6" w:rsidRPr="000B33B9" w:rsidRDefault="003A17A6" w:rsidP="00053A3B">
      <w:pPr>
        <w:pStyle w:val="Prrafodelista"/>
        <w:spacing w:after="0" w:line="240" w:lineRule="auto"/>
        <w:ind w:left="0"/>
        <w:jc w:val="both"/>
        <w:rPr>
          <w:rFonts w:ascii="Verdana" w:hAnsi="Verdana"/>
          <w:sz w:val="20"/>
          <w:szCs w:val="20"/>
        </w:rPr>
      </w:pPr>
    </w:p>
    <w:p w14:paraId="5D3BC57E" w14:textId="2E8D1639" w:rsidR="003A17A6" w:rsidRPr="000B33B9" w:rsidRDefault="003A17A6" w:rsidP="007B74B8">
      <w:pPr>
        <w:pStyle w:val="Prrafodelista"/>
        <w:numPr>
          <w:ilvl w:val="0"/>
          <w:numId w:val="10"/>
        </w:numPr>
        <w:spacing w:after="0" w:line="240" w:lineRule="auto"/>
        <w:ind w:left="0" w:firstLine="0"/>
        <w:jc w:val="both"/>
        <w:rPr>
          <w:rFonts w:ascii="Verdana" w:eastAsia="MS Mincho" w:hAnsi="Verdana"/>
          <w:sz w:val="20"/>
          <w:szCs w:val="20"/>
        </w:rPr>
      </w:pPr>
      <w:r w:rsidRPr="000B33B9">
        <w:rPr>
          <w:rFonts w:ascii="Verdana" w:hAnsi="Verdana"/>
          <w:sz w:val="20"/>
          <w:szCs w:val="20"/>
        </w:rPr>
        <w:t>En consecuencia, la Corte admite la solicitud de la Comisión respecto a la modificación del número de víctimas como resultado de un error, y rechaza la solicitud del Estado de recalificar las presuntas víctimas identificadas por la Comisión en su Informe de Fondo.</w:t>
      </w:r>
    </w:p>
    <w:p w14:paraId="2A75DD1D" w14:textId="77777777" w:rsidR="002B648D" w:rsidRPr="000B33B9" w:rsidRDefault="002B648D" w:rsidP="00C962FE">
      <w:pPr>
        <w:keepNext/>
        <w:keepLines/>
        <w:tabs>
          <w:tab w:val="left" w:pos="851"/>
        </w:tabs>
        <w:spacing w:after="0" w:line="240" w:lineRule="auto"/>
        <w:jc w:val="center"/>
        <w:outlineLvl w:val="0"/>
        <w:rPr>
          <w:rFonts w:ascii="Verdana" w:eastAsia="Times New Roman" w:hAnsi="Verdana" w:cs="Times New Roman"/>
          <w:b/>
          <w:bCs/>
          <w:caps/>
          <w:snapToGrid w:val="0"/>
          <w:sz w:val="20"/>
          <w:szCs w:val="20"/>
        </w:rPr>
      </w:pPr>
    </w:p>
    <w:p w14:paraId="09223EC8" w14:textId="608EABAA" w:rsidR="008549CC" w:rsidRPr="000B33B9" w:rsidRDefault="008549CC" w:rsidP="001335CC">
      <w:pPr>
        <w:pStyle w:val="Ttulo1"/>
        <w:rPr>
          <w:rFonts w:eastAsia="Times New Roman" w:cs="Verdana"/>
          <w:b w:val="0"/>
          <w:bCs/>
          <w:caps/>
          <w:snapToGrid w:val="0"/>
          <w:lang w:val="es-ES_tradnl"/>
        </w:rPr>
      </w:pPr>
      <w:bookmarkStart w:id="30" w:name="_Toc375517114"/>
      <w:bookmarkStart w:id="31" w:name="_Toc459158102"/>
      <w:bookmarkStart w:id="32" w:name="_Toc470180046"/>
      <w:bookmarkStart w:id="33" w:name="_Toc514172609"/>
      <w:bookmarkStart w:id="34" w:name="_Toc526774142"/>
      <w:bookmarkStart w:id="35" w:name="_Toc526777474"/>
      <w:bookmarkStart w:id="36" w:name="_Toc526783753"/>
      <w:bookmarkStart w:id="37" w:name="_Toc529192672"/>
      <w:bookmarkStart w:id="38" w:name="_Toc7020777"/>
      <w:bookmarkStart w:id="39" w:name="_Toc27329754"/>
      <w:r w:rsidRPr="000B33B9">
        <w:rPr>
          <w:rFonts w:eastAsia="Times New Roman" w:cs="Verdana"/>
          <w:bCs/>
          <w:caps/>
          <w:snapToGrid w:val="0"/>
          <w:lang w:val="es-ES_tradnl"/>
        </w:rPr>
        <w:t>V</w:t>
      </w:r>
      <w:r w:rsidR="003A17A6" w:rsidRPr="000B33B9">
        <w:rPr>
          <w:rFonts w:eastAsia="Times New Roman" w:cs="Verdana"/>
          <w:bCs/>
          <w:caps/>
          <w:snapToGrid w:val="0"/>
          <w:lang w:val="es-ES_tradnl"/>
        </w:rPr>
        <w:t>I</w:t>
      </w:r>
      <w:r w:rsidRPr="000B33B9">
        <w:rPr>
          <w:rFonts w:eastAsia="Times New Roman" w:cs="Verdana"/>
          <w:bCs/>
          <w:caps/>
          <w:snapToGrid w:val="0"/>
          <w:lang w:val="es-ES_tradnl"/>
        </w:rPr>
        <w:br/>
        <w:t>PRUEBA</w:t>
      </w:r>
      <w:bookmarkEnd w:id="30"/>
      <w:bookmarkEnd w:id="31"/>
      <w:bookmarkEnd w:id="32"/>
      <w:bookmarkEnd w:id="33"/>
      <w:bookmarkEnd w:id="34"/>
      <w:bookmarkEnd w:id="35"/>
      <w:bookmarkEnd w:id="36"/>
      <w:bookmarkEnd w:id="37"/>
      <w:bookmarkEnd w:id="38"/>
      <w:bookmarkEnd w:id="39"/>
    </w:p>
    <w:p w14:paraId="01CF422C" w14:textId="77777777" w:rsidR="008549CC" w:rsidRPr="000B33B9" w:rsidRDefault="008549CC" w:rsidP="00C962FE">
      <w:pPr>
        <w:keepNext/>
        <w:keepLines/>
        <w:tabs>
          <w:tab w:val="left" w:pos="851"/>
        </w:tabs>
        <w:spacing w:after="0" w:line="240" w:lineRule="auto"/>
        <w:jc w:val="both"/>
        <w:outlineLvl w:val="0"/>
        <w:rPr>
          <w:rFonts w:ascii="Verdana" w:eastAsia="Times New Roman" w:hAnsi="Verdana" w:cs="Times New Roman"/>
          <w:b/>
          <w:bCs/>
          <w:caps/>
          <w:snapToGrid w:val="0"/>
          <w:sz w:val="20"/>
          <w:szCs w:val="20"/>
        </w:rPr>
      </w:pPr>
    </w:p>
    <w:p w14:paraId="072A385A" w14:textId="77777777" w:rsidR="00500A60" w:rsidRPr="000B33B9" w:rsidRDefault="00500A60" w:rsidP="007B74B8">
      <w:pPr>
        <w:pStyle w:val="Ttulo2"/>
        <w:numPr>
          <w:ilvl w:val="0"/>
          <w:numId w:val="14"/>
        </w:numPr>
      </w:pPr>
      <w:bookmarkStart w:id="40" w:name="_Toc9511440"/>
      <w:bookmarkStart w:id="41" w:name="_Toc4402948"/>
      <w:bookmarkStart w:id="42" w:name="_Toc4402709"/>
      <w:bookmarkStart w:id="43" w:name="_Toc27329755"/>
      <w:r w:rsidRPr="000B33B9">
        <w:t>Admisibilidad de la prueba documental</w:t>
      </w:r>
      <w:bookmarkEnd w:id="40"/>
      <w:bookmarkEnd w:id="41"/>
      <w:bookmarkEnd w:id="42"/>
      <w:bookmarkEnd w:id="43"/>
    </w:p>
    <w:p w14:paraId="79C0882C" w14:textId="77777777" w:rsidR="00500A60" w:rsidRPr="000B33B9" w:rsidRDefault="00500A60" w:rsidP="00C962FE">
      <w:pPr>
        <w:pStyle w:val="PrrafodeSentencia"/>
        <w:contextualSpacing/>
        <w:rPr>
          <w:spacing w:val="0"/>
          <w:szCs w:val="20"/>
          <w:lang w:val="es-CR"/>
        </w:rPr>
      </w:pPr>
    </w:p>
    <w:p w14:paraId="31885D50" w14:textId="37A7FFB7" w:rsidR="005407F0" w:rsidRPr="000B33B9" w:rsidRDefault="00500A60"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hAnsi="Verdana"/>
          <w:sz w:val="20"/>
          <w:szCs w:val="20"/>
          <w:lang w:val="es-CR" w:eastAsia="es-MX"/>
        </w:rPr>
      </w:pPr>
      <w:r w:rsidRPr="000B33B9">
        <w:rPr>
          <w:rFonts w:ascii="Verdana" w:hAnsi="Verdana"/>
          <w:sz w:val="20"/>
          <w:szCs w:val="20"/>
          <w:lang w:val="es-CR"/>
        </w:rPr>
        <w:t xml:space="preserve">El Tribunal </w:t>
      </w:r>
      <w:r w:rsidR="002632B5" w:rsidRPr="000B33B9">
        <w:rPr>
          <w:rFonts w:ascii="Verdana" w:hAnsi="Verdana"/>
          <w:sz w:val="20"/>
          <w:szCs w:val="20"/>
        </w:rPr>
        <w:t xml:space="preserve">recibió diversos documentos presentados como prueba por la Comisión, </w:t>
      </w:r>
      <w:r w:rsidR="0088656D" w:rsidRPr="000B33B9">
        <w:rPr>
          <w:rFonts w:ascii="Verdana" w:hAnsi="Verdana"/>
          <w:sz w:val="20"/>
          <w:szCs w:val="20"/>
        </w:rPr>
        <w:t xml:space="preserve">los </w:t>
      </w:r>
      <w:r w:rsidR="002632B5" w:rsidRPr="000B33B9">
        <w:rPr>
          <w:rFonts w:ascii="Verdana" w:hAnsi="Verdana"/>
          <w:sz w:val="20"/>
          <w:szCs w:val="20"/>
        </w:rPr>
        <w:t>representante</w:t>
      </w:r>
      <w:r w:rsidR="0088656D" w:rsidRPr="000B33B9">
        <w:rPr>
          <w:rFonts w:ascii="Verdana" w:hAnsi="Verdana"/>
          <w:sz w:val="20"/>
          <w:szCs w:val="20"/>
        </w:rPr>
        <w:t>s</w:t>
      </w:r>
      <w:r w:rsidR="002632B5" w:rsidRPr="000B33B9">
        <w:rPr>
          <w:rFonts w:ascii="Verdana" w:hAnsi="Verdana"/>
          <w:sz w:val="20"/>
          <w:szCs w:val="20"/>
        </w:rPr>
        <w:t xml:space="preserve"> y el Estado, adjuntos a sus escritos principales. En el presente caso, como en otros</w:t>
      </w:r>
      <w:r w:rsidR="002632B5" w:rsidRPr="000B33B9">
        <w:rPr>
          <w:rStyle w:val="Refdenotaalpie"/>
          <w:rFonts w:ascii="Verdana" w:hAnsi="Verdana"/>
          <w:sz w:val="20"/>
          <w:szCs w:val="20"/>
        </w:rPr>
        <w:footnoteReference w:id="27"/>
      </w:r>
      <w:r w:rsidR="002632B5" w:rsidRPr="000B33B9">
        <w:rPr>
          <w:rFonts w:ascii="Verdana" w:hAnsi="Verdana"/>
          <w:sz w:val="20"/>
          <w:szCs w:val="20"/>
        </w:rPr>
        <w:t xml:space="preserve">, el Tribunal admite el valor probatorio de aquellos documentos presentados por las partes y por la Comisión en la debida oportunidad procesal, que no fueron controvertidos ni objetados, y cuya autenticidad no fue puesta en duda. </w:t>
      </w:r>
    </w:p>
    <w:p w14:paraId="4880CE6F" w14:textId="77777777" w:rsidR="00E97455" w:rsidRPr="000B33B9" w:rsidRDefault="00E97455" w:rsidP="00E97455">
      <w:pPr>
        <w:widowControl w:val="0"/>
        <w:tabs>
          <w:tab w:val="left" w:pos="567"/>
        </w:tabs>
        <w:adjustRightInd w:val="0"/>
        <w:spacing w:after="0" w:line="240" w:lineRule="auto"/>
        <w:jc w:val="both"/>
        <w:textAlignment w:val="baseline"/>
        <w:rPr>
          <w:rFonts w:ascii="Verdana" w:hAnsi="Verdana"/>
          <w:sz w:val="20"/>
          <w:szCs w:val="20"/>
          <w:lang w:val="es-CR" w:eastAsia="es-MX"/>
        </w:rPr>
      </w:pPr>
    </w:p>
    <w:p w14:paraId="65FC39C7" w14:textId="2BE61194" w:rsidR="00140F0F" w:rsidRPr="000B33B9" w:rsidRDefault="00E97455"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0B33B9">
        <w:rPr>
          <w:rFonts w:ascii="Verdana" w:hAnsi="Verdana"/>
          <w:sz w:val="20"/>
          <w:szCs w:val="20"/>
        </w:rPr>
        <w:t xml:space="preserve">El </w:t>
      </w:r>
      <w:r w:rsidR="00FC6F25" w:rsidRPr="000B33B9">
        <w:rPr>
          <w:rFonts w:ascii="Verdana" w:hAnsi="Verdana"/>
          <w:sz w:val="20"/>
          <w:szCs w:val="20"/>
        </w:rPr>
        <w:t xml:space="preserve">16 de agosto de 2019 los representantes de las presuntas víctimas presentaron </w:t>
      </w:r>
      <w:r w:rsidR="00D37269" w:rsidRPr="000B33B9">
        <w:rPr>
          <w:rFonts w:ascii="Verdana" w:hAnsi="Verdana"/>
          <w:sz w:val="20"/>
          <w:szCs w:val="20"/>
        </w:rPr>
        <w:t xml:space="preserve">documentación en calidad de “prueba nueva”. El Estado alegó que esta prueba sería </w:t>
      </w:r>
      <w:r w:rsidR="00614120" w:rsidRPr="000B33B9">
        <w:rPr>
          <w:rFonts w:ascii="Verdana" w:hAnsi="Verdana"/>
          <w:sz w:val="20"/>
          <w:szCs w:val="20"/>
        </w:rPr>
        <w:t xml:space="preserve">extemporánea y no </w:t>
      </w:r>
      <w:r w:rsidR="0088656D" w:rsidRPr="000B33B9">
        <w:rPr>
          <w:rFonts w:ascii="Verdana" w:hAnsi="Verdana"/>
          <w:sz w:val="20"/>
          <w:szCs w:val="20"/>
        </w:rPr>
        <w:t xml:space="preserve">se </w:t>
      </w:r>
      <w:r w:rsidR="00614120" w:rsidRPr="000B33B9">
        <w:rPr>
          <w:rFonts w:ascii="Verdana" w:hAnsi="Verdana"/>
          <w:sz w:val="20"/>
          <w:szCs w:val="20"/>
        </w:rPr>
        <w:t>refiere a los hechos que son materia de controversia en el presente caso</w:t>
      </w:r>
      <w:r w:rsidR="00C219AA" w:rsidRPr="000B33B9">
        <w:rPr>
          <w:rFonts w:ascii="Verdana" w:hAnsi="Verdana"/>
          <w:sz w:val="20"/>
          <w:szCs w:val="20"/>
        </w:rPr>
        <w:t>.</w:t>
      </w:r>
      <w:r w:rsidR="006A5CC2" w:rsidRPr="000B33B9">
        <w:rPr>
          <w:rFonts w:ascii="Verdana" w:hAnsi="Verdana"/>
          <w:sz w:val="20"/>
          <w:szCs w:val="20"/>
        </w:rPr>
        <w:t xml:space="preserve"> En virtud de ello, solicitó a la Corte rechazar dicha prueba</w:t>
      </w:r>
      <w:r w:rsidR="00313EE5" w:rsidRPr="000B33B9">
        <w:rPr>
          <w:rFonts w:ascii="Verdana" w:hAnsi="Verdana"/>
          <w:b/>
          <w:sz w:val="20"/>
          <w:szCs w:val="20"/>
        </w:rPr>
        <w:t>.</w:t>
      </w:r>
      <w:r w:rsidR="00313EE5" w:rsidRPr="000B33B9">
        <w:rPr>
          <w:rFonts w:ascii="Verdana" w:hAnsi="Verdana"/>
          <w:sz w:val="20"/>
          <w:szCs w:val="20"/>
        </w:rPr>
        <w:t xml:space="preserve"> </w:t>
      </w:r>
      <w:r w:rsidR="00140F0F" w:rsidRPr="000B33B9">
        <w:rPr>
          <w:rFonts w:ascii="Verdana" w:hAnsi="Verdana"/>
          <w:sz w:val="20"/>
          <w:szCs w:val="20"/>
        </w:rPr>
        <w:t xml:space="preserve">Al respecto, </w:t>
      </w:r>
      <w:r w:rsidR="009726DC" w:rsidRPr="000B33B9">
        <w:rPr>
          <w:rFonts w:ascii="Verdana" w:hAnsi="Verdana"/>
          <w:sz w:val="20"/>
          <w:szCs w:val="20"/>
        </w:rPr>
        <w:t>l</w:t>
      </w:r>
      <w:r w:rsidR="00140F0F" w:rsidRPr="000B33B9">
        <w:rPr>
          <w:rFonts w:ascii="Verdana" w:hAnsi="Verdana"/>
          <w:sz w:val="20"/>
          <w:szCs w:val="20"/>
        </w:rPr>
        <w:t>a Corte recuerda</w:t>
      </w:r>
      <w:r w:rsidR="00F36E51" w:rsidRPr="000B33B9">
        <w:rPr>
          <w:rFonts w:ascii="Verdana" w:hAnsi="Verdana"/>
          <w:sz w:val="20"/>
          <w:szCs w:val="20"/>
        </w:rPr>
        <w:t xml:space="preserve"> que la prueba relacionada con hechos supervinientes puede ser </w:t>
      </w:r>
      <w:r w:rsidR="0088656D" w:rsidRPr="000B33B9">
        <w:rPr>
          <w:rFonts w:ascii="Verdana" w:hAnsi="Verdana"/>
          <w:sz w:val="20"/>
          <w:szCs w:val="20"/>
        </w:rPr>
        <w:t>presentada</w:t>
      </w:r>
      <w:r w:rsidR="00F36E51" w:rsidRPr="000B33B9">
        <w:rPr>
          <w:rFonts w:ascii="Verdana" w:hAnsi="Verdana"/>
          <w:sz w:val="20"/>
          <w:szCs w:val="20"/>
        </w:rPr>
        <w:t xml:space="preserve"> al </w:t>
      </w:r>
      <w:r w:rsidR="00140F0F" w:rsidRPr="000B33B9">
        <w:rPr>
          <w:rFonts w:ascii="Verdana" w:hAnsi="Verdana"/>
          <w:sz w:val="20"/>
          <w:szCs w:val="20"/>
        </w:rPr>
        <w:t>Tribunal por las partes en cualquier estado del proceso, antes de la sentencia, esto no quiere decir que cualquier situación o acontecimiento constituya un hecho superviniente para los efectos del proceso</w:t>
      </w:r>
      <w:r w:rsidR="00F36E51" w:rsidRPr="000B33B9">
        <w:rPr>
          <w:rFonts w:ascii="Verdana" w:hAnsi="Verdana"/>
          <w:sz w:val="20"/>
          <w:szCs w:val="20"/>
        </w:rPr>
        <w:t>, pues tales hechos deben tener relación directa</w:t>
      </w:r>
      <w:r w:rsidR="00140F0F" w:rsidRPr="000B33B9">
        <w:rPr>
          <w:rStyle w:val="Refdenotaalpie"/>
          <w:rFonts w:ascii="Verdana" w:hAnsi="Verdana"/>
        </w:rPr>
        <w:footnoteReference w:id="28"/>
      </w:r>
      <w:r w:rsidR="00140F0F" w:rsidRPr="000B33B9">
        <w:rPr>
          <w:rFonts w:ascii="Verdana" w:hAnsi="Verdana"/>
          <w:sz w:val="20"/>
          <w:szCs w:val="20"/>
        </w:rPr>
        <w:t>.</w:t>
      </w:r>
    </w:p>
    <w:p w14:paraId="66582A44" w14:textId="77777777" w:rsidR="00140F0F" w:rsidRPr="000B33B9" w:rsidRDefault="00140F0F" w:rsidP="004B204D">
      <w:pPr>
        <w:widowControl w:val="0"/>
        <w:tabs>
          <w:tab w:val="left" w:pos="567"/>
        </w:tabs>
        <w:adjustRightInd w:val="0"/>
        <w:spacing w:after="0" w:line="240" w:lineRule="auto"/>
        <w:jc w:val="right"/>
        <w:textAlignment w:val="baseline"/>
        <w:rPr>
          <w:rFonts w:ascii="Verdana" w:hAnsi="Verdana"/>
          <w:sz w:val="20"/>
          <w:szCs w:val="20"/>
        </w:rPr>
      </w:pPr>
    </w:p>
    <w:p w14:paraId="51FA68F8" w14:textId="2DA8C08B" w:rsidR="00140F0F" w:rsidRPr="000B33B9" w:rsidRDefault="00140F0F"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0B33B9">
        <w:rPr>
          <w:rFonts w:ascii="Verdana" w:hAnsi="Verdana"/>
          <w:sz w:val="20"/>
          <w:szCs w:val="20"/>
        </w:rPr>
        <w:t>En el presente caso, la Corte observa que la prueba ofrecida por los representantes consiste en: a) el mensaje rendido por el Presidente Constitucional de Perú el 28 de julio de 2018 respecto al “Sistema de Administración de Justicia en el Perú”</w:t>
      </w:r>
      <w:r w:rsidRPr="000B33B9">
        <w:rPr>
          <w:rStyle w:val="Refdenotaalpie"/>
          <w:rFonts w:ascii="Verdana" w:hAnsi="Verdana"/>
        </w:rPr>
        <w:footnoteReference w:id="29"/>
      </w:r>
      <w:r w:rsidRPr="000B33B9">
        <w:rPr>
          <w:rFonts w:ascii="Verdana" w:hAnsi="Verdana"/>
          <w:sz w:val="20"/>
          <w:szCs w:val="20"/>
        </w:rPr>
        <w:t>, y b) una carpeta de selección de notas periodísticas sobre el mismo tema</w:t>
      </w:r>
      <w:r w:rsidRPr="000B33B9">
        <w:rPr>
          <w:rStyle w:val="Refdenotaalpie"/>
          <w:rFonts w:ascii="Verdana" w:hAnsi="Verdana"/>
        </w:rPr>
        <w:footnoteReference w:id="30"/>
      </w:r>
      <w:r w:rsidRPr="000B33B9">
        <w:rPr>
          <w:rFonts w:ascii="Verdana" w:hAnsi="Verdana"/>
          <w:sz w:val="20"/>
          <w:szCs w:val="20"/>
        </w:rPr>
        <w:t>. Estos documentos, si bien tienen una relación con la situación general del sistema de administración de justicia en Perú, no se relaciona</w:t>
      </w:r>
      <w:r w:rsidR="0088656D" w:rsidRPr="000B33B9">
        <w:rPr>
          <w:rFonts w:ascii="Verdana" w:hAnsi="Verdana"/>
          <w:sz w:val="20"/>
          <w:szCs w:val="20"/>
        </w:rPr>
        <w:t>n</w:t>
      </w:r>
      <w:r w:rsidRPr="000B33B9">
        <w:rPr>
          <w:rFonts w:ascii="Verdana" w:hAnsi="Verdana"/>
          <w:sz w:val="20"/>
          <w:szCs w:val="20"/>
        </w:rPr>
        <w:t xml:space="preserve"> directamente con la controversia del presente caso. En virtud de ello, la Corte considera que los hechos a los que se refieren los representantes como “pruebas nuevas” no </w:t>
      </w:r>
      <w:r w:rsidR="00F36E51" w:rsidRPr="000B33B9">
        <w:rPr>
          <w:rFonts w:ascii="Verdana" w:hAnsi="Verdana"/>
          <w:sz w:val="20"/>
          <w:szCs w:val="20"/>
        </w:rPr>
        <w:t>se relaciona</w:t>
      </w:r>
      <w:r w:rsidR="0088656D" w:rsidRPr="000B33B9">
        <w:rPr>
          <w:rFonts w:ascii="Verdana" w:hAnsi="Verdana"/>
          <w:sz w:val="20"/>
          <w:szCs w:val="20"/>
        </w:rPr>
        <w:t>n</w:t>
      </w:r>
      <w:r w:rsidR="00F36E51" w:rsidRPr="000B33B9">
        <w:rPr>
          <w:rFonts w:ascii="Verdana" w:hAnsi="Verdana"/>
          <w:sz w:val="20"/>
          <w:szCs w:val="20"/>
        </w:rPr>
        <w:t xml:space="preserve"> con los hechos materia del presente caso ni se refieren a hechos </w:t>
      </w:r>
      <w:r w:rsidRPr="000B33B9">
        <w:rPr>
          <w:rFonts w:ascii="Verdana" w:hAnsi="Verdana"/>
          <w:sz w:val="20"/>
          <w:szCs w:val="20"/>
        </w:rPr>
        <w:t>supervinientes, por lo que, de conformidad con el artículo 57.2 del reglamento, tales documentos no son admitidos.</w:t>
      </w:r>
    </w:p>
    <w:p w14:paraId="0ACE0FC9" w14:textId="77777777" w:rsidR="007A5487" w:rsidRPr="000B33B9" w:rsidRDefault="007A5487" w:rsidP="00C962FE">
      <w:pPr>
        <w:widowControl w:val="0"/>
        <w:tabs>
          <w:tab w:val="left" w:pos="567"/>
        </w:tabs>
        <w:adjustRightInd w:val="0"/>
        <w:spacing w:after="0" w:line="240" w:lineRule="auto"/>
        <w:jc w:val="both"/>
        <w:textAlignment w:val="baseline"/>
        <w:rPr>
          <w:rFonts w:ascii="Verdana" w:hAnsi="Verdana"/>
          <w:sz w:val="20"/>
          <w:szCs w:val="20"/>
          <w:lang w:val="es-CR" w:eastAsia="es-MX"/>
        </w:rPr>
      </w:pPr>
    </w:p>
    <w:p w14:paraId="1E403F94" w14:textId="77777777" w:rsidR="007A5487" w:rsidRPr="000B33B9" w:rsidRDefault="00500A60" w:rsidP="00E112A2">
      <w:pPr>
        <w:pStyle w:val="Ttulo2"/>
      </w:pPr>
      <w:bookmarkStart w:id="44" w:name="_Toc9511441"/>
      <w:bookmarkStart w:id="45" w:name="_Toc4402949"/>
      <w:bookmarkStart w:id="46" w:name="_Toc4402710"/>
      <w:bookmarkStart w:id="47" w:name="_Toc27329756"/>
      <w:r w:rsidRPr="000B33B9">
        <w:t>Admisibilidad de la prueba testimonial y pericial</w:t>
      </w:r>
      <w:bookmarkEnd w:id="44"/>
      <w:bookmarkEnd w:id="45"/>
      <w:bookmarkEnd w:id="46"/>
      <w:bookmarkEnd w:id="47"/>
    </w:p>
    <w:p w14:paraId="21D3D507" w14:textId="1C7C98E7" w:rsidR="007A5487" w:rsidRPr="000B33B9" w:rsidRDefault="007A5487" w:rsidP="004B204D">
      <w:pPr>
        <w:tabs>
          <w:tab w:val="left" w:pos="7860"/>
        </w:tabs>
        <w:spacing w:after="0" w:line="240" w:lineRule="auto"/>
        <w:rPr>
          <w:rFonts w:ascii="Verdana" w:hAnsi="Verdana"/>
          <w:sz w:val="20"/>
          <w:szCs w:val="20"/>
          <w:lang w:val="es-CR" w:eastAsia="es-CR"/>
        </w:rPr>
      </w:pPr>
    </w:p>
    <w:p w14:paraId="56A0333A" w14:textId="548AFDEC" w:rsidR="006161CF" w:rsidRPr="000B33B9" w:rsidRDefault="006161CF" w:rsidP="007B74B8">
      <w:pPr>
        <w:widowControl w:val="0"/>
        <w:numPr>
          <w:ilvl w:val="0"/>
          <w:numId w:val="10"/>
        </w:numPr>
        <w:tabs>
          <w:tab w:val="left" w:pos="567"/>
          <w:tab w:val="num" w:pos="12305"/>
        </w:tabs>
        <w:adjustRightInd w:val="0"/>
        <w:spacing w:after="0" w:line="240" w:lineRule="auto"/>
        <w:ind w:left="0" w:firstLine="0"/>
        <w:jc w:val="both"/>
        <w:textAlignment w:val="baseline"/>
        <w:rPr>
          <w:rFonts w:ascii="Verdana" w:hAnsi="Verdana"/>
          <w:sz w:val="20"/>
          <w:szCs w:val="20"/>
          <w:lang w:val="es-CR" w:eastAsia="es-CR"/>
        </w:rPr>
      </w:pPr>
      <w:r w:rsidRPr="000B33B9">
        <w:rPr>
          <w:rFonts w:ascii="Verdana" w:hAnsi="Verdana"/>
          <w:sz w:val="20"/>
          <w:szCs w:val="20"/>
        </w:rPr>
        <w:t>Asimismo, la Corte estima pertinente admitir las declaraciones de la presunta víctima</w:t>
      </w:r>
      <w:r w:rsidR="005D4BD7" w:rsidRPr="000B33B9">
        <w:rPr>
          <w:rFonts w:ascii="Verdana" w:hAnsi="Verdana"/>
          <w:sz w:val="20"/>
          <w:szCs w:val="20"/>
        </w:rPr>
        <w:t xml:space="preserve"> y tres peritos, las declaraciones y </w:t>
      </w:r>
      <w:r w:rsidRPr="000B33B9">
        <w:rPr>
          <w:rFonts w:ascii="Verdana" w:hAnsi="Verdana"/>
          <w:sz w:val="20"/>
          <w:szCs w:val="20"/>
        </w:rPr>
        <w:t>dictámenes periciales rendidos ante fedatario público en el marco del presente caso</w:t>
      </w:r>
      <w:r w:rsidR="009506B4" w:rsidRPr="000B33B9">
        <w:rPr>
          <w:rFonts w:ascii="Verdana" w:hAnsi="Verdana"/>
          <w:sz w:val="20"/>
          <w:szCs w:val="20"/>
        </w:rPr>
        <w:t xml:space="preserve"> y el dictamen pericial rendido</w:t>
      </w:r>
      <w:r w:rsidRPr="000B33B9">
        <w:rPr>
          <w:rFonts w:ascii="Verdana" w:hAnsi="Verdana"/>
          <w:sz w:val="20"/>
          <w:szCs w:val="20"/>
        </w:rPr>
        <w:t xml:space="preserve"> por el señor </w:t>
      </w:r>
      <w:r w:rsidR="009506B4" w:rsidRPr="000B33B9">
        <w:rPr>
          <w:rFonts w:ascii="Verdana" w:hAnsi="Verdana"/>
          <w:sz w:val="20"/>
          <w:szCs w:val="20"/>
        </w:rPr>
        <w:t>Christian Courtis</w:t>
      </w:r>
      <w:r w:rsidRPr="000B33B9">
        <w:rPr>
          <w:rStyle w:val="Refdenotaalpie"/>
          <w:rFonts w:ascii="Verdana" w:hAnsi="Verdana"/>
          <w:sz w:val="20"/>
          <w:szCs w:val="20"/>
        </w:rPr>
        <w:footnoteReference w:id="31"/>
      </w:r>
      <w:r w:rsidRPr="000B33B9">
        <w:rPr>
          <w:rFonts w:ascii="Verdana" w:hAnsi="Verdana"/>
          <w:sz w:val="20"/>
          <w:szCs w:val="20"/>
        </w:rPr>
        <w:t xml:space="preserve"> en </w:t>
      </w:r>
      <w:r w:rsidR="009506B4" w:rsidRPr="000B33B9">
        <w:rPr>
          <w:rFonts w:ascii="Verdana" w:hAnsi="Verdana"/>
          <w:sz w:val="20"/>
          <w:szCs w:val="20"/>
        </w:rPr>
        <w:t>el caso</w:t>
      </w:r>
      <w:r w:rsidRPr="000B33B9">
        <w:rPr>
          <w:rFonts w:ascii="Verdana" w:hAnsi="Verdana"/>
          <w:sz w:val="20"/>
          <w:szCs w:val="20"/>
        </w:rPr>
        <w:t xml:space="preserve"> </w:t>
      </w:r>
      <w:r w:rsidR="009506B4" w:rsidRPr="000B33B9">
        <w:rPr>
          <w:rFonts w:ascii="Verdana" w:hAnsi="Verdana"/>
          <w:i/>
          <w:sz w:val="20"/>
          <w:szCs w:val="20"/>
        </w:rPr>
        <w:t>Muelle Flores Vs. Perú</w:t>
      </w:r>
      <w:r w:rsidRPr="000B33B9">
        <w:rPr>
          <w:rFonts w:ascii="Verdana" w:hAnsi="Verdana"/>
          <w:sz w:val="20"/>
          <w:szCs w:val="20"/>
        </w:rPr>
        <w:t xml:space="preserve">, </w:t>
      </w:r>
      <w:r w:rsidR="00FC76E0" w:rsidRPr="000B33B9">
        <w:rPr>
          <w:rFonts w:ascii="Verdana" w:hAnsi="Verdana"/>
          <w:sz w:val="20"/>
          <w:szCs w:val="20"/>
        </w:rPr>
        <w:t xml:space="preserve">en </w:t>
      </w:r>
      <w:r w:rsidR="00B05765" w:rsidRPr="000B33B9">
        <w:rPr>
          <w:rFonts w:ascii="Verdana" w:hAnsi="Verdana"/>
          <w:sz w:val="20"/>
          <w:szCs w:val="20"/>
        </w:rPr>
        <w:t xml:space="preserve">la medida en que </w:t>
      </w:r>
      <w:r w:rsidR="00FC76E0" w:rsidRPr="000B33B9">
        <w:rPr>
          <w:rFonts w:ascii="Verdana" w:hAnsi="Verdana"/>
          <w:sz w:val="20"/>
          <w:szCs w:val="20"/>
        </w:rPr>
        <w:t>se ajusten al objeto definido por el Presidente en la Resolución que ordenó recibirlos</w:t>
      </w:r>
      <w:r w:rsidR="00FC76E0" w:rsidRPr="000B33B9">
        <w:rPr>
          <w:rStyle w:val="Refdenotaalpie"/>
          <w:rFonts w:ascii="Verdana" w:hAnsi="Verdana"/>
          <w:sz w:val="20"/>
          <w:szCs w:val="20"/>
        </w:rPr>
        <w:footnoteReference w:id="32"/>
      </w:r>
      <w:r w:rsidRPr="000B33B9">
        <w:rPr>
          <w:rFonts w:ascii="Verdana" w:hAnsi="Verdana"/>
          <w:sz w:val="20"/>
          <w:szCs w:val="20"/>
        </w:rPr>
        <w:t>.</w:t>
      </w:r>
    </w:p>
    <w:p w14:paraId="5ADA0F10" w14:textId="77777777" w:rsidR="006161CF" w:rsidRPr="000B33B9" w:rsidRDefault="006161CF" w:rsidP="00C962FE">
      <w:pPr>
        <w:widowControl w:val="0"/>
        <w:tabs>
          <w:tab w:val="left" w:pos="567"/>
        </w:tabs>
        <w:adjustRightInd w:val="0"/>
        <w:spacing w:after="0" w:line="240" w:lineRule="auto"/>
        <w:jc w:val="both"/>
        <w:textAlignment w:val="baseline"/>
        <w:rPr>
          <w:rFonts w:ascii="Verdana" w:hAnsi="Verdana"/>
          <w:sz w:val="20"/>
          <w:szCs w:val="20"/>
          <w:lang w:val="es-CR" w:eastAsia="es-CR"/>
        </w:rPr>
      </w:pPr>
    </w:p>
    <w:p w14:paraId="18292EB4" w14:textId="6D9BBE43" w:rsidR="00B86B27" w:rsidRPr="000B33B9" w:rsidRDefault="00B86B27" w:rsidP="00640C2A">
      <w:pPr>
        <w:pStyle w:val="Ttulo1"/>
        <w:rPr>
          <w:snapToGrid w:val="0"/>
          <w:lang w:val="es-ES_tradnl"/>
        </w:rPr>
      </w:pPr>
      <w:bookmarkStart w:id="48" w:name="_Toc7020780"/>
      <w:bookmarkStart w:id="49" w:name="_Toc19533025"/>
      <w:bookmarkStart w:id="50" w:name="_Toc27329757"/>
      <w:r w:rsidRPr="000B33B9">
        <w:rPr>
          <w:snapToGrid w:val="0"/>
          <w:lang w:val="es-ES_tradnl"/>
        </w:rPr>
        <w:t>VI</w:t>
      </w:r>
      <w:r w:rsidR="003A17A6" w:rsidRPr="000B33B9">
        <w:rPr>
          <w:snapToGrid w:val="0"/>
          <w:lang w:val="es-ES_tradnl"/>
        </w:rPr>
        <w:t>I</w:t>
      </w:r>
      <w:r w:rsidRPr="000B33B9">
        <w:rPr>
          <w:snapToGrid w:val="0"/>
          <w:lang w:val="es-ES_tradnl"/>
        </w:rPr>
        <w:br/>
      </w:r>
      <w:bookmarkEnd w:id="48"/>
      <w:bookmarkEnd w:id="49"/>
      <w:r w:rsidR="00640C2A" w:rsidRPr="000B33B9">
        <w:rPr>
          <w:snapToGrid w:val="0"/>
          <w:lang w:val="es-ES_tradnl"/>
        </w:rPr>
        <w:t>HECHOS</w:t>
      </w:r>
      <w:bookmarkEnd w:id="50"/>
    </w:p>
    <w:p w14:paraId="49206FDC" w14:textId="77777777" w:rsidR="00B86B27" w:rsidRPr="000B33B9" w:rsidRDefault="00B86B27" w:rsidP="00B86B27">
      <w:pPr>
        <w:spacing w:after="0" w:line="240" w:lineRule="auto"/>
        <w:rPr>
          <w:rFonts w:ascii="Verdana" w:hAnsi="Verdana"/>
          <w:sz w:val="20"/>
          <w:szCs w:val="20"/>
          <w:lang w:val="es-DO"/>
        </w:rPr>
      </w:pPr>
    </w:p>
    <w:p w14:paraId="546D5609" w14:textId="2A90ABE5" w:rsidR="000C0D46" w:rsidRPr="000B33B9" w:rsidRDefault="000C0D46"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Los hechos del presente caso </w:t>
      </w:r>
      <w:r w:rsidR="007F0E38" w:rsidRPr="000B33B9">
        <w:rPr>
          <w:rFonts w:ascii="Verdana" w:hAnsi="Verdana"/>
          <w:sz w:val="20"/>
          <w:szCs w:val="20"/>
          <w:lang w:val="es-DO"/>
        </w:rPr>
        <w:t>se refieren a las acciones de amparo intentadas por los miembros de ANCEJUB-SUNAT</w:t>
      </w:r>
      <w:r w:rsidR="006B7C55" w:rsidRPr="000B33B9">
        <w:rPr>
          <w:rFonts w:ascii="Verdana" w:hAnsi="Verdana"/>
          <w:sz w:val="20"/>
          <w:szCs w:val="20"/>
          <w:lang w:val="es-DO"/>
        </w:rPr>
        <w:t>,</w:t>
      </w:r>
      <w:r w:rsidR="007F0E38" w:rsidRPr="000B33B9">
        <w:rPr>
          <w:rFonts w:ascii="Verdana" w:hAnsi="Verdana"/>
          <w:sz w:val="20"/>
          <w:szCs w:val="20"/>
          <w:lang w:val="es-DO"/>
        </w:rPr>
        <w:t xml:space="preserve"> a través de la</w:t>
      </w:r>
      <w:r w:rsidR="006B7C55" w:rsidRPr="000B33B9">
        <w:rPr>
          <w:rFonts w:ascii="Verdana" w:hAnsi="Verdana"/>
          <w:sz w:val="20"/>
          <w:szCs w:val="20"/>
          <w:lang w:val="es-DO"/>
        </w:rPr>
        <w:t>s</w:t>
      </w:r>
      <w:r w:rsidR="007F0E38" w:rsidRPr="000B33B9">
        <w:rPr>
          <w:rFonts w:ascii="Verdana" w:hAnsi="Verdana"/>
          <w:sz w:val="20"/>
          <w:szCs w:val="20"/>
          <w:lang w:val="es-DO"/>
        </w:rPr>
        <w:t xml:space="preserve"> cual</w:t>
      </w:r>
      <w:r w:rsidR="006B7C55" w:rsidRPr="000B33B9">
        <w:rPr>
          <w:rFonts w:ascii="Verdana" w:hAnsi="Verdana"/>
          <w:sz w:val="20"/>
          <w:szCs w:val="20"/>
          <w:lang w:val="es-DO"/>
        </w:rPr>
        <w:t>es</w:t>
      </w:r>
      <w:r w:rsidR="007F0E38" w:rsidRPr="000B33B9">
        <w:rPr>
          <w:rFonts w:ascii="Verdana" w:hAnsi="Verdana"/>
          <w:sz w:val="20"/>
          <w:szCs w:val="20"/>
          <w:lang w:val="es-DO"/>
        </w:rPr>
        <w:t xml:space="preserve"> </w:t>
      </w:r>
      <w:r w:rsidR="006B7C55" w:rsidRPr="000B33B9">
        <w:rPr>
          <w:rFonts w:ascii="Verdana" w:hAnsi="Verdana"/>
          <w:sz w:val="20"/>
          <w:szCs w:val="20"/>
          <w:lang w:val="es-DO"/>
        </w:rPr>
        <w:t>impugnaron la aplicación de la Tercera Disposición Transit</w:t>
      </w:r>
      <w:r w:rsidR="00356381" w:rsidRPr="000B33B9">
        <w:rPr>
          <w:rFonts w:ascii="Verdana" w:hAnsi="Verdana"/>
          <w:sz w:val="20"/>
          <w:szCs w:val="20"/>
          <w:lang w:val="es-DO"/>
        </w:rPr>
        <w:t>oria del Decreto Legislativo</w:t>
      </w:r>
      <w:r w:rsidR="006B7C55" w:rsidRPr="000B33B9">
        <w:rPr>
          <w:rFonts w:ascii="Verdana" w:hAnsi="Verdana"/>
          <w:sz w:val="20"/>
          <w:szCs w:val="20"/>
          <w:lang w:val="es-DO"/>
        </w:rPr>
        <w:t xml:space="preserve"> 673 de 23 de septiembre de 1991 y solicitaron la ejecución de la sentencia de la Sala de Derecho Constitucional y Social de la </w:t>
      </w:r>
      <w:r w:rsidR="00010CD8" w:rsidRPr="000B33B9">
        <w:rPr>
          <w:rFonts w:ascii="Verdana" w:hAnsi="Verdana"/>
          <w:sz w:val="20"/>
          <w:szCs w:val="20"/>
          <w:lang w:val="es-DO"/>
        </w:rPr>
        <w:t xml:space="preserve">Corte </w:t>
      </w:r>
      <w:r w:rsidR="006B7C55" w:rsidRPr="000B33B9">
        <w:rPr>
          <w:rFonts w:ascii="Verdana" w:hAnsi="Verdana"/>
          <w:sz w:val="20"/>
          <w:szCs w:val="20"/>
          <w:lang w:val="es-DO"/>
        </w:rPr>
        <w:t>Suprema de Justicia de la República de 25 de octubre de 1993. En este capítulo la Corte abordará los hechos que se tendrán por probados en el presente caso, con base en el acervo probatorio que ha sido admitido y según el marco fáctico establecido en el Informe de Fondo. Además, se incluirán los hechos expuestos por las partes que permitan explicar, aclarar o desestimar ese marco fáctico</w:t>
      </w:r>
      <w:r w:rsidR="006B7C55" w:rsidRPr="000B33B9">
        <w:rPr>
          <w:rStyle w:val="Refdenotaalpie"/>
          <w:rFonts w:ascii="Verdana" w:hAnsi="Verdana"/>
          <w:sz w:val="20"/>
          <w:szCs w:val="20"/>
          <w:lang w:val="es-DO"/>
        </w:rPr>
        <w:footnoteReference w:id="33"/>
      </w:r>
      <w:r w:rsidR="006B7C55" w:rsidRPr="000B33B9">
        <w:rPr>
          <w:rFonts w:ascii="Verdana" w:hAnsi="Verdana"/>
          <w:sz w:val="20"/>
          <w:szCs w:val="20"/>
          <w:lang w:val="es-DO"/>
        </w:rPr>
        <w:t>. En virtud de ello, se abordarán los hechos del caso concreto en el siguiente orden: a) antecedentes; b) primera acción de amparo; c) segunda acci</w:t>
      </w:r>
      <w:r w:rsidR="00640F74" w:rsidRPr="000B33B9">
        <w:rPr>
          <w:rFonts w:ascii="Verdana" w:hAnsi="Verdana"/>
          <w:sz w:val="20"/>
          <w:szCs w:val="20"/>
          <w:lang w:val="es-DO"/>
        </w:rPr>
        <w:t>ón de ampa</w:t>
      </w:r>
      <w:r w:rsidR="00E3367A" w:rsidRPr="000B33B9">
        <w:rPr>
          <w:rFonts w:ascii="Verdana" w:hAnsi="Verdana"/>
          <w:sz w:val="20"/>
          <w:szCs w:val="20"/>
          <w:lang w:val="es-DO"/>
        </w:rPr>
        <w:t>ro; d) tercera acción de amparo,</w:t>
      </w:r>
      <w:r w:rsidR="00640F74" w:rsidRPr="000B33B9">
        <w:rPr>
          <w:rFonts w:ascii="Verdana" w:hAnsi="Verdana"/>
          <w:sz w:val="20"/>
          <w:szCs w:val="20"/>
          <w:lang w:val="es-DO"/>
        </w:rPr>
        <w:t xml:space="preserve"> </w:t>
      </w:r>
      <w:r w:rsidR="00010CD8" w:rsidRPr="000B33B9">
        <w:rPr>
          <w:rFonts w:ascii="Verdana" w:hAnsi="Verdana"/>
          <w:sz w:val="20"/>
          <w:szCs w:val="20"/>
          <w:lang w:val="es-DO"/>
        </w:rPr>
        <w:t xml:space="preserve">y </w:t>
      </w:r>
      <w:r w:rsidR="00640F74" w:rsidRPr="000B33B9">
        <w:rPr>
          <w:rFonts w:ascii="Verdana" w:hAnsi="Verdana"/>
          <w:sz w:val="20"/>
          <w:szCs w:val="20"/>
          <w:lang w:val="es-DO"/>
        </w:rPr>
        <w:t>e) recursos intentados por el señor Ipanaqué.</w:t>
      </w:r>
    </w:p>
    <w:p w14:paraId="7638BA6B" w14:textId="77777777" w:rsidR="000C0D46" w:rsidRPr="000B33B9" w:rsidRDefault="000C0D46" w:rsidP="00B86B27">
      <w:pPr>
        <w:spacing w:after="0" w:line="240" w:lineRule="auto"/>
        <w:rPr>
          <w:rFonts w:ascii="Verdana" w:hAnsi="Verdana"/>
          <w:sz w:val="20"/>
          <w:szCs w:val="20"/>
          <w:lang w:val="es-DO"/>
        </w:rPr>
      </w:pPr>
    </w:p>
    <w:p w14:paraId="7EF17DD6" w14:textId="77777777" w:rsidR="00B86B27" w:rsidRPr="000B33B9" w:rsidRDefault="00B86B27" w:rsidP="007B74B8">
      <w:pPr>
        <w:pStyle w:val="Ttulo2"/>
        <w:numPr>
          <w:ilvl w:val="0"/>
          <w:numId w:val="16"/>
        </w:numPr>
      </w:pPr>
      <w:bookmarkStart w:id="51" w:name="_Toc27329758"/>
      <w:r w:rsidRPr="000B33B9">
        <w:t>Antecedentes</w:t>
      </w:r>
      <w:bookmarkEnd w:id="51"/>
    </w:p>
    <w:p w14:paraId="117581C4" w14:textId="77777777" w:rsidR="00B86B27" w:rsidRPr="000B33B9" w:rsidRDefault="00B86B27" w:rsidP="00B86B27">
      <w:pPr>
        <w:spacing w:after="0" w:line="240" w:lineRule="auto"/>
        <w:ind w:left="360"/>
        <w:jc w:val="both"/>
        <w:rPr>
          <w:rFonts w:ascii="Verdana" w:hAnsi="Verdana"/>
          <w:b/>
          <w:sz w:val="20"/>
          <w:szCs w:val="20"/>
          <w:lang w:val="es-DO"/>
        </w:rPr>
      </w:pPr>
    </w:p>
    <w:p w14:paraId="63FFFBF7" w14:textId="505D7B41"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La Superintendencia </w:t>
      </w:r>
      <w:r w:rsidR="00356381" w:rsidRPr="000B33B9">
        <w:rPr>
          <w:rFonts w:ascii="Verdana" w:hAnsi="Verdana"/>
          <w:sz w:val="20"/>
          <w:szCs w:val="20"/>
          <w:lang w:val="es-DO"/>
        </w:rPr>
        <w:t xml:space="preserve">Nacional </w:t>
      </w:r>
      <w:r w:rsidRPr="000B33B9">
        <w:rPr>
          <w:rFonts w:ascii="Verdana" w:hAnsi="Verdana"/>
          <w:sz w:val="20"/>
          <w:szCs w:val="20"/>
          <w:lang w:val="es-DO"/>
        </w:rPr>
        <w:t>de Adminis</w:t>
      </w:r>
      <w:r w:rsidR="00356381" w:rsidRPr="000B33B9">
        <w:rPr>
          <w:rFonts w:ascii="Verdana" w:hAnsi="Verdana"/>
          <w:sz w:val="20"/>
          <w:szCs w:val="20"/>
          <w:lang w:val="es-DO"/>
        </w:rPr>
        <w:t>tración Tributaria (en adelante</w:t>
      </w:r>
      <w:r w:rsidRPr="000B33B9">
        <w:rPr>
          <w:rFonts w:ascii="Verdana" w:hAnsi="Verdana"/>
          <w:sz w:val="20"/>
          <w:szCs w:val="20"/>
          <w:lang w:val="es-DO"/>
        </w:rPr>
        <w:t xml:space="preserve"> “SUNAT”) fue creada el 31 de mayo de 1988 por la Ley 24829 como un</w:t>
      </w:r>
      <w:r w:rsidR="00C219AA" w:rsidRPr="000B33B9">
        <w:rPr>
          <w:rFonts w:ascii="Verdana" w:hAnsi="Verdana"/>
          <w:sz w:val="20"/>
          <w:szCs w:val="20"/>
          <w:lang w:val="es-DO"/>
        </w:rPr>
        <w:t>a</w:t>
      </w:r>
      <w:r w:rsidR="00356381" w:rsidRPr="000B33B9">
        <w:rPr>
          <w:rFonts w:ascii="Verdana" w:hAnsi="Verdana"/>
          <w:sz w:val="20"/>
          <w:szCs w:val="20"/>
          <w:lang w:val="es-DO"/>
        </w:rPr>
        <w:t xml:space="preserve"> institución pública d</w:t>
      </w:r>
      <w:r w:rsidRPr="000B33B9">
        <w:rPr>
          <w:rFonts w:ascii="Verdana" w:hAnsi="Verdana"/>
          <w:sz w:val="20"/>
          <w:szCs w:val="20"/>
          <w:lang w:val="es-DO"/>
        </w:rPr>
        <w:t>escentralizada del Sector de Economía y Finanzas, con la finalidad de “administrar, aplicar, fiscalizar y recaudar los tributos internos con excepción de los municipales así como proponer y participar en la reglamentación de las normas tributarias”</w:t>
      </w:r>
      <w:r w:rsidRPr="000B33B9">
        <w:rPr>
          <w:rStyle w:val="Refdenotaalpie"/>
          <w:rFonts w:ascii="Verdana" w:hAnsi="Verdana"/>
          <w:sz w:val="20"/>
          <w:szCs w:val="20"/>
          <w:lang w:val="es-DO"/>
        </w:rPr>
        <w:footnoteReference w:id="34"/>
      </w:r>
      <w:r w:rsidRPr="000B33B9">
        <w:rPr>
          <w:rFonts w:ascii="Verdana" w:hAnsi="Verdana"/>
          <w:sz w:val="20"/>
          <w:szCs w:val="20"/>
          <w:lang w:val="es-DO"/>
        </w:rPr>
        <w:t>. Las presuntas víctimas del presente caso fueron servidores públicos de la SUNAT hasta el año 1991</w:t>
      </w:r>
      <w:r w:rsidRPr="000B33B9">
        <w:rPr>
          <w:rStyle w:val="Refdenotaalpie"/>
          <w:rFonts w:ascii="Verdana" w:hAnsi="Verdana"/>
          <w:sz w:val="20"/>
          <w:szCs w:val="20"/>
          <w:lang w:val="es-DO"/>
        </w:rPr>
        <w:footnoteReference w:id="35"/>
      </w:r>
      <w:r w:rsidRPr="000B33B9">
        <w:rPr>
          <w:rFonts w:ascii="Verdana" w:hAnsi="Verdana"/>
          <w:sz w:val="20"/>
          <w:szCs w:val="20"/>
          <w:lang w:val="es-DO"/>
        </w:rPr>
        <w:t>, y como trabajadores de dicha institución se encontraron sujetos al régimen de pensiones dispuesto en el Decreto Ley 20530</w:t>
      </w:r>
      <w:r w:rsidRPr="000B33B9">
        <w:rPr>
          <w:rStyle w:val="Refdenotaalpie"/>
          <w:rFonts w:ascii="Verdana" w:hAnsi="Verdana"/>
          <w:sz w:val="20"/>
          <w:szCs w:val="20"/>
          <w:lang w:val="es-DO"/>
        </w:rPr>
        <w:footnoteReference w:id="36"/>
      </w:r>
      <w:r w:rsidRPr="000B33B9">
        <w:rPr>
          <w:rFonts w:ascii="Verdana" w:hAnsi="Verdana"/>
          <w:sz w:val="20"/>
          <w:szCs w:val="20"/>
          <w:lang w:val="es-DO"/>
        </w:rPr>
        <w:t xml:space="preserve"> (Régimen de Pensiones y Compensaciones por Servicios Civiles Prestados al Estado no Comprendidos en el Decreto Ley 19990) y a la Disposición Transitoria Octava de la Constitución</w:t>
      </w:r>
      <w:r w:rsidR="00356381" w:rsidRPr="000B33B9">
        <w:rPr>
          <w:rFonts w:ascii="Verdana" w:hAnsi="Verdana"/>
          <w:sz w:val="20"/>
          <w:szCs w:val="20"/>
          <w:lang w:val="es-DO"/>
        </w:rPr>
        <w:t xml:space="preserve"> Política de 1979 (en adelante </w:t>
      </w:r>
      <w:r w:rsidRPr="000B33B9">
        <w:rPr>
          <w:rFonts w:ascii="Verdana" w:hAnsi="Verdana"/>
          <w:sz w:val="20"/>
          <w:szCs w:val="20"/>
          <w:lang w:val="es-DO"/>
        </w:rPr>
        <w:t xml:space="preserve">“Disposición Transitoria Octava”). El Decreto Ley 20530 </w:t>
      </w:r>
      <w:r w:rsidR="00E8134D" w:rsidRPr="000B33B9">
        <w:rPr>
          <w:rFonts w:ascii="Verdana" w:hAnsi="Verdana"/>
          <w:sz w:val="20"/>
          <w:szCs w:val="20"/>
          <w:lang w:val="es-DO"/>
        </w:rPr>
        <w:t>(</w:t>
      </w:r>
      <w:r w:rsidR="009856B4" w:rsidRPr="000B33B9">
        <w:rPr>
          <w:rFonts w:ascii="Verdana" w:hAnsi="Verdana"/>
          <w:sz w:val="20"/>
          <w:szCs w:val="20"/>
          <w:lang w:val="es-DO"/>
        </w:rPr>
        <w:t xml:space="preserve">en </w:t>
      </w:r>
      <w:r w:rsidR="00E8134D" w:rsidRPr="000B33B9">
        <w:rPr>
          <w:rFonts w:ascii="Verdana" w:hAnsi="Verdana"/>
          <w:sz w:val="20"/>
          <w:szCs w:val="20"/>
          <w:lang w:val="es-DO"/>
        </w:rPr>
        <w:t xml:space="preserve">adelante “Decreto 20530”) </w:t>
      </w:r>
      <w:r w:rsidRPr="000B33B9">
        <w:rPr>
          <w:rFonts w:ascii="Verdana" w:hAnsi="Verdana"/>
          <w:sz w:val="20"/>
          <w:szCs w:val="20"/>
          <w:lang w:val="es-DO"/>
        </w:rPr>
        <w:t>y la Disposición Transitoria Octava señalan que “</w:t>
      </w:r>
      <w:r w:rsidR="009346C0" w:rsidRPr="000B33B9">
        <w:rPr>
          <w:rFonts w:ascii="Verdana" w:hAnsi="Verdana"/>
          <w:sz w:val="20"/>
          <w:szCs w:val="20"/>
          <w:lang w:val="es-DO"/>
        </w:rPr>
        <w:t>(…) [</w:t>
      </w:r>
      <w:r w:rsidRPr="000B33B9">
        <w:rPr>
          <w:rFonts w:ascii="Verdana" w:hAnsi="Verdana"/>
          <w:sz w:val="20"/>
          <w:szCs w:val="20"/>
          <w:lang w:val="es-DO"/>
        </w:rPr>
        <w:t>l</w:t>
      </w:r>
      <w:r w:rsidR="009346C0" w:rsidRPr="000B33B9">
        <w:rPr>
          <w:rFonts w:ascii="Verdana" w:hAnsi="Verdana"/>
          <w:sz w:val="20"/>
          <w:szCs w:val="20"/>
          <w:lang w:val="es-DO"/>
        </w:rPr>
        <w:t>]</w:t>
      </w:r>
      <w:r w:rsidRPr="000B33B9">
        <w:rPr>
          <w:rFonts w:ascii="Verdana" w:hAnsi="Verdana"/>
          <w:sz w:val="20"/>
          <w:szCs w:val="20"/>
          <w:lang w:val="es-DO"/>
        </w:rPr>
        <w:t>as pensiones de los cesantes con más de veinte años de servicio y de los jubilados de la administración pública, no sometidas al régimen del Seguro Social del Perú o a otros regímenes especiales, se nivelan progresivamente con los haberes de los servidores públicos en actividad de las respectivas categorías”</w:t>
      </w:r>
      <w:r w:rsidRPr="000B33B9">
        <w:rPr>
          <w:rStyle w:val="Refdenotaalpie"/>
          <w:rFonts w:ascii="Verdana" w:hAnsi="Verdana"/>
          <w:sz w:val="20"/>
          <w:szCs w:val="20"/>
          <w:lang w:val="es-DO"/>
        </w:rPr>
        <w:footnoteReference w:id="37"/>
      </w:r>
      <w:r w:rsidRPr="000B33B9">
        <w:rPr>
          <w:rFonts w:ascii="Verdana" w:hAnsi="Verdana"/>
          <w:sz w:val="20"/>
          <w:szCs w:val="20"/>
          <w:lang w:val="es-DO"/>
        </w:rPr>
        <w:t>.</w:t>
      </w:r>
    </w:p>
    <w:p w14:paraId="6E7222AC" w14:textId="77777777" w:rsidR="00B86B27" w:rsidRPr="000B33B9" w:rsidRDefault="00B86B27" w:rsidP="00B86B27">
      <w:pPr>
        <w:pStyle w:val="Prrafodelista"/>
        <w:rPr>
          <w:rFonts w:ascii="Verdana" w:hAnsi="Verdana"/>
          <w:sz w:val="20"/>
          <w:szCs w:val="20"/>
          <w:lang w:val="es-DO"/>
        </w:rPr>
      </w:pPr>
    </w:p>
    <w:p w14:paraId="2BA90890" w14:textId="47739ABE"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El Decreto Ley 23495 de </w:t>
      </w:r>
      <w:r w:rsidR="009346C0" w:rsidRPr="000B33B9">
        <w:rPr>
          <w:rFonts w:ascii="Verdana" w:hAnsi="Verdana"/>
          <w:sz w:val="20"/>
          <w:szCs w:val="20"/>
          <w:lang w:val="es-DO"/>
        </w:rPr>
        <w:t>19</w:t>
      </w:r>
      <w:r w:rsidRPr="000B33B9">
        <w:rPr>
          <w:rFonts w:ascii="Verdana" w:hAnsi="Verdana"/>
          <w:sz w:val="20"/>
          <w:szCs w:val="20"/>
          <w:lang w:val="es-DO"/>
        </w:rPr>
        <w:t xml:space="preserve"> de noviembre de 1982 </w:t>
      </w:r>
      <w:r w:rsidR="003B7141" w:rsidRPr="000B33B9">
        <w:rPr>
          <w:rFonts w:ascii="Verdana" w:hAnsi="Verdana"/>
          <w:sz w:val="20"/>
          <w:szCs w:val="20"/>
          <w:lang w:val="es-DO"/>
        </w:rPr>
        <w:t xml:space="preserve">(en adelante “Ley 23495”) </w:t>
      </w:r>
      <w:r w:rsidRPr="000B33B9">
        <w:rPr>
          <w:rFonts w:ascii="Verdana" w:hAnsi="Verdana"/>
          <w:sz w:val="20"/>
          <w:szCs w:val="20"/>
          <w:lang w:val="es-DO"/>
        </w:rPr>
        <w:t xml:space="preserve">reguló el alcance de la Disposición Transitoria Octava, estableciendo las reglas sobre la nivelación progresiva de las pensiones de los cesantes con más de 20 años de servicio y de los jubilados de la Administración Pública. El artículo 1 de dicho </w:t>
      </w:r>
      <w:r w:rsidR="00C219AA" w:rsidRPr="000B33B9">
        <w:rPr>
          <w:rFonts w:ascii="Verdana" w:hAnsi="Verdana"/>
          <w:sz w:val="20"/>
          <w:szCs w:val="20"/>
          <w:lang w:val="es-DO"/>
        </w:rPr>
        <w:t>d</w:t>
      </w:r>
      <w:r w:rsidRPr="000B33B9">
        <w:rPr>
          <w:rFonts w:ascii="Verdana" w:hAnsi="Verdana"/>
          <w:sz w:val="20"/>
          <w:szCs w:val="20"/>
          <w:lang w:val="es-DO"/>
        </w:rPr>
        <w:t>ecreto señala que la nivelación progresiva se “</w:t>
      </w:r>
      <w:r w:rsidR="003B7141" w:rsidRPr="000B33B9">
        <w:rPr>
          <w:rFonts w:ascii="Verdana" w:hAnsi="Verdana"/>
          <w:sz w:val="20"/>
          <w:szCs w:val="20"/>
          <w:lang w:val="es-DO"/>
        </w:rPr>
        <w:t xml:space="preserve">(…) </w:t>
      </w:r>
      <w:r w:rsidRPr="000B33B9">
        <w:rPr>
          <w:rFonts w:ascii="Verdana" w:hAnsi="Verdana"/>
          <w:sz w:val="20"/>
          <w:szCs w:val="20"/>
          <w:lang w:val="es-DO"/>
        </w:rPr>
        <w:t>efectuará con los haberes de los servidores públicos en actividad d</w:t>
      </w:r>
      <w:r w:rsidR="003B7141" w:rsidRPr="000B33B9">
        <w:rPr>
          <w:rFonts w:ascii="Verdana" w:hAnsi="Verdana"/>
          <w:sz w:val="20"/>
          <w:szCs w:val="20"/>
          <w:lang w:val="es-DO"/>
        </w:rPr>
        <w:t>e las respectivas categorías</w:t>
      </w:r>
      <w:r w:rsidRPr="000B33B9">
        <w:rPr>
          <w:rFonts w:ascii="Verdana" w:hAnsi="Verdana"/>
          <w:sz w:val="20"/>
          <w:szCs w:val="20"/>
          <w:lang w:val="es-DO"/>
        </w:rPr>
        <w:t xml:space="preserve">”. El artículo 5 de dicho Decreto señala que “[c]ualquier incremento posterior a la nivelación que se otorgue a los servidores públicos en actividad que desempeñen el cargo u otro similar al último cargo en </w:t>
      </w:r>
      <w:r w:rsidR="0010301D" w:rsidRPr="000B33B9">
        <w:rPr>
          <w:rFonts w:ascii="Verdana" w:hAnsi="Verdana"/>
          <w:sz w:val="20"/>
          <w:szCs w:val="20"/>
          <w:lang w:val="es-DO"/>
        </w:rPr>
        <w:t xml:space="preserve">que </w:t>
      </w:r>
      <w:r w:rsidRPr="000B33B9">
        <w:rPr>
          <w:rFonts w:ascii="Verdana" w:hAnsi="Verdana"/>
          <w:sz w:val="20"/>
          <w:szCs w:val="20"/>
          <w:lang w:val="es-DO"/>
        </w:rPr>
        <w:t xml:space="preserve">prestó servicios </w:t>
      </w:r>
      <w:r w:rsidR="0010301D" w:rsidRPr="000B33B9">
        <w:rPr>
          <w:rFonts w:ascii="Verdana" w:hAnsi="Verdana"/>
          <w:sz w:val="20"/>
          <w:szCs w:val="20"/>
          <w:lang w:val="es-DO"/>
        </w:rPr>
        <w:t>el</w:t>
      </w:r>
      <w:r w:rsidRPr="000B33B9">
        <w:rPr>
          <w:rFonts w:ascii="Verdana" w:hAnsi="Verdana"/>
          <w:sz w:val="20"/>
          <w:szCs w:val="20"/>
          <w:lang w:val="es-DO"/>
        </w:rPr>
        <w:t xml:space="preserve"> cesante o jubilado, dará lugar al incremento de la pensión en igual monto que corresponde al servidor en actividad”</w:t>
      </w:r>
      <w:r w:rsidRPr="000B33B9">
        <w:rPr>
          <w:rStyle w:val="Refdenotaalpie"/>
          <w:rFonts w:ascii="Verdana" w:hAnsi="Verdana"/>
          <w:sz w:val="20"/>
          <w:szCs w:val="20"/>
          <w:lang w:val="es-DO"/>
        </w:rPr>
        <w:footnoteReference w:id="38"/>
      </w:r>
      <w:r w:rsidRPr="000B33B9">
        <w:rPr>
          <w:rFonts w:ascii="Verdana" w:hAnsi="Verdana"/>
          <w:sz w:val="20"/>
          <w:szCs w:val="20"/>
          <w:lang w:val="es-DO"/>
        </w:rPr>
        <w:t>. En forma complemen</w:t>
      </w:r>
      <w:r w:rsidR="003B7141" w:rsidRPr="000B33B9">
        <w:rPr>
          <w:rFonts w:ascii="Verdana" w:hAnsi="Verdana"/>
          <w:sz w:val="20"/>
          <w:szCs w:val="20"/>
          <w:lang w:val="es-DO"/>
        </w:rPr>
        <w:t>taria, el Reglamento de la</w:t>
      </w:r>
      <w:r w:rsidRPr="000B33B9">
        <w:rPr>
          <w:rFonts w:ascii="Verdana" w:hAnsi="Verdana"/>
          <w:sz w:val="20"/>
          <w:szCs w:val="20"/>
          <w:lang w:val="es-DO"/>
        </w:rPr>
        <w:t xml:space="preserve"> Ley 23495 señala que “</w:t>
      </w:r>
      <w:r w:rsidR="00E8134D" w:rsidRPr="000B33B9">
        <w:rPr>
          <w:rFonts w:ascii="Verdana" w:hAnsi="Verdana"/>
          <w:sz w:val="20"/>
          <w:szCs w:val="20"/>
          <w:lang w:val="es-DO"/>
        </w:rPr>
        <w:t xml:space="preserve">(…) </w:t>
      </w:r>
      <w:r w:rsidRPr="000B33B9">
        <w:rPr>
          <w:rFonts w:ascii="Verdana" w:hAnsi="Verdana"/>
          <w:sz w:val="20"/>
          <w:szCs w:val="20"/>
          <w:lang w:val="es-DO"/>
        </w:rPr>
        <w:t>para los efectos de la nivelación de pensiones de los cesantes a que se refiere la ley se consideran los servicios prestados bajo el régimen del Decreto Ley 20530, que unifica e integra las normas y disposiciones relativas al régimen de pensiones del personal de la administración pública”</w:t>
      </w:r>
      <w:r w:rsidRPr="000B33B9">
        <w:rPr>
          <w:rStyle w:val="Refdenotaalpie"/>
          <w:rFonts w:ascii="Verdana" w:hAnsi="Verdana"/>
          <w:sz w:val="20"/>
          <w:szCs w:val="20"/>
          <w:lang w:val="es-DO"/>
        </w:rPr>
        <w:footnoteReference w:id="39"/>
      </w:r>
      <w:r w:rsidRPr="000B33B9">
        <w:rPr>
          <w:rFonts w:ascii="Verdana" w:hAnsi="Verdana"/>
          <w:sz w:val="20"/>
          <w:szCs w:val="20"/>
          <w:lang w:val="es-DO"/>
        </w:rPr>
        <w:t>.</w:t>
      </w:r>
    </w:p>
    <w:p w14:paraId="0EBA3B55" w14:textId="77777777" w:rsidR="00B86B27" w:rsidRPr="000B33B9" w:rsidRDefault="00B86B27" w:rsidP="00B86B27">
      <w:pPr>
        <w:spacing w:after="0" w:line="240" w:lineRule="auto"/>
        <w:jc w:val="both"/>
        <w:rPr>
          <w:rFonts w:ascii="Verdana" w:hAnsi="Verdana"/>
          <w:sz w:val="20"/>
          <w:szCs w:val="20"/>
          <w:lang w:val="es-DO"/>
        </w:rPr>
      </w:pPr>
    </w:p>
    <w:p w14:paraId="1982D624" w14:textId="16753E78"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El Decreto Legislativo 639 de 20 d</w:t>
      </w:r>
      <w:r w:rsidR="009346C0" w:rsidRPr="000B33B9">
        <w:rPr>
          <w:rFonts w:ascii="Verdana" w:hAnsi="Verdana"/>
          <w:sz w:val="20"/>
          <w:szCs w:val="20"/>
          <w:lang w:val="es-DO"/>
        </w:rPr>
        <w:t>e junio de 1991 (en</w:t>
      </w:r>
      <w:r w:rsidR="00791A52" w:rsidRPr="000B33B9">
        <w:rPr>
          <w:rFonts w:ascii="Verdana" w:hAnsi="Verdana"/>
          <w:sz w:val="20"/>
          <w:szCs w:val="20"/>
          <w:lang w:val="es-DO"/>
        </w:rPr>
        <w:t xml:space="preserve"> adelante</w:t>
      </w:r>
      <w:r w:rsidRPr="000B33B9">
        <w:rPr>
          <w:rFonts w:ascii="Verdana" w:hAnsi="Verdana"/>
          <w:sz w:val="20"/>
          <w:szCs w:val="20"/>
          <w:lang w:val="es-DO"/>
        </w:rPr>
        <w:t xml:space="preserve"> “Decreto 639”) declaró en reorganización la SUNAT para que adoptara “</w:t>
      </w:r>
      <w:r w:rsidR="00E8134D" w:rsidRPr="000B33B9">
        <w:rPr>
          <w:rFonts w:ascii="Verdana" w:hAnsi="Verdana"/>
          <w:sz w:val="20"/>
          <w:szCs w:val="20"/>
          <w:lang w:val="es-DO"/>
        </w:rPr>
        <w:t xml:space="preserve">(…) </w:t>
      </w:r>
      <w:r w:rsidRPr="000B33B9">
        <w:rPr>
          <w:rFonts w:ascii="Verdana" w:hAnsi="Verdana"/>
          <w:sz w:val="20"/>
          <w:szCs w:val="20"/>
          <w:lang w:val="es-DO"/>
        </w:rPr>
        <w:t>medidas tendientes a la reestructuración orgánica y de racionalización de los recursos que cuenta”</w:t>
      </w:r>
      <w:r w:rsidRPr="000B33B9">
        <w:rPr>
          <w:rStyle w:val="Refdenotaalpie"/>
          <w:rFonts w:ascii="Verdana" w:hAnsi="Verdana"/>
          <w:sz w:val="20"/>
          <w:szCs w:val="20"/>
          <w:lang w:val="es-DO"/>
        </w:rPr>
        <w:footnoteReference w:id="40"/>
      </w:r>
      <w:r w:rsidR="003B7141" w:rsidRPr="000B33B9">
        <w:rPr>
          <w:rFonts w:ascii="Verdana" w:hAnsi="Verdana"/>
          <w:sz w:val="20"/>
          <w:szCs w:val="20"/>
          <w:lang w:val="es-DO"/>
        </w:rPr>
        <w:t>. En virtud de dicho d</w:t>
      </w:r>
      <w:r w:rsidRPr="000B33B9">
        <w:rPr>
          <w:rFonts w:ascii="Verdana" w:hAnsi="Verdana"/>
          <w:sz w:val="20"/>
          <w:szCs w:val="20"/>
          <w:lang w:val="es-DO"/>
        </w:rPr>
        <w:t>ecreto se estableció que</w:t>
      </w:r>
      <w:r w:rsidR="003B7141" w:rsidRPr="000B33B9">
        <w:rPr>
          <w:rFonts w:ascii="Verdana" w:hAnsi="Verdana"/>
          <w:sz w:val="20"/>
          <w:szCs w:val="20"/>
          <w:lang w:val="es-DO"/>
        </w:rPr>
        <w:t>,</w:t>
      </w:r>
      <w:r w:rsidRPr="000B33B9">
        <w:rPr>
          <w:rFonts w:ascii="Verdana" w:hAnsi="Verdana"/>
          <w:sz w:val="20"/>
          <w:szCs w:val="20"/>
          <w:lang w:val="es-DO"/>
        </w:rPr>
        <w:t xml:space="preserve"> una vez definida la estructura orgánica que tendría la SUNAT, el personal postularía para ser sometido a un proceso de selección y calificación. Los empleados que aprobaran dicho proceso serían considerados en un cuadro de asignación de personal. Aquellos que no calificaran, serían declarados “excedentes” y en ese caso “no habría obligación de reubicación en la misma dependencia o en otra</w:t>
      </w:r>
      <w:r w:rsidR="003B7141" w:rsidRPr="000B33B9">
        <w:rPr>
          <w:rFonts w:ascii="Verdana" w:hAnsi="Verdana"/>
          <w:sz w:val="20"/>
          <w:szCs w:val="20"/>
          <w:lang w:val="es-DO"/>
        </w:rPr>
        <w:t xml:space="preserve"> del Sector”. El mismo d</w:t>
      </w:r>
      <w:r w:rsidRPr="000B33B9">
        <w:rPr>
          <w:rFonts w:ascii="Verdana" w:hAnsi="Verdana"/>
          <w:sz w:val="20"/>
          <w:szCs w:val="20"/>
          <w:lang w:val="es-DO"/>
        </w:rPr>
        <w:t>ecreto estableció que aquel personal que no postulara tendría la posibilidad de acogerse al “Programa de Renuncias Voluntarias”, el cual ofrecía una serie de incentivos económicos a los servidores públicos que renunciaran a la carrera administrativa en la SUNAT</w:t>
      </w:r>
      <w:r w:rsidRPr="000B33B9">
        <w:rPr>
          <w:rStyle w:val="Refdenotaalpie"/>
          <w:rFonts w:ascii="Verdana" w:hAnsi="Verdana"/>
          <w:sz w:val="20"/>
          <w:szCs w:val="20"/>
          <w:lang w:val="es-DO"/>
        </w:rPr>
        <w:footnoteReference w:id="41"/>
      </w:r>
      <w:r w:rsidR="00860FB9" w:rsidRPr="000B33B9">
        <w:rPr>
          <w:rFonts w:ascii="Verdana" w:hAnsi="Verdana"/>
          <w:sz w:val="20"/>
          <w:szCs w:val="20"/>
          <w:lang w:val="es-DO"/>
        </w:rPr>
        <w:t xml:space="preserve">, tales como el cómputo de tres y cinco </w:t>
      </w:r>
      <w:r w:rsidRPr="000B33B9">
        <w:rPr>
          <w:rFonts w:ascii="Verdana" w:hAnsi="Verdana"/>
          <w:sz w:val="20"/>
          <w:szCs w:val="20"/>
          <w:lang w:val="es-DO"/>
        </w:rPr>
        <w:t>años adicionales para la compensación por el tiempo de servicio</w:t>
      </w:r>
      <w:r w:rsidRPr="000B33B9">
        <w:rPr>
          <w:rStyle w:val="Refdenotaalpie"/>
          <w:rFonts w:ascii="Verdana" w:hAnsi="Verdana"/>
          <w:sz w:val="20"/>
          <w:szCs w:val="20"/>
          <w:lang w:val="es-DO"/>
        </w:rPr>
        <w:footnoteReference w:id="42"/>
      </w:r>
      <w:r w:rsidRPr="000B33B9">
        <w:rPr>
          <w:rFonts w:ascii="Verdana" w:hAnsi="Verdana"/>
          <w:sz w:val="20"/>
          <w:szCs w:val="20"/>
          <w:lang w:val="es-DO"/>
        </w:rPr>
        <w:t>. En caso de no acogerse a dicho programa o de no aprobar el proceso de selección y calificación, el trabajador sería cesado por “causal de reorganización”</w:t>
      </w:r>
      <w:r w:rsidRPr="000B33B9">
        <w:rPr>
          <w:rStyle w:val="Refdenotaalpie"/>
          <w:rFonts w:ascii="Verdana" w:hAnsi="Verdana"/>
          <w:sz w:val="20"/>
          <w:szCs w:val="20"/>
          <w:lang w:val="es-DO"/>
        </w:rPr>
        <w:footnoteReference w:id="43"/>
      </w:r>
      <w:r w:rsidRPr="000B33B9">
        <w:rPr>
          <w:rFonts w:ascii="Verdana" w:hAnsi="Verdana"/>
          <w:sz w:val="20"/>
          <w:szCs w:val="20"/>
          <w:lang w:val="es-DO"/>
        </w:rPr>
        <w:t>.</w:t>
      </w:r>
    </w:p>
    <w:p w14:paraId="4B5DE7A3" w14:textId="77777777" w:rsidR="00B86B27" w:rsidRPr="000B33B9" w:rsidRDefault="00B86B27" w:rsidP="00B86B27">
      <w:pPr>
        <w:pStyle w:val="Prrafodelista"/>
        <w:rPr>
          <w:rFonts w:ascii="Verdana" w:hAnsi="Verdana"/>
          <w:sz w:val="20"/>
          <w:szCs w:val="20"/>
          <w:lang w:val="es-DO"/>
        </w:rPr>
      </w:pPr>
    </w:p>
    <w:p w14:paraId="6C8C39C5" w14:textId="1A8B625D"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En tanto empleados de la SUNAT sujetos al régimen pensionario del Decreto 20530, las presuntas víctimas del caso decidieron acogerse al Programa de Renuncias Voluntarias dispuesto por el Decreto 639 y, por consiguiente, al cesar de sus cargos les correspondía tanto los beneficios económicos del indicado programa como la nivelación de sus pensiones conforme los haberes de los servidores activos de dicha institución que ocuparan igual o similar posición. Al momento de emitirse el Decreto 639, los servidores de la SUNAT, incluidas las presuntas víctimas del caso, pertenecían al régimen laboral público contemplado por el Decreto Legislativo N</w:t>
      </w:r>
      <w:r w:rsidRPr="000B33B9">
        <w:rPr>
          <w:rFonts w:ascii="Verdana" w:hAnsi="Verdana"/>
          <w:sz w:val="20"/>
          <w:szCs w:val="20"/>
          <w:vertAlign w:val="superscript"/>
          <w:lang w:val="es-DO"/>
        </w:rPr>
        <w:t>o</w:t>
      </w:r>
      <w:r w:rsidRPr="000B33B9">
        <w:rPr>
          <w:rFonts w:ascii="Verdana" w:hAnsi="Verdana"/>
          <w:sz w:val="20"/>
          <w:szCs w:val="20"/>
          <w:lang w:val="es-DO"/>
        </w:rPr>
        <w:t xml:space="preserve"> 276</w:t>
      </w:r>
      <w:r w:rsidR="00E8134D" w:rsidRPr="000B33B9">
        <w:rPr>
          <w:rFonts w:ascii="Verdana" w:hAnsi="Verdana"/>
          <w:sz w:val="20"/>
          <w:szCs w:val="20"/>
          <w:lang w:val="es-DO"/>
        </w:rPr>
        <w:t xml:space="preserve"> (en adelante, “Decreto 276”)</w:t>
      </w:r>
      <w:r w:rsidRPr="000B33B9">
        <w:rPr>
          <w:rFonts w:ascii="Verdana" w:hAnsi="Verdana"/>
          <w:sz w:val="20"/>
          <w:szCs w:val="20"/>
          <w:lang w:val="es-DO"/>
        </w:rPr>
        <w:t xml:space="preserve">, por lo que la nivelación de las pensiones debía realizarse con arreglo a las remuneraciones percibidas bajo dicho régimen. </w:t>
      </w:r>
    </w:p>
    <w:p w14:paraId="5A912770" w14:textId="77777777" w:rsidR="00B86B27" w:rsidRPr="000B33B9" w:rsidRDefault="00B86B27" w:rsidP="00B86B27">
      <w:pPr>
        <w:pStyle w:val="Prrafodelista"/>
        <w:rPr>
          <w:rFonts w:ascii="Verdana" w:hAnsi="Verdana"/>
          <w:sz w:val="20"/>
          <w:szCs w:val="20"/>
          <w:lang w:val="es-DO"/>
        </w:rPr>
      </w:pPr>
    </w:p>
    <w:p w14:paraId="0DA2CAAF" w14:textId="1CDB190D"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Como parte de la “reestructuración orgánica” ordenada por el Decreto 639, el Decreto Legislativo 673 de 23 de septiembre de 1991 (en</w:t>
      </w:r>
      <w:r w:rsidR="00791A52" w:rsidRPr="000B33B9">
        <w:rPr>
          <w:rFonts w:ascii="Verdana" w:hAnsi="Verdana"/>
          <w:sz w:val="20"/>
          <w:szCs w:val="20"/>
          <w:lang w:val="es-DO"/>
        </w:rPr>
        <w:t xml:space="preserve"> adelante </w:t>
      </w:r>
      <w:r w:rsidRPr="000B33B9">
        <w:rPr>
          <w:rFonts w:ascii="Verdana" w:hAnsi="Verdana"/>
          <w:sz w:val="20"/>
          <w:szCs w:val="20"/>
          <w:lang w:val="es-DO"/>
        </w:rPr>
        <w:t xml:space="preserve">“Decreto 673”) modificó el régimen laboral correspondiente al personal de la SUNAT, disponiendo que a partir de su entrada en vigencia sería aplicable el régimen </w:t>
      </w:r>
      <w:r w:rsidR="00721095" w:rsidRPr="000B33B9">
        <w:rPr>
          <w:rFonts w:ascii="Verdana" w:hAnsi="Verdana"/>
          <w:sz w:val="20"/>
          <w:szCs w:val="20"/>
          <w:lang w:val="es-DO"/>
        </w:rPr>
        <w:t>laboral privado del Decreto 4916</w:t>
      </w:r>
      <w:r w:rsidRPr="000B33B9">
        <w:rPr>
          <w:rStyle w:val="Refdenotaalpie"/>
          <w:rFonts w:ascii="Verdana" w:hAnsi="Verdana"/>
          <w:sz w:val="20"/>
          <w:szCs w:val="20"/>
          <w:lang w:val="es-DO"/>
        </w:rPr>
        <w:footnoteReference w:id="44"/>
      </w:r>
      <w:r w:rsidRPr="000B33B9">
        <w:rPr>
          <w:rFonts w:ascii="Verdana" w:hAnsi="Verdana"/>
          <w:sz w:val="20"/>
          <w:szCs w:val="20"/>
          <w:lang w:val="es-DO"/>
        </w:rPr>
        <w:t>. En vista de que el régimen pensionario correspondiente a los trabajado</w:t>
      </w:r>
      <w:r w:rsidR="00721095" w:rsidRPr="000B33B9">
        <w:rPr>
          <w:rFonts w:ascii="Verdana" w:hAnsi="Verdana"/>
          <w:sz w:val="20"/>
          <w:szCs w:val="20"/>
          <w:lang w:val="es-DO"/>
        </w:rPr>
        <w:t>res incluidos en el Decreto 4916</w:t>
      </w:r>
      <w:r w:rsidRPr="000B33B9">
        <w:rPr>
          <w:rFonts w:ascii="Verdana" w:hAnsi="Verdana"/>
          <w:sz w:val="20"/>
          <w:szCs w:val="20"/>
          <w:lang w:val="es-DO"/>
        </w:rPr>
        <w:t xml:space="preserve"> era el Decreto Ley 19990</w:t>
      </w:r>
      <w:r w:rsidRPr="000B33B9">
        <w:rPr>
          <w:rStyle w:val="Refdenotaalpie"/>
          <w:rFonts w:ascii="Verdana" w:hAnsi="Verdana"/>
          <w:sz w:val="20"/>
          <w:szCs w:val="20"/>
          <w:lang w:val="es-DO"/>
        </w:rPr>
        <w:footnoteReference w:id="45"/>
      </w:r>
      <w:r w:rsidRPr="000B33B9">
        <w:rPr>
          <w:rFonts w:ascii="Verdana" w:hAnsi="Verdana"/>
          <w:sz w:val="20"/>
          <w:szCs w:val="20"/>
          <w:lang w:val="es-DO"/>
        </w:rPr>
        <w:t xml:space="preserve"> que, contrario al Decreto Ley 20530, no establecía el beneficio de la nivelación, a los servidores de la SUNAT que habían aprobado el proceso de selección y calificación impuesto por el Decreto 639 se les dio la opción de permanecer sujetos al régimen laboral público del Decreto 276</w:t>
      </w:r>
      <w:r w:rsidRPr="000B33B9">
        <w:rPr>
          <w:rStyle w:val="Refdenotaalpie"/>
          <w:rFonts w:ascii="Verdana" w:hAnsi="Verdana"/>
          <w:sz w:val="20"/>
          <w:szCs w:val="20"/>
          <w:lang w:val="es-DO"/>
        </w:rPr>
        <w:footnoteReference w:id="46"/>
      </w:r>
      <w:r w:rsidR="00E8134D" w:rsidRPr="000B33B9">
        <w:rPr>
          <w:rFonts w:ascii="Verdana" w:hAnsi="Verdana"/>
          <w:sz w:val="20"/>
          <w:szCs w:val="20"/>
          <w:lang w:val="es-DO"/>
        </w:rPr>
        <w:t>.</w:t>
      </w:r>
    </w:p>
    <w:p w14:paraId="39464AA1" w14:textId="77777777" w:rsidR="00B86B27" w:rsidRPr="000B33B9" w:rsidRDefault="00B86B27" w:rsidP="00B86B27">
      <w:pPr>
        <w:pStyle w:val="Prrafodelista"/>
        <w:rPr>
          <w:rFonts w:ascii="Verdana" w:hAnsi="Verdana"/>
          <w:sz w:val="20"/>
          <w:szCs w:val="20"/>
          <w:lang w:val="es-DO"/>
        </w:rPr>
      </w:pPr>
    </w:p>
    <w:p w14:paraId="58A9DF06" w14:textId="43ACCF48"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El artículo 3 d</w:t>
      </w:r>
      <w:r w:rsidR="009346C0" w:rsidRPr="000B33B9">
        <w:rPr>
          <w:rFonts w:ascii="Verdana" w:hAnsi="Verdana"/>
          <w:sz w:val="20"/>
          <w:szCs w:val="20"/>
          <w:lang w:val="es-DO"/>
        </w:rPr>
        <w:t xml:space="preserve">el Decreto 639 estableció que </w:t>
      </w:r>
      <w:r w:rsidRPr="000B33B9">
        <w:rPr>
          <w:rFonts w:ascii="Verdana" w:hAnsi="Verdana"/>
          <w:sz w:val="20"/>
          <w:szCs w:val="20"/>
          <w:lang w:val="es-DO"/>
        </w:rPr>
        <w:t>los servidores de la SUNAT que continuaran acogidos al Decreto 276 tendrían derecho a recibir la remuneración mensual dispuesta para el sector público más “</w:t>
      </w:r>
      <w:r w:rsidR="00A665AF" w:rsidRPr="000B33B9">
        <w:rPr>
          <w:rFonts w:ascii="Verdana" w:hAnsi="Verdana"/>
          <w:sz w:val="20"/>
          <w:szCs w:val="20"/>
          <w:lang w:val="es-DO"/>
        </w:rPr>
        <w:t xml:space="preserve">(…) </w:t>
      </w:r>
      <w:r w:rsidRPr="000B33B9">
        <w:rPr>
          <w:rFonts w:ascii="Verdana" w:hAnsi="Verdana"/>
          <w:sz w:val="20"/>
          <w:szCs w:val="20"/>
          <w:lang w:val="es-DO"/>
        </w:rPr>
        <w:t>la diferencia que existiese con la correspondiente a cargo de similar categoría o nivel remunerativo en la escala salarial establecida por la SUNAT para el personal comprendido en el régimen [privado] de la Ley 4916”. Sin embargo, estableció que “la mayor remuneración” que corresponda por efectos de dicha diferencia “</w:t>
      </w:r>
      <w:r w:rsidR="006B1EC8" w:rsidRPr="000B33B9">
        <w:rPr>
          <w:rFonts w:ascii="Verdana" w:hAnsi="Verdana"/>
          <w:sz w:val="20"/>
          <w:szCs w:val="20"/>
          <w:lang w:val="es-DO"/>
        </w:rPr>
        <w:t xml:space="preserve">(…) </w:t>
      </w:r>
      <w:r w:rsidRPr="000B33B9">
        <w:rPr>
          <w:rFonts w:ascii="Verdana" w:hAnsi="Verdana"/>
          <w:sz w:val="20"/>
          <w:szCs w:val="20"/>
          <w:lang w:val="es-DO"/>
        </w:rPr>
        <w:t>tendrá el carácter de no pensionable para aquellos trabajadores comprendidos en el régimen jubilatorio del Decreto Ley No. 20530”, por lo que “[e]l monto de la compensación por tiempo de servicios, y en su caso el de la pensión por jubilación o cesantía que conforme al Decreto Ley No. 20530 pudiera corresponder al trabajador, se determinarán en base a la remuneración que a la fecha de su cese le correspondería en el régimen laboral del sector público”</w:t>
      </w:r>
      <w:r w:rsidR="00E8134D" w:rsidRPr="000B33B9">
        <w:rPr>
          <w:rStyle w:val="Refdenotaalpie"/>
          <w:rFonts w:ascii="Verdana" w:hAnsi="Verdana"/>
          <w:sz w:val="20"/>
          <w:szCs w:val="20"/>
          <w:lang w:val="es-DO"/>
        </w:rPr>
        <w:footnoteReference w:id="47"/>
      </w:r>
      <w:r w:rsidRPr="000B33B9">
        <w:rPr>
          <w:rFonts w:ascii="Verdana" w:hAnsi="Verdana"/>
          <w:sz w:val="20"/>
          <w:szCs w:val="20"/>
          <w:lang w:val="es-DO"/>
        </w:rPr>
        <w:t xml:space="preserve">. </w:t>
      </w:r>
    </w:p>
    <w:p w14:paraId="07DDCF89" w14:textId="77777777" w:rsidR="00B86B27" w:rsidRPr="000B33B9" w:rsidRDefault="00B86B27" w:rsidP="00B86B27">
      <w:pPr>
        <w:pStyle w:val="Prrafodelista"/>
        <w:rPr>
          <w:rFonts w:ascii="Verdana" w:hAnsi="Verdana"/>
          <w:sz w:val="20"/>
          <w:szCs w:val="20"/>
          <w:lang w:val="es-DO"/>
        </w:rPr>
      </w:pPr>
    </w:p>
    <w:p w14:paraId="636F72E4" w14:textId="01A6B6F6"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De igual manera, la Tercera Disposición Transitoria del Decreto 673 transfirió al Ministerio de Economía y Finanzas </w:t>
      </w:r>
      <w:r w:rsidR="006B1EC8" w:rsidRPr="000B33B9">
        <w:rPr>
          <w:rFonts w:ascii="Verdana" w:hAnsi="Verdana"/>
          <w:sz w:val="20"/>
          <w:szCs w:val="20"/>
          <w:lang w:val="es-DO"/>
        </w:rPr>
        <w:t xml:space="preserve">(en adelante “MEF”) </w:t>
      </w:r>
      <w:r w:rsidRPr="000B33B9">
        <w:rPr>
          <w:rFonts w:ascii="Verdana" w:hAnsi="Verdana"/>
          <w:sz w:val="20"/>
          <w:szCs w:val="20"/>
          <w:lang w:val="es-DO"/>
        </w:rPr>
        <w:t>las atribuciones atinentes a “</w:t>
      </w:r>
      <w:r w:rsidR="006B1EC8" w:rsidRPr="000B33B9">
        <w:rPr>
          <w:rFonts w:ascii="Verdana" w:hAnsi="Verdana"/>
          <w:sz w:val="20"/>
          <w:szCs w:val="20"/>
          <w:lang w:val="es-DO"/>
        </w:rPr>
        <w:t xml:space="preserve">(…) </w:t>
      </w:r>
      <w:r w:rsidRPr="000B33B9">
        <w:rPr>
          <w:rFonts w:ascii="Verdana" w:hAnsi="Verdana"/>
          <w:sz w:val="20"/>
          <w:szCs w:val="20"/>
          <w:lang w:val="es-DO"/>
        </w:rPr>
        <w:t>la recaudación de las aportaciones y la atención de las pensiones, remuneraciones y/o similares que correspondería pagar a la SUNAT a sus pensionistas, jubilados y cesantes comprendidos en el régimen del Decreto Ley 20530, y aquellos servidores a que se refiere el inciso c) del artículo 3° del Decreto Legislativo 639”</w:t>
      </w:r>
      <w:r w:rsidRPr="000B33B9">
        <w:rPr>
          <w:rStyle w:val="Refdenotaalpie"/>
          <w:rFonts w:ascii="Verdana" w:hAnsi="Verdana"/>
          <w:sz w:val="20"/>
          <w:szCs w:val="20"/>
          <w:lang w:val="es-DO"/>
        </w:rPr>
        <w:footnoteReference w:id="48"/>
      </w:r>
      <w:r w:rsidRPr="000B33B9">
        <w:rPr>
          <w:rFonts w:ascii="Verdana" w:hAnsi="Verdana"/>
          <w:sz w:val="20"/>
          <w:szCs w:val="20"/>
          <w:lang w:val="es-DO"/>
        </w:rPr>
        <w:t>. Bajo el entendido de que el Decreto 673 modificaba tanto la entidad a cargo de la liquidación de las pensiones de los jubilados y cesantes del Decreto 20530 como el régimen laboral de los servidores activos de la SUNAT con base a cuyas remuneraciones se realizarían las nivelaciones correspondient</w:t>
      </w:r>
      <w:r w:rsidR="009346C0" w:rsidRPr="000B33B9">
        <w:rPr>
          <w:rFonts w:ascii="Verdana" w:hAnsi="Verdana"/>
          <w:sz w:val="20"/>
          <w:szCs w:val="20"/>
          <w:lang w:val="es-DO"/>
        </w:rPr>
        <w:t xml:space="preserve">es, </w:t>
      </w:r>
      <w:r w:rsidR="00630108" w:rsidRPr="000B33B9">
        <w:rPr>
          <w:rFonts w:ascii="Verdana" w:hAnsi="Verdana"/>
          <w:sz w:val="20"/>
          <w:szCs w:val="20"/>
          <w:lang w:val="es-DO"/>
        </w:rPr>
        <w:t xml:space="preserve">ANCEJUB-SUNAT </w:t>
      </w:r>
      <w:r w:rsidR="00F82A54" w:rsidRPr="000B33B9">
        <w:rPr>
          <w:rFonts w:ascii="Verdana" w:hAnsi="Verdana"/>
          <w:sz w:val="20"/>
          <w:szCs w:val="20"/>
          <w:lang w:val="es-DO"/>
        </w:rPr>
        <w:t xml:space="preserve">presentó </w:t>
      </w:r>
      <w:r w:rsidRPr="000B33B9">
        <w:rPr>
          <w:rFonts w:ascii="Verdana" w:hAnsi="Verdana"/>
          <w:sz w:val="20"/>
          <w:szCs w:val="20"/>
          <w:lang w:val="es-DO"/>
        </w:rPr>
        <w:t>una acc</w:t>
      </w:r>
      <w:r w:rsidR="00630108" w:rsidRPr="000B33B9">
        <w:rPr>
          <w:rFonts w:ascii="Verdana" w:hAnsi="Verdana"/>
          <w:sz w:val="20"/>
          <w:szCs w:val="20"/>
          <w:lang w:val="es-DO"/>
        </w:rPr>
        <w:t>ión de amparo contra el Estado.</w:t>
      </w:r>
    </w:p>
    <w:p w14:paraId="4597708A" w14:textId="77777777" w:rsidR="00B86B27" w:rsidRPr="000B33B9" w:rsidRDefault="00B86B27" w:rsidP="00B86B27">
      <w:pPr>
        <w:spacing w:after="0" w:line="240" w:lineRule="auto"/>
        <w:jc w:val="both"/>
        <w:rPr>
          <w:rFonts w:ascii="Verdana" w:hAnsi="Verdana"/>
          <w:b/>
          <w:sz w:val="20"/>
          <w:szCs w:val="20"/>
          <w:lang w:val="es-DO"/>
        </w:rPr>
      </w:pPr>
    </w:p>
    <w:p w14:paraId="5DC5448F" w14:textId="77777777" w:rsidR="00B86B27" w:rsidRPr="000B33B9" w:rsidRDefault="00B86B27" w:rsidP="007B74AD">
      <w:pPr>
        <w:pStyle w:val="Ttulo2"/>
      </w:pPr>
      <w:bookmarkStart w:id="52" w:name="_Toc27329759"/>
      <w:r w:rsidRPr="000B33B9">
        <w:t>Primera acción de amparo</w:t>
      </w:r>
      <w:bookmarkEnd w:id="52"/>
    </w:p>
    <w:p w14:paraId="73E40766" w14:textId="77777777" w:rsidR="00B86B27" w:rsidRPr="000B33B9" w:rsidRDefault="00B86B27" w:rsidP="00B86B27">
      <w:pPr>
        <w:spacing w:after="0" w:line="240" w:lineRule="auto"/>
        <w:rPr>
          <w:rFonts w:ascii="Verdana" w:hAnsi="Verdana"/>
          <w:b/>
          <w:sz w:val="20"/>
          <w:szCs w:val="20"/>
          <w:lang w:val="es-DO"/>
        </w:rPr>
      </w:pPr>
    </w:p>
    <w:p w14:paraId="0DFCD203" w14:textId="633BE352"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El 19 de diciembre de 1991, ANCEJUB-SUNAT interpuso una acción de amparo </w:t>
      </w:r>
      <w:r w:rsidR="006B1EC8" w:rsidRPr="000B33B9">
        <w:rPr>
          <w:rFonts w:ascii="Verdana" w:hAnsi="Verdana"/>
          <w:sz w:val="20"/>
          <w:szCs w:val="20"/>
          <w:lang w:val="es-DO"/>
        </w:rPr>
        <w:t xml:space="preserve">a fin de </w:t>
      </w:r>
      <w:r w:rsidRPr="000B33B9">
        <w:rPr>
          <w:rFonts w:ascii="Verdana" w:hAnsi="Verdana"/>
          <w:sz w:val="20"/>
          <w:szCs w:val="20"/>
          <w:lang w:val="es-DO"/>
        </w:rPr>
        <w:t xml:space="preserve">impugnar la Tercera Disposición Transitoria del Decreto 673. La demanda fue </w:t>
      </w:r>
      <w:r w:rsidR="00B05765" w:rsidRPr="000B33B9">
        <w:rPr>
          <w:rFonts w:ascii="Verdana" w:hAnsi="Verdana"/>
          <w:sz w:val="20"/>
          <w:szCs w:val="20"/>
          <w:lang w:val="es-DO"/>
        </w:rPr>
        <w:t xml:space="preserve">presentada </w:t>
      </w:r>
      <w:r w:rsidRPr="000B33B9">
        <w:rPr>
          <w:rFonts w:ascii="Verdana" w:hAnsi="Verdana"/>
          <w:sz w:val="20"/>
          <w:szCs w:val="20"/>
          <w:lang w:val="es-DO"/>
        </w:rPr>
        <w:t>con el objeto de garantizar los derechos de los miembros de ANCEJUB-SUNAT a una pensión de cesantía y jubilación reajustable y renovable en función de la remuneración de los servidores públicos en actividad, de forma tal que se reestableciera “</w:t>
      </w:r>
      <w:r w:rsidR="009346C0" w:rsidRPr="000B33B9">
        <w:rPr>
          <w:rFonts w:ascii="Verdana" w:hAnsi="Verdana"/>
          <w:sz w:val="20"/>
          <w:szCs w:val="20"/>
          <w:lang w:val="es-DO"/>
        </w:rPr>
        <w:t xml:space="preserve">(…) </w:t>
      </w:r>
      <w:r w:rsidRPr="000B33B9">
        <w:rPr>
          <w:rFonts w:ascii="Verdana" w:hAnsi="Verdana"/>
          <w:sz w:val="20"/>
          <w:szCs w:val="20"/>
          <w:lang w:val="es-DO"/>
        </w:rPr>
        <w:t>su derecho conculcado a la homologación de dichas pensiones con las remuneraciones de los servidores en actividad y ordenando el reintegro de las sumas indebidamente dejadas de abonar”</w:t>
      </w:r>
      <w:r w:rsidRPr="000B33B9">
        <w:rPr>
          <w:rStyle w:val="Refdenotaalpie"/>
          <w:rFonts w:ascii="Verdana" w:hAnsi="Verdana"/>
          <w:sz w:val="20"/>
          <w:szCs w:val="20"/>
          <w:lang w:val="es-DO"/>
        </w:rPr>
        <w:footnoteReference w:id="49"/>
      </w:r>
      <w:r w:rsidRPr="000B33B9">
        <w:rPr>
          <w:rFonts w:ascii="Verdana" w:hAnsi="Verdana"/>
          <w:sz w:val="20"/>
          <w:szCs w:val="20"/>
          <w:lang w:val="es-DO"/>
        </w:rPr>
        <w:t>. El Quinto Juzgado Especializado en lo Civil de Lima declaró improcedente la demanda por haber “</w:t>
      </w:r>
      <w:r w:rsidR="006B1EC8" w:rsidRPr="000B33B9">
        <w:rPr>
          <w:rFonts w:ascii="Verdana" w:hAnsi="Verdana"/>
          <w:sz w:val="20"/>
          <w:szCs w:val="20"/>
          <w:lang w:val="es-DO"/>
        </w:rPr>
        <w:t xml:space="preserve">(…) </w:t>
      </w:r>
      <w:r w:rsidRPr="000B33B9">
        <w:rPr>
          <w:rFonts w:ascii="Verdana" w:hAnsi="Verdana"/>
          <w:sz w:val="20"/>
          <w:szCs w:val="20"/>
          <w:lang w:val="es-DO"/>
        </w:rPr>
        <w:t>sido interpuesta extemporáneamente, al haber vencido el plazo que estipula la ley”, mediante resolución de fecha 7 de febrero de 1992</w:t>
      </w:r>
      <w:r w:rsidRPr="000B33B9">
        <w:rPr>
          <w:rStyle w:val="Refdenotaalpie"/>
          <w:rFonts w:ascii="Verdana" w:hAnsi="Verdana"/>
          <w:sz w:val="20"/>
          <w:szCs w:val="20"/>
          <w:lang w:val="es-DO"/>
        </w:rPr>
        <w:footnoteReference w:id="50"/>
      </w:r>
      <w:r w:rsidRPr="000B33B9">
        <w:rPr>
          <w:rFonts w:ascii="Verdana" w:hAnsi="Verdana"/>
          <w:sz w:val="20"/>
          <w:szCs w:val="20"/>
          <w:lang w:val="es-DO"/>
        </w:rPr>
        <w:t xml:space="preserve">. La decisión fue apelada por ANCEJUB-SUNAT, y el 11 de septiembre de 1992 la Segunda Sala Civil de la Corte Superior de Lima confirmó la sentencia </w:t>
      </w:r>
      <w:r w:rsidR="009346C0" w:rsidRPr="000B33B9">
        <w:rPr>
          <w:rFonts w:ascii="Verdana" w:hAnsi="Verdana"/>
          <w:sz w:val="20"/>
          <w:szCs w:val="20"/>
          <w:lang w:val="es-DO"/>
        </w:rPr>
        <w:t>impugnada</w:t>
      </w:r>
      <w:r w:rsidRPr="000B33B9">
        <w:rPr>
          <w:rStyle w:val="Refdenotaalpie"/>
          <w:rFonts w:ascii="Verdana" w:hAnsi="Verdana"/>
          <w:sz w:val="20"/>
          <w:szCs w:val="20"/>
          <w:lang w:val="es-DO"/>
        </w:rPr>
        <w:footnoteReference w:id="51"/>
      </w:r>
      <w:r w:rsidRPr="000B33B9">
        <w:rPr>
          <w:rFonts w:ascii="Verdana" w:hAnsi="Verdana"/>
          <w:sz w:val="20"/>
          <w:szCs w:val="20"/>
          <w:lang w:val="es-DO"/>
        </w:rPr>
        <w:t>.</w:t>
      </w:r>
    </w:p>
    <w:p w14:paraId="37117D9B"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350C65D9" w14:textId="30EE508F"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ANCEJUB-SUNAT interpuso un recurso de nulidad, y el 25 de octubre de 1993 la Sala de Derecho Constitucional y Social de la Corte Suprema de Justicia </w:t>
      </w:r>
      <w:r w:rsidR="00791A52" w:rsidRPr="000B33B9">
        <w:rPr>
          <w:rFonts w:ascii="Verdana" w:hAnsi="Verdana"/>
          <w:sz w:val="20"/>
          <w:szCs w:val="20"/>
          <w:lang w:val="es-DO"/>
        </w:rPr>
        <w:t>de la República (en adelante “Corte</w:t>
      </w:r>
      <w:r w:rsidRPr="000B33B9">
        <w:rPr>
          <w:rFonts w:ascii="Verdana" w:hAnsi="Verdana"/>
          <w:sz w:val="20"/>
          <w:szCs w:val="20"/>
          <w:lang w:val="es-DO"/>
        </w:rPr>
        <w:t xml:space="preserve"> Suprema”) declaró fundada la acción de amparo</w:t>
      </w:r>
      <w:r w:rsidRPr="000B33B9">
        <w:rPr>
          <w:rFonts w:ascii="Verdana" w:hAnsi="Verdana"/>
          <w:sz w:val="20"/>
          <w:szCs w:val="20"/>
          <w:lang w:val="es-ES"/>
        </w:rPr>
        <w:t>. En su sentencia, reconoció que “</w:t>
      </w:r>
      <w:r w:rsidR="006B1EC8" w:rsidRPr="000B33B9">
        <w:rPr>
          <w:rFonts w:ascii="Verdana" w:hAnsi="Verdana"/>
          <w:sz w:val="20"/>
          <w:szCs w:val="20"/>
          <w:lang w:val="es-ES"/>
        </w:rPr>
        <w:t xml:space="preserve">(…) </w:t>
      </w:r>
      <w:r w:rsidRPr="000B33B9">
        <w:rPr>
          <w:rFonts w:ascii="Verdana" w:hAnsi="Verdana"/>
          <w:sz w:val="20"/>
          <w:szCs w:val="20"/>
          <w:lang w:val="es-ES"/>
        </w:rPr>
        <w:t>los miembros de la Asociación actora gozan del derecho reconocido a una pensión de jubilación o cesantía al amparo del Decreto Ley [20530]” y “</w:t>
      </w:r>
      <w:r w:rsidR="006B1EC8" w:rsidRPr="000B33B9">
        <w:rPr>
          <w:rFonts w:ascii="Verdana" w:hAnsi="Verdana"/>
          <w:sz w:val="20"/>
          <w:szCs w:val="20"/>
          <w:lang w:val="es-ES"/>
        </w:rPr>
        <w:t xml:space="preserve">(…) </w:t>
      </w:r>
      <w:r w:rsidRPr="000B33B9">
        <w:rPr>
          <w:rFonts w:ascii="Verdana" w:hAnsi="Verdana"/>
          <w:sz w:val="20"/>
          <w:szCs w:val="20"/>
          <w:lang w:val="es-ES"/>
        </w:rPr>
        <w:t>no solo adquirieron el derecho a que dicha pensión sea reajustable y renovable, sino a que tal reajuste se haga en relación a los servidores en actividad de la entidad en la que laboraron”</w:t>
      </w:r>
      <w:r w:rsidR="006B1EC8" w:rsidRPr="000B33B9">
        <w:rPr>
          <w:rStyle w:val="Refdenotaalpie"/>
          <w:rFonts w:ascii="Verdana" w:hAnsi="Verdana"/>
          <w:sz w:val="20"/>
          <w:szCs w:val="20"/>
          <w:lang w:val="es-DO"/>
        </w:rPr>
        <w:footnoteReference w:id="52"/>
      </w:r>
      <w:r w:rsidRPr="000B33B9">
        <w:rPr>
          <w:rFonts w:ascii="Verdana" w:hAnsi="Verdana"/>
          <w:sz w:val="20"/>
          <w:szCs w:val="20"/>
          <w:lang w:val="es-ES"/>
        </w:rPr>
        <w:t>. La parte dispositiva de la sentencia estableció lo siguiente:</w:t>
      </w:r>
    </w:p>
    <w:p w14:paraId="37ABF4B3" w14:textId="77777777" w:rsidR="00B86B27" w:rsidRPr="000B33B9" w:rsidRDefault="00B86B27" w:rsidP="00B86B27">
      <w:pPr>
        <w:spacing w:after="0" w:line="240" w:lineRule="auto"/>
        <w:jc w:val="both"/>
        <w:rPr>
          <w:rFonts w:ascii="Verdana" w:hAnsi="Verdana"/>
          <w:sz w:val="20"/>
          <w:szCs w:val="20"/>
          <w:lang w:val="es-DO"/>
        </w:rPr>
      </w:pPr>
    </w:p>
    <w:p w14:paraId="5AD739B6" w14:textId="09369D7B" w:rsidR="00B86B27" w:rsidRPr="000B33B9" w:rsidRDefault="00B86B27" w:rsidP="00B86B27">
      <w:pPr>
        <w:tabs>
          <w:tab w:val="left" w:pos="8505"/>
        </w:tabs>
        <w:spacing w:after="0" w:line="240" w:lineRule="auto"/>
        <w:ind w:left="720" w:right="855"/>
        <w:jc w:val="both"/>
        <w:rPr>
          <w:rFonts w:ascii="Verdana" w:hAnsi="Verdana"/>
          <w:sz w:val="18"/>
          <w:szCs w:val="18"/>
          <w:lang w:val="es-DO"/>
        </w:rPr>
      </w:pPr>
      <w:r w:rsidRPr="000B33B9">
        <w:rPr>
          <w:rFonts w:ascii="Verdana" w:hAnsi="Verdana"/>
          <w:sz w:val="18"/>
          <w:szCs w:val="18"/>
          <w:lang w:val="es-DO"/>
        </w:rPr>
        <w:t>“(…)</w:t>
      </w:r>
      <w:r w:rsidRPr="000B33B9">
        <w:rPr>
          <w:rFonts w:ascii="Verdana" w:hAnsi="Verdana"/>
          <w:sz w:val="18"/>
          <w:szCs w:val="18"/>
          <w:lang w:val="es-ES"/>
        </w:rPr>
        <w:t xml:space="preserve"> [Se declara]</w:t>
      </w:r>
      <w:r w:rsidRPr="000B33B9">
        <w:rPr>
          <w:rFonts w:ascii="Verdana" w:hAnsi="Verdana"/>
          <w:sz w:val="18"/>
          <w:szCs w:val="18"/>
          <w:lang w:val="es-DO"/>
        </w:rPr>
        <w:t xml:space="preserve"> FUNDADA la referida acción de amparo; en consecuencia inaplicable a los ex-servidores de la Superintendencia Nacional de Administración Tributaria miembros de la Asociación Actora con derecho a percibir pensión de jubilación o cesantía al amparo del Decreto Ley </w:t>
      </w:r>
      <w:r w:rsidRPr="000B33B9">
        <w:rPr>
          <w:rFonts w:ascii="Verdana" w:hAnsi="Verdana"/>
          <w:sz w:val="18"/>
          <w:szCs w:val="18"/>
          <w:lang w:val="es-ES"/>
        </w:rPr>
        <w:t>[20530]</w:t>
      </w:r>
      <w:r w:rsidRPr="000B33B9">
        <w:rPr>
          <w:rFonts w:ascii="Verdana" w:hAnsi="Verdana"/>
          <w:sz w:val="18"/>
          <w:szCs w:val="18"/>
          <w:lang w:val="es-DO"/>
        </w:rPr>
        <w:t xml:space="preserve">, cuyo derecho esté reconocido por la Tercera Disposición Transitoria del Decreto Legislativo </w:t>
      </w:r>
      <w:r w:rsidRPr="000B33B9">
        <w:rPr>
          <w:rFonts w:ascii="Verdana" w:hAnsi="Verdana"/>
          <w:sz w:val="18"/>
          <w:szCs w:val="18"/>
          <w:lang w:val="es-ES"/>
        </w:rPr>
        <w:t>[673]</w:t>
      </w:r>
      <w:r w:rsidRPr="000B33B9">
        <w:rPr>
          <w:rFonts w:ascii="Verdana" w:hAnsi="Verdana"/>
          <w:sz w:val="18"/>
          <w:szCs w:val="18"/>
          <w:lang w:val="es-DO"/>
        </w:rPr>
        <w:t xml:space="preserve">; ordenaron les sea repuesto el derecho a percibir la pensión que les corresponda, nivelada con las remuneraciones de los servidores activos de la Superintendencia Nacional de Administración Tributaria y se les reintegre los incrementos dejados de percibir como consecuencia de la aplicación de la mencionada Tercera Disposición Transitoria del Decreto Legislativo </w:t>
      </w:r>
      <w:r w:rsidRPr="000B33B9">
        <w:rPr>
          <w:rFonts w:ascii="Verdana" w:hAnsi="Verdana"/>
          <w:sz w:val="18"/>
          <w:szCs w:val="18"/>
          <w:lang w:val="es-ES"/>
        </w:rPr>
        <w:t>[673]”.</w:t>
      </w:r>
    </w:p>
    <w:p w14:paraId="0DCDEE49" w14:textId="77777777" w:rsidR="00B86B27" w:rsidRPr="000B33B9" w:rsidRDefault="00B86B27" w:rsidP="00B86B27">
      <w:pPr>
        <w:spacing w:after="0" w:line="240" w:lineRule="auto"/>
        <w:jc w:val="both"/>
        <w:rPr>
          <w:rFonts w:ascii="Verdana" w:hAnsi="Verdana"/>
          <w:sz w:val="20"/>
          <w:szCs w:val="20"/>
          <w:lang w:val="es-DO"/>
        </w:rPr>
      </w:pPr>
    </w:p>
    <w:p w14:paraId="303B20F7" w14:textId="0EF64F46"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El </w:t>
      </w:r>
      <w:r w:rsidR="00116681" w:rsidRPr="000B33B9">
        <w:rPr>
          <w:rFonts w:ascii="Verdana" w:hAnsi="Verdana"/>
          <w:sz w:val="20"/>
          <w:szCs w:val="20"/>
          <w:lang w:val="es-DO"/>
        </w:rPr>
        <w:t xml:space="preserve">MEF </w:t>
      </w:r>
      <w:r w:rsidRPr="000B33B9">
        <w:rPr>
          <w:rFonts w:ascii="Verdana" w:hAnsi="Verdana"/>
          <w:sz w:val="20"/>
          <w:szCs w:val="20"/>
          <w:lang w:val="es-DO"/>
        </w:rPr>
        <w:t>impugnó la decisión de la Corte Suprema mediante un recurso de casación. El 25 de junio de 1996, el Tribunal Constitucional emitió una resolución respecto a la sentencia de 25 de octubre de 1993, mediante la cual ordenó la devolución de los autos a la Corte Suprema para que dispusiera “</w:t>
      </w:r>
      <w:r w:rsidR="00116681" w:rsidRPr="000B33B9">
        <w:rPr>
          <w:rFonts w:ascii="Verdana" w:hAnsi="Verdana"/>
          <w:sz w:val="20"/>
          <w:szCs w:val="20"/>
          <w:lang w:val="es-DO"/>
        </w:rPr>
        <w:t xml:space="preserve">(…) </w:t>
      </w:r>
      <w:r w:rsidRPr="000B33B9">
        <w:rPr>
          <w:rFonts w:ascii="Verdana" w:hAnsi="Verdana"/>
          <w:sz w:val="20"/>
          <w:szCs w:val="20"/>
          <w:lang w:val="es-DO"/>
        </w:rPr>
        <w:t xml:space="preserve">su ejecución con arreglo a la ley”. En dicha resolución dispuso la ejecución de la sentencia de conformidad con la Sexta Disposición Transitoria de la Ley 26435, </w:t>
      </w:r>
      <w:r w:rsidR="00116681" w:rsidRPr="000B33B9">
        <w:rPr>
          <w:rFonts w:ascii="Verdana" w:hAnsi="Verdana"/>
          <w:sz w:val="20"/>
          <w:szCs w:val="20"/>
          <w:lang w:val="es-DO"/>
        </w:rPr>
        <w:t>la cual</w:t>
      </w:r>
      <w:r w:rsidRPr="000B33B9">
        <w:rPr>
          <w:rFonts w:ascii="Verdana" w:hAnsi="Verdana"/>
          <w:sz w:val="20"/>
          <w:szCs w:val="20"/>
          <w:lang w:val="es-DO"/>
        </w:rPr>
        <w:t xml:space="preserve"> dispone lo siguiente: “Las resoluciones favorables a la parte demandante recaídas en los procesos de amparo en que el Estado es parte, y que estuviesen pendientes de casación por el Tribunal de Garantías Constitucionales, se consideran firmes y ejecutables”</w:t>
      </w:r>
      <w:r w:rsidRPr="000B33B9">
        <w:rPr>
          <w:rStyle w:val="Refdenotaalpie"/>
          <w:rFonts w:ascii="Verdana" w:hAnsi="Verdana"/>
          <w:sz w:val="20"/>
          <w:szCs w:val="20"/>
          <w:lang w:val="es-DO"/>
        </w:rPr>
        <w:footnoteReference w:id="53"/>
      </w:r>
      <w:r w:rsidRPr="000B33B9">
        <w:rPr>
          <w:rFonts w:ascii="Verdana" w:hAnsi="Verdana"/>
          <w:sz w:val="20"/>
          <w:szCs w:val="20"/>
          <w:lang w:val="es-DO"/>
        </w:rPr>
        <w:t>.</w:t>
      </w:r>
    </w:p>
    <w:p w14:paraId="676C7147"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078A1871" w14:textId="6D437F1E" w:rsidR="00B86B27" w:rsidRPr="000B33B9" w:rsidRDefault="00B86B27" w:rsidP="007B74B8">
      <w:pPr>
        <w:pStyle w:val="Prrafodelista"/>
        <w:numPr>
          <w:ilvl w:val="0"/>
          <w:numId w:val="10"/>
        </w:numPr>
        <w:spacing w:after="0" w:line="240" w:lineRule="auto"/>
        <w:ind w:left="0" w:firstLine="0"/>
        <w:jc w:val="both"/>
        <w:rPr>
          <w:rFonts w:ascii="Verdana" w:hAnsi="Verdana" w:cs="Times New Roman"/>
          <w:sz w:val="20"/>
          <w:szCs w:val="20"/>
          <w:lang w:val="es-DO"/>
        </w:rPr>
      </w:pPr>
      <w:r w:rsidRPr="000B33B9">
        <w:rPr>
          <w:rFonts w:ascii="Verdana" w:hAnsi="Verdana"/>
          <w:sz w:val="20"/>
          <w:szCs w:val="20"/>
          <w:lang w:val="es-DO"/>
        </w:rPr>
        <w:t xml:space="preserve">El 21 </w:t>
      </w:r>
      <w:r w:rsidR="008B00A1" w:rsidRPr="000B33B9">
        <w:rPr>
          <w:rFonts w:ascii="Verdana" w:hAnsi="Verdana"/>
          <w:sz w:val="20"/>
          <w:szCs w:val="20"/>
          <w:lang w:val="es-DO"/>
        </w:rPr>
        <w:t>de enero de 1997, el Juzgado Pre</w:t>
      </w:r>
      <w:r w:rsidRPr="000B33B9">
        <w:rPr>
          <w:rFonts w:ascii="Verdana" w:hAnsi="Verdana"/>
          <w:sz w:val="20"/>
          <w:szCs w:val="20"/>
          <w:lang w:val="es-DO"/>
        </w:rPr>
        <w:t xml:space="preserve">visional de Lima </w:t>
      </w:r>
      <w:r w:rsidR="008B00A1" w:rsidRPr="000B33B9">
        <w:rPr>
          <w:rFonts w:ascii="Verdana" w:hAnsi="Verdana"/>
          <w:sz w:val="20"/>
          <w:szCs w:val="20"/>
          <w:lang w:val="es-DO"/>
        </w:rPr>
        <w:t xml:space="preserve">(en adelante “Juzgado Previsional”) </w:t>
      </w:r>
      <w:r w:rsidRPr="000B33B9">
        <w:rPr>
          <w:rFonts w:ascii="Verdana" w:hAnsi="Verdana"/>
          <w:sz w:val="20"/>
          <w:szCs w:val="20"/>
          <w:lang w:val="es-DO"/>
        </w:rPr>
        <w:t>emitió una resolución mediante la cual ordenó notificar las sentencias dictadas por la Corte Suprema y el Tribunal Constitucional al Procurador Público de los asuntos relativos al MEF, a la Oficina de Normalización Previsional y al Ministro de Economía, a fin de que “</w:t>
      </w:r>
      <w:r w:rsidR="009346C0" w:rsidRPr="000B33B9">
        <w:rPr>
          <w:rFonts w:ascii="Verdana" w:hAnsi="Verdana"/>
          <w:sz w:val="20"/>
          <w:szCs w:val="20"/>
          <w:lang w:val="es-DO"/>
        </w:rPr>
        <w:t xml:space="preserve">(…) </w:t>
      </w:r>
      <w:r w:rsidRPr="000B33B9">
        <w:rPr>
          <w:rFonts w:ascii="Verdana" w:hAnsi="Verdana"/>
          <w:sz w:val="20"/>
          <w:szCs w:val="20"/>
          <w:lang w:val="es-DO"/>
        </w:rPr>
        <w:t>en el término de ley cumplan con lo ordenado”</w:t>
      </w:r>
      <w:r w:rsidRPr="000B33B9">
        <w:rPr>
          <w:rStyle w:val="Refdenotaalpie"/>
          <w:rFonts w:ascii="Verdana" w:hAnsi="Verdana"/>
          <w:sz w:val="20"/>
          <w:szCs w:val="20"/>
          <w:lang w:val="es-DO"/>
        </w:rPr>
        <w:footnoteReference w:id="54"/>
      </w:r>
      <w:r w:rsidRPr="000B33B9">
        <w:rPr>
          <w:rFonts w:ascii="Verdana" w:hAnsi="Verdana"/>
          <w:sz w:val="20"/>
          <w:szCs w:val="20"/>
          <w:lang w:val="es-DO"/>
        </w:rPr>
        <w:t>. El 18 de febrero de 1997</w:t>
      </w:r>
      <w:r w:rsidR="00116681" w:rsidRPr="000B33B9">
        <w:rPr>
          <w:rFonts w:ascii="Verdana" w:hAnsi="Verdana"/>
          <w:sz w:val="20"/>
          <w:szCs w:val="20"/>
          <w:lang w:val="es-DO"/>
        </w:rPr>
        <w:t>,</w:t>
      </w:r>
      <w:r w:rsidRPr="000B33B9">
        <w:rPr>
          <w:rFonts w:ascii="Verdana" w:hAnsi="Verdana"/>
          <w:sz w:val="20"/>
          <w:szCs w:val="20"/>
          <w:lang w:val="es-DO"/>
        </w:rPr>
        <w:t xml:space="preserve"> el Procurador Público a cargo de los asuntos judiciales del </w:t>
      </w:r>
      <w:r w:rsidR="00116681" w:rsidRPr="000B33B9">
        <w:rPr>
          <w:rFonts w:ascii="Verdana" w:hAnsi="Verdana"/>
          <w:sz w:val="20"/>
          <w:szCs w:val="20"/>
          <w:lang w:val="es-DO"/>
        </w:rPr>
        <w:t xml:space="preserve">MEF </w:t>
      </w:r>
      <w:r w:rsidRPr="000B33B9">
        <w:rPr>
          <w:rFonts w:ascii="Verdana" w:hAnsi="Verdana"/>
          <w:sz w:val="20"/>
          <w:szCs w:val="20"/>
          <w:lang w:val="es-DO"/>
        </w:rPr>
        <w:t>solicitó al Juzgado Previsional que declarara la nulidad de su resolución pues</w:t>
      </w:r>
      <w:r w:rsidR="00116681" w:rsidRPr="000B33B9">
        <w:rPr>
          <w:rFonts w:ascii="Verdana" w:hAnsi="Verdana"/>
          <w:sz w:val="20"/>
          <w:szCs w:val="20"/>
          <w:lang w:val="es-DO"/>
        </w:rPr>
        <w:t>,</w:t>
      </w:r>
      <w:r w:rsidRPr="000B33B9">
        <w:rPr>
          <w:rFonts w:ascii="Verdana" w:hAnsi="Verdana"/>
          <w:sz w:val="20"/>
          <w:szCs w:val="20"/>
          <w:lang w:val="es-DO"/>
        </w:rPr>
        <w:t xml:space="preserve"> debido a que la sentencia de 25 de octubre de 1993 dispuso la inaplicabilidad de la Tercera Disposición Transitoria del Decreto 673, “</w:t>
      </w:r>
      <w:r w:rsidR="00116681" w:rsidRPr="000B33B9">
        <w:rPr>
          <w:rFonts w:ascii="Verdana" w:hAnsi="Verdana"/>
          <w:sz w:val="20"/>
          <w:szCs w:val="20"/>
          <w:lang w:val="es-DO"/>
        </w:rPr>
        <w:t xml:space="preserve">(…) </w:t>
      </w:r>
      <w:r w:rsidRPr="000B33B9">
        <w:rPr>
          <w:rFonts w:ascii="Verdana" w:hAnsi="Verdana"/>
          <w:sz w:val="20"/>
          <w:szCs w:val="20"/>
          <w:lang w:val="es-DO"/>
        </w:rPr>
        <w:t xml:space="preserve">resulta un imposible jurídico que el Ministerio de Economía cumpla con efectuar pago alguno a los pensionistas demandantes, habida cuenta de que la misma resolución deja sin efecto la obligación del MEF de atender dichas pensiones, restituyendo la obligación de pago a la </w:t>
      </w:r>
      <w:r w:rsidR="009346C0" w:rsidRPr="000B33B9">
        <w:rPr>
          <w:rFonts w:ascii="Verdana" w:hAnsi="Verdana"/>
          <w:sz w:val="20"/>
          <w:szCs w:val="20"/>
          <w:lang w:val="es-DO"/>
        </w:rPr>
        <w:t>[SUNAT]</w:t>
      </w:r>
      <w:r w:rsidRPr="000B33B9">
        <w:rPr>
          <w:rFonts w:ascii="Verdana" w:hAnsi="Verdana"/>
          <w:sz w:val="20"/>
          <w:szCs w:val="20"/>
          <w:lang w:val="es-DO"/>
        </w:rPr>
        <w:t>”</w:t>
      </w:r>
      <w:r w:rsidRPr="000B33B9">
        <w:rPr>
          <w:rStyle w:val="Refdenotaalpie"/>
          <w:rFonts w:ascii="Verdana" w:hAnsi="Verdana"/>
          <w:sz w:val="20"/>
          <w:szCs w:val="20"/>
          <w:lang w:val="es-DO"/>
        </w:rPr>
        <w:footnoteReference w:id="55"/>
      </w:r>
      <w:r w:rsidRPr="000B33B9">
        <w:rPr>
          <w:rFonts w:ascii="Verdana" w:hAnsi="Verdana"/>
          <w:sz w:val="20"/>
          <w:szCs w:val="20"/>
          <w:lang w:val="es-ES"/>
        </w:rPr>
        <w:t>.</w:t>
      </w:r>
    </w:p>
    <w:p w14:paraId="772D3C4E" w14:textId="77777777" w:rsidR="00B128F9" w:rsidRPr="000B33B9" w:rsidRDefault="00B128F9" w:rsidP="00B128F9">
      <w:pPr>
        <w:pStyle w:val="Prrafodelista"/>
        <w:spacing w:after="0" w:line="240" w:lineRule="auto"/>
        <w:ind w:left="0"/>
        <w:jc w:val="both"/>
        <w:rPr>
          <w:rFonts w:ascii="Verdana" w:hAnsi="Verdana" w:cs="Times New Roman"/>
          <w:sz w:val="20"/>
          <w:szCs w:val="20"/>
          <w:lang w:val="es-DO"/>
        </w:rPr>
      </w:pPr>
    </w:p>
    <w:p w14:paraId="57D85E32" w14:textId="5386F82B" w:rsidR="00B86B27" w:rsidRPr="000B33B9" w:rsidRDefault="00B86B27" w:rsidP="007B74B8">
      <w:pPr>
        <w:pStyle w:val="Prrafodelista"/>
        <w:numPr>
          <w:ilvl w:val="0"/>
          <w:numId w:val="10"/>
        </w:numPr>
        <w:spacing w:after="0" w:line="240" w:lineRule="auto"/>
        <w:ind w:left="0" w:firstLine="0"/>
        <w:jc w:val="both"/>
        <w:rPr>
          <w:rFonts w:ascii="Verdana" w:hAnsi="Verdana" w:cs="Times New Roman"/>
          <w:sz w:val="20"/>
          <w:szCs w:val="20"/>
          <w:lang w:val="es-DO"/>
        </w:rPr>
      </w:pPr>
      <w:r w:rsidRPr="000B33B9">
        <w:rPr>
          <w:rFonts w:ascii="Verdana" w:hAnsi="Verdana"/>
          <w:sz w:val="20"/>
          <w:szCs w:val="20"/>
          <w:lang w:val="es-DO"/>
        </w:rPr>
        <w:t xml:space="preserve">El 8 de abril de 1997, el Juzgado Previsional acogió la nulidad solicitada por el Procurador Público del </w:t>
      </w:r>
      <w:r w:rsidR="00116681" w:rsidRPr="000B33B9">
        <w:rPr>
          <w:rFonts w:ascii="Verdana" w:hAnsi="Verdana"/>
          <w:sz w:val="20"/>
          <w:szCs w:val="20"/>
          <w:lang w:val="es-DO"/>
        </w:rPr>
        <w:t>MEF</w:t>
      </w:r>
      <w:r w:rsidRPr="000B33B9">
        <w:rPr>
          <w:rFonts w:ascii="Verdana" w:hAnsi="Verdana"/>
          <w:sz w:val="20"/>
          <w:szCs w:val="20"/>
          <w:lang w:val="es-DO"/>
        </w:rPr>
        <w:t xml:space="preserve">, requiriendo en su lugar que la </w:t>
      </w:r>
      <w:r w:rsidR="00116681" w:rsidRPr="000B33B9">
        <w:rPr>
          <w:rFonts w:ascii="Verdana" w:hAnsi="Verdana"/>
          <w:sz w:val="20"/>
          <w:szCs w:val="20"/>
          <w:lang w:val="es-DO"/>
        </w:rPr>
        <w:t>SUNAT</w:t>
      </w:r>
      <w:r w:rsidRPr="000B33B9">
        <w:rPr>
          <w:rFonts w:ascii="Verdana" w:hAnsi="Verdana"/>
          <w:sz w:val="20"/>
          <w:szCs w:val="20"/>
          <w:lang w:val="es-DO"/>
        </w:rPr>
        <w:t xml:space="preserve"> cumpliera con lo dispuesto por las sentencias de la Corte Suprema y el Tribunal Constitucional</w:t>
      </w:r>
      <w:r w:rsidRPr="000B33B9">
        <w:rPr>
          <w:rStyle w:val="Refdenotaalpie"/>
          <w:rFonts w:ascii="Verdana" w:hAnsi="Verdana"/>
          <w:sz w:val="20"/>
          <w:szCs w:val="20"/>
          <w:lang w:val="es-DO"/>
        </w:rPr>
        <w:footnoteReference w:id="56"/>
      </w:r>
      <w:r w:rsidRPr="000B33B9">
        <w:rPr>
          <w:rFonts w:ascii="Verdana" w:hAnsi="Verdana"/>
          <w:sz w:val="20"/>
          <w:szCs w:val="20"/>
          <w:lang w:val="es-DO"/>
        </w:rPr>
        <w:t>. Dicha resolu</w:t>
      </w:r>
      <w:r w:rsidR="00091F4B" w:rsidRPr="000B33B9">
        <w:rPr>
          <w:rFonts w:ascii="Verdana" w:hAnsi="Verdana"/>
          <w:sz w:val="20"/>
          <w:szCs w:val="20"/>
          <w:lang w:val="es-DO"/>
        </w:rPr>
        <w:t xml:space="preserve">ción fue anulada el 18 de agosto </w:t>
      </w:r>
      <w:r w:rsidRPr="000B33B9">
        <w:rPr>
          <w:rFonts w:ascii="Verdana" w:hAnsi="Verdana"/>
          <w:sz w:val="20"/>
          <w:szCs w:val="20"/>
          <w:lang w:val="es-DO"/>
        </w:rPr>
        <w:t>de 1997, pues la S</w:t>
      </w:r>
      <w:r w:rsidR="00091F4B" w:rsidRPr="000B33B9">
        <w:rPr>
          <w:rFonts w:ascii="Verdana" w:hAnsi="Verdana"/>
          <w:sz w:val="20"/>
          <w:szCs w:val="20"/>
          <w:lang w:val="es-DO"/>
        </w:rPr>
        <w:t>UNAT</w:t>
      </w:r>
      <w:r w:rsidRPr="000B33B9">
        <w:rPr>
          <w:rFonts w:ascii="Verdana" w:hAnsi="Verdana"/>
          <w:sz w:val="20"/>
          <w:szCs w:val="20"/>
          <w:lang w:val="es-DO"/>
        </w:rPr>
        <w:t xml:space="preserve"> no pudo ejercer su derecho de defensa dado que no le había sido notificada la solicitud de nulidad. En virtud de ello</w:t>
      </w:r>
      <w:r w:rsidR="00116681" w:rsidRPr="000B33B9">
        <w:rPr>
          <w:rFonts w:ascii="Verdana" w:hAnsi="Verdana"/>
          <w:sz w:val="20"/>
          <w:szCs w:val="20"/>
          <w:lang w:val="es-DO"/>
        </w:rPr>
        <w:t>,</w:t>
      </w:r>
      <w:r w:rsidRPr="000B33B9">
        <w:rPr>
          <w:rFonts w:ascii="Verdana" w:hAnsi="Verdana"/>
          <w:sz w:val="20"/>
          <w:szCs w:val="20"/>
          <w:lang w:val="es-DO"/>
        </w:rPr>
        <w:t xml:space="preserve"> se ordenó al tribunal </w:t>
      </w:r>
      <w:r w:rsidRPr="000B33B9">
        <w:rPr>
          <w:rFonts w:ascii="Verdana" w:hAnsi="Verdana"/>
          <w:i/>
          <w:sz w:val="20"/>
          <w:szCs w:val="20"/>
          <w:lang w:val="es-DO"/>
        </w:rPr>
        <w:t>a quo</w:t>
      </w:r>
      <w:r w:rsidRPr="000B33B9">
        <w:rPr>
          <w:rFonts w:ascii="Verdana" w:hAnsi="Verdana"/>
          <w:sz w:val="20"/>
          <w:szCs w:val="20"/>
          <w:lang w:val="es-DO"/>
        </w:rPr>
        <w:t xml:space="preserve"> comunicar el recurso presentado por el Procurador Público tanto a la referida institución como a ANCEJUB-SUNAT</w:t>
      </w:r>
      <w:r w:rsidRPr="000B33B9">
        <w:rPr>
          <w:rStyle w:val="Refdenotaalpie"/>
          <w:rFonts w:ascii="Verdana" w:hAnsi="Verdana"/>
          <w:sz w:val="20"/>
          <w:szCs w:val="20"/>
          <w:lang w:val="es-DO"/>
        </w:rPr>
        <w:footnoteReference w:id="57"/>
      </w:r>
      <w:r w:rsidRPr="000B33B9">
        <w:rPr>
          <w:rFonts w:ascii="Verdana" w:hAnsi="Verdana"/>
          <w:sz w:val="20"/>
          <w:szCs w:val="20"/>
          <w:lang w:val="es-DO"/>
        </w:rPr>
        <w:t xml:space="preserve">. </w:t>
      </w:r>
    </w:p>
    <w:p w14:paraId="22A29861" w14:textId="77777777" w:rsidR="00B86B27" w:rsidRPr="000B33B9" w:rsidRDefault="00B86B27" w:rsidP="00B86B27">
      <w:pPr>
        <w:pStyle w:val="Prrafodelista"/>
        <w:spacing w:after="0" w:line="240" w:lineRule="auto"/>
        <w:ind w:left="0"/>
        <w:jc w:val="both"/>
        <w:rPr>
          <w:rFonts w:ascii="Verdana" w:hAnsi="Verdana" w:cs="Times New Roman"/>
          <w:sz w:val="20"/>
          <w:szCs w:val="20"/>
          <w:lang w:val="es-DO"/>
        </w:rPr>
      </w:pPr>
    </w:p>
    <w:p w14:paraId="52BC9083" w14:textId="1A1947F8" w:rsidR="00B86B27" w:rsidRPr="000B33B9" w:rsidRDefault="00B86B27" w:rsidP="007B74B8">
      <w:pPr>
        <w:pStyle w:val="Prrafodelista"/>
        <w:numPr>
          <w:ilvl w:val="0"/>
          <w:numId w:val="10"/>
        </w:numPr>
        <w:spacing w:after="0" w:line="240" w:lineRule="auto"/>
        <w:ind w:left="0" w:firstLine="0"/>
        <w:jc w:val="both"/>
        <w:rPr>
          <w:rFonts w:ascii="Verdana" w:hAnsi="Verdana" w:cs="Times New Roman"/>
          <w:sz w:val="20"/>
          <w:szCs w:val="20"/>
          <w:lang w:val="es-DO"/>
        </w:rPr>
      </w:pPr>
      <w:r w:rsidRPr="000B33B9">
        <w:rPr>
          <w:rFonts w:ascii="Verdana" w:hAnsi="Verdana"/>
          <w:sz w:val="20"/>
          <w:szCs w:val="20"/>
          <w:lang w:val="es-DO"/>
        </w:rPr>
        <w:t>El 16 de febrero de 1998, el Primer Juzgado Corporativo Transitorio Especializado en Derecho Público (en adelante “Primer Juzgado Corporativo”) revocó la resolución de 18 de abril de 1997 y declaró “</w:t>
      </w:r>
      <w:r w:rsidR="00FC4350" w:rsidRPr="000B33B9">
        <w:rPr>
          <w:rFonts w:ascii="Verdana" w:hAnsi="Verdana"/>
          <w:sz w:val="20"/>
          <w:szCs w:val="20"/>
          <w:lang w:val="es-DO"/>
        </w:rPr>
        <w:t xml:space="preserve">(…) </w:t>
      </w:r>
      <w:r w:rsidRPr="000B33B9">
        <w:rPr>
          <w:rFonts w:ascii="Verdana" w:hAnsi="Verdana"/>
          <w:sz w:val="20"/>
          <w:szCs w:val="20"/>
          <w:lang w:val="es-DO"/>
        </w:rPr>
        <w:t>infundada la nulidad deducida por el Ministerio de Economía y Finanzas”, ordenándole “</w:t>
      </w:r>
      <w:r w:rsidR="00FC4350" w:rsidRPr="000B33B9">
        <w:rPr>
          <w:rFonts w:ascii="Verdana" w:hAnsi="Verdana"/>
          <w:sz w:val="20"/>
          <w:szCs w:val="20"/>
          <w:lang w:val="es-DO"/>
        </w:rPr>
        <w:t xml:space="preserve">(…) </w:t>
      </w:r>
      <w:r w:rsidRPr="000B33B9">
        <w:rPr>
          <w:rFonts w:ascii="Verdana" w:hAnsi="Verdana"/>
          <w:sz w:val="20"/>
          <w:szCs w:val="20"/>
          <w:lang w:val="es-DO"/>
        </w:rPr>
        <w:t>proseguir el proceso, según su estado”</w:t>
      </w:r>
      <w:r w:rsidRPr="000B33B9">
        <w:rPr>
          <w:rFonts w:ascii="Verdana" w:hAnsi="Verdana"/>
          <w:sz w:val="20"/>
          <w:szCs w:val="20"/>
          <w:lang w:val="es-ES"/>
        </w:rPr>
        <w:t>.</w:t>
      </w:r>
      <w:r w:rsidRPr="000B33B9">
        <w:rPr>
          <w:rFonts w:ascii="Verdana" w:hAnsi="Verdana"/>
          <w:b/>
          <w:sz w:val="20"/>
          <w:szCs w:val="20"/>
          <w:lang w:val="es-ES"/>
        </w:rPr>
        <w:t xml:space="preserve"> </w:t>
      </w:r>
      <w:r w:rsidRPr="000B33B9">
        <w:rPr>
          <w:rFonts w:ascii="Verdana" w:hAnsi="Verdana"/>
          <w:sz w:val="20"/>
          <w:szCs w:val="20"/>
          <w:lang w:val="es-ES"/>
        </w:rPr>
        <w:t xml:space="preserve">En su decisión, el </w:t>
      </w:r>
      <w:r w:rsidR="008745CC" w:rsidRPr="000B33B9">
        <w:rPr>
          <w:rFonts w:ascii="Verdana" w:hAnsi="Verdana"/>
          <w:sz w:val="20"/>
          <w:szCs w:val="20"/>
          <w:lang w:val="es-ES"/>
        </w:rPr>
        <w:t>Primer Juzgado Corporativo</w:t>
      </w:r>
      <w:r w:rsidRPr="000B33B9">
        <w:rPr>
          <w:rFonts w:ascii="Verdana" w:hAnsi="Verdana"/>
          <w:sz w:val="20"/>
          <w:szCs w:val="20"/>
          <w:lang w:val="es-ES"/>
        </w:rPr>
        <w:t xml:space="preserve"> consideró que, debido a que la Tercera Disposición Transitoria del Decreto 673 establecía tanto la transferencia del pago de las pensiones al MEF como su reajuste conforme las remuneraciones abonadas por dicha entidad, la sentencia de 25 de octubre de 1993 debía ejecutarse “</w:t>
      </w:r>
      <w:r w:rsidR="00FC4350" w:rsidRPr="000B33B9">
        <w:rPr>
          <w:rFonts w:ascii="Verdana" w:hAnsi="Verdana"/>
          <w:sz w:val="20"/>
          <w:szCs w:val="20"/>
          <w:lang w:val="es-ES"/>
        </w:rPr>
        <w:t xml:space="preserve">(…) </w:t>
      </w:r>
      <w:r w:rsidRPr="000B33B9">
        <w:rPr>
          <w:rFonts w:ascii="Verdana" w:hAnsi="Verdana"/>
          <w:sz w:val="20"/>
          <w:szCs w:val="20"/>
          <w:lang w:val="es-ES"/>
        </w:rPr>
        <w:t>sin calificar su contenido o sus fundamentos, restringir sus efectos o interpretar sus alcances, tal como lo señala el artículo cuarto de la Ley Orgánica del Poder Judicial”</w:t>
      </w:r>
      <w:r w:rsidRPr="000B33B9">
        <w:rPr>
          <w:rStyle w:val="Refdenotaalpie"/>
          <w:rFonts w:ascii="Verdana" w:hAnsi="Verdana"/>
          <w:sz w:val="20"/>
          <w:szCs w:val="20"/>
          <w:lang w:val="es-DO"/>
        </w:rPr>
        <w:footnoteReference w:id="58"/>
      </w:r>
      <w:r w:rsidRPr="000B33B9">
        <w:rPr>
          <w:rFonts w:ascii="Verdana" w:hAnsi="Verdana"/>
          <w:sz w:val="20"/>
          <w:szCs w:val="20"/>
          <w:lang w:val="es-ES"/>
        </w:rPr>
        <w:t>.</w:t>
      </w:r>
    </w:p>
    <w:p w14:paraId="2700D22D" w14:textId="77777777" w:rsidR="00B86B27" w:rsidRPr="000B33B9" w:rsidRDefault="00B86B27" w:rsidP="00B86B27">
      <w:pPr>
        <w:pStyle w:val="Prrafodelista"/>
        <w:rPr>
          <w:rFonts w:ascii="Verdana" w:hAnsi="Verdana"/>
          <w:sz w:val="20"/>
          <w:szCs w:val="20"/>
          <w:lang w:val="es-ES"/>
        </w:rPr>
      </w:pPr>
    </w:p>
    <w:p w14:paraId="658BC0FE" w14:textId="4F86A093" w:rsidR="00B86B27" w:rsidRPr="000B33B9" w:rsidRDefault="00B86B27" w:rsidP="007B74B8">
      <w:pPr>
        <w:pStyle w:val="Prrafodelista"/>
        <w:numPr>
          <w:ilvl w:val="0"/>
          <w:numId w:val="10"/>
        </w:numPr>
        <w:spacing w:after="0" w:line="240" w:lineRule="auto"/>
        <w:ind w:left="0" w:firstLine="0"/>
        <w:jc w:val="both"/>
        <w:rPr>
          <w:rFonts w:ascii="Verdana" w:hAnsi="Verdana" w:cs="Times New Roman"/>
          <w:sz w:val="20"/>
          <w:szCs w:val="20"/>
          <w:lang w:val="es-DO"/>
        </w:rPr>
      </w:pPr>
      <w:r w:rsidRPr="000B33B9">
        <w:rPr>
          <w:rFonts w:ascii="Verdana" w:hAnsi="Verdana"/>
          <w:sz w:val="20"/>
          <w:szCs w:val="20"/>
          <w:lang w:val="es-ES"/>
        </w:rPr>
        <w:t xml:space="preserve">El 27 de agosto de 1998, la Sala Corporativa Transitoria Especializada de Derecho Público (en adelante “Sala Corporativa”): a) revocó la resolución de 16 de febrero de 1998; b) declaró fundada la solicitud de nulidad incoada por el Procurador Público del MEF; c) declaró “nula e insubsistente” la resolución de 21 de enero de 1997, y d) dispuso que el tribunal </w:t>
      </w:r>
      <w:r w:rsidRPr="000B33B9">
        <w:rPr>
          <w:rFonts w:ascii="Verdana" w:hAnsi="Verdana"/>
          <w:i/>
          <w:sz w:val="20"/>
          <w:szCs w:val="20"/>
          <w:lang w:val="es-ES"/>
        </w:rPr>
        <w:t xml:space="preserve">a quo </w:t>
      </w:r>
      <w:r w:rsidRPr="000B33B9">
        <w:rPr>
          <w:rFonts w:ascii="Verdana" w:hAnsi="Verdana"/>
          <w:sz w:val="20"/>
          <w:szCs w:val="20"/>
          <w:lang w:val="es-ES"/>
        </w:rPr>
        <w:t>emitiera una nueva resolución conforme a las motivaciones dicta</w:t>
      </w:r>
      <w:r w:rsidR="008745CC" w:rsidRPr="000B33B9">
        <w:rPr>
          <w:rFonts w:ascii="Verdana" w:hAnsi="Verdana"/>
          <w:sz w:val="20"/>
          <w:szCs w:val="20"/>
          <w:lang w:val="es-ES"/>
        </w:rPr>
        <w:t xml:space="preserve">das. La Sala Corporativa </w:t>
      </w:r>
      <w:r w:rsidRPr="000B33B9">
        <w:rPr>
          <w:rFonts w:ascii="Verdana" w:hAnsi="Verdana"/>
          <w:sz w:val="20"/>
          <w:szCs w:val="20"/>
          <w:lang w:val="es-ES"/>
        </w:rPr>
        <w:t>señaló que el requerimiento realizado al MEF en cuanto al cumplimiento de la sentencia de 25 de octubre de 1993 “</w:t>
      </w:r>
      <w:r w:rsidR="00FC4350" w:rsidRPr="000B33B9">
        <w:rPr>
          <w:rFonts w:ascii="Verdana" w:hAnsi="Verdana"/>
          <w:sz w:val="20"/>
          <w:szCs w:val="20"/>
          <w:lang w:val="es-ES"/>
        </w:rPr>
        <w:t xml:space="preserve">(…) </w:t>
      </w:r>
      <w:r w:rsidRPr="000B33B9">
        <w:rPr>
          <w:rFonts w:ascii="Verdana" w:hAnsi="Verdana"/>
          <w:sz w:val="20"/>
          <w:szCs w:val="20"/>
          <w:lang w:val="es-ES"/>
        </w:rPr>
        <w:t>vulnera el principio de legalidad del proceso”, dado que dicha sentencia “constituye cosa juzgada” y dispuso el restablecimiento de “</w:t>
      </w:r>
      <w:r w:rsidR="00FC4350" w:rsidRPr="000B33B9">
        <w:rPr>
          <w:rFonts w:ascii="Verdana" w:hAnsi="Verdana"/>
          <w:sz w:val="20"/>
          <w:szCs w:val="20"/>
          <w:lang w:val="es-ES"/>
        </w:rPr>
        <w:t xml:space="preserve">(…) </w:t>
      </w:r>
      <w:r w:rsidRPr="000B33B9">
        <w:rPr>
          <w:rFonts w:ascii="Verdana" w:hAnsi="Verdana"/>
          <w:sz w:val="20"/>
          <w:szCs w:val="20"/>
          <w:lang w:val="es-ES"/>
        </w:rPr>
        <w:t>las cosas al estado anterior al de la demanda”. Asimismo, indicó que la acción de amparo fue interpuesta por ANCEJUB-SUNAT “</w:t>
      </w:r>
      <w:r w:rsidR="008745CC" w:rsidRPr="000B33B9">
        <w:rPr>
          <w:rFonts w:ascii="Verdana" w:hAnsi="Verdana"/>
          <w:sz w:val="20"/>
          <w:szCs w:val="20"/>
          <w:lang w:val="es-ES"/>
        </w:rPr>
        <w:t xml:space="preserve">(…) </w:t>
      </w:r>
      <w:r w:rsidRPr="000B33B9">
        <w:rPr>
          <w:rFonts w:ascii="Verdana" w:hAnsi="Verdana"/>
          <w:sz w:val="20"/>
          <w:szCs w:val="20"/>
          <w:lang w:val="es-ES"/>
        </w:rPr>
        <w:t>sin haber determinado e individualizado a sus integrantes” y fue “</w:t>
      </w:r>
      <w:r w:rsidR="008745CC" w:rsidRPr="000B33B9">
        <w:rPr>
          <w:rFonts w:ascii="Verdana" w:hAnsi="Verdana"/>
          <w:sz w:val="20"/>
          <w:szCs w:val="20"/>
          <w:lang w:val="es-ES"/>
        </w:rPr>
        <w:t xml:space="preserve">(…) </w:t>
      </w:r>
      <w:r w:rsidRPr="000B33B9">
        <w:rPr>
          <w:rFonts w:ascii="Verdana" w:hAnsi="Verdana"/>
          <w:sz w:val="20"/>
          <w:szCs w:val="20"/>
          <w:lang w:val="es-ES"/>
        </w:rPr>
        <w:t>dirigida de forma genérica contra el Estado”</w:t>
      </w:r>
      <w:r w:rsidR="00FC4350" w:rsidRPr="000B33B9">
        <w:rPr>
          <w:rStyle w:val="Refdenotaalpie"/>
          <w:rFonts w:ascii="Verdana" w:hAnsi="Verdana"/>
          <w:sz w:val="20"/>
          <w:szCs w:val="20"/>
          <w:lang w:val="es-ES"/>
        </w:rPr>
        <w:footnoteReference w:id="59"/>
      </w:r>
      <w:r w:rsidRPr="000B33B9">
        <w:rPr>
          <w:rFonts w:ascii="Verdana" w:hAnsi="Verdana"/>
          <w:sz w:val="20"/>
          <w:szCs w:val="20"/>
          <w:lang w:val="es-ES"/>
        </w:rPr>
        <w:t>, considerando además lo siguiente:</w:t>
      </w:r>
    </w:p>
    <w:p w14:paraId="3D77B667" w14:textId="77777777" w:rsidR="00B86B27" w:rsidRPr="000B33B9" w:rsidRDefault="00B86B27" w:rsidP="00B86B27">
      <w:pPr>
        <w:spacing w:after="0" w:line="240" w:lineRule="auto"/>
        <w:jc w:val="both"/>
        <w:rPr>
          <w:rFonts w:ascii="Verdana" w:hAnsi="Verdana"/>
          <w:b/>
          <w:sz w:val="20"/>
          <w:szCs w:val="20"/>
          <w:lang w:val="es-DO"/>
        </w:rPr>
      </w:pPr>
    </w:p>
    <w:p w14:paraId="349D5700" w14:textId="55E3A4F7" w:rsidR="00B86B27" w:rsidRPr="000B33B9" w:rsidRDefault="00B86B27" w:rsidP="00B86B27">
      <w:pPr>
        <w:spacing w:after="0" w:line="240" w:lineRule="auto"/>
        <w:ind w:left="706" w:right="1094"/>
        <w:jc w:val="both"/>
        <w:rPr>
          <w:rFonts w:ascii="Verdana" w:hAnsi="Verdana" w:cs="Times New Roman"/>
          <w:sz w:val="18"/>
          <w:szCs w:val="18"/>
          <w:lang w:val="es-DO"/>
        </w:rPr>
      </w:pPr>
      <w:r w:rsidRPr="000B33B9">
        <w:rPr>
          <w:rFonts w:ascii="Verdana" w:hAnsi="Verdana"/>
          <w:sz w:val="18"/>
          <w:szCs w:val="18"/>
          <w:lang w:val="es-ES"/>
        </w:rPr>
        <w:t xml:space="preserve"> “</w:t>
      </w:r>
      <w:r w:rsidR="008745CC" w:rsidRPr="000B33B9">
        <w:rPr>
          <w:rFonts w:ascii="Verdana" w:hAnsi="Verdana"/>
          <w:sz w:val="18"/>
          <w:szCs w:val="18"/>
          <w:lang w:val="es-ES"/>
        </w:rPr>
        <w:t xml:space="preserve">(…) </w:t>
      </w:r>
      <w:r w:rsidRPr="000B33B9">
        <w:rPr>
          <w:rFonts w:ascii="Verdana" w:hAnsi="Verdana"/>
          <w:sz w:val="18"/>
          <w:szCs w:val="18"/>
          <w:lang w:val="es-ES"/>
        </w:rPr>
        <w:t>Con este antecedente, al vializar la ejecución en el caso corresponde que cada uno de los agremiados de la actora, debidamente individualizados instrumenten ante la entidad administrativa que mantenga el acervo documentario de sus pensiones, los pertinentes procesos en los que idóneamente se permita el ajuste de liquidaciones y el cabal cumplimiento de sus derechos reconocidos jurisdiccionalmente en esta sede”.</w:t>
      </w:r>
    </w:p>
    <w:p w14:paraId="131F5CB7" w14:textId="77777777" w:rsidR="00B86B27" w:rsidRPr="000B33B9" w:rsidRDefault="00B86B27" w:rsidP="00B86B27">
      <w:pPr>
        <w:spacing w:after="0" w:line="240" w:lineRule="auto"/>
        <w:jc w:val="both"/>
        <w:rPr>
          <w:rFonts w:ascii="Verdana" w:hAnsi="Verdana"/>
          <w:b/>
          <w:sz w:val="20"/>
          <w:szCs w:val="20"/>
          <w:lang w:val="es-DO"/>
        </w:rPr>
      </w:pPr>
    </w:p>
    <w:p w14:paraId="3534976C" w14:textId="5FF73074"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El 2 de octubre de 1998, el Primer Juzgado Corporativo emitió una nueva resolución en la que declaró improcedente el requerimiento sobre la ejecución de pago y, “</w:t>
      </w:r>
      <w:r w:rsidR="008745CC" w:rsidRPr="000B33B9">
        <w:rPr>
          <w:rFonts w:ascii="Verdana" w:hAnsi="Verdana"/>
          <w:sz w:val="20"/>
          <w:szCs w:val="20"/>
          <w:lang w:val="es-DO"/>
        </w:rPr>
        <w:t xml:space="preserve">(…) </w:t>
      </w:r>
      <w:r w:rsidRPr="000B33B9">
        <w:rPr>
          <w:rFonts w:ascii="Verdana" w:hAnsi="Verdana"/>
          <w:sz w:val="20"/>
          <w:szCs w:val="20"/>
          <w:lang w:val="es-DO"/>
        </w:rPr>
        <w:t>dejando a salvo el derecho de los integrantes de [la] asociación demandante para que lo hagan valer en la forma y modo que correspond</w:t>
      </w:r>
      <w:r w:rsidR="009346C0" w:rsidRPr="000B33B9">
        <w:rPr>
          <w:rFonts w:ascii="Verdana" w:hAnsi="Verdana"/>
          <w:sz w:val="20"/>
          <w:szCs w:val="20"/>
          <w:lang w:val="es-DO"/>
        </w:rPr>
        <w:t>a</w:t>
      </w:r>
      <w:r w:rsidRPr="000B33B9">
        <w:rPr>
          <w:rFonts w:ascii="Verdana" w:hAnsi="Verdana"/>
          <w:sz w:val="20"/>
          <w:szCs w:val="20"/>
          <w:lang w:val="es-DO"/>
        </w:rPr>
        <w:t xml:space="preserve">”, juzgó que se imponía “la necesidad” de </w:t>
      </w:r>
      <w:r w:rsidR="00F82A54" w:rsidRPr="000B33B9">
        <w:rPr>
          <w:rFonts w:ascii="Verdana" w:hAnsi="Verdana"/>
          <w:sz w:val="20"/>
          <w:szCs w:val="20"/>
          <w:lang w:val="es-DO"/>
        </w:rPr>
        <w:t xml:space="preserve">que </w:t>
      </w:r>
      <w:r w:rsidRPr="000B33B9">
        <w:rPr>
          <w:rFonts w:ascii="Verdana" w:hAnsi="Verdana"/>
          <w:sz w:val="20"/>
          <w:szCs w:val="20"/>
          <w:lang w:val="es-DO"/>
        </w:rPr>
        <w:t>cada uno instaurara de modo individual “</w:t>
      </w:r>
      <w:r w:rsidR="008745CC" w:rsidRPr="000B33B9">
        <w:rPr>
          <w:rFonts w:ascii="Verdana" w:hAnsi="Verdana"/>
          <w:sz w:val="20"/>
          <w:szCs w:val="20"/>
          <w:lang w:val="es-DO"/>
        </w:rPr>
        <w:t xml:space="preserve">(…) </w:t>
      </w:r>
      <w:r w:rsidRPr="000B33B9">
        <w:rPr>
          <w:rFonts w:ascii="Verdana" w:hAnsi="Verdana"/>
          <w:sz w:val="20"/>
          <w:szCs w:val="20"/>
          <w:lang w:val="es-DO"/>
        </w:rPr>
        <w:t>el pertinente trámite administrativo y/o jurisdiccional en su caso, en el que con amplitud se pueda establecer el aspecto económico en cuestión”</w:t>
      </w:r>
      <w:r w:rsidRPr="000B33B9">
        <w:rPr>
          <w:rStyle w:val="Refdenotaalpie"/>
          <w:rFonts w:ascii="Verdana" w:hAnsi="Verdana"/>
          <w:sz w:val="20"/>
          <w:szCs w:val="20"/>
          <w:lang w:val="es-DO"/>
        </w:rPr>
        <w:footnoteReference w:id="60"/>
      </w:r>
      <w:r w:rsidRPr="000B33B9">
        <w:rPr>
          <w:rFonts w:ascii="Verdana" w:hAnsi="Verdana"/>
          <w:sz w:val="20"/>
          <w:szCs w:val="20"/>
          <w:lang w:val="es-ES"/>
        </w:rPr>
        <w:t>. Dicha resolución fue apelada por ANCEJUB-SUNAT</w:t>
      </w:r>
      <w:r w:rsidRPr="000B33B9">
        <w:rPr>
          <w:rStyle w:val="Refdenotaalpie"/>
          <w:rFonts w:ascii="Verdana" w:hAnsi="Verdana"/>
          <w:sz w:val="20"/>
          <w:szCs w:val="20"/>
          <w:lang w:val="es-ES"/>
        </w:rPr>
        <w:footnoteReference w:id="61"/>
      </w:r>
      <w:r w:rsidRPr="000B33B9">
        <w:rPr>
          <w:rFonts w:ascii="Verdana" w:hAnsi="Verdana"/>
          <w:sz w:val="20"/>
          <w:szCs w:val="20"/>
          <w:lang w:val="es-ES"/>
        </w:rPr>
        <w:t>. El 21 de ene</w:t>
      </w:r>
      <w:r w:rsidR="005A6DD6" w:rsidRPr="000B33B9">
        <w:rPr>
          <w:rFonts w:ascii="Verdana" w:hAnsi="Verdana"/>
          <w:sz w:val="20"/>
          <w:szCs w:val="20"/>
          <w:lang w:val="es-ES"/>
        </w:rPr>
        <w:t xml:space="preserve">ro de 1999, la Sala Corporativa </w:t>
      </w:r>
      <w:r w:rsidRPr="000B33B9">
        <w:rPr>
          <w:rFonts w:ascii="Verdana" w:hAnsi="Verdana"/>
          <w:sz w:val="20"/>
          <w:szCs w:val="20"/>
          <w:lang w:val="es-ES"/>
        </w:rPr>
        <w:t>confirmó la resolución apelada y declaró improcedente el requerimiento de ejecución en la modalidad propuesta por ANCEJUB-SUNAT por estimar que, “</w:t>
      </w:r>
      <w:r w:rsidR="008745CC" w:rsidRPr="000B33B9">
        <w:rPr>
          <w:rFonts w:ascii="Verdana" w:hAnsi="Verdana"/>
          <w:sz w:val="20"/>
          <w:szCs w:val="20"/>
          <w:lang w:val="es-ES"/>
        </w:rPr>
        <w:t xml:space="preserve">(…) </w:t>
      </w:r>
      <w:r w:rsidRPr="000B33B9">
        <w:rPr>
          <w:rFonts w:ascii="Verdana" w:hAnsi="Verdana"/>
          <w:sz w:val="20"/>
          <w:szCs w:val="20"/>
          <w:lang w:val="es-ES"/>
        </w:rPr>
        <w:t>si bien es cierto que los fallos finales emitidos en los procesos de garantía se ejecutarán siguiendo las pautas del ordenamiento adjetivo</w:t>
      </w:r>
      <w:r w:rsidR="009346C0" w:rsidRPr="000B33B9">
        <w:rPr>
          <w:rFonts w:ascii="Verdana" w:hAnsi="Verdana"/>
          <w:sz w:val="20"/>
          <w:szCs w:val="20"/>
          <w:lang w:val="es-ES"/>
        </w:rPr>
        <w:t xml:space="preserve"> civil</w:t>
      </w:r>
      <w:r w:rsidRPr="000B33B9">
        <w:rPr>
          <w:rFonts w:ascii="Verdana" w:hAnsi="Verdana"/>
          <w:sz w:val="20"/>
          <w:szCs w:val="20"/>
          <w:lang w:val="es-ES"/>
        </w:rPr>
        <w:t>”, en este caso “</w:t>
      </w:r>
      <w:r w:rsidR="008745CC" w:rsidRPr="000B33B9">
        <w:rPr>
          <w:rFonts w:ascii="Verdana" w:hAnsi="Verdana"/>
          <w:sz w:val="20"/>
          <w:szCs w:val="20"/>
          <w:lang w:val="es-ES"/>
        </w:rPr>
        <w:t xml:space="preserve">(…) </w:t>
      </w:r>
      <w:r w:rsidRPr="000B33B9">
        <w:rPr>
          <w:rFonts w:ascii="Verdana" w:hAnsi="Verdana"/>
          <w:sz w:val="20"/>
          <w:szCs w:val="20"/>
          <w:lang w:val="es-ES"/>
        </w:rPr>
        <w:t>no se cuenta con acervo documental ni otros elementos que permiten al Juzgador [ordenar] la ejecución que se pretende”</w:t>
      </w:r>
      <w:r w:rsidRPr="000B33B9">
        <w:rPr>
          <w:rStyle w:val="Refdenotaalpie"/>
          <w:rFonts w:ascii="Verdana" w:hAnsi="Verdana"/>
          <w:sz w:val="20"/>
          <w:szCs w:val="20"/>
          <w:lang w:val="es-ES"/>
        </w:rPr>
        <w:footnoteReference w:id="62"/>
      </w:r>
      <w:r w:rsidRPr="000B33B9">
        <w:rPr>
          <w:rFonts w:ascii="Verdana" w:hAnsi="Verdana"/>
          <w:sz w:val="20"/>
          <w:szCs w:val="20"/>
          <w:lang w:val="es-ES"/>
        </w:rPr>
        <w:t>.</w:t>
      </w:r>
    </w:p>
    <w:p w14:paraId="3DA1D3E4" w14:textId="77777777" w:rsidR="00B86B27" w:rsidRPr="000B33B9" w:rsidRDefault="00B86B27" w:rsidP="00B86B27">
      <w:pPr>
        <w:spacing w:after="0" w:line="240" w:lineRule="auto"/>
        <w:jc w:val="both"/>
        <w:rPr>
          <w:rFonts w:ascii="Verdana" w:hAnsi="Verdana"/>
          <w:sz w:val="20"/>
          <w:szCs w:val="20"/>
          <w:lang w:val="es-DO"/>
        </w:rPr>
      </w:pPr>
    </w:p>
    <w:p w14:paraId="044A9A83" w14:textId="77777777" w:rsidR="00B86B27" w:rsidRPr="000B33B9" w:rsidRDefault="00B86B27" w:rsidP="007B74AD">
      <w:pPr>
        <w:pStyle w:val="Ttulo2"/>
      </w:pPr>
      <w:bookmarkStart w:id="53" w:name="_Toc27329760"/>
      <w:r w:rsidRPr="000B33B9">
        <w:t>Segunda acción de amparo</w:t>
      </w:r>
      <w:bookmarkEnd w:id="53"/>
    </w:p>
    <w:p w14:paraId="3D164E69" w14:textId="77777777" w:rsidR="00B86B27" w:rsidRPr="000B33B9" w:rsidRDefault="00B86B27" w:rsidP="00B86B27">
      <w:pPr>
        <w:spacing w:after="0" w:line="240" w:lineRule="auto"/>
        <w:rPr>
          <w:rFonts w:ascii="Verdana" w:hAnsi="Verdana"/>
          <w:sz w:val="20"/>
          <w:szCs w:val="20"/>
          <w:lang w:val="es-DO"/>
        </w:rPr>
      </w:pPr>
    </w:p>
    <w:p w14:paraId="1BCADC2D" w14:textId="49BEC025"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El 23 de abril de 1999, ANCEJUB-SUNAT interpuso una acción de amparo contra los jueces de la </w:t>
      </w:r>
      <w:r w:rsidRPr="000B33B9">
        <w:rPr>
          <w:rFonts w:ascii="Verdana" w:hAnsi="Verdana"/>
          <w:sz w:val="20"/>
          <w:szCs w:val="20"/>
          <w:lang w:val="es-ES"/>
        </w:rPr>
        <w:t xml:space="preserve">Sala </w:t>
      </w:r>
      <w:r w:rsidR="005A6DD6" w:rsidRPr="000B33B9">
        <w:rPr>
          <w:rFonts w:ascii="Verdana" w:hAnsi="Verdana"/>
          <w:sz w:val="20"/>
          <w:szCs w:val="20"/>
          <w:lang w:val="es-ES"/>
        </w:rPr>
        <w:t>Corporativa</w:t>
      </w:r>
      <w:r w:rsidRPr="000B33B9">
        <w:rPr>
          <w:rStyle w:val="Refdenotaalpie"/>
          <w:rFonts w:ascii="Verdana" w:hAnsi="Verdana"/>
          <w:sz w:val="20"/>
          <w:szCs w:val="20"/>
          <w:lang w:val="es-ES"/>
        </w:rPr>
        <w:footnoteReference w:id="63"/>
      </w:r>
      <w:r w:rsidRPr="000B33B9">
        <w:rPr>
          <w:rFonts w:ascii="Verdana" w:hAnsi="Verdana"/>
          <w:sz w:val="20"/>
          <w:szCs w:val="20"/>
          <w:lang w:val="es-ES"/>
        </w:rPr>
        <w:t>, con el objeto de que se declararan inaplicables las resoluciones emitidas por dicho tribunal en fechas 27 de agosto de 1998 y 21 de enero de 1999</w:t>
      </w:r>
      <w:r w:rsidRPr="000B33B9">
        <w:rPr>
          <w:rFonts w:ascii="Verdana" w:hAnsi="Verdana"/>
          <w:sz w:val="20"/>
          <w:szCs w:val="20"/>
          <w:lang w:val="es-DO"/>
        </w:rPr>
        <w:t xml:space="preserve">. El 25 de noviembre de 1999, la </w:t>
      </w:r>
      <w:r w:rsidRPr="000B33B9">
        <w:rPr>
          <w:rFonts w:ascii="Verdana" w:hAnsi="Verdana"/>
          <w:sz w:val="20"/>
          <w:szCs w:val="20"/>
          <w:lang w:val="es-ES"/>
        </w:rPr>
        <w:t xml:space="preserve">Sala Corporativa </w:t>
      </w:r>
      <w:r w:rsidRPr="000B33B9">
        <w:rPr>
          <w:rFonts w:ascii="Verdana" w:hAnsi="Verdana"/>
          <w:sz w:val="20"/>
          <w:szCs w:val="20"/>
          <w:lang w:val="es-DO"/>
        </w:rPr>
        <w:t>declaró improcedente el amparo al considerar que la ejecución propuesta por ANCEJUB-SUNAT “</w:t>
      </w:r>
      <w:r w:rsidR="005A6DD6" w:rsidRPr="000B33B9">
        <w:rPr>
          <w:rFonts w:ascii="Verdana" w:hAnsi="Verdana"/>
          <w:sz w:val="20"/>
          <w:szCs w:val="20"/>
          <w:lang w:val="es-DO"/>
        </w:rPr>
        <w:t xml:space="preserve">(…) </w:t>
      </w:r>
      <w:r w:rsidRPr="000B33B9">
        <w:rPr>
          <w:rFonts w:ascii="Verdana" w:hAnsi="Verdana"/>
          <w:sz w:val="20"/>
          <w:szCs w:val="20"/>
          <w:lang w:val="es-DO"/>
        </w:rPr>
        <w:t>no resulta procedente, por cuanto la demanda fue planteada sin haberse determinado o individualizado sus integrantes”, de manera que es necesario que cada uno instrumente los “</w:t>
      </w:r>
      <w:r w:rsidR="009346C0" w:rsidRPr="000B33B9">
        <w:rPr>
          <w:rFonts w:ascii="Verdana" w:hAnsi="Verdana"/>
          <w:sz w:val="20"/>
          <w:szCs w:val="20"/>
          <w:lang w:val="es-DO"/>
        </w:rPr>
        <w:t>pertinentes procesos</w:t>
      </w:r>
      <w:r w:rsidRPr="000B33B9">
        <w:rPr>
          <w:rFonts w:ascii="Verdana" w:hAnsi="Verdana"/>
          <w:sz w:val="20"/>
          <w:szCs w:val="20"/>
          <w:lang w:val="es-DO"/>
        </w:rPr>
        <w:t>” ante “la entidad administrativa que mantenga el acervo documentario de sus pensiones” para que “</w:t>
      </w:r>
      <w:r w:rsidR="005A6DD6" w:rsidRPr="000B33B9">
        <w:rPr>
          <w:rFonts w:ascii="Verdana" w:hAnsi="Verdana"/>
          <w:sz w:val="20"/>
          <w:szCs w:val="20"/>
          <w:lang w:val="es-DO"/>
        </w:rPr>
        <w:t xml:space="preserve">(…) </w:t>
      </w:r>
      <w:r w:rsidRPr="000B33B9">
        <w:rPr>
          <w:rFonts w:ascii="Verdana" w:hAnsi="Verdana"/>
          <w:sz w:val="20"/>
          <w:szCs w:val="20"/>
          <w:lang w:val="es-DO"/>
        </w:rPr>
        <w:t>haciendo uso de todos los elementos de probanza, puedan viabilizar y concretizar sus derechos amparados” y que el amparo no es “la vía idónea para tal propósito” ni para solicitar el pago de los gastos y costas procesales, por “ser de naturaleza excepcional, careciendo de etapa probatoria”</w:t>
      </w:r>
      <w:r w:rsidR="005A6DD6" w:rsidRPr="000B33B9">
        <w:rPr>
          <w:rStyle w:val="Refdenotaalpie"/>
          <w:rFonts w:ascii="Verdana" w:hAnsi="Verdana"/>
          <w:sz w:val="20"/>
          <w:szCs w:val="20"/>
          <w:lang w:val="es-DO"/>
        </w:rPr>
        <w:footnoteReference w:id="64"/>
      </w:r>
      <w:r w:rsidRPr="000B33B9">
        <w:rPr>
          <w:rFonts w:ascii="Verdana" w:hAnsi="Verdana"/>
          <w:sz w:val="20"/>
          <w:szCs w:val="20"/>
          <w:lang w:val="es-DO"/>
        </w:rPr>
        <w:t>.</w:t>
      </w:r>
    </w:p>
    <w:p w14:paraId="506D6F81"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115B9ACE" w14:textId="0F6FD0CB"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ANCEJUB-SUNAT apeló dicha resolución y, al respecto, la Fiscalía Suprema en lo Contencioso Administrativo emitió el dictamen 588-2000-MP-FN-FSCA, dirigido el 6 de abril de 2000 al presidente de la Corte Suprema, en el que estimó “fundada la demanda”</w:t>
      </w:r>
      <w:r w:rsidRPr="000B33B9">
        <w:rPr>
          <w:rStyle w:val="Refdenotaalpie"/>
          <w:rFonts w:ascii="Verdana" w:hAnsi="Verdana"/>
          <w:sz w:val="20"/>
          <w:szCs w:val="20"/>
          <w:lang w:val="es-DO"/>
        </w:rPr>
        <w:footnoteReference w:id="65"/>
      </w:r>
      <w:r w:rsidRPr="000B33B9">
        <w:rPr>
          <w:rFonts w:ascii="Verdana" w:hAnsi="Verdana"/>
          <w:sz w:val="20"/>
          <w:szCs w:val="20"/>
          <w:lang w:val="es-DO"/>
        </w:rPr>
        <w:t>. E</w:t>
      </w:r>
      <w:r w:rsidRPr="000B33B9">
        <w:rPr>
          <w:rFonts w:ascii="Verdana" w:hAnsi="Verdana"/>
          <w:sz w:val="20"/>
          <w:szCs w:val="20"/>
          <w:lang w:val="es-ES"/>
        </w:rPr>
        <w:t>l 25 de agosto de 2000, l</w:t>
      </w:r>
      <w:r w:rsidRPr="000B33B9">
        <w:rPr>
          <w:rFonts w:ascii="Verdana" w:hAnsi="Verdana"/>
          <w:sz w:val="20"/>
          <w:szCs w:val="20"/>
          <w:lang w:val="es-DO"/>
        </w:rPr>
        <w:t xml:space="preserve">a Corte Suprema confirmó la sentencia apelada y declaró improcedente la acción </w:t>
      </w:r>
      <w:r w:rsidR="00E14D45" w:rsidRPr="000B33B9">
        <w:rPr>
          <w:rFonts w:ascii="Verdana" w:hAnsi="Verdana"/>
          <w:sz w:val="20"/>
          <w:szCs w:val="20"/>
          <w:lang w:val="es-DO"/>
        </w:rPr>
        <w:t>de amparo, por considerar que: a</w:t>
      </w:r>
      <w:r w:rsidRPr="000B33B9">
        <w:rPr>
          <w:rFonts w:ascii="Verdana" w:hAnsi="Verdana"/>
          <w:sz w:val="20"/>
          <w:szCs w:val="20"/>
          <w:lang w:val="es-DO"/>
        </w:rPr>
        <w:t>) “</w:t>
      </w:r>
      <w:r w:rsidR="008B00A1" w:rsidRPr="000B33B9">
        <w:rPr>
          <w:rFonts w:ascii="Verdana" w:hAnsi="Verdana"/>
          <w:sz w:val="20"/>
          <w:szCs w:val="20"/>
          <w:lang w:val="es-DO"/>
        </w:rPr>
        <w:t xml:space="preserve">(…) </w:t>
      </w:r>
      <w:r w:rsidRPr="000B33B9">
        <w:rPr>
          <w:rFonts w:ascii="Verdana" w:hAnsi="Verdana"/>
          <w:sz w:val="20"/>
          <w:szCs w:val="20"/>
          <w:lang w:val="es-DO"/>
        </w:rPr>
        <w:t>la sentencia expedida en el proceso de amparo se limita a la pretensión ventilada (…) consistente en el derecho a la nivelación, mas no al pa</w:t>
      </w:r>
      <w:r w:rsidR="00E14D45" w:rsidRPr="000B33B9">
        <w:rPr>
          <w:rFonts w:ascii="Verdana" w:hAnsi="Verdana"/>
          <w:sz w:val="20"/>
          <w:szCs w:val="20"/>
          <w:lang w:val="es-DO"/>
        </w:rPr>
        <w:t>go de la obligación misma”, y b</w:t>
      </w:r>
      <w:r w:rsidRPr="000B33B9">
        <w:rPr>
          <w:rFonts w:ascii="Verdana" w:hAnsi="Verdana"/>
          <w:sz w:val="20"/>
          <w:szCs w:val="20"/>
          <w:lang w:val="es-DO"/>
        </w:rPr>
        <w:t>) “</w:t>
      </w:r>
      <w:r w:rsidR="008B00A1" w:rsidRPr="000B33B9">
        <w:rPr>
          <w:rFonts w:ascii="Verdana" w:hAnsi="Verdana"/>
          <w:sz w:val="20"/>
          <w:szCs w:val="20"/>
          <w:lang w:val="es-DO"/>
        </w:rPr>
        <w:t xml:space="preserve">(…) </w:t>
      </w:r>
      <w:r w:rsidRPr="000B33B9">
        <w:rPr>
          <w:rFonts w:ascii="Verdana" w:hAnsi="Verdana"/>
          <w:sz w:val="20"/>
          <w:szCs w:val="20"/>
          <w:lang w:val="es-DO"/>
        </w:rPr>
        <w:t>la liquidación debe practicarse de modo individual a favor de cada uno de los cesantes y jubilados (…) ante el órgano administrativo correspondiente”</w:t>
      </w:r>
      <w:r w:rsidRPr="000B33B9">
        <w:rPr>
          <w:rStyle w:val="Refdenotaalpie"/>
          <w:rFonts w:ascii="Verdana" w:hAnsi="Verdana"/>
          <w:sz w:val="20"/>
          <w:szCs w:val="20"/>
          <w:lang w:val="es-DO"/>
        </w:rPr>
        <w:footnoteReference w:id="66"/>
      </w:r>
      <w:r w:rsidRPr="000B33B9">
        <w:rPr>
          <w:rFonts w:ascii="Verdana" w:hAnsi="Verdana"/>
          <w:sz w:val="20"/>
          <w:szCs w:val="20"/>
          <w:lang w:val="es-DO"/>
        </w:rPr>
        <w:t xml:space="preserve">. </w:t>
      </w:r>
    </w:p>
    <w:p w14:paraId="024E9CBE"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1CDFD894" w14:textId="632E71BC"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ANCEJUB-SUNAT presentó un recurso extraordinario ante el Tribunal Constitucional, que subsecuentemente expidió la sentencia de 10 de mayo de 2001. El Tribunal Constitucional revocó la decisión impugnada, declaró fundada la acción de amparo y dispuso la “plena validez y vigencia” de la resolución dictada por el Juzgado Previsional el 21 de enero de 1997. En sus motivaciones, el Tribunal Constitucional señaló que “</w:t>
      </w:r>
      <w:r w:rsidR="008B00A1" w:rsidRPr="000B33B9">
        <w:rPr>
          <w:rFonts w:ascii="Verdana" w:hAnsi="Verdana"/>
          <w:sz w:val="20"/>
          <w:szCs w:val="20"/>
          <w:lang w:val="es-DO"/>
        </w:rPr>
        <w:t xml:space="preserve">(…) </w:t>
      </w:r>
      <w:r w:rsidRPr="000B33B9">
        <w:rPr>
          <w:rFonts w:ascii="Verdana" w:hAnsi="Verdana"/>
          <w:sz w:val="20"/>
          <w:szCs w:val="20"/>
          <w:lang w:val="es-DO"/>
        </w:rPr>
        <w:t>la sentencia firme recaída en una acción de garantía, es una resolución final con autoridad de cosa juzgada inmutable, y es en virtud de ello que debe ser ejecutada en los términos</w:t>
      </w:r>
      <w:r w:rsidR="00E14D45" w:rsidRPr="000B33B9">
        <w:rPr>
          <w:rFonts w:ascii="Verdana" w:hAnsi="Verdana"/>
          <w:sz w:val="20"/>
          <w:szCs w:val="20"/>
          <w:lang w:val="es-DO"/>
        </w:rPr>
        <w:t xml:space="preserve"> que dicha resolución contenga”</w:t>
      </w:r>
      <w:r w:rsidRPr="000B33B9">
        <w:rPr>
          <w:rStyle w:val="Refdenotaalpie"/>
          <w:rFonts w:ascii="Verdana" w:hAnsi="Verdana"/>
          <w:sz w:val="20"/>
          <w:szCs w:val="20"/>
          <w:lang w:val="es-DO"/>
        </w:rPr>
        <w:footnoteReference w:id="67"/>
      </w:r>
      <w:r w:rsidR="009346C0" w:rsidRPr="000B33B9">
        <w:rPr>
          <w:rFonts w:ascii="Verdana" w:hAnsi="Verdana"/>
          <w:sz w:val="20"/>
          <w:szCs w:val="20"/>
          <w:lang w:val="es-ES"/>
        </w:rPr>
        <w:t>.</w:t>
      </w:r>
    </w:p>
    <w:p w14:paraId="5284580B"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3A328A45" w14:textId="35B7A622"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DO"/>
        </w:rPr>
        <w:t xml:space="preserve">El 25 de marzo de 2002, la Sexta Sala Civil de la Corte Superior de Justicia de Lima requirió </w:t>
      </w:r>
      <w:r w:rsidR="00031854" w:rsidRPr="000B33B9">
        <w:rPr>
          <w:rFonts w:ascii="Verdana" w:hAnsi="Verdana"/>
          <w:sz w:val="20"/>
          <w:szCs w:val="20"/>
          <w:lang w:val="es-DO"/>
        </w:rPr>
        <w:t>al</w:t>
      </w:r>
      <w:r w:rsidRPr="000B33B9">
        <w:rPr>
          <w:rFonts w:ascii="Verdana" w:hAnsi="Verdana"/>
          <w:sz w:val="20"/>
          <w:szCs w:val="20"/>
          <w:lang w:val="es-DO"/>
        </w:rPr>
        <w:t xml:space="preserve"> juez del Sexagésimo Tercer Juzgado Especializado en lo Civil de Lima </w:t>
      </w:r>
      <w:r w:rsidR="008B00A1" w:rsidRPr="000B33B9">
        <w:rPr>
          <w:rFonts w:ascii="Verdana" w:hAnsi="Verdana"/>
          <w:sz w:val="20"/>
          <w:szCs w:val="20"/>
          <w:lang w:val="es-DO"/>
        </w:rPr>
        <w:t>(en adelante “Sexagésimo Tercer Juzgado</w:t>
      </w:r>
      <w:r w:rsidR="00C66BDD" w:rsidRPr="000B33B9">
        <w:rPr>
          <w:rFonts w:ascii="Verdana" w:hAnsi="Verdana"/>
          <w:sz w:val="20"/>
          <w:szCs w:val="20"/>
          <w:lang w:val="es-DO"/>
        </w:rPr>
        <w:t>”</w:t>
      </w:r>
      <w:r w:rsidR="008B00A1" w:rsidRPr="000B33B9">
        <w:rPr>
          <w:rFonts w:ascii="Verdana" w:hAnsi="Verdana"/>
          <w:sz w:val="20"/>
          <w:szCs w:val="20"/>
          <w:lang w:val="es-DO"/>
        </w:rPr>
        <w:t xml:space="preserve">) </w:t>
      </w:r>
      <w:r w:rsidRPr="000B33B9">
        <w:rPr>
          <w:rFonts w:ascii="Verdana" w:hAnsi="Verdana"/>
          <w:sz w:val="20"/>
          <w:szCs w:val="20"/>
          <w:lang w:val="es-DO"/>
        </w:rPr>
        <w:t>que cumpliera “</w:t>
      </w:r>
      <w:r w:rsidR="00C66BDD" w:rsidRPr="000B33B9">
        <w:rPr>
          <w:rFonts w:ascii="Verdana" w:hAnsi="Verdana"/>
          <w:sz w:val="20"/>
          <w:szCs w:val="20"/>
          <w:lang w:val="es-DO"/>
        </w:rPr>
        <w:t xml:space="preserve">(…) </w:t>
      </w:r>
      <w:r w:rsidRPr="000B33B9">
        <w:rPr>
          <w:rFonts w:ascii="Verdana" w:hAnsi="Verdana"/>
          <w:sz w:val="20"/>
          <w:szCs w:val="20"/>
          <w:lang w:val="es-DO"/>
        </w:rPr>
        <w:t xml:space="preserve">con lo expresamente ordenado por el Tribunal Constitucional mediante resolución de fecha </w:t>
      </w:r>
      <w:r w:rsidRPr="000B33B9">
        <w:rPr>
          <w:rFonts w:ascii="Verdana" w:hAnsi="Verdana"/>
          <w:sz w:val="20"/>
          <w:szCs w:val="20"/>
          <w:lang w:val="es-ES"/>
        </w:rPr>
        <w:t>[10] de mayo de [2001]”</w:t>
      </w:r>
      <w:r w:rsidRPr="000B33B9">
        <w:rPr>
          <w:rStyle w:val="Refdenotaalpie"/>
          <w:rFonts w:ascii="Verdana" w:hAnsi="Verdana"/>
          <w:sz w:val="20"/>
          <w:szCs w:val="20"/>
          <w:lang w:val="es-ES"/>
        </w:rPr>
        <w:footnoteReference w:id="68"/>
      </w:r>
      <w:r w:rsidRPr="000B33B9">
        <w:rPr>
          <w:rFonts w:ascii="Verdana" w:hAnsi="Verdana"/>
          <w:sz w:val="20"/>
          <w:szCs w:val="20"/>
          <w:lang w:val="es-ES"/>
        </w:rPr>
        <w:t xml:space="preserve">. El 11 de abril de 2002, el </w:t>
      </w:r>
      <w:r w:rsidRPr="000B33B9">
        <w:rPr>
          <w:rFonts w:ascii="Verdana" w:hAnsi="Verdana"/>
          <w:sz w:val="20"/>
          <w:szCs w:val="20"/>
          <w:lang w:val="es-DO"/>
        </w:rPr>
        <w:t xml:space="preserve">Sexagésimo Tercer Juzgado emitió una resolución en la que ordenó tanto a la </w:t>
      </w:r>
      <w:r w:rsidR="00C66BDD" w:rsidRPr="000B33B9">
        <w:rPr>
          <w:rFonts w:ascii="Verdana" w:hAnsi="Verdana"/>
          <w:sz w:val="20"/>
          <w:szCs w:val="20"/>
          <w:lang w:val="es-DO"/>
        </w:rPr>
        <w:t>SUNAT</w:t>
      </w:r>
      <w:r w:rsidRPr="000B33B9">
        <w:rPr>
          <w:rFonts w:ascii="Verdana" w:hAnsi="Verdana"/>
          <w:sz w:val="20"/>
          <w:szCs w:val="20"/>
          <w:lang w:val="es-DO"/>
        </w:rPr>
        <w:t xml:space="preserve"> como al </w:t>
      </w:r>
      <w:r w:rsidR="00C66BDD" w:rsidRPr="000B33B9">
        <w:rPr>
          <w:rFonts w:ascii="Verdana" w:hAnsi="Verdana"/>
          <w:sz w:val="20"/>
          <w:szCs w:val="20"/>
          <w:lang w:val="es-DO"/>
        </w:rPr>
        <w:t>MEF</w:t>
      </w:r>
      <w:r w:rsidRPr="000B33B9">
        <w:rPr>
          <w:rFonts w:ascii="Verdana" w:hAnsi="Verdana"/>
          <w:sz w:val="20"/>
          <w:szCs w:val="20"/>
          <w:lang w:val="es-DO"/>
        </w:rPr>
        <w:t xml:space="preserve"> que dieran “estricto cumplimiento</w:t>
      </w:r>
      <w:r w:rsidR="00031854" w:rsidRPr="000B33B9">
        <w:rPr>
          <w:rFonts w:ascii="Verdana" w:hAnsi="Verdana"/>
          <w:sz w:val="20"/>
          <w:szCs w:val="20"/>
          <w:lang w:val="es-DO"/>
        </w:rPr>
        <w:t xml:space="preserve"> a la sentencia</w:t>
      </w:r>
      <w:r w:rsidRPr="000B33B9">
        <w:rPr>
          <w:rFonts w:ascii="Verdana" w:hAnsi="Verdana"/>
          <w:sz w:val="20"/>
          <w:szCs w:val="20"/>
          <w:lang w:val="es-DO"/>
        </w:rPr>
        <w:t xml:space="preserve"> del Tribunal Constitucional, de fecha </w:t>
      </w:r>
      <w:r w:rsidRPr="000B33B9">
        <w:rPr>
          <w:rFonts w:ascii="Verdana" w:hAnsi="Verdana"/>
          <w:sz w:val="20"/>
          <w:szCs w:val="20"/>
          <w:lang w:val="es-ES"/>
        </w:rPr>
        <w:t>[10] de mayo de [2001]”</w:t>
      </w:r>
      <w:r w:rsidRPr="000B33B9">
        <w:rPr>
          <w:rStyle w:val="Refdenotaalpie"/>
          <w:rFonts w:ascii="Verdana" w:hAnsi="Verdana"/>
          <w:sz w:val="20"/>
          <w:szCs w:val="20"/>
          <w:lang w:val="es-ES"/>
        </w:rPr>
        <w:footnoteReference w:id="69"/>
      </w:r>
      <w:r w:rsidRPr="000B33B9">
        <w:rPr>
          <w:rFonts w:ascii="Verdana" w:hAnsi="Verdana"/>
          <w:sz w:val="20"/>
          <w:szCs w:val="20"/>
          <w:lang w:val="es-ES"/>
        </w:rPr>
        <w:t xml:space="preserve">. El 15 de mayo de 2002, ANCEJUB-SUNAT presentó ante dicho juzgado </w:t>
      </w:r>
      <w:r w:rsidRPr="000B33B9">
        <w:rPr>
          <w:rFonts w:ascii="Verdana" w:hAnsi="Verdana"/>
          <w:sz w:val="20"/>
          <w:szCs w:val="20"/>
          <w:lang w:val="es-DO"/>
        </w:rPr>
        <w:t>un listado de descuentos de cesantes de la SUNAT y, el 24 de mayo de 2002, depositó el registro de sus asociados</w:t>
      </w:r>
      <w:r w:rsidRPr="000B33B9">
        <w:rPr>
          <w:rStyle w:val="Refdenotaalpie"/>
          <w:rFonts w:ascii="Verdana" w:hAnsi="Verdana"/>
          <w:sz w:val="20"/>
          <w:szCs w:val="20"/>
          <w:lang w:val="es-DO"/>
        </w:rPr>
        <w:footnoteReference w:id="70"/>
      </w:r>
      <w:r w:rsidRPr="000B33B9">
        <w:rPr>
          <w:rFonts w:ascii="Verdana" w:hAnsi="Verdana"/>
          <w:sz w:val="20"/>
          <w:szCs w:val="20"/>
          <w:lang w:val="es-ES"/>
        </w:rPr>
        <w:t xml:space="preserve"> y un informe pericial sobre “</w:t>
      </w:r>
      <w:r w:rsidR="00C66BDD" w:rsidRPr="000B33B9">
        <w:rPr>
          <w:rFonts w:ascii="Verdana" w:hAnsi="Verdana"/>
          <w:sz w:val="20"/>
          <w:szCs w:val="20"/>
          <w:lang w:val="es-ES"/>
        </w:rPr>
        <w:t xml:space="preserve">(…) </w:t>
      </w:r>
      <w:r w:rsidRPr="000B33B9">
        <w:rPr>
          <w:rFonts w:ascii="Verdana" w:hAnsi="Verdana"/>
          <w:sz w:val="20"/>
          <w:szCs w:val="20"/>
          <w:lang w:val="es-ES"/>
        </w:rPr>
        <w:t>la nivelación de las pensiones y reintegros no percibidos y las liquidaciones de reintegros de la totalidad de [sus] miembros”</w:t>
      </w:r>
      <w:r w:rsidRPr="000B33B9">
        <w:rPr>
          <w:rStyle w:val="Refdenotaalpie"/>
          <w:rFonts w:ascii="Verdana" w:hAnsi="Verdana"/>
          <w:sz w:val="20"/>
          <w:szCs w:val="20"/>
          <w:lang w:val="es-ES"/>
        </w:rPr>
        <w:footnoteReference w:id="71"/>
      </w:r>
      <w:r w:rsidRPr="000B33B9">
        <w:rPr>
          <w:rFonts w:ascii="Verdana" w:hAnsi="Verdana"/>
          <w:sz w:val="20"/>
          <w:szCs w:val="20"/>
          <w:lang w:val="es-ES"/>
        </w:rPr>
        <w:t>.</w:t>
      </w:r>
    </w:p>
    <w:p w14:paraId="3FEF3E9A"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460E332F" w14:textId="233152BC"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ES"/>
        </w:rPr>
        <w:t xml:space="preserve">El 24 de junio de 2002, el </w:t>
      </w:r>
      <w:r w:rsidRPr="000B33B9">
        <w:rPr>
          <w:rFonts w:ascii="Verdana" w:hAnsi="Verdana"/>
          <w:sz w:val="20"/>
          <w:szCs w:val="20"/>
          <w:lang w:val="es-DO"/>
        </w:rPr>
        <w:t>Sexagésimo Tercer Juzgado emitió una resolución en la que reconoció que, “</w:t>
      </w:r>
      <w:r w:rsidR="00C66BDD" w:rsidRPr="000B33B9">
        <w:rPr>
          <w:rFonts w:ascii="Verdana" w:hAnsi="Verdana"/>
          <w:sz w:val="20"/>
          <w:szCs w:val="20"/>
          <w:lang w:val="es-DO"/>
        </w:rPr>
        <w:t xml:space="preserve">(…) </w:t>
      </w:r>
      <w:r w:rsidRPr="000B33B9">
        <w:rPr>
          <w:rFonts w:ascii="Verdana" w:hAnsi="Verdana"/>
          <w:sz w:val="20"/>
          <w:szCs w:val="20"/>
          <w:lang w:val="es-DO"/>
        </w:rPr>
        <w:t>de la información y documentación contenida en el presente expediente”, resultaba “evidente” que “</w:t>
      </w:r>
      <w:r w:rsidR="00C66BDD" w:rsidRPr="000B33B9">
        <w:rPr>
          <w:rFonts w:ascii="Verdana" w:hAnsi="Verdana"/>
          <w:sz w:val="20"/>
          <w:szCs w:val="20"/>
          <w:lang w:val="es-DO"/>
        </w:rPr>
        <w:t xml:space="preserve">(…) </w:t>
      </w:r>
      <w:r w:rsidRPr="000B33B9">
        <w:rPr>
          <w:rFonts w:ascii="Verdana" w:hAnsi="Verdana"/>
          <w:sz w:val="20"/>
          <w:szCs w:val="20"/>
          <w:lang w:val="es-DO"/>
        </w:rPr>
        <w:t xml:space="preserve">la parte demandante en este proceso está constituida por todos los miembros integrantes de la </w:t>
      </w:r>
      <w:r w:rsidRPr="000B33B9">
        <w:rPr>
          <w:rFonts w:ascii="Verdana" w:hAnsi="Verdana"/>
          <w:sz w:val="20"/>
          <w:szCs w:val="20"/>
          <w:lang w:val="es-ES"/>
        </w:rPr>
        <w:t>[ANCEJUB-SUNAT]”</w:t>
      </w:r>
      <w:r w:rsidR="00C66BDD" w:rsidRPr="000B33B9">
        <w:rPr>
          <w:rStyle w:val="Refdenotaalpie"/>
          <w:rFonts w:ascii="Verdana" w:hAnsi="Verdana"/>
          <w:sz w:val="20"/>
          <w:szCs w:val="20"/>
          <w:lang w:val="es-DO"/>
        </w:rPr>
        <w:footnoteReference w:id="72"/>
      </w:r>
      <w:r w:rsidRPr="000B33B9">
        <w:rPr>
          <w:rFonts w:ascii="Verdana" w:hAnsi="Verdana"/>
          <w:sz w:val="20"/>
          <w:szCs w:val="20"/>
          <w:lang w:val="es-ES"/>
        </w:rPr>
        <w:t xml:space="preserve">. Mediante esta resolución, dicho juzgado requirió nuevamente a la SUNAT y al </w:t>
      </w:r>
      <w:r w:rsidR="00C66BDD" w:rsidRPr="000B33B9">
        <w:rPr>
          <w:rFonts w:ascii="Verdana" w:hAnsi="Verdana"/>
          <w:sz w:val="20"/>
          <w:szCs w:val="20"/>
          <w:lang w:val="es-ES"/>
        </w:rPr>
        <w:t>MEF</w:t>
      </w:r>
      <w:r w:rsidRPr="000B33B9">
        <w:rPr>
          <w:rFonts w:ascii="Verdana" w:hAnsi="Verdana"/>
          <w:sz w:val="20"/>
          <w:szCs w:val="20"/>
          <w:lang w:val="es-ES"/>
        </w:rPr>
        <w:t xml:space="preserve"> lo siguiente: </w:t>
      </w:r>
    </w:p>
    <w:p w14:paraId="29CE591C" w14:textId="77777777" w:rsidR="00B86B27" w:rsidRPr="000B33B9" w:rsidRDefault="00B86B27" w:rsidP="00B86B27">
      <w:pPr>
        <w:spacing w:after="0" w:line="240" w:lineRule="auto"/>
        <w:jc w:val="both"/>
        <w:rPr>
          <w:rFonts w:ascii="Verdana" w:hAnsi="Verdana"/>
          <w:sz w:val="20"/>
          <w:szCs w:val="20"/>
          <w:lang w:val="es-ES"/>
        </w:rPr>
      </w:pPr>
    </w:p>
    <w:p w14:paraId="6C3D4223" w14:textId="5A0A8AFC" w:rsidR="00B86B27" w:rsidRPr="000B33B9" w:rsidRDefault="00B86B27" w:rsidP="00B86B27">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 xml:space="preserve">“(…) que en el plazo de tres días cumpla[n] con efectuar el pago de la pensión que les corresponde, nivelada con las remuneraciones de los servidores activos de la </w:t>
      </w:r>
      <w:r w:rsidR="00031854" w:rsidRPr="000B33B9">
        <w:rPr>
          <w:rFonts w:ascii="Verdana" w:hAnsi="Verdana"/>
          <w:sz w:val="18"/>
          <w:szCs w:val="18"/>
          <w:lang w:val="es-ES"/>
        </w:rPr>
        <w:t>[SUNAT]</w:t>
      </w:r>
      <w:r w:rsidRPr="000B33B9">
        <w:rPr>
          <w:rFonts w:ascii="Verdana" w:hAnsi="Verdana"/>
          <w:sz w:val="18"/>
          <w:szCs w:val="18"/>
          <w:lang w:val="es-ES"/>
        </w:rPr>
        <w:t xml:space="preserve"> y se les reintegre los incrementos dejados de percibir como consecuencia de la aplicación de la mencionada Tercera Disposición Transitoria del Decreto Legislativo [673] a la TOTALIDAD DE ASOCIADOS de la demandante </w:t>
      </w:r>
      <w:r w:rsidR="00031854" w:rsidRPr="000B33B9">
        <w:rPr>
          <w:rFonts w:ascii="Verdana" w:hAnsi="Verdana"/>
          <w:sz w:val="18"/>
          <w:szCs w:val="18"/>
          <w:lang w:val="es-ES"/>
        </w:rPr>
        <w:t>[</w:t>
      </w:r>
      <w:r w:rsidRPr="000B33B9">
        <w:rPr>
          <w:rFonts w:ascii="Verdana" w:hAnsi="Verdana"/>
          <w:sz w:val="18"/>
          <w:szCs w:val="18"/>
          <w:lang w:val="es-ES"/>
        </w:rPr>
        <w:t>ANCEJUB-SUNAT</w:t>
      </w:r>
      <w:r w:rsidR="00031854" w:rsidRPr="000B33B9">
        <w:rPr>
          <w:rFonts w:ascii="Verdana" w:hAnsi="Verdana"/>
          <w:sz w:val="18"/>
          <w:szCs w:val="18"/>
          <w:lang w:val="es-ES"/>
        </w:rPr>
        <w:t>]</w:t>
      </w:r>
      <w:r w:rsidRPr="000B33B9">
        <w:rPr>
          <w:rFonts w:ascii="Verdana" w:hAnsi="Verdana"/>
          <w:sz w:val="18"/>
          <w:szCs w:val="18"/>
          <w:lang w:val="es-ES"/>
        </w:rPr>
        <w:t>, acreditados conforme a la copia legalizada del libro de registro de asociados y al listado de descue</w:t>
      </w:r>
      <w:r w:rsidR="00031854" w:rsidRPr="000B33B9">
        <w:rPr>
          <w:rFonts w:ascii="Verdana" w:hAnsi="Verdana"/>
          <w:sz w:val="18"/>
          <w:szCs w:val="18"/>
          <w:lang w:val="es-ES"/>
        </w:rPr>
        <w:t>ntos de cesantes de la [SUNAT]”</w:t>
      </w:r>
      <w:r w:rsidRPr="000B33B9">
        <w:rPr>
          <w:rFonts w:ascii="Verdana" w:hAnsi="Verdana"/>
          <w:sz w:val="18"/>
          <w:szCs w:val="18"/>
          <w:lang w:val="es-ES"/>
        </w:rPr>
        <w:t>.</w:t>
      </w:r>
    </w:p>
    <w:p w14:paraId="051F370C" w14:textId="77777777" w:rsidR="00B86B27" w:rsidRPr="000B33B9" w:rsidRDefault="00B86B27" w:rsidP="00B86B27">
      <w:pPr>
        <w:spacing w:after="0" w:line="240" w:lineRule="auto"/>
        <w:rPr>
          <w:rFonts w:ascii="Verdana" w:hAnsi="Verdana"/>
          <w:b/>
          <w:sz w:val="20"/>
          <w:szCs w:val="20"/>
          <w:lang w:val="es-ES"/>
        </w:rPr>
      </w:pPr>
    </w:p>
    <w:p w14:paraId="198F846E" w14:textId="03D0C023"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ES"/>
        </w:rPr>
        <w:t>El 8 de julio de 2002, la SUNAT expidió la resolución 042-2002/SUNAT, en la cual indicó que, para dar cumplimiento al requerimiento de 24 de junio de 2002, resultaba “</w:t>
      </w:r>
      <w:r w:rsidR="00562EE0" w:rsidRPr="000B33B9">
        <w:rPr>
          <w:rFonts w:ascii="Verdana" w:hAnsi="Verdana"/>
          <w:sz w:val="20"/>
          <w:szCs w:val="20"/>
          <w:lang w:val="es-ES"/>
        </w:rPr>
        <w:t xml:space="preserve">(…) </w:t>
      </w:r>
      <w:r w:rsidRPr="000B33B9">
        <w:rPr>
          <w:rFonts w:ascii="Verdana" w:hAnsi="Verdana"/>
          <w:sz w:val="20"/>
          <w:szCs w:val="20"/>
          <w:lang w:val="es-ES"/>
        </w:rPr>
        <w:t xml:space="preserve">necesario determinar el monto de las pensiones de cada uno de los pensionistas considerados en las planillas elaboradas y remitidas por el </w:t>
      </w:r>
      <w:r w:rsidR="00031854" w:rsidRPr="000B33B9">
        <w:rPr>
          <w:rFonts w:ascii="Verdana" w:hAnsi="Verdana"/>
          <w:sz w:val="20"/>
          <w:szCs w:val="20"/>
          <w:lang w:val="es-ES"/>
        </w:rPr>
        <w:t>MEF</w:t>
      </w:r>
      <w:r w:rsidRPr="000B33B9">
        <w:rPr>
          <w:rFonts w:ascii="Verdana" w:hAnsi="Verdana"/>
          <w:sz w:val="20"/>
          <w:szCs w:val="20"/>
          <w:lang w:val="es-ES"/>
        </w:rPr>
        <w:t>” y que dicha “</w:t>
      </w:r>
      <w:r w:rsidR="00562EE0" w:rsidRPr="000B33B9">
        <w:rPr>
          <w:rFonts w:ascii="Verdana" w:hAnsi="Verdana"/>
          <w:sz w:val="20"/>
          <w:szCs w:val="20"/>
          <w:lang w:val="es-ES"/>
        </w:rPr>
        <w:t xml:space="preserve">(…) </w:t>
      </w:r>
      <w:r w:rsidRPr="000B33B9">
        <w:rPr>
          <w:rFonts w:ascii="Verdana" w:hAnsi="Verdana"/>
          <w:sz w:val="20"/>
          <w:szCs w:val="20"/>
          <w:lang w:val="es-ES"/>
        </w:rPr>
        <w:t>suma ha sido fijada tomando como referencia lo que perciben los trabajadores de la SUNAT comprendidos dentro del régimen laboral regul</w:t>
      </w:r>
      <w:r w:rsidR="00987A08" w:rsidRPr="000B33B9">
        <w:rPr>
          <w:rFonts w:ascii="Verdana" w:hAnsi="Verdana"/>
          <w:sz w:val="20"/>
          <w:szCs w:val="20"/>
          <w:lang w:val="es-ES"/>
        </w:rPr>
        <w:t>ado por el Decreto Legislativo No.</w:t>
      </w:r>
      <w:r w:rsidRPr="000B33B9">
        <w:rPr>
          <w:rFonts w:ascii="Verdana" w:hAnsi="Verdana"/>
          <w:sz w:val="20"/>
          <w:szCs w:val="20"/>
          <w:lang w:val="es-ES"/>
        </w:rPr>
        <w:t xml:space="preserve"> 276, sin considerar la ‘diferencia’ prevista por el artículo 3º del Decreto Legislativo No</w:t>
      </w:r>
      <w:r w:rsidR="00987A08" w:rsidRPr="000B33B9">
        <w:rPr>
          <w:rFonts w:ascii="Verdana" w:hAnsi="Verdana"/>
          <w:sz w:val="20"/>
          <w:szCs w:val="20"/>
          <w:lang w:val="es-ES"/>
        </w:rPr>
        <w:t>.</w:t>
      </w:r>
      <w:r w:rsidR="00031854" w:rsidRPr="000B33B9">
        <w:rPr>
          <w:rFonts w:ascii="Verdana" w:hAnsi="Verdana"/>
          <w:sz w:val="20"/>
          <w:szCs w:val="20"/>
          <w:lang w:val="es-ES"/>
        </w:rPr>
        <w:t xml:space="preserve"> 673 por tratarse é</w:t>
      </w:r>
      <w:r w:rsidRPr="000B33B9">
        <w:rPr>
          <w:rFonts w:ascii="Verdana" w:hAnsi="Verdana"/>
          <w:sz w:val="20"/>
          <w:szCs w:val="20"/>
          <w:lang w:val="es-ES"/>
        </w:rPr>
        <w:t>ste de un concepto no pensionable”</w:t>
      </w:r>
      <w:r w:rsidR="00562EE0" w:rsidRPr="000B33B9">
        <w:rPr>
          <w:rStyle w:val="Refdenotaalpie"/>
          <w:rFonts w:ascii="Verdana" w:hAnsi="Verdana"/>
          <w:sz w:val="20"/>
          <w:szCs w:val="20"/>
          <w:lang w:val="es-ES"/>
        </w:rPr>
        <w:footnoteReference w:id="73"/>
      </w:r>
      <w:r w:rsidRPr="000B33B9">
        <w:rPr>
          <w:rFonts w:ascii="Verdana" w:hAnsi="Verdana"/>
          <w:sz w:val="20"/>
          <w:szCs w:val="20"/>
          <w:lang w:val="es-ES"/>
        </w:rPr>
        <w:t>. En la referida resolución, la SUNAT dispuso lo siguiente:</w:t>
      </w:r>
    </w:p>
    <w:p w14:paraId="31D824DD" w14:textId="77777777" w:rsidR="00B86B27" w:rsidRPr="000B33B9" w:rsidRDefault="00B86B27" w:rsidP="00B86B27">
      <w:pPr>
        <w:spacing w:after="0" w:line="240" w:lineRule="auto"/>
        <w:jc w:val="both"/>
        <w:rPr>
          <w:rFonts w:ascii="Verdana" w:hAnsi="Verdana"/>
          <w:sz w:val="20"/>
          <w:szCs w:val="20"/>
          <w:lang w:val="es-ES"/>
        </w:rPr>
      </w:pPr>
    </w:p>
    <w:p w14:paraId="4C0AEEE7" w14:textId="76A77519" w:rsidR="00B86B27" w:rsidRPr="000B33B9" w:rsidRDefault="00B86B27" w:rsidP="00B86B27">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“Artículo 1.-Disponer que, a partir del mes de agosto de 2002 y en cumplimiento de la Ejecutoria Suprema del 25 de octubre de 1993, de lo resuelto por el Tribunal Constitucional el 10 de mayo de 2001, de lo ordenado por el Sexagésimo Tercer Juzgado Civil de Lima y de acuerdo a lo establecido en la Ley No</w:t>
      </w:r>
      <w:r w:rsidR="00031854" w:rsidRPr="000B33B9">
        <w:rPr>
          <w:rFonts w:ascii="Verdana" w:hAnsi="Verdana"/>
          <w:sz w:val="18"/>
          <w:szCs w:val="18"/>
          <w:lang w:val="es-ES"/>
        </w:rPr>
        <w:t>.</w:t>
      </w:r>
      <w:r w:rsidRPr="000B33B9">
        <w:rPr>
          <w:rFonts w:ascii="Verdana" w:hAnsi="Verdana"/>
          <w:sz w:val="18"/>
          <w:szCs w:val="18"/>
          <w:lang w:val="es-ES"/>
        </w:rPr>
        <w:t xml:space="preserve"> 27719, la SUNAT asuma el pago de las pensiones de cesantía o jubilación de los ex servidores que se indican en los documentos anexos a esta Resolución, de acuerdo a los montos detallados en los mismos. </w:t>
      </w:r>
    </w:p>
    <w:p w14:paraId="5A7BEBBC" w14:textId="77777777" w:rsidR="00B86B27" w:rsidRPr="000B33B9" w:rsidRDefault="00B86B27" w:rsidP="00B86B27">
      <w:pPr>
        <w:spacing w:after="0" w:line="240" w:lineRule="auto"/>
        <w:ind w:left="706" w:right="1094"/>
        <w:jc w:val="both"/>
        <w:rPr>
          <w:rFonts w:ascii="Verdana" w:hAnsi="Verdana"/>
          <w:sz w:val="18"/>
          <w:szCs w:val="18"/>
          <w:lang w:val="es-ES"/>
        </w:rPr>
      </w:pPr>
    </w:p>
    <w:p w14:paraId="5F0F60A3" w14:textId="29F95969" w:rsidR="00B86B27" w:rsidRPr="000B33B9" w:rsidRDefault="00B86B27" w:rsidP="00B86B27">
      <w:pPr>
        <w:spacing w:after="0" w:line="240" w:lineRule="auto"/>
        <w:ind w:left="706" w:right="1094"/>
        <w:jc w:val="both"/>
        <w:rPr>
          <w:rFonts w:ascii="Verdana" w:hAnsi="Verdana"/>
          <w:sz w:val="20"/>
          <w:szCs w:val="20"/>
          <w:lang w:val="es-ES"/>
        </w:rPr>
      </w:pPr>
      <w:r w:rsidRPr="000B33B9">
        <w:rPr>
          <w:rFonts w:ascii="Verdana" w:hAnsi="Verdana"/>
          <w:sz w:val="18"/>
          <w:szCs w:val="18"/>
          <w:lang w:val="es-ES"/>
        </w:rPr>
        <w:t xml:space="preserve">Artículo 2.- Determinar que, no existiendo diferencia en los montos de las pensiones a las que se refiere el artículo anterior y las que dichos ex servidores vienen percibiendo por parte del </w:t>
      </w:r>
      <w:r w:rsidR="00031854" w:rsidRPr="000B33B9">
        <w:rPr>
          <w:rFonts w:ascii="Verdana" w:hAnsi="Verdana"/>
          <w:sz w:val="18"/>
          <w:szCs w:val="18"/>
          <w:lang w:val="es-ES"/>
        </w:rPr>
        <w:t>MEF</w:t>
      </w:r>
      <w:r w:rsidRPr="000B33B9">
        <w:rPr>
          <w:rFonts w:ascii="Verdana" w:hAnsi="Verdana"/>
          <w:sz w:val="18"/>
          <w:szCs w:val="18"/>
          <w:lang w:val="es-ES"/>
        </w:rPr>
        <w:t>, no existe ningún rei</w:t>
      </w:r>
      <w:r w:rsidR="00031854" w:rsidRPr="000B33B9">
        <w:rPr>
          <w:rFonts w:ascii="Verdana" w:hAnsi="Verdana"/>
          <w:sz w:val="18"/>
          <w:szCs w:val="18"/>
          <w:lang w:val="es-ES"/>
        </w:rPr>
        <w:t>ntegro que efectuar a su favor”</w:t>
      </w:r>
      <w:r w:rsidRPr="000B33B9">
        <w:rPr>
          <w:rFonts w:ascii="Verdana" w:hAnsi="Verdana"/>
          <w:sz w:val="18"/>
          <w:szCs w:val="18"/>
          <w:lang w:val="es-ES"/>
        </w:rPr>
        <w:t>.</w:t>
      </w:r>
    </w:p>
    <w:p w14:paraId="6BFB4925" w14:textId="77777777" w:rsidR="00B86B27" w:rsidRPr="000B33B9" w:rsidRDefault="00B86B27" w:rsidP="00B86B27">
      <w:pPr>
        <w:spacing w:after="0" w:line="240" w:lineRule="auto"/>
        <w:jc w:val="both"/>
        <w:rPr>
          <w:rFonts w:ascii="Verdana" w:hAnsi="Verdana"/>
          <w:sz w:val="20"/>
          <w:szCs w:val="20"/>
          <w:lang w:val="es-ES"/>
        </w:rPr>
      </w:pPr>
    </w:p>
    <w:p w14:paraId="2231FAEB" w14:textId="49479429"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DO"/>
        </w:rPr>
      </w:pPr>
      <w:r w:rsidRPr="000B33B9">
        <w:rPr>
          <w:rFonts w:ascii="Verdana" w:hAnsi="Verdana"/>
          <w:sz w:val="20"/>
          <w:szCs w:val="20"/>
          <w:lang w:val="es-ES"/>
        </w:rPr>
        <w:t xml:space="preserve">El 23 de septiembre de 2002, el </w:t>
      </w:r>
      <w:r w:rsidRPr="000B33B9">
        <w:rPr>
          <w:rFonts w:ascii="Verdana" w:hAnsi="Verdana"/>
          <w:sz w:val="20"/>
          <w:szCs w:val="20"/>
          <w:lang w:val="es-DO"/>
        </w:rPr>
        <w:t xml:space="preserve">Sexagésimo Tercer Juzgado dispuso el nombramiento de un perito contador por parte del Registro de Peritos Judiciales del Poder Judicial, con la finalidad de “(…) que practique una liquidación de pago adeudado a favor de cada uno de los asociados de la asociación demandante, a fin de determinar el monto de las pensiones niveladas con las remuneraciones de los servidores activos de la </w:t>
      </w:r>
      <w:r w:rsidR="00031854" w:rsidRPr="000B33B9">
        <w:rPr>
          <w:rFonts w:ascii="Verdana" w:hAnsi="Verdana"/>
          <w:sz w:val="20"/>
          <w:szCs w:val="20"/>
          <w:lang w:val="es-DO"/>
        </w:rPr>
        <w:t>[SUNAT]</w:t>
      </w:r>
      <w:r w:rsidRPr="000B33B9">
        <w:rPr>
          <w:rFonts w:ascii="Verdana" w:hAnsi="Verdana"/>
          <w:sz w:val="20"/>
          <w:szCs w:val="20"/>
          <w:lang w:val="es-DO"/>
        </w:rPr>
        <w:t xml:space="preserve"> y los reintegros de los incrementos dejados de percibir como consecuencia de la Tercera Disposición Trans</w:t>
      </w:r>
      <w:r w:rsidR="00031854" w:rsidRPr="000B33B9">
        <w:rPr>
          <w:rFonts w:ascii="Verdana" w:hAnsi="Verdana"/>
          <w:sz w:val="20"/>
          <w:szCs w:val="20"/>
          <w:lang w:val="es-DO"/>
        </w:rPr>
        <w:t>itoria del Decreto Legislativo No.</w:t>
      </w:r>
      <w:r w:rsidRPr="000B33B9">
        <w:rPr>
          <w:rFonts w:ascii="Verdana" w:hAnsi="Verdana"/>
          <w:sz w:val="20"/>
          <w:szCs w:val="20"/>
          <w:lang w:val="es-DO"/>
        </w:rPr>
        <w:t xml:space="preserve"> 673”</w:t>
      </w:r>
      <w:r w:rsidR="00D87AE1" w:rsidRPr="000B33B9">
        <w:rPr>
          <w:rStyle w:val="Refdenotaalpie"/>
          <w:rFonts w:ascii="Verdana" w:hAnsi="Verdana"/>
          <w:sz w:val="20"/>
          <w:szCs w:val="20"/>
          <w:lang w:val="es-DO"/>
        </w:rPr>
        <w:footnoteReference w:id="74"/>
      </w:r>
      <w:r w:rsidR="00D87AE1" w:rsidRPr="000B33B9">
        <w:rPr>
          <w:rFonts w:ascii="Verdana" w:hAnsi="Verdana"/>
          <w:sz w:val="20"/>
          <w:szCs w:val="20"/>
          <w:lang w:val="es-ES"/>
        </w:rPr>
        <w:t>.</w:t>
      </w:r>
    </w:p>
    <w:p w14:paraId="7273C131" w14:textId="77777777" w:rsidR="00B86B27" w:rsidRPr="000B33B9" w:rsidRDefault="00B86B27" w:rsidP="00B86B27">
      <w:pPr>
        <w:pStyle w:val="Prrafodelista"/>
        <w:spacing w:after="0" w:line="240" w:lineRule="auto"/>
        <w:ind w:left="0"/>
        <w:jc w:val="both"/>
        <w:rPr>
          <w:rFonts w:ascii="Verdana" w:hAnsi="Verdana"/>
          <w:sz w:val="20"/>
          <w:szCs w:val="20"/>
          <w:lang w:val="es-DO"/>
        </w:rPr>
      </w:pPr>
    </w:p>
    <w:p w14:paraId="5DC75B00" w14:textId="38C95C79"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DO"/>
        </w:rPr>
        <w:t>El 3 de abril de 2003, el perito presentó su informe. El informe pericial concluyó que el total de “</w:t>
      </w:r>
      <w:r w:rsidR="00D87AE1" w:rsidRPr="000B33B9">
        <w:rPr>
          <w:rFonts w:ascii="Verdana" w:hAnsi="Verdana"/>
          <w:sz w:val="20"/>
          <w:szCs w:val="20"/>
          <w:lang w:val="es-DO"/>
        </w:rPr>
        <w:t xml:space="preserve">(…) </w:t>
      </w:r>
      <w:r w:rsidRPr="000B33B9">
        <w:rPr>
          <w:rFonts w:ascii="Verdana" w:hAnsi="Verdana"/>
          <w:sz w:val="20"/>
          <w:szCs w:val="20"/>
          <w:lang w:val="es-DO"/>
        </w:rPr>
        <w:t>los reintegros de los incrementos dejados de percibir como consecuencia de la aplicación de la Tercera Disposición Transitoria del Decreto Legislativo No. 673 (…) asciende a S/442,401,571”. Para realizar dicho cálculo desde 1992 a julio de 1994, el perito precisó haber tomado como referencia “</w:t>
      </w:r>
      <w:r w:rsidR="00D87AE1" w:rsidRPr="000B33B9">
        <w:rPr>
          <w:rFonts w:ascii="Verdana" w:hAnsi="Verdana"/>
          <w:sz w:val="20"/>
          <w:szCs w:val="20"/>
          <w:lang w:val="es-DO"/>
        </w:rPr>
        <w:t xml:space="preserve">(…) </w:t>
      </w:r>
      <w:r w:rsidRPr="000B33B9">
        <w:rPr>
          <w:rFonts w:ascii="Verdana" w:hAnsi="Verdana"/>
          <w:sz w:val="20"/>
          <w:szCs w:val="20"/>
          <w:lang w:val="es-DO"/>
        </w:rPr>
        <w:t xml:space="preserve">los aumentos que figuran en las planillas de sueldos bajo el rubro Decreto Legislativo No. 673 de los trabajadores activos de la </w:t>
      </w:r>
      <w:r w:rsidR="00D87AE1" w:rsidRPr="000B33B9">
        <w:rPr>
          <w:rFonts w:ascii="Verdana" w:hAnsi="Verdana"/>
          <w:sz w:val="20"/>
          <w:szCs w:val="20"/>
          <w:lang w:val="es-DO"/>
        </w:rPr>
        <w:t>SUNAT</w:t>
      </w:r>
      <w:r w:rsidRPr="000B33B9">
        <w:rPr>
          <w:rFonts w:ascii="Verdana" w:hAnsi="Verdana"/>
          <w:sz w:val="20"/>
          <w:szCs w:val="20"/>
          <w:lang w:val="es-DO"/>
        </w:rPr>
        <w:t xml:space="preserve"> comprendidos dentro del régimen laboral regulado por el Decreto Legislativo No. 276”; mientras que “para los años posteriores”, desde agosto de 1994 al 31 de diciembre de 2002, “</w:t>
      </w:r>
      <w:r w:rsidR="00D87AE1" w:rsidRPr="000B33B9">
        <w:rPr>
          <w:rFonts w:ascii="Verdana" w:hAnsi="Verdana"/>
          <w:sz w:val="20"/>
          <w:szCs w:val="20"/>
          <w:lang w:val="es-DO"/>
        </w:rPr>
        <w:t xml:space="preserve">(…) </w:t>
      </w:r>
      <w:r w:rsidR="00EA2621" w:rsidRPr="000B33B9">
        <w:rPr>
          <w:rFonts w:ascii="Verdana" w:hAnsi="Verdana"/>
          <w:sz w:val="20"/>
          <w:szCs w:val="20"/>
          <w:lang w:val="es-DO"/>
        </w:rPr>
        <w:t>[</w:t>
      </w:r>
      <w:r w:rsidRPr="000B33B9">
        <w:rPr>
          <w:rFonts w:ascii="Verdana" w:hAnsi="Verdana"/>
          <w:sz w:val="20"/>
          <w:szCs w:val="20"/>
          <w:lang w:val="es-DO"/>
        </w:rPr>
        <w:t>s</w:t>
      </w:r>
      <w:r w:rsidR="00EA2621" w:rsidRPr="000B33B9">
        <w:rPr>
          <w:rFonts w:ascii="Verdana" w:hAnsi="Verdana"/>
          <w:sz w:val="20"/>
          <w:szCs w:val="20"/>
          <w:lang w:val="es-DO"/>
        </w:rPr>
        <w:t>]</w:t>
      </w:r>
      <w:r w:rsidRPr="000B33B9">
        <w:rPr>
          <w:rFonts w:ascii="Verdana" w:hAnsi="Verdana"/>
          <w:sz w:val="20"/>
          <w:szCs w:val="20"/>
          <w:lang w:val="es-DO"/>
        </w:rPr>
        <w:t>e ha tenido en cuenta las escalas de remuneraciones c</w:t>
      </w:r>
      <w:r w:rsidR="00EA2621" w:rsidRPr="000B33B9">
        <w:rPr>
          <w:rFonts w:ascii="Verdana" w:hAnsi="Verdana"/>
          <w:sz w:val="20"/>
          <w:szCs w:val="20"/>
          <w:lang w:val="es-DO"/>
        </w:rPr>
        <w:t>ontenidas en las Resoluciones”</w:t>
      </w:r>
      <w:r w:rsidRPr="000B33B9">
        <w:rPr>
          <w:rFonts w:ascii="Verdana" w:hAnsi="Verdana"/>
          <w:sz w:val="20"/>
          <w:szCs w:val="20"/>
          <w:lang w:val="es-DO"/>
        </w:rPr>
        <w:t xml:space="preserve"> 109-94-EF de 12 de septiembre de 1994, 118-95-EF de 18 de octubre de 1995 y 225-98-EF de 5 de noviembre de 1998</w:t>
      </w:r>
      <w:r w:rsidR="00D87AE1" w:rsidRPr="000B33B9">
        <w:rPr>
          <w:rStyle w:val="Refdenotaalpie"/>
          <w:rFonts w:ascii="Verdana" w:hAnsi="Verdana"/>
          <w:sz w:val="20"/>
          <w:szCs w:val="20"/>
          <w:lang w:val="es-DO"/>
        </w:rPr>
        <w:footnoteReference w:id="75"/>
      </w:r>
      <w:r w:rsidRPr="000B33B9">
        <w:rPr>
          <w:rFonts w:ascii="Verdana" w:hAnsi="Verdana"/>
          <w:sz w:val="20"/>
          <w:szCs w:val="20"/>
          <w:lang w:val="es-ES"/>
        </w:rPr>
        <w:t xml:space="preserve">. Tanto </w:t>
      </w:r>
      <w:r w:rsidRPr="000B33B9">
        <w:rPr>
          <w:rFonts w:ascii="Verdana" w:hAnsi="Verdana"/>
          <w:sz w:val="20"/>
          <w:szCs w:val="20"/>
          <w:lang w:val="es-DO"/>
        </w:rPr>
        <w:t>ANCEJUB-SUNAT como la SUNAT presentaron sus observaciones al peritaje</w:t>
      </w:r>
      <w:r w:rsidRPr="000B33B9">
        <w:rPr>
          <w:rStyle w:val="Refdenotaalpie"/>
          <w:rFonts w:ascii="Verdana" w:hAnsi="Verdana"/>
          <w:sz w:val="20"/>
          <w:szCs w:val="20"/>
          <w:lang w:val="es-DO"/>
        </w:rPr>
        <w:footnoteReference w:id="76"/>
      </w:r>
      <w:r w:rsidRPr="000B33B9">
        <w:rPr>
          <w:rFonts w:ascii="Verdana" w:hAnsi="Verdana"/>
          <w:sz w:val="20"/>
          <w:szCs w:val="20"/>
          <w:lang w:val="es-DO"/>
        </w:rPr>
        <w:t>.</w:t>
      </w:r>
    </w:p>
    <w:p w14:paraId="43FB05E9" w14:textId="77777777" w:rsidR="00B86B27" w:rsidRPr="000B33B9" w:rsidRDefault="00B86B27" w:rsidP="00B86B27">
      <w:pPr>
        <w:pStyle w:val="Prrafodelista"/>
        <w:spacing w:after="0" w:line="240" w:lineRule="auto"/>
        <w:ind w:left="0"/>
        <w:jc w:val="both"/>
        <w:rPr>
          <w:rFonts w:ascii="Verdana" w:hAnsi="Verdana"/>
          <w:sz w:val="20"/>
          <w:szCs w:val="20"/>
          <w:lang w:val="es-ES"/>
        </w:rPr>
      </w:pPr>
    </w:p>
    <w:p w14:paraId="101E9F9A" w14:textId="1E4070C2" w:rsidR="00B86B27" w:rsidRPr="000B33B9" w:rsidRDefault="00B86B27" w:rsidP="007B74B8">
      <w:pPr>
        <w:pStyle w:val="Prrafodelista"/>
        <w:numPr>
          <w:ilvl w:val="0"/>
          <w:numId w:val="10"/>
        </w:numPr>
        <w:spacing w:after="0" w:line="240" w:lineRule="auto"/>
        <w:ind w:left="0" w:firstLine="0"/>
        <w:jc w:val="both"/>
        <w:rPr>
          <w:rFonts w:ascii="Verdana" w:eastAsia="Calibri" w:hAnsi="Verdana" w:cs="Times New Roman"/>
          <w:sz w:val="20"/>
          <w:szCs w:val="20"/>
          <w:lang w:val="es-ES" w:eastAsia="es-ES"/>
        </w:rPr>
      </w:pPr>
      <w:r w:rsidRPr="000B33B9">
        <w:rPr>
          <w:rFonts w:ascii="Verdana" w:hAnsi="Verdana"/>
          <w:sz w:val="20"/>
          <w:szCs w:val="20"/>
          <w:lang w:val="es-ES"/>
        </w:rPr>
        <w:t xml:space="preserve">El 21 de abril de 2004, el </w:t>
      </w:r>
      <w:r w:rsidRPr="000B33B9">
        <w:rPr>
          <w:rFonts w:ascii="Verdana" w:hAnsi="Verdana"/>
          <w:sz w:val="20"/>
          <w:szCs w:val="20"/>
          <w:lang w:val="es-DO"/>
        </w:rPr>
        <w:t>Sexagésimo Sexto Juzgado Especializado en lo Civil de Lima</w:t>
      </w:r>
      <w:r w:rsidR="00CE2829" w:rsidRPr="000B33B9">
        <w:rPr>
          <w:rFonts w:ascii="Verdana" w:hAnsi="Verdana"/>
          <w:sz w:val="20"/>
          <w:szCs w:val="20"/>
          <w:lang w:val="es-DO"/>
        </w:rPr>
        <w:t xml:space="preserve"> (en adelante “Sexagésimo Sexto Juzgado”)</w:t>
      </w:r>
      <w:r w:rsidRPr="000B33B9">
        <w:rPr>
          <w:rFonts w:ascii="Verdana" w:hAnsi="Verdana"/>
          <w:sz w:val="20"/>
          <w:szCs w:val="20"/>
          <w:lang w:val="es-DO"/>
        </w:rPr>
        <w:t xml:space="preserve"> requirió a las partes cumplir con lo siguiente: </w:t>
      </w:r>
      <w:r w:rsidRPr="000B33B9">
        <w:rPr>
          <w:rFonts w:ascii="Verdana" w:eastAsia="Calibri" w:hAnsi="Verdana" w:cs="Times New Roman"/>
          <w:sz w:val="20"/>
          <w:szCs w:val="20"/>
          <w:lang w:val="es-ES" w:eastAsia="es-ES"/>
        </w:rPr>
        <w:t xml:space="preserve">“(…) remitir documento idóneo que determine la identificación plena de todas las personas que al momento de la interposición de la demanda es decir </w:t>
      </w:r>
      <w:r w:rsidRPr="000B33B9">
        <w:rPr>
          <w:rFonts w:ascii="Verdana" w:hAnsi="Verdana"/>
          <w:sz w:val="20"/>
          <w:szCs w:val="20"/>
          <w:lang w:val="es-ES"/>
        </w:rPr>
        <w:t>[19] de diciembre de [1991], tenían la condición de miembros de la asociación demandante, debiendo además informar respecto al grado o cargo que ostentaban, categoría o nivel, así como el monto que percibe como pensión de jubilación dentro del Régimen de la Ley 20530”</w:t>
      </w:r>
      <w:r w:rsidR="00657DD2" w:rsidRPr="000B33B9">
        <w:rPr>
          <w:rStyle w:val="Refdenotaalpie"/>
          <w:rFonts w:ascii="Verdana" w:hAnsi="Verdana" w:cstheme="minorHAnsi"/>
          <w:sz w:val="20"/>
          <w:szCs w:val="20"/>
          <w:lang w:val="es-ES"/>
        </w:rPr>
        <w:footnoteReference w:id="77"/>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El 17 de mayo de 2004, ANCEJUB-SUNAT solicitó la nulidad de la aludida resolución</w:t>
      </w:r>
      <w:r w:rsidRPr="000B33B9">
        <w:rPr>
          <w:rStyle w:val="Refdenotaalpie"/>
          <w:rFonts w:ascii="Verdana" w:eastAsia="Calibri" w:hAnsi="Verdana" w:cs="Times New Roman"/>
          <w:sz w:val="20"/>
          <w:szCs w:val="20"/>
          <w:lang w:val="es-ES" w:eastAsia="es-ES"/>
        </w:rPr>
        <w:footnoteReference w:id="78"/>
      </w:r>
      <w:r w:rsidRPr="000B33B9">
        <w:rPr>
          <w:rFonts w:ascii="Verdana" w:eastAsia="Calibri" w:hAnsi="Verdana" w:cs="Times New Roman"/>
          <w:sz w:val="20"/>
          <w:szCs w:val="20"/>
          <w:lang w:val="es-ES" w:eastAsia="es-ES"/>
        </w:rPr>
        <w:t>, alegando que ya había entregado lo solicitado el 24 de mayo de 2002, lo cual había sido reconocido por la re</w:t>
      </w:r>
      <w:r w:rsidR="00EA2621" w:rsidRPr="000B33B9">
        <w:rPr>
          <w:rFonts w:ascii="Verdana" w:eastAsia="Calibri" w:hAnsi="Verdana" w:cs="Times New Roman"/>
          <w:sz w:val="20"/>
          <w:szCs w:val="20"/>
          <w:lang w:val="es-ES" w:eastAsia="es-ES"/>
        </w:rPr>
        <w:t>solución de 24 de junio de 2002.</w:t>
      </w:r>
    </w:p>
    <w:p w14:paraId="01DD9644" w14:textId="77777777" w:rsidR="00B86B27" w:rsidRPr="000B33B9" w:rsidRDefault="00B86B27" w:rsidP="00B86B27">
      <w:pPr>
        <w:pStyle w:val="Prrafodelista"/>
        <w:spacing w:after="0" w:line="240" w:lineRule="auto"/>
        <w:ind w:left="0"/>
        <w:jc w:val="both"/>
        <w:rPr>
          <w:rFonts w:ascii="Verdana" w:eastAsia="Calibri" w:hAnsi="Verdana" w:cs="Times New Roman"/>
          <w:sz w:val="20"/>
          <w:szCs w:val="20"/>
          <w:lang w:val="es-ES" w:eastAsia="es-ES"/>
        </w:rPr>
      </w:pPr>
    </w:p>
    <w:p w14:paraId="38549969" w14:textId="0E7134F3" w:rsidR="000574C9" w:rsidRPr="000B33B9" w:rsidRDefault="00B86B27" w:rsidP="007B74B8">
      <w:pPr>
        <w:pStyle w:val="Prrafodelista"/>
        <w:numPr>
          <w:ilvl w:val="0"/>
          <w:numId w:val="10"/>
        </w:numPr>
        <w:spacing w:after="0" w:line="240" w:lineRule="auto"/>
        <w:ind w:left="0" w:firstLine="0"/>
        <w:jc w:val="both"/>
        <w:rPr>
          <w:rFonts w:ascii="Verdana" w:eastAsia="Calibri" w:hAnsi="Verdana" w:cs="Times New Roman"/>
          <w:sz w:val="20"/>
          <w:szCs w:val="20"/>
          <w:lang w:val="es-ES" w:eastAsia="es-ES"/>
        </w:rPr>
      </w:pPr>
      <w:r w:rsidRPr="000B33B9">
        <w:rPr>
          <w:rFonts w:ascii="Verdana" w:eastAsia="Calibri" w:hAnsi="Verdana" w:cs="Times New Roman"/>
          <w:sz w:val="20"/>
          <w:szCs w:val="20"/>
          <w:lang w:val="es-ES" w:eastAsia="es-ES"/>
        </w:rPr>
        <w:t>El 5 de mayo de 2005, el Sexagésimo Sext</w:t>
      </w:r>
      <w:r w:rsidR="00EA2621" w:rsidRPr="000B33B9">
        <w:rPr>
          <w:rFonts w:ascii="Verdana" w:eastAsia="Calibri" w:hAnsi="Verdana" w:cs="Times New Roman"/>
          <w:sz w:val="20"/>
          <w:szCs w:val="20"/>
          <w:lang w:val="es-ES" w:eastAsia="es-ES"/>
        </w:rPr>
        <w:t>o Juzgado expidió la resolución</w:t>
      </w:r>
      <w:r w:rsidRPr="000B33B9">
        <w:rPr>
          <w:rFonts w:ascii="Verdana" w:eastAsia="Calibri" w:hAnsi="Verdana" w:cs="Times New Roman"/>
          <w:sz w:val="20"/>
          <w:szCs w:val="20"/>
          <w:lang w:val="es-ES" w:eastAsia="es-ES"/>
        </w:rPr>
        <w:t xml:space="preserve"> 46, que desaprobó el peritaje de 3 de abril de 2003, acogiendo las observaciones realizadas por la SUNAT respecto a que los cálculos del informe pericial se habían basado en las planillas correspondientes a los trabajadores comprendidos en el régimen laboral privado “</w:t>
      </w:r>
      <w:r w:rsidR="00CE2829"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sin tener en cuenta que los cesantes (…) siempre laboraron bajo el régimen laboral público”</w:t>
      </w:r>
      <w:r w:rsidR="00CE2829" w:rsidRPr="000B33B9">
        <w:rPr>
          <w:rFonts w:ascii="Verdana" w:hAnsi="Verdana"/>
          <w:sz w:val="20"/>
          <w:szCs w:val="20"/>
          <w:vertAlign w:val="superscript"/>
          <w:lang w:val="es-ES" w:eastAsia="es-ES"/>
        </w:rPr>
        <w:footnoteReference w:id="79"/>
      </w:r>
      <w:r w:rsidR="000574C9" w:rsidRPr="000B33B9">
        <w:rPr>
          <w:rFonts w:ascii="Verdana" w:hAnsi="Verdana"/>
          <w:sz w:val="20"/>
          <w:szCs w:val="20"/>
          <w:lang w:val="es-ES"/>
        </w:rPr>
        <w:t>.</w:t>
      </w:r>
    </w:p>
    <w:p w14:paraId="071B2979" w14:textId="63761EE5" w:rsidR="00B86B27" w:rsidRPr="000B33B9" w:rsidRDefault="00B86B27" w:rsidP="00E14D45">
      <w:pPr>
        <w:pStyle w:val="Prrafodelista"/>
        <w:spacing w:after="0" w:line="240" w:lineRule="auto"/>
        <w:ind w:left="0"/>
        <w:jc w:val="both"/>
        <w:rPr>
          <w:rFonts w:ascii="Verdana" w:hAnsi="Verdana"/>
          <w:sz w:val="20"/>
          <w:szCs w:val="20"/>
          <w:lang w:val="es-ES"/>
        </w:rPr>
      </w:pPr>
      <w:r w:rsidRPr="000B33B9">
        <w:rPr>
          <w:rFonts w:ascii="Verdana" w:hAnsi="Verdana"/>
          <w:sz w:val="20"/>
          <w:szCs w:val="20"/>
          <w:lang w:val="es-ES"/>
        </w:rPr>
        <w:t xml:space="preserve"> </w:t>
      </w:r>
    </w:p>
    <w:p w14:paraId="50CDD078" w14:textId="1121E90B" w:rsidR="000574C9" w:rsidRPr="000B33B9" w:rsidRDefault="003E4B02" w:rsidP="007B74B8">
      <w:pPr>
        <w:pStyle w:val="Prrafodelista"/>
        <w:numPr>
          <w:ilvl w:val="0"/>
          <w:numId w:val="10"/>
        </w:numPr>
        <w:spacing w:after="0" w:line="240" w:lineRule="auto"/>
        <w:ind w:left="0" w:firstLine="0"/>
        <w:contextualSpacing w:val="0"/>
        <w:jc w:val="both"/>
        <w:rPr>
          <w:rFonts w:ascii="Verdana" w:hAnsi="Verdana"/>
          <w:sz w:val="20"/>
          <w:szCs w:val="20"/>
          <w:lang w:val="es-DO"/>
        </w:rPr>
      </w:pPr>
      <w:r w:rsidRPr="000B33B9">
        <w:rPr>
          <w:rFonts w:ascii="Verdana" w:hAnsi="Verdana"/>
          <w:sz w:val="20"/>
          <w:szCs w:val="20"/>
        </w:rPr>
        <w:t xml:space="preserve">El 3 de junio de 2005, la Sexta Sala Civil de la Corte Superior de </w:t>
      </w:r>
      <w:r w:rsidR="00EA2621" w:rsidRPr="000B33B9">
        <w:rPr>
          <w:rFonts w:ascii="Verdana" w:hAnsi="Verdana"/>
          <w:sz w:val="20"/>
          <w:szCs w:val="20"/>
        </w:rPr>
        <w:t xml:space="preserve">Justicia de </w:t>
      </w:r>
      <w:r w:rsidRPr="000B33B9">
        <w:rPr>
          <w:rFonts w:ascii="Verdana" w:hAnsi="Verdana"/>
          <w:sz w:val="20"/>
          <w:szCs w:val="20"/>
        </w:rPr>
        <w:t xml:space="preserve">Lima </w:t>
      </w:r>
      <w:r w:rsidR="00CE2829" w:rsidRPr="000B33B9">
        <w:rPr>
          <w:rFonts w:ascii="Verdana" w:hAnsi="Verdana"/>
          <w:sz w:val="20"/>
          <w:szCs w:val="20"/>
        </w:rPr>
        <w:t xml:space="preserve">(en adelante “Sexta Sala Civil”) </w:t>
      </w:r>
      <w:r w:rsidRPr="000B33B9">
        <w:rPr>
          <w:rFonts w:ascii="Verdana" w:hAnsi="Verdana"/>
          <w:sz w:val="20"/>
          <w:szCs w:val="20"/>
        </w:rPr>
        <w:t>emitió una resolución mediante la cual dispuso que los únicos beneficiarios de la sentencia de 25 de octubre de 1993 eran las personas que habían sido miembros de ANCEJUB-SUNAT cuando se interpuso el recurs</w:t>
      </w:r>
      <w:r w:rsidR="00132173" w:rsidRPr="000B33B9">
        <w:rPr>
          <w:rFonts w:ascii="Verdana" w:hAnsi="Verdana"/>
          <w:sz w:val="20"/>
          <w:szCs w:val="20"/>
        </w:rPr>
        <w:t xml:space="preserve">o de amparo en diciembre de 1991 y, en tal sentido, identificó a </w:t>
      </w:r>
      <w:r w:rsidR="0029378E" w:rsidRPr="000B33B9">
        <w:rPr>
          <w:rFonts w:ascii="Verdana" w:hAnsi="Verdana"/>
          <w:sz w:val="20"/>
          <w:szCs w:val="20"/>
        </w:rPr>
        <w:t>604</w:t>
      </w:r>
      <w:r w:rsidR="00132173" w:rsidRPr="000B33B9">
        <w:rPr>
          <w:rFonts w:ascii="Verdana" w:hAnsi="Verdana"/>
          <w:sz w:val="20"/>
          <w:szCs w:val="20"/>
        </w:rPr>
        <w:t xml:space="preserve"> personas</w:t>
      </w:r>
      <w:r w:rsidR="00132173" w:rsidRPr="000B33B9">
        <w:rPr>
          <w:rStyle w:val="Refdenotaalpie"/>
          <w:rFonts w:ascii="Verdana" w:hAnsi="Verdana"/>
          <w:sz w:val="20"/>
          <w:szCs w:val="20"/>
        </w:rPr>
        <w:footnoteReference w:id="80"/>
      </w:r>
      <w:r w:rsidR="00132173" w:rsidRPr="000B33B9">
        <w:rPr>
          <w:rFonts w:ascii="Verdana" w:hAnsi="Verdana"/>
          <w:sz w:val="20"/>
          <w:szCs w:val="20"/>
        </w:rPr>
        <w:t xml:space="preserve">. </w:t>
      </w:r>
      <w:r w:rsidR="00B86B27" w:rsidRPr="000B33B9">
        <w:rPr>
          <w:rFonts w:ascii="Verdana" w:hAnsi="Verdana"/>
          <w:sz w:val="20"/>
          <w:szCs w:val="20"/>
          <w:lang w:val="es-ES"/>
        </w:rPr>
        <w:t>El 9 de noviembre de 2005 fue presentado un nuevo informe pericial.</w:t>
      </w:r>
      <w:r w:rsidR="00B86B27" w:rsidRPr="000B33B9">
        <w:rPr>
          <w:rFonts w:ascii="Verdana" w:eastAsia="Calibri" w:hAnsi="Verdana" w:cs="Times New Roman"/>
          <w:sz w:val="20"/>
          <w:szCs w:val="20"/>
          <w:lang w:val="es-ES" w:eastAsia="es-ES"/>
        </w:rPr>
        <w:t xml:space="preserve"> La SUNAT presentó sus observaciones al informe pericial y</w:t>
      </w:r>
      <w:r w:rsidR="00B86B27" w:rsidRPr="000B33B9">
        <w:rPr>
          <w:rFonts w:ascii="Verdana" w:hAnsi="Verdana"/>
          <w:sz w:val="20"/>
          <w:szCs w:val="20"/>
          <w:lang w:val="es-ES"/>
        </w:rPr>
        <w:t xml:space="preserve"> ANCEJU</w:t>
      </w:r>
      <w:r w:rsidR="008F0C15" w:rsidRPr="000B33B9">
        <w:rPr>
          <w:rFonts w:ascii="Verdana" w:hAnsi="Verdana"/>
          <w:sz w:val="20"/>
          <w:szCs w:val="20"/>
          <w:lang w:val="es-ES"/>
        </w:rPr>
        <w:t>B</w:t>
      </w:r>
      <w:r w:rsidR="00B86B27" w:rsidRPr="000B33B9">
        <w:rPr>
          <w:rFonts w:ascii="Verdana" w:hAnsi="Verdana"/>
          <w:sz w:val="20"/>
          <w:szCs w:val="20"/>
          <w:lang w:val="es-ES"/>
        </w:rPr>
        <w:t xml:space="preserve">-SUNAT expresó su conformidad con el mismo y solicitó que fuera aprobado. </w:t>
      </w:r>
      <w:r w:rsidR="00B86B27" w:rsidRPr="000B33B9">
        <w:rPr>
          <w:rFonts w:ascii="Verdana" w:hAnsi="Verdana"/>
          <w:sz w:val="20"/>
          <w:szCs w:val="20"/>
          <w:lang w:val="es-DO"/>
        </w:rPr>
        <w:t xml:space="preserve">El 3 de marzo de 2006, el </w:t>
      </w:r>
      <w:r w:rsidR="00B86B27" w:rsidRPr="000B33B9">
        <w:rPr>
          <w:rFonts w:ascii="Verdana" w:eastAsia="Calibri" w:hAnsi="Verdana" w:cs="Times New Roman"/>
          <w:sz w:val="20"/>
          <w:szCs w:val="20"/>
          <w:lang w:val="es-ES" w:eastAsia="es-ES"/>
        </w:rPr>
        <w:t>Sexagésimo Sexto</w:t>
      </w:r>
      <w:r w:rsidR="00EA2621" w:rsidRPr="000B33B9">
        <w:rPr>
          <w:rFonts w:ascii="Verdana" w:eastAsia="Calibri" w:hAnsi="Verdana" w:cs="Times New Roman"/>
          <w:sz w:val="20"/>
          <w:szCs w:val="20"/>
          <w:lang w:val="es-ES" w:eastAsia="es-ES"/>
        </w:rPr>
        <w:t xml:space="preserve"> Juzgado expidió la resolución </w:t>
      </w:r>
      <w:r w:rsidR="00B86B27" w:rsidRPr="000B33B9">
        <w:rPr>
          <w:rFonts w:ascii="Verdana" w:eastAsia="Calibri" w:hAnsi="Verdana" w:cs="Times New Roman"/>
          <w:sz w:val="20"/>
          <w:szCs w:val="20"/>
          <w:lang w:val="es-ES" w:eastAsia="es-ES"/>
        </w:rPr>
        <w:t>80, mediante la cual declaró infundadas las observaciones planteadas por la SUNAT, aprobó el nuevo informe pericial</w:t>
      </w:r>
      <w:r w:rsidR="00B86B27" w:rsidRPr="000B33B9">
        <w:rPr>
          <w:rFonts w:ascii="Verdana" w:hAnsi="Verdana"/>
          <w:sz w:val="20"/>
          <w:szCs w:val="20"/>
          <w:lang w:val="es-ES"/>
        </w:rPr>
        <w:t>,</w:t>
      </w:r>
      <w:r w:rsidR="00B86B27" w:rsidRPr="000B33B9">
        <w:rPr>
          <w:rFonts w:ascii="Verdana" w:eastAsia="Calibri" w:hAnsi="Verdana" w:cs="Times New Roman"/>
          <w:sz w:val="20"/>
          <w:szCs w:val="20"/>
          <w:lang w:val="es-ES" w:eastAsia="es-ES"/>
        </w:rPr>
        <w:t xml:space="preserve"> ordenó a la SUNAT proceder a nivelar las pensiones en beneficio de los </w:t>
      </w:r>
      <w:r w:rsidR="0029378E" w:rsidRPr="000B33B9">
        <w:rPr>
          <w:rFonts w:ascii="Verdana" w:eastAsia="Calibri" w:hAnsi="Verdana" w:cs="Times New Roman"/>
          <w:sz w:val="20"/>
          <w:szCs w:val="20"/>
          <w:lang w:val="es-ES" w:eastAsia="es-ES"/>
        </w:rPr>
        <w:t>604</w:t>
      </w:r>
      <w:r w:rsidR="00B86B27" w:rsidRPr="000B33B9">
        <w:rPr>
          <w:rFonts w:ascii="Verdana" w:eastAsia="Calibri" w:hAnsi="Verdana" w:cs="Times New Roman"/>
          <w:sz w:val="20"/>
          <w:szCs w:val="20"/>
          <w:lang w:val="es-ES" w:eastAsia="es-ES"/>
        </w:rPr>
        <w:t xml:space="preserve"> integrantes de ANCEJUB-SUNAT con las mayores remuneraciones que perciben los trabajadores activos del régimen laboral del Decreto 276</w:t>
      </w:r>
      <w:r w:rsidR="00B86B27" w:rsidRPr="000B33B9">
        <w:rPr>
          <w:rFonts w:ascii="Verdana" w:hAnsi="Verdana"/>
          <w:sz w:val="20"/>
          <w:szCs w:val="20"/>
          <w:lang w:val="es-ES"/>
        </w:rPr>
        <w:t>, cuyo cumplimiento “</w:t>
      </w:r>
      <w:r w:rsidR="00CE2829" w:rsidRPr="000B33B9">
        <w:rPr>
          <w:rFonts w:ascii="Verdana" w:hAnsi="Verdana"/>
          <w:sz w:val="20"/>
          <w:szCs w:val="20"/>
          <w:lang w:val="es-ES"/>
        </w:rPr>
        <w:t xml:space="preserve">(…) </w:t>
      </w:r>
      <w:r w:rsidR="00B86B27" w:rsidRPr="000B33B9">
        <w:rPr>
          <w:rFonts w:ascii="Verdana" w:hAnsi="Verdana"/>
          <w:sz w:val="20"/>
          <w:szCs w:val="20"/>
          <w:lang w:val="es-ES"/>
        </w:rPr>
        <w:t>deberá acreditar con documento idóneo”. En dicha resolución también se ordenó a la SUNAT cumplir con el pago de los “reintegros dejados de percibir” durante los periodos comprendidos desde enero de 1992 hasta diciembre de 2004 y desde enero de 2005 hasta “la fecha de la nivelación”, cuyo cumplimiento “</w:t>
      </w:r>
      <w:r w:rsidR="00CE2829" w:rsidRPr="000B33B9">
        <w:rPr>
          <w:rFonts w:ascii="Verdana" w:hAnsi="Verdana"/>
          <w:sz w:val="20"/>
          <w:szCs w:val="20"/>
          <w:lang w:val="es-ES"/>
        </w:rPr>
        <w:t xml:space="preserve">(…) </w:t>
      </w:r>
      <w:r w:rsidR="00B86B27" w:rsidRPr="000B33B9">
        <w:rPr>
          <w:rFonts w:ascii="Verdana" w:hAnsi="Verdana"/>
          <w:sz w:val="20"/>
          <w:szCs w:val="20"/>
          <w:lang w:val="es-ES"/>
        </w:rPr>
        <w:t>deberá acreditar con documento idóneo”, y declaró “improcedente el pago de intereses, dejando a salvo el derecho de la parte demandante para que lo haga valer en la vía pertinente”</w:t>
      </w:r>
      <w:r w:rsidR="00CE2829" w:rsidRPr="000B33B9">
        <w:rPr>
          <w:rStyle w:val="Refdenotaalpie"/>
          <w:rFonts w:ascii="Verdana" w:eastAsia="Calibri" w:hAnsi="Verdana" w:cs="Times New Roman"/>
          <w:sz w:val="20"/>
          <w:szCs w:val="20"/>
          <w:lang w:val="es-ES" w:eastAsia="es-ES"/>
        </w:rPr>
        <w:footnoteReference w:id="81"/>
      </w:r>
      <w:r w:rsidR="00B86B27" w:rsidRPr="000B33B9">
        <w:rPr>
          <w:rFonts w:ascii="Verdana" w:hAnsi="Verdana"/>
          <w:sz w:val="20"/>
          <w:szCs w:val="20"/>
          <w:lang w:val="es-ES"/>
        </w:rPr>
        <w:t>.</w:t>
      </w:r>
    </w:p>
    <w:p w14:paraId="16AE02AF" w14:textId="6CCD9DEE" w:rsidR="00B86B27" w:rsidRPr="000B33B9" w:rsidRDefault="00B86B27" w:rsidP="00E14D45">
      <w:pPr>
        <w:pStyle w:val="Prrafodelista"/>
        <w:spacing w:after="0" w:line="240" w:lineRule="auto"/>
        <w:ind w:left="0"/>
        <w:contextualSpacing w:val="0"/>
        <w:jc w:val="both"/>
        <w:rPr>
          <w:rFonts w:ascii="Verdana" w:hAnsi="Verdana"/>
          <w:sz w:val="20"/>
          <w:szCs w:val="20"/>
          <w:lang w:val="es-ES"/>
        </w:rPr>
      </w:pPr>
    </w:p>
    <w:p w14:paraId="2CA9ADF2" w14:textId="65F813AB" w:rsidR="00B86B27" w:rsidRPr="000B33B9" w:rsidRDefault="00B86B27" w:rsidP="007B74B8">
      <w:pPr>
        <w:pStyle w:val="Prrafodelista"/>
        <w:numPr>
          <w:ilvl w:val="0"/>
          <w:numId w:val="10"/>
        </w:numPr>
        <w:spacing w:after="0" w:line="240" w:lineRule="auto"/>
        <w:ind w:left="0" w:firstLine="0"/>
        <w:jc w:val="both"/>
        <w:rPr>
          <w:rFonts w:ascii="Verdana" w:hAnsi="Verdana"/>
          <w:b/>
          <w:sz w:val="20"/>
          <w:szCs w:val="20"/>
          <w:lang w:val="es-ES"/>
        </w:rPr>
      </w:pPr>
      <w:r w:rsidRPr="000B33B9">
        <w:rPr>
          <w:rFonts w:ascii="Verdana" w:hAnsi="Verdana"/>
          <w:sz w:val="20"/>
          <w:szCs w:val="20"/>
          <w:lang w:val="es-ES"/>
        </w:rPr>
        <w:t xml:space="preserve">El 20 de marzo de 2006, el </w:t>
      </w:r>
      <w:r w:rsidRPr="000B33B9">
        <w:rPr>
          <w:rFonts w:ascii="Verdana" w:eastAsia="Calibri" w:hAnsi="Verdana" w:cs="Times New Roman"/>
          <w:sz w:val="20"/>
          <w:szCs w:val="20"/>
          <w:lang w:val="es-ES" w:eastAsia="es-ES"/>
        </w:rPr>
        <w:t>Sexagésimo Sexto</w:t>
      </w:r>
      <w:r w:rsidR="00EA2621" w:rsidRPr="000B33B9">
        <w:rPr>
          <w:rFonts w:ascii="Verdana" w:eastAsia="Calibri" w:hAnsi="Verdana" w:cs="Times New Roman"/>
          <w:sz w:val="20"/>
          <w:szCs w:val="20"/>
          <w:lang w:val="es-ES" w:eastAsia="es-ES"/>
        </w:rPr>
        <w:t xml:space="preserve"> Juzgado expidió la resolución </w:t>
      </w:r>
      <w:r w:rsidRPr="000B33B9">
        <w:rPr>
          <w:rFonts w:ascii="Verdana" w:eastAsia="Calibri" w:hAnsi="Verdana" w:cs="Times New Roman"/>
          <w:sz w:val="20"/>
          <w:szCs w:val="20"/>
          <w:lang w:val="es-ES" w:eastAsia="es-ES"/>
        </w:rPr>
        <w:t>81, mediante la cual concedió “sin efecto suspensivo” el recurso de apelación interpuesto por</w:t>
      </w:r>
      <w:r w:rsidR="00EA2621" w:rsidRPr="000B33B9">
        <w:rPr>
          <w:rFonts w:ascii="Verdana" w:eastAsia="Calibri" w:hAnsi="Verdana" w:cs="Times New Roman"/>
          <w:sz w:val="20"/>
          <w:szCs w:val="20"/>
          <w:lang w:val="es-ES" w:eastAsia="es-ES"/>
        </w:rPr>
        <w:t xml:space="preserve"> la SUNAT</w:t>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y ordenó la remisión del expediente a la Sexta Sala Civil</w:t>
      </w:r>
      <w:r w:rsidR="008D454E" w:rsidRPr="000B33B9">
        <w:rPr>
          <w:rStyle w:val="Refdenotaalpie"/>
          <w:rFonts w:ascii="Verdana" w:eastAsia="Calibri" w:hAnsi="Verdana" w:cs="Times New Roman"/>
          <w:sz w:val="20"/>
          <w:szCs w:val="20"/>
          <w:lang w:val="es-ES" w:eastAsia="es-ES"/>
        </w:rPr>
        <w:footnoteReference w:id="82"/>
      </w:r>
      <w:r w:rsidRPr="000B33B9">
        <w:rPr>
          <w:rFonts w:ascii="Verdana" w:hAnsi="Verdana"/>
          <w:sz w:val="20"/>
          <w:szCs w:val="20"/>
          <w:lang w:val="es-ES"/>
        </w:rPr>
        <w:t>. E</w:t>
      </w:r>
      <w:r w:rsidRPr="000B33B9">
        <w:rPr>
          <w:rFonts w:ascii="Verdana" w:eastAsia="Calibri" w:hAnsi="Verdana" w:cs="Times New Roman"/>
          <w:sz w:val="20"/>
          <w:szCs w:val="20"/>
          <w:lang w:val="es-ES" w:eastAsia="es-ES"/>
        </w:rPr>
        <w:t>l 24 de julio de 2006, la Sexta Sala Civil anuló la resolución de 3 de marzo de 2006 y ordenó que se realizara un nuevo peritaje “</w:t>
      </w:r>
      <w:r w:rsidR="008D454E"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con observancia del inciso c) del artículo 3º del Decreto Legislativo 673”</w:t>
      </w:r>
      <w:r w:rsidRPr="000B33B9">
        <w:rPr>
          <w:rStyle w:val="Refdenotaalpie"/>
          <w:rFonts w:ascii="Verdana" w:eastAsia="Calibri" w:hAnsi="Verdana" w:cs="Times New Roman"/>
          <w:sz w:val="20"/>
          <w:szCs w:val="20"/>
          <w:lang w:val="es-ES" w:eastAsia="es-ES"/>
        </w:rPr>
        <w:footnoteReference w:id="83"/>
      </w:r>
      <w:r w:rsidRPr="000B33B9">
        <w:rPr>
          <w:rFonts w:ascii="Verdana" w:hAnsi="Verdana"/>
          <w:sz w:val="20"/>
          <w:szCs w:val="20"/>
          <w:lang w:val="es-ES"/>
        </w:rPr>
        <w:t>.</w:t>
      </w:r>
      <w:r w:rsidRPr="000B33B9">
        <w:rPr>
          <w:rFonts w:ascii="Verdana" w:hAnsi="Verdana"/>
          <w:b/>
          <w:sz w:val="20"/>
          <w:szCs w:val="20"/>
          <w:lang w:val="es-ES"/>
        </w:rPr>
        <w:t xml:space="preserve"> </w:t>
      </w:r>
      <w:r w:rsidRPr="000B33B9">
        <w:rPr>
          <w:rFonts w:ascii="Verdana" w:hAnsi="Verdana"/>
          <w:sz w:val="20"/>
          <w:szCs w:val="20"/>
          <w:lang w:val="es-ES"/>
        </w:rPr>
        <w:t>Esta resolución fue objeto de una tercera acción de amparo por parte de ANCEJUB-SUNAT, cuya instrucción se llevó a cabo de modo paralelo a los trámites procesales referidos en esta sección y la cual será abordada con detalle en el siguiente capítulo (</w:t>
      </w:r>
      <w:r w:rsidRPr="000B33B9">
        <w:rPr>
          <w:rFonts w:ascii="Verdana" w:hAnsi="Verdana"/>
          <w:i/>
          <w:sz w:val="20"/>
          <w:szCs w:val="20"/>
          <w:lang w:val="es-ES"/>
        </w:rPr>
        <w:t>infra</w:t>
      </w:r>
      <w:r w:rsidRPr="000B33B9">
        <w:rPr>
          <w:rFonts w:ascii="Verdana" w:hAnsi="Verdana"/>
          <w:sz w:val="20"/>
          <w:szCs w:val="20"/>
          <w:lang w:val="es-ES"/>
        </w:rPr>
        <w:t xml:space="preserve"> párr.</w:t>
      </w:r>
      <w:r w:rsidR="00EA2621" w:rsidRPr="000B33B9">
        <w:rPr>
          <w:rFonts w:ascii="Verdana" w:hAnsi="Verdana"/>
          <w:sz w:val="20"/>
          <w:szCs w:val="20"/>
          <w:lang w:val="es-ES"/>
        </w:rPr>
        <w:t xml:space="preserve"> 87</w:t>
      </w:r>
      <w:r w:rsidRPr="000B33B9">
        <w:rPr>
          <w:rFonts w:ascii="Verdana" w:hAnsi="Verdana"/>
          <w:sz w:val="20"/>
          <w:szCs w:val="20"/>
          <w:lang w:val="es-ES"/>
        </w:rPr>
        <w:t xml:space="preserve">). </w:t>
      </w:r>
    </w:p>
    <w:p w14:paraId="0482E380" w14:textId="77777777" w:rsidR="00B86B27" w:rsidRPr="000B33B9" w:rsidRDefault="00B86B27" w:rsidP="00B86B27">
      <w:pPr>
        <w:pStyle w:val="Prrafodelista"/>
        <w:spacing w:after="0" w:line="240" w:lineRule="auto"/>
        <w:ind w:left="0"/>
        <w:jc w:val="both"/>
        <w:rPr>
          <w:rFonts w:ascii="Verdana" w:hAnsi="Verdana"/>
          <w:b/>
          <w:sz w:val="20"/>
          <w:szCs w:val="20"/>
          <w:lang w:val="es-ES"/>
        </w:rPr>
      </w:pPr>
    </w:p>
    <w:p w14:paraId="2C5E5D06" w14:textId="63E9929A" w:rsidR="00B86B27" w:rsidRPr="000B33B9" w:rsidRDefault="00B86B27" w:rsidP="007B74B8">
      <w:pPr>
        <w:pStyle w:val="Prrafodelista"/>
        <w:numPr>
          <w:ilvl w:val="0"/>
          <w:numId w:val="10"/>
        </w:numPr>
        <w:spacing w:after="0" w:line="240" w:lineRule="auto"/>
        <w:ind w:left="0" w:firstLine="0"/>
        <w:jc w:val="both"/>
        <w:rPr>
          <w:rFonts w:ascii="Verdana" w:hAnsi="Verdana"/>
          <w:b/>
          <w:sz w:val="20"/>
          <w:szCs w:val="20"/>
          <w:lang w:val="es-ES"/>
        </w:rPr>
      </w:pPr>
      <w:r w:rsidRPr="000B33B9">
        <w:rPr>
          <w:rFonts w:ascii="Verdana" w:hAnsi="Verdana"/>
          <w:sz w:val="20"/>
          <w:szCs w:val="20"/>
          <w:lang w:val="es-ES"/>
        </w:rPr>
        <w:t xml:space="preserve">El 25 de octubre de 2006, el </w:t>
      </w:r>
      <w:r w:rsidRPr="000B33B9">
        <w:rPr>
          <w:rFonts w:ascii="Verdana" w:eastAsia="Calibri" w:hAnsi="Verdana" w:cs="Times New Roman"/>
          <w:sz w:val="20"/>
          <w:szCs w:val="20"/>
          <w:lang w:val="es-ES" w:eastAsia="es-ES"/>
        </w:rPr>
        <w:t>Sexagésimo Sexto Juzgado dispuso la elaboración de “</w:t>
      </w:r>
      <w:r w:rsidR="008D454E"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un nuevo Peritaje contable con observancia del inciso c) del art. 3º del Decreto Legislativo 673, siendo que la nivelación debe efectuarse con la remuneración del funcionario o trabajador act</w:t>
      </w:r>
      <w:r w:rsidR="00EA2621" w:rsidRPr="000B33B9">
        <w:rPr>
          <w:rFonts w:ascii="Verdana" w:eastAsia="Calibri" w:hAnsi="Verdana" w:cs="Times New Roman"/>
          <w:sz w:val="20"/>
          <w:szCs w:val="20"/>
          <w:lang w:val="es-ES" w:eastAsia="es-ES"/>
        </w:rPr>
        <w:t>ivo de la Administración Pública</w:t>
      </w:r>
      <w:r w:rsidRPr="000B33B9">
        <w:rPr>
          <w:rFonts w:ascii="Verdana" w:eastAsia="Calibri" w:hAnsi="Verdana" w:cs="Times New Roman"/>
          <w:sz w:val="20"/>
          <w:szCs w:val="20"/>
          <w:lang w:val="es-ES" w:eastAsia="es-ES"/>
        </w:rPr>
        <w:t xml:space="preserve"> del mismo nivel y categoría que ocu</w:t>
      </w:r>
      <w:r w:rsidR="00EA2621" w:rsidRPr="000B33B9">
        <w:rPr>
          <w:rFonts w:ascii="Verdana" w:eastAsia="Calibri" w:hAnsi="Verdana" w:cs="Times New Roman"/>
          <w:sz w:val="20"/>
          <w:szCs w:val="20"/>
          <w:lang w:val="es-ES" w:eastAsia="es-ES"/>
        </w:rPr>
        <w:t>pó el pensionista al momento de su</w:t>
      </w:r>
      <w:r w:rsidRPr="000B33B9">
        <w:rPr>
          <w:rFonts w:ascii="Verdana" w:eastAsia="Calibri" w:hAnsi="Verdana" w:cs="Times New Roman"/>
          <w:sz w:val="20"/>
          <w:szCs w:val="20"/>
          <w:lang w:val="es-ES" w:eastAsia="es-ES"/>
        </w:rPr>
        <w:t xml:space="preserve"> cese”. Conforme lo ordenado en la citada resolución, el informe sería rendido por un nuevo perito, designado por el Registro de Peritos Judiciales (</w:t>
      </w:r>
      <w:r w:rsidR="00EA2621" w:rsidRPr="000B33B9">
        <w:rPr>
          <w:rFonts w:ascii="Verdana" w:eastAsia="Calibri" w:hAnsi="Verdana" w:cs="Times New Roman"/>
          <w:sz w:val="20"/>
          <w:szCs w:val="20"/>
          <w:lang w:val="es-ES" w:eastAsia="es-ES"/>
        </w:rPr>
        <w:t>en adelante, “</w:t>
      </w:r>
      <w:r w:rsidRPr="000B33B9">
        <w:rPr>
          <w:rFonts w:ascii="Verdana" w:eastAsia="Calibri" w:hAnsi="Verdana" w:cs="Times New Roman"/>
          <w:sz w:val="20"/>
          <w:szCs w:val="20"/>
          <w:lang w:val="es-ES" w:eastAsia="es-ES"/>
        </w:rPr>
        <w:t>REPEJ</w:t>
      </w:r>
      <w:r w:rsidR="00EA2621" w:rsidRPr="000B33B9">
        <w:rPr>
          <w:rFonts w:ascii="Verdana" w:eastAsia="Calibri" w:hAnsi="Verdana" w:cs="Times New Roman"/>
          <w:sz w:val="20"/>
          <w:szCs w:val="20"/>
          <w:lang w:val="es-ES" w:eastAsia="es-ES"/>
        </w:rPr>
        <w:t>”</w:t>
      </w:r>
      <w:r w:rsidRPr="000B33B9">
        <w:rPr>
          <w:rFonts w:ascii="Verdana" w:eastAsia="Calibri" w:hAnsi="Verdana" w:cs="Times New Roman"/>
          <w:sz w:val="20"/>
          <w:szCs w:val="20"/>
          <w:lang w:val="es-ES" w:eastAsia="es-ES"/>
        </w:rPr>
        <w:t>)</w:t>
      </w:r>
      <w:r w:rsidR="008D454E" w:rsidRPr="000B33B9">
        <w:rPr>
          <w:rStyle w:val="Refdenotaalpie"/>
          <w:rFonts w:ascii="Verdana" w:eastAsia="Calibri" w:hAnsi="Verdana" w:cs="Times New Roman"/>
          <w:sz w:val="20"/>
          <w:szCs w:val="20"/>
          <w:lang w:val="es-ES" w:eastAsia="es-ES"/>
        </w:rPr>
        <w:footnoteReference w:id="84"/>
      </w:r>
      <w:r w:rsidRPr="000B33B9">
        <w:rPr>
          <w:rFonts w:ascii="Verdana" w:eastAsia="Calibri" w:hAnsi="Verdana" w:cs="Times New Roman"/>
          <w:sz w:val="20"/>
          <w:szCs w:val="20"/>
          <w:lang w:val="es-ES" w:eastAsia="es-ES"/>
        </w:rPr>
        <w:t xml:space="preserve">. </w:t>
      </w:r>
      <w:r w:rsidRPr="000B33B9">
        <w:rPr>
          <w:rFonts w:ascii="Verdana" w:hAnsi="Verdana"/>
          <w:sz w:val="20"/>
          <w:szCs w:val="20"/>
          <w:lang w:val="es-ES"/>
        </w:rPr>
        <w:t>En un escrito de 17 de mayo de 2007, ANCEJUB-SUNAT presentó su oposición a la tarifa de honorarios propuesta p</w:t>
      </w:r>
      <w:r w:rsidR="00EA2621" w:rsidRPr="000B33B9">
        <w:rPr>
          <w:rFonts w:ascii="Verdana" w:hAnsi="Verdana"/>
          <w:sz w:val="20"/>
          <w:szCs w:val="20"/>
          <w:lang w:val="es-ES"/>
        </w:rPr>
        <w:t>or el perito designado por REPEJ</w:t>
      </w:r>
      <w:r w:rsidRPr="000B33B9">
        <w:rPr>
          <w:rFonts w:ascii="Verdana" w:hAnsi="Verdana"/>
          <w:sz w:val="20"/>
          <w:szCs w:val="20"/>
          <w:lang w:val="es-ES"/>
        </w:rPr>
        <w:t>, al considerarla “una cantidad desproporcionada” y debido a que “ya había pagado los honorarios” del perito que elaboró el primer informe</w:t>
      </w:r>
      <w:r w:rsidRPr="000B33B9">
        <w:rPr>
          <w:rStyle w:val="Refdenotaalpie"/>
          <w:rFonts w:ascii="Verdana" w:hAnsi="Verdana"/>
          <w:sz w:val="20"/>
          <w:szCs w:val="20"/>
          <w:lang w:val="es-ES"/>
        </w:rPr>
        <w:footnoteReference w:id="85"/>
      </w:r>
      <w:r w:rsidRPr="000B33B9">
        <w:rPr>
          <w:rFonts w:ascii="Verdana" w:hAnsi="Verdana"/>
          <w:sz w:val="20"/>
          <w:szCs w:val="20"/>
          <w:lang w:val="es-ES"/>
        </w:rPr>
        <w:t>.</w:t>
      </w:r>
    </w:p>
    <w:p w14:paraId="3B237982" w14:textId="77777777" w:rsidR="00B86B27" w:rsidRPr="000B33B9" w:rsidRDefault="00B86B27" w:rsidP="00B86B27">
      <w:pPr>
        <w:pStyle w:val="Prrafodelista"/>
        <w:rPr>
          <w:rFonts w:ascii="Verdana" w:hAnsi="Verdana"/>
          <w:b/>
          <w:sz w:val="20"/>
          <w:szCs w:val="20"/>
          <w:lang w:val="es-ES"/>
        </w:rPr>
      </w:pPr>
    </w:p>
    <w:p w14:paraId="5AF95142" w14:textId="3DC40EB2"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ES"/>
        </w:rPr>
        <w:t xml:space="preserve">El 30 de mayo de 2007, el </w:t>
      </w:r>
      <w:r w:rsidRPr="000B33B9">
        <w:rPr>
          <w:rFonts w:ascii="Verdana" w:eastAsia="Calibri" w:hAnsi="Verdana" w:cs="Times New Roman"/>
          <w:sz w:val="20"/>
          <w:szCs w:val="20"/>
          <w:lang w:val="es-ES" w:eastAsia="es-ES"/>
        </w:rPr>
        <w:t xml:space="preserve">Sexagésimo Sexto Juzgado ordenó la remisión del expediente a la Oficina de Pericias Judiciales para que elaborara </w:t>
      </w:r>
      <w:r w:rsidR="00EA2621" w:rsidRPr="000B33B9">
        <w:rPr>
          <w:rFonts w:ascii="Verdana" w:eastAsia="Calibri" w:hAnsi="Verdana" w:cs="Times New Roman"/>
          <w:sz w:val="20"/>
          <w:szCs w:val="20"/>
          <w:lang w:val="es-ES" w:eastAsia="es-ES"/>
        </w:rPr>
        <w:t>el</w:t>
      </w:r>
      <w:r w:rsidRPr="000B33B9">
        <w:rPr>
          <w:rFonts w:ascii="Verdana" w:eastAsia="Calibri" w:hAnsi="Verdana" w:cs="Times New Roman"/>
          <w:sz w:val="20"/>
          <w:szCs w:val="20"/>
          <w:lang w:val="es-ES" w:eastAsia="es-ES"/>
        </w:rPr>
        <w:t xml:space="preserve"> nuevo informe pericial</w:t>
      </w:r>
      <w:r w:rsidRPr="000B33B9">
        <w:rPr>
          <w:rStyle w:val="Refdenotaalpie"/>
          <w:rFonts w:ascii="Verdana" w:eastAsia="Calibri" w:hAnsi="Verdana" w:cs="Times New Roman"/>
          <w:sz w:val="20"/>
          <w:szCs w:val="20"/>
          <w:lang w:val="es-ES" w:eastAsia="es-ES"/>
        </w:rPr>
        <w:footnoteReference w:id="86"/>
      </w:r>
      <w:r w:rsidRPr="000B33B9">
        <w:rPr>
          <w:rFonts w:ascii="Verdana" w:eastAsia="Calibri" w:hAnsi="Verdana" w:cs="Times New Roman"/>
          <w:sz w:val="20"/>
          <w:szCs w:val="20"/>
          <w:lang w:val="es-ES" w:eastAsia="es-ES"/>
        </w:rPr>
        <w:t>. El</w:t>
      </w:r>
      <w:r w:rsidRPr="000B33B9">
        <w:rPr>
          <w:rFonts w:ascii="Verdana" w:hAnsi="Verdana"/>
          <w:sz w:val="20"/>
          <w:szCs w:val="20"/>
          <w:lang w:val="es-ES"/>
        </w:rPr>
        <w:t xml:space="preserve"> 13 de noviembre y 14 de diciembre de 2009</w:t>
      </w:r>
      <w:r w:rsidR="00875D1F" w:rsidRPr="000B33B9">
        <w:rPr>
          <w:rFonts w:ascii="Verdana" w:hAnsi="Verdana"/>
          <w:sz w:val="20"/>
          <w:szCs w:val="20"/>
          <w:lang w:val="es-ES"/>
        </w:rPr>
        <w:t>,</w:t>
      </w:r>
      <w:r w:rsidRPr="000B33B9">
        <w:rPr>
          <w:rFonts w:ascii="Verdana" w:hAnsi="Verdana"/>
          <w:sz w:val="20"/>
          <w:szCs w:val="20"/>
          <w:lang w:val="es-ES"/>
        </w:rPr>
        <w:t xml:space="preserve"> la SUNAT depositó dos peritajes de parte. El 14 de enero de 2010, el Vigésimo Tercer Juzgado Especializado en lo Civil de Lima </w:t>
      </w:r>
      <w:r w:rsidR="005A753A" w:rsidRPr="000B33B9">
        <w:rPr>
          <w:rFonts w:ascii="Verdana" w:hAnsi="Verdana"/>
          <w:sz w:val="20"/>
          <w:szCs w:val="20"/>
          <w:lang w:val="es-ES"/>
        </w:rPr>
        <w:t xml:space="preserve">(en adelante “Vigésimo Tercer Juzgado”) </w:t>
      </w:r>
      <w:r w:rsidRPr="000B33B9">
        <w:rPr>
          <w:rFonts w:ascii="Verdana" w:hAnsi="Verdana"/>
          <w:sz w:val="20"/>
          <w:szCs w:val="20"/>
          <w:lang w:val="es-ES"/>
        </w:rPr>
        <w:t>ordenó que ANCEJUB-SUNAT tomara conocimiento de ambos informes periciales y formulara sus observaciones</w:t>
      </w:r>
      <w:r w:rsidR="005A753A" w:rsidRPr="000B33B9">
        <w:rPr>
          <w:rStyle w:val="Refdenotaalpie"/>
          <w:rFonts w:ascii="Verdana" w:hAnsi="Verdana"/>
          <w:sz w:val="20"/>
          <w:szCs w:val="20"/>
          <w:lang w:val="es-ES"/>
        </w:rPr>
        <w:footnoteReference w:id="87"/>
      </w:r>
      <w:r w:rsidRPr="000B33B9">
        <w:rPr>
          <w:rFonts w:ascii="Verdana" w:hAnsi="Verdana"/>
          <w:sz w:val="20"/>
          <w:szCs w:val="20"/>
          <w:lang w:val="es-ES"/>
        </w:rPr>
        <w:t>.</w:t>
      </w:r>
    </w:p>
    <w:p w14:paraId="29AF336F" w14:textId="77777777" w:rsidR="00B86B27" w:rsidRPr="000B33B9" w:rsidRDefault="00B86B27" w:rsidP="00B86B27">
      <w:pPr>
        <w:pStyle w:val="Prrafodelista"/>
        <w:rPr>
          <w:rFonts w:ascii="Verdana" w:hAnsi="Verdana"/>
          <w:sz w:val="20"/>
          <w:szCs w:val="20"/>
          <w:lang w:val="es-ES"/>
        </w:rPr>
      </w:pPr>
    </w:p>
    <w:p w14:paraId="4154F6BA" w14:textId="35C24192"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ES"/>
        </w:rPr>
        <w:t xml:space="preserve">El 22 de marzo de 2010, ANCEJUB-SUNAT solicitó la nulidad de la resolución </w:t>
      </w:r>
      <w:r w:rsidR="00C53912" w:rsidRPr="000B33B9">
        <w:rPr>
          <w:rFonts w:ascii="Verdana" w:hAnsi="Verdana"/>
          <w:sz w:val="20"/>
          <w:szCs w:val="20"/>
          <w:lang w:val="es-ES"/>
        </w:rPr>
        <w:t>No.</w:t>
      </w:r>
      <w:r w:rsidRPr="000B33B9">
        <w:rPr>
          <w:rFonts w:ascii="Verdana" w:hAnsi="Verdana"/>
          <w:sz w:val="20"/>
          <w:szCs w:val="20"/>
          <w:lang w:val="es-ES"/>
        </w:rPr>
        <w:t xml:space="preserve"> 174 de 14 de enero de 2010 por considerarla contraria a “</w:t>
      </w:r>
      <w:r w:rsidR="005A753A" w:rsidRPr="000B33B9">
        <w:rPr>
          <w:rFonts w:ascii="Verdana" w:hAnsi="Verdana"/>
          <w:sz w:val="20"/>
          <w:szCs w:val="20"/>
          <w:lang w:val="es-ES"/>
        </w:rPr>
        <w:t xml:space="preserve">(…) </w:t>
      </w:r>
      <w:r w:rsidRPr="000B33B9">
        <w:rPr>
          <w:rFonts w:ascii="Verdana" w:hAnsi="Verdana"/>
          <w:sz w:val="20"/>
          <w:szCs w:val="20"/>
          <w:lang w:val="es-ES"/>
        </w:rPr>
        <w:t>lo expresado en la Resolución No 1</w:t>
      </w:r>
      <w:r w:rsidR="00EA2621" w:rsidRPr="000B33B9">
        <w:rPr>
          <w:rFonts w:ascii="Verdana" w:hAnsi="Verdana"/>
          <w:sz w:val="20"/>
          <w:szCs w:val="20"/>
          <w:lang w:val="es-ES"/>
        </w:rPr>
        <w:t>56 de fecha 30 de mayo de 2007”</w:t>
      </w:r>
      <w:r w:rsidRPr="000B33B9">
        <w:rPr>
          <w:rFonts w:ascii="Verdana" w:hAnsi="Verdana"/>
          <w:bCs/>
          <w:sz w:val="20"/>
          <w:szCs w:val="20"/>
          <w:lang w:val="es-ES"/>
        </w:rPr>
        <w:t xml:space="preserve">. </w:t>
      </w:r>
      <w:r w:rsidRPr="000B33B9">
        <w:rPr>
          <w:rFonts w:ascii="Verdana" w:hAnsi="Verdana"/>
          <w:sz w:val="20"/>
          <w:szCs w:val="20"/>
          <w:lang w:val="es-ES"/>
        </w:rPr>
        <w:t>ANCEJUB-SUNAT puntualizó que, al disponer el traslado de los peritajes efectuados por la SUNAT, la resolución N</w:t>
      </w:r>
      <w:r w:rsidRPr="000B33B9">
        <w:rPr>
          <w:rFonts w:ascii="Verdana" w:hAnsi="Verdana"/>
          <w:sz w:val="20"/>
          <w:szCs w:val="20"/>
          <w:vertAlign w:val="superscript"/>
          <w:lang w:val="es-ES"/>
        </w:rPr>
        <w:t>o</w:t>
      </w:r>
      <w:r w:rsidRPr="000B33B9">
        <w:rPr>
          <w:rFonts w:ascii="Verdana" w:hAnsi="Verdana"/>
          <w:sz w:val="20"/>
          <w:szCs w:val="20"/>
          <w:lang w:val="es-ES"/>
        </w:rPr>
        <w:t xml:space="preserve"> 174 “</w:t>
      </w:r>
      <w:r w:rsidR="005A753A" w:rsidRPr="000B33B9">
        <w:rPr>
          <w:rFonts w:ascii="Verdana" w:hAnsi="Verdana"/>
          <w:sz w:val="20"/>
          <w:szCs w:val="20"/>
          <w:lang w:val="es-ES"/>
        </w:rPr>
        <w:t xml:space="preserve">(…) </w:t>
      </w:r>
      <w:r w:rsidRPr="000B33B9">
        <w:rPr>
          <w:rFonts w:ascii="Verdana" w:hAnsi="Verdana"/>
          <w:sz w:val="20"/>
          <w:szCs w:val="20"/>
          <w:lang w:val="es-ES"/>
        </w:rPr>
        <w:t>retarda innecesariamente la ejecución de la sentencia”, por lo que solicitó al Tribunal que “</w:t>
      </w:r>
      <w:r w:rsidR="005A753A" w:rsidRPr="000B33B9">
        <w:rPr>
          <w:rFonts w:ascii="Verdana" w:hAnsi="Verdana"/>
          <w:sz w:val="20"/>
          <w:szCs w:val="20"/>
          <w:lang w:val="es-ES"/>
        </w:rPr>
        <w:t xml:space="preserve">(…) </w:t>
      </w:r>
      <w:r w:rsidRPr="000B33B9">
        <w:rPr>
          <w:rFonts w:ascii="Verdana" w:hAnsi="Verdana"/>
          <w:sz w:val="20"/>
          <w:szCs w:val="20"/>
          <w:lang w:val="es-ES"/>
        </w:rPr>
        <w:t>ordene continuar con la ejecución de la Sentencia”</w:t>
      </w:r>
      <w:r w:rsidR="005A753A" w:rsidRPr="000B33B9">
        <w:rPr>
          <w:rStyle w:val="Refdenotaalpie"/>
          <w:rFonts w:ascii="Verdana" w:hAnsi="Verdana"/>
          <w:sz w:val="20"/>
          <w:szCs w:val="20"/>
          <w:lang w:val="es-ES"/>
        </w:rPr>
        <w:footnoteReference w:id="88"/>
      </w:r>
      <w:r w:rsidRPr="000B33B9">
        <w:rPr>
          <w:rFonts w:ascii="Verdana" w:hAnsi="Verdana"/>
          <w:sz w:val="20"/>
          <w:szCs w:val="20"/>
          <w:lang w:val="es-ES"/>
        </w:rPr>
        <w:t>.</w:t>
      </w:r>
    </w:p>
    <w:p w14:paraId="738A0965" w14:textId="77777777" w:rsidR="00B86B27" w:rsidRPr="000B33B9" w:rsidRDefault="00B86B27" w:rsidP="00B86B27">
      <w:pPr>
        <w:pStyle w:val="Prrafodelista"/>
        <w:rPr>
          <w:rFonts w:ascii="Verdana" w:eastAsia="Calibri" w:hAnsi="Verdana" w:cs="Times New Roman"/>
          <w:sz w:val="20"/>
          <w:szCs w:val="20"/>
          <w:lang w:val="es-ES" w:eastAsia="es-ES"/>
        </w:rPr>
      </w:pPr>
    </w:p>
    <w:p w14:paraId="11976101" w14:textId="73ACACC0" w:rsidR="00B86B27" w:rsidRPr="000B33B9" w:rsidRDefault="00B86B27" w:rsidP="007B74B8">
      <w:pPr>
        <w:pStyle w:val="Prrafodelista"/>
        <w:numPr>
          <w:ilvl w:val="0"/>
          <w:numId w:val="10"/>
        </w:numPr>
        <w:spacing w:after="0" w:line="240" w:lineRule="auto"/>
        <w:ind w:left="0" w:firstLine="0"/>
        <w:jc w:val="both"/>
        <w:rPr>
          <w:rFonts w:ascii="Verdana" w:eastAsia="Calibri" w:hAnsi="Verdana" w:cs="Times New Roman"/>
          <w:sz w:val="20"/>
          <w:szCs w:val="20"/>
          <w:lang w:val="es-ES" w:eastAsia="es-ES"/>
        </w:rPr>
      </w:pPr>
      <w:r w:rsidRPr="000B33B9">
        <w:rPr>
          <w:rFonts w:ascii="Verdana" w:eastAsia="Calibri" w:hAnsi="Verdana" w:cs="Times New Roman"/>
          <w:sz w:val="20"/>
          <w:szCs w:val="20"/>
          <w:lang w:val="es-ES" w:eastAsia="es-ES"/>
        </w:rPr>
        <w:t xml:space="preserve">El 26 de abril de 2010, ANCEJUB-SUNAT presentó sus observaciones a los peritajes elaborados por la SUNAT. El 2 de julio de 2010, la SUNAT objetó la solicitud de nulidad </w:t>
      </w:r>
      <w:r w:rsidR="00EA2621" w:rsidRPr="000B33B9">
        <w:rPr>
          <w:rFonts w:ascii="Verdana" w:eastAsia="Calibri" w:hAnsi="Verdana" w:cs="Times New Roman"/>
          <w:sz w:val="20"/>
          <w:szCs w:val="20"/>
          <w:lang w:val="es-ES" w:eastAsia="es-ES"/>
        </w:rPr>
        <w:t>presentada</w:t>
      </w:r>
      <w:r w:rsidRPr="000B33B9">
        <w:rPr>
          <w:rFonts w:ascii="Verdana" w:eastAsia="Calibri" w:hAnsi="Verdana" w:cs="Times New Roman"/>
          <w:sz w:val="20"/>
          <w:szCs w:val="20"/>
          <w:lang w:val="es-ES" w:eastAsia="es-ES"/>
        </w:rPr>
        <w:t xml:space="preserve"> por ANCEJUB-SUNAT</w:t>
      </w:r>
      <w:r w:rsidRPr="000B33B9">
        <w:rPr>
          <w:rStyle w:val="Refdenotaalpie"/>
          <w:rFonts w:ascii="Verdana" w:eastAsia="Calibri" w:hAnsi="Verdana" w:cs="Times New Roman"/>
          <w:sz w:val="20"/>
          <w:szCs w:val="20"/>
          <w:lang w:val="es-ES" w:eastAsia="es-ES"/>
        </w:rPr>
        <w:footnoteReference w:id="89"/>
      </w:r>
      <w:r w:rsidRPr="000B33B9">
        <w:rPr>
          <w:rFonts w:ascii="Verdana" w:eastAsia="Calibri" w:hAnsi="Verdana" w:cs="Times New Roman"/>
          <w:sz w:val="20"/>
          <w:szCs w:val="20"/>
          <w:lang w:val="es-ES" w:eastAsia="es-ES"/>
        </w:rPr>
        <w:t xml:space="preserve">. El 3 de agosto de 2010, el </w:t>
      </w:r>
      <w:r w:rsidRPr="000B33B9">
        <w:rPr>
          <w:rFonts w:ascii="Verdana" w:hAnsi="Verdana"/>
          <w:sz w:val="20"/>
          <w:szCs w:val="20"/>
          <w:lang w:val="es-ES"/>
        </w:rPr>
        <w:t xml:space="preserve">Vigésimo Tercer Juzgado </w:t>
      </w:r>
      <w:r w:rsidRPr="000B33B9">
        <w:rPr>
          <w:rFonts w:ascii="Verdana" w:eastAsia="Calibri" w:hAnsi="Verdana" w:cs="Times New Roman"/>
          <w:sz w:val="20"/>
          <w:szCs w:val="20"/>
          <w:lang w:val="es-ES" w:eastAsia="es-ES"/>
        </w:rPr>
        <w:t>declaró infundada la solicitud de nulidad, al juzgar que “no se había cometido ningún vicio de procedimiento”. E</w:t>
      </w:r>
      <w:r w:rsidRPr="000B33B9">
        <w:rPr>
          <w:rFonts w:ascii="Verdana" w:hAnsi="Verdana"/>
          <w:sz w:val="20"/>
          <w:szCs w:val="20"/>
          <w:lang w:val="es-ES"/>
        </w:rPr>
        <w:t xml:space="preserve">l Juzgado también dispuso la remisión de los autos a la Oficina de Pericias Judiciales- Equipo Técnico Pericial de la Corte Superior de Justicia de Lima </w:t>
      </w:r>
      <w:r w:rsidR="00C604E8" w:rsidRPr="000B33B9">
        <w:rPr>
          <w:rFonts w:ascii="Verdana" w:hAnsi="Verdana"/>
          <w:sz w:val="20"/>
          <w:szCs w:val="20"/>
          <w:lang w:val="es-ES"/>
        </w:rPr>
        <w:t xml:space="preserve">(en adelante “Equipo Técnico Pericial”) </w:t>
      </w:r>
      <w:r w:rsidRPr="000B33B9">
        <w:rPr>
          <w:rFonts w:ascii="Verdana" w:hAnsi="Verdana"/>
          <w:sz w:val="20"/>
          <w:szCs w:val="20"/>
          <w:lang w:val="es-ES"/>
        </w:rPr>
        <w:t>para que “</w:t>
      </w:r>
      <w:r w:rsidR="00EA2621" w:rsidRPr="000B33B9">
        <w:rPr>
          <w:rFonts w:ascii="Verdana" w:hAnsi="Verdana"/>
          <w:sz w:val="20"/>
          <w:szCs w:val="20"/>
          <w:lang w:val="es-ES"/>
        </w:rPr>
        <w:t xml:space="preserve">(…) </w:t>
      </w:r>
      <w:r w:rsidRPr="000B33B9">
        <w:rPr>
          <w:rFonts w:ascii="Verdana" w:hAnsi="Verdana"/>
          <w:sz w:val="20"/>
          <w:szCs w:val="20"/>
          <w:lang w:val="es-ES"/>
        </w:rPr>
        <w:t xml:space="preserve">cumplan con emitir el informe pericial conforme a los lineamientos ordenados por el Superior Jerárquico mediante resolución de vista de fecha [24] de julio de [2006]”, especificando que por ser “un caso especial” debían designarse cuatro peritos judiciales, los cuales dispondrían de un plazo de </w:t>
      </w:r>
      <w:r w:rsidR="005A753A" w:rsidRPr="000B33B9">
        <w:rPr>
          <w:rFonts w:ascii="Verdana" w:hAnsi="Verdana"/>
          <w:sz w:val="20"/>
          <w:szCs w:val="20"/>
          <w:lang w:val="es-ES"/>
        </w:rPr>
        <w:t>60</w:t>
      </w:r>
      <w:r w:rsidRPr="000B33B9">
        <w:rPr>
          <w:rFonts w:ascii="Verdana" w:hAnsi="Verdana"/>
          <w:sz w:val="20"/>
          <w:szCs w:val="20"/>
          <w:lang w:val="es-ES"/>
        </w:rPr>
        <w:t xml:space="preserve"> días para elaborar el peritaje</w:t>
      </w:r>
      <w:r w:rsidR="005A753A" w:rsidRPr="000B33B9">
        <w:rPr>
          <w:rFonts w:ascii="Verdana" w:hAnsi="Verdana" w:cstheme="minorHAnsi"/>
          <w:sz w:val="20"/>
          <w:szCs w:val="20"/>
          <w:vertAlign w:val="superscript"/>
          <w:lang w:val="es-ES" w:eastAsia="es-ES"/>
        </w:rPr>
        <w:footnoteReference w:id="90"/>
      </w:r>
      <w:r w:rsidRPr="000B33B9">
        <w:rPr>
          <w:rFonts w:ascii="Verdana" w:hAnsi="Verdana"/>
          <w:sz w:val="20"/>
          <w:szCs w:val="20"/>
          <w:lang w:val="es-ES"/>
        </w:rPr>
        <w:t>.</w:t>
      </w:r>
    </w:p>
    <w:p w14:paraId="777119D5" w14:textId="77777777" w:rsidR="00B86B27" w:rsidRPr="000B33B9" w:rsidRDefault="00B86B27" w:rsidP="00B86B27">
      <w:pPr>
        <w:pStyle w:val="Prrafodelista"/>
        <w:rPr>
          <w:rFonts w:ascii="Verdana" w:eastAsia="Calibri" w:hAnsi="Verdana" w:cs="Times New Roman"/>
          <w:sz w:val="20"/>
          <w:szCs w:val="20"/>
          <w:lang w:val="es-ES" w:eastAsia="es-ES"/>
        </w:rPr>
      </w:pPr>
    </w:p>
    <w:p w14:paraId="48F9029B" w14:textId="372E0461" w:rsidR="00B86B27" w:rsidRPr="000B33B9" w:rsidRDefault="00B86B27" w:rsidP="007B74B8">
      <w:pPr>
        <w:pStyle w:val="Prrafodelista"/>
        <w:numPr>
          <w:ilvl w:val="0"/>
          <w:numId w:val="10"/>
        </w:numPr>
        <w:spacing w:after="0" w:line="240" w:lineRule="auto"/>
        <w:ind w:left="0" w:firstLine="0"/>
        <w:jc w:val="both"/>
        <w:rPr>
          <w:rFonts w:ascii="Verdana" w:eastAsia="Calibri" w:hAnsi="Verdana" w:cs="Times New Roman"/>
          <w:sz w:val="20"/>
          <w:szCs w:val="20"/>
          <w:lang w:val="es-ES" w:eastAsia="es-ES"/>
        </w:rPr>
      </w:pPr>
      <w:r w:rsidRPr="000B33B9">
        <w:rPr>
          <w:rFonts w:ascii="Verdana" w:eastAsia="Calibri" w:hAnsi="Verdana" w:cs="Times New Roman"/>
          <w:sz w:val="20"/>
          <w:szCs w:val="20"/>
          <w:lang w:val="es-ES" w:eastAsia="es-ES"/>
        </w:rPr>
        <w:t xml:space="preserve">El 18 de octubre de 2011, el </w:t>
      </w:r>
      <w:r w:rsidRPr="000B33B9">
        <w:rPr>
          <w:rFonts w:ascii="Verdana" w:hAnsi="Verdana"/>
          <w:sz w:val="20"/>
          <w:szCs w:val="20"/>
          <w:lang w:val="es-ES"/>
        </w:rPr>
        <w:t xml:space="preserve">Equipo Técnico Pericial presentó su informe pericial. En el informe se hizo constar que por parte del </w:t>
      </w:r>
      <w:r w:rsidR="00C604E8" w:rsidRPr="000B33B9">
        <w:rPr>
          <w:rFonts w:ascii="Verdana" w:hAnsi="Verdana"/>
          <w:sz w:val="20"/>
          <w:szCs w:val="20"/>
          <w:lang w:val="es-ES"/>
        </w:rPr>
        <w:t xml:space="preserve">MEF </w:t>
      </w:r>
      <w:r w:rsidRPr="000B33B9">
        <w:rPr>
          <w:rFonts w:ascii="Verdana" w:hAnsi="Verdana"/>
          <w:sz w:val="20"/>
          <w:szCs w:val="20"/>
          <w:lang w:val="es-ES"/>
        </w:rPr>
        <w:t xml:space="preserve">hubo “entrega tardía” de la información correspondiente a </w:t>
      </w:r>
      <w:r w:rsidR="00EA2621" w:rsidRPr="000B33B9">
        <w:rPr>
          <w:rFonts w:ascii="Verdana" w:hAnsi="Verdana"/>
          <w:sz w:val="20"/>
          <w:szCs w:val="20"/>
          <w:lang w:val="es-ES"/>
        </w:rPr>
        <w:t>10</w:t>
      </w:r>
      <w:r w:rsidRPr="000B33B9">
        <w:rPr>
          <w:rFonts w:ascii="Verdana" w:hAnsi="Verdana"/>
          <w:sz w:val="20"/>
          <w:szCs w:val="20"/>
          <w:lang w:val="es-ES"/>
        </w:rPr>
        <w:t xml:space="preserve"> de los </w:t>
      </w:r>
      <w:r w:rsidR="00EA2621" w:rsidRPr="000B33B9">
        <w:rPr>
          <w:rFonts w:ascii="Verdana" w:hAnsi="Verdana"/>
          <w:sz w:val="20"/>
          <w:szCs w:val="20"/>
          <w:lang w:val="es-ES"/>
        </w:rPr>
        <w:t>13</w:t>
      </w:r>
      <w:r w:rsidRPr="000B33B9">
        <w:rPr>
          <w:rFonts w:ascii="Verdana" w:hAnsi="Verdana"/>
          <w:sz w:val="20"/>
          <w:szCs w:val="20"/>
          <w:lang w:val="es-ES"/>
        </w:rPr>
        <w:t xml:space="preserve"> años que abarcó el peritaje</w:t>
      </w:r>
      <w:r w:rsidR="00C604E8" w:rsidRPr="000B33B9">
        <w:rPr>
          <w:rStyle w:val="Refdenotaalpie"/>
          <w:rFonts w:ascii="Verdana" w:hAnsi="Verdana"/>
          <w:sz w:val="20"/>
          <w:szCs w:val="20"/>
          <w:lang w:val="es-ES"/>
        </w:rPr>
        <w:footnoteReference w:id="91"/>
      </w:r>
      <w:r w:rsidRPr="000B33B9">
        <w:rPr>
          <w:rFonts w:ascii="Verdana" w:hAnsi="Verdana"/>
          <w:sz w:val="20"/>
          <w:szCs w:val="20"/>
          <w:lang w:val="es-ES"/>
        </w:rPr>
        <w:t>. El peritaje arrojó las conclusiones siguientes:</w:t>
      </w:r>
    </w:p>
    <w:p w14:paraId="13E5C276" w14:textId="77777777" w:rsidR="00B86B27" w:rsidRPr="000B33B9" w:rsidRDefault="00B86B27" w:rsidP="00B86B27">
      <w:pPr>
        <w:spacing w:after="0" w:line="240" w:lineRule="auto"/>
        <w:rPr>
          <w:rFonts w:ascii="Verdana" w:hAnsi="Verdana"/>
          <w:sz w:val="20"/>
          <w:szCs w:val="20"/>
          <w:lang w:val="es-ES"/>
        </w:rPr>
      </w:pPr>
    </w:p>
    <w:p w14:paraId="7061EDA6" w14:textId="4135C1AA" w:rsidR="00B86B27" w:rsidRPr="000B33B9" w:rsidRDefault="00B86B27" w:rsidP="00B86B27">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 xml:space="preserve">“1.- Existencia de devengados por pagar a los cesantes de ANCEJUB-SUNAT, debido a la nivelación de sus pensiones respecto </w:t>
      </w:r>
      <w:r w:rsidR="00EA2621" w:rsidRPr="000B33B9">
        <w:rPr>
          <w:rFonts w:ascii="Verdana" w:hAnsi="Verdana"/>
          <w:sz w:val="18"/>
          <w:szCs w:val="18"/>
          <w:lang w:val="es-ES"/>
        </w:rPr>
        <w:t>de</w:t>
      </w:r>
      <w:r w:rsidRPr="000B33B9">
        <w:rPr>
          <w:rFonts w:ascii="Verdana" w:hAnsi="Verdana"/>
          <w:sz w:val="18"/>
          <w:szCs w:val="18"/>
          <w:lang w:val="es-ES"/>
        </w:rPr>
        <w:t xml:space="preserve"> su similar trabajado</w:t>
      </w:r>
      <w:r w:rsidR="008B78CD" w:rsidRPr="000B33B9">
        <w:rPr>
          <w:rFonts w:ascii="Verdana" w:hAnsi="Verdana"/>
          <w:sz w:val="18"/>
          <w:szCs w:val="18"/>
          <w:lang w:val="es-ES"/>
        </w:rPr>
        <w:t>r activo al momento de su cese.</w:t>
      </w:r>
    </w:p>
    <w:p w14:paraId="543CF2A7" w14:textId="77777777" w:rsidR="008B78CD" w:rsidRPr="000B33B9" w:rsidRDefault="008B78CD" w:rsidP="00B86B27">
      <w:pPr>
        <w:spacing w:after="0" w:line="240" w:lineRule="auto"/>
        <w:ind w:left="706" w:right="1094"/>
        <w:jc w:val="both"/>
        <w:rPr>
          <w:rFonts w:ascii="Verdana" w:hAnsi="Verdana"/>
          <w:sz w:val="18"/>
          <w:szCs w:val="18"/>
          <w:lang w:val="es-ES"/>
        </w:rPr>
      </w:pPr>
    </w:p>
    <w:p w14:paraId="77E6EFC3" w14:textId="77777777" w:rsidR="00B86B27" w:rsidRPr="000B33B9" w:rsidRDefault="00B86B27" w:rsidP="00B86B27">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2.- Los reintegros se han determinado comparando el ingreso comparando el ingreso homologable del servidor activo versus el ingreso total del cesante.</w:t>
      </w:r>
    </w:p>
    <w:p w14:paraId="00177728" w14:textId="77777777" w:rsidR="00FA2965" w:rsidRPr="000B33B9" w:rsidRDefault="00FA2965" w:rsidP="00B86B27">
      <w:pPr>
        <w:spacing w:after="0" w:line="240" w:lineRule="auto"/>
        <w:ind w:left="706" w:right="1094"/>
        <w:jc w:val="both"/>
        <w:rPr>
          <w:rFonts w:ascii="Verdana" w:hAnsi="Verdana"/>
          <w:sz w:val="18"/>
          <w:szCs w:val="18"/>
          <w:lang w:val="es-ES"/>
        </w:rPr>
      </w:pPr>
    </w:p>
    <w:p w14:paraId="718912C8" w14:textId="77777777" w:rsidR="00B86B27" w:rsidRPr="000B33B9" w:rsidRDefault="00B86B27" w:rsidP="00B86B27">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 xml:space="preserve">3.- Los totales mensuales y anuales por cada trabajador y el total final se detallan en los Cuadros de Homologación y Reintegro y en el Cuadro Consolidado Anual de Reintegro. </w:t>
      </w:r>
    </w:p>
    <w:p w14:paraId="0FD24329" w14:textId="77777777" w:rsidR="008B78CD" w:rsidRPr="000B33B9" w:rsidRDefault="008B78CD" w:rsidP="00B86B27">
      <w:pPr>
        <w:spacing w:after="0" w:line="240" w:lineRule="auto"/>
        <w:ind w:left="706" w:right="1094"/>
        <w:jc w:val="both"/>
        <w:rPr>
          <w:rFonts w:ascii="Verdana" w:hAnsi="Verdana"/>
          <w:sz w:val="18"/>
          <w:szCs w:val="18"/>
          <w:lang w:val="es-ES"/>
        </w:rPr>
      </w:pPr>
    </w:p>
    <w:p w14:paraId="32A2881B" w14:textId="77777777" w:rsidR="00B86B27" w:rsidRPr="000B33B9" w:rsidRDefault="00B86B27" w:rsidP="00B86B27">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 xml:space="preserve">4.- Los devengados correspondientes a los mayores montos encontrados, se deben principalmente a la posterior regularización a la entrada en vigencia, de los incrementos en las remuneraciones otorgados por el Gobierno Central; y a las pensiones provisionales que se diera a los trabajadores cuya identificación de su correspondiente nivel salarial no se encontraba en las planillas. </w:t>
      </w:r>
    </w:p>
    <w:p w14:paraId="1F42F926" w14:textId="77777777" w:rsidR="00FA2965" w:rsidRPr="000B33B9" w:rsidRDefault="00FA2965" w:rsidP="00B86B27">
      <w:pPr>
        <w:spacing w:after="0" w:line="240" w:lineRule="auto"/>
        <w:ind w:left="706" w:right="1094"/>
        <w:jc w:val="both"/>
        <w:rPr>
          <w:rFonts w:ascii="Verdana" w:hAnsi="Verdana"/>
          <w:sz w:val="18"/>
          <w:szCs w:val="18"/>
          <w:lang w:val="es-ES"/>
        </w:rPr>
      </w:pPr>
    </w:p>
    <w:p w14:paraId="204C3A9E" w14:textId="249FAA61" w:rsidR="00B86B27" w:rsidRPr="000B33B9" w:rsidRDefault="00B86B27" w:rsidP="00B86B27">
      <w:pPr>
        <w:spacing w:after="0" w:line="240" w:lineRule="auto"/>
        <w:ind w:left="706" w:right="1094"/>
        <w:jc w:val="both"/>
        <w:rPr>
          <w:rFonts w:ascii="Verdana" w:eastAsia="Calibri" w:hAnsi="Verdana" w:cs="Times New Roman"/>
          <w:sz w:val="20"/>
          <w:szCs w:val="20"/>
          <w:lang w:val="es-ES" w:eastAsia="es-ES"/>
        </w:rPr>
      </w:pPr>
      <w:r w:rsidRPr="000B33B9">
        <w:rPr>
          <w:rFonts w:ascii="Verdana" w:hAnsi="Verdana"/>
          <w:sz w:val="18"/>
          <w:szCs w:val="18"/>
          <w:lang w:val="es-ES"/>
        </w:rPr>
        <w:t>5.- Los devengados totales durante el período enero 1992- Diciembre 2004 corresponden a la suma de S/.193,751.69 nuevos soles”</w:t>
      </w:r>
      <w:r w:rsidR="008B78CD" w:rsidRPr="000B33B9">
        <w:rPr>
          <w:rFonts w:ascii="Verdana" w:hAnsi="Verdana"/>
          <w:sz w:val="18"/>
          <w:szCs w:val="18"/>
          <w:lang w:val="es-ES"/>
        </w:rPr>
        <w:t>.</w:t>
      </w:r>
    </w:p>
    <w:p w14:paraId="27718BD4" w14:textId="77777777" w:rsidR="00B86B27" w:rsidRPr="000B33B9" w:rsidRDefault="00B86B27" w:rsidP="00B86B27">
      <w:pPr>
        <w:spacing w:after="0" w:line="240" w:lineRule="auto"/>
        <w:rPr>
          <w:rFonts w:ascii="Verdana" w:eastAsia="Calibri" w:hAnsi="Verdana" w:cs="Times New Roman"/>
          <w:sz w:val="20"/>
          <w:szCs w:val="20"/>
          <w:lang w:val="es-ES" w:eastAsia="es-ES"/>
        </w:rPr>
      </w:pPr>
    </w:p>
    <w:p w14:paraId="4A0E01FB" w14:textId="47DAA62D" w:rsidR="00B86B27" w:rsidRPr="000B33B9" w:rsidRDefault="00B86B27" w:rsidP="007B74B8">
      <w:pPr>
        <w:pStyle w:val="Prrafodelista"/>
        <w:numPr>
          <w:ilvl w:val="0"/>
          <w:numId w:val="10"/>
        </w:numPr>
        <w:spacing w:after="0" w:line="240" w:lineRule="auto"/>
        <w:ind w:left="0" w:firstLine="0"/>
        <w:jc w:val="both"/>
        <w:rPr>
          <w:rFonts w:ascii="Verdana" w:eastAsia="Calibri" w:hAnsi="Verdana" w:cs="Times New Roman"/>
          <w:b/>
          <w:sz w:val="20"/>
          <w:szCs w:val="20"/>
          <w:lang w:val="es-ES" w:eastAsia="es-ES"/>
        </w:rPr>
      </w:pPr>
      <w:r w:rsidRPr="000B33B9">
        <w:rPr>
          <w:rFonts w:ascii="Verdana" w:eastAsia="Calibri" w:hAnsi="Verdana" w:cs="Times New Roman"/>
          <w:sz w:val="20"/>
          <w:szCs w:val="20"/>
          <w:lang w:val="es-ES" w:eastAsia="es-ES"/>
        </w:rPr>
        <w:t xml:space="preserve">El 21 de marzo de 2012, el Vigésimo Segundo Juzgado Especializado en lo Civil de Lima </w:t>
      </w:r>
      <w:r w:rsidR="00C604E8" w:rsidRPr="000B33B9">
        <w:rPr>
          <w:rFonts w:ascii="Verdana" w:eastAsia="Calibri" w:hAnsi="Verdana" w:cs="Times New Roman"/>
          <w:sz w:val="20"/>
          <w:szCs w:val="20"/>
          <w:lang w:val="es-ES" w:eastAsia="es-ES"/>
        </w:rPr>
        <w:t xml:space="preserve">(en adelante “Vigésimo Segundo Juzgado”) </w:t>
      </w:r>
      <w:r w:rsidRPr="000B33B9">
        <w:rPr>
          <w:rFonts w:ascii="Verdana" w:eastAsia="Calibri" w:hAnsi="Verdana" w:cs="Times New Roman"/>
          <w:sz w:val="20"/>
          <w:szCs w:val="20"/>
          <w:lang w:val="es-ES" w:eastAsia="es-ES"/>
        </w:rPr>
        <w:t>requirió a la SUNAT que pusiera a disposición de un perito designado por ANCEJUB-SUNAT las planillas originales de los trabajadores activos comprendidos en el Decreto 276, y las correspondientes a los cesantes desde enero de 1992 hasta diciembre de 2004</w:t>
      </w:r>
      <w:r w:rsidRPr="000B33B9">
        <w:rPr>
          <w:rStyle w:val="Refdenotaalpie"/>
          <w:rFonts w:ascii="Verdana" w:eastAsia="Calibri" w:hAnsi="Verdana" w:cs="Times New Roman"/>
          <w:sz w:val="20"/>
          <w:szCs w:val="20"/>
          <w:lang w:val="es-ES" w:eastAsia="es-ES"/>
        </w:rPr>
        <w:footnoteReference w:id="92"/>
      </w:r>
      <w:r w:rsidRPr="000B33B9">
        <w:rPr>
          <w:rFonts w:ascii="Verdana" w:eastAsia="Calibri" w:hAnsi="Verdana" w:cs="Times New Roman"/>
          <w:sz w:val="20"/>
          <w:szCs w:val="20"/>
          <w:lang w:val="es-ES" w:eastAsia="es-ES"/>
        </w:rPr>
        <w:t>. El 5 de septiembre de 2012, la SUNAT depositó un escrito ante el Vigésimo Segundo Juzgado, en el cual refirió los errores que identificó en el informe pericial presentado por el Equipo Técnico Pericial</w:t>
      </w:r>
      <w:r w:rsidRPr="000B33B9">
        <w:rPr>
          <w:rStyle w:val="Refdenotaalpie"/>
          <w:rFonts w:ascii="Verdana" w:eastAsia="Calibri" w:hAnsi="Verdana" w:cs="Times New Roman"/>
          <w:sz w:val="20"/>
          <w:szCs w:val="20"/>
          <w:lang w:val="es-ES" w:eastAsia="es-ES"/>
        </w:rPr>
        <w:footnoteReference w:id="93"/>
      </w:r>
      <w:r w:rsidRPr="000B33B9">
        <w:rPr>
          <w:rFonts w:ascii="Verdana" w:eastAsia="Calibri" w:hAnsi="Verdana" w:cs="Times New Roman"/>
          <w:sz w:val="20"/>
          <w:szCs w:val="20"/>
          <w:lang w:val="es-ES" w:eastAsia="es-ES"/>
        </w:rPr>
        <w:t xml:space="preserve">. </w:t>
      </w:r>
      <w:r w:rsidRPr="000B33B9">
        <w:rPr>
          <w:rFonts w:ascii="Verdana" w:hAnsi="Verdana"/>
          <w:sz w:val="20"/>
          <w:szCs w:val="20"/>
          <w:lang w:val="es-ES"/>
        </w:rPr>
        <w:t xml:space="preserve">El 21 de septiembre de 2012, el </w:t>
      </w:r>
      <w:r w:rsidRPr="000B33B9">
        <w:rPr>
          <w:rFonts w:ascii="Verdana" w:eastAsia="Calibri" w:hAnsi="Verdana" w:cs="Times New Roman"/>
          <w:sz w:val="20"/>
          <w:szCs w:val="20"/>
          <w:lang w:val="es-ES" w:eastAsia="es-ES"/>
        </w:rPr>
        <w:t>Vigésimo Segundo</w:t>
      </w:r>
      <w:r w:rsidR="00EA2621" w:rsidRPr="000B33B9">
        <w:rPr>
          <w:rFonts w:ascii="Verdana" w:eastAsia="Calibri" w:hAnsi="Verdana" w:cs="Times New Roman"/>
          <w:sz w:val="20"/>
          <w:szCs w:val="20"/>
          <w:lang w:val="es-ES" w:eastAsia="es-ES"/>
        </w:rPr>
        <w:t xml:space="preserve"> Juzgado expidió la resolución </w:t>
      </w:r>
      <w:r w:rsidRPr="000B33B9">
        <w:rPr>
          <w:rFonts w:ascii="Verdana" w:eastAsia="Calibri" w:hAnsi="Verdana" w:cs="Times New Roman"/>
          <w:sz w:val="20"/>
          <w:szCs w:val="20"/>
          <w:lang w:val="es-ES" w:eastAsia="es-ES"/>
        </w:rPr>
        <w:t>221, en la cual hizo constar que ANCEJUB-SUNAT había designado dos peritos</w:t>
      </w:r>
      <w:r w:rsidRPr="000B33B9">
        <w:rPr>
          <w:rStyle w:val="Refdenotaalpie"/>
          <w:rFonts w:ascii="Verdana" w:eastAsia="Calibri" w:hAnsi="Verdana" w:cs="Times New Roman"/>
          <w:sz w:val="20"/>
          <w:szCs w:val="20"/>
          <w:lang w:val="es-ES" w:eastAsia="es-ES"/>
        </w:rPr>
        <w:footnoteReference w:id="94"/>
      </w:r>
      <w:r w:rsidRPr="000B33B9">
        <w:rPr>
          <w:rFonts w:ascii="Verdana" w:eastAsia="Calibri" w:hAnsi="Verdana" w:cs="Times New Roman"/>
          <w:sz w:val="20"/>
          <w:szCs w:val="20"/>
          <w:lang w:val="es-ES" w:eastAsia="es-ES"/>
        </w:rPr>
        <w:t>. El 22 de agosto de 2013, los peritos de ANCEJUB-SUNAT concluyeron su informe</w:t>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El 12 de septiembre de 2013, ANCEJUB-SUNAT presentó dicho peritaje al Vigésimo Segundo Juzgado</w:t>
      </w:r>
      <w:r w:rsidRPr="000B33B9">
        <w:rPr>
          <w:rStyle w:val="Refdenotaalpie"/>
          <w:rFonts w:ascii="Verdana" w:hAnsi="Verdana"/>
          <w:sz w:val="20"/>
          <w:szCs w:val="20"/>
          <w:lang w:val="es-ES"/>
        </w:rPr>
        <w:footnoteReference w:id="95"/>
      </w:r>
      <w:r w:rsidRPr="000B33B9">
        <w:rPr>
          <w:rFonts w:ascii="Verdana" w:hAnsi="Verdana"/>
          <w:sz w:val="20"/>
          <w:szCs w:val="20"/>
          <w:lang w:val="es-ES"/>
        </w:rPr>
        <w:t>.</w:t>
      </w:r>
    </w:p>
    <w:p w14:paraId="166EDC58" w14:textId="77777777" w:rsidR="00B86B27" w:rsidRPr="000B33B9" w:rsidRDefault="00B86B27" w:rsidP="00B86B27">
      <w:pPr>
        <w:pStyle w:val="Prrafodelista"/>
        <w:spacing w:after="0" w:line="240" w:lineRule="auto"/>
        <w:ind w:left="0"/>
        <w:jc w:val="both"/>
        <w:rPr>
          <w:rFonts w:ascii="Verdana" w:eastAsia="Calibri" w:hAnsi="Verdana" w:cs="Times New Roman"/>
          <w:b/>
          <w:sz w:val="20"/>
          <w:szCs w:val="20"/>
          <w:lang w:val="es-ES" w:eastAsia="es-ES"/>
        </w:rPr>
      </w:pPr>
    </w:p>
    <w:p w14:paraId="3607CD7F" w14:textId="7A6EEAF5" w:rsidR="00B86B27" w:rsidRPr="000B33B9" w:rsidRDefault="00B86B27" w:rsidP="007B74B8">
      <w:pPr>
        <w:pStyle w:val="Prrafodelista"/>
        <w:numPr>
          <w:ilvl w:val="0"/>
          <w:numId w:val="10"/>
        </w:numPr>
        <w:spacing w:after="0" w:line="240" w:lineRule="auto"/>
        <w:ind w:left="0" w:firstLine="0"/>
        <w:jc w:val="both"/>
        <w:rPr>
          <w:rFonts w:ascii="Verdana" w:hAnsi="Verdana"/>
          <w:b/>
          <w:sz w:val="20"/>
          <w:szCs w:val="20"/>
          <w:lang w:val="es-ES"/>
        </w:rPr>
      </w:pPr>
      <w:r w:rsidRPr="000B33B9">
        <w:rPr>
          <w:rFonts w:ascii="Verdana" w:eastAsia="Calibri" w:hAnsi="Verdana" w:cs="Times New Roman"/>
          <w:sz w:val="20"/>
          <w:szCs w:val="20"/>
          <w:lang w:val="es-ES" w:eastAsia="es-ES"/>
        </w:rPr>
        <w:t xml:space="preserve">El 18 de mayo de 2014, el Equipo Técnico Pericial </w:t>
      </w:r>
      <w:r w:rsidR="00EA2621" w:rsidRPr="000B33B9">
        <w:rPr>
          <w:rFonts w:ascii="Verdana" w:hAnsi="Verdana"/>
          <w:sz w:val="20"/>
          <w:szCs w:val="20"/>
          <w:lang w:val="es-ES"/>
        </w:rPr>
        <w:t xml:space="preserve">presentó el informe pericial </w:t>
      </w:r>
      <w:r w:rsidRPr="000B33B9">
        <w:rPr>
          <w:rFonts w:ascii="Verdana" w:hAnsi="Verdana"/>
          <w:sz w:val="20"/>
          <w:szCs w:val="20"/>
          <w:lang w:val="es-ES"/>
        </w:rPr>
        <w:t>092-2014-JAVM-PJ, con la finalidad de revisar y absolver las observaciones planteadas por las partes. Respecto a las observaciones realizadas por ANCEJUB-SUNAT, el informe señala que “</w:t>
      </w:r>
      <w:r w:rsidR="005704B1" w:rsidRPr="000B33B9">
        <w:rPr>
          <w:rFonts w:ascii="Verdana" w:hAnsi="Verdana"/>
          <w:sz w:val="20"/>
          <w:szCs w:val="20"/>
          <w:lang w:val="es-ES"/>
        </w:rPr>
        <w:t xml:space="preserve">(…) </w:t>
      </w:r>
      <w:r w:rsidRPr="000B33B9">
        <w:rPr>
          <w:rFonts w:ascii="Verdana" w:hAnsi="Verdana"/>
          <w:sz w:val="20"/>
          <w:szCs w:val="20"/>
          <w:lang w:val="es-ES"/>
        </w:rPr>
        <w:t>la nivelación presentada por la demandante contraviene lo desarrollado y determinado por el TC (…) al no tomar en consideración lo contenido en el artícu</w:t>
      </w:r>
      <w:r w:rsidR="00EA2621" w:rsidRPr="000B33B9">
        <w:rPr>
          <w:rFonts w:ascii="Verdana" w:hAnsi="Verdana"/>
          <w:sz w:val="20"/>
          <w:szCs w:val="20"/>
          <w:lang w:val="es-ES"/>
        </w:rPr>
        <w:t>lo 3) inciso c) del DL 673 (…)”</w:t>
      </w:r>
      <w:r w:rsidRPr="000B33B9">
        <w:rPr>
          <w:rFonts w:ascii="Verdana" w:hAnsi="Verdana"/>
          <w:sz w:val="20"/>
          <w:szCs w:val="20"/>
          <w:lang w:val="es-ES"/>
        </w:rPr>
        <w:t>. En el informe se concluye lo siguiente:</w:t>
      </w:r>
      <w:r w:rsidR="005704B1" w:rsidRPr="000B33B9">
        <w:rPr>
          <w:rFonts w:ascii="Verdana" w:hAnsi="Verdana"/>
          <w:sz w:val="20"/>
          <w:szCs w:val="20"/>
          <w:lang w:val="es-ES"/>
        </w:rPr>
        <w:t xml:space="preserve"> </w:t>
      </w:r>
      <w:r w:rsidRPr="000B33B9">
        <w:rPr>
          <w:rFonts w:ascii="Verdana" w:hAnsi="Verdana"/>
          <w:sz w:val="20"/>
          <w:szCs w:val="20"/>
          <w:lang w:val="es-ES"/>
        </w:rPr>
        <w:t>“(…) la pericia ha cumplido con aplicar lo determinado por la Corte Suprema de la República, la Sexta Sala Civil de la Corte de Lima y lo contenido en la sentencia del Tribunal Constitucional que fija la correcta interpretación de la sentencia de la Corte Suprema y zanja la controversia interpretativa presentada”</w:t>
      </w:r>
      <w:r w:rsidR="005704B1" w:rsidRPr="000B33B9">
        <w:rPr>
          <w:rStyle w:val="Refdenotaalpie"/>
          <w:rFonts w:ascii="Verdana" w:hAnsi="Verdana"/>
          <w:sz w:val="20"/>
          <w:szCs w:val="20"/>
          <w:lang w:val="es-ES"/>
        </w:rPr>
        <w:t xml:space="preserve"> </w:t>
      </w:r>
      <w:r w:rsidR="005704B1" w:rsidRPr="000B33B9">
        <w:rPr>
          <w:rStyle w:val="Refdenotaalpie"/>
          <w:rFonts w:ascii="Verdana" w:hAnsi="Verdana"/>
          <w:sz w:val="20"/>
          <w:szCs w:val="20"/>
          <w:lang w:val="es-ES"/>
        </w:rPr>
        <w:footnoteReference w:id="96"/>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El 5 de agosto de 2014, el Vigésimo Segundo Juzgado ordenó que el referido peritaje fuera notificado a las partes</w:t>
      </w:r>
      <w:r w:rsidRPr="000B33B9">
        <w:rPr>
          <w:rStyle w:val="Refdenotaalpie"/>
          <w:rFonts w:ascii="Verdana" w:eastAsia="Calibri" w:hAnsi="Verdana" w:cs="Times New Roman"/>
          <w:sz w:val="20"/>
          <w:szCs w:val="20"/>
          <w:lang w:val="es-ES" w:eastAsia="es-ES"/>
        </w:rPr>
        <w:footnoteReference w:id="97"/>
      </w:r>
      <w:r w:rsidRPr="000B33B9">
        <w:rPr>
          <w:rFonts w:ascii="Verdana" w:eastAsia="Calibri" w:hAnsi="Verdana" w:cs="Times New Roman"/>
          <w:sz w:val="20"/>
          <w:szCs w:val="20"/>
          <w:lang w:val="es-ES" w:eastAsia="es-ES"/>
        </w:rPr>
        <w:t>. ANCEJUB-SUNAT presentó observaciones</w:t>
      </w:r>
      <w:r w:rsidRPr="000B33B9">
        <w:rPr>
          <w:rStyle w:val="Refdenotaalpie"/>
          <w:rFonts w:ascii="Verdana" w:eastAsia="Calibri" w:hAnsi="Verdana" w:cs="Times New Roman"/>
          <w:sz w:val="20"/>
          <w:szCs w:val="20"/>
          <w:lang w:val="es-ES" w:eastAsia="es-ES"/>
        </w:rPr>
        <w:footnoteReference w:id="98"/>
      </w:r>
      <w:r w:rsidRPr="000B33B9">
        <w:rPr>
          <w:rFonts w:ascii="Verdana" w:hAnsi="Verdana"/>
          <w:sz w:val="20"/>
          <w:szCs w:val="20"/>
          <w:lang w:val="es-ES"/>
        </w:rPr>
        <w:t>.</w:t>
      </w:r>
    </w:p>
    <w:p w14:paraId="64635D72" w14:textId="77777777" w:rsidR="00B86B27" w:rsidRPr="000B33B9" w:rsidRDefault="00B86B27" w:rsidP="00B86B27">
      <w:pPr>
        <w:pStyle w:val="Prrafodelista"/>
        <w:rPr>
          <w:rFonts w:ascii="Verdana" w:hAnsi="Verdana"/>
          <w:sz w:val="20"/>
          <w:szCs w:val="20"/>
          <w:lang w:val="es-ES"/>
        </w:rPr>
      </w:pPr>
    </w:p>
    <w:p w14:paraId="5304D639" w14:textId="689C0550" w:rsidR="00B86B27" w:rsidRPr="000B33B9" w:rsidRDefault="00B86B27" w:rsidP="007B74B8">
      <w:pPr>
        <w:pStyle w:val="Prrafodelista"/>
        <w:numPr>
          <w:ilvl w:val="0"/>
          <w:numId w:val="10"/>
        </w:numPr>
        <w:spacing w:after="0" w:line="240" w:lineRule="auto"/>
        <w:ind w:left="0" w:firstLine="0"/>
        <w:jc w:val="both"/>
        <w:rPr>
          <w:rFonts w:ascii="Verdana" w:hAnsi="Verdana"/>
          <w:b/>
          <w:sz w:val="20"/>
          <w:szCs w:val="20"/>
          <w:lang w:val="es-ES"/>
        </w:rPr>
      </w:pPr>
      <w:r w:rsidRPr="000B33B9">
        <w:rPr>
          <w:rFonts w:ascii="Verdana" w:hAnsi="Verdana"/>
          <w:sz w:val="20"/>
          <w:szCs w:val="20"/>
          <w:lang w:val="es-ES"/>
        </w:rPr>
        <w:t xml:space="preserve">El 5 de enero de 2015, el </w:t>
      </w:r>
      <w:r w:rsidRPr="000B33B9">
        <w:rPr>
          <w:rFonts w:ascii="Verdana" w:eastAsia="Calibri" w:hAnsi="Verdana" w:cs="Times New Roman"/>
          <w:sz w:val="20"/>
          <w:szCs w:val="20"/>
          <w:lang w:val="es-ES" w:eastAsia="es-ES"/>
        </w:rPr>
        <w:t xml:space="preserve">Equipo Técnico Pericial </w:t>
      </w:r>
      <w:r w:rsidR="008B78CD" w:rsidRPr="000B33B9">
        <w:rPr>
          <w:rFonts w:ascii="Verdana" w:hAnsi="Verdana"/>
          <w:sz w:val="20"/>
          <w:szCs w:val="20"/>
          <w:lang w:val="es-ES"/>
        </w:rPr>
        <w:t xml:space="preserve">emitió el informe pericial </w:t>
      </w:r>
      <w:r w:rsidRPr="000B33B9">
        <w:rPr>
          <w:rFonts w:ascii="Verdana" w:hAnsi="Verdana"/>
          <w:sz w:val="20"/>
          <w:szCs w:val="20"/>
          <w:lang w:val="es-ES"/>
        </w:rPr>
        <w:t>003-2015-ETP-JAVM-PJ, en el que puntualizó que las observaciones de ANCEJUB-SUNAT escapaban a su competencia por tratarse de “</w:t>
      </w:r>
      <w:r w:rsidR="008B78CD" w:rsidRPr="000B33B9">
        <w:rPr>
          <w:rFonts w:ascii="Verdana" w:hAnsi="Verdana"/>
          <w:sz w:val="20"/>
          <w:szCs w:val="20"/>
          <w:lang w:val="es-ES"/>
        </w:rPr>
        <w:t xml:space="preserve">(…) </w:t>
      </w:r>
      <w:r w:rsidRPr="000B33B9">
        <w:rPr>
          <w:rFonts w:ascii="Verdana" w:hAnsi="Verdana"/>
          <w:sz w:val="20"/>
          <w:szCs w:val="20"/>
          <w:lang w:val="es-ES"/>
        </w:rPr>
        <w:t>una controversia de puro derecho”</w:t>
      </w:r>
      <w:r w:rsidRPr="000B33B9">
        <w:rPr>
          <w:rStyle w:val="Refdenotaalpie"/>
          <w:rFonts w:ascii="Verdana" w:hAnsi="Verdana"/>
          <w:sz w:val="20"/>
          <w:szCs w:val="20"/>
          <w:lang w:val="es-ES"/>
        </w:rPr>
        <w:footnoteReference w:id="99"/>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 xml:space="preserve">El 28 de </w:t>
      </w:r>
      <w:r w:rsidR="008B78CD" w:rsidRPr="000B33B9">
        <w:rPr>
          <w:rFonts w:ascii="Verdana" w:eastAsia="Calibri" w:hAnsi="Verdana" w:cs="Times New Roman"/>
          <w:sz w:val="20"/>
          <w:szCs w:val="20"/>
          <w:lang w:val="es-ES" w:eastAsia="es-ES"/>
        </w:rPr>
        <w:t>mayo</w:t>
      </w:r>
      <w:r w:rsidRPr="000B33B9">
        <w:rPr>
          <w:rFonts w:ascii="Verdana" w:eastAsia="Calibri" w:hAnsi="Verdana" w:cs="Times New Roman"/>
          <w:sz w:val="20"/>
          <w:szCs w:val="20"/>
          <w:lang w:val="es-ES" w:eastAsia="es-ES"/>
        </w:rPr>
        <w:t xml:space="preserve"> de 2015, el expediente de ejecución fue recibido por el Segundo Juzgado Especializado en lo Civil de Lima</w:t>
      </w:r>
      <w:r w:rsidR="005704B1" w:rsidRPr="000B33B9">
        <w:rPr>
          <w:rFonts w:ascii="Verdana" w:eastAsia="Calibri" w:hAnsi="Verdana" w:cs="Times New Roman"/>
          <w:sz w:val="20"/>
          <w:szCs w:val="20"/>
          <w:lang w:val="es-ES" w:eastAsia="es-ES"/>
        </w:rPr>
        <w:t xml:space="preserve"> (en adelante “Segundo Juzgado Civil”)</w:t>
      </w:r>
      <w:r w:rsidRPr="000B33B9">
        <w:rPr>
          <w:rFonts w:ascii="Verdana" w:eastAsia="Calibri" w:hAnsi="Verdana" w:cs="Times New Roman"/>
          <w:sz w:val="20"/>
          <w:szCs w:val="20"/>
          <w:lang w:val="es-ES" w:eastAsia="es-ES"/>
        </w:rPr>
        <w:t>, que resolvió avocarse a conocerlo</w:t>
      </w:r>
      <w:r w:rsidRPr="000B33B9">
        <w:rPr>
          <w:rStyle w:val="Refdenotaalpie"/>
          <w:rFonts w:ascii="Verdana" w:eastAsia="Calibri" w:hAnsi="Verdana" w:cs="Times New Roman"/>
          <w:sz w:val="20"/>
          <w:szCs w:val="20"/>
          <w:lang w:val="es-ES" w:eastAsia="es-ES"/>
        </w:rPr>
        <w:footnoteReference w:id="100"/>
      </w:r>
      <w:r w:rsidRPr="000B33B9">
        <w:rPr>
          <w:rFonts w:ascii="Verdana" w:eastAsia="Calibri" w:hAnsi="Verdana" w:cs="Times New Roman"/>
          <w:sz w:val="20"/>
          <w:szCs w:val="20"/>
          <w:lang w:val="es-ES" w:eastAsia="es-ES"/>
        </w:rPr>
        <w:t xml:space="preserve">. </w:t>
      </w:r>
      <w:r w:rsidR="008B78CD" w:rsidRPr="000B33B9">
        <w:rPr>
          <w:rFonts w:ascii="Verdana" w:eastAsia="Calibri" w:hAnsi="Verdana" w:cs="Times New Roman"/>
          <w:sz w:val="20"/>
          <w:szCs w:val="20"/>
          <w:lang w:val="es-ES" w:eastAsia="es-ES"/>
        </w:rPr>
        <w:t>Ese mismo día</w:t>
      </w:r>
      <w:r w:rsidRPr="000B33B9">
        <w:rPr>
          <w:rFonts w:ascii="Verdana" w:eastAsia="Calibri" w:hAnsi="Verdana" w:cs="Times New Roman"/>
          <w:sz w:val="20"/>
          <w:szCs w:val="20"/>
          <w:lang w:val="es-ES" w:eastAsia="es-ES"/>
        </w:rPr>
        <w:t>, la SUNAT solicitó al Segundo Juzgado Civil que continuara con la causa</w:t>
      </w:r>
      <w:r w:rsidR="008B78CD" w:rsidRPr="000B33B9">
        <w:rPr>
          <w:rFonts w:ascii="Verdana" w:eastAsia="Calibri" w:hAnsi="Verdana" w:cs="Times New Roman"/>
          <w:sz w:val="20"/>
          <w:szCs w:val="20"/>
          <w:lang w:val="es-ES" w:eastAsia="es-ES"/>
        </w:rPr>
        <w:t xml:space="preserve"> y aprobara el informe pericial</w:t>
      </w:r>
      <w:r w:rsidRPr="000B33B9">
        <w:rPr>
          <w:rFonts w:ascii="Verdana" w:hAnsi="Verdana"/>
          <w:sz w:val="20"/>
          <w:szCs w:val="20"/>
          <w:vertAlign w:val="superscript"/>
          <w:lang w:val="es-ES"/>
        </w:rPr>
        <w:t xml:space="preserve"> </w:t>
      </w:r>
      <w:r w:rsidRPr="000B33B9">
        <w:rPr>
          <w:rFonts w:ascii="Verdana" w:hAnsi="Verdana"/>
          <w:sz w:val="20"/>
          <w:szCs w:val="20"/>
          <w:lang w:val="es-ES"/>
        </w:rPr>
        <w:t>092-2014-JAVM-PJ de 18 de mayo de 2014</w:t>
      </w:r>
      <w:r w:rsidRPr="000B33B9">
        <w:rPr>
          <w:rStyle w:val="Refdenotaalpie"/>
          <w:rFonts w:ascii="Verdana" w:hAnsi="Verdana"/>
          <w:sz w:val="20"/>
          <w:szCs w:val="20"/>
          <w:lang w:val="es-ES"/>
        </w:rPr>
        <w:footnoteReference w:id="101"/>
      </w:r>
      <w:r w:rsidRPr="000B33B9">
        <w:rPr>
          <w:rFonts w:ascii="Verdana" w:hAnsi="Verdana"/>
          <w:sz w:val="20"/>
          <w:szCs w:val="20"/>
          <w:lang w:val="es-ES"/>
        </w:rPr>
        <w:t>.</w:t>
      </w:r>
    </w:p>
    <w:p w14:paraId="7B9B338D" w14:textId="77777777" w:rsidR="00B86B27" w:rsidRPr="000B33B9" w:rsidRDefault="00B86B27" w:rsidP="00B86B27">
      <w:pPr>
        <w:pStyle w:val="Prrafodelista"/>
        <w:rPr>
          <w:rFonts w:ascii="Verdana" w:hAnsi="Verdana"/>
          <w:sz w:val="20"/>
          <w:szCs w:val="20"/>
          <w:lang w:val="es-ES"/>
        </w:rPr>
      </w:pPr>
    </w:p>
    <w:p w14:paraId="0C15A92E" w14:textId="657AA148" w:rsidR="00B86B27" w:rsidRPr="000B33B9" w:rsidRDefault="00B86B27" w:rsidP="007B74B8">
      <w:pPr>
        <w:pStyle w:val="Prrafodelista"/>
        <w:numPr>
          <w:ilvl w:val="0"/>
          <w:numId w:val="10"/>
        </w:numPr>
        <w:spacing w:after="0" w:line="240" w:lineRule="auto"/>
        <w:ind w:left="0" w:firstLine="0"/>
        <w:jc w:val="both"/>
        <w:rPr>
          <w:rFonts w:ascii="Verdana" w:hAnsi="Verdana"/>
          <w:b/>
          <w:sz w:val="20"/>
          <w:szCs w:val="20"/>
          <w:lang w:val="es-ES"/>
        </w:rPr>
      </w:pPr>
      <w:r w:rsidRPr="000B33B9">
        <w:rPr>
          <w:rFonts w:ascii="Verdana" w:hAnsi="Verdana"/>
          <w:sz w:val="20"/>
          <w:szCs w:val="20"/>
          <w:lang w:val="es-ES"/>
        </w:rPr>
        <w:t>El 27 de julio de 2016, el Segundo Juzgado Civil dispuso la celebración de una audiencia especial a fin de que los peritos explicaran con detalle las conclusiones de su informe</w:t>
      </w:r>
      <w:r w:rsidRPr="000B33B9">
        <w:rPr>
          <w:rStyle w:val="Refdenotaalpie"/>
          <w:rFonts w:ascii="Verdana" w:hAnsi="Verdana"/>
          <w:sz w:val="20"/>
          <w:szCs w:val="20"/>
          <w:lang w:val="es-ES"/>
        </w:rPr>
        <w:footnoteReference w:id="102"/>
      </w:r>
      <w:r w:rsidRPr="000B33B9">
        <w:rPr>
          <w:rFonts w:ascii="Verdana" w:hAnsi="Verdana"/>
          <w:sz w:val="20"/>
          <w:szCs w:val="20"/>
          <w:lang w:val="es-ES"/>
        </w:rPr>
        <w:t>. El 26 de septiembre de 2016, se llevó a cabo a cabo la audiencia. Al día siguiente, ANCEJUB-SUNAT presentó sus observaciones por escrito en relación con el peritaje de 18 de octubre de 2011</w:t>
      </w:r>
      <w:r w:rsidRPr="000B33B9">
        <w:rPr>
          <w:rStyle w:val="Refdenotaalpie"/>
          <w:rFonts w:ascii="Verdana" w:hAnsi="Verdana"/>
          <w:sz w:val="20"/>
          <w:szCs w:val="20"/>
          <w:lang w:val="es-ES"/>
        </w:rPr>
        <w:footnoteReference w:id="103"/>
      </w:r>
      <w:r w:rsidRPr="000B33B9">
        <w:rPr>
          <w:rFonts w:ascii="Verdana" w:hAnsi="Verdana"/>
          <w:sz w:val="20"/>
          <w:szCs w:val="20"/>
          <w:lang w:val="es-ES"/>
        </w:rPr>
        <w:t>.El 28 de septiembre de 2016 la SUNAT depositó sus observaciones por escrito. El 13 de junio de 2017, el Segundo Juzgado Civil emitió la resolución N</w:t>
      </w:r>
      <w:r w:rsidRPr="000B33B9">
        <w:rPr>
          <w:rFonts w:ascii="Verdana" w:hAnsi="Verdana"/>
          <w:sz w:val="20"/>
          <w:szCs w:val="20"/>
          <w:vertAlign w:val="superscript"/>
          <w:lang w:val="es-ES"/>
        </w:rPr>
        <w:t>o</w:t>
      </w:r>
      <w:r w:rsidRPr="000B33B9">
        <w:rPr>
          <w:rFonts w:ascii="Verdana" w:hAnsi="Verdana"/>
          <w:sz w:val="20"/>
          <w:szCs w:val="20"/>
          <w:lang w:val="es-ES"/>
        </w:rPr>
        <w:t xml:space="preserve"> 247 que declaró infundadas las observaciones presentadas por ANCEJUB-SUNAT, y aprobó el informe pericial de 18 de octubre de 2011, cuyos resultados habían sido corroborados por el peritaje de 18 de mayo de 2014</w:t>
      </w:r>
      <w:r w:rsidRPr="000B33B9">
        <w:rPr>
          <w:rStyle w:val="Refdenotaalpie"/>
          <w:rFonts w:ascii="Verdana" w:hAnsi="Verdana"/>
          <w:sz w:val="20"/>
          <w:szCs w:val="20"/>
          <w:lang w:val="es-ES"/>
        </w:rPr>
        <w:footnoteReference w:id="104"/>
      </w:r>
      <w:r w:rsidRPr="000B33B9">
        <w:rPr>
          <w:rFonts w:ascii="Verdana" w:hAnsi="Verdana"/>
          <w:sz w:val="20"/>
          <w:szCs w:val="20"/>
          <w:lang w:val="es-ES"/>
        </w:rPr>
        <w:t>. El 13 de julio de 2017, ANCEJUB-SUNAT apeló la resoluci</w:t>
      </w:r>
      <w:r w:rsidRPr="000B33B9">
        <w:rPr>
          <w:rFonts w:ascii="Verdana" w:hAnsi="Verdana" w:cs="Arial"/>
          <w:sz w:val="20"/>
          <w:szCs w:val="20"/>
          <w:lang w:val="es-ES" w:eastAsia="ja-JP"/>
        </w:rPr>
        <w:t>ón N</w:t>
      </w:r>
      <w:r w:rsidRPr="000B33B9">
        <w:rPr>
          <w:rFonts w:ascii="Verdana" w:hAnsi="Verdana" w:cs="Arial"/>
          <w:sz w:val="20"/>
          <w:szCs w:val="20"/>
          <w:vertAlign w:val="superscript"/>
          <w:lang w:val="es-ES" w:eastAsia="ja-JP"/>
        </w:rPr>
        <w:t>o</w:t>
      </w:r>
      <w:r w:rsidRPr="000B33B9">
        <w:rPr>
          <w:rFonts w:ascii="Verdana" w:hAnsi="Verdana" w:cs="Arial"/>
          <w:sz w:val="20"/>
          <w:szCs w:val="20"/>
          <w:lang w:val="es-ES" w:eastAsia="ja-JP"/>
        </w:rPr>
        <w:t xml:space="preserve"> 247</w:t>
      </w:r>
      <w:r w:rsidRPr="000B33B9">
        <w:rPr>
          <w:rStyle w:val="Refdenotaalpie"/>
          <w:rFonts w:ascii="Verdana" w:hAnsi="Verdana" w:cs="Arial"/>
          <w:sz w:val="20"/>
          <w:szCs w:val="20"/>
          <w:lang w:val="es-ES" w:eastAsia="ja-JP"/>
        </w:rPr>
        <w:footnoteReference w:id="105"/>
      </w:r>
      <w:r w:rsidRPr="000B33B9">
        <w:rPr>
          <w:rFonts w:ascii="Verdana" w:hAnsi="Verdana" w:cs="Arial"/>
          <w:sz w:val="20"/>
          <w:szCs w:val="20"/>
          <w:lang w:val="es-ES" w:eastAsia="ja-JP"/>
        </w:rPr>
        <w:t xml:space="preserve">. </w:t>
      </w:r>
    </w:p>
    <w:p w14:paraId="3607EE0D" w14:textId="77777777" w:rsidR="00B86B27" w:rsidRPr="000B33B9" w:rsidRDefault="00B86B27" w:rsidP="00B86B27">
      <w:pPr>
        <w:spacing w:after="0" w:line="240" w:lineRule="auto"/>
        <w:jc w:val="both"/>
        <w:rPr>
          <w:rFonts w:ascii="Verdana" w:hAnsi="Verdana"/>
          <w:b/>
          <w:sz w:val="20"/>
          <w:szCs w:val="20"/>
          <w:lang w:val="es-ES"/>
        </w:rPr>
      </w:pPr>
    </w:p>
    <w:p w14:paraId="6944463B" w14:textId="4069F66F" w:rsidR="00B86B27" w:rsidRPr="000B33B9" w:rsidRDefault="00B86B27" w:rsidP="007B74B8">
      <w:pPr>
        <w:pStyle w:val="Prrafodelista"/>
        <w:numPr>
          <w:ilvl w:val="0"/>
          <w:numId w:val="10"/>
        </w:numPr>
        <w:spacing w:after="0" w:line="240" w:lineRule="auto"/>
        <w:ind w:left="0" w:firstLine="0"/>
        <w:jc w:val="both"/>
        <w:rPr>
          <w:rFonts w:ascii="Verdana" w:hAnsi="Verdana" w:cs="Arial"/>
          <w:sz w:val="20"/>
          <w:szCs w:val="20"/>
          <w:lang w:val="es-ES" w:eastAsia="ja-JP"/>
        </w:rPr>
      </w:pPr>
      <w:r w:rsidRPr="000B33B9">
        <w:rPr>
          <w:rFonts w:ascii="Verdana" w:hAnsi="Verdana" w:cs="Arial"/>
          <w:sz w:val="20"/>
          <w:szCs w:val="20"/>
          <w:lang w:val="es-ES" w:eastAsia="ja-JP"/>
        </w:rPr>
        <w:t xml:space="preserve">El 14 de agosto de 2017, la SUNAT consignó en el Banco de La Nación la suma de </w:t>
      </w:r>
      <w:r w:rsidRPr="000B33B9">
        <w:rPr>
          <w:rFonts w:ascii="Verdana" w:hAnsi="Verdana" w:cs="Arial"/>
          <w:color w:val="222222"/>
          <w:sz w:val="20"/>
          <w:szCs w:val="20"/>
          <w:shd w:val="clear" w:color="auto" w:fill="FFFFFF"/>
          <w:lang w:val="es-DO"/>
        </w:rPr>
        <w:t>S/</w:t>
      </w:r>
      <w:r w:rsidRPr="000B33B9">
        <w:rPr>
          <w:rFonts w:ascii="Verdana" w:hAnsi="Verdana" w:cs="Arial"/>
          <w:sz w:val="20"/>
          <w:szCs w:val="20"/>
          <w:lang w:val="es-ES" w:eastAsia="ja-JP"/>
        </w:rPr>
        <w:t>186,001.62 a favor de ANCEJUB-SUNAT por concepto de “pensiones devengadas”, lo cual se hizo constar en el certificado de depósito judicial</w:t>
      </w:r>
      <w:r w:rsidRPr="000B33B9">
        <w:rPr>
          <w:rStyle w:val="Refdenotaalpie"/>
          <w:rFonts w:ascii="Verdana" w:hAnsi="Verdana" w:cs="Arial"/>
          <w:sz w:val="20"/>
          <w:szCs w:val="20"/>
          <w:lang w:val="es-ES" w:eastAsia="ja-JP"/>
        </w:rPr>
        <w:footnoteReference w:id="106"/>
      </w:r>
      <w:r w:rsidRPr="000B33B9">
        <w:rPr>
          <w:rFonts w:ascii="Verdana" w:hAnsi="Verdana" w:cs="Arial"/>
          <w:sz w:val="20"/>
          <w:szCs w:val="20"/>
          <w:lang w:val="es-ES" w:eastAsia="ja-JP"/>
        </w:rPr>
        <w:t>. Ese mismo día, la SUNAT depositó dicho certificado ante el Segundo Juzgado Civil junto a la planilla de pago por mandato judicial</w:t>
      </w:r>
      <w:r w:rsidRPr="000B33B9">
        <w:rPr>
          <w:rStyle w:val="Refdenotaalpie"/>
          <w:rFonts w:ascii="Verdana" w:hAnsi="Verdana" w:cs="Arial"/>
          <w:sz w:val="20"/>
          <w:szCs w:val="20"/>
          <w:lang w:val="es-ES" w:eastAsia="ja-JP"/>
        </w:rPr>
        <w:footnoteReference w:id="107"/>
      </w:r>
      <w:r w:rsidRPr="000B33B9">
        <w:rPr>
          <w:rFonts w:ascii="Verdana" w:hAnsi="Verdana" w:cs="Arial"/>
          <w:sz w:val="20"/>
          <w:szCs w:val="20"/>
          <w:lang w:val="es-ES" w:eastAsia="ja-JP"/>
        </w:rPr>
        <w:t xml:space="preserve">. La SUNAT solicitó al Segundo Juzgado Civil que diera por cumplida la sentencia de 25 de octubre de 1993. Mediante resolución 250 de 15 de agosto de 2017, el Segundo Juzgado Civil dio por consignada la suma de </w:t>
      </w:r>
      <w:r w:rsidRPr="000B33B9">
        <w:rPr>
          <w:rFonts w:ascii="Verdana" w:hAnsi="Verdana" w:cs="Arial"/>
          <w:color w:val="222222"/>
          <w:sz w:val="20"/>
          <w:szCs w:val="20"/>
          <w:shd w:val="clear" w:color="auto" w:fill="FFFFFF"/>
          <w:lang w:val="es-DO"/>
        </w:rPr>
        <w:t>S/</w:t>
      </w:r>
      <w:r w:rsidRPr="000B33B9">
        <w:rPr>
          <w:rFonts w:ascii="Verdana" w:hAnsi="Verdana" w:cs="Arial"/>
          <w:sz w:val="20"/>
          <w:szCs w:val="20"/>
          <w:lang w:val="es-ES" w:eastAsia="ja-JP"/>
        </w:rPr>
        <w:t>186,001.62 a favor de ANCEJUB-SUNAT y ordenó ponerla en conocimiento al respecto</w:t>
      </w:r>
      <w:r w:rsidRPr="000B33B9">
        <w:rPr>
          <w:rStyle w:val="Refdenotaalpie"/>
          <w:rFonts w:ascii="Verdana" w:hAnsi="Verdana" w:cs="Arial"/>
          <w:sz w:val="20"/>
          <w:szCs w:val="20"/>
          <w:lang w:val="es-ES" w:eastAsia="ja-JP"/>
        </w:rPr>
        <w:footnoteReference w:id="108"/>
      </w:r>
      <w:r w:rsidRPr="000B33B9">
        <w:rPr>
          <w:rFonts w:ascii="Verdana" w:hAnsi="Verdana" w:cs="Arial"/>
          <w:sz w:val="20"/>
          <w:szCs w:val="20"/>
          <w:lang w:val="es-ES" w:eastAsia="ja-JP"/>
        </w:rPr>
        <w:t xml:space="preserve">. El 15 de noviembre de 2017, mediante resolución </w:t>
      </w:r>
      <w:r w:rsidR="008B78CD" w:rsidRPr="000B33B9">
        <w:rPr>
          <w:rFonts w:ascii="Verdana" w:hAnsi="Verdana" w:cs="Arial"/>
          <w:sz w:val="20"/>
          <w:szCs w:val="20"/>
          <w:lang w:val="es-ES" w:eastAsia="ja-JP"/>
        </w:rPr>
        <w:t>1</w:t>
      </w:r>
      <w:r w:rsidRPr="000B33B9">
        <w:rPr>
          <w:rFonts w:ascii="Verdana" w:hAnsi="Verdana" w:cs="Arial"/>
          <w:sz w:val="20"/>
          <w:szCs w:val="20"/>
          <w:lang w:val="es-ES" w:eastAsia="ja-JP"/>
        </w:rPr>
        <w:t>2, la Tercera Sala Civil de la Corte Superior de Justicia de Lima confirmó la resolución 247</w:t>
      </w:r>
      <w:r w:rsidRPr="000B33B9">
        <w:rPr>
          <w:rStyle w:val="Refdenotaalpie"/>
          <w:rFonts w:ascii="Verdana" w:hAnsi="Verdana" w:cs="Arial"/>
          <w:sz w:val="20"/>
          <w:szCs w:val="20"/>
          <w:lang w:val="es-ES" w:eastAsia="ja-JP"/>
        </w:rPr>
        <w:footnoteReference w:id="109"/>
      </w:r>
      <w:r w:rsidRPr="000B33B9">
        <w:rPr>
          <w:rFonts w:ascii="Verdana" w:hAnsi="Verdana" w:cs="Arial"/>
          <w:sz w:val="20"/>
          <w:szCs w:val="20"/>
          <w:lang w:val="es-ES" w:eastAsia="ja-JP"/>
        </w:rPr>
        <w:t xml:space="preserve">. </w:t>
      </w:r>
    </w:p>
    <w:p w14:paraId="7B4739A5" w14:textId="77777777" w:rsidR="00B86B27" w:rsidRPr="000B33B9" w:rsidRDefault="00B86B27" w:rsidP="00B86B27">
      <w:pPr>
        <w:pStyle w:val="Prrafodelista"/>
        <w:rPr>
          <w:rFonts w:ascii="Verdana" w:hAnsi="Verdana" w:cs="Arial"/>
          <w:sz w:val="20"/>
          <w:szCs w:val="20"/>
          <w:lang w:val="es-ES" w:eastAsia="ja-JP"/>
        </w:rPr>
      </w:pPr>
    </w:p>
    <w:p w14:paraId="767B6493" w14:textId="6992EAD5" w:rsidR="00B86B27" w:rsidRPr="000B33B9" w:rsidRDefault="00B86B27" w:rsidP="007B74B8">
      <w:pPr>
        <w:pStyle w:val="Prrafodelista"/>
        <w:numPr>
          <w:ilvl w:val="0"/>
          <w:numId w:val="10"/>
        </w:numPr>
        <w:spacing w:after="0" w:line="240" w:lineRule="auto"/>
        <w:ind w:left="0" w:firstLine="0"/>
        <w:jc w:val="both"/>
        <w:rPr>
          <w:rFonts w:ascii="Verdana" w:hAnsi="Verdana" w:cs="Arial"/>
          <w:sz w:val="20"/>
          <w:szCs w:val="20"/>
          <w:lang w:val="es-ES" w:eastAsia="ja-JP"/>
        </w:rPr>
      </w:pPr>
      <w:r w:rsidRPr="000B33B9">
        <w:rPr>
          <w:rFonts w:ascii="Verdana" w:hAnsi="Verdana" w:cs="Arial"/>
          <w:sz w:val="20"/>
          <w:szCs w:val="20"/>
          <w:lang w:val="es-ES" w:eastAsia="ja-JP"/>
        </w:rPr>
        <w:t xml:space="preserve">El 19 de diciembre de 2017, ANCEJUB-SUNAT </w:t>
      </w:r>
      <w:r w:rsidR="00B05765" w:rsidRPr="000B33B9">
        <w:rPr>
          <w:rFonts w:ascii="Verdana" w:hAnsi="Verdana" w:cs="Arial"/>
          <w:sz w:val="20"/>
          <w:szCs w:val="20"/>
          <w:lang w:val="es-ES" w:eastAsia="ja-JP"/>
        </w:rPr>
        <w:t xml:space="preserve">presentó </w:t>
      </w:r>
      <w:r w:rsidRPr="000B33B9">
        <w:rPr>
          <w:rFonts w:ascii="Verdana" w:hAnsi="Verdana" w:cs="Arial"/>
          <w:sz w:val="20"/>
          <w:szCs w:val="20"/>
          <w:lang w:val="es-ES" w:eastAsia="ja-JP"/>
        </w:rPr>
        <w:t>un recurso de agravio constitucional contra la resolución</w:t>
      </w:r>
      <w:r w:rsidR="001B2E8D" w:rsidRPr="000B33B9">
        <w:rPr>
          <w:rFonts w:ascii="Verdana" w:hAnsi="Verdana" w:cs="Arial"/>
          <w:sz w:val="20"/>
          <w:szCs w:val="20"/>
          <w:lang w:val="es-ES" w:eastAsia="ja-JP"/>
        </w:rPr>
        <w:t xml:space="preserve"> </w:t>
      </w:r>
      <w:r w:rsidRPr="000B33B9">
        <w:rPr>
          <w:rFonts w:ascii="Verdana" w:hAnsi="Verdana" w:cs="Arial"/>
          <w:sz w:val="20"/>
          <w:szCs w:val="20"/>
          <w:lang w:val="es-ES" w:eastAsia="ja-JP"/>
        </w:rPr>
        <w:t>12</w:t>
      </w:r>
      <w:r w:rsidRPr="000B33B9">
        <w:rPr>
          <w:rStyle w:val="Refdenotaalpie"/>
          <w:rFonts w:ascii="Verdana" w:hAnsi="Verdana" w:cs="Arial"/>
          <w:sz w:val="20"/>
          <w:szCs w:val="20"/>
          <w:lang w:val="es-ES" w:eastAsia="ja-JP"/>
        </w:rPr>
        <w:footnoteReference w:id="110"/>
      </w:r>
      <w:r w:rsidRPr="000B33B9">
        <w:rPr>
          <w:rFonts w:ascii="Verdana" w:hAnsi="Verdana" w:cs="Arial"/>
          <w:sz w:val="20"/>
          <w:szCs w:val="20"/>
          <w:lang w:val="es-ES" w:eastAsia="ja-JP"/>
        </w:rPr>
        <w:t>. Este recurso fue decidido por el Tribunal Constitucional mediante sentencia de 23 de abril de 2019, en la cual:</w:t>
      </w:r>
      <w:r w:rsidR="00E14D45" w:rsidRPr="000B33B9">
        <w:rPr>
          <w:rFonts w:ascii="Verdana" w:hAnsi="Verdana"/>
          <w:sz w:val="20"/>
          <w:szCs w:val="20"/>
          <w:lang w:val="es-DO"/>
        </w:rPr>
        <w:t xml:space="preserve"> a</w:t>
      </w:r>
      <w:r w:rsidRPr="000B33B9">
        <w:rPr>
          <w:rFonts w:ascii="Verdana" w:hAnsi="Verdana"/>
          <w:sz w:val="20"/>
          <w:szCs w:val="20"/>
          <w:lang w:val="es-DO"/>
        </w:rPr>
        <w:t>) confirmó la resolución de 15 de noviembre de 2017, que a su vez había confirmado la resolución de 13 de junio de 2017, mediante la cual se habían declarado infundadas las observaciones de ANCEJUB-SUNAT respecto al perit</w:t>
      </w:r>
      <w:r w:rsidR="00E14D45" w:rsidRPr="000B33B9">
        <w:rPr>
          <w:rFonts w:ascii="Verdana" w:hAnsi="Verdana"/>
          <w:sz w:val="20"/>
          <w:szCs w:val="20"/>
          <w:lang w:val="es-DO"/>
        </w:rPr>
        <w:t>aje de 18 de octubre de 2011; b</w:t>
      </w:r>
      <w:r w:rsidRPr="000B33B9">
        <w:rPr>
          <w:rFonts w:ascii="Verdana" w:hAnsi="Verdana"/>
          <w:sz w:val="20"/>
          <w:szCs w:val="20"/>
          <w:lang w:val="es-DO"/>
        </w:rPr>
        <w:t>) aprobó el informe pericial de 18 de octubre de 2011, que había sido ratificado por el peritaje de 18 de mayo de 2014, respecto al cálculo de la pensiones niveladas desde enero de 1</w:t>
      </w:r>
      <w:r w:rsidR="00E14D45" w:rsidRPr="000B33B9">
        <w:rPr>
          <w:rFonts w:ascii="Verdana" w:hAnsi="Verdana"/>
          <w:sz w:val="20"/>
          <w:szCs w:val="20"/>
          <w:lang w:val="es-DO"/>
        </w:rPr>
        <w:t xml:space="preserve">992 hasta diciembre de </w:t>
      </w:r>
      <w:r w:rsidR="008B78CD" w:rsidRPr="000B33B9">
        <w:rPr>
          <w:rFonts w:ascii="Verdana" w:hAnsi="Verdana"/>
          <w:sz w:val="20"/>
          <w:szCs w:val="20"/>
          <w:lang w:val="es-DO"/>
        </w:rPr>
        <w:t>2004, y</w:t>
      </w:r>
      <w:r w:rsidR="00E14D45" w:rsidRPr="000B33B9">
        <w:rPr>
          <w:rFonts w:ascii="Verdana" w:hAnsi="Verdana"/>
          <w:sz w:val="20"/>
          <w:szCs w:val="20"/>
          <w:lang w:val="es-DO"/>
        </w:rPr>
        <w:t xml:space="preserve"> c</w:t>
      </w:r>
      <w:r w:rsidRPr="000B33B9">
        <w:rPr>
          <w:rFonts w:ascii="Verdana" w:hAnsi="Verdana"/>
          <w:sz w:val="20"/>
          <w:szCs w:val="20"/>
          <w:lang w:val="es-DO"/>
        </w:rPr>
        <w:t>) dispuso que el Juez de la Ejecución impidiera “nuevas articulaciones dilatorias” y adoptara las “</w:t>
      </w:r>
      <w:r w:rsidR="006D4002" w:rsidRPr="000B33B9">
        <w:rPr>
          <w:rFonts w:ascii="Verdana" w:hAnsi="Verdana"/>
          <w:sz w:val="20"/>
          <w:szCs w:val="20"/>
          <w:lang w:val="es-DO"/>
        </w:rPr>
        <w:t xml:space="preserve">(…) </w:t>
      </w:r>
      <w:r w:rsidRPr="000B33B9">
        <w:rPr>
          <w:rFonts w:ascii="Verdana" w:hAnsi="Verdana"/>
          <w:sz w:val="20"/>
          <w:szCs w:val="20"/>
          <w:lang w:val="es-DO"/>
        </w:rPr>
        <w:t>acciones necesarias para que se haga efectiva la nivelación de las pensiones de los asociados de la demandante y el pago de los reintegros correspondientes”, en la modalidad establecida en el informe pericial de 18 de octubre de 2011</w:t>
      </w:r>
      <w:r w:rsidR="006D4002" w:rsidRPr="000B33B9">
        <w:rPr>
          <w:rStyle w:val="Refdenotaalpie"/>
          <w:rFonts w:ascii="Verdana" w:hAnsi="Verdana"/>
          <w:sz w:val="20"/>
          <w:szCs w:val="20"/>
          <w:lang w:val="es-DO"/>
        </w:rPr>
        <w:footnoteReference w:id="111"/>
      </w:r>
      <w:r w:rsidRPr="000B33B9">
        <w:rPr>
          <w:rFonts w:ascii="Verdana" w:hAnsi="Verdana"/>
          <w:sz w:val="20"/>
          <w:szCs w:val="20"/>
          <w:lang w:val="es-DO"/>
        </w:rPr>
        <w:t xml:space="preserve">. Para sustentar su fallo, el Tribunal Constitucional señaló, </w:t>
      </w:r>
      <w:r w:rsidRPr="000B33B9">
        <w:rPr>
          <w:rFonts w:ascii="Verdana" w:hAnsi="Verdana"/>
          <w:i/>
          <w:sz w:val="20"/>
          <w:szCs w:val="20"/>
          <w:lang w:val="es-DO"/>
        </w:rPr>
        <w:t>inter alia</w:t>
      </w:r>
      <w:r w:rsidRPr="000B33B9">
        <w:rPr>
          <w:rFonts w:ascii="Verdana" w:hAnsi="Verdana"/>
          <w:sz w:val="20"/>
          <w:szCs w:val="20"/>
          <w:lang w:val="es-DO"/>
        </w:rPr>
        <w:t>, lo siguiente:</w:t>
      </w:r>
    </w:p>
    <w:p w14:paraId="76CE627F" w14:textId="77777777" w:rsidR="00B86B27" w:rsidRPr="000B33B9" w:rsidRDefault="00B86B27" w:rsidP="00B86B27">
      <w:pPr>
        <w:spacing w:after="0" w:line="240" w:lineRule="auto"/>
        <w:jc w:val="both"/>
        <w:rPr>
          <w:rFonts w:ascii="Verdana" w:hAnsi="Verdana"/>
          <w:b/>
          <w:sz w:val="20"/>
          <w:szCs w:val="20"/>
          <w:lang w:val="es-DO"/>
        </w:rPr>
      </w:pPr>
    </w:p>
    <w:p w14:paraId="39B65DE6" w14:textId="77777777" w:rsidR="008B78CD" w:rsidRPr="000B33B9" w:rsidRDefault="00B86B27" w:rsidP="00B86B27">
      <w:pPr>
        <w:spacing w:after="0" w:line="240" w:lineRule="auto"/>
        <w:ind w:left="706" w:right="1094"/>
        <w:jc w:val="both"/>
        <w:rPr>
          <w:rFonts w:ascii="Verdana" w:hAnsi="Verdana"/>
          <w:sz w:val="18"/>
          <w:szCs w:val="18"/>
          <w:lang w:val="es-DO"/>
        </w:rPr>
      </w:pPr>
      <w:r w:rsidRPr="000B33B9">
        <w:rPr>
          <w:rFonts w:ascii="Verdana" w:hAnsi="Verdana"/>
          <w:sz w:val="18"/>
          <w:szCs w:val="18"/>
          <w:lang w:val="es-DO"/>
        </w:rPr>
        <w:t>“</w:t>
      </w:r>
      <w:r w:rsidR="008B78CD" w:rsidRPr="000B33B9">
        <w:rPr>
          <w:rFonts w:ascii="Verdana" w:hAnsi="Verdana"/>
          <w:sz w:val="18"/>
          <w:szCs w:val="18"/>
          <w:lang w:val="es-DO"/>
        </w:rPr>
        <w:t xml:space="preserve">(…) </w:t>
      </w:r>
      <w:r w:rsidRPr="000B33B9">
        <w:rPr>
          <w:rFonts w:ascii="Verdana" w:hAnsi="Verdana"/>
          <w:sz w:val="18"/>
          <w:szCs w:val="18"/>
          <w:lang w:val="es-DO"/>
        </w:rPr>
        <w:t xml:space="preserve">Respecto a los cuestionamientos que plantean las observaciones (…) formuladas por la asociación demandante (...) corresponde, como lo han hecho con acierto las instancias judiciales, reiterar el pronunciamiento efectuado por este Tribunal en la sentencia emitida en el Expediente 00649-2011-PA/TC, que tiene la calidad de cosa juzgada. En efecto, en dicha sentencia el Tribunal Constitucional (…) dilucidó de manera definitiva dichos cuestionamientos, concluyendo que la exclusión en la nivelación materia de autos de los incrementos por diferencial asistencial familiar, alimentación principal, Decreto Legislativo 673 y diferencial aguinaldo 276 (…) no importaba una interpretación arbitraria o restrictiva de la Ejecutoria Suprema materia de ejecución ni mucho menos dejarla sin efecto, por lo que no se vulneraron los derechos pensionarios de los miembros de la asociación demandante. </w:t>
      </w:r>
    </w:p>
    <w:p w14:paraId="514B7666" w14:textId="77777777" w:rsidR="008B78CD" w:rsidRPr="000B33B9" w:rsidRDefault="008B78CD" w:rsidP="00B86B27">
      <w:pPr>
        <w:spacing w:after="0" w:line="240" w:lineRule="auto"/>
        <w:ind w:left="706" w:right="1094"/>
        <w:jc w:val="both"/>
        <w:rPr>
          <w:rFonts w:ascii="Verdana" w:hAnsi="Verdana"/>
          <w:sz w:val="18"/>
          <w:szCs w:val="18"/>
          <w:lang w:val="es-DO"/>
        </w:rPr>
      </w:pPr>
    </w:p>
    <w:p w14:paraId="66A58F28" w14:textId="27B43510" w:rsidR="00B86B27" w:rsidRPr="000B33B9" w:rsidRDefault="00B86B27" w:rsidP="00B86B27">
      <w:pPr>
        <w:spacing w:after="0" w:line="240" w:lineRule="auto"/>
        <w:ind w:left="706" w:right="1094"/>
        <w:jc w:val="both"/>
        <w:rPr>
          <w:rFonts w:ascii="Verdana" w:hAnsi="Verdana"/>
          <w:sz w:val="18"/>
          <w:szCs w:val="18"/>
          <w:lang w:val="es-DO"/>
        </w:rPr>
      </w:pPr>
      <w:r w:rsidRPr="000B33B9">
        <w:rPr>
          <w:rFonts w:ascii="Verdana" w:hAnsi="Verdana"/>
          <w:sz w:val="18"/>
          <w:szCs w:val="18"/>
          <w:lang w:val="es-DO"/>
        </w:rPr>
        <w:t xml:space="preserve">Como se puede advertir (…) el Tribunal Constitucional, en pronunciamiento que data del mes de agosto de 2011, ha reconocido la constitucionalidad del inciso c) del artículo 3 del Decreto Legislativo 673 y la </w:t>
      </w:r>
      <w:r w:rsidR="008B78CD" w:rsidRPr="000B33B9">
        <w:rPr>
          <w:rFonts w:ascii="Verdana" w:hAnsi="Verdana"/>
          <w:sz w:val="18"/>
          <w:szCs w:val="18"/>
          <w:lang w:val="es-DO"/>
        </w:rPr>
        <w:t>legitimidad</w:t>
      </w:r>
      <w:r w:rsidRPr="000B33B9">
        <w:rPr>
          <w:rFonts w:ascii="Verdana" w:hAnsi="Verdana"/>
          <w:sz w:val="18"/>
          <w:szCs w:val="18"/>
          <w:lang w:val="es-DO"/>
        </w:rPr>
        <w:t xml:space="preserve"> de la exclusión de los incrementos que reclama la asociación demandante (…). </w:t>
      </w:r>
    </w:p>
    <w:p w14:paraId="7871D675" w14:textId="77777777" w:rsidR="00B86B27" w:rsidRPr="000B33B9" w:rsidRDefault="00B86B27" w:rsidP="00B86B27">
      <w:pPr>
        <w:spacing w:after="0" w:line="240" w:lineRule="auto"/>
        <w:ind w:left="706" w:right="1094"/>
        <w:jc w:val="both"/>
        <w:rPr>
          <w:rFonts w:ascii="Verdana" w:hAnsi="Verdana"/>
          <w:sz w:val="18"/>
          <w:szCs w:val="18"/>
          <w:lang w:val="es-DO"/>
        </w:rPr>
      </w:pPr>
    </w:p>
    <w:p w14:paraId="423D3A0B" w14:textId="77777777" w:rsidR="00B86B27" w:rsidRPr="000B33B9" w:rsidRDefault="00B86B27" w:rsidP="00B86B27">
      <w:pPr>
        <w:spacing w:after="0" w:line="240" w:lineRule="auto"/>
        <w:ind w:left="706" w:right="1094"/>
        <w:jc w:val="both"/>
        <w:rPr>
          <w:rFonts w:ascii="Verdana" w:hAnsi="Verdana"/>
          <w:sz w:val="18"/>
          <w:szCs w:val="18"/>
          <w:lang w:val="es-DO"/>
        </w:rPr>
      </w:pPr>
      <w:r w:rsidRPr="000B33B9">
        <w:rPr>
          <w:rFonts w:ascii="Verdana" w:hAnsi="Verdana"/>
          <w:sz w:val="18"/>
          <w:szCs w:val="18"/>
          <w:lang w:val="es-DO"/>
        </w:rPr>
        <w:t xml:space="preserve">(…) Del examen de lo actuado se desprende que la ejecución de la sentencia no ha culminado aún debido a la existencia de numerosos informes periciales contables, judiciales y de parte, y de las reiteradas observaciones formuladas por las partes contra dichos informes periciales. </w:t>
      </w:r>
    </w:p>
    <w:p w14:paraId="41E8956F" w14:textId="77777777" w:rsidR="00B86B27" w:rsidRPr="000B33B9" w:rsidRDefault="00B86B27" w:rsidP="00B86B27">
      <w:pPr>
        <w:spacing w:after="0" w:line="240" w:lineRule="auto"/>
        <w:ind w:left="706" w:right="1094"/>
        <w:jc w:val="both"/>
        <w:rPr>
          <w:rFonts w:ascii="Verdana" w:hAnsi="Verdana"/>
          <w:sz w:val="18"/>
          <w:szCs w:val="18"/>
          <w:lang w:val="es-DO"/>
        </w:rPr>
      </w:pPr>
    </w:p>
    <w:p w14:paraId="12B98A36" w14:textId="6E2CFA58" w:rsidR="00B86B27" w:rsidRPr="000B33B9" w:rsidRDefault="00B86B27" w:rsidP="00B86B27">
      <w:pPr>
        <w:spacing w:after="0" w:line="240" w:lineRule="auto"/>
        <w:ind w:left="706" w:right="1094"/>
        <w:jc w:val="both"/>
        <w:rPr>
          <w:rFonts w:ascii="Verdana" w:hAnsi="Verdana"/>
          <w:sz w:val="18"/>
          <w:szCs w:val="18"/>
          <w:lang w:val="es-DO"/>
        </w:rPr>
      </w:pPr>
      <w:r w:rsidRPr="000B33B9">
        <w:rPr>
          <w:rFonts w:ascii="Verdana" w:hAnsi="Verdana"/>
          <w:sz w:val="18"/>
          <w:szCs w:val="18"/>
          <w:lang w:val="es-DO"/>
        </w:rPr>
        <w:t>Particularmente relevante es la pretensión de la asociación demandante para que en la nivelación de las pensiones de sus asociados, y de los correspondientes reintegros, se comprendan los incrementos que han sido excluidos en el último informe pericial judicial contable contra el cual la parte demandante ha formulado la observación que es objeto del presente recurso de agravio, insistiendo en la misma, no obstan</w:t>
      </w:r>
      <w:r w:rsidR="008B78CD" w:rsidRPr="000B33B9">
        <w:rPr>
          <w:rFonts w:ascii="Verdana" w:hAnsi="Verdana"/>
          <w:sz w:val="18"/>
          <w:szCs w:val="18"/>
          <w:lang w:val="es-DO"/>
        </w:rPr>
        <w:t>te que, como se ha mencionado</w:t>
      </w:r>
      <w:r w:rsidRPr="000B33B9">
        <w:rPr>
          <w:rFonts w:ascii="Verdana" w:hAnsi="Verdana"/>
          <w:sz w:val="18"/>
          <w:szCs w:val="18"/>
          <w:lang w:val="es-DO"/>
        </w:rPr>
        <w:t xml:space="preserve"> líneas arriba, el Tribunal Constitucional ya había zanjado el asunto en el año 2011, concluyendo que dichos incrementos no tienen carácter pensionable para los trabajadores comprendidos en el régimen jubilatorio del Decreto Ley 20530, y que no se podía aceptar tal pretensión, porque hacerlo implicaría nivelar sus pensiones con las remuneraciones del personal de la SUNAT sujeto al régimen laboral de la actividad privada (…)”. </w:t>
      </w:r>
    </w:p>
    <w:p w14:paraId="72F7E6A5" w14:textId="77777777" w:rsidR="00B86B27" w:rsidRPr="000B33B9" w:rsidRDefault="00B86B27" w:rsidP="00B86B27">
      <w:pPr>
        <w:spacing w:after="0" w:line="240" w:lineRule="auto"/>
        <w:ind w:left="706" w:right="1094"/>
        <w:jc w:val="both"/>
        <w:rPr>
          <w:rFonts w:ascii="Verdana" w:eastAsia="Calibri" w:hAnsi="Verdana" w:cs="Times New Roman"/>
          <w:sz w:val="20"/>
          <w:szCs w:val="20"/>
          <w:lang w:val="es-ES" w:eastAsia="es-ES"/>
        </w:rPr>
      </w:pPr>
    </w:p>
    <w:p w14:paraId="2B584E84" w14:textId="77777777" w:rsidR="00B86B27" w:rsidRPr="000B33B9" w:rsidRDefault="00B86B27" w:rsidP="007B74AD">
      <w:pPr>
        <w:pStyle w:val="Ttulo2"/>
      </w:pPr>
      <w:bookmarkStart w:id="54" w:name="_Toc27329761"/>
      <w:r w:rsidRPr="000B33B9">
        <w:t>Tercera acción de amparo</w:t>
      </w:r>
      <w:bookmarkEnd w:id="54"/>
    </w:p>
    <w:p w14:paraId="75C8DA1E" w14:textId="77777777" w:rsidR="00B86B27" w:rsidRPr="000B33B9" w:rsidRDefault="00B86B27" w:rsidP="00B86B27">
      <w:pPr>
        <w:spacing w:after="0" w:line="240" w:lineRule="auto"/>
        <w:rPr>
          <w:rFonts w:ascii="Verdana" w:hAnsi="Verdana"/>
          <w:b/>
          <w:i/>
          <w:sz w:val="20"/>
          <w:szCs w:val="20"/>
          <w:lang w:val="es-DO"/>
        </w:rPr>
      </w:pPr>
    </w:p>
    <w:p w14:paraId="27B8F63D" w14:textId="671EF6F5" w:rsidR="00B86B27" w:rsidRPr="000B33B9" w:rsidRDefault="00B86B27" w:rsidP="007B74B8">
      <w:pPr>
        <w:pStyle w:val="Prrafodelista"/>
        <w:numPr>
          <w:ilvl w:val="0"/>
          <w:numId w:val="10"/>
        </w:numPr>
        <w:spacing w:after="0" w:line="240" w:lineRule="auto"/>
        <w:ind w:left="0" w:firstLine="0"/>
        <w:jc w:val="both"/>
        <w:rPr>
          <w:rFonts w:ascii="Verdana" w:eastAsia="Calibri" w:hAnsi="Verdana" w:cs="Times New Roman"/>
          <w:sz w:val="20"/>
          <w:szCs w:val="20"/>
          <w:lang w:val="es-ES" w:eastAsia="es-ES"/>
        </w:rPr>
      </w:pPr>
      <w:r w:rsidRPr="000B33B9">
        <w:rPr>
          <w:rFonts w:ascii="Verdana" w:eastAsia="Calibri" w:hAnsi="Verdana" w:cs="Times New Roman"/>
          <w:sz w:val="20"/>
          <w:szCs w:val="20"/>
          <w:lang w:val="es-DO" w:eastAsia="es-ES"/>
        </w:rPr>
        <w:t>E</w:t>
      </w:r>
      <w:r w:rsidRPr="000B33B9">
        <w:rPr>
          <w:rFonts w:ascii="Verdana" w:eastAsia="Calibri" w:hAnsi="Verdana" w:cs="Times New Roman"/>
          <w:sz w:val="20"/>
          <w:szCs w:val="20"/>
          <w:lang w:val="es-ES" w:eastAsia="es-ES"/>
        </w:rPr>
        <w:t>l 15 de diciembre de 2006</w:t>
      </w:r>
      <w:r w:rsidR="00465D9F" w:rsidRPr="000B33B9">
        <w:rPr>
          <w:rFonts w:ascii="Verdana" w:eastAsia="Calibri" w:hAnsi="Verdana" w:cs="Times New Roman"/>
          <w:sz w:val="20"/>
          <w:szCs w:val="20"/>
          <w:lang w:val="es-ES" w:eastAsia="es-ES"/>
        </w:rPr>
        <w:t>,</w:t>
      </w:r>
      <w:r w:rsidRPr="000B33B9">
        <w:rPr>
          <w:rFonts w:ascii="Verdana" w:eastAsia="Calibri" w:hAnsi="Verdana" w:cs="Times New Roman"/>
          <w:sz w:val="20"/>
          <w:szCs w:val="20"/>
          <w:lang w:val="es-ES" w:eastAsia="es-ES"/>
        </w:rPr>
        <w:t xml:space="preserve"> ANCEJUB-SUNAT </w:t>
      </w:r>
      <w:r w:rsidR="00F82A54" w:rsidRPr="000B33B9">
        <w:rPr>
          <w:rFonts w:ascii="Verdana" w:eastAsia="Calibri" w:hAnsi="Verdana" w:cs="Times New Roman"/>
          <w:sz w:val="20"/>
          <w:szCs w:val="20"/>
          <w:lang w:val="es-ES" w:eastAsia="es-ES"/>
        </w:rPr>
        <w:t xml:space="preserve">presentó </w:t>
      </w:r>
      <w:r w:rsidRPr="000B33B9">
        <w:rPr>
          <w:rFonts w:ascii="Verdana" w:eastAsia="Calibri" w:hAnsi="Verdana" w:cs="Times New Roman"/>
          <w:sz w:val="20"/>
          <w:szCs w:val="20"/>
          <w:lang w:val="es-ES" w:eastAsia="es-ES"/>
        </w:rPr>
        <w:t>una acción de amparo contra los dos jueces de la Sexta Sala Civil por cuyo voto mayoritario fue adoptada la resolución de 24 de julio de 2006</w:t>
      </w:r>
      <w:r w:rsidRPr="000B33B9">
        <w:rPr>
          <w:rStyle w:val="Refdenotaalpie"/>
          <w:rFonts w:ascii="Verdana" w:eastAsia="Calibri" w:hAnsi="Verdana" w:cs="Times New Roman"/>
          <w:sz w:val="20"/>
          <w:szCs w:val="20"/>
          <w:lang w:val="es-ES" w:eastAsia="es-ES"/>
        </w:rPr>
        <w:footnoteReference w:id="112"/>
      </w:r>
      <w:r w:rsidRPr="000B33B9">
        <w:rPr>
          <w:rFonts w:ascii="Verdana" w:eastAsia="Calibri" w:hAnsi="Verdana" w:cs="Times New Roman"/>
          <w:sz w:val="20"/>
          <w:szCs w:val="20"/>
          <w:lang w:val="es-ES" w:eastAsia="es-ES"/>
        </w:rPr>
        <w:t>, que ordenó la realización de un nuevo informe pericial (</w:t>
      </w:r>
      <w:r w:rsidRPr="000B33B9">
        <w:rPr>
          <w:rFonts w:ascii="Verdana" w:eastAsia="Calibri" w:hAnsi="Verdana" w:cs="Times New Roman"/>
          <w:i/>
          <w:sz w:val="20"/>
          <w:szCs w:val="20"/>
          <w:lang w:val="es-ES" w:eastAsia="es-ES"/>
        </w:rPr>
        <w:t>supra</w:t>
      </w:r>
      <w:r w:rsidRPr="000B33B9">
        <w:rPr>
          <w:rFonts w:ascii="Verdana" w:eastAsia="Calibri" w:hAnsi="Verdana" w:cs="Times New Roman"/>
          <w:sz w:val="20"/>
          <w:szCs w:val="20"/>
          <w:lang w:val="es-ES" w:eastAsia="es-ES"/>
        </w:rPr>
        <w:t xml:space="preserve"> párr.</w:t>
      </w:r>
      <w:r w:rsidR="00275D73" w:rsidRPr="000B33B9">
        <w:rPr>
          <w:rFonts w:ascii="Verdana" w:eastAsia="Calibri" w:hAnsi="Verdana" w:cs="Times New Roman"/>
          <w:sz w:val="20"/>
          <w:szCs w:val="20"/>
          <w:lang w:val="es-ES" w:eastAsia="es-ES"/>
        </w:rPr>
        <w:t xml:space="preserve"> 75</w:t>
      </w:r>
      <w:r w:rsidRPr="000B33B9">
        <w:rPr>
          <w:rFonts w:ascii="Verdana" w:eastAsia="Calibri" w:hAnsi="Verdana" w:cs="Times New Roman"/>
          <w:sz w:val="20"/>
          <w:szCs w:val="20"/>
          <w:lang w:val="es-ES" w:eastAsia="es-ES"/>
        </w:rPr>
        <w:t>)</w:t>
      </w:r>
      <w:r w:rsidRPr="000B33B9">
        <w:rPr>
          <w:rFonts w:ascii="Verdana" w:hAnsi="Verdana"/>
          <w:sz w:val="20"/>
          <w:szCs w:val="20"/>
          <w:lang w:val="es-ES"/>
        </w:rPr>
        <w:t>. En el amparo, ANCEJUB-SUNAT alegó que, al dictarse la resolución de 24 de julio de 2006, se habían vulnerado sus derechos a la tutela judicial efectiva, debido proceso y</w:t>
      </w:r>
      <w:r w:rsidR="00275D73" w:rsidRPr="000B33B9">
        <w:rPr>
          <w:rFonts w:ascii="Verdana" w:hAnsi="Verdana"/>
          <w:sz w:val="20"/>
          <w:szCs w:val="20"/>
          <w:lang w:val="es-ES"/>
        </w:rPr>
        <w:t xml:space="preserve"> la</w:t>
      </w:r>
      <w:r w:rsidRPr="000B33B9">
        <w:rPr>
          <w:rFonts w:ascii="Verdana" w:hAnsi="Verdana"/>
          <w:sz w:val="20"/>
          <w:szCs w:val="20"/>
          <w:lang w:val="es-ES"/>
        </w:rPr>
        <w:t xml:space="preserve"> efectividad de las decisiones judiciales</w:t>
      </w:r>
      <w:r w:rsidR="005F43C3" w:rsidRPr="000B33B9">
        <w:rPr>
          <w:rStyle w:val="Refdenotaalpie"/>
          <w:rFonts w:ascii="Verdana" w:eastAsia="Calibri" w:hAnsi="Verdana" w:cs="Times New Roman"/>
          <w:sz w:val="20"/>
          <w:szCs w:val="20"/>
          <w:lang w:val="es-ES" w:eastAsia="es-ES"/>
        </w:rPr>
        <w:footnoteReference w:id="113"/>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El 28 de septiembre de 2009, la Séptima Sala Civil de la Corte Superior de Justicia de Lima declaró infundado el recurso de amparo interpuesto por ANCEJUB-SUNAT</w:t>
      </w:r>
      <w:r w:rsidR="005F43C3" w:rsidRPr="000B33B9">
        <w:rPr>
          <w:rFonts w:ascii="Verdana" w:eastAsia="Calibri" w:hAnsi="Verdana" w:cs="Times New Roman"/>
          <w:sz w:val="20"/>
          <w:szCs w:val="20"/>
          <w:vertAlign w:val="superscript"/>
          <w:lang w:val="es-ES" w:eastAsia="es-ES"/>
        </w:rPr>
        <w:footnoteReference w:id="114"/>
      </w:r>
      <w:r w:rsidR="00D73493" w:rsidRPr="000B33B9">
        <w:rPr>
          <w:rFonts w:ascii="Verdana" w:eastAsia="Calibri" w:hAnsi="Verdana" w:cs="Times New Roman"/>
          <w:sz w:val="20"/>
          <w:szCs w:val="20"/>
          <w:lang w:val="es-ES" w:eastAsia="es-ES"/>
        </w:rPr>
        <w:t>.</w:t>
      </w:r>
    </w:p>
    <w:p w14:paraId="4D8A3921" w14:textId="77777777" w:rsidR="00D73493" w:rsidRPr="000B33B9" w:rsidRDefault="00D73493" w:rsidP="00E14D45">
      <w:pPr>
        <w:pStyle w:val="Prrafodelista"/>
        <w:spacing w:after="0" w:line="240" w:lineRule="auto"/>
        <w:ind w:left="0"/>
        <w:jc w:val="both"/>
        <w:rPr>
          <w:rFonts w:ascii="Verdana" w:eastAsia="Calibri" w:hAnsi="Verdana" w:cs="Times New Roman"/>
          <w:sz w:val="20"/>
          <w:szCs w:val="20"/>
          <w:lang w:val="es-ES" w:eastAsia="es-ES"/>
        </w:rPr>
      </w:pPr>
    </w:p>
    <w:p w14:paraId="7DCB5122" w14:textId="5BE5C795" w:rsidR="00B86B27" w:rsidRPr="000B33B9" w:rsidRDefault="00B86B27" w:rsidP="007B74B8">
      <w:pPr>
        <w:pStyle w:val="Prrafodelista"/>
        <w:numPr>
          <w:ilvl w:val="0"/>
          <w:numId w:val="10"/>
        </w:numPr>
        <w:tabs>
          <w:tab w:val="left" w:pos="709"/>
        </w:tabs>
        <w:spacing w:after="0" w:line="240" w:lineRule="auto"/>
        <w:ind w:left="0" w:firstLine="0"/>
        <w:jc w:val="both"/>
        <w:rPr>
          <w:rFonts w:ascii="Verdana" w:eastAsia="Calibri" w:hAnsi="Verdana" w:cs="Times New Roman"/>
          <w:sz w:val="20"/>
          <w:szCs w:val="20"/>
          <w:lang w:val="es-ES" w:eastAsia="es-ES"/>
        </w:rPr>
      </w:pPr>
      <w:r w:rsidRPr="000B33B9">
        <w:rPr>
          <w:rFonts w:ascii="Verdana" w:eastAsia="Calibri" w:hAnsi="Verdana" w:cs="Times New Roman"/>
          <w:sz w:val="20"/>
          <w:szCs w:val="20"/>
          <w:lang w:val="es-ES" w:eastAsia="es-ES"/>
        </w:rPr>
        <w:t>El 2 de diciembre de 2009</w:t>
      </w:r>
      <w:r w:rsidR="00465D9F" w:rsidRPr="000B33B9">
        <w:rPr>
          <w:rFonts w:ascii="Verdana" w:eastAsia="Calibri" w:hAnsi="Verdana" w:cs="Times New Roman"/>
          <w:sz w:val="20"/>
          <w:szCs w:val="20"/>
          <w:lang w:val="es-ES" w:eastAsia="es-ES"/>
        </w:rPr>
        <w:t>,</w:t>
      </w:r>
      <w:r w:rsidRPr="000B33B9">
        <w:rPr>
          <w:rFonts w:ascii="Verdana" w:eastAsia="Calibri" w:hAnsi="Verdana" w:cs="Times New Roman"/>
          <w:sz w:val="20"/>
          <w:szCs w:val="20"/>
          <w:lang w:val="es-ES" w:eastAsia="es-ES"/>
        </w:rPr>
        <w:t xml:space="preserve"> ANCEJUB-SUNAT apeló dicha decisión</w:t>
      </w:r>
      <w:r w:rsidRPr="000B33B9">
        <w:rPr>
          <w:rFonts w:ascii="Verdana" w:hAnsi="Verdana"/>
          <w:sz w:val="20"/>
          <w:szCs w:val="20"/>
          <w:vertAlign w:val="superscript"/>
          <w:lang w:val="es-ES" w:eastAsia="es-ES"/>
        </w:rPr>
        <w:footnoteReference w:id="115"/>
      </w:r>
      <w:r w:rsidRPr="000B33B9">
        <w:rPr>
          <w:rFonts w:ascii="Verdana" w:eastAsia="Calibri" w:hAnsi="Verdana" w:cs="Times New Roman"/>
          <w:sz w:val="20"/>
          <w:szCs w:val="20"/>
          <w:lang w:val="es-ES" w:eastAsia="es-ES"/>
        </w:rPr>
        <w:t>.</w:t>
      </w:r>
      <w:r w:rsidRPr="000B33B9">
        <w:rPr>
          <w:rFonts w:ascii="Verdana" w:eastAsia="Calibri" w:hAnsi="Verdana" w:cs="Times New Roman"/>
          <w:b/>
          <w:sz w:val="20"/>
          <w:szCs w:val="20"/>
          <w:lang w:val="es-ES" w:eastAsia="es-ES"/>
        </w:rPr>
        <w:t xml:space="preserve"> </w:t>
      </w:r>
      <w:r w:rsidRPr="000B33B9">
        <w:rPr>
          <w:rFonts w:ascii="Verdana" w:eastAsia="Calibri" w:hAnsi="Verdana" w:cs="Times New Roman"/>
          <w:sz w:val="20"/>
          <w:szCs w:val="20"/>
          <w:lang w:val="es-ES" w:eastAsia="es-ES"/>
        </w:rPr>
        <w:t>El 22 de julio de 2010, la Corte Suprema confirmó la resolución de 28 de septiembre de 2009</w:t>
      </w:r>
      <w:r w:rsidRPr="000B33B9">
        <w:rPr>
          <w:rFonts w:ascii="Verdana" w:hAnsi="Verdana"/>
          <w:sz w:val="20"/>
          <w:szCs w:val="20"/>
          <w:vertAlign w:val="superscript"/>
          <w:lang w:val="es-ES" w:eastAsia="es-ES"/>
        </w:rPr>
        <w:footnoteReference w:id="116"/>
      </w:r>
      <w:r w:rsidRPr="000B33B9">
        <w:rPr>
          <w:rFonts w:ascii="Verdana" w:eastAsia="Calibri" w:hAnsi="Verdana" w:cs="Times New Roman"/>
          <w:sz w:val="20"/>
          <w:szCs w:val="20"/>
          <w:lang w:val="es-ES" w:eastAsia="es-ES"/>
        </w:rPr>
        <w:t>.</w:t>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ANCEJUB-SUNAT presentó un recurso de agravio constitucional contra la sentencia de 22 de julio de 2010 y el 9 de agosto de 2011 el Tribunal Constitucional lo declaró infundado. El Tribunal Constitucional consideró que, en virtud de que el artículo 3, inciso c, del Decreto 673 prescribe que tiene el carácter de no pensionable la mayor remuneración dispuesta en los literales a y b de dicho artículo, “</w:t>
      </w:r>
      <w:r w:rsidR="005F43C3"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al no abonarse ésta a los asociados de la recurrente que gozan de pensión nivelable, no se vulnera sus derechos pensionarios”</w:t>
      </w:r>
      <w:r w:rsidRPr="000B33B9">
        <w:rPr>
          <w:rFonts w:ascii="Verdana" w:hAnsi="Verdana"/>
          <w:sz w:val="20"/>
          <w:szCs w:val="20"/>
          <w:lang w:val="es-ES"/>
        </w:rPr>
        <w:t xml:space="preserve">. </w:t>
      </w:r>
      <w:r w:rsidR="009257B3" w:rsidRPr="000B33B9">
        <w:rPr>
          <w:rFonts w:ascii="Verdana" w:hAnsi="Verdana"/>
          <w:sz w:val="20"/>
          <w:szCs w:val="20"/>
          <w:lang w:val="es-ES"/>
        </w:rPr>
        <w:t xml:space="preserve">Asimismo, el Tribunal Constitucional estimó que </w:t>
      </w:r>
      <w:r w:rsidR="00275D73" w:rsidRPr="000B33B9">
        <w:rPr>
          <w:rFonts w:ascii="Verdana" w:hAnsi="Verdana"/>
          <w:sz w:val="20"/>
          <w:szCs w:val="20"/>
          <w:lang w:val="es-ES"/>
        </w:rPr>
        <w:t xml:space="preserve">la “(…) </w:t>
      </w:r>
      <w:r w:rsidRPr="000B33B9">
        <w:rPr>
          <w:rFonts w:ascii="Verdana" w:eastAsia="Calibri" w:hAnsi="Verdana" w:cs="Times New Roman"/>
          <w:sz w:val="20"/>
          <w:szCs w:val="20"/>
          <w:lang w:val="es-ES"/>
        </w:rPr>
        <w:t xml:space="preserve">sentencia </w:t>
      </w:r>
      <w:r w:rsidR="009257B3" w:rsidRPr="000B33B9">
        <w:rPr>
          <w:rFonts w:ascii="Verdana" w:hAnsi="Verdana"/>
          <w:sz w:val="20"/>
          <w:szCs w:val="20"/>
          <w:lang w:val="es-ES"/>
        </w:rPr>
        <w:t>[de 25 de octubre de 1993]</w:t>
      </w:r>
      <w:r w:rsidR="009257B3" w:rsidRPr="000B33B9">
        <w:rPr>
          <w:rFonts w:ascii="Verdana" w:hAnsi="Verdana"/>
          <w:b/>
          <w:sz w:val="20"/>
          <w:szCs w:val="20"/>
          <w:lang w:val="es-ES"/>
        </w:rPr>
        <w:t xml:space="preserve"> </w:t>
      </w:r>
      <w:r w:rsidRPr="000B33B9">
        <w:rPr>
          <w:rFonts w:ascii="Verdana" w:eastAsia="Calibri" w:hAnsi="Verdana" w:cs="Times New Roman"/>
          <w:sz w:val="20"/>
          <w:szCs w:val="20"/>
          <w:lang w:val="es-ES"/>
        </w:rPr>
        <w:t xml:space="preserve">solo inaplicó a los asociados de </w:t>
      </w:r>
      <w:r w:rsidR="00275D73" w:rsidRPr="000B33B9">
        <w:rPr>
          <w:rFonts w:ascii="Verdana" w:eastAsia="Calibri" w:hAnsi="Verdana" w:cs="Times New Roman"/>
          <w:sz w:val="20"/>
          <w:szCs w:val="20"/>
          <w:lang w:val="es-ES"/>
        </w:rPr>
        <w:t>[</w:t>
      </w:r>
      <w:r w:rsidRPr="000B33B9">
        <w:rPr>
          <w:rFonts w:ascii="Verdana" w:eastAsia="Calibri" w:hAnsi="Verdana" w:cs="Times New Roman"/>
          <w:sz w:val="20"/>
          <w:szCs w:val="20"/>
          <w:lang w:val="es-ES"/>
        </w:rPr>
        <w:t>ANCEJUB-SUNAT</w:t>
      </w:r>
      <w:r w:rsidR="00275D73" w:rsidRPr="000B33B9">
        <w:rPr>
          <w:rFonts w:ascii="Verdana" w:eastAsia="Calibri" w:hAnsi="Verdana" w:cs="Times New Roman"/>
          <w:sz w:val="20"/>
          <w:szCs w:val="20"/>
          <w:lang w:val="es-ES"/>
        </w:rPr>
        <w:t>]</w:t>
      </w:r>
      <w:r w:rsidRPr="000B33B9">
        <w:rPr>
          <w:rFonts w:ascii="Verdana" w:eastAsia="Calibri" w:hAnsi="Verdana" w:cs="Times New Roman"/>
          <w:sz w:val="20"/>
          <w:szCs w:val="20"/>
          <w:lang w:val="es-ES"/>
        </w:rPr>
        <w:t xml:space="preserve"> la </w:t>
      </w:r>
      <w:r w:rsidR="00275D73" w:rsidRPr="000B33B9">
        <w:rPr>
          <w:rFonts w:ascii="Verdana" w:eastAsia="Calibri" w:hAnsi="Verdana" w:cs="Times New Roman"/>
          <w:sz w:val="20"/>
          <w:szCs w:val="20"/>
          <w:lang w:val="es-ES"/>
        </w:rPr>
        <w:t>Tercera Disposición Transitoria (…)</w:t>
      </w:r>
      <w:r w:rsidRPr="000B33B9">
        <w:rPr>
          <w:rFonts w:ascii="Verdana" w:eastAsia="Calibri" w:hAnsi="Verdana" w:cs="Times New Roman"/>
          <w:sz w:val="20"/>
          <w:szCs w:val="20"/>
          <w:lang w:val="es-ES"/>
        </w:rPr>
        <w:t xml:space="preserve"> pero</w:t>
      </w:r>
      <w:r w:rsidR="00275D73" w:rsidRPr="000B33B9">
        <w:rPr>
          <w:rFonts w:ascii="Verdana" w:eastAsia="Calibri" w:hAnsi="Verdana" w:cs="Times New Roman"/>
          <w:sz w:val="20"/>
          <w:szCs w:val="20"/>
          <w:lang w:val="es-ES"/>
        </w:rPr>
        <w:t xml:space="preserve"> no el inciso c) del artículo 3”</w:t>
      </w:r>
      <w:r w:rsidRPr="000B33B9">
        <w:rPr>
          <w:rFonts w:ascii="Verdana" w:eastAsia="Calibri" w:hAnsi="Verdana" w:cs="Times New Roman"/>
          <w:sz w:val="20"/>
          <w:szCs w:val="20"/>
          <w:lang w:val="es-ES"/>
        </w:rPr>
        <w:t xml:space="preserve">, el cual </w:t>
      </w:r>
      <w:r w:rsidR="00275D73" w:rsidRPr="000B33B9">
        <w:rPr>
          <w:rFonts w:ascii="Verdana" w:eastAsia="Calibri" w:hAnsi="Verdana" w:cs="Times New Roman"/>
          <w:sz w:val="20"/>
          <w:szCs w:val="20"/>
          <w:lang w:val="es-ES"/>
        </w:rPr>
        <w:t>“</w:t>
      </w:r>
      <w:r w:rsidRPr="000B33B9">
        <w:rPr>
          <w:rFonts w:ascii="Verdana" w:eastAsia="Calibri" w:hAnsi="Verdana" w:cs="Times New Roman"/>
          <w:sz w:val="20"/>
          <w:szCs w:val="20"/>
          <w:lang w:val="es-ES"/>
        </w:rPr>
        <w:t>no fue materia de conocimiento constitucional</w:t>
      </w:r>
      <w:r w:rsidR="009257B3" w:rsidRPr="000B33B9">
        <w:rPr>
          <w:rFonts w:ascii="Verdana" w:eastAsia="Calibri" w:hAnsi="Verdana" w:cs="Times New Roman"/>
          <w:sz w:val="20"/>
          <w:szCs w:val="20"/>
          <w:lang w:val="es-ES"/>
        </w:rPr>
        <w:t>”</w:t>
      </w:r>
      <w:r w:rsidR="005F43C3" w:rsidRPr="000B33B9">
        <w:rPr>
          <w:rFonts w:ascii="Verdana" w:eastAsia="Calibri" w:hAnsi="Verdana" w:cstheme="minorHAnsi"/>
          <w:sz w:val="20"/>
          <w:szCs w:val="20"/>
          <w:vertAlign w:val="superscript"/>
          <w:lang w:val="es-ES" w:eastAsia="es-ES"/>
        </w:rPr>
        <w:footnoteReference w:id="117"/>
      </w:r>
      <w:r w:rsidRPr="000B33B9">
        <w:rPr>
          <w:rFonts w:ascii="Verdana" w:eastAsia="Calibri" w:hAnsi="Verdana" w:cs="Times New Roman"/>
          <w:sz w:val="20"/>
          <w:szCs w:val="20"/>
          <w:lang w:val="es-ES"/>
        </w:rPr>
        <w:t xml:space="preserve">. </w:t>
      </w:r>
      <w:r w:rsidR="009257B3" w:rsidRPr="000B33B9">
        <w:rPr>
          <w:rFonts w:ascii="Verdana" w:eastAsia="Calibri" w:hAnsi="Verdana" w:cs="Times New Roman"/>
          <w:sz w:val="20"/>
          <w:szCs w:val="20"/>
          <w:lang w:val="es-ES"/>
        </w:rPr>
        <w:t>Adicionalmente</w:t>
      </w:r>
      <w:r w:rsidRPr="000B33B9">
        <w:rPr>
          <w:rFonts w:ascii="Verdana" w:eastAsia="Calibri" w:hAnsi="Verdana" w:cs="Times New Roman"/>
          <w:sz w:val="20"/>
          <w:szCs w:val="20"/>
          <w:lang w:val="es-ES"/>
        </w:rPr>
        <w:t>, señaló lo siguiente:</w:t>
      </w:r>
    </w:p>
    <w:p w14:paraId="7BF4706C" w14:textId="77777777" w:rsidR="00B86B27" w:rsidRPr="000B33B9" w:rsidRDefault="00B86B27" w:rsidP="00B86B27">
      <w:pPr>
        <w:spacing w:after="0" w:line="240" w:lineRule="auto"/>
        <w:ind w:left="706" w:right="1094"/>
        <w:jc w:val="both"/>
        <w:rPr>
          <w:rFonts w:ascii="Verdana" w:eastAsia="Calibri" w:hAnsi="Verdana" w:cs="Times New Roman"/>
          <w:sz w:val="20"/>
          <w:szCs w:val="20"/>
          <w:lang w:val="es-ES"/>
        </w:rPr>
      </w:pPr>
    </w:p>
    <w:p w14:paraId="6B89CECD" w14:textId="78292F1C" w:rsidR="00B86B27" w:rsidRPr="000B33B9" w:rsidRDefault="009257B3" w:rsidP="00B86B27">
      <w:pPr>
        <w:spacing w:after="0" w:line="240" w:lineRule="auto"/>
        <w:ind w:left="706" w:right="1094"/>
        <w:jc w:val="both"/>
        <w:rPr>
          <w:rFonts w:ascii="Verdana" w:eastAsia="Calibri" w:hAnsi="Verdana" w:cs="Times New Roman"/>
          <w:sz w:val="18"/>
          <w:szCs w:val="18"/>
          <w:lang w:val="es-CR"/>
        </w:rPr>
      </w:pPr>
      <w:r w:rsidRPr="000B33B9">
        <w:rPr>
          <w:rFonts w:ascii="Verdana" w:eastAsia="Calibri" w:hAnsi="Verdana" w:cs="Times New Roman"/>
          <w:sz w:val="18"/>
          <w:szCs w:val="18"/>
          <w:lang w:val="es-CR"/>
        </w:rPr>
        <w:t>“</w:t>
      </w:r>
      <w:r w:rsidR="005F43C3" w:rsidRPr="000B33B9">
        <w:rPr>
          <w:rFonts w:ascii="Verdana" w:eastAsia="Calibri" w:hAnsi="Verdana" w:cs="Times New Roman"/>
          <w:sz w:val="18"/>
          <w:szCs w:val="18"/>
          <w:lang w:val="es-CR"/>
        </w:rPr>
        <w:t>(…) S</w:t>
      </w:r>
      <w:r w:rsidR="00B86B27" w:rsidRPr="000B33B9">
        <w:rPr>
          <w:rFonts w:ascii="Verdana" w:eastAsia="Calibri" w:hAnsi="Verdana" w:cs="Times New Roman"/>
          <w:sz w:val="18"/>
          <w:szCs w:val="18"/>
          <w:lang w:val="es-CR"/>
        </w:rPr>
        <w:t>iendo esto así la demanda de autos implicaría nivelar las pensiones de los asociados de la recurrente con las remuneraciones del personal de la SUNAT comprendido en el régimen laboral de la actividad privada, lo que iría en contra de lo señalado por este Tribunal en reiterada jurisprudencia, conforme a la cual ‘la nivelación a que tienen derecho todos los pensionistas del Régimen del Decreto Ley N° 20530</w:t>
      </w:r>
      <w:r w:rsidR="00275D73" w:rsidRPr="000B33B9">
        <w:rPr>
          <w:rFonts w:ascii="Verdana" w:eastAsia="Calibri" w:hAnsi="Verdana" w:cs="Times New Roman"/>
          <w:sz w:val="18"/>
          <w:szCs w:val="18"/>
          <w:lang w:val="es-CR"/>
        </w:rPr>
        <w:t>,</w:t>
      </w:r>
      <w:r w:rsidR="00B86B27" w:rsidRPr="000B33B9">
        <w:rPr>
          <w:rFonts w:ascii="Verdana" w:eastAsia="Calibri" w:hAnsi="Verdana" w:cs="Times New Roman"/>
          <w:sz w:val="18"/>
          <w:szCs w:val="18"/>
          <w:lang w:val="es-CR"/>
        </w:rPr>
        <w:t xml:space="preserve"> debe efectuarse con los haberes del funcionario o trabajador que se encuentre en actividad en el mismo nivel, categoría y régimen laboral que ocupó el pensionista al momento de su cese, siendo inaplicable la nivelación entre regímenes previsionales distintos, así como en relación a trabajadores que a la fecha se encuentran en régimen laboral de la actividad privada’ </w:t>
      </w:r>
      <w:r w:rsidR="00B86B27" w:rsidRPr="000B33B9">
        <w:rPr>
          <w:rFonts w:ascii="Verdana" w:eastAsia="Calibri" w:hAnsi="Verdana" w:cs="Times New Roman"/>
          <w:sz w:val="18"/>
          <w:szCs w:val="18"/>
          <w:lang w:val="es-CO"/>
        </w:rPr>
        <w:t>(…)”</w:t>
      </w:r>
      <w:r w:rsidR="00B86B27" w:rsidRPr="000B33B9">
        <w:rPr>
          <w:rFonts w:ascii="Verdana" w:hAnsi="Verdana"/>
          <w:sz w:val="18"/>
          <w:szCs w:val="18"/>
          <w:lang w:val="es-ES"/>
        </w:rPr>
        <w:t>.</w:t>
      </w:r>
    </w:p>
    <w:p w14:paraId="20CF7A26" w14:textId="77777777" w:rsidR="00B86B27" w:rsidRPr="000B33B9" w:rsidRDefault="00B86B27" w:rsidP="00B86B27">
      <w:pPr>
        <w:spacing w:after="0" w:line="240" w:lineRule="auto"/>
        <w:ind w:left="720" w:right="540"/>
        <w:jc w:val="both"/>
        <w:rPr>
          <w:rFonts w:ascii="Verdana" w:eastAsia="Calibri" w:hAnsi="Verdana" w:cs="Times New Roman"/>
          <w:sz w:val="20"/>
          <w:szCs w:val="20"/>
          <w:lang w:val="es-CR"/>
        </w:rPr>
      </w:pPr>
    </w:p>
    <w:p w14:paraId="528DB807" w14:textId="79045F15"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eastAsia="Calibri" w:hAnsi="Verdana" w:cs="Times New Roman"/>
          <w:sz w:val="20"/>
          <w:szCs w:val="20"/>
          <w:lang w:val="es-ES" w:eastAsia="es-ES"/>
        </w:rPr>
        <w:t xml:space="preserve">El 1 de septiembre de 2011, ANCEJUB-SUNAT presentó una solicitud de aclaración de la referida sentencia. El 22 de septiembre de 2011, el Tribunal Constitucional declaró improcedente dicha </w:t>
      </w:r>
      <w:r w:rsidR="00BF7B40" w:rsidRPr="000B33B9">
        <w:rPr>
          <w:rFonts w:ascii="Verdana" w:eastAsia="Calibri" w:hAnsi="Verdana" w:cs="Times New Roman"/>
          <w:sz w:val="20"/>
          <w:szCs w:val="20"/>
          <w:lang w:val="es-ES" w:eastAsia="es-ES"/>
        </w:rPr>
        <w:t>solicitud</w:t>
      </w:r>
      <w:r w:rsidRPr="000B33B9">
        <w:rPr>
          <w:rFonts w:ascii="Verdana" w:hAnsi="Verdana"/>
          <w:sz w:val="20"/>
          <w:szCs w:val="20"/>
          <w:vertAlign w:val="superscript"/>
          <w:lang w:val="es-ES" w:eastAsia="es-ES"/>
        </w:rPr>
        <w:footnoteReference w:id="118"/>
      </w:r>
      <w:r w:rsidRPr="000B33B9">
        <w:rPr>
          <w:rFonts w:ascii="Verdana" w:hAnsi="Verdana"/>
          <w:sz w:val="20"/>
          <w:szCs w:val="20"/>
          <w:lang w:val="es-ES"/>
        </w:rPr>
        <w:t>.</w:t>
      </w:r>
    </w:p>
    <w:p w14:paraId="21D9D589" w14:textId="77777777" w:rsidR="00B86B27" w:rsidRPr="000B33B9" w:rsidRDefault="00B86B27" w:rsidP="00B86B27">
      <w:pPr>
        <w:spacing w:after="0" w:line="240" w:lineRule="auto"/>
        <w:jc w:val="both"/>
        <w:rPr>
          <w:rFonts w:ascii="Verdana" w:eastAsia="Calibri" w:hAnsi="Verdana" w:cs="Times New Roman"/>
          <w:b/>
          <w:sz w:val="20"/>
          <w:szCs w:val="20"/>
          <w:lang w:val="es-ES" w:eastAsia="es-ES"/>
        </w:rPr>
      </w:pPr>
    </w:p>
    <w:p w14:paraId="3CE1BF50" w14:textId="24C87036" w:rsidR="00B86B27" w:rsidRPr="000B33B9" w:rsidRDefault="00F27910" w:rsidP="007B74AD">
      <w:pPr>
        <w:pStyle w:val="Ttulo2"/>
      </w:pPr>
      <w:bookmarkStart w:id="55" w:name="_Toc27329762"/>
      <w:r w:rsidRPr="000B33B9">
        <w:t>R</w:t>
      </w:r>
      <w:r w:rsidR="00B86B27" w:rsidRPr="000B33B9">
        <w:t xml:space="preserve">ecursos </w:t>
      </w:r>
      <w:r w:rsidRPr="000B33B9">
        <w:t>intentados</w:t>
      </w:r>
      <w:r w:rsidR="00B86B27" w:rsidRPr="000B33B9">
        <w:t xml:space="preserve"> por el señor Ipanaqué</w:t>
      </w:r>
      <w:bookmarkEnd w:id="55"/>
    </w:p>
    <w:p w14:paraId="3B753209" w14:textId="77777777" w:rsidR="00B86B27" w:rsidRPr="000B33B9" w:rsidRDefault="00B86B27" w:rsidP="00B86B27">
      <w:pPr>
        <w:tabs>
          <w:tab w:val="left" w:pos="3710"/>
        </w:tabs>
        <w:spacing w:after="0" w:line="240" w:lineRule="auto"/>
        <w:rPr>
          <w:rFonts w:ascii="Verdana" w:hAnsi="Verdana"/>
          <w:sz w:val="20"/>
          <w:szCs w:val="20"/>
          <w:lang w:val="es-DO"/>
        </w:rPr>
      </w:pPr>
    </w:p>
    <w:p w14:paraId="1A0D522C" w14:textId="0A11A606"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eastAsia="Calibri" w:hAnsi="Verdana" w:cs="Times New Roman"/>
          <w:sz w:val="20"/>
          <w:szCs w:val="20"/>
          <w:lang w:val="es-ES" w:eastAsia="es-ES"/>
        </w:rPr>
        <w:t xml:space="preserve">El 10 de marzo de 1999, el señor Rafael Ipanaqué Centeno (en </w:t>
      </w:r>
      <w:r w:rsidR="00DC4147" w:rsidRPr="000B33B9">
        <w:rPr>
          <w:rFonts w:ascii="Verdana" w:eastAsia="Calibri" w:hAnsi="Verdana" w:cs="Times New Roman"/>
          <w:sz w:val="20"/>
          <w:szCs w:val="20"/>
          <w:lang w:val="es-ES" w:eastAsia="es-ES"/>
        </w:rPr>
        <w:t>adelante “</w:t>
      </w:r>
      <w:r w:rsidRPr="000B33B9">
        <w:rPr>
          <w:rFonts w:ascii="Verdana" w:eastAsia="Calibri" w:hAnsi="Verdana" w:cs="Times New Roman"/>
          <w:sz w:val="20"/>
          <w:szCs w:val="20"/>
          <w:lang w:val="es-ES" w:eastAsia="es-ES"/>
        </w:rPr>
        <w:t>señor Ipanaqué”), integrante de ANCEJUB-SUNAT, presentó a título personal un recurso ante el Primer Juzgado Corporativo para que ordenara a la SUNAT cumplir con lo dispuesto por la sentencia</w:t>
      </w:r>
      <w:r w:rsidR="00275D73" w:rsidRPr="000B33B9">
        <w:rPr>
          <w:rFonts w:ascii="Verdana" w:eastAsia="Calibri" w:hAnsi="Verdana" w:cs="Times New Roman"/>
          <w:sz w:val="20"/>
          <w:szCs w:val="20"/>
          <w:lang w:val="es-ES" w:eastAsia="es-ES"/>
        </w:rPr>
        <w:t xml:space="preserve"> de la Corte Suprema</w:t>
      </w:r>
      <w:r w:rsidRPr="000B33B9">
        <w:rPr>
          <w:rFonts w:ascii="Verdana" w:eastAsia="Calibri" w:hAnsi="Verdana" w:cs="Times New Roman"/>
          <w:sz w:val="20"/>
          <w:szCs w:val="20"/>
          <w:lang w:val="es-ES" w:eastAsia="es-ES"/>
        </w:rPr>
        <w:t xml:space="preserve"> de 25 de octubre de 1993</w:t>
      </w:r>
      <w:r w:rsidRPr="000B33B9">
        <w:rPr>
          <w:rFonts w:ascii="Verdana" w:hAnsi="Verdana"/>
          <w:sz w:val="20"/>
          <w:szCs w:val="20"/>
          <w:vertAlign w:val="superscript"/>
          <w:lang w:val="es-ES" w:eastAsia="es-ES"/>
        </w:rPr>
        <w:footnoteReference w:id="119"/>
      </w:r>
      <w:r w:rsidRPr="000B33B9">
        <w:rPr>
          <w:rFonts w:ascii="Verdana" w:hAnsi="Verdana"/>
          <w:sz w:val="20"/>
          <w:szCs w:val="20"/>
          <w:lang w:val="es-ES"/>
        </w:rPr>
        <w:t>.</w:t>
      </w:r>
      <w:r w:rsidR="00DC4147" w:rsidRPr="000B33B9">
        <w:rPr>
          <w:rFonts w:ascii="Verdana" w:hAnsi="Verdana"/>
          <w:sz w:val="20"/>
          <w:szCs w:val="20"/>
          <w:lang w:val="es-ES"/>
        </w:rPr>
        <w:t xml:space="preserve"> </w:t>
      </w:r>
      <w:r w:rsidRPr="000B33B9">
        <w:rPr>
          <w:rFonts w:ascii="Verdana" w:hAnsi="Verdana"/>
          <w:sz w:val="20"/>
          <w:szCs w:val="20"/>
          <w:lang w:val="es-ES"/>
        </w:rPr>
        <w:t>De modo concomitante y en la misma fecha, el señor Ipanaqué solicitó directamente a la SUNAT que diera cumplimiento a la sentencia</w:t>
      </w:r>
      <w:r w:rsidRPr="000B33B9">
        <w:rPr>
          <w:rStyle w:val="Refdenotaalpie"/>
          <w:rFonts w:ascii="Verdana" w:hAnsi="Verdana"/>
          <w:sz w:val="20"/>
          <w:szCs w:val="20"/>
          <w:lang w:val="es-ES"/>
        </w:rPr>
        <w:footnoteReference w:id="120"/>
      </w:r>
      <w:r w:rsidRPr="000B33B9">
        <w:rPr>
          <w:rFonts w:ascii="Verdana" w:hAnsi="Verdana"/>
          <w:sz w:val="20"/>
          <w:szCs w:val="20"/>
          <w:lang w:val="es-ES"/>
        </w:rPr>
        <w:t xml:space="preserve">. </w:t>
      </w:r>
      <w:r w:rsidRPr="000B33B9">
        <w:rPr>
          <w:rFonts w:ascii="Verdana" w:eastAsia="Calibri" w:hAnsi="Verdana" w:cs="Times New Roman"/>
          <w:sz w:val="20"/>
          <w:szCs w:val="20"/>
          <w:lang w:val="es-ES" w:eastAsia="es-ES"/>
        </w:rPr>
        <w:t>El 16 de marzo de 1999, el señor Ipanaqué remitió una comunicación al Superintendente Nacional de Administración Tributaria mediante la cual reiteró la solicitud anterior, requiriéndole además que agilizara su expediente</w:t>
      </w:r>
      <w:r w:rsidRPr="000B33B9">
        <w:rPr>
          <w:rStyle w:val="Refdenotaalpie"/>
          <w:rFonts w:ascii="Verdana" w:eastAsia="Calibri" w:hAnsi="Verdana" w:cs="Times New Roman"/>
          <w:sz w:val="20"/>
          <w:szCs w:val="20"/>
          <w:lang w:val="es-ES" w:eastAsia="es-ES"/>
        </w:rPr>
        <w:footnoteReference w:id="121"/>
      </w:r>
      <w:r w:rsidRPr="000B33B9">
        <w:rPr>
          <w:rFonts w:ascii="Verdana" w:eastAsia="Calibri" w:hAnsi="Verdana" w:cs="Times New Roman"/>
          <w:sz w:val="20"/>
          <w:szCs w:val="20"/>
          <w:lang w:val="es-ES" w:eastAsia="es-ES"/>
        </w:rPr>
        <w:t xml:space="preserve">. En la misma fecha, </w:t>
      </w:r>
      <w:r w:rsidRPr="000B33B9">
        <w:rPr>
          <w:rFonts w:ascii="Verdana" w:eastAsia="Calibri" w:hAnsi="Verdana" w:cs="Arial"/>
          <w:sz w:val="20"/>
          <w:szCs w:val="20"/>
          <w:lang w:val="es-DO" w:eastAsia="ko-KR"/>
        </w:rPr>
        <w:t xml:space="preserve">solicitó al </w:t>
      </w:r>
      <w:r w:rsidRPr="000B33B9">
        <w:rPr>
          <w:rFonts w:ascii="Verdana" w:eastAsia="Calibri" w:hAnsi="Verdana" w:cs="Times New Roman"/>
          <w:sz w:val="20"/>
          <w:szCs w:val="20"/>
          <w:lang w:val="es-ES" w:eastAsia="es-ES"/>
        </w:rPr>
        <w:t>Primer Juzgado Corporativo que oficiara a la SUNAT para que esta cumpliera con liquidar sus pensiones niveladas y reintegros</w:t>
      </w:r>
      <w:r w:rsidRPr="000B33B9">
        <w:rPr>
          <w:rStyle w:val="Refdenotaalpie"/>
          <w:rFonts w:ascii="Verdana" w:eastAsia="Calibri" w:hAnsi="Verdana" w:cs="Times New Roman"/>
          <w:sz w:val="20"/>
          <w:szCs w:val="20"/>
          <w:lang w:val="es-ES" w:eastAsia="es-ES"/>
        </w:rPr>
        <w:footnoteReference w:id="122"/>
      </w:r>
      <w:r w:rsidRPr="000B33B9">
        <w:rPr>
          <w:rFonts w:ascii="Verdana" w:eastAsia="Calibri" w:hAnsi="Verdana" w:cs="Times New Roman"/>
          <w:sz w:val="20"/>
          <w:szCs w:val="20"/>
          <w:lang w:val="es-ES" w:eastAsia="es-ES"/>
        </w:rPr>
        <w:t>. El 29 de marzo de 1999, el señor Ipanaqué plasmó en una carta notarial su solicitud de cumplimiento a la SUNAT, que fue recibida por dicha institución el 5 de abril de 1999</w:t>
      </w:r>
      <w:r w:rsidRPr="000B33B9">
        <w:rPr>
          <w:rStyle w:val="Refdenotaalpie"/>
          <w:rFonts w:ascii="Verdana" w:eastAsia="Calibri" w:hAnsi="Verdana" w:cs="Times New Roman"/>
          <w:sz w:val="20"/>
          <w:szCs w:val="20"/>
          <w:lang w:val="es-ES" w:eastAsia="es-ES"/>
        </w:rPr>
        <w:footnoteReference w:id="123"/>
      </w:r>
      <w:r w:rsidRPr="000B33B9">
        <w:rPr>
          <w:rFonts w:ascii="Verdana" w:eastAsia="Calibri" w:hAnsi="Verdana" w:cs="Times New Roman"/>
          <w:sz w:val="20"/>
          <w:szCs w:val="20"/>
          <w:lang w:val="es-ES" w:eastAsia="es-ES"/>
        </w:rPr>
        <w:t>.</w:t>
      </w:r>
    </w:p>
    <w:p w14:paraId="0C161FBB" w14:textId="77777777" w:rsidR="00B86B27" w:rsidRPr="000B33B9" w:rsidRDefault="00B86B27" w:rsidP="00B86B27">
      <w:pPr>
        <w:pStyle w:val="Prrafodelista"/>
        <w:spacing w:after="0" w:line="240" w:lineRule="auto"/>
        <w:ind w:left="0"/>
        <w:jc w:val="both"/>
        <w:rPr>
          <w:rFonts w:ascii="Verdana" w:hAnsi="Verdana"/>
          <w:sz w:val="20"/>
          <w:szCs w:val="20"/>
          <w:lang w:val="es-ES"/>
        </w:rPr>
      </w:pPr>
    </w:p>
    <w:p w14:paraId="47CBEFD2" w14:textId="601F7FD8"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eastAsia="Calibri" w:hAnsi="Verdana" w:cs="Times New Roman"/>
          <w:sz w:val="20"/>
          <w:szCs w:val="20"/>
          <w:lang w:val="es-ES" w:eastAsia="es-ES"/>
        </w:rPr>
        <w:t xml:space="preserve">El 30 de marzo de 1999, el Primer Juzgado Corporativo ordenó a la SUNAT que cumpliera cabalmente con la sentencia, en el plazo de </w:t>
      </w:r>
      <w:r w:rsidR="00057F15" w:rsidRPr="000B33B9">
        <w:rPr>
          <w:rFonts w:ascii="Verdana" w:eastAsia="Calibri" w:hAnsi="Verdana" w:cs="Times New Roman"/>
          <w:sz w:val="20"/>
          <w:szCs w:val="20"/>
          <w:lang w:val="es-ES" w:eastAsia="es-ES"/>
        </w:rPr>
        <w:t>10</w:t>
      </w:r>
      <w:r w:rsidRPr="000B33B9">
        <w:rPr>
          <w:rFonts w:ascii="Verdana" w:eastAsia="Calibri" w:hAnsi="Verdana" w:cs="Times New Roman"/>
          <w:sz w:val="20"/>
          <w:szCs w:val="20"/>
          <w:lang w:val="es-ES" w:eastAsia="es-ES"/>
        </w:rPr>
        <w:t xml:space="preserve"> días</w:t>
      </w:r>
      <w:r w:rsidRPr="000B33B9">
        <w:rPr>
          <w:rStyle w:val="Refdenotaalpie"/>
          <w:rFonts w:ascii="Verdana" w:eastAsia="Calibri" w:hAnsi="Verdana" w:cs="Times New Roman"/>
          <w:sz w:val="20"/>
          <w:szCs w:val="20"/>
          <w:lang w:val="es-ES" w:eastAsia="es-ES"/>
        </w:rPr>
        <w:footnoteReference w:id="124"/>
      </w:r>
      <w:r w:rsidRPr="000B33B9">
        <w:rPr>
          <w:rFonts w:ascii="Verdana" w:eastAsia="Calibri" w:hAnsi="Verdana" w:cs="Times New Roman"/>
          <w:sz w:val="20"/>
          <w:szCs w:val="20"/>
          <w:lang w:val="es-ES" w:eastAsia="es-ES"/>
        </w:rPr>
        <w:t>. El 5 de abril de 1999, la SUNAT contestó los requerimientos del señor Ipanaqué alegando que este debía presentar la solicitud ante “</w:t>
      </w:r>
      <w:r w:rsidR="0015446E"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la autoridad administrativa que mantenga su acervo documental, los cuales se encuentran en poder del Ministerio de Economía y Finanzas o en la Oficina de Normalización Previsional”</w:t>
      </w:r>
      <w:r w:rsidRPr="000B33B9">
        <w:rPr>
          <w:rStyle w:val="Refdenotaalpie"/>
          <w:rFonts w:ascii="Verdana" w:eastAsia="Calibri" w:hAnsi="Verdana" w:cs="Times New Roman"/>
          <w:sz w:val="20"/>
          <w:szCs w:val="20"/>
          <w:lang w:val="es-ES" w:eastAsia="es-ES"/>
        </w:rPr>
        <w:footnoteReference w:id="125"/>
      </w:r>
      <w:r w:rsidRPr="000B33B9">
        <w:rPr>
          <w:rFonts w:ascii="Verdana" w:eastAsia="Calibri" w:hAnsi="Verdana" w:cs="Times New Roman"/>
          <w:sz w:val="20"/>
          <w:szCs w:val="20"/>
          <w:lang w:val="es-ES" w:eastAsia="es-ES"/>
        </w:rPr>
        <w:t>. El 12 de abril de 1999, el señor Ipanaqué respondió a la SUNAT que su carta del 5 de abril era “ilegal e inaplicable”, por lo que le solicitó que la dejara sin efecto y en cambio cumpliera con lo dispuesto el 30 de marzo por el Primer Juzgado Corporativo</w:t>
      </w:r>
      <w:r w:rsidRPr="000B33B9">
        <w:rPr>
          <w:rStyle w:val="Refdenotaalpie"/>
          <w:rFonts w:ascii="Verdana" w:eastAsia="Calibri" w:hAnsi="Verdana" w:cs="Times New Roman"/>
          <w:sz w:val="20"/>
          <w:szCs w:val="20"/>
          <w:lang w:val="es-ES" w:eastAsia="es-ES"/>
        </w:rPr>
        <w:footnoteReference w:id="126"/>
      </w:r>
      <w:r w:rsidRPr="000B33B9">
        <w:rPr>
          <w:rFonts w:ascii="Verdana" w:hAnsi="Verdana"/>
          <w:sz w:val="20"/>
          <w:szCs w:val="20"/>
          <w:lang w:val="es-ES"/>
        </w:rPr>
        <w:t>.</w:t>
      </w:r>
    </w:p>
    <w:p w14:paraId="75BC2F8A" w14:textId="77777777" w:rsidR="00B86B27" w:rsidRPr="000B33B9" w:rsidRDefault="00B86B27" w:rsidP="00B86B27">
      <w:pPr>
        <w:pStyle w:val="Prrafodelista"/>
        <w:spacing w:after="0" w:line="240" w:lineRule="auto"/>
        <w:ind w:left="0"/>
        <w:jc w:val="both"/>
        <w:rPr>
          <w:rFonts w:ascii="Verdana" w:hAnsi="Verdana"/>
          <w:sz w:val="20"/>
          <w:szCs w:val="20"/>
          <w:lang w:val="es-ES"/>
        </w:rPr>
      </w:pPr>
    </w:p>
    <w:p w14:paraId="4F78C2AF" w14:textId="2B09CD32"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eastAsia="Calibri" w:hAnsi="Verdana" w:cs="Times New Roman"/>
          <w:sz w:val="20"/>
          <w:szCs w:val="20"/>
          <w:lang w:val="es-ES" w:eastAsia="es-ES"/>
        </w:rPr>
        <w:t>El 26 de abril de 1999, el señor Ipanaqué dirigió otra comunicación a la SUNAT para exigirle “por quinta vez” que ejecutara la sentencia de 25 de octubre de 1993 y las posteriores resoluciones que la confirmaron</w:t>
      </w:r>
      <w:r w:rsidRPr="000B33B9">
        <w:rPr>
          <w:rStyle w:val="Refdenotaalpie"/>
          <w:rFonts w:ascii="Verdana" w:eastAsia="Calibri" w:hAnsi="Verdana" w:cs="Times New Roman"/>
          <w:sz w:val="20"/>
          <w:szCs w:val="20"/>
          <w:lang w:val="es-ES" w:eastAsia="es-ES"/>
        </w:rPr>
        <w:footnoteReference w:id="127"/>
      </w:r>
      <w:r w:rsidRPr="000B33B9">
        <w:rPr>
          <w:rFonts w:ascii="Verdana" w:hAnsi="Verdana"/>
          <w:sz w:val="20"/>
          <w:szCs w:val="20"/>
          <w:lang w:val="es-ES"/>
        </w:rPr>
        <w:t>.</w:t>
      </w:r>
      <w:r w:rsidR="00057F15" w:rsidRPr="000B33B9">
        <w:rPr>
          <w:rFonts w:ascii="Verdana" w:hAnsi="Verdana"/>
          <w:sz w:val="20"/>
          <w:szCs w:val="20"/>
          <w:lang w:val="es-ES"/>
        </w:rPr>
        <w:t xml:space="preserve"> </w:t>
      </w:r>
      <w:r w:rsidRPr="000B33B9">
        <w:rPr>
          <w:rFonts w:ascii="Verdana" w:hAnsi="Verdana"/>
          <w:sz w:val="20"/>
          <w:szCs w:val="20"/>
          <w:lang w:val="es-ES"/>
        </w:rPr>
        <w:t xml:space="preserve">El mismo día, el señor Ipanaqué solicitó nuevamente al </w:t>
      </w:r>
      <w:r w:rsidRPr="000B33B9">
        <w:rPr>
          <w:rFonts w:ascii="Verdana" w:eastAsia="Calibri" w:hAnsi="Verdana" w:cs="Times New Roman"/>
          <w:sz w:val="20"/>
          <w:szCs w:val="20"/>
          <w:lang w:val="es-ES" w:eastAsia="es-ES"/>
        </w:rPr>
        <w:t>Primer Juzgado Corporativo que ordenara a la SUNAT cumplir con la resolución de 30 de marzo de 1999 “</w:t>
      </w:r>
      <w:r w:rsidR="00275D73"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bajo apercibimiento de ejercitarse la acción penal pertinente”</w:t>
      </w:r>
      <w:r w:rsidRPr="000B33B9">
        <w:rPr>
          <w:rStyle w:val="Refdenotaalpie"/>
          <w:rFonts w:ascii="Verdana" w:eastAsia="Calibri" w:hAnsi="Verdana" w:cs="Times New Roman"/>
          <w:sz w:val="20"/>
          <w:szCs w:val="20"/>
          <w:lang w:val="es-ES" w:eastAsia="es-ES"/>
        </w:rPr>
        <w:footnoteReference w:id="128"/>
      </w:r>
      <w:r w:rsidRPr="000B33B9">
        <w:rPr>
          <w:rFonts w:ascii="Verdana" w:eastAsia="Calibri" w:hAnsi="Verdana" w:cs="Times New Roman"/>
          <w:sz w:val="20"/>
          <w:szCs w:val="20"/>
          <w:lang w:val="es-ES" w:eastAsia="es-ES"/>
        </w:rPr>
        <w:t xml:space="preserve">. </w:t>
      </w:r>
      <w:r w:rsidRPr="000B33B9">
        <w:rPr>
          <w:rFonts w:ascii="Verdana" w:hAnsi="Verdana"/>
          <w:sz w:val="20"/>
          <w:szCs w:val="20"/>
          <w:lang w:val="es-ES"/>
        </w:rPr>
        <w:t xml:space="preserve">El 29 de abril de 1999, el </w:t>
      </w:r>
      <w:r w:rsidRPr="000B33B9">
        <w:rPr>
          <w:rFonts w:ascii="Verdana" w:eastAsia="Calibri" w:hAnsi="Verdana" w:cs="Times New Roman"/>
          <w:sz w:val="20"/>
          <w:szCs w:val="20"/>
          <w:lang w:val="es-ES" w:eastAsia="es-ES"/>
        </w:rPr>
        <w:t>Primer Juzgado Corporativo anuló la resolución de 30 marzo de 1999, declaró “</w:t>
      </w:r>
      <w:r w:rsidR="0015446E"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insubsis</w:t>
      </w:r>
      <w:r w:rsidR="00B029D3" w:rsidRPr="000B33B9">
        <w:rPr>
          <w:rFonts w:ascii="Verdana" w:eastAsia="Calibri" w:hAnsi="Verdana" w:cs="Times New Roman"/>
          <w:sz w:val="20"/>
          <w:szCs w:val="20"/>
          <w:lang w:val="es-ES" w:eastAsia="es-ES"/>
        </w:rPr>
        <w:t>tente todo lo actuado respecto de</w:t>
      </w:r>
      <w:r w:rsidRPr="000B33B9">
        <w:rPr>
          <w:rFonts w:ascii="Verdana" w:eastAsia="Calibri" w:hAnsi="Verdana" w:cs="Times New Roman"/>
          <w:sz w:val="20"/>
          <w:szCs w:val="20"/>
          <w:lang w:val="es-ES" w:eastAsia="es-ES"/>
        </w:rPr>
        <w:t xml:space="preserve"> la intervención de don Rafael Ipanaqué Centeno”</w:t>
      </w:r>
      <w:r w:rsidR="0015446E" w:rsidRPr="000B33B9">
        <w:rPr>
          <w:rFonts w:ascii="Verdana" w:hAnsi="Verdana"/>
          <w:sz w:val="20"/>
          <w:szCs w:val="20"/>
          <w:vertAlign w:val="superscript"/>
          <w:lang w:val="es-ES" w:eastAsia="es-ES"/>
        </w:rPr>
        <w:footnoteReference w:id="129"/>
      </w:r>
      <w:r w:rsidRPr="000B33B9">
        <w:rPr>
          <w:rFonts w:ascii="Verdana" w:eastAsia="Calibri" w:hAnsi="Verdana" w:cs="Times New Roman"/>
          <w:sz w:val="20"/>
          <w:szCs w:val="20"/>
          <w:lang w:val="es-ES" w:eastAsia="es-ES"/>
        </w:rPr>
        <w:t xml:space="preserve"> y consideró lo siguiente:</w:t>
      </w:r>
    </w:p>
    <w:p w14:paraId="66D18FA9" w14:textId="77777777" w:rsidR="00B86B27" w:rsidRPr="000B33B9" w:rsidRDefault="00B86B27" w:rsidP="00B86B27">
      <w:pPr>
        <w:spacing w:after="0" w:line="240" w:lineRule="auto"/>
        <w:jc w:val="both"/>
        <w:rPr>
          <w:rFonts w:ascii="Verdana" w:eastAsia="Calibri" w:hAnsi="Verdana" w:cs="Times New Roman"/>
          <w:sz w:val="20"/>
          <w:szCs w:val="20"/>
          <w:lang w:val="es-ES" w:eastAsia="es-ES"/>
        </w:rPr>
      </w:pPr>
    </w:p>
    <w:p w14:paraId="1081294E" w14:textId="5979404A" w:rsidR="00B86B27" w:rsidRPr="000B33B9" w:rsidRDefault="00B86B27" w:rsidP="00B86B27">
      <w:pPr>
        <w:spacing w:after="0" w:line="240" w:lineRule="auto"/>
        <w:ind w:left="706" w:right="1094"/>
        <w:jc w:val="both"/>
        <w:rPr>
          <w:rFonts w:ascii="Verdana" w:eastAsia="Calibri" w:hAnsi="Verdana" w:cs="Times New Roman"/>
          <w:sz w:val="18"/>
          <w:szCs w:val="18"/>
          <w:lang w:val="es-ES" w:eastAsia="es-ES"/>
        </w:rPr>
      </w:pPr>
      <w:r w:rsidRPr="000B33B9">
        <w:rPr>
          <w:rFonts w:ascii="Verdana" w:eastAsia="Calibri" w:hAnsi="Verdana" w:cs="Times New Roman"/>
          <w:sz w:val="18"/>
          <w:szCs w:val="18"/>
          <w:lang w:val="es-ES" w:eastAsia="es-ES"/>
        </w:rPr>
        <w:t xml:space="preserve">“(...) </w:t>
      </w:r>
      <w:r w:rsidR="00B029D3" w:rsidRPr="000B33B9">
        <w:rPr>
          <w:rFonts w:ascii="Verdana" w:eastAsia="Calibri" w:hAnsi="Verdana" w:cs="Times New Roman"/>
          <w:sz w:val="18"/>
          <w:szCs w:val="18"/>
          <w:lang w:val="es-ES" w:eastAsia="es-ES"/>
        </w:rPr>
        <w:t>[</w:t>
      </w:r>
      <w:r w:rsidRPr="000B33B9">
        <w:rPr>
          <w:rFonts w:ascii="Verdana" w:eastAsia="Calibri" w:hAnsi="Verdana" w:cs="Times New Roman"/>
          <w:sz w:val="18"/>
          <w:szCs w:val="18"/>
          <w:lang w:val="es-ES" w:eastAsia="es-ES"/>
        </w:rPr>
        <w:t>S</w:t>
      </w:r>
      <w:r w:rsidR="00B029D3" w:rsidRPr="000B33B9">
        <w:rPr>
          <w:rFonts w:ascii="Verdana" w:eastAsia="Calibri" w:hAnsi="Verdana" w:cs="Times New Roman"/>
          <w:sz w:val="18"/>
          <w:szCs w:val="18"/>
          <w:lang w:val="es-ES" w:eastAsia="es-ES"/>
        </w:rPr>
        <w:t>]i bien es cierto</w:t>
      </w:r>
      <w:r w:rsidRPr="000B33B9">
        <w:rPr>
          <w:rFonts w:ascii="Verdana" w:eastAsia="Calibri" w:hAnsi="Verdana" w:cs="Times New Roman"/>
          <w:sz w:val="18"/>
          <w:szCs w:val="18"/>
          <w:lang w:val="es-ES" w:eastAsia="es-ES"/>
        </w:rPr>
        <w:t xml:space="preserve"> don Rafael Ipanaqué Centeno es socio integrante de la Asociación Nacional de Cesantes de la SUNAT, no ha acreditado la existencia de intereses para litigar por separado, tanto más si se tiene en cuenta que de apersonarse los numerosos miembros de la referida asociación, harían sumam</w:t>
      </w:r>
      <w:r w:rsidR="00B029D3" w:rsidRPr="000B33B9">
        <w:rPr>
          <w:rFonts w:ascii="Verdana" w:eastAsia="Calibri" w:hAnsi="Verdana" w:cs="Times New Roman"/>
          <w:sz w:val="18"/>
          <w:szCs w:val="18"/>
          <w:lang w:val="es-ES" w:eastAsia="es-ES"/>
        </w:rPr>
        <w:t>ente engorroso el trámite (...) [p]</w:t>
      </w:r>
      <w:r w:rsidRPr="000B33B9">
        <w:rPr>
          <w:rFonts w:ascii="Verdana" w:eastAsia="Calibri" w:hAnsi="Verdana" w:cs="Times New Roman"/>
          <w:sz w:val="18"/>
          <w:szCs w:val="18"/>
          <w:lang w:val="es-ES" w:eastAsia="es-ES"/>
        </w:rPr>
        <w:t>or resolución de [2] de octubre del año (...) pasado claramente se ha precisado que los demandantes con el antecedente jurisdiccional que constituye cosa juzgada, instauren individualmente el pertinente trámite administrativo y/o jurisdiccional en su caso, dirigiéndose ante la entidad que conserva el acervo documentario de sus pensiones y no en el present</w:t>
      </w:r>
      <w:r w:rsidR="00B029D3" w:rsidRPr="000B33B9">
        <w:rPr>
          <w:rFonts w:ascii="Verdana" w:eastAsia="Calibri" w:hAnsi="Verdana" w:cs="Times New Roman"/>
          <w:sz w:val="18"/>
          <w:szCs w:val="18"/>
          <w:lang w:val="es-ES" w:eastAsia="es-ES"/>
        </w:rPr>
        <w:t>e proceso que carece del mismo”</w:t>
      </w:r>
      <w:r w:rsidRPr="000B33B9">
        <w:rPr>
          <w:rFonts w:ascii="Verdana" w:hAnsi="Verdana"/>
          <w:sz w:val="18"/>
          <w:szCs w:val="18"/>
          <w:lang w:val="es-ES"/>
        </w:rPr>
        <w:t>.</w:t>
      </w:r>
    </w:p>
    <w:p w14:paraId="461A3FD2" w14:textId="77777777" w:rsidR="00B86B27" w:rsidRPr="000B33B9" w:rsidRDefault="00B86B27" w:rsidP="00B86B27">
      <w:pPr>
        <w:spacing w:after="0" w:line="240" w:lineRule="auto"/>
        <w:jc w:val="both"/>
        <w:rPr>
          <w:rFonts w:ascii="Verdana" w:hAnsi="Verdana"/>
          <w:sz w:val="20"/>
          <w:szCs w:val="20"/>
          <w:lang w:val="es-ES"/>
        </w:rPr>
      </w:pPr>
    </w:p>
    <w:p w14:paraId="780F34C0" w14:textId="2078491B"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ES"/>
        </w:rPr>
        <w:t xml:space="preserve">El señor </w:t>
      </w:r>
      <w:r w:rsidR="00313979" w:rsidRPr="000B33B9">
        <w:rPr>
          <w:rFonts w:ascii="Verdana" w:hAnsi="Verdana"/>
          <w:sz w:val="20"/>
          <w:szCs w:val="20"/>
          <w:lang w:val="es-ES"/>
        </w:rPr>
        <w:t>Ipanaqué</w:t>
      </w:r>
      <w:r w:rsidRPr="000B33B9">
        <w:rPr>
          <w:rFonts w:ascii="Verdana" w:hAnsi="Verdana"/>
          <w:sz w:val="20"/>
          <w:szCs w:val="20"/>
          <w:lang w:val="es-ES"/>
        </w:rPr>
        <w:t xml:space="preserve"> apeló la resolución de 29 de abril de 1999, bajo el alegato de que “</w:t>
      </w:r>
      <w:r w:rsidR="00B029D3" w:rsidRPr="000B33B9">
        <w:rPr>
          <w:rFonts w:ascii="Verdana" w:hAnsi="Verdana"/>
          <w:sz w:val="20"/>
          <w:szCs w:val="20"/>
          <w:lang w:val="es-ES"/>
        </w:rPr>
        <w:t>(…) [</w:t>
      </w:r>
      <w:r w:rsidRPr="000B33B9">
        <w:rPr>
          <w:rFonts w:ascii="Verdana" w:hAnsi="Verdana"/>
          <w:sz w:val="20"/>
          <w:szCs w:val="20"/>
          <w:lang w:val="es-ES"/>
        </w:rPr>
        <w:t>l</w:t>
      </w:r>
      <w:r w:rsidR="00B029D3" w:rsidRPr="000B33B9">
        <w:rPr>
          <w:rFonts w:ascii="Verdana" w:hAnsi="Verdana"/>
          <w:sz w:val="20"/>
          <w:szCs w:val="20"/>
          <w:lang w:val="es-ES"/>
        </w:rPr>
        <w:t>]</w:t>
      </w:r>
      <w:r w:rsidRPr="000B33B9">
        <w:rPr>
          <w:rFonts w:ascii="Verdana" w:hAnsi="Verdana"/>
          <w:sz w:val="20"/>
          <w:szCs w:val="20"/>
          <w:lang w:val="es-ES"/>
        </w:rPr>
        <w:t>os jueces no tiene</w:t>
      </w:r>
      <w:r w:rsidRPr="000B33B9">
        <w:rPr>
          <w:rFonts w:ascii="Verdana" w:eastAsia="Calibri" w:hAnsi="Verdana" w:cs="Times New Roman"/>
          <w:sz w:val="20"/>
          <w:szCs w:val="20"/>
          <w:lang w:val="es-ES" w:eastAsia="es-ES"/>
        </w:rPr>
        <w:t xml:space="preserve">[n] </w:t>
      </w:r>
      <w:r w:rsidRPr="000B33B9">
        <w:rPr>
          <w:rFonts w:ascii="Verdana" w:hAnsi="Verdana"/>
          <w:sz w:val="20"/>
          <w:szCs w:val="20"/>
          <w:lang w:val="es-ES"/>
        </w:rPr>
        <w:t>facultad para anular sus propias resoluciones”</w:t>
      </w:r>
      <w:r w:rsidR="0015446E" w:rsidRPr="000B33B9">
        <w:rPr>
          <w:rStyle w:val="Refdenotaalpie"/>
          <w:rFonts w:ascii="Verdana" w:hAnsi="Verdana"/>
          <w:sz w:val="20"/>
          <w:szCs w:val="20"/>
          <w:lang w:val="es-ES"/>
        </w:rPr>
        <w:t xml:space="preserve"> </w:t>
      </w:r>
      <w:r w:rsidR="0015446E" w:rsidRPr="000B33B9">
        <w:rPr>
          <w:rStyle w:val="Refdenotaalpie"/>
          <w:rFonts w:ascii="Verdana" w:hAnsi="Verdana"/>
          <w:sz w:val="20"/>
          <w:szCs w:val="20"/>
          <w:lang w:val="es-ES"/>
        </w:rPr>
        <w:footnoteReference w:id="130"/>
      </w:r>
      <w:r w:rsidRPr="000B33B9">
        <w:rPr>
          <w:rFonts w:ascii="Verdana" w:hAnsi="Verdana"/>
          <w:sz w:val="20"/>
          <w:szCs w:val="20"/>
          <w:lang w:val="es-ES"/>
        </w:rPr>
        <w:t>. El 17 de mayo y 1 de junio de 1999, el señor Ipanaqué requirió nuevamente a la SUNAT la nivelación de su pensión y el abono de “los reintegros dejados de percibir”, so pena de interponer “las acciones legales pertinente</w:t>
      </w:r>
      <w:r w:rsidR="00B029D3" w:rsidRPr="000B33B9">
        <w:rPr>
          <w:rFonts w:ascii="Verdana" w:hAnsi="Verdana"/>
          <w:sz w:val="20"/>
          <w:szCs w:val="20"/>
          <w:lang w:val="es-ES"/>
        </w:rPr>
        <w:t>[</w:t>
      </w:r>
      <w:r w:rsidRPr="000B33B9">
        <w:rPr>
          <w:rFonts w:ascii="Verdana" w:hAnsi="Verdana"/>
          <w:sz w:val="20"/>
          <w:szCs w:val="20"/>
          <w:lang w:val="es-ES"/>
        </w:rPr>
        <w:t>s</w:t>
      </w:r>
      <w:r w:rsidR="00B029D3" w:rsidRPr="000B33B9">
        <w:rPr>
          <w:rFonts w:ascii="Verdana" w:hAnsi="Verdana"/>
          <w:sz w:val="20"/>
          <w:szCs w:val="20"/>
          <w:lang w:val="es-ES"/>
        </w:rPr>
        <w:t>]</w:t>
      </w:r>
      <w:r w:rsidRPr="000B33B9">
        <w:rPr>
          <w:rFonts w:ascii="Verdana" w:hAnsi="Verdana"/>
          <w:sz w:val="20"/>
          <w:szCs w:val="20"/>
          <w:lang w:val="es-ES"/>
        </w:rPr>
        <w:t>”</w:t>
      </w:r>
      <w:r w:rsidRPr="000B33B9">
        <w:rPr>
          <w:rStyle w:val="Refdenotaalpie"/>
          <w:rFonts w:ascii="Verdana" w:hAnsi="Verdana"/>
          <w:sz w:val="20"/>
          <w:szCs w:val="20"/>
          <w:lang w:val="es-ES"/>
        </w:rPr>
        <w:footnoteReference w:id="131"/>
      </w:r>
      <w:r w:rsidRPr="000B33B9">
        <w:rPr>
          <w:rFonts w:ascii="Verdana" w:hAnsi="Verdana"/>
          <w:sz w:val="20"/>
          <w:szCs w:val="20"/>
          <w:lang w:val="es-ES"/>
        </w:rPr>
        <w:t>. El 14 de junio de 1999, el señor Ipanaqué depositó un escrito ante la Sala Corporativa, por medio del cual ratificó los motivos de su recurso de apelación contra la resolución de 29 de abril de 1999</w:t>
      </w:r>
      <w:r w:rsidRPr="000B33B9">
        <w:rPr>
          <w:rStyle w:val="Refdenotaalpie"/>
          <w:rFonts w:ascii="Verdana" w:hAnsi="Verdana"/>
          <w:sz w:val="20"/>
          <w:szCs w:val="20"/>
          <w:lang w:val="es-ES"/>
        </w:rPr>
        <w:footnoteReference w:id="132"/>
      </w:r>
      <w:r w:rsidRPr="000B33B9">
        <w:rPr>
          <w:rFonts w:ascii="Verdana" w:hAnsi="Verdana"/>
          <w:sz w:val="20"/>
          <w:szCs w:val="20"/>
          <w:lang w:val="es-ES"/>
        </w:rPr>
        <w:t>.</w:t>
      </w:r>
    </w:p>
    <w:p w14:paraId="7A67A54E" w14:textId="77777777" w:rsidR="00B86B27" w:rsidRPr="000B33B9" w:rsidRDefault="00B86B27" w:rsidP="00B86B27">
      <w:pPr>
        <w:pStyle w:val="Prrafodelista"/>
        <w:spacing w:after="0" w:line="240" w:lineRule="auto"/>
        <w:ind w:left="0"/>
        <w:jc w:val="both"/>
        <w:rPr>
          <w:rFonts w:ascii="Verdana" w:hAnsi="Verdana"/>
          <w:sz w:val="20"/>
          <w:szCs w:val="20"/>
          <w:lang w:val="es-ES"/>
        </w:rPr>
      </w:pPr>
    </w:p>
    <w:p w14:paraId="753D8F67" w14:textId="38D419B6"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ES"/>
        </w:rPr>
        <w:t>El 23 de junio de 1999, la SUNAT respondió al señor Ipanaqué que no era competente para atender su solicitud y que su documentación estaba en poder del MEF</w:t>
      </w:r>
      <w:r w:rsidRPr="000B33B9">
        <w:rPr>
          <w:rStyle w:val="Refdenotaalpie"/>
          <w:rFonts w:ascii="Verdana" w:hAnsi="Verdana"/>
          <w:sz w:val="20"/>
          <w:szCs w:val="20"/>
          <w:lang w:val="es-ES"/>
        </w:rPr>
        <w:footnoteReference w:id="133"/>
      </w:r>
      <w:r w:rsidRPr="000B33B9">
        <w:rPr>
          <w:rFonts w:ascii="Verdana" w:hAnsi="Verdana"/>
          <w:sz w:val="20"/>
          <w:szCs w:val="20"/>
          <w:lang w:val="es-ES"/>
        </w:rPr>
        <w:t>. El 5 y 26 de julio de 1999, el señor Ipanaqué reiteró a la SUNAT su solicitud inicial</w:t>
      </w:r>
      <w:r w:rsidRPr="000B33B9">
        <w:rPr>
          <w:rStyle w:val="Refdenotaalpie"/>
          <w:rFonts w:ascii="Verdana" w:hAnsi="Verdana"/>
          <w:sz w:val="20"/>
          <w:szCs w:val="20"/>
          <w:lang w:val="es-ES"/>
        </w:rPr>
        <w:footnoteReference w:id="134"/>
      </w:r>
      <w:r w:rsidRPr="000B33B9">
        <w:rPr>
          <w:rFonts w:ascii="Verdana" w:hAnsi="Verdana"/>
          <w:sz w:val="20"/>
          <w:szCs w:val="20"/>
          <w:lang w:val="es-ES"/>
        </w:rPr>
        <w:t>. La SUNAT le contestó mediante comunicación de 20 de agosto de 1999 que la reso</w:t>
      </w:r>
      <w:r w:rsidR="00B029D3" w:rsidRPr="000B33B9">
        <w:rPr>
          <w:rFonts w:ascii="Verdana" w:hAnsi="Verdana"/>
          <w:sz w:val="20"/>
          <w:szCs w:val="20"/>
          <w:lang w:val="es-ES"/>
        </w:rPr>
        <w:t xml:space="preserve">lución del 30 de marzo de 1999 </w:t>
      </w:r>
      <w:r w:rsidRPr="000B33B9">
        <w:rPr>
          <w:rFonts w:ascii="Verdana" w:hAnsi="Verdana"/>
          <w:sz w:val="20"/>
          <w:szCs w:val="20"/>
          <w:lang w:val="es-ES"/>
        </w:rPr>
        <w:t xml:space="preserve">no era </w:t>
      </w:r>
      <w:r w:rsidR="00B029D3" w:rsidRPr="000B33B9">
        <w:rPr>
          <w:rFonts w:ascii="Verdana" w:hAnsi="Verdana"/>
          <w:sz w:val="20"/>
          <w:szCs w:val="20"/>
          <w:lang w:val="es-ES"/>
        </w:rPr>
        <w:t>“</w:t>
      </w:r>
      <w:r w:rsidRPr="000B33B9">
        <w:rPr>
          <w:rFonts w:ascii="Verdana" w:hAnsi="Verdana"/>
          <w:sz w:val="20"/>
          <w:szCs w:val="20"/>
          <w:lang w:val="es-ES"/>
        </w:rPr>
        <w:t>susceptible de cumplimiento” porque había sido anulada por resolución de 29 de abril de 1999</w:t>
      </w:r>
      <w:r w:rsidRPr="000B33B9">
        <w:rPr>
          <w:rStyle w:val="Refdenotaalpie"/>
          <w:rFonts w:ascii="Verdana" w:hAnsi="Verdana"/>
          <w:sz w:val="20"/>
          <w:szCs w:val="20"/>
          <w:lang w:val="es-ES"/>
        </w:rPr>
        <w:footnoteReference w:id="135"/>
      </w:r>
      <w:r w:rsidRPr="000B33B9">
        <w:rPr>
          <w:rFonts w:ascii="Verdana" w:hAnsi="Verdana"/>
          <w:sz w:val="20"/>
          <w:szCs w:val="20"/>
          <w:lang w:val="es-ES"/>
        </w:rPr>
        <w:t>.</w:t>
      </w:r>
    </w:p>
    <w:p w14:paraId="55B35C2D" w14:textId="77777777" w:rsidR="00B86B27" w:rsidRPr="000B33B9" w:rsidRDefault="00B86B27" w:rsidP="00B86B27">
      <w:pPr>
        <w:pStyle w:val="Prrafodelista"/>
        <w:spacing w:after="0" w:line="240" w:lineRule="auto"/>
        <w:ind w:left="0"/>
        <w:jc w:val="both"/>
        <w:rPr>
          <w:rFonts w:ascii="Verdana" w:hAnsi="Verdana"/>
          <w:sz w:val="20"/>
          <w:szCs w:val="20"/>
          <w:lang w:val="es-ES"/>
        </w:rPr>
      </w:pPr>
    </w:p>
    <w:p w14:paraId="5CE40AA1" w14:textId="72E15B8A"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hAnsi="Verdana"/>
          <w:sz w:val="20"/>
          <w:szCs w:val="20"/>
          <w:lang w:val="es-ES"/>
        </w:rPr>
        <w:t>El 30 de septiembre de 1999, la Sala Corporativa confirmó la resolución de 29 de abril de 1999</w:t>
      </w:r>
      <w:r w:rsidRPr="000B33B9">
        <w:rPr>
          <w:rStyle w:val="Refdenotaalpie"/>
          <w:rFonts w:ascii="Verdana" w:hAnsi="Verdana"/>
          <w:sz w:val="20"/>
          <w:szCs w:val="20"/>
          <w:lang w:val="es-ES"/>
        </w:rPr>
        <w:footnoteReference w:id="136"/>
      </w:r>
      <w:r w:rsidRPr="000B33B9">
        <w:rPr>
          <w:rFonts w:ascii="Verdana" w:hAnsi="Verdana"/>
          <w:sz w:val="20"/>
          <w:szCs w:val="20"/>
          <w:lang w:val="es-ES"/>
        </w:rPr>
        <w:t>. El 21 de octubre de 1999, el señor Ipanaqué solicitó al Presidente de Perú que le concediera una audiencia a fin de explicarle su caso</w:t>
      </w:r>
      <w:r w:rsidRPr="000B33B9">
        <w:rPr>
          <w:rStyle w:val="Refdenotaalpie"/>
          <w:rFonts w:ascii="Verdana" w:hAnsi="Verdana"/>
          <w:sz w:val="20"/>
          <w:szCs w:val="20"/>
          <w:lang w:val="es-ES"/>
        </w:rPr>
        <w:footnoteReference w:id="137"/>
      </w:r>
      <w:r w:rsidRPr="000B33B9">
        <w:rPr>
          <w:rFonts w:ascii="Verdana" w:hAnsi="Verdana"/>
          <w:sz w:val="20"/>
          <w:szCs w:val="20"/>
          <w:lang w:val="es-ES"/>
        </w:rPr>
        <w:t xml:space="preserve"> y, al día siguiente, </w:t>
      </w:r>
      <w:r w:rsidRPr="000B33B9">
        <w:rPr>
          <w:rFonts w:ascii="Verdana" w:eastAsia="Calibri" w:hAnsi="Verdana" w:cs="Times New Roman"/>
          <w:sz w:val="20"/>
          <w:szCs w:val="20"/>
          <w:lang w:val="es-ES" w:eastAsia="es-ES"/>
        </w:rPr>
        <w:t>informó a la SUNAT que había interpuesto un recurso de apelación contra la resolución de 29 de abril de 1999</w:t>
      </w:r>
      <w:r w:rsidRPr="000B33B9">
        <w:rPr>
          <w:rStyle w:val="Refdenotaalpie"/>
          <w:rFonts w:ascii="Verdana" w:eastAsia="Calibri" w:hAnsi="Verdana" w:cs="Times New Roman"/>
          <w:sz w:val="20"/>
          <w:szCs w:val="20"/>
          <w:lang w:val="es-ES" w:eastAsia="es-ES"/>
        </w:rPr>
        <w:footnoteReference w:id="138"/>
      </w:r>
      <w:r w:rsidRPr="000B33B9">
        <w:rPr>
          <w:rFonts w:ascii="Verdana" w:eastAsia="Calibri" w:hAnsi="Verdana" w:cs="Times New Roman"/>
          <w:sz w:val="20"/>
          <w:szCs w:val="20"/>
          <w:lang w:val="es-ES" w:eastAsia="es-ES"/>
        </w:rPr>
        <w:t>. El 30 de octubre de 1999, el señor Ipanaqué reiteró al Presidente de Perú su solicitud para la concesión de una audiencia</w:t>
      </w:r>
      <w:r w:rsidRPr="000B33B9">
        <w:rPr>
          <w:rStyle w:val="Refdenotaalpie"/>
          <w:rFonts w:ascii="Verdana" w:eastAsia="Calibri" w:hAnsi="Verdana" w:cs="Times New Roman"/>
          <w:sz w:val="20"/>
          <w:szCs w:val="20"/>
          <w:lang w:val="es-ES" w:eastAsia="es-ES"/>
        </w:rPr>
        <w:footnoteReference w:id="139"/>
      </w:r>
      <w:r w:rsidRPr="000B33B9">
        <w:rPr>
          <w:rFonts w:ascii="Verdana" w:eastAsia="Calibri" w:hAnsi="Verdana" w:cs="Times New Roman"/>
          <w:sz w:val="20"/>
          <w:szCs w:val="20"/>
          <w:lang w:val="es-ES" w:eastAsia="es-ES"/>
        </w:rPr>
        <w:t xml:space="preserve"> </w:t>
      </w:r>
      <w:r w:rsidR="00F82A54" w:rsidRPr="000B33B9">
        <w:rPr>
          <w:rFonts w:ascii="Verdana" w:eastAsia="Calibri" w:hAnsi="Verdana" w:cs="Times New Roman"/>
          <w:sz w:val="20"/>
          <w:szCs w:val="20"/>
          <w:lang w:val="es-ES" w:eastAsia="es-ES"/>
        </w:rPr>
        <w:t xml:space="preserve">y presentó </w:t>
      </w:r>
      <w:r w:rsidRPr="000B33B9">
        <w:rPr>
          <w:rFonts w:ascii="Verdana" w:eastAsia="Calibri" w:hAnsi="Verdana" w:cs="Times New Roman"/>
          <w:sz w:val="20"/>
          <w:szCs w:val="20"/>
          <w:lang w:val="es-ES" w:eastAsia="es-ES"/>
        </w:rPr>
        <w:t>ante la SUNAT un recurso de reconsideración por silencio administrativo, al considerar denegadas sus peticiones “</w:t>
      </w:r>
      <w:r w:rsidR="00B029D3" w:rsidRPr="000B33B9">
        <w:rPr>
          <w:rFonts w:ascii="Verdana" w:eastAsia="Calibri" w:hAnsi="Verdana" w:cs="Times New Roman"/>
          <w:sz w:val="20"/>
          <w:szCs w:val="20"/>
          <w:lang w:val="es-ES" w:eastAsia="es-ES"/>
        </w:rPr>
        <w:t xml:space="preserve">(…) </w:t>
      </w:r>
      <w:r w:rsidRPr="000B33B9">
        <w:rPr>
          <w:rFonts w:ascii="Verdana" w:eastAsia="Calibri" w:hAnsi="Verdana" w:cs="Times New Roman"/>
          <w:sz w:val="20"/>
          <w:szCs w:val="20"/>
          <w:lang w:val="es-ES" w:eastAsia="es-ES"/>
        </w:rPr>
        <w:t xml:space="preserve">sin que hasta la fecha [se] haya expedido </w:t>
      </w:r>
      <w:r w:rsidR="00B029D3" w:rsidRPr="000B33B9">
        <w:rPr>
          <w:rFonts w:ascii="Verdana" w:eastAsia="Calibri" w:hAnsi="Verdana" w:cs="Times New Roman"/>
          <w:sz w:val="20"/>
          <w:szCs w:val="20"/>
          <w:lang w:val="es-ES" w:eastAsia="es-ES"/>
        </w:rPr>
        <w:t xml:space="preserve">la </w:t>
      </w:r>
      <w:r w:rsidRPr="000B33B9">
        <w:rPr>
          <w:rFonts w:ascii="Verdana" w:eastAsia="Calibri" w:hAnsi="Verdana" w:cs="Times New Roman"/>
          <w:sz w:val="20"/>
          <w:szCs w:val="20"/>
          <w:lang w:val="es-ES" w:eastAsia="es-ES"/>
        </w:rPr>
        <w:t>resolución que ponga fin al proceso”</w:t>
      </w:r>
      <w:r w:rsidRPr="000B33B9">
        <w:rPr>
          <w:rStyle w:val="Refdenotaalpie"/>
          <w:rFonts w:ascii="Verdana" w:eastAsia="Calibri" w:hAnsi="Verdana" w:cs="Times New Roman"/>
          <w:sz w:val="20"/>
          <w:szCs w:val="20"/>
          <w:lang w:val="es-ES" w:eastAsia="es-ES"/>
        </w:rPr>
        <w:footnoteReference w:id="140"/>
      </w:r>
      <w:r w:rsidRPr="000B33B9">
        <w:rPr>
          <w:rFonts w:ascii="Verdana" w:eastAsia="Calibri" w:hAnsi="Verdana" w:cs="Times New Roman"/>
          <w:sz w:val="20"/>
          <w:szCs w:val="20"/>
          <w:lang w:val="es-ES" w:eastAsia="es-ES"/>
        </w:rPr>
        <w:t xml:space="preserve">. </w:t>
      </w:r>
    </w:p>
    <w:p w14:paraId="3378ABFD" w14:textId="77777777" w:rsidR="00B86B27" w:rsidRPr="000B33B9" w:rsidRDefault="00B86B27" w:rsidP="00B86B27">
      <w:pPr>
        <w:pStyle w:val="Prrafodelista"/>
        <w:spacing w:after="0" w:line="240" w:lineRule="auto"/>
        <w:ind w:left="0"/>
        <w:jc w:val="both"/>
        <w:rPr>
          <w:rFonts w:ascii="Verdana" w:hAnsi="Verdana"/>
          <w:sz w:val="20"/>
          <w:szCs w:val="20"/>
          <w:lang w:val="es-ES"/>
        </w:rPr>
      </w:pPr>
    </w:p>
    <w:p w14:paraId="376AD929" w14:textId="77777777" w:rsidR="00B86B27" w:rsidRPr="000B33B9" w:rsidRDefault="00B86B27" w:rsidP="007B74B8">
      <w:pPr>
        <w:pStyle w:val="Prrafodelista"/>
        <w:numPr>
          <w:ilvl w:val="0"/>
          <w:numId w:val="10"/>
        </w:numPr>
        <w:spacing w:after="0" w:line="240" w:lineRule="auto"/>
        <w:ind w:left="0" w:firstLine="0"/>
        <w:jc w:val="both"/>
        <w:rPr>
          <w:rFonts w:ascii="Verdana" w:hAnsi="Verdana"/>
          <w:sz w:val="20"/>
          <w:szCs w:val="20"/>
          <w:lang w:val="es-ES"/>
        </w:rPr>
      </w:pPr>
      <w:r w:rsidRPr="000B33B9">
        <w:rPr>
          <w:rFonts w:ascii="Verdana" w:eastAsia="Calibri" w:hAnsi="Verdana" w:cs="Times New Roman"/>
          <w:sz w:val="20"/>
          <w:szCs w:val="20"/>
          <w:lang w:val="es-ES" w:eastAsia="es-ES"/>
        </w:rPr>
        <w:t>El 1 de diciembre de 1999, la SUNAT comunicó al señor Ipanaqué que, “contrariamente a lo que manifiesta”, la resolución “cuya ejecución solicita con insistencia” fue apelada y anulada</w:t>
      </w:r>
      <w:r w:rsidRPr="000B33B9">
        <w:rPr>
          <w:rStyle w:val="Refdenotaalpie"/>
          <w:rFonts w:ascii="Verdana" w:eastAsia="Calibri" w:hAnsi="Verdana" w:cs="Times New Roman"/>
          <w:sz w:val="20"/>
          <w:szCs w:val="20"/>
          <w:lang w:val="es-ES" w:eastAsia="es-ES"/>
        </w:rPr>
        <w:footnoteReference w:id="141"/>
      </w:r>
      <w:r w:rsidRPr="000B33B9">
        <w:rPr>
          <w:rFonts w:ascii="Verdana" w:eastAsia="Calibri" w:hAnsi="Verdana" w:cs="Times New Roman"/>
          <w:sz w:val="20"/>
          <w:szCs w:val="20"/>
          <w:lang w:val="es-ES" w:eastAsia="es-ES"/>
        </w:rPr>
        <w:t xml:space="preserve">. </w:t>
      </w:r>
    </w:p>
    <w:p w14:paraId="41EBC985" w14:textId="77777777" w:rsidR="00B86B27" w:rsidRPr="000B33B9" w:rsidRDefault="00B86B27" w:rsidP="00C962FE">
      <w:pPr>
        <w:widowControl w:val="0"/>
        <w:tabs>
          <w:tab w:val="left" w:pos="567"/>
        </w:tabs>
        <w:adjustRightInd w:val="0"/>
        <w:spacing w:after="0" w:line="240" w:lineRule="auto"/>
        <w:jc w:val="both"/>
        <w:textAlignment w:val="baseline"/>
        <w:rPr>
          <w:rFonts w:ascii="Verdana" w:hAnsi="Verdana"/>
          <w:sz w:val="20"/>
          <w:szCs w:val="20"/>
          <w:lang w:val="es-ES" w:eastAsia="es-CR"/>
        </w:rPr>
      </w:pPr>
    </w:p>
    <w:p w14:paraId="13741218" w14:textId="0471EBAA" w:rsidR="00B86B27" w:rsidRPr="000B33B9" w:rsidRDefault="00B86B27" w:rsidP="00640C2A">
      <w:pPr>
        <w:pStyle w:val="Ttulo1"/>
      </w:pPr>
      <w:bookmarkStart w:id="56" w:name="_Toc494123986"/>
      <w:bookmarkStart w:id="57" w:name="_Toc7020792"/>
      <w:bookmarkStart w:id="58" w:name="_Toc19533034"/>
      <w:bookmarkStart w:id="59" w:name="_Toc27329763"/>
      <w:r w:rsidRPr="000B33B9">
        <w:t>VIII</w:t>
      </w:r>
      <w:r w:rsidRPr="000B33B9">
        <w:br/>
      </w:r>
      <w:bookmarkEnd w:id="56"/>
      <w:bookmarkEnd w:id="57"/>
      <w:bookmarkEnd w:id="58"/>
      <w:r w:rsidR="00640C2A" w:rsidRPr="000B33B9">
        <w:t>FONDO</w:t>
      </w:r>
      <w:bookmarkEnd w:id="59"/>
    </w:p>
    <w:p w14:paraId="51A0C1EA" w14:textId="77777777" w:rsidR="00313EE5" w:rsidRPr="000B33B9" w:rsidRDefault="00313EE5" w:rsidP="001D7AA2">
      <w:pPr>
        <w:spacing w:after="0" w:line="240" w:lineRule="auto"/>
        <w:rPr>
          <w:rFonts w:ascii="Verdana" w:hAnsi="Verdana"/>
          <w:sz w:val="20"/>
          <w:szCs w:val="20"/>
        </w:rPr>
      </w:pPr>
    </w:p>
    <w:p w14:paraId="5576FB1B" w14:textId="4787F330" w:rsidR="002821B4" w:rsidRPr="000B33B9" w:rsidRDefault="00490472" w:rsidP="007B74B8">
      <w:pPr>
        <w:pStyle w:val="Prrafodelista"/>
        <w:numPr>
          <w:ilvl w:val="0"/>
          <w:numId w:val="10"/>
        </w:numPr>
        <w:spacing w:after="0" w:line="240" w:lineRule="auto"/>
        <w:ind w:left="0" w:firstLine="0"/>
        <w:jc w:val="both"/>
        <w:rPr>
          <w:rFonts w:ascii="Verdana" w:hAnsi="Verdana" w:cs="Times New Roman"/>
          <w:sz w:val="20"/>
          <w:szCs w:val="20"/>
        </w:rPr>
      </w:pPr>
      <w:r w:rsidRPr="000B33B9">
        <w:rPr>
          <w:rFonts w:ascii="Verdana" w:hAnsi="Verdana" w:cs="Times New Roman"/>
          <w:sz w:val="20"/>
          <w:szCs w:val="20"/>
        </w:rPr>
        <w:t>E</w:t>
      </w:r>
      <w:r w:rsidR="003D4670" w:rsidRPr="000B33B9">
        <w:rPr>
          <w:rFonts w:ascii="Verdana" w:hAnsi="Verdana" w:cs="Times New Roman"/>
          <w:sz w:val="20"/>
          <w:szCs w:val="20"/>
        </w:rPr>
        <w:t xml:space="preserve">l Tribunal procederá a analizar el fondo del caso. La Corte </w:t>
      </w:r>
      <w:r w:rsidR="00795BE5" w:rsidRPr="000B33B9">
        <w:rPr>
          <w:rFonts w:ascii="Verdana" w:hAnsi="Verdana" w:cs="Times New Roman"/>
          <w:sz w:val="20"/>
          <w:szCs w:val="20"/>
        </w:rPr>
        <w:t>procederá a</w:t>
      </w:r>
      <w:r w:rsidR="003D4670" w:rsidRPr="000B33B9">
        <w:rPr>
          <w:rFonts w:ascii="Verdana" w:hAnsi="Verdana" w:cs="Times New Roman"/>
          <w:sz w:val="20"/>
          <w:szCs w:val="20"/>
        </w:rPr>
        <w:t xml:space="preserve"> determinar si el Estado es responsable por la violación a las garantías judiciales y la protección judicial en perjuicio de las presuntas víctimas del caso con motivo de la</w:t>
      </w:r>
      <w:r w:rsidR="00795BE5" w:rsidRPr="000B33B9">
        <w:rPr>
          <w:rFonts w:ascii="Verdana" w:hAnsi="Verdana" w:cs="Times New Roman"/>
          <w:sz w:val="20"/>
          <w:szCs w:val="20"/>
        </w:rPr>
        <w:t xml:space="preserve"> alegada</w:t>
      </w:r>
      <w:r w:rsidR="003D4670" w:rsidRPr="000B33B9">
        <w:rPr>
          <w:rFonts w:ascii="Verdana" w:hAnsi="Verdana" w:cs="Times New Roman"/>
          <w:sz w:val="20"/>
          <w:szCs w:val="20"/>
        </w:rPr>
        <w:t xml:space="preserve"> falta de ejecución de la sentencia de la Corte Suprema de 25 de octubre de 1993, así como por los efectos que dicha </w:t>
      </w:r>
      <w:r w:rsidR="00EB5567" w:rsidRPr="000B33B9">
        <w:rPr>
          <w:rFonts w:ascii="Verdana" w:hAnsi="Verdana" w:cs="Times New Roman"/>
          <w:sz w:val="20"/>
          <w:szCs w:val="20"/>
        </w:rPr>
        <w:t>in</w:t>
      </w:r>
      <w:r w:rsidR="003D4670" w:rsidRPr="000B33B9">
        <w:rPr>
          <w:rFonts w:ascii="Verdana" w:hAnsi="Verdana" w:cs="Times New Roman"/>
          <w:sz w:val="20"/>
          <w:szCs w:val="20"/>
        </w:rPr>
        <w:t xml:space="preserve">ejecución </w:t>
      </w:r>
      <w:r w:rsidR="00EB5567" w:rsidRPr="000B33B9">
        <w:rPr>
          <w:rFonts w:ascii="Verdana" w:hAnsi="Verdana" w:cs="Times New Roman"/>
          <w:sz w:val="20"/>
          <w:szCs w:val="20"/>
        </w:rPr>
        <w:t xml:space="preserve">generó </w:t>
      </w:r>
      <w:r w:rsidR="003D4670" w:rsidRPr="000B33B9">
        <w:rPr>
          <w:rFonts w:ascii="Verdana" w:hAnsi="Verdana" w:cs="Times New Roman"/>
          <w:sz w:val="20"/>
          <w:szCs w:val="20"/>
        </w:rPr>
        <w:t xml:space="preserve">en otros derechos reconocidos por la Convención. </w:t>
      </w:r>
      <w:r w:rsidR="009270AB" w:rsidRPr="000B33B9">
        <w:rPr>
          <w:rFonts w:ascii="Verdana" w:hAnsi="Verdana" w:cs="Times New Roman"/>
          <w:sz w:val="20"/>
          <w:szCs w:val="20"/>
        </w:rPr>
        <w:t xml:space="preserve">No es un hecho controvertido que el Estado ha realizado el pago de pensiones de las presuntas víctimas, sino que la principal controversia </w:t>
      </w:r>
      <w:r w:rsidR="002821B4" w:rsidRPr="000B33B9">
        <w:rPr>
          <w:rFonts w:ascii="Verdana" w:hAnsi="Verdana" w:cs="Times New Roman"/>
          <w:sz w:val="20"/>
          <w:szCs w:val="20"/>
        </w:rPr>
        <w:t xml:space="preserve"> consiste en determinar si</w:t>
      </w:r>
      <w:r w:rsidR="009270AB" w:rsidRPr="000B33B9">
        <w:rPr>
          <w:rFonts w:ascii="Verdana" w:hAnsi="Verdana" w:cs="Times New Roman"/>
          <w:sz w:val="20"/>
          <w:szCs w:val="20"/>
        </w:rPr>
        <w:t xml:space="preserve"> ha cumplido con la ejecución integral </w:t>
      </w:r>
      <w:r w:rsidR="002821B4" w:rsidRPr="000B33B9">
        <w:rPr>
          <w:rFonts w:ascii="Verdana" w:hAnsi="Verdana" w:cs="Times New Roman"/>
          <w:sz w:val="20"/>
          <w:szCs w:val="20"/>
        </w:rPr>
        <w:t xml:space="preserve">de </w:t>
      </w:r>
      <w:r w:rsidR="0035743B" w:rsidRPr="000B33B9">
        <w:rPr>
          <w:rFonts w:ascii="Verdana" w:hAnsi="Verdana" w:cs="Times New Roman"/>
          <w:sz w:val="20"/>
          <w:szCs w:val="20"/>
        </w:rPr>
        <w:t>la sentencia de 25 de octubre de 1993</w:t>
      </w:r>
      <w:r w:rsidR="000853B4" w:rsidRPr="000B33B9">
        <w:rPr>
          <w:rFonts w:ascii="Verdana" w:hAnsi="Verdana" w:cs="Times New Roman"/>
          <w:sz w:val="20"/>
          <w:szCs w:val="20"/>
        </w:rPr>
        <w:t>, y el posible impacto que esto tuvo en otros derechos</w:t>
      </w:r>
      <w:r w:rsidR="009270AB" w:rsidRPr="000B33B9">
        <w:rPr>
          <w:rFonts w:ascii="Verdana" w:hAnsi="Verdana" w:cs="Times New Roman"/>
          <w:sz w:val="20"/>
          <w:szCs w:val="20"/>
        </w:rPr>
        <w:t xml:space="preserve">. </w:t>
      </w:r>
      <w:r w:rsidR="003D4670" w:rsidRPr="000B33B9">
        <w:rPr>
          <w:rFonts w:ascii="Verdana" w:hAnsi="Verdana" w:cs="Times New Roman"/>
          <w:sz w:val="20"/>
          <w:szCs w:val="20"/>
        </w:rPr>
        <w:t>Asimismo, el Tribunal recuerda que los hechos del caso sucedieron e</w:t>
      </w:r>
      <w:r w:rsidR="008F22E5" w:rsidRPr="000B33B9">
        <w:rPr>
          <w:rFonts w:ascii="Verdana" w:hAnsi="Verdana" w:cs="Times New Roman"/>
          <w:sz w:val="20"/>
          <w:szCs w:val="20"/>
        </w:rPr>
        <w:t xml:space="preserve">n el contexto de la reestructuración orgánica y de racionalización de recursos que inició la SUNAT en virtud de la entrada en vigor del Decreto 639 de 20 de junio de 1991, así como de la modificación del régimen laboral de los trabajadores de la SUNAT en virtud de la entrada en vigor del Decreto 673. </w:t>
      </w:r>
      <w:r w:rsidR="00855036" w:rsidRPr="000B33B9">
        <w:rPr>
          <w:rFonts w:ascii="Verdana" w:hAnsi="Verdana"/>
          <w:sz w:val="20"/>
          <w:szCs w:val="20"/>
        </w:rPr>
        <w:t>Esta situación habría impactado las remuneraciones percibidas por los servidores sujetos al régimen laboral del Decreto 276 y, con ello, las pensiones correspondientes a los cesantes del Decreto 20530, al cual pertenecían las presuntas víctimas del caso, lo cual dio lugar a la interposición del amparo cuya sentencia es motivo de análisis</w:t>
      </w:r>
      <w:r w:rsidR="00BC0595" w:rsidRPr="000B33B9">
        <w:rPr>
          <w:rFonts w:ascii="Verdana" w:hAnsi="Verdana" w:cs="Times New Roman"/>
          <w:sz w:val="20"/>
          <w:szCs w:val="20"/>
        </w:rPr>
        <w:t>.</w:t>
      </w:r>
    </w:p>
    <w:p w14:paraId="0D59FAB6" w14:textId="2B1FD41D" w:rsidR="00187F77" w:rsidRPr="000B33B9" w:rsidRDefault="00187F77" w:rsidP="004B204D">
      <w:pPr>
        <w:spacing w:after="0" w:line="240" w:lineRule="auto"/>
        <w:jc w:val="both"/>
        <w:rPr>
          <w:rFonts w:ascii="Verdana" w:hAnsi="Verdana" w:cs="Times New Roman"/>
          <w:sz w:val="20"/>
          <w:szCs w:val="20"/>
        </w:rPr>
      </w:pPr>
    </w:p>
    <w:p w14:paraId="2C3B1439" w14:textId="788033FF" w:rsidR="00187F77" w:rsidRPr="000B33B9" w:rsidRDefault="00187F77" w:rsidP="007B74B8">
      <w:pPr>
        <w:pStyle w:val="Prrafodelista"/>
        <w:numPr>
          <w:ilvl w:val="0"/>
          <w:numId w:val="10"/>
        </w:numPr>
        <w:spacing w:after="0" w:line="240" w:lineRule="auto"/>
        <w:ind w:left="0" w:firstLine="0"/>
        <w:jc w:val="both"/>
        <w:rPr>
          <w:rFonts w:ascii="Verdana" w:hAnsi="Verdana" w:cs="Times New Roman"/>
          <w:sz w:val="20"/>
          <w:szCs w:val="20"/>
        </w:rPr>
      </w:pPr>
      <w:r w:rsidRPr="000B33B9">
        <w:rPr>
          <w:rFonts w:ascii="Verdana" w:hAnsi="Verdana" w:cs="Times New Roman"/>
          <w:sz w:val="20"/>
          <w:szCs w:val="20"/>
        </w:rPr>
        <w:t>Por consiguiente, a fin de</w:t>
      </w:r>
      <w:r w:rsidR="00394732" w:rsidRPr="000B33B9">
        <w:rPr>
          <w:rFonts w:ascii="Verdana" w:hAnsi="Verdana" w:cs="Times New Roman"/>
          <w:sz w:val="20"/>
          <w:szCs w:val="20"/>
        </w:rPr>
        <w:t xml:space="preserve"> examinar</w:t>
      </w:r>
      <w:r w:rsidRPr="000B33B9">
        <w:rPr>
          <w:rFonts w:ascii="Verdana" w:hAnsi="Verdana" w:cs="Times New Roman"/>
          <w:sz w:val="20"/>
          <w:szCs w:val="20"/>
        </w:rPr>
        <w:t xml:space="preserve"> los alegatos presentados, la Corte</w:t>
      </w:r>
      <w:r w:rsidR="00394732" w:rsidRPr="000B33B9">
        <w:rPr>
          <w:rFonts w:ascii="Verdana" w:hAnsi="Verdana" w:cs="Times New Roman"/>
          <w:sz w:val="20"/>
          <w:szCs w:val="20"/>
        </w:rPr>
        <w:t xml:space="preserve"> los</w:t>
      </w:r>
      <w:r w:rsidRPr="000B33B9">
        <w:rPr>
          <w:rFonts w:ascii="Verdana" w:hAnsi="Verdana" w:cs="Times New Roman"/>
          <w:sz w:val="20"/>
          <w:szCs w:val="20"/>
        </w:rPr>
        <w:t xml:space="preserve"> analizará</w:t>
      </w:r>
      <w:r w:rsidR="00394732" w:rsidRPr="000B33B9">
        <w:rPr>
          <w:rFonts w:ascii="Verdana" w:hAnsi="Verdana" w:cs="Times New Roman"/>
          <w:sz w:val="20"/>
          <w:szCs w:val="20"/>
        </w:rPr>
        <w:t xml:space="preserve"> </w:t>
      </w:r>
      <w:r w:rsidR="00A53EE4" w:rsidRPr="000B33B9">
        <w:rPr>
          <w:rFonts w:ascii="Verdana" w:hAnsi="Verdana" w:cs="Times New Roman"/>
          <w:sz w:val="20"/>
          <w:szCs w:val="20"/>
        </w:rPr>
        <w:t>en un capítulo único</w:t>
      </w:r>
      <w:r w:rsidR="00394732" w:rsidRPr="000B33B9">
        <w:rPr>
          <w:rFonts w:ascii="Verdana" w:hAnsi="Verdana" w:cs="Times New Roman"/>
          <w:sz w:val="20"/>
          <w:szCs w:val="20"/>
        </w:rPr>
        <w:t>, en el siguiente orden</w:t>
      </w:r>
      <w:r w:rsidR="00A53EE4" w:rsidRPr="000B33B9">
        <w:rPr>
          <w:rFonts w:ascii="Verdana" w:hAnsi="Verdana" w:cs="Times New Roman"/>
          <w:sz w:val="20"/>
          <w:szCs w:val="20"/>
        </w:rPr>
        <w:t>:</w:t>
      </w:r>
      <w:r w:rsidRPr="000B33B9">
        <w:rPr>
          <w:rFonts w:ascii="Verdana" w:hAnsi="Verdana" w:cs="Times New Roman"/>
          <w:sz w:val="20"/>
          <w:szCs w:val="20"/>
        </w:rPr>
        <w:t xml:space="preserve"> </w:t>
      </w:r>
      <w:r w:rsidR="002821B4" w:rsidRPr="000B33B9">
        <w:rPr>
          <w:rFonts w:ascii="Verdana" w:hAnsi="Verdana" w:cs="Times New Roman"/>
          <w:sz w:val="20"/>
          <w:szCs w:val="20"/>
        </w:rPr>
        <w:t>a)</w:t>
      </w:r>
      <w:r w:rsidRPr="000B33B9">
        <w:rPr>
          <w:rFonts w:ascii="Verdana" w:hAnsi="Verdana" w:cs="Times New Roman"/>
          <w:sz w:val="20"/>
          <w:szCs w:val="20"/>
        </w:rPr>
        <w:t xml:space="preserve"> </w:t>
      </w:r>
      <w:r w:rsidR="00A53EE4" w:rsidRPr="000B33B9">
        <w:rPr>
          <w:rFonts w:ascii="Verdana" w:hAnsi="Verdana" w:cs="Times New Roman"/>
          <w:sz w:val="20"/>
          <w:szCs w:val="20"/>
        </w:rPr>
        <w:t>la alegada violación a la falta de acceso a un recurso judicial efectivo</w:t>
      </w:r>
      <w:r w:rsidR="002821B4" w:rsidRPr="000B33B9">
        <w:rPr>
          <w:rFonts w:ascii="Verdana" w:hAnsi="Verdana" w:cs="Times New Roman"/>
          <w:sz w:val="20"/>
          <w:szCs w:val="20"/>
        </w:rPr>
        <w:t xml:space="preserve"> (artículo 25.1 y 25.2.c)</w:t>
      </w:r>
      <w:r w:rsidR="00A53EE4" w:rsidRPr="000B33B9">
        <w:rPr>
          <w:rFonts w:ascii="Verdana" w:hAnsi="Verdana" w:cs="Times New Roman"/>
          <w:sz w:val="20"/>
          <w:szCs w:val="20"/>
        </w:rPr>
        <w:t xml:space="preserve"> y a la garantía del plazo razonable</w:t>
      </w:r>
      <w:r w:rsidR="002821B4" w:rsidRPr="000B33B9">
        <w:rPr>
          <w:rFonts w:ascii="Verdana" w:hAnsi="Verdana" w:cs="Times New Roman"/>
          <w:sz w:val="20"/>
          <w:szCs w:val="20"/>
        </w:rPr>
        <w:t xml:space="preserve"> (artículo 8.1)</w:t>
      </w:r>
      <w:r w:rsidR="00A53EE4" w:rsidRPr="000B33B9">
        <w:rPr>
          <w:rFonts w:ascii="Verdana" w:hAnsi="Verdana" w:cs="Times New Roman"/>
          <w:sz w:val="20"/>
          <w:szCs w:val="20"/>
        </w:rPr>
        <w:t xml:space="preserve"> por la falta de ejecución de la sentencia y la duración del procedimiento</w:t>
      </w:r>
      <w:r w:rsidR="002821B4" w:rsidRPr="000B33B9">
        <w:rPr>
          <w:rFonts w:ascii="Verdana" w:hAnsi="Verdana" w:cs="Times New Roman"/>
          <w:sz w:val="20"/>
          <w:szCs w:val="20"/>
        </w:rPr>
        <w:t>; b)</w:t>
      </w:r>
      <w:r w:rsidR="00A53EE4" w:rsidRPr="000B33B9">
        <w:rPr>
          <w:rFonts w:ascii="Verdana" w:hAnsi="Verdana" w:cs="Times New Roman"/>
          <w:sz w:val="20"/>
          <w:szCs w:val="20"/>
        </w:rPr>
        <w:t xml:space="preserve"> la alegada violación al derecho a la seguridad</w:t>
      </w:r>
      <w:r w:rsidR="004A7693" w:rsidRPr="000B33B9">
        <w:rPr>
          <w:rFonts w:ascii="Verdana" w:hAnsi="Verdana" w:cs="Times New Roman"/>
          <w:sz w:val="20"/>
          <w:szCs w:val="20"/>
        </w:rPr>
        <w:t xml:space="preserve"> social (artículo 26),</w:t>
      </w:r>
      <w:r w:rsidR="002821B4" w:rsidRPr="000B33B9">
        <w:rPr>
          <w:rFonts w:ascii="Verdana" w:hAnsi="Verdana" w:cs="Times New Roman"/>
          <w:sz w:val="20"/>
          <w:szCs w:val="20"/>
        </w:rPr>
        <w:t xml:space="preserve"> por la</w:t>
      </w:r>
      <w:r w:rsidR="004A7693" w:rsidRPr="000B33B9">
        <w:rPr>
          <w:rFonts w:ascii="Verdana" w:hAnsi="Verdana" w:cs="Times New Roman"/>
          <w:sz w:val="20"/>
          <w:szCs w:val="20"/>
        </w:rPr>
        <w:t xml:space="preserve"> falta de</w:t>
      </w:r>
      <w:r w:rsidR="002821B4" w:rsidRPr="000B33B9">
        <w:rPr>
          <w:rFonts w:ascii="Verdana" w:hAnsi="Verdana" w:cs="Times New Roman"/>
          <w:sz w:val="20"/>
          <w:szCs w:val="20"/>
        </w:rPr>
        <w:t xml:space="preserve"> garantía de los elementos esenciales en la protección de ese derecho; c) la vida digna (artículo 4.1), por las consecuencias que las acciones estatales podrían haber tenido en las condiciones de vida de las presuntas víctimas; d) la propiedad (artículo 21), por la posible afectación al patrimonio de las mismas; </w:t>
      </w:r>
      <w:r w:rsidR="008C1342" w:rsidRPr="000B33B9">
        <w:rPr>
          <w:rFonts w:ascii="Verdana" w:hAnsi="Verdana" w:cs="Times New Roman"/>
          <w:sz w:val="20"/>
          <w:szCs w:val="20"/>
        </w:rPr>
        <w:t xml:space="preserve">y </w:t>
      </w:r>
      <w:r w:rsidR="002821B4" w:rsidRPr="000B33B9">
        <w:rPr>
          <w:rFonts w:ascii="Verdana" w:hAnsi="Verdana" w:cs="Times New Roman"/>
          <w:sz w:val="20"/>
          <w:szCs w:val="20"/>
        </w:rPr>
        <w:t>e) la falta de adecuación normativa (artículo 2), por la alegada existencia de un contexto generalizado de incumplimiento de sentencias que ordenan la restitución de derechos de naturaleza social.</w:t>
      </w:r>
    </w:p>
    <w:p w14:paraId="2D2C7003" w14:textId="77777777" w:rsidR="00BD156F" w:rsidRPr="000B33B9" w:rsidRDefault="00BD156F" w:rsidP="00BD156F">
      <w:pPr>
        <w:tabs>
          <w:tab w:val="left" w:pos="1658"/>
        </w:tabs>
        <w:spacing w:after="0" w:line="240" w:lineRule="auto"/>
        <w:jc w:val="both"/>
        <w:rPr>
          <w:rFonts w:ascii="Verdana" w:hAnsi="Verdana"/>
          <w:sz w:val="20"/>
          <w:szCs w:val="20"/>
          <w:lang w:val="es-DO"/>
        </w:rPr>
      </w:pPr>
    </w:p>
    <w:p w14:paraId="55BB3BF0" w14:textId="6A27A6BE" w:rsidR="008C1342" w:rsidRPr="000B33B9" w:rsidRDefault="008C1342" w:rsidP="004B204D">
      <w:pPr>
        <w:pStyle w:val="Ttulo1"/>
        <w:rPr>
          <w:lang w:val="es-DO"/>
        </w:rPr>
      </w:pPr>
      <w:bookmarkStart w:id="60" w:name="_Toc27329764"/>
      <w:r w:rsidRPr="000B33B9">
        <w:rPr>
          <w:rFonts w:cs="Verdana"/>
          <w:snapToGrid w:val="0"/>
          <w:lang w:val="es-ES_tradnl"/>
        </w:rPr>
        <w:t>VIII</w:t>
      </w:r>
      <w:r w:rsidRPr="000B33B9">
        <w:rPr>
          <w:rFonts w:cs="Verdana"/>
          <w:snapToGrid w:val="0"/>
          <w:lang w:val="es-ES_tradnl"/>
        </w:rPr>
        <w:br/>
      </w:r>
      <w:r w:rsidRPr="000B33B9">
        <w:rPr>
          <w:snapToGrid w:val="0"/>
          <w:lang w:val="es-ES_tradnl"/>
        </w:rPr>
        <w:t>DERECHOS A LAS GARANTÍAS JUDICIALES</w:t>
      </w:r>
      <w:r w:rsidRPr="000B33B9">
        <w:rPr>
          <w:rStyle w:val="Refdenotaalpie"/>
          <w:rFonts w:eastAsia="Times New Roman" w:cs="Times New Roman"/>
          <w:bCs/>
          <w:caps/>
          <w:snapToGrid w:val="0"/>
          <w:lang w:val="es-ES_tradnl"/>
        </w:rPr>
        <w:footnoteReference w:id="142"/>
      </w:r>
      <w:r w:rsidRPr="000B33B9">
        <w:rPr>
          <w:snapToGrid w:val="0"/>
          <w:lang w:val="es-ES_tradnl"/>
        </w:rPr>
        <w:t>, LA PROTECCIÓN JUDICIAL</w:t>
      </w:r>
      <w:r w:rsidRPr="000B33B9">
        <w:rPr>
          <w:rStyle w:val="Refdenotaalpie"/>
          <w:lang w:val="es-DO"/>
        </w:rPr>
        <w:footnoteReference w:id="143"/>
      </w:r>
      <w:r w:rsidRPr="000B33B9">
        <w:rPr>
          <w:rStyle w:val="Ttulo1Car"/>
          <w:b/>
        </w:rPr>
        <w:t xml:space="preserve">, </w:t>
      </w:r>
      <w:r w:rsidRPr="000B33B9">
        <w:rPr>
          <w:snapToGrid w:val="0"/>
          <w:lang w:val="es-ES_tradnl"/>
        </w:rPr>
        <w:t>LA SEGURIDAD SOCIAL</w:t>
      </w:r>
      <w:r w:rsidRPr="000B33B9">
        <w:rPr>
          <w:rStyle w:val="Refdenotaalpie"/>
          <w:rFonts w:eastAsia="Times New Roman" w:cs="Times New Roman"/>
          <w:bCs/>
          <w:caps/>
          <w:snapToGrid w:val="0"/>
          <w:lang w:val="es-ES_tradnl"/>
        </w:rPr>
        <w:footnoteReference w:id="144"/>
      </w:r>
      <w:r w:rsidRPr="000B33B9">
        <w:rPr>
          <w:snapToGrid w:val="0"/>
          <w:lang w:val="es-ES_tradnl"/>
        </w:rPr>
        <w:t>, LA VIDA DIGNA</w:t>
      </w:r>
      <w:r w:rsidRPr="000B33B9">
        <w:rPr>
          <w:rStyle w:val="Refdenotaalpie"/>
          <w:lang w:val="es-DO"/>
        </w:rPr>
        <w:footnoteReference w:id="145"/>
      </w:r>
      <w:r w:rsidRPr="000B33B9">
        <w:rPr>
          <w:snapToGrid w:val="0"/>
          <w:lang w:val="es-ES_tradnl"/>
        </w:rPr>
        <w:t>, LA PROPIEDAD PRIVADA</w:t>
      </w:r>
      <w:r w:rsidRPr="000B33B9">
        <w:rPr>
          <w:rStyle w:val="Refdenotaalpie"/>
          <w:rFonts w:eastAsia="Times New Roman" w:cs="Times New Roman"/>
          <w:bCs/>
          <w:caps/>
          <w:snapToGrid w:val="0"/>
          <w:lang w:val="es-ES_tradnl"/>
        </w:rPr>
        <w:footnoteReference w:id="146"/>
      </w:r>
      <w:r w:rsidRPr="000B33B9">
        <w:rPr>
          <w:snapToGrid w:val="0"/>
          <w:lang w:val="es-ES_tradnl"/>
        </w:rPr>
        <w:t xml:space="preserve"> Y EL </w:t>
      </w:r>
      <w:r w:rsidRPr="000B33B9">
        <w:rPr>
          <w:rStyle w:val="Ttulo1Car"/>
          <w:b/>
        </w:rPr>
        <w:t>DEBER DE ADOPTAR DISPOSICIONES DE DERECHO INTERNO</w:t>
      </w:r>
      <w:r w:rsidRPr="000B33B9">
        <w:rPr>
          <w:rStyle w:val="Refdenotaalpie"/>
          <w:lang w:val="es-DO"/>
        </w:rPr>
        <w:footnoteReference w:id="147"/>
      </w:r>
      <w:bookmarkEnd w:id="60"/>
    </w:p>
    <w:p w14:paraId="3FEB2399" w14:textId="77777777" w:rsidR="008C1342" w:rsidRPr="000B33B9" w:rsidRDefault="008C1342" w:rsidP="00BD156F">
      <w:pPr>
        <w:tabs>
          <w:tab w:val="left" w:pos="1658"/>
        </w:tabs>
        <w:spacing w:after="0" w:line="240" w:lineRule="auto"/>
        <w:jc w:val="both"/>
        <w:rPr>
          <w:rFonts w:ascii="Verdana" w:hAnsi="Verdana"/>
          <w:sz w:val="20"/>
          <w:szCs w:val="20"/>
          <w:lang w:val="es-DO"/>
        </w:rPr>
      </w:pPr>
    </w:p>
    <w:p w14:paraId="1CD1E328" w14:textId="47CA6F37" w:rsidR="00BD156F" w:rsidRPr="000B33B9" w:rsidRDefault="00BD156F" w:rsidP="007B74B8">
      <w:pPr>
        <w:pStyle w:val="Ttulo2"/>
        <w:numPr>
          <w:ilvl w:val="0"/>
          <w:numId w:val="19"/>
        </w:numPr>
      </w:pPr>
      <w:bookmarkStart w:id="61" w:name="_Toc27329765"/>
      <w:r w:rsidRPr="000B33B9">
        <w:t>Derecho a la protección judicial</w:t>
      </w:r>
      <w:bookmarkEnd w:id="61"/>
    </w:p>
    <w:p w14:paraId="3B04349F" w14:textId="77777777" w:rsidR="00BD156F" w:rsidRPr="000B33B9" w:rsidRDefault="00BD156F" w:rsidP="00BD156F">
      <w:pPr>
        <w:pStyle w:val="Prrafodelista"/>
        <w:tabs>
          <w:tab w:val="left" w:pos="1658"/>
        </w:tabs>
        <w:spacing w:after="0" w:line="240" w:lineRule="auto"/>
        <w:contextualSpacing w:val="0"/>
        <w:jc w:val="both"/>
        <w:rPr>
          <w:rFonts w:ascii="Verdana" w:hAnsi="Verdana"/>
          <w:sz w:val="20"/>
          <w:szCs w:val="20"/>
          <w:lang w:val="es-DO"/>
        </w:rPr>
      </w:pPr>
    </w:p>
    <w:p w14:paraId="2B638F5B" w14:textId="2C864DCD" w:rsidR="00BD156F" w:rsidRPr="000B33B9" w:rsidRDefault="00BD156F" w:rsidP="00BD156F">
      <w:pPr>
        <w:pStyle w:val="Ttulo3"/>
        <w:numPr>
          <w:ilvl w:val="0"/>
          <w:numId w:val="0"/>
        </w:numPr>
        <w:ind w:left="1353"/>
        <w:rPr>
          <w:lang w:val="es-DO"/>
        </w:rPr>
      </w:pPr>
      <w:bookmarkStart w:id="62" w:name="_Toc27329766"/>
      <w:r w:rsidRPr="000B33B9">
        <w:rPr>
          <w:lang w:val="es-DO"/>
        </w:rPr>
        <w:t>A.1. Argumentos de la Comisión y de las partes</w:t>
      </w:r>
      <w:bookmarkEnd w:id="62"/>
    </w:p>
    <w:p w14:paraId="257F5680" w14:textId="77777777" w:rsidR="00BD156F" w:rsidRPr="000B33B9" w:rsidRDefault="00BD156F" w:rsidP="00BD156F">
      <w:pPr>
        <w:pStyle w:val="Prrafodelista"/>
        <w:tabs>
          <w:tab w:val="left" w:pos="1658"/>
        </w:tabs>
        <w:spacing w:after="0" w:line="240" w:lineRule="auto"/>
        <w:contextualSpacing w:val="0"/>
        <w:jc w:val="both"/>
        <w:rPr>
          <w:rFonts w:ascii="Verdana" w:hAnsi="Verdana"/>
          <w:b/>
          <w:sz w:val="20"/>
          <w:szCs w:val="20"/>
          <w:lang w:val="es-DO"/>
        </w:rPr>
      </w:pPr>
    </w:p>
    <w:p w14:paraId="21262812" w14:textId="59A79C22" w:rsidR="00BD156F"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z w:val="20"/>
          <w:szCs w:val="20"/>
          <w:lang w:val="es-DO"/>
        </w:rPr>
      </w:pPr>
      <w:r w:rsidRPr="000B33B9">
        <w:rPr>
          <w:rFonts w:ascii="Verdana" w:hAnsi="Verdana"/>
          <w:sz w:val="20"/>
          <w:szCs w:val="20"/>
          <w:lang w:val="es-DO"/>
        </w:rPr>
        <w:t xml:space="preserve">La </w:t>
      </w:r>
      <w:r w:rsidRPr="000B33B9">
        <w:rPr>
          <w:rFonts w:ascii="Verdana" w:hAnsi="Verdana"/>
          <w:b/>
          <w:i/>
          <w:sz w:val="20"/>
          <w:szCs w:val="20"/>
          <w:lang w:val="es-DO"/>
        </w:rPr>
        <w:t xml:space="preserve">Comisión </w:t>
      </w:r>
      <w:r w:rsidRPr="000B33B9">
        <w:rPr>
          <w:rFonts w:ascii="Verdana" w:hAnsi="Verdana"/>
          <w:sz w:val="20"/>
          <w:szCs w:val="20"/>
          <w:lang w:val="es-DO"/>
        </w:rPr>
        <w:t xml:space="preserve">observó que han transcurrido más de 23 años desde la sentencia de 25 de octubre de 1993 emitida por la Corte Suprema, y que a la fecha de su Informe de Fondo el proceso de ejecución </w:t>
      </w:r>
      <w:r w:rsidR="007A3AB8" w:rsidRPr="000B33B9">
        <w:rPr>
          <w:rFonts w:ascii="Verdana" w:hAnsi="Verdana"/>
          <w:sz w:val="20"/>
          <w:szCs w:val="20"/>
          <w:lang w:val="es-DO"/>
        </w:rPr>
        <w:t>se encontraba</w:t>
      </w:r>
      <w:r w:rsidRPr="000B33B9">
        <w:rPr>
          <w:rFonts w:ascii="Verdana" w:hAnsi="Verdana"/>
          <w:sz w:val="20"/>
          <w:szCs w:val="20"/>
          <w:lang w:val="es-DO"/>
        </w:rPr>
        <w:t xml:space="preserve"> abierto. Asimismo, manifestó que a lo largo del proceso de ejecución de sentencia han surgido múltiples controversias judiciales que no han sido resueltas de manera definitiva, y que a partir del año 2002 han transcurrido 16 años en que se han rendido múltiples peritajes y ninguno de ellos ha sido aprobado de manera definitiva. La Comisión señaló que se encuentra demostrado que el poder judicial no ha aplicado las medidas necesarias para resolver aspectos fundamentales de la implementación de un fallo favorable a un grupo de pensionistas, quienes además son personas mayores. En consecuencia, concluyó que el Estado es responsable por la violación de los derechos establecidos en los artículos 25.1 y 25.2 de la Convención en perjuicio de las personas indicadas en el anexo único del Informe de Fondo.</w:t>
      </w:r>
    </w:p>
    <w:p w14:paraId="4FDBFD86" w14:textId="77777777" w:rsidR="00BD156F" w:rsidRPr="000B33B9" w:rsidRDefault="00BD156F" w:rsidP="00BD156F">
      <w:pPr>
        <w:pStyle w:val="Prrafodelista"/>
        <w:tabs>
          <w:tab w:val="left" w:pos="709"/>
        </w:tabs>
        <w:spacing w:after="0" w:line="240" w:lineRule="auto"/>
        <w:ind w:left="0"/>
        <w:contextualSpacing w:val="0"/>
        <w:jc w:val="both"/>
        <w:rPr>
          <w:rFonts w:ascii="Verdana" w:hAnsi="Verdana"/>
          <w:sz w:val="20"/>
          <w:szCs w:val="20"/>
          <w:lang w:val="es-DO"/>
        </w:rPr>
      </w:pPr>
    </w:p>
    <w:p w14:paraId="4599E65B" w14:textId="7096C42B" w:rsidR="00BD156F"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z w:val="20"/>
          <w:szCs w:val="20"/>
          <w:lang w:val="es-DO"/>
        </w:rPr>
      </w:pPr>
      <w:r w:rsidRPr="000B33B9">
        <w:rPr>
          <w:rFonts w:ascii="Verdana" w:hAnsi="Verdana"/>
          <w:sz w:val="20"/>
          <w:szCs w:val="20"/>
          <w:lang w:val="es-DO"/>
        </w:rPr>
        <w:t xml:space="preserve">Los </w:t>
      </w:r>
      <w:r w:rsidRPr="000B33B9">
        <w:rPr>
          <w:rFonts w:ascii="Verdana" w:hAnsi="Verdana"/>
          <w:b/>
          <w:i/>
          <w:sz w:val="20"/>
          <w:szCs w:val="20"/>
          <w:lang w:val="es-DO"/>
        </w:rPr>
        <w:t>representantes</w:t>
      </w:r>
      <w:r w:rsidRPr="000B33B9">
        <w:rPr>
          <w:rFonts w:ascii="Verdana" w:hAnsi="Verdana"/>
          <w:b/>
          <w:sz w:val="20"/>
          <w:szCs w:val="20"/>
          <w:lang w:val="es-DO"/>
        </w:rPr>
        <w:t xml:space="preserve"> </w:t>
      </w:r>
      <w:r w:rsidRPr="000B33B9">
        <w:rPr>
          <w:rFonts w:ascii="Verdana" w:hAnsi="Verdana"/>
          <w:sz w:val="20"/>
          <w:szCs w:val="20"/>
          <w:lang w:val="es-DO"/>
        </w:rPr>
        <w:t>alegaron que la sentencia del 25 de octubre de 1993 puso fin al debate judicial sobre el derecho de los cesantes jubilados de ANCEJUB-SUNAT a disfrutar de la pensión nivelable que les corresponde de acuerdo con el Decreto 20530,</w:t>
      </w:r>
      <w:r w:rsidR="003571A5" w:rsidRPr="000B33B9">
        <w:rPr>
          <w:rFonts w:ascii="Verdana" w:hAnsi="Verdana"/>
          <w:sz w:val="20"/>
          <w:szCs w:val="20"/>
          <w:lang w:val="es-DO"/>
        </w:rPr>
        <w:t xml:space="preserve"> pero pese a ello casi 27 años después de presentad al Poder Judicial, el Estado peruano no ha dado una respuesta definitiva al reclamo de ANCEJUB-SUNAT</w:t>
      </w:r>
      <w:r w:rsidRPr="000B33B9">
        <w:rPr>
          <w:rFonts w:ascii="Verdana" w:hAnsi="Verdana"/>
          <w:sz w:val="20"/>
          <w:szCs w:val="20"/>
          <w:lang w:val="es-DO"/>
        </w:rPr>
        <w:t>. Asimismo, alegaron que el Estado vulneró el derecho de las presuntas víctimas a la protección judicial porque ninguna de las tres acciones de amparo incoadas surtieron efecto alguno, no tuvieron la potencialidad suficiente para reparar la situación jurídica infringida ni han tenido la virtualidad de reparar las violaciones alegadas, lo cual constituye una violación al artículo 25 de la Convención.</w:t>
      </w:r>
    </w:p>
    <w:p w14:paraId="3C270162" w14:textId="77777777" w:rsidR="00BD156F" w:rsidRPr="000B33B9" w:rsidRDefault="00BD156F" w:rsidP="00BD156F">
      <w:pPr>
        <w:pStyle w:val="Prrafodelista"/>
        <w:tabs>
          <w:tab w:val="left" w:pos="709"/>
        </w:tabs>
        <w:spacing w:after="0" w:line="240" w:lineRule="auto"/>
        <w:ind w:left="0"/>
        <w:contextualSpacing w:val="0"/>
        <w:jc w:val="both"/>
        <w:rPr>
          <w:rFonts w:ascii="Verdana" w:hAnsi="Verdana"/>
          <w:sz w:val="20"/>
          <w:szCs w:val="20"/>
          <w:lang w:val="es-DO"/>
        </w:rPr>
      </w:pPr>
    </w:p>
    <w:p w14:paraId="3F6CDBA7" w14:textId="2D86CE87" w:rsidR="00BD156F"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z w:val="20"/>
          <w:szCs w:val="20"/>
          <w:lang w:val="es-DO"/>
        </w:rPr>
      </w:pPr>
      <w:r w:rsidRPr="000B33B9">
        <w:rPr>
          <w:rFonts w:ascii="Verdana" w:hAnsi="Verdana"/>
          <w:sz w:val="20"/>
          <w:szCs w:val="20"/>
          <w:lang w:val="es-DO"/>
        </w:rPr>
        <w:t xml:space="preserve">El </w:t>
      </w:r>
      <w:r w:rsidRPr="000B33B9">
        <w:rPr>
          <w:rFonts w:ascii="Verdana" w:hAnsi="Verdana"/>
          <w:b/>
          <w:i/>
          <w:sz w:val="20"/>
          <w:szCs w:val="20"/>
          <w:lang w:val="es-DO"/>
        </w:rPr>
        <w:t xml:space="preserve">Estado </w:t>
      </w:r>
      <w:r w:rsidRPr="000B33B9">
        <w:rPr>
          <w:rFonts w:ascii="Verdana" w:hAnsi="Verdana"/>
          <w:sz w:val="20"/>
          <w:szCs w:val="20"/>
          <w:lang w:val="es-DO"/>
        </w:rPr>
        <w:t>alegó no haber vulnerado el derecho a la protección judicial, consagrado en los artículos 25.1 y 25.2.c.</w:t>
      </w:r>
      <w:r w:rsidRPr="000B33B9">
        <w:rPr>
          <w:rFonts w:ascii="Verdana" w:hAnsi="Verdana"/>
          <w:b/>
          <w:sz w:val="20"/>
          <w:szCs w:val="20"/>
          <w:lang w:val="es-DO"/>
        </w:rPr>
        <w:t xml:space="preserve"> </w:t>
      </w:r>
      <w:r w:rsidRPr="000B33B9">
        <w:rPr>
          <w:rFonts w:ascii="Verdana" w:hAnsi="Verdana"/>
          <w:sz w:val="20"/>
          <w:szCs w:val="20"/>
          <w:lang w:val="es-DO"/>
        </w:rPr>
        <w:t>de la Convención</w:t>
      </w:r>
      <w:r w:rsidRPr="000B33B9">
        <w:rPr>
          <w:rFonts w:ascii="Verdana" w:hAnsi="Verdana"/>
          <w:b/>
          <w:sz w:val="20"/>
          <w:szCs w:val="20"/>
          <w:lang w:val="es-DO"/>
        </w:rPr>
        <w:t xml:space="preserve"> </w:t>
      </w:r>
      <w:r w:rsidR="008E052C" w:rsidRPr="000B33B9">
        <w:rPr>
          <w:rFonts w:ascii="Verdana" w:hAnsi="Verdana"/>
          <w:sz w:val="20"/>
          <w:szCs w:val="20"/>
          <w:lang w:val="es-DO"/>
        </w:rPr>
        <w:t>porque</w:t>
      </w:r>
      <w:r w:rsidRPr="000B33B9">
        <w:rPr>
          <w:rFonts w:ascii="Verdana" w:hAnsi="Verdana"/>
          <w:sz w:val="20"/>
          <w:szCs w:val="20"/>
          <w:lang w:val="es-DO"/>
        </w:rPr>
        <w:t xml:space="preserve"> ANCEJUB-SUNAT tuvo oportuno acceso a un recurso efectivo ante los jueces y tribunales competentes, y las autoridades correspondientes garantizaron el cumplimiento </w:t>
      </w:r>
      <w:r w:rsidR="008E052C" w:rsidRPr="000B33B9">
        <w:rPr>
          <w:rFonts w:ascii="Verdana" w:hAnsi="Verdana"/>
          <w:sz w:val="20"/>
          <w:szCs w:val="20"/>
          <w:lang w:val="es-DO"/>
        </w:rPr>
        <w:t>de la decisión contenida en la r</w:t>
      </w:r>
      <w:r w:rsidRPr="000B33B9">
        <w:rPr>
          <w:rFonts w:ascii="Verdana" w:hAnsi="Verdana"/>
          <w:sz w:val="20"/>
          <w:szCs w:val="20"/>
          <w:lang w:val="es-DO"/>
        </w:rPr>
        <w:t>esolución del 25 de octubre de 1993. En este senti</w:t>
      </w:r>
      <w:r w:rsidR="008E052C" w:rsidRPr="000B33B9">
        <w:rPr>
          <w:rFonts w:ascii="Verdana" w:hAnsi="Verdana"/>
          <w:sz w:val="20"/>
          <w:szCs w:val="20"/>
          <w:lang w:val="es-DO"/>
        </w:rPr>
        <w:t>do, señaló que en virtud de la r</w:t>
      </w:r>
      <w:r w:rsidRPr="000B33B9">
        <w:rPr>
          <w:rFonts w:ascii="Verdana" w:hAnsi="Verdana"/>
          <w:sz w:val="20"/>
          <w:szCs w:val="20"/>
          <w:lang w:val="es-DO"/>
        </w:rPr>
        <w:t xml:space="preserve">esolución </w:t>
      </w:r>
      <w:r w:rsidR="008E052C" w:rsidRPr="000B33B9">
        <w:rPr>
          <w:rFonts w:ascii="Verdana" w:hAnsi="Verdana"/>
          <w:sz w:val="20"/>
          <w:szCs w:val="20"/>
          <w:lang w:val="es-DO"/>
        </w:rPr>
        <w:t>46 de</w:t>
      </w:r>
      <w:r w:rsidRPr="000B33B9">
        <w:rPr>
          <w:rFonts w:ascii="Verdana" w:hAnsi="Verdana"/>
          <w:sz w:val="20"/>
          <w:szCs w:val="20"/>
          <w:lang w:val="es-DO"/>
        </w:rPr>
        <w:t xml:space="preserve"> 5 de mayo de 2005 del</w:t>
      </w:r>
      <w:r w:rsidR="008E052C" w:rsidRPr="000B33B9">
        <w:rPr>
          <w:rFonts w:ascii="Verdana" w:hAnsi="Verdana"/>
          <w:sz w:val="20"/>
          <w:szCs w:val="20"/>
          <w:lang w:val="es-DO"/>
        </w:rPr>
        <w:t xml:space="preserve"> Sexagésimo Sexto Juzgado, las r</w:t>
      </w:r>
      <w:r w:rsidRPr="000B33B9">
        <w:rPr>
          <w:rFonts w:ascii="Verdana" w:hAnsi="Verdana"/>
          <w:sz w:val="20"/>
          <w:szCs w:val="20"/>
          <w:lang w:val="es-DO"/>
        </w:rPr>
        <w:t>esoluciones de 24 de julio de 2006 y de 8 de mayo de 2016 de la Sexta Sala Civil de Lima, así como la Sentencia del Tribunal Constitucional de fecha 9 de agosto de 2011, el Estado resolvió los aspectos fundamentales de la ejecución de la Sentencia de 25 de octubre de 1993.</w:t>
      </w:r>
    </w:p>
    <w:p w14:paraId="4E336158" w14:textId="77777777" w:rsidR="00BD156F" w:rsidRPr="000B33B9" w:rsidRDefault="00BD156F" w:rsidP="00BD156F">
      <w:pPr>
        <w:pStyle w:val="Prrafodelista"/>
        <w:tabs>
          <w:tab w:val="left" w:pos="709"/>
        </w:tabs>
        <w:spacing w:after="0" w:line="240" w:lineRule="auto"/>
        <w:ind w:left="0"/>
        <w:contextualSpacing w:val="0"/>
        <w:jc w:val="both"/>
        <w:rPr>
          <w:rFonts w:ascii="Verdana" w:hAnsi="Verdana"/>
          <w:sz w:val="20"/>
          <w:szCs w:val="20"/>
          <w:lang w:val="es-DO"/>
        </w:rPr>
      </w:pPr>
    </w:p>
    <w:p w14:paraId="242A5858" w14:textId="77777777" w:rsidR="00BD156F" w:rsidRPr="000B33B9" w:rsidRDefault="00BD156F" w:rsidP="00BD156F">
      <w:pPr>
        <w:pStyle w:val="Ttulo3"/>
        <w:numPr>
          <w:ilvl w:val="0"/>
          <w:numId w:val="0"/>
        </w:numPr>
        <w:ind w:left="1353"/>
        <w:rPr>
          <w:lang w:val="es-DO"/>
        </w:rPr>
      </w:pPr>
      <w:bookmarkStart w:id="63" w:name="_Toc27329767"/>
      <w:r w:rsidRPr="000B33B9">
        <w:rPr>
          <w:lang w:val="es-DO"/>
        </w:rPr>
        <w:t>A.2. Consideraciones de la Corte</w:t>
      </w:r>
      <w:bookmarkEnd w:id="63"/>
    </w:p>
    <w:p w14:paraId="078BE69D" w14:textId="77777777" w:rsidR="00BD156F" w:rsidRPr="000B33B9" w:rsidRDefault="00BD156F" w:rsidP="00BD156F">
      <w:pPr>
        <w:pStyle w:val="Prrafodelista"/>
        <w:spacing w:after="0" w:line="240" w:lineRule="auto"/>
        <w:jc w:val="both"/>
        <w:rPr>
          <w:rFonts w:ascii="Verdana" w:hAnsi="Verdana"/>
          <w:b/>
          <w:bCs/>
          <w:sz w:val="20"/>
          <w:szCs w:val="20"/>
          <w:lang w:val="es-DO"/>
        </w:rPr>
      </w:pPr>
    </w:p>
    <w:p w14:paraId="1D1AC2D2" w14:textId="5196D60B" w:rsidR="00BD156F"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pacing w:val="-2"/>
          <w:sz w:val="20"/>
          <w:szCs w:val="20"/>
        </w:rPr>
      </w:pPr>
      <w:r w:rsidRPr="000B33B9">
        <w:rPr>
          <w:rFonts w:ascii="Verdana" w:hAnsi="Verdana"/>
          <w:spacing w:val="-2"/>
          <w:sz w:val="20"/>
          <w:szCs w:val="20"/>
        </w:rPr>
        <w:t xml:space="preserve">El artículo 25 de la Convención Americana reconoce el derecho a la protección judicial. Este Tribunal ha señalado que de la protección de este derecho es posible </w:t>
      </w:r>
      <w:r w:rsidRPr="000B33B9">
        <w:rPr>
          <w:rFonts w:ascii="Verdana" w:hAnsi="Verdana" w:cs="Arial"/>
          <w:spacing w:val="-2"/>
          <w:sz w:val="20"/>
          <w:szCs w:val="20"/>
          <w:lang w:val="es-AR"/>
        </w:rPr>
        <w:t>identificar</w:t>
      </w:r>
      <w:r w:rsidRPr="000B33B9">
        <w:rPr>
          <w:rFonts w:ascii="Verdana" w:hAnsi="Verdana"/>
          <w:spacing w:val="-2"/>
          <w:sz w:val="20"/>
          <w:szCs w:val="20"/>
        </w:rPr>
        <w:t xml:space="preserve"> dos obligaciones concretas del Estado. La primera, consagrar normativamente y asegurar la debida aplicación de recursos efectivos ante las autoridades competentes, que amparen a todas las personas bajo su jurisdicción contra actos que violen sus derechos fundamentales o que conlleven a la determinación de </w:t>
      </w:r>
      <w:r w:rsidR="008E052C" w:rsidRPr="000B33B9">
        <w:rPr>
          <w:rFonts w:ascii="Verdana" w:hAnsi="Verdana"/>
          <w:spacing w:val="-2"/>
          <w:sz w:val="20"/>
          <w:szCs w:val="20"/>
        </w:rPr>
        <w:t>los derechos y obligaciones de e</w:t>
      </w:r>
      <w:r w:rsidRPr="000B33B9">
        <w:rPr>
          <w:rFonts w:ascii="Verdana" w:hAnsi="Verdana"/>
          <w:spacing w:val="-2"/>
          <w:sz w:val="20"/>
          <w:szCs w:val="20"/>
        </w:rPr>
        <w:t>stas</w:t>
      </w:r>
      <w:r w:rsidRPr="000B33B9">
        <w:rPr>
          <w:rStyle w:val="Refdenotaalpie"/>
          <w:rFonts w:ascii="Verdana" w:hAnsi="Verdana"/>
          <w:spacing w:val="-2"/>
          <w:sz w:val="20"/>
          <w:szCs w:val="20"/>
        </w:rPr>
        <w:footnoteReference w:id="148"/>
      </w:r>
      <w:r w:rsidRPr="000B33B9">
        <w:rPr>
          <w:rFonts w:ascii="Verdana" w:hAnsi="Verdana"/>
          <w:spacing w:val="-2"/>
          <w:sz w:val="20"/>
          <w:szCs w:val="20"/>
        </w:rPr>
        <w:t>. La segunda, garantizar los medios para ejecutar las respectivas decisiones y sentencias definitivas emitidas por tales autoridades competentes, de manera que se protejan efectivamente los derechos declarados o reconocidos</w:t>
      </w:r>
      <w:r w:rsidRPr="000B33B9">
        <w:rPr>
          <w:rStyle w:val="Refdenotaalpie"/>
          <w:rFonts w:ascii="Verdana" w:hAnsi="Verdana"/>
          <w:spacing w:val="-2"/>
          <w:sz w:val="20"/>
          <w:szCs w:val="20"/>
        </w:rPr>
        <w:footnoteReference w:id="149"/>
      </w:r>
      <w:r w:rsidRPr="000B33B9">
        <w:rPr>
          <w:rFonts w:ascii="Verdana" w:hAnsi="Verdana"/>
          <w:spacing w:val="-2"/>
          <w:sz w:val="20"/>
          <w:szCs w:val="20"/>
        </w:rPr>
        <w:t>. En este sentido, el artículo 25.2.c de la Con</w:t>
      </w:r>
      <w:r w:rsidR="00E729D1" w:rsidRPr="000B33B9">
        <w:rPr>
          <w:rFonts w:ascii="Verdana" w:hAnsi="Verdana"/>
          <w:spacing w:val="-2"/>
          <w:sz w:val="20"/>
          <w:szCs w:val="20"/>
        </w:rPr>
        <w:t xml:space="preserve">vención consagra el derecho al </w:t>
      </w:r>
      <w:r w:rsidRPr="000B33B9">
        <w:rPr>
          <w:rFonts w:ascii="Verdana" w:hAnsi="Verdana"/>
          <w:spacing w:val="-2"/>
          <w:sz w:val="20"/>
          <w:szCs w:val="20"/>
        </w:rPr>
        <w:t>cumplimiento, por las autoridades competentes, de toda decisión en que se haya</w:t>
      </w:r>
      <w:r w:rsidR="00E729D1" w:rsidRPr="000B33B9">
        <w:rPr>
          <w:rFonts w:ascii="Verdana" w:hAnsi="Verdana"/>
          <w:spacing w:val="-2"/>
          <w:sz w:val="20"/>
          <w:szCs w:val="20"/>
        </w:rPr>
        <w:t xml:space="preserve"> estimado procedente el recurso</w:t>
      </w:r>
      <w:r w:rsidRPr="000B33B9">
        <w:rPr>
          <w:rStyle w:val="Refdenotaalpie"/>
          <w:rFonts w:ascii="Verdana" w:hAnsi="Verdana"/>
          <w:spacing w:val="-2"/>
          <w:sz w:val="20"/>
          <w:szCs w:val="20"/>
        </w:rPr>
        <w:footnoteReference w:id="150"/>
      </w:r>
      <w:r w:rsidRPr="000B33B9">
        <w:rPr>
          <w:rFonts w:ascii="Verdana" w:hAnsi="Verdana"/>
          <w:spacing w:val="-2"/>
          <w:sz w:val="20"/>
          <w:szCs w:val="20"/>
        </w:rPr>
        <w:t>.</w:t>
      </w:r>
    </w:p>
    <w:p w14:paraId="26B0A518" w14:textId="77777777" w:rsidR="00BD156F" w:rsidRPr="000B33B9" w:rsidRDefault="00BD156F" w:rsidP="00BD156F">
      <w:pPr>
        <w:pStyle w:val="Prrafodelista"/>
        <w:tabs>
          <w:tab w:val="left" w:pos="709"/>
        </w:tabs>
        <w:spacing w:after="0" w:line="240" w:lineRule="auto"/>
        <w:ind w:left="0"/>
        <w:contextualSpacing w:val="0"/>
        <w:jc w:val="both"/>
        <w:rPr>
          <w:rFonts w:ascii="Verdana" w:hAnsi="Verdana"/>
          <w:spacing w:val="-2"/>
          <w:sz w:val="20"/>
          <w:szCs w:val="20"/>
        </w:rPr>
      </w:pPr>
    </w:p>
    <w:p w14:paraId="61BA430A" w14:textId="2548831C" w:rsidR="00BD156F"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pacing w:val="-2"/>
          <w:sz w:val="20"/>
          <w:szCs w:val="20"/>
        </w:rPr>
      </w:pPr>
      <w:r w:rsidRPr="000B33B9">
        <w:rPr>
          <w:rFonts w:ascii="Verdana" w:hAnsi="Verdana"/>
          <w:spacing w:val="-2"/>
          <w:sz w:val="20"/>
          <w:szCs w:val="20"/>
        </w:rPr>
        <w:t xml:space="preserve">En relación con el cumplimiento de las sentencias, la Corte ha indicado </w:t>
      </w:r>
      <w:r w:rsidRPr="000B33B9">
        <w:rPr>
          <w:rFonts w:ascii="Verdana" w:hAnsi="Verdana" w:cs="Verdana"/>
          <w:bCs/>
          <w:iCs/>
          <w:sz w:val="20"/>
          <w:szCs w:val="20"/>
        </w:rPr>
        <w:t xml:space="preserve">que la responsabilidad estatal no termina cuando las autoridades competentes emiten una decisión o sentencia, sino que requiere además que el Estado garantice los medios y mecanismos eficaces para ejecutar las decisiones definitivas, de </w:t>
      </w:r>
      <w:r w:rsidR="00E05C81" w:rsidRPr="000B33B9">
        <w:rPr>
          <w:rFonts w:ascii="Verdana" w:hAnsi="Verdana" w:cs="Verdana"/>
          <w:bCs/>
          <w:iCs/>
          <w:sz w:val="20"/>
          <w:szCs w:val="20"/>
        </w:rPr>
        <w:t xml:space="preserve">modo </w:t>
      </w:r>
      <w:r w:rsidRPr="000B33B9">
        <w:rPr>
          <w:rFonts w:ascii="Verdana" w:hAnsi="Verdana" w:cs="Verdana"/>
          <w:bCs/>
          <w:iCs/>
          <w:sz w:val="20"/>
          <w:szCs w:val="20"/>
        </w:rPr>
        <w:t xml:space="preserve">que se protejan </w:t>
      </w:r>
      <w:r w:rsidR="00E05C81" w:rsidRPr="000B33B9">
        <w:rPr>
          <w:rFonts w:ascii="Verdana" w:hAnsi="Verdana" w:cs="Verdana"/>
          <w:bCs/>
          <w:iCs/>
          <w:sz w:val="20"/>
          <w:szCs w:val="20"/>
        </w:rPr>
        <w:t xml:space="preserve">de manera efectiva </w:t>
      </w:r>
      <w:r w:rsidRPr="000B33B9">
        <w:rPr>
          <w:rFonts w:ascii="Verdana" w:hAnsi="Verdana" w:cs="Verdana"/>
          <w:bCs/>
          <w:iCs/>
          <w:sz w:val="20"/>
          <w:szCs w:val="20"/>
        </w:rPr>
        <w:t>los derechos declarados</w:t>
      </w:r>
      <w:r w:rsidRPr="000B33B9">
        <w:rPr>
          <w:rFonts w:ascii="Verdana" w:hAnsi="Verdana" w:cs="Verdana"/>
          <w:bCs/>
          <w:iCs/>
          <w:sz w:val="20"/>
          <w:szCs w:val="20"/>
          <w:vertAlign w:val="superscript"/>
        </w:rPr>
        <w:footnoteReference w:id="151"/>
      </w:r>
      <w:r w:rsidRPr="000B33B9">
        <w:rPr>
          <w:rFonts w:ascii="Verdana" w:hAnsi="Verdana" w:cs="Verdana"/>
          <w:bCs/>
          <w:iCs/>
          <w:sz w:val="20"/>
          <w:szCs w:val="20"/>
        </w:rPr>
        <w:t>.</w:t>
      </w:r>
      <w:r w:rsidRPr="000B33B9">
        <w:rPr>
          <w:rFonts w:ascii="Verdana" w:hAnsi="Verdana"/>
          <w:spacing w:val="-2"/>
          <w:sz w:val="20"/>
          <w:szCs w:val="20"/>
        </w:rPr>
        <w:t xml:space="preserve"> Asimismo, este Tribunal ha establecido que</w:t>
      </w:r>
      <w:r w:rsidRPr="000B33B9">
        <w:rPr>
          <w:rFonts w:ascii="Verdana" w:eastAsia="Times" w:hAnsi="Verdana"/>
          <w:spacing w:val="-2"/>
          <w:sz w:val="20"/>
          <w:szCs w:val="20"/>
        </w:rPr>
        <w:t xml:space="preserve"> </w:t>
      </w:r>
      <w:r w:rsidRPr="000B33B9">
        <w:rPr>
          <w:rFonts w:ascii="Verdana" w:hAnsi="Verdana"/>
          <w:spacing w:val="-2"/>
          <w:sz w:val="20"/>
          <w:szCs w:val="20"/>
        </w:rPr>
        <w:t>la efectividad de las sentencias depende de su ejecución, cuyo proceso debe tender a la materialización de la protección del derecho</w:t>
      </w:r>
      <w:r w:rsidRPr="000B33B9">
        <w:rPr>
          <w:rFonts w:ascii="Verdana" w:hAnsi="Verdana"/>
          <w:b/>
          <w:spacing w:val="-2"/>
          <w:sz w:val="20"/>
          <w:szCs w:val="20"/>
        </w:rPr>
        <w:t xml:space="preserve"> </w:t>
      </w:r>
      <w:r w:rsidRPr="000B33B9">
        <w:rPr>
          <w:rFonts w:ascii="Verdana" w:hAnsi="Verdana"/>
          <w:spacing w:val="-2"/>
          <w:sz w:val="20"/>
          <w:szCs w:val="20"/>
        </w:rPr>
        <w:t>reconocido en el pronunciamiento judicial mediante la aplicación idónea de dicho pronunciamiento</w:t>
      </w:r>
      <w:r w:rsidRPr="000B33B9">
        <w:rPr>
          <w:rStyle w:val="Refdenotaalpie"/>
          <w:rFonts w:ascii="Verdana" w:hAnsi="Verdana"/>
          <w:spacing w:val="-2"/>
          <w:sz w:val="20"/>
          <w:szCs w:val="20"/>
        </w:rPr>
        <w:footnoteReference w:id="152"/>
      </w:r>
      <w:r w:rsidRPr="000B33B9">
        <w:rPr>
          <w:rFonts w:ascii="Verdana" w:hAnsi="Verdana"/>
          <w:spacing w:val="-2"/>
          <w:sz w:val="20"/>
          <w:szCs w:val="20"/>
        </w:rPr>
        <w:t>.</w:t>
      </w:r>
      <w:r w:rsidRPr="000B33B9">
        <w:rPr>
          <w:rFonts w:ascii="Verdana" w:hAnsi="Verdana"/>
          <w:b/>
          <w:spacing w:val="-2"/>
          <w:sz w:val="20"/>
          <w:szCs w:val="20"/>
        </w:rPr>
        <w:t xml:space="preserve"> </w:t>
      </w:r>
      <w:r w:rsidRPr="000B33B9">
        <w:rPr>
          <w:rFonts w:ascii="Verdana" w:hAnsi="Verdana"/>
          <w:sz w:val="20"/>
          <w:szCs w:val="20"/>
          <w:lang w:val="es-ES"/>
        </w:rPr>
        <w:t>La Corte también ha señalado que para lograr plenamente la efectividad de la sentencia la ejecución debe ser completa, perfecta, integral y sin demora</w:t>
      </w:r>
      <w:r w:rsidRPr="000B33B9">
        <w:rPr>
          <w:rStyle w:val="Refdenotaalpie"/>
          <w:rFonts w:ascii="Verdana" w:hAnsi="Verdana"/>
          <w:sz w:val="20"/>
          <w:szCs w:val="20"/>
          <w:lang w:val="es-ES"/>
        </w:rPr>
        <w:footnoteReference w:id="153"/>
      </w:r>
      <w:r w:rsidRPr="000B33B9">
        <w:rPr>
          <w:rFonts w:ascii="Verdana" w:hAnsi="Verdana"/>
          <w:sz w:val="20"/>
          <w:szCs w:val="20"/>
          <w:lang w:val="es-ES"/>
        </w:rPr>
        <w:t xml:space="preserve">. </w:t>
      </w:r>
    </w:p>
    <w:p w14:paraId="0815ED65" w14:textId="77777777" w:rsidR="00BD156F" w:rsidRPr="000B33B9" w:rsidRDefault="00BD156F" w:rsidP="00BD156F">
      <w:pPr>
        <w:pStyle w:val="Prrafodelista"/>
        <w:tabs>
          <w:tab w:val="left" w:pos="709"/>
        </w:tabs>
        <w:spacing w:after="0" w:line="240" w:lineRule="auto"/>
        <w:ind w:left="0"/>
        <w:contextualSpacing w:val="0"/>
        <w:jc w:val="both"/>
        <w:rPr>
          <w:rFonts w:ascii="Verdana" w:hAnsi="Verdana"/>
          <w:spacing w:val="-2"/>
          <w:sz w:val="20"/>
          <w:szCs w:val="20"/>
        </w:rPr>
      </w:pPr>
    </w:p>
    <w:p w14:paraId="4C41014D" w14:textId="7690F8AA" w:rsidR="00BD156F"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pacing w:val="-2"/>
          <w:sz w:val="20"/>
          <w:szCs w:val="20"/>
        </w:rPr>
      </w:pPr>
      <w:r w:rsidRPr="000B33B9">
        <w:rPr>
          <w:rFonts w:ascii="Verdana" w:hAnsi="Verdana"/>
          <w:spacing w:val="-2"/>
          <w:sz w:val="20"/>
          <w:szCs w:val="20"/>
        </w:rPr>
        <w:t xml:space="preserve"> La Corte recuerda que los integrantes de ANCEJUB-SUNAT laboraban para la SUNAT, conforme la Ley de Base de la Carrera Administrativa</w:t>
      </w:r>
      <w:r w:rsidRPr="000B33B9">
        <w:rPr>
          <w:rStyle w:val="Refdenotaalpie"/>
          <w:rFonts w:ascii="Verdana" w:hAnsi="Verdana"/>
          <w:spacing w:val="-2"/>
          <w:sz w:val="20"/>
          <w:szCs w:val="20"/>
        </w:rPr>
        <w:footnoteReference w:id="154"/>
      </w:r>
      <w:r w:rsidRPr="000B33B9">
        <w:rPr>
          <w:rFonts w:ascii="Verdana" w:hAnsi="Verdana"/>
          <w:spacing w:val="-2"/>
          <w:sz w:val="20"/>
          <w:szCs w:val="20"/>
        </w:rPr>
        <w:t xml:space="preserve"> y el régimen pensionario del Decreto 20530, cuando el Decreto 639 dispuso la reorganización de dicha institución</w:t>
      </w:r>
      <w:r w:rsidR="001901D6" w:rsidRPr="000B33B9">
        <w:rPr>
          <w:rStyle w:val="Refdenotaalpie"/>
          <w:rFonts w:ascii="Verdana" w:hAnsi="Verdana"/>
          <w:spacing w:val="-2"/>
          <w:sz w:val="20"/>
          <w:szCs w:val="20"/>
        </w:rPr>
        <w:footnoteReference w:id="155"/>
      </w:r>
      <w:r w:rsidRPr="000B33B9">
        <w:rPr>
          <w:rFonts w:ascii="Verdana" w:hAnsi="Verdana"/>
          <w:spacing w:val="-2"/>
          <w:sz w:val="20"/>
          <w:szCs w:val="20"/>
        </w:rPr>
        <w:t>. Como parte de la “reestructuración orgánica y de racionalización de recursos” ordenada por el Decreto 639, la SUNAT dispuso la posibilidad de adherirse a un Programa de Renuncias Voluntarias que ofrecía incentivos económicos, t</w:t>
      </w:r>
      <w:r w:rsidR="008E052C" w:rsidRPr="000B33B9">
        <w:rPr>
          <w:rFonts w:ascii="Verdana" w:hAnsi="Verdana"/>
          <w:spacing w:val="-2"/>
          <w:sz w:val="20"/>
          <w:szCs w:val="20"/>
        </w:rPr>
        <w:t>ales como el reconocimiento de tres</w:t>
      </w:r>
      <w:r w:rsidRPr="000B33B9">
        <w:rPr>
          <w:rFonts w:ascii="Verdana" w:hAnsi="Verdana"/>
          <w:spacing w:val="-2"/>
          <w:sz w:val="20"/>
          <w:szCs w:val="20"/>
        </w:rPr>
        <w:t xml:space="preserve"> </w:t>
      </w:r>
      <w:r w:rsidR="00192542" w:rsidRPr="000B33B9">
        <w:rPr>
          <w:rFonts w:ascii="Verdana" w:hAnsi="Verdana"/>
          <w:spacing w:val="-2"/>
          <w:sz w:val="20"/>
          <w:szCs w:val="20"/>
        </w:rPr>
        <w:t xml:space="preserve">y </w:t>
      </w:r>
      <w:r w:rsidR="008E052C" w:rsidRPr="000B33B9">
        <w:rPr>
          <w:rFonts w:ascii="Verdana" w:hAnsi="Verdana"/>
          <w:spacing w:val="-2"/>
          <w:sz w:val="20"/>
          <w:szCs w:val="20"/>
        </w:rPr>
        <w:t>cinco</w:t>
      </w:r>
      <w:r w:rsidR="00192542" w:rsidRPr="000B33B9">
        <w:rPr>
          <w:rFonts w:ascii="Verdana" w:hAnsi="Verdana"/>
          <w:spacing w:val="-2"/>
          <w:sz w:val="20"/>
          <w:szCs w:val="20"/>
        </w:rPr>
        <w:t xml:space="preserve"> </w:t>
      </w:r>
      <w:r w:rsidRPr="000B33B9">
        <w:rPr>
          <w:rFonts w:ascii="Verdana" w:hAnsi="Verdana"/>
          <w:spacing w:val="-2"/>
          <w:sz w:val="20"/>
          <w:szCs w:val="20"/>
        </w:rPr>
        <w:t>años adicionales de servicio para el cómputo de la pensión de cesantía</w:t>
      </w:r>
      <w:r w:rsidRPr="000B33B9">
        <w:rPr>
          <w:rStyle w:val="Refdenotaalpie"/>
          <w:rFonts w:ascii="Verdana" w:hAnsi="Verdana"/>
          <w:spacing w:val="-2"/>
          <w:sz w:val="20"/>
          <w:szCs w:val="20"/>
        </w:rPr>
        <w:footnoteReference w:id="156"/>
      </w:r>
      <w:r w:rsidRPr="000B33B9">
        <w:rPr>
          <w:rFonts w:ascii="Verdana" w:hAnsi="Verdana"/>
          <w:spacing w:val="-2"/>
          <w:sz w:val="20"/>
          <w:szCs w:val="20"/>
        </w:rPr>
        <w:t xml:space="preserve">. Al respecto, la Corte constata que los miembros de ANCEJUB-SUNAT eran servidores de la SUNAT con más de </w:t>
      </w:r>
      <w:r w:rsidR="008E052C" w:rsidRPr="000B33B9">
        <w:rPr>
          <w:rFonts w:ascii="Verdana" w:hAnsi="Verdana"/>
          <w:spacing w:val="-2"/>
          <w:sz w:val="20"/>
          <w:szCs w:val="20"/>
        </w:rPr>
        <w:t>20</w:t>
      </w:r>
      <w:r w:rsidRPr="000B33B9">
        <w:rPr>
          <w:rFonts w:ascii="Verdana" w:hAnsi="Verdana"/>
          <w:spacing w:val="-2"/>
          <w:sz w:val="20"/>
          <w:szCs w:val="20"/>
        </w:rPr>
        <w:t xml:space="preserve"> años de servicio que, en su mayoría, se habían acogido al plan de renuncias voluntarias establecido en el Decreto 639.</w:t>
      </w:r>
    </w:p>
    <w:p w14:paraId="0B9CEBB2" w14:textId="77777777" w:rsidR="00D615D4" w:rsidRPr="000B33B9" w:rsidRDefault="00D615D4" w:rsidP="00D615D4">
      <w:pPr>
        <w:pStyle w:val="Prrafodelista"/>
        <w:tabs>
          <w:tab w:val="left" w:pos="709"/>
        </w:tabs>
        <w:spacing w:after="0" w:line="240" w:lineRule="auto"/>
        <w:ind w:left="0"/>
        <w:contextualSpacing w:val="0"/>
        <w:jc w:val="both"/>
        <w:rPr>
          <w:rFonts w:ascii="Verdana" w:hAnsi="Verdana"/>
          <w:spacing w:val="-2"/>
          <w:sz w:val="20"/>
          <w:szCs w:val="20"/>
        </w:rPr>
      </w:pPr>
    </w:p>
    <w:p w14:paraId="5FF266B7" w14:textId="230FD488" w:rsidR="0002065C" w:rsidRPr="000B33B9" w:rsidRDefault="00BD156F" w:rsidP="007B74B8">
      <w:pPr>
        <w:pStyle w:val="Prrafodelista"/>
        <w:numPr>
          <w:ilvl w:val="0"/>
          <w:numId w:val="10"/>
        </w:numPr>
        <w:tabs>
          <w:tab w:val="left" w:pos="709"/>
        </w:tabs>
        <w:spacing w:after="0" w:line="240" w:lineRule="auto"/>
        <w:ind w:left="0" w:firstLine="0"/>
        <w:contextualSpacing w:val="0"/>
        <w:jc w:val="both"/>
        <w:rPr>
          <w:rFonts w:ascii="Verdana" w:hAnsi="Verdana"/>
          <w:spacing w:val="-2"/>
          <w:sz w:val="20"/>
          <w:szCs w:val="20"/>
        </w:rPr>
      </w:pPr>
      <w:r w:rsidRPr="000B33B9">
        <w:rPr>
          <w:rFonts w:ascii="Verdana" w:hAnsi="Verdana"/>
          <w:spacing w:val="-2"/>
          <w:sz w:val="20"/>
          <w:szCs w:val="20"/>
        </w:rPr>
        <w:t xml:space="preserve">En virtud de lo anterior, la SUNAT se encontraba obligada a pagar a los cesantes sus pensiones niveladas de conformidad con el Decreto 20530, lo que implicaba la nivelación de las pensiones conforme a los salarios devengados por los trabajadores en activo de dicha institución. Sin embargo, en septiembre de 1991 se transfirió dicha atribución al </w:t>
      </w:r>
      <w:r w:rsidR="00E729D1" w:rsidRPr="000B33B9">
        <w:rPr>
          <w:rFonts w:ascii="Verdana" w:hAnsi="Verdana"/>
          <w:spacing w:val="-2"/>
          <w:sz w:val="20"/>
          <w:szCs w:val="20"/>
        </w:rPr>
        <w:t>MEF</w:t>
      </w:r>
      <w:r w:rsidR="00FF4FAD" w:rsidRPr="000B33B9">
        <w:rPr>
          <w:rFonts w:ascii="Verdana" w:hAnsi="Verdana"/>
          <w:spacing w:val="-2"/>
          <w:sz w:val="20"/>
          <w:szCs w:val="20"/>
        </w:rPr>
        <w:t xml:space="preserve"> mediante la Tercera Disposición T</w:t>
      </w:r>
      <w:r w:rsidRPr="000B33B9">
        <w:rPr>
          <w:rFonts w:ascii="Verdana" w:hAnsi="Verdana"/>
          <w:spacing w:val="-2"/>
          <w:sz w:val="20"/>
          <w:szCs w:val="20"/>
        </w:rPr>
        <w:t>ransitoria del Decreto 673</w:t>
      </w:r>
      <w:r w:rsidRPr="000B33B9">
        <w:rPr>
          <w:rStyle w:val="Refdenotaalpie"/>
          <w:rFonts w:ascii="Verdana" w:hAnsi="Verdana"/>
          <w:spacing w:val="-2"/>
          <w:sz w:val="20"/>
          <w:szCs w:val="20"/>
        </w:rPr>
        <w:footnoteReference w:id="157"/>
      </w:r>
      <w:r w:rsidRPr="000B33B9">
        <w:rPr>
          <w:rFonts w:ascii="Verdana" w:hAnsi="Verdana"/>
          <w:spacing w:val="-2"/>
          <w:sz w:val="20"/>
          <w:szCs w:val="20"/>
        </w:rPr>
        <w:t xml:space="preserve">, expedido en el marco de la reorganización de la SUNAT, a fin de modificar el régimen laboral de los servidores que habían superado el proceso de postulación, sustituyendo para quienes así lo </w:t>
      </w:r>
      <w:r w:rsidR="003D2A72" w:rsidRPr="000B33B9">
        <w:rPr>
          <w:rFonts w:ascii="Verdana" w:hAnsi="Verdana"/>
          <w:spacing w:val="-2"/>
          <w:sz w:val="20"/>
          <w:szCs w:val="20"/>
        </w:rPr>
        <w:t xml:space="preserve">eligieran el régimen público del Decreto 276 </w:t>
      </w:r>
      <w:r w:rsidRPr="000B33B9">
        <w:rPr>
          <w:rFonts w:ascii="Verdana" w:hAnsi="Verdana"/>
          <w:spacing w:val="-2"/>
          <w:sz w:val="20"/>
          <w:szCs w:val="20"/>
        </w:rPr>
        <w:t xml:space="preserve">por el </w:t>
      </w:r>
      <w:r w:rsidR="00721095" w:rsidRPr="000B33B9">
        <w:rPr>
          <w:rFonts w:ascii="Verdana" w:hAnsi="Verdana"/>
          <w:spacing w:val="-2"/>
          <w:sz w:val="20"/>
          <w:szCs w:val="20"/>
        </w:rPr>
        <w:t>régimen privado del Decreto 4916</w:t>
      </w:r>
      <w:r w:rsidRPr="000B33B9">
        <w:rPr>
          <w:rStyle w:val="Refdenotaalpie"/>
          <w:rFonts w:ascii="Verdana" w:hAnsi="Verdana"/>
          <w:spacing w:val="-2"/>
          <w:sz w:val="20"/>
          <w:szCs w:val="20"/>
        </w:rPr>
        <w:footnoteReference w:id="158"/>
      </w:r>
      <w:r w:rsidRPr="000B33B9">
        <w:rPr>
          <w:rFonts w:ascii="Verdana" w:hAnsi="Verdana"/>
          <w:spacing w:val="-2"/>
          <w:sz w:val="20"/>
          <w:szCs w:val="20"/>
        </w:rPr>
        <w:t xml:space="preserve">. Es en este contexto que las presuntas víctimas </w:t>
      </w:r>
      <w:r w:rsidR="008E052C" w:rsidRPr="000B33B9">
        <w:rPr>
          <w:rFonts w:ascii="Verdana" w:hAnsi="Verdana"/>
          <w:spacing w:val="-2"/>
          <w:sz w:val="20"/>
          <w:szCs w:val="20"/>
        </w:rPr>
        <w:t>interpusieron</w:t>
      </w:r>
      <w:r w:rsidRPr="000B33B9">
        <w:rPr>
          <w:rFonts w:ascii="Verdana" w:hAnsi="Verdana"/>
          <w:spacing w:val="-2"/>
          <w:sz w:val="20"/>
          <w:szCs w:val="20"/>
        </w:rPr>
        <w:t xml:space="preserve"> un recurso de amparo, </w:t>
      </w:r>
      <w:r w:rsidR="008E052C" w:rsidRPr="000B33B9">
        <w:rPr>
          <w:rFonts w:ascii="Verdana" w:hAnsi="Verdana"/>
          <w:spacing w:val="-2"/>
          <w:sz w:val="20"/>
          <w:szCs w:val="20"/>
        </w:rPr>
        <w:t>cuya</w:t>
      </w:r>
      <w:r w:rsidRPr="000B33B9">
        <w:rPr>
          <w:rFonts w:ascii="Verdana" w:hAnsi="Verdana"/>
          <w:spacing w:val="-2"/>
          <w:sz w:val="20"/>
          <w:szCs w:val="20"/>
        </w:rPr>
        <w:t xml:space="preserve"> ejecución es el objeto principal de análisis de la presente sentencia. Como resultado de la acción de amparo, la Corte Suprema emitió la sentencia de 25 de octubre de 1993 que dispuso: a) la inaplicación a los miem</w:t>
      </w:r>
      <w:r w:rsidR="00FF4FAD" w:rsidRPr="000B33B9">
        <w:rPr>
          <w:rFonts w:ascii="Verdana" w:hAnsi="Verdana"/>
          <w:spacing w:val="-2"/>
          <w:sz w:val="20"/>
          <w:szCs w:val="20"/>
        </w:rPr>
        <w:t>bros de dicha asociación de la Tercera Disposición T</w:t>
      </w:r>
      <w:r w:rsidRPr="000B33B9">
        <w:rPr>
          <w:rFonts w:ascii="Verdana" w:hAnsi="Verdana"/>
          <w:spacing w:val="-2"/>
          <w:sz w:val="20"/>
          <w:szCs w:val="20"/>
        </w:rPr>
        <w:t>ransitoria del Decreto 673; b) la restitución de su derecho a percibir las pensiones niveladas “con las remuneraciones de los servidores activos de la [SUNAT]”, y c) el reintegro de “los incrementos dejados de percibir” debido a la referida disposición</w:t>
      </w:r>
      <w:r w:rsidRPr="000B33B9">
        <w:rPr>
          <w:rStyle w:val="Refdenotaalpie"/>
          <w:rFonts w:ascii="Verdana" w:hAnsi="Verdana"/>
          <w:spacing w:val="-2"/>
          <w:sz w:val="20"/>
          <w:szCs w:val="20"/>
        </w:rPr>
        <w:footnoteReference w:id="159"/>
      </w:r>
      <w:r w:rsidRPr="000B33B9">
        <w:rPr>
          <w:rFonts w:ascii="Verdana" w:hAnsi="Verdana"/>
          <w:spacing w:val="-2"/>
          <w:sz w:val="20"/>
          <w:szCs w:val="20"/>
        </w:rPr>
        <w:t>. Esta sentencia fue posteriormente confirmada mediante sentencias emitidas por el Tribunal Constitucional el 25 de junio de 1996</w:t>
      </w:r>
      <w:r w:rsidRPr="000B33B9">
        <w:rPr>
          <w:rStyle w:val="Refdenotaalpie"/>
          <w:rFonts w:ascii="Verdana" w:hAnsi="Verdana"/>
          <w:spacing w:val="-2"/>
          <w:sz w:val="20"/>
          <w:szCs w:val="20"/>
        </w:rPr>
        <w:footnoteReference w:id="160"/>
      </w:r>
      <w:r w:rsidRPr="000B33B9">
        <w:rPr>
          <w:rFonts w:ascii="Verdana" w:hAnsi="Verdana"/>
          <w:spacing w:val="-2"/>
          <w:sz w:val="20"/>
          <w:szCs w:val="20"/>
        </w:rPr>
        <w:t xml:space="preserve"> y el 10 de mayo de 2001</w:t>
      </w:r>
      <w:r w:rsidRPr="000B33B9">
        <w:rPr>
          <w:rStyle w:val="Refdenotaalpie"/>
          <w:rFonts w:ascii="Verdana" w:hAnsi="Verdana"/>
          <w:spacing w:val="-2"/>
          <w:sz w:val="20"/>
          <w:szCs w:val="20"/>
        </w:rPr>
        <w:footnoteReference w:id="161"/>
      </w:r>
      <w:r w:rsidRPr="000B33B9">
        <w:rPr>
          <w:rFonts w:ascii="Verdana" w:hAnsi="Verdana"/>
          <w:spacing w:val="-2"/>
          <w:sz w:val="20"/>
          <w:szCs w:val="20"/>
        </w:rPr>
        <w:t>.</w:t>
      </w:r>
    </w:p>
    <w:p w14:paraId="1D3F7DD1" w14:textId="77777777" w:rsidR="0002065C" w:rsidRPr="000B33B9" w:rsidRDefault="0002065C" w:rsidP="0002065C">
      <w:pPr>
        <w:pStyle w:val="Prrafodelista"/>
        <w:tabs>
          <w:tab w:val="left" w:pos="709"/>
        </w:tabs>
        <w:spacing w:after="0" w:line="240" w:lineRule="auto"/>
        <w:ind w:left="0"/>
        <w:contextualSpacing w:val="0"/>
        <w:jc w:val="both"/>
        <w:rPr>
          <w:rFonts w:ascii="Verdana" w:hAnsi="Verdana"/>
          <w:spacing w:val="-2"/>
          <w:sz w:val="20"/>
          <w:szCs w:val="20"/>
        </w:rPr>
      </w:pPr>
    </w:p>
    <w:p w14:paraId="1A6B34F5" w14:textId="794630DF" w:rsidR="0002065C" w:rsidRPr="000B33B9" w:rsidRDefault="0002065C" w:rsidP="007B74B8">
      <w:pPr>
        <w:pStyle w:val="Prrafodelista"/>
        <w:numPr>
          <w:ilvl w:val="0"/>
          <w:numId w:val="10"/>
        </w:numPr>
        <w:tabs>
          <w:tab w:val="left" w:pos="709"/>
        </w:tabs>
        <w:spacing w:after="0" w:line="240" w:lineRule="auto"/>
        <w:ind w:left="0" w:firstLine="0"/>
        <w:contextualSpacing w:val="0"/>
        <w:jc w:val="both"/>
        <w:rPr>
          <w:rFonts w:ascii="Verdana" w:hAnsi="Verdana"/>
          <w:spacing w:val="-2"/>
          <w:sz w:val="20"/>
          <w:szCs w:val="20"/>
        </w:rPr>
      </w:pPr>
      <w:r w:rsidRPr="000B33B9">
        <w:rPr>
          <w:rFonts w:ascii="Verdana" w:hAnsi="Verdana"/>
          <w:color w:val="000000" w:themeColor="text1"/>
          <w:spacing w:val="-2"/>
          <w:sz w:val="20"/>
          <w:szCs w:val="20"/>
        </w:rPr>
        <w:t>En atención a los alegatos presentados por la Comisión y por las partes, así como a los hechos antes mencionados, corresponde a la Corte examinar, en primer lugar, si el Estado ha dado cumplimiento a la sentencia de 25 de octubre de 1993 y si este</w:t>
      </w:r>
      <w:r w:rsidR="00FF6C04" w:rsidRPr="000B33B9">
        <w:rPr>
          <w:rFonts w:ascii="Verdana" w:hAnsi="Verdana"/>
          <w:color w:val="000000" w:themeColor="text1"/>
          <w:spacing w:val="-2"/>
          <w:sz w:val="20"/>
          <w:szCs w:val="20"/>
        </w:rPr>
        <w:t xml:space="preserve"> cumplimiento</w:t>
      </w:r>
      <w:r w:rsidRPr="000B33B9">
        <w:rPr>
          <w:rFonts w:ascii="Verdana" w:hAnsi="Verdana"/>
          <w:color w:val="000000" w:themeColor="text1"/>
          <w:spacing w:val="-2"/>
          <w:sz w:val="20"/>
          <w:szCs w:val="20"/>
        </w:rPr>
        <w:t xml:space="preserve"> ha sido efectuado conforme </w:t>
      </w:r>
      <w:r w:rsidR="00FF6C04" w:rsidRPr="000B33B9">
        <w:rPr>
          <w:rFonts w:ascii="Verdana" w:hAnsi="Verdana"/>
          <w:color w:val="000000" w:themeColor="text1"/>
          <w:spacing w:val="-2"/>
          <w:sz w:val="20"/>
          <w:szCs w:val="20"/>
        </w:rPr>
        <w:t>los</w:t>
      </w:r>
      <w:r w:rsidRPr="000B33B9">
        <w:rPr>
          <w:rFonts w:ascii="Verdana" w:hAnsi="Verdana"/>
          <w:color w:val="000000" w:themeColor="text1"/>
          <w:spacing w:val="-2"/>
          <w:sz w:val="20"/>
          <w:szCs w:val="20"/>
        </w:rPr>
        <w:t xml:space="preserve"> propios términos y el alcance definido por las resoluciones de los tribunales internos que resolvieron aspectos prácticos de su ejecución, tales como el régimen base para el cálculo de las pensiones niveladas y las personas que resultaron beneficiarias de la misma. En segundo lugar, en caso de que la sentencia no haya sido ejecutada, corresponde determinar cuáles obligaciones quedan pendientes de cumplimiento y si esto se ha debido a irregularidades o dilaciones injustificadas por parte del Estado que hayan tornado inefectivo el proceso de ejecución de la sentencia y, por ende, lo hayan hecho incompatible con las garantías contempladas en el artículo 25 de la Convención Americana. </w:t>
      </w:r>
    </w:p>
    <w:p w14:paraId="488054F9" w14:textId="77777777" w:rsidR="00BD156F" w:rsidRPr="000B33B9" w:rsidRDefault="00BD156F" w:rsidP="00E75FBA">
      <w:pPr>
        <w:tabs>
          <w:tab w:val="left" w:pos="567"/>
          <w:tab w:val="left" w:pos="709"/>
        </w:tabs>
        <w:spacing w:after="0" w:line="240" w:lineRule="auto"/>
        <w:jc w:val="both"/>
        <w:rPr>
          <w:rFonts w:ascii="Verdana" w:hAnsi="Verdana"/>
          <w:color w:val="FFFFFF" w:themeColor="background1"/>
          <w:spacing w:val="-2"/>
          <w:sz w:val="20"/>
          <w:szCs w:val="20"/>
        </w:rPr>
      </w:pPr>
    </w:p>
    <w:p w14:paraId="7E489D0F" w14:textId="1718D0AF" w:rsidR="00BD156F" w:rsidRPr="00E75FBA" w:rsidRDefault="00BD156F" w:rsidP="00E75FBA">
      <w:pPr>
        <w:pStyle w:val="Ttulo4"/>
        <w:numPr>
          <w:ilvl w:val="0"/>
          <w:numId w:val="0"/>
        </w:numPr>
        <w:ind w:left="1068"/>
      </w:pPr>
      <w:bookmarkStart w:id="64" w:name="_Toc27329768"/>
      <w:r w:rsidRPr="00E75FBA">
        <w:t xml:space="preserve">A.2.1. </w:t>
      </w:r>
      <w:r w:rsidR="00B073FA" w:rsidRPr="00E75FBA">
        <w:t>E</w:t>
      </w:r>
      <w:r w:rsidRPr="00E75FBA">
        <w:t>l alegado cumplimiento de la sentencia de 25 de octubre de 1993</w:t>
      </w:r>
      <w:bookmarkEnd w:id="64"/>
    </w:p>
    <w:p w14:paraId="5E6D04E2" w14:textId="77777777" w:rsidR="00BD156F" w:rsidRPr="00E75FBA" w:rsidRDefault="00BD156F" w:rsidP="00E75FBA">
      <w:pPr>
        <w:pStyle w:val="Prrafodelista"/>
        <w:jc w:val="both"/>
        <w:rPr>
          <w:rFonts w:ascii="Verdana" w:hAnsi="Verdana" w:cs="Arial"/>
          <w:spacing w:val="-2"/>
          <w:sz w:val="20"/>
          <w:szCs w:val="20"/>
          <w:lang w:eastAsia="ja-JP"/>
        </w:rPr>
      </w:pPr>
    </w:p>
    <w:p w14:paraId="5C099707" w14:textId="7836C5DF" w:rsidR="00387453" w:rsidRPr="00E75FBA" w:rsidRDefault="009270AB" w:rsidP="00E75FBA">
      <w:pPr>
        <w:pStyle w:val="Prrafodelista"/>
        <w:numPr>
          <w:ilvl w:val="0"/>
          <w:numId w:val="10"/>
        </w:numPr>
        <w:spacing w:after="0" w:line="240" w:lineRule="auto"/>
        <w:ind w:left="0" w:firstLine="0"/>
        <w:jc w:val="both"/>
        <w:rPr>
          <w:rFonts w:ascii="Verdana" w:hAnsi="Verdana"/>
          <w:sz w:val="20"/>
          <w:szCs w:val="20"/>
          <w:lang w:val="es-CR"/>
        </w:rPr>
      </w:pPr>
      <w:r w:rsidRPr="00E75FBA">
        <w:rPr>
          <w:rFonts w:ascii="Verdana" w:hAnsi="Verdana"/>
          <w:spacing w:val="-2"/>
          <w:sz w:val="20"/>
          <w:szCs w:val="20"/>
        </w:rPr>
        <w:t>La</w:t>
      </w:r>
      <w:r w:rsidR="00790FE3" w:rsidRPr="00E75FBA">
        <w:rPr>
          <w:rFonts w:ascii="Verdana" w:hAnsi="Verdana"/>
          <w:spacing w:val="-2"/>
          <w:sz w:val="20"/>
          <w:szCs w:val="20"/>
        </w:rPr>
        <w:t xml:space="preserve"> Corte advierte que la</w:t>
      </w:r>
      <w:r w:rsidRPr="00E75FBA">
        <w:rPr>
          <w:rFonts w:ascii="Verdana" w:hAnsi="Verdana"/>
          <w:spacing w:val="-2"/>
          <w:sz w:val="20"/>
          <w:szCs w:val="20"/>
        </w:rPr>
        <w:t xml:space="preserve"> principal controversia</w:t>
      </w:r>
      <w:r w:rsidR="00E112A8" w:rsidRPr="00E75FBA">
        <w:rPr>
          <w:rFonts w:ascii="Verdana" w:hAnsi="Verdana"/>
          <w:spacing w:val="-2"/>
          <w:sz w:val="20"/>
          <w:szCs w:val="20"/>
        </w:rPr>
        <w:t xml:space="preserve"> respecto de la ejecución de la sentencia de 25 de octubre de 1993</w:t>
      </w:r>
      <w:r w:rsidRPr="00E75FBA">
        <w:rPr>
          <w:rFonts w:ascii="Verdana" w:hAnsi="Verdana"/>
          <w:spacing w:val="-2"/>
          <w:sz w:val="20"/>
          <w:szCs w:val="20"/>
        </w:rPr>
        <w:t xml:space="preserve"> </w:t>
      </w:r>
      <w:r w:rsidR="00BD156F" w:rsidRPr="00E75FBA">
        <w:rPr>
          <w:rFonts w:ascii="Verdana" w:hAnsi="Verdana"/>
          <w:spacing w:val="-2"/>
          <w:sz w:val="20"/>
          <w:szCs w:val="20"/>
        </w:rPr>
        <w:t>consiste en</w:t>
      </w:r>
      <w:r w:rsidR="00790FE3" w:rsidRPr="00E75FBA">
        <w:rPr>
          <w:rFonts w:ascii="Verdana" w:hAnsi="Verdana"/>
          <w:spacing w:val="-2"/>
          <w:sz w:val="20"/>
          <w:szCs w:val="20"/>
        </w:rPr>
        <w:t xml:space="preserve"> el pago de las pensiones</w:t>
      </w:r>
      <w:r w:rsidR="00BD156F" w:rsidRPr="00E75FBA">
        <w:rPr>
          <w:rFonts w:ascii="Verdana" w:hAnsi="Verdana"/>
          <w:spacing w:val="-2"/>
          <w:sz w:val="20"/>
          <w:szCs w:val="20"/>
        </w:rPr>
        <w:t xml:space="preserve"> </w:t>
      </w:r>
      <w:r w:rsidR="00790FE3" w:rsidRPr="00E75FBA">
        <w:rPr>
          <w:rFonts w:ascii="Verdana" w:hAnsi="Verdana"/>
          <w:spacing w:val="-2"/>
          <w:sz w:val="20"/>
          <w:szCs w:val="20"/>
        </w:rPr>
        <w:t xml:space="preserve">niveladas a las </w:t>
      </w:r>
      <w:r w:rsidRPr="00E75FBA">
        <w:rPr>
          <w:rFonts w:ascii="Verdana" w:hAnsi="Verdana"/>
          <w:spacing w:val="-2"/>
          <w:sz w:val="20"/>
          <w:szCs w:val="20"/>
        </w:rPr>
        <w:t>presuntas víctimas</w:t>
      </w:r>
      <w:r w:rsidR="00BD156F" w:rsidRPr="00E75FBA">
        <w:rPr>
          <w:rFonts w:ascii="Verdana" w:hAnsi="Verdana"/>
          <w:spacing w:val="-2"/>
          <w:sz w:val="20"/>
          <w:szCs w:val="20"/>
        </w:rPr>
        <w:t>, es</w:t>
      </w:r>
      <w:r w:rsidR="00BD156F" w:rsidRPr="000B33B9">
        <w:rPr>
          <w:rFonts w:ascii="Verdana" w:hAnsi="Verdana"/>
          <w:spacing w:val="-2"/>
          <w:sz w:val="20"/>
          <w:szCs w:val="20"/>
        </w:rPr>
        <w:t xml:space="preserve"> </w:t>
      </w:r>
      <w:r w:rsidR="001901D6" w:rsidRPr="000B33B9">
        <w:rPr>
          <w:rFonts w:ascii="Verdana" w:hAnsi="Verdana"/>
          <w:spacing w:val="-2"/>
          <w:sz w:val="20"/>
          <w:szCs w:val="20"/>
        </w:rPr>
        <w:t>decir si e</w:t>
      </w:r>
      <w:r w:rsidR="00BD156F" w:rsidRPr="000B33B9">
        <w:rPr>
          <w:rFonts w:ascii="Verdana" w:hAnsi="Verdana"/>
          <w:spacing w:val="-2"/>
          <w:sz w:val="20"/>
          <w:szCs w:val="20"/>
        </w:rPr>
        <w:t>stas se corresponde</w:t>
      </w:r>
      <w:r w:rsidR="00D615D4" w:rsidRPr="000B33B9">
        <w:rPr>
          <w:rFonts w:ascii="Verdana" w:hAnsi="Verdana"/>
          <w:spacing w:val="-2"/>
          <w:sz w:val="20"/>
          <w:szCs w:val="20"/>
        </w:rPr>
        <w:t>n</w:t>
      </w:r>
      <w:r w:rsidR="00BD156F" w:rsidRPr="000B33B9">
        <w:rPr>
          <w:rFonts w:ascii="Verdana" w:hAnsi="Verdana"/>
          <w:spacing w:val="-2"/>
          <w:sz w:val="20"/>
          <w:szCs w:val="20"/>
        </w:rPr>
        <w:t xml:space="preserve"> con lo orde</w:t>
      </w:r>
      <w:r w:rsidR="00E112A8" w:rsidRPr="000B33B9">
        <w:rPr>
          <w:rFonts w:ascii="Verdana" w:hAnsi="Verdana"/>
          <w:spacing w:val="-2"/>
          <w:sz w:val="20"/>
          <w:szCs w:val="20"/>
        </w:rPr>
        <w:t>nado por la Corte Suprema</w:t>
      </w:r>
      <w:r w:rsidR="00BD156F" w:rsidRPr="000B33B9">
        <w:rPr>
          <w:rFonts w:ascii="Verdana" w:hAnsi="Verdana"/>
          <w:spacing w:val="-2"/>
          <w:sz w:val="20"/>
          <w:szCs w:val="20"/>
        </w:rPr>
        <w:t xml:space="preserve"> y, por ende, si el Estado ha cumplido con la ejecución integral de dicha decisión. </w:t>
      </w:r>
      <w:r w:rsidR="00790FE3" w:rsidRPr="000B33B9">
        <w:rPr>
          <w:rFonts w:ascii="Verdana" w:hAnsi="Verdana"/>
          <w:spacing w:val="-2"/>
          <w:sz w:val="20"/>
          <w:szCs w:val="20"/>
        </w:rPr>
        <w:t>P</w:t>
      </w:r>
      <w:r w:rsidR="00BD156F" w:rsidRPr="000B33B9">
        <w:rPr>
          <w:rFonts w:ascii="Verdana" w:hAnsi="Verdana"/>
          <w:spacing w:val="-2"/>
          <w:sz w:val="20"/>
          <w:szCs w:val="20"/>
        </w:rPr>
        <w:t>ara verificar el cum</w:t>
      </w:r>
      <w:r w:rsidR="00790FE3" w:rsidRPr="000B33B9">
        <w:rPr>
          <w:rFonts w:ascii="Verdana" w:hAnsi="Verdana"/>
          <w:spacing w:val="-2"/>
          <w:sz w:val="20"/>
          <w:szCs w:val="20"/>
        </w:rPr>
        <w:t>plimiento alegado por el Estado</w:t>
      </w:r>
      <w:r w:rsidR="00BD156F" w:rsidRPr="000B33B9">
        <w:rPr>
          <w:rFonts w:ascii="Verdana" w:hAnsi="Verdana"/>
          <w:spacing w:val="-2"/>
          <w:sz w:val="20"/>
          <w:szCs w:val="20"/>
        </w:rPr>
        <w:t xml:space="preserve"> resulta esencial </w:t>
      </w:r>
      <w:r w:rsidR="00790FE3" w:rsidRPr="000B33B9">
        <w:rPr>
          <w:rFonts w:ascii="Verdana" w:hAnsi="Verdana"/>
          <w:spacing w:val="-2"/>
          <w:sz w:val="20"/>
          <w:szCs w:val="20"/>
        </w:rPr>
        <w:t xml:space="preserve">pronunciarse sobre </w:t>
      </w:r>
      <w:r w:rsidR="00BD156F" w:rsidRPr="000B33B9">
        <w:rPr>
          <w:rFonts w:ascii="Verdana" w:hAnsi="Verdana"/>
          <w:spacing w:val="-2"/>
          <w:sz w:val="20"/>
          <w:szCs w:val="20"/>
        </w:rPr>
        <w:t xml:space="preserve">la delimitación de </w:t>
      </w:r>
      <w:r w:rsidR="00BD156F" w:rsidRPr="000B33B9">
        <w:rPr>
          <w:rFonts w:ascii="Verdana" w:hAnsi="Verdana"/>
          <w:sz w:val="20"/>
          <w:szCs w:val="20"/>
          <w:lang w:val="es-DO"/>
        </w:rPr>
        <w:t>los alcances de la sentencia de 25 de octubre de 1993 en cuanto a si dispuso o no la inaplicabilidad del artículo 3, literal c, del Decreto 673, que establecía el carácter no pensionable para los cesantes y jubilados sujetos al Decreto 20530 de la mayor remuneración percibida por los servidores de la SUNAT en virtud del régimen laboral privado del Decreto 4916</w:t>
      </w:r>
      <w:r w:rsidR="00BD156F" w:rsidRPr="000B33B9">
        <w:rPr>
          <w:rStyle w:val="Refdenotaalpie"/>
          <w:rFonts w:ascii="Verdana" w:hAnsi="Verdana"/>
          <w:sz w:val="20"/>
          <w:szCs w:val="20"/>
          <w:lang w:val="es-DO"/>
        </w:rPr>
        <w:footnoteReference w:id="162"/>
      </w:r>
      <w:r w:rsidR="00790FE3" w:rsidRPr="000B33B9">
        <w:rPr>
          <w:rFonts w:ascii="Verdana" w:hAnsi="Verdana"/>
          <w:sz w:val="20"/>
          <w:szCs w:val="20"/>
          <w:lang w:val="es-DO"/>
        </w:rPr>
        <w:t>. Por esta razón, le</w:t>
      </w:r>
      <w:r w:rsidR="00BD156F" w:rsidRPr="000B33B9">
        <w:rPr>
          <w:rFonts w:ascii="Verdana" w:hAnsi="Verdana"/>
          <w:sz w:val="20"/>
          <w:szCs w:val="20"/>
          <w:lang w:val="es-DO"/>
        </w:rPr>
        <w:t xml:space="preserve"> corresponde a la Corte analizar cuáles son los términos de la referida decisión y si el comportamiento de las autoridades encargadas de su ejecución se ajustó a ellos. </w:t>
      </w:r>
      <w:r w:rsidR="00387453" w:rsidRPr="000B33B9">
        <w:rPr>
          <w:rFonts w:ascii="Verdana" w:hAnsi="Verdana"/>
          <w:spacing w:val="-2"/>
          <w:sz w:val="20"/>
          <w:szCs w:val="20"/>
        </w:rPr>
        <w:t xml:space="preserve">En ese sentido, el Tribunal advierte que los </w:t>
      </w:r>
      <w:r w:rsidR="0049710E" w:rsidRPr="000B33B9">
        <w:rPr>
          <w:rFonts w:ascii="Verdana" w:hAnsi="Verdana"/>
          <w:spacing w:val="-2"/>
          <w:sz w:val="20"/>
          <w:szCs w:val="20"/>
        </w:rPr>
        <w:t>dos</w:t>
      </w:r>
      <w:r w:rsidR="00387453" w:rsidRPr="000B33B9">
        <w:rPr>
          <w:rFonts w:ascii="Verdana" w:hAnsi="Verdana"/>
          <w:spacing w:val="-2"/>
          <w:sz w:val="20"/>
          <w:szCs w:val="20"/>
        </w:rPr>
        <w:t xml:space="preserve"> puntos centrales de la controversia a nivel inter</w:t>
      </w:r>
      <w:r w:rsidR="001901D6" w:rsidRPr="000B33B9">
        <w:rPr>
          <w:rFonts w:ascii="Verdana" w:hAnsi="Verdana"/>
          <w:spacing w:val="-2"/>
          <w:sz w:val="20"/>
          <w:szCs w:val="20"/>
        </w:rPr>
        <w:t>no, y que son relevantes para el</w:t>
      </w:r>
      <w:r w:rsidR="00387453" w:rsidRPr="000B33B9">
        <w:rPr>
          <w:rFonts w:ascii="Verdana" w:hAnsi="Verdana"/>
          <w:spacing w:val="-2"/>
          <w:sz w:val="20"/>
          <w:szCs w:val="20"/>
        </w:rPr>
        <w:t xml:space="preserve"> análisis de este </w:t>
      </w:r>
      <w:r w:rsidR="00387453" w:rsidRPr="00E75FBA">
        <w:rPr>
          <w:rFonts w:ascii="Verdana" w:hAnsi="Verdana"/>
          <w:spacing w:val="-2"/>
          <w:sz w:val="20"/>
          <w:szCs w:val="20"/>
        </w:rPr>
        <w:t xml:space="preserve">caso en sede internacional </w:t>
      </w:r>
      <w:r w:rsidR="00101C0F" w:rsidRPr="00E75FBA">
        <w:rPr>
          <w:rFonts w:ascii="Verdana" w:hAnsi="Verdana"/>
          <w:spacing w:val="-2"/>
          <w:sz w:val="20"/>
          <w:szCs w:val="20"/>
        </w:rPr>
        <w:t>son</w:t>
      </w:r>
      <w:r w:rsidR="00387453" w:rsidRPr="00E75FBA">
        <w:rPr>
          <w:rFonts w:ascii="Verdana" w:hAnsi="Verdana"/>
          <w:spacing w:val="-2"/>
          <w:sz w:val="20"/>
          <w:szCs w:val="20"/>
        </w:rPr>
        <w:t xml:space="preserve">: a) el régimen base para la nivelación de las pensiones y </w:t>
      </w:r>
      <w:r w:rsidR="002B1759" w:rsidRPr="00E75FBA">
        <w:rPr>
          <w:rFonts w:ascii="Verdana" w:hAnsi="Verdana"/>
          <w:spacing w:val="-2"/>
          <w:sz w:val="20"/>
          <w:szCs w:val="20"/>
        </w:rPr>
        <w:t>b</w:t>
      </w:r>
      <w:r w:rsidR="00387453" w:rsidRPr="00E75FBA">
        <w:rPr>
          <w:rFonts w:ascii="Verdana" w:hAnsi="Verdana"/>
          <w:spacing w:val="-2"/>
          <w:sz w:val="20"/>
          <w:szCs w:val="20"/>
        </w:rPr>
        <w:t>) la determinación de las personas beneficiadas por la sentencia.</w:t>
      </w:r>
    </w:p>
    <w:p w14:paraId="76F3C7D3" w14:textId="77777777" w:rsidR="00387453" w:rsidRPr="00E75FBA" w:rsidRDefault="00387453" w:rsidP="00387453">
      <w:pPr>
        <w:spacing w:after="0" w:line="240" w:lineRule="auto"/>
        <w:jc w:val="both"/>
        <w:rPr>
          <w:rFonts w:ascii="Verdana" w:hAnsi="Verdana"/>
          <w:spacing w:val="-2"/>
          <w:sz w:val="20"/>
          <w:szCs w:val="20"/>
        </w:rPr>
      </w:pPr>
    </w:p>
    <w:p w14:paraId="0145DE9F" w14:textId="47E245AF" w:rsidR="00387453" w:rsidRPr="00E75FBA" w:rsidRDefault="00387453" w:rsidP="00FB4805">
      <w:pPr>
        <w:spacing w:after="0" w:line="240" w:lineRule="auto"/>
        <w:ind w:firstLine="720"/>
        <w:rPr>
          <w:rFonts w:ascii="Verdana" w:hAnsi="Verdana"/>
          <w:i/>
          <w:sz w:val="20"/>
          <w:szCs w:val="20"/>
        </w:rPr>
      </w:pPr>
      <w:r w:rsidRPr="00E75FBA">
        <w:rPr>
          <w:rFonts w:ascii="Verdana" w:hAnsi="Verdana"/>
          <w:i/>
          <w:sz w:val="20"/>
          <w:szCs w:val="20"/>
        </w:rPr>
        <w:t xml:space="preserve">i) </w:t>
      </w:r>
      <w:r w:rsidR="00D35009" w:rsidRPr="00E75FBA">
        <w:rPr>
          <w:rFonts w:ascii="Verdana" w:hAnsi="Verdana"/>
          <w:i/>
          <w:sz w:val="20"/>
          <w:szCs w:val="20"/>
        </w:rPr>
        <w:t>Respecto al r</w:t>
      </w:r>
      <w:r w:rsidRPr="00E75FBA">
        <w:rPr>
          <w:rFonts w:ascii="Verdana" w:hAnsi="Verdana"/>
          <w:i/>
          <w:sz w:val="20"/>
          <w:szCs w:val="20"/>
        </w:rPr>
        <w:t xml:space="preserve">égimen base para la nivelación de las pensiones </w:t>
      </w:r>
    </w:p>
    <w:p w14:paraId="707A1BB4" w14:textId="77777777" w:rsidR="00387453" w:rsidRPr="00E75FBA" w:rsidRDefault="00387453" w:rsidP="00FB4805">
      <w:pPr>
        <w:pStyle w:val="Prrafodelista"/>
        <w:spacing w:after="0" w:line="240" w:lineRule="auto"/>
        <w:ind w:left="0"/>
        <w:contextualSpacing w:val="0"/>
        <w:jc w:val="both"/>
        <w:rPr>
          <w:rFonts w:ascii="Verdana" w:hAnsi="Verdana"/>
          <w:spacing w:val="-2"/>
          <w:sz w:val="20"/>
          <w:szCs w:val="20"/>
          <w:lang w:val="es-ES"/>
        </w:rPr>
      </w:pPr>
    </w:p>
    <w:p w14:paraId="5F15CCDE" w14:textId="6C649EEA" w:rsidR="0042135F" w:rsidRPr="00E75FBA" w:rsidRDefault="00387453" w:rsidP="007B74B8">
      <w:pPr>
        <w:pStyle w:val="Prrafodelista"/>
        <w:numPr>
          <w:ilvl w:val="0"/>
          <w:numId w:val="10"/>
        </w:numPr>
        <w:spacing w:after="0" w:line="240" w:lineRule="auto"/>
        <w:ind w:left="0" w:firstLine="0"/>
        <w:contextualSpacing w:val="0"/>
        <w:jc w:val="both"/>
        <w:rPr>
          <w:rFonts w:ascii="Verdana" w:hAnsi="Verdana"/>
          <w:spacing w:val="-2"/>
          <w:sz w:val="20"/>
          <w:szCs w:val="20"/>
          <w:lang w:val="es-ES"/>
        </w:rPr>
      </w:pPr>
      <w:r w:rsidRPr="00E75FBA">
        <w:rPr>
          <w:rFonts w:ascii="Verdana" w:hAnsi="Verdana"/>
          <w:spacing w:val="-2"/>
          <w:sz w:val="20"/>
          <w:szCs w:val="20"/>
          <w:lang w:val="es-ES"/>
        </w:rPr>
        <w:t xml:space="preserve">El Tribunal </w:t>
      </w:r>
      <w:r w:rsidR="002B1759" w:rsidRPr="00E75FBA">
        <w:rPr>
          <w:rFonts w:ascii="Verdana" w:hAnsi="Verdana"/>
          <w:spacing w:val="-2"/>
          <w:sz w:val="20"/>
          <w:szCs w:val="20"/>
          <w:lang w:val="es-ES"/>
        </w:rPr>
        <w:t>recuerda</w:t>
      </w:r>
      <w:r w:rsidRPr="00E75FBA">
        <w:rPr>
          <w:rFonts w:ascii="Verdana" w:hAnsi="Verdana"/>
          <w:spacing w:val="-2"/>
          <w:sz w:val="20"/>
          <w:szCs w:val="20"/>
          <w:lang w:val="es-ES"/>
        </w:rPr>
        <w:t xml:space="preserve"> </w:t>
      </w:r>
      <w:r w:rsidR="002B1759" w:rsidRPr="00E75FBA">
        <w:rPr>
          <w:rFonts w:ascii="Verdana" w:hAnsi="Verdana"/>
          <w:spacing w:val="-2"/>
          <w:sz w:val="20"/>
          <w:szCs w:val="20"/>
          <w:lang w:val="es-ES"/>
        </w:rPr>
        <w:t xml:space="preserve">que la sentencia de 25 de octubre de 1993 dispuso la restitución del derecho de las presuntas víctimas </w:t>
      </w:r>
      <w:r w:rsidR="00D35009" w:rsidRPr="00E75FBA">
        <w:rPr>
          <w:rFonts w:ascii="Verdana" w:hAnsi="Verdana"/>
          <w:spacing w:val="-2"/>
          <w:sz w:val="20"/>
          <w:szCs w:val="20"/>
          <w:lang w:val="es-ES"/>
        </w:rPr>
        <w:t>a la nivelación de sus pensiones conforme al régimen 20530</w:t>
      </w:r>
      <w:r w:rsidRPr="00E75FBA">
        <w:rPr>
          <w:rFonts w:ascii="Verdana" w:hAnsi="Verdana"/>
          <w:spacing w:val="-2"/>
          <w:sz w:val="20"/>
          <w:szCs w:val="20"/>
        </w:rPr>
        <w:t>.</w:t>
      </w:r>
      <w:r w:rsidR="00D35009" w:rsidRPr="00E75FBA">
        <w:rPr>
          <w:rFonts w:ascii="Verdana" w:hAnsi="Verdana"/>
          <w:spacing w:val="-2"/>
          <w:sz w:val="20"/>
          <w:szCs w:val="20"/>
        </w:rPr>
        <w:t xml:space="preserve"> Sin embargo, la aludida sentencia no precisó el régimen laboral con fundamento al cual habrían de nivelarse las pensiones de las presuntas víctimas. </w:t>
      </w:r>
      <w:r w:rsidRPr="00E75FBA">
        <w:rPr>
          <w:rFonts w:ascii="Verdana" w:hAnsi="Verdana"/>
          <w:spacing w:val="-2"/>
          <w:sz w:val="20"/>
          <w:szCs w:val="20"/>
        </w:rPr>
        <w:t>La ambigüedad de la cual adolecía la sentencia de 25 de octubre de 1993 con relación a dicho punto fue producto del propio Decreto 673, a partir del cual en la SUNAT coexistirían dos régimen laborales: el público y el privado. Ello implicaba que l</w:t>
      </w:r>
      <w:r w:rsidRPr="00E75FBA">
        <w:rPr>
          <w:rFonts w:ascii="Verdana" w:hAnsi="Verdana"/>
          <w:sz w:val="20"/>
          <w:szCs w:val="20"/>
        </w:rPr>
        <w:t xml:space="preserve">as personas que desempeñaban iguales o similares labores a las que ejercían las presuntas víctimas, cuya remuneración sería el parámetro para efectuar la nivelación de las pensiones, podrían estar sometidas a dos regímenes distintos, el público y el privado, variando sus remuneraciones en función de uno u otro, con la particularidad de que las correspondientes al segundo eran notoriamente más elevadas que las del primero. </w:t>
      </w:r>
    </w:p>
    <w:p w14:paraId="54EF26D6" w14:textId="77777777" w:rsidR="0042135F" w:rsidRPr="00E75FBA" w:rsidRDefault="0042135F" w:rsidP="0042135F">
      <w:pPr>
        <w:pStyle w:val="Prrafodelista"/>
        <w:rPr>
          <w:rFonts w:ascii="Verdana" w:hAnsi="Verdana"/>
          <w:spacing w:val="-2"/>
          <w:sz w:val="20"/>
          <w:szCs w:val="20"/>
        </w:rPr>
      </w:pPr>
    </w:p>
    <w:p w14:paraId="0B732FD1" w14:textId="1CAEE227" w:rsidR="0042135F" w:rsidRPr="000B33B9" w:rsidRDefault="00387453" w:rsidP="007B74B8">
      <w:pPr>
        <w:pStyle w:val="Prrafodelista"/>
        <w:numPr>
          <w:ilvl w:val="0"/>
          <w:numId w:val="10"/>
        </w:numPr>
        <w:spacing w:after="0" w:line="240" w:lineRule="auto"/>
        <w:ind w:left="0" w:firstLine="0"/>
        <w:contextualSpacing w:val="0"/>
        <w:jc w:val="both"/>
        <w:rPr>
          <w:rFonts w:ascii="Verdana" w:hAnsi="Verdana"/>
          <w:spacing w:val="-2"/>
          <w:sz w:val="20"/>
          <w:szCs w:val="20"/>
          <w:lang w:val="es-ES"/>
        </w:rPr>
      </w:pPr>
      <w:r w:rsidRPr="00E75FBA">
        <w:rPr>
          <w:rFonts w:ascii="Verdana" w:hAnsi="Verdana"/>
          <w:spacing w:val="-2"/>
          <w:sz w:val="20"/>
          <w:szCs w:val="20"/>
        </w:rPr>
        <w:t>Lo anterior conllevó a un debate judicial sobre si al disponer la nivelación de las pensiones de las presuntas víctimas con arreglo a “</w:t>
      </w:r>
      <w:r w:rsidR="001901D6" w:rsidRPr="00E75FBA">
        <w:rPr>
          <w:rFonts w:ascii="Verdana" w:hAnsi="Verdana"/>
          <w:spacing w:val="-2"/>
          <w:sz w:val="20"/>
          <w:szCs w:val="20"/>
        </w:rPr>
        <w:t xml:space="preserve">(…) </w:t>
      </w:r>
      <w:r w:rsidRPr="00E75FBA">
        <w:rPr>
          <w:rFonts w:ascii="Verdana" w:hAnsi="Verdana"/>
          <w:spacing w:val="-2"/>
          <w:sz w:val="20"/>
          <w:szCs w:val="20"/>
        </w:rPr>
        <w:t>las remuneraciones de los servidores activos de la Superintendencia Nacional de Administración Tributaria”, la sentencia de 25 de octubre de 1993 se refería a las remuneraciones de todos los trabajadores en actividad de la SUNAT, incluyendo los sometidos al régimen laboral privado del Decreto 4916, o únicamente a aquellos que pertenecían al régimen laboral público del Decreto 276. Dadas sus repercusiones sobre los efectos</w:t>
      </w:r>
      <w:r w:rsidRPr="000B33B9">
        <w:rPr>
          <w:rFonts w:ascii="Verdana" w:hAnsi="Verdana"/>
          <w:spacing w:val="-2"/>
          <w:sz w:val="20"/>
          <w:szCs w:val="20"/>
        </w:rPr>
        <w:t xml:space="preserve"> patrimoniales derivados de la sentencia de 25 de octubre de 1993, dicha cuestión fue el principal punto de litigio a partir de la presentación </w:t>
      </w:r>
      <w:r w:rsidRPr="000B33B9">
        <w:rPr>
          <w:rFonts w:ascii="Verdana" w:hAnsi="Verdana"/>
          <w:spacing w:val="-2"/>
          <w:sz w:val="20"/>
          <w:szCs w:val="20"/>
          <w:lang w:val="es-ES"/>
        </w:rPr>
        <w:t>del primer informe pericial de 3 de abril de 2003, cuyas sucesivas impugnaciones derivaron en la sentencia de 24 de julio de 2006, que fue confirmada por la sentencia de 9 de agosto de 2011</w:t>
      </w:r>
      <w:r w:rsidR="00755798" w:rsidRPr="000B33B9">
        <w:rPr>
          <w:rFonts w:ascii="Verdana" w:hAnsi="Verdana"/>
          <w:spacing w:val="-2"/>
          <w:sz w:val="20"/>
          <w:szCs w:val="20"/>
          <w:lang w:val="es-ES"/>
        </w:rPr>
        <w:t xml:space="preserve"> </w:t>
      </w:r>
      <w:r w:rsidR="0002065C" w:rsidRPr="000B33B9">
        <w:rPr>
          <w:rFonts w:ascii="Verdana" w:hAnsi="Verdana"/>
          <w:spacing w:val="-2"/>
          <w:sz w:val="20"/>
          <w:szCs w:val="20"/>
          <w:lang w:val="es-ES"/>
        </w:rPr>
        <w:t>cuyo criterio fue, a su vez, ratificado por la resolución emitida el 23 de abril de 2019 por el Tribunal Constitucional.</w:t>
      </w:r>
    </w:p>
    <w:p w14:paraId="6EC283DB" w14:textId="77777777" w:rsidR="0042135F" w:rsidRPr="000B33B9" w:rsidRDefault="0042135F" w:rsidP="0042135F">
      <w:pPr>
        <w:pStyle w:val="Prrafodelista"/>
        <w:rPr>
          <w:rFonts w:ascii="Verdana" w:hAnsi="Verdana"/>
          <w:sz w:val="20"/>
          <w:szCs w:val="20"/>
        </w:rPr>
      </w:pPr>
    </w:p>
    <w:p w14:paraId="21C74137" w14:textId="095751E1" w:rsidR="00387453" w:rsidRPr="000B33B9" w:rsidRDefault="003628B8" w:rsidP="007B74B8">
      <w:pPr>
        <w:pStyle w:val="Prrafodelista"/>
        <w:numPr>
          <w:ilvl w:val="0"/>
          <w:numId w:val="10"/>
        </w:numPr>
        <w:spacing w:after="0" w:line="240" w:lineRule="auto"/>
        <w:ind w:left="0" w:firstLine="0"/>
        <w:contextualSpacing w:val="0"/>
        <w:jc w:val="both"/>
        <w:rPr>
          <w:rFonts w:ascii="Verdana" w:hAnsi="Verdana"/>
          <w:spacing w:val="-2"/>
          <w:sz w:val="20"/>
          <w:szCs w:val="20"/>
          <w:lang w:val="es-ES"/>
        </w:rPr>
      </w:pPr>
      <w:r w:rsidRPr="000B33B9">
        <w:rPr>
          <w:rFonts w:ascii="Verdana" w:hAnsi="Verdana"/>
          <w:bCs/>
          <w:iCs/>
          <w:sz w:val="20"/>
          <w:szCs w:val="20"/>
          <w:lang w:val="es-CR"/>
        </w:rPr>
        <w:t xml:space="preserve">En la sentencia de 9 de agosto de 2011, el </w:t>
      </w:r>
      <w:r w:rsidRPr="000B33B9">
        <w:rPr>
          <w:rFonts w:ascii="Verdana" w:hAnsi="Verdana"/>
          <w:sz w:val="20"/>
          <w:szCs w:val="20"/>
          <w:lang w:val="es-ES"/>
        </w:rPr>
        <w:t xml:space="preserve">Tribunal Constitucional fijó el alcance de la sentencia de 25 de octubre de 1993 en cuanto al régimen que habría de servir de base para el cálculo de las pensiones niveladas y los reintegros pendientes, interpretando </w:t>
      </w:r>
      <w:r w:rsidRPr="000B33B9">
        <w:rPr>
          <w:rFonts w:ascii="Verdana" w:hAnsi="Verdana"/>
          <w:sz w:val="20"/>
          <w:szCs w:val="20"/>
        </w:rPr>
        <w:t xml:space="preserve">la aludida sentencia en el sentido de que no dispone la inaplicación en beneficio de los integrantes de ANCEJUB-SUNAT del artículo 3, literal c, del Decreto 673 y, por ende, sus pensiones solo pueden ser niveladas conforme el régimen laboral público del Decreto 276, y no con fundamento en el régimen laboral privado del Decreto 4916. </w:t>
      </w:r>
      <w:r w:rsidR="00387453" w:rsidRPr="000B33B9">
        <w:rPr>
          <w:rFonts w:ascii="Verdana" w:hAnsi="Verdana"/>
          <w:sz w:val="20"/>
          <w:szCs w:val="20"/>
        </w:rPr>
        <w:t xml:space="preserve">Al ratificar la resolución de 24 de julio de 2006 y, por vía de consecuencia, la aplicabilidad del artículo 3, inciso c, del Decreto 673, la sentencia de 9 de agosto de 2011 limitó la nivelación de </w:t>
      </w:r>
      <w:r w:rsidR="00387453" w:rsidRPr="000B33B9">
        <w:rPr>
          <w:rFonts w:ascii="Verdana" w:hAnsi="Verdana"/>
          <w:spacing w:val="-2"/>
          <w:sz w:val="20"/>
          <w:szCs w:val="20"/>
          <w:lang w:val="es-ES"/>
        </w:rPr>
        <w:t xml:space="preserve">las pensiones a las remuneraciones de los servidores de la SUNAT sujetos al régimen laboral público, sin comprender los aumentos percibidos por los trabajadores sujetos al régimen privado, que a partir de la entrada en vigencia del Decreto 673 se convirtió en el régimen general de dicha institución. Con esto, el Tribunal Constitucional </w:t>
      </w:r>
      <w:r w:rsidR="00ED764B" w:rsidRPr="000B33B9">
        <w:rPr>
          <w:rFonts w:ascii="Verdana" w:hAnsi="Verdana"/>
          <w:spacing w:val="-2"/>
          <w:sz w:val="20"/>
          <w:szCs w:val="20"/>
          <w:lang w:val="es-ES"/>
        </w:rPr>
        <w:t xml:space="preserve">precisó </w:t>
      </w:r>
      <w:r w:rsidR="00387453" w:rsidRPr="000B33B9">
        <w:rPr>
          <w:rFonts w:ascii="Verdana" w:hAnsi="Verdana"/>
          <w:spacing w:val="-2"/>
          <w:sz w:val="20"/>
          <w:szCs w:val="20"/>
          <w:lang w:val="es-ES"/>
        </w:rPr>
        <w:t xml:space="preserve">de manera definitiva el régimen laboral con base al cual debía ser ejecutada la sentencia de 25 de octubre de 1993, para lo cual </w:t>
      </w:r>
      <w:r w:rsidR="00387453" w:rsidRPr="000B33B9">
        <w:rPr>
          <w:rFonts w:ascii="Verdana" w:hAnsi="Verdana"/>
          <w:sz w:val="20"/>
          <w:szCs w:val="20"/>
        </w:rPr>
        <w:t xml:space="preserve">ponderó las razones siguientes: </w:t>
      </w:r>
    </w:p>
    <w:p w14:paraId="741DB0B2" w14:textId="77777777" w:rsidR="00387453" w:rsidRPr="000B33B9" w:rsidRDefault="00387453" w:rsidP="00387453">
      <w:pPr>
        <w:spacing w:after="0" w:line="240" w:lineRule="auto"/>
        <w:jc w:val="both"/>
        <w:rPr>
          <w:rFonts w:ascii="Verdana" w:hAnsi="Verdana"/>
          <w:sz w:val="20"/>
          <w:szCs w:val="20"/>
        </w:rPr>
      </w:pPr>
    </w:p>
    <w:p w14:paraId="32109513" w14:textId="5C945EFE" w:rsidR="00387453" w:rsidRPr="000B33B9" w:rsidRDefault="00387453" w:rsidP="003D2A72">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w:t>
      </w:r>
      <w:r w:rsidR="003D2A72" w:rsidRPr="000B33B9">
        <w:rPr>
          <w:rFonts w:ascii="Verdana" w:hAnsi="Verdana"/>
          <w:sz w:val="18"/>
          <w:szCs w:val="18"/>
          <w:lang w:val="es-ES"/>
        </w:rPr>
        <w:t xml:space="preserve">(…) </w:t>
      </w:r>
      <w:r w:rsidRPr="000B33B9">
        <w:rPr>
          <w:rFonts w:ascii="Verdana" w:hAnsi="Verdana"/>
          <w:sz w:val="18"/>
          <w:szCs w:val="18"/>
          <w:lang w:val="es-ES"/>
        </w:rPr>
        <w:t>Como puede apreciarse el artículo 3º del Decreto Legislativo No. 673 prescribe que los trabajadores que opten por permanecer en el régimen del Decreto Legislativo No</w:t>
      </w:r>
      <w:r w:rsidR="001901D6" w:rsidRPr="000B33B9">
        <w:rPr>
          <w:rFonts w:ascii="Verdana" w:hAnsi="Verdana"/>
          <w:sz w:val="18"/>
          <w:szCs w:val="18"/>
          <w:lang w:val="es-ES"/>
        </w:rPr>
        <w:t>.</w:t>
      </w:r>
      <w:r w:rsidRPr="000B33B9">
        <w:rPr>
          <w:rFonts w:ascii="Verdana" w:hAnsi="Verdana"/>
          <w:sz w:val="18"/>
          <w:szCs w:val="18"/>
          <w:lang w:val="es-ES"/>
        </w:rPr>
        <w:t xml:space="preserve"> 276, además de la remuneración mensual que les corresponde en el Sector Público, se les agregará la diferencia que existiese con similar cargo o nivel remunerativo del personal comprendido en el régimen laboral privado (inciso “a”). Asimismo recibirán las remuneraciones accesorias que la SUNAT establezca para el personal sujeto al régimen laboral privado (inciso “b”). Finalmente, el inciso c) de este artículo 3º señala que dicha “mayor remuneración” tendrá “el carácter no pensionable para aquellos trabajadores comprendidos en el régimen jubilatorio del Decreto Ley No. 20530. </w:t>
      </w:r>
    </w:p>
    <w:p w14:paraId="4133CFD8" w14:textId="77777777" w:rsidR="00387453" w:rsidRPr="000B33B9" w:rsidRDefault="00387453" w:rsidP="003D2A72">
      <w:pPr>
        <w:spacing w:after="0" w:line="240" w:lineRule="auto"/>
        <w:ind w:left="706" w:right="1094"/>
        <w:jc w:val="both"/>
        <w:rPr>
          <w:rFonts w:ascii="Verdana" w:hAnsi="Verdana"/>
          <w:sz w:val="18"/>
          <w:szCs w:val="18"/>
          <w:lang w:val="es-ES"/>
        </w:rPr>
      </w:pPr>
    </w:p>
    <w:p w14:paraId="7BB9786B" w14:textId="7AE1CA77" w:rsidR="00387453" w:rsidRPr="000B33B9" w:rsidRDefault="00387453" w:rsidP="003D2A72">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 El carácter “no pensionable” que da el inciso c) del artículo 3º del Decreto Legislativo No</w:t>
      </w:r>
      <w:r w:rsidR="001901D6" w:rsidRPr="000B33B9">
        <w:rPr>
          <w:rFonts w:ascii="Verdana" w:hAnsi="Verdana"/>
          <w:sz w:val="18"/>
          <w:szCs w:val="18"/>
          <w:lang w:val="es-ES"/>
        </w:rPr>
        <w:t>.</w:t>
      </w:r>
      <w:r w:rsidRPr="000B33B9">
        <w:rPr>
          <w:rFonts w:ascii="Verdana" w:hAnsi="Verdana"/>
          <w:sz w:val="18"/>
          <w:szCs w:val="18"/>
          <w:lang w:val="es-ES"/>
        </w:rPr>
        <w:t xml:space="preserve"> 673 a la mencionada “mayor remuneración” dispuesta por los incisos a) y b) de dicho artículo, no fue materia de ordenamiento en su constitucionalidad y consecuente inaplicación por la sentencia de la Corte Suprema materia de ejecución. Es decir –como puede apreciarse de la transcripción de su parte resolutiva (…) dicha sentencia solo inaplicó a los asociados de la recurrente la Tercera Disposición Transitoria del Decreto Legislativo [673] , pero no el inciso c) del artículo 3º de este. </w:t>
      </w:r>
    </w:p>
    <w:p w14:paraId="154D90BE" w14:textId="77777777" w:rsidR="00387453" w:rsidRPr="000B33B9" w:rsidRDefault="00387453" w:rsidP="003D2A72">
      <w:pPr>
        <w:spacing w:after="0" w:line="240" w:lineRule="auto"/>
        <w:ind w:left="706" w:right="1094"/>
        <w:jc w:val="both"/>
        <w:rPr>
          <w:rFonts w:ascii="Verdana" w:hAnsi="Verdana"/>
          <w:sz w:val="18"/>
          <w:szCs w:val="18"/>
          <w:lang w:val="es-ES"/>
        </w:rPr>
      </w:pPr>
    </w:p>
    <w:p w14:paraId="5BB683D7" w14:textId="5FE07ECA" w:rsidR="00387453" w:rsidRPr="000B33B9" w:rsidRDefault="00387453" w:rsidP="003D2A72">
      <w:pPr>
        <w:spacing w:after="0" w:line="240" w:lineRule="auto"/>
        <w:ind w:left="706" w:right="1094"/>
        <w:jc w:val="both"/>
        <w:rPr>
          <w:rFonts w:ascii="Verdana" w:hAnsi="Verdana"/>
          <w:sz w:val="18"/>
          <w:szCs w:val="18"/>
          <w:lang w:val="es-ES"/>
        </w:rPr>
      </w:pPr>
      <w:r w:rsidRPr="000B33B9">
        <w:rPr>
          <w:rFonts w:ascii="Verdana" w:hAnsi="Verdana"/>
          <w:sz w:val="18"/>
          <w:szCs w:val="18"/>
          <w:lang w:val="es-ES"/>
        </w:rPr>
        <w:t xml:space="preserve">(…) En vista de ello, a juicio de este </w:t>
      </w:r>
      <w:r w:rsidR="001901D6" w:rsidRPr="000B33B9">
        <w:rPr>
          <w:rFonts w:ascii="Verdana" w:hAnsi="Verdana"/>
          <w:sz w:val="18"/>
          <w:szCs w:val="18"/>
          <w:lang w:val="es-ES"/>
        </w:rPr>
        <w:t>C</w:t>
      </w:r>
      <w:r w:rsidRPr="000B33B9">
        <w:rPr>
          <w:rFonts w:ascii="Verdana" w:hAnsi="Verdana"/>
          <w:sz w:val="18"/>
          <w:szCs w:val="18"/>
          <w:lang w:val="es-ES"/>
        </w:rPr>
        <w:t>olegiado, la resolución de la Sexta Sala Civil de la Corte Superior de Lima, de fecha 24 de julio de 2006, (…) contrariamente a lo alegado por la recurrente no realiza una interpretación arbitraria o restrictiva, ni mucho menos deja sin efecto la Sentencia</w:t>
      </w:r>
      <w:r w:rsidR="001901D6" w:rsidRPr="000B33B9">
        <w:rPr>
          <w:rFonts w:ascii="Verdana" w:hAnsi="Verdana"/>
          <w:sz w:val="18"/>
          <w:szCs w:val="18"/>
          <w:lang w:val="es-ES"/>
        </w:rPr>
        <w:t xml:space="preserve"> de la Corte Suprema de fecha 25</w:t>
      </w:r>
      <w:r w:rsidRPr="000B33B9">
        <w:rPr>
          <w:rFonts w:ascii="Verdana" w:hAnsi="Verdana"/>
          <w:sz w:val="18"/>
          <w:szCs w:val="18"/>
          <w:lang w:val="es-ES"/>
        </w:rPr>
        <w:t xml:space="preserve"> de octubre de 1993”</w:t>
      </w:r>
      <w:r w:rsidR="003D2A72" w:rsidRPr="000B33B9">
        <w:rPr>
          <w:rStyle w:val="Refdenotaalpie"/>
          <w:rFonts w:ascii="Verdana" w:hAnsi="Verdana"/>
          <w:sz w:val="18"/>
          <w:szCs w:val="18"/>
          <w:lang w:val="es-ES"/>
        </w:rPr>
        <w:footnoteReference w:id="163"/>
      </w:r>
      <w:r w:rsidR="003D2A72" w:rsidRPr="000B33B9">
        <w:rPr>
          <w:rFonts w:ascii="Verdana" w:hAnsi="Verdana"/>
          <w:sz w:val="18"/>
          <w:szCs w:val="18"/>
          <w:lang w:val="es-ES"/>
        </w:rPr>
        <w:t>.</w:t>
      </w:r>
    </w:p>
    <w:p w14:paraId="03ECBF80" w14:textId="77777777" w:rsidR="00387453" w:rsidRPr="000B33B9" w:rsidRDefault="00387453" w:rsidP="00387453">
      <w:pPr>
        <w:pStyle w:val="Prrafodelista"/>
        <w:spacing w:after="0" w:line="240" w:lineRule="auto"/>
        <w:ind w:left="0"/>
        <w:contextualSpacing w:val="0"/>
        <w:jc w:val="both"/>
        <w:rPr>
          <w:rFonts w:ascii="Verdana" w:hAnsi="Verdana" w:cs="Verdana"/>
          <w:bCs/>
          <w:iCs/>
          <w:sz w:val="20"/>
          <w:szCs w:val="20"/>
          <w:lang w:val="es-ES"/>
        </w:rPr>
      </w:pPr>
    </w:p>
    <w:p w14:paraId="247BF3F8" w14:textId="56E79BE9" w:rsidR="0042135F" w:rsidRPr="000B33B9" w:rsidRDefault="00387453" w:rsidP="007B74B8">
      <w:pPr>
        <w:pStyle w:val="Prrafodelista"/>
        <w:numPr>
          <w:ilvl w:val="0"/>
          <w:numId w:val="10"/>
        </w:numPr>
        <w:spacing w:after="0" w:line="240" w:lineRule="auto"/>
        <w:ind w:left="0" w:firstLine="0"/>
        <w:contextualSpacing w:val="0"/>
        <w:jc w:val="both"/>
        <w:rPr>
          <w:rFonts w:ascii="Verdana" w:hAnsi="Verdana"/>
          <w:sz w:val="20"/>
          <w:szCs w:val="20"/>
        </w:rPr>
      </w:pPr>
      <w:r w:rsidRPr="000B33B9">
        <w:rPr>
          <w:rFonts w:ascii="Verdana" w:hAnsi="Verdana" w:cs="Verdana"/>
          <w:bCs/>
          <w:iCs/>
          <w:sz w:val="20"/>
          <w:szCs w:val="20"/>
          <w:lang w:val="es-CR"/>
        </w:rPr>
        <w:t xml:space="preserve">La Corte </w:t>
      </w:r>
      <w:r w:rsidR="001901D6" w:rsidRPr="000B33B9">
        <w:rPr>
          <w:rFonts w:ascii="Verdana" w:hAnsi="Verdana" w:cs="Verdana"/>
          <w:bCs/>
          <w:iCs/>
          <w:sz w:val="20"/>
          <w:szCs w:val="20"/>
          <w:lang w:val="es-CR"/>
        </w:rPr>
        <w:t>considera</w:t>
      </w:r>
      <w:r w:rsidRPr="000B33B9">
        <w:rPr>
          <w:rFonts w:ascii="Verdana" w:hAnsi="Verdana" w:cs="Verdana"/>
          <w:bCs/>
          <w:iCs/>
          <w:sz w:val="20"/>
          <w:szCs w:val="20"/>
          <w:lang w:val="es-CR"/>
        </w:rPr>
        <w:t xml:space="preserve"> que los razonamientos por parte del Tribunal Constitucional se corresponden con el deber de motivar las resoluciones, que constituye una garantía vinculada a la recta administración de justicia porque salvaguarda el derecho de los ciudadanos a ser juzgados por las razones que el Derecho suministra, a la vez que brinda credibilidad a las decisiones judiciales en una sociedad democrática</w:t>
      </w:r>
      <w:r w:rsidRPr="000B33B9">
        <w:rPr>
          <w:rFonts w:ascii="Verdana" w:hAnsi="Verdana"/>
          <w:sz w:val="20"/>
          <w:szCs w:val="20"/>
          <w:vertAlign w:val="superscript"/>
        </w:rPr>
        <w:footnoteReference w:id="164"/>
      </w:r>
      <w:r w:rsidRPr="000B33B9">
        <w:rPr>
          <w:rFonts w:ascii="Verdana" w:hAnsi="Verdana" w:cs="Verdana"/>
          <w:bCs/>
          <w:iCs/>
          <w:sz w:val="20"/>
          <w:szCs w:val="20"/>
          <w:lang w:val="es-CR"/>
        </w:rPr>
        <w:t>. La motivación de un fallo es lo que permite conocer cuáles son los hechos, motivos y normas en l</w:t>
      </w:r>
      <w:r w:rsidR="001901D6" w:rsidRPr="000B33B9">
        <w:rPr>
          <w:rFonts w:ascii="Verdana" w:hAnsi="Verdana" w:cs="Verdana"/>
          <w:bCs/>
          <w:iCs/>
          <w:sz w:val="20"/>
          <w:szCs w:val="20"/>
          <w:lang w:val="es-CR"/>
        </w:rPr>
        <w:t>o</w:t>
      </w:r>
      <w:r w:rsidRPr="000B33B9">
        <w:rPr>
          <w:rFonts w:ascii="Verdana" w:hAnsi="Verdana" w:cs="Verdana"/>
          <w:bCs/>
          <w:iCs/>
          <w:sz w:val="20"/>
          <w:szCs w:val="20"/>
          <w:lang w:val="es-CR"/>
        </w:rPr>
        <w:t>s que se basó la autoridad para tomar su decisión</w:t>
      </w:r>
      <w:r w:rsidRPr="000B33B9">
        <w:rPr>
          <w:rStyle w:val="Refdenotaalpie"/>
          <w:rFonts w:ascii="Verdana" w:hAnsi="Verdana" w:cs="Verdana"/>
          <w:bCs/>
          <w:iCs/>
          <w:sz w:val="20"/>
          <w:szCs w:val="20"/>
          <w:lang w:val="es-CR"/>
        </w:rPr>
        <w:footnoteReference w:id="165"/>
      </w:r>
      <w:r w:rsidR="003D2A72" w:rsidRPr="000B33B9">
        <w:rPr>
          <w:rFonts w:ascii="Verdana" w:hAnsi="Verdana" w:cs="Verdana"/>
          <w:bCs/>
          <w:iCs/>
          <w:sz w:val="20"/>
          <w:szCs w:val="20"/>
          <w:lang w:val="es-CR"/>
        </w:rPr>
        <w:t xml:space="preserve">. </w:t>
      </w:r>
      <w:r w:rsidRPr="000B33B9">
        <w:rPr>
          <w:rFonts w:ascii="Verdana" w:hAnsi="Verdana"/>
          <w:sz w:val="20"/>
          <w:szCs w:val="20"/>
        </w:rPr>
        <w:t>De las motivaciones antes referidas, la Corte observa que el Tribunal Constituci</w:t>
      </w:r>
      <w:r w:rsidR="009A4984" w:rsidRPr="000B33B9">
        <w:rPr>
          <w:rFonts w:ascii="Verdana" w:hAnsi="Verdana"/>
          <w:sz w:val="20"/>
          <w:szCs w:val="20"/>
        </w:rPr>
        <w:t>onal</w:t>
      </w:r>
      <w:r w:rsidRPr="000B33B9">
        <w:rPr>
          <w:rFonts w:ascii="Verdana" w:hAnsi="Verdana"/>
          <w:sz w:val="20"/>
          <w:szCs w:val="20"/>
        </w:rPr>
        <w:t xml:space="preserve"> concluyó que la sentencia de 25 de octubre de 1993 no estableció la inaplicabilidad del artículo 3, inciso c, del Decreto 673, tomando en consideración: a) la historia pr</w:t>
      </w:r>
      <w:r w:rsidR="001901D6" w:rsidRPr="000B33B9">
        <w:rPr>
          <w:rFonts w:ascii="Verdana" w:hAnsi="Verdana"/>
          <w:sz w:val="20"/>
          <w:szCs w:val="20"/>
        </w:rPr>
        <w:t>ocesal (páginas de la 1 a la 4);</w:t>
      </w:r>
      <w:r w:rsidRPr="000B33B9">
        <w:rPr>
          <w:rFonts w:ascii="Verdana" w:hAnsi="Verdana"/>
          <w:sz w:val="20"/>
          <w:szCs w:val="20"/>
        </w:rPr>
        <w:t xml:space="preserve"> b) el objeto de la dema</w:t>
      </w:r>
      <w:r w:rsidR="001901D6" w:rsidRPr="000B33B9">
        <w:rPr>
          <w:rFonts w:ascii="Verdana" w:hAnsi="Verdana"/>
          <w:sz w:val="20"/>
          <w:szCs w:val="20"/>
        </w:rPr>
        <w:t>nda (considerandos del 8 al 11);</w:t>
      </w:r>
      <w:r w:rsidRPr="000B33B9">
        <w:rPr>
          <w:rFonts w:ascii="Verdana" w:hAnsi="Verdana"/>
          <w:sz w:val="20"/>
          <w:szCs w:val="20"/>
        </w:rPr>
        <w:t xml:space="preserve"> c) las disposiciones aplicables en materia </w:t>
      </w:r>
      <w:r w:rsidR="001901D6" w:rsidRPr="000B33B9">
        <w:rPr>
          <w:rFonts w:ascii="Verdana" w:hAnsi="Verdana"/>
          <w:sz w:val="20"/>
          <w:szCs w:val="20"/>
        </w:rPr>
        <w:t>de amparo (considerandos 1 y 2);</w:t>
      </w:r>
      <w:r w:rsidRPr="000B33B9">
        <w:rPr>
          <w:rFonts w:ascii="Verdana" w:hAnsi="Verdana"/>
          <w:sz w:val="20"/>
          <w:szCs w:val="20"/>
        </w:rPr>
        <w:t xml:space="preserve"> d) los principios que atañen a la tutela judicial efectiva (c</w:t>
      </w:r>
      <w:r w:rsidR="001901D6" w:rsidRPr="000B33B9">
        <w:rPr>
          <w:rFonts w:ascii="Verdana" w:hAnsi="Verdana"/>
          <w:sz w:val="20"/>
          <w:szCs w:val="20"/>
        </w:rPr>
        <w:t>onsiderandos del 5 al 7);</w:t>
      </w:r>
      <w:r w:rsidRPr="000B33B9">
        <w:rPr>
          <w:rFonts w:ascii="Verdana" w:hAnsi="Verdana"/>
          <w:sz w:val="20"/>
          <w:szCs w:val="20"/>
        </w:rPr>
        <w:t xml:space="preserve"> y e) la jurisprudencia nacional (considerandos 16 y 18).</w:t>
      </w:r>
    </w:p>
    <w:p w14:paraId="71B24F5D" w14:textId="77777777" w:rsidR="0042135F" w:rsidRPr="000B33B9" w:rsidRDefault="0042135F" w:rsidP="0042135F">
      <w:pPr>
        <w:pStyle w:val="Prrafodelista"/>
        <w:spacing w:after="0" w:line="240" w:lineRule="auto"/>
        <w:ind w:left="0"/>
        <w:contextualSpacing w:val="0"/>
        <w:jc w:val="both"/>
        <w:rPr>
          <w:rFonts w:ascii="Verdana" w:hAnsi="Verdana"/>
          <w:sz w:val="20"/>
          <w:szCs w:val="20"/>
        </w:rPr>
      </w:pPr>
    </w:p>
    <w:p w14:paraId="45F9E55C" w14:textId="424B282B" w:rsidR="00387453" w:rsidRPr="000B33B9" w:rsidRDefault="00387453" w:rsidP="007B74B8">
      <w:pPr>
        <w:pStyle w:val="Prrafodelista"/>
        <w:numPr>
          <w:ilvl w:val="0"/>
          <w:numId w:val="10"/>
        </w:numPr>
        <w:spacing w:after="0" w:line="240" w:lineRule="auto"/>
        <w:ind w:left="0" w:firstLine="0"/>
        <w:contextualSpacing w:val="0"/>
        <w:jc w:val="both"/>
        <w:rPr>
          <w:rFonts w:ascii="Verdana" w:hAnsi="Verdana"/>
          <w:sz w:val="20"/>
          <w:szCs w:val="20"/>
        </w:rPr>
      </w:pPr>
      <w:r w:rsidRPr="000B33B9">
        <w:rPr>
          <w:rFonts w:ascii="Verdana" w:hAnsi="Verdana"/>
          <w:sz w:val="20"/>
          <w:szCs w:val="20"/>
        </w:rPr>
        <w:t>Para llegar a dicha conclusión, la Corte observa que el Tribunal Constitucional no solo analizó el contenido del Decreto 673, como se hace constar en los considerandos 15 y 16 de la referida resolución, sino que, como se evidencia en el considerado 17, evaluó los efectos que derivan del artículo 3, inciso c, de dicha norma y contrastó la parte resolutoria de la sentencia de 25 de octubre de 1993 con las pretensiones originalmente establecidas en la solicitud de amparo de diciembre de 1991. Con relación a este ejercicio comparativo, la Corte nota que en el petitorio de la acción de amparo de 19 de diciembre de 1991, ANCEJUB-SUNAT solicitó lo siguiente:</w:t>
      </w:r>
    </w:p>
    <w:p w14:paraId="1EE0D457" w14:textId="77777777" w:rsidR="00387453" w:rsidRPr="000B33B9" w:rsidRDefault="00387453" w:rsidP="00387453">
      <w:pPr>
        <w:spacing w:after="0" w:line="240" w:lineRule="auto"/>
        <w:ind w:left="706" w:right="1094" w:hanging="48"/>
        <w:jc w:val="both"/>
        <w:rPr>
          <w:rFonts w:ascii="Verdana" w:hAnsi="Verdana"/>
          <w:sz w:val="20"/>
          <w:szCs w:val="20"/>
        </w:rPr>
      </w:pPr>
    </w:p>
    <w:p w14:paraId="323EBFE2" w14:textId="70B0FCC8" w:rsidR="00387453" w:rsidRPr="000B33B9" w:rsidRDefault="00387453" w:rsidP="003D2A72">
      <w:pPr>
        <w:spacing w:after="0" w:line="240" w:lineRule="auto"/>
        <w:ind w:left="749" w:right="1094" w:hanging="43"/>
        <w:jc w:val="both"/>
        <w:rPr>
          <w:rFonts w:ascii="Verdana" w:hAnsi="Verdana"/>
          <w:sz w:val="18"/>
          <w:szCs w:val="18"/>
        </w:rPr>
      </w:pPr>
      <w:r w:rsidRPr="000B33B9">
        <w:rPr>
          <w:rFonts w:ascii="Verdana" w:hAnsi="Verdana"/>
          <w:sz w:val="18"/>
          <w:szCs w:val="18"/>
        </w:rPr>
        <w:t>“</w:t>
      </w:r>
      <w:r w:rsidR="003D2A72" w:rsidRPr="000B33B9">
        <w:rPr>
          <w:rFonts w:ascii="Verdana" w:hAnsi="Verdana"/>
          <w:sz w:val="18"/>
          <w:szCs w:val="18"/>
        </w:rPr>
        <w:t xml:space="preserve">(…) </w:t>
      </w:r>
      <w:r w:rsidRPr="000B33B9">
        <w:rPr>
          <w:rFonts w:ascii="Verdana" w:hAnsi="Verdana"/>
          <w:sz w:val="18"/>
          <w:szCs w:val="18"/>
        </w:rPr>
        <w:t>Precisa y concretamente, en esta Acción de Amparo, demandamos la inaplicación de la Tercera Disposición Transitoria del D. Leg. 673 a los cesantes y jubilados de la SUNAT con derecho a pensión renovable bajo el régimen del D.L.20530, restableciendo su derecho conculcado a la homologación de dichas pensiones con las remuneraciones de los servidores en actividad y ordenando el reintegro de las sumas indebidamente dejadas de abonar”</w:t>
      </w:r>
      <w:r w:rsidRPr="000B33B9">
        <w:rPr>
          <w:rStyle w:val="Refdenotaalpie"/>
          <w:rFonts w:ascii="Verdana" w:hAnsi="Verdana"/>
          <w:sz w:val="18"/>
          <w:szCs w:val="18"/>
        </w:rPr>
        <w:footnoteReference w:id="166"/>
      </w:r>
      <w:r w:rsidRPr="000B33B9">
        <w:rPr>
          <w:rFonts w:ascii="Verdana" w:hAnsi="Verdana"/>
          <w:sz w:val="18"/>
          <w:szCs w:val="18"/>
        </w:rPr>
        <w:t>.</w:t>
      </w:r>
    </w:p>
    <w:p w14:paraId="2C54165F" w14:textId="77777777" w:rsidR="00387453" w:rsidRPr="000B33B9" w:rsidRDefault="00387453" w:rsidP="00387453">
      <w:pPr>
        <w:pStyle w:val="Prrafodelista"/>
        <w:spacing w:after="0" w:line="240" w:lineRule="auto"/>
        <w:ind w:left="0"/>
        <w:contextualSpacing w:val="0"/>
        <w:jc w:val="both"/>
        <w:rPr>
          <w:rFonts w:ascii="Verdana" w:hAnsi="Verdana"/>
          <w:sz w:val="20"/>
          <w:szCs w:val="20"/>
        </w:rPr>
      </w:pPr>
    </w:p>
    <w:p w14:paraId="30EB091D" w14:textId="5063A8B2" w:rsidR="00387453" w:rsidRPr="000B33B9" w:rsidRDefault="00387453" w:rsidP="007B74B8">
      <w:pPr>
        <w:pStyle w:val="Prrafodelista"/>
        <w:numPr>
          <w:ilvl w:val="0"/>
          <w:numId w:val="10"/>
        </w:numPr>
        <w:spacing w:after="0" w:line="240" w:lineRule="auto"/>
        <w:ind w:left="0" w:firstLine="0"/>
        <w:contextualSpacing w:val="0"/>
        <w:jc w:val="both"/>
        <w:rPr>
          <w:rFonts w:ascii="Verdana" w:hAnsi="Verdana"/>
          <w:sz w:val="20"/>
          <w:szCs w:val="20"/>
        </w:rPr>
      </w:pPr>
      <w:r w:rsidRPr="000B33B9">
        <w:rPr>
          <w:rFonts w:ascii="Verdana" w:hAnsi="Verdana"/>
          <w:sz w:val="20"/>
          <w:szCs w:val="20"/>
        </w:rPr>
        <w:t xml:space="preserve">Asimismo, este Tribunal recuerda que la sentencia emitida el 25 de octubre de 1993 por la Corte Suprema acogió el amparo y dispuso textualmente lo siguiente: </w:t>
      </w:r>
    </w:p>
    <w:p w14:paraId="43C965C4" w14:textId="77777777" w:rsidR="00387453" w:rsidRPr="000B33B9" w:rsidRDefault="00387453" w:rsidP="00387453">
      <w:pPr>
        <w:spacing w:after="0" w:line="240" w:lineRule="auto"/>
        <w:ind w:right="1094"/>
        <w:jc w:val="both"/>
        <w:rPr>
          <w:rFonts w:ascii="Verdana" w:hAnsi="Verdana"/>
          <w:sz w:val="20"/>
          <w:szCs w:val="20"/>
        </w:rPr>
      </w:pPr>
    </w:p>
    <w:p w14:paraId="2051EDF1" w14:textId="77777777" w:rsidR="00387453" w:rsidRPr="000B33B9" w:rsidRDefault="00387453" w:rsidP="003D2A72">
      <w:pPr>
        <w:tabs>
          <w:tab w:val="left" w:pos="8505"/>
        </w:tabs>
        <w:spacing w:after="0" w:line="240" w:lineRule="auto"/>
        <w:ind w:left="706" w:right="1094"/>
        <w:jc w:val="both"/>
        <w:rPr>
          <w:rFonts w:ascii="Verdana" w:hAnsi="Verdana"/>
          <w:sz w:val="18"/>
          <w:szCs w:val="18"/>
          <w:lang w:val="es-DO"/>
        </w:rPr>
      </w:pPr>
      <w:r w:rsidRPr="000B33B9">
        <w:rPr>
          <w:rFonts w:ascii="Verdana" w:hAnsi="Verdana"/>
          <w:sz w:val="18"/>
          <w:szCs w:val="18"/>
          <w:lang w:val="es-DO"/>
        </w:rPr>
        <w:t>“(…)</w:t>
      </w:r>
      <w:r w:rsidRPr="000B33B9">
        <w:rPr>
          <w:rFonts w:ascii="Verdana" w:hAnsi="Verdana"/>
          <w:sz w:val="18"/>
          <w:szCs w:val="18"/>
          <w:lang w:val="es-ES"/>
        </w:rPr>
        <w:t xml:space="preserve"> [Se declara]</w:t>
      </w:r>
      <w:r w:rsidRPr="000B33B9">
        <w:rPr>
          <w:rFonts w:ascii="Verdana" w:hAnsi="Verdana"/>
          <w:sz w:val="18"/>
          <w:szCs w:val="18"/>
          <w:lang w:val="es-DO"/>
        </w:rPr>
        <w:t xml:space="preserve"> FUNDADA la referida acción de amparo; en consecuencia inaplicable a los ex-servidores de la Superintendencia Nacional de Administración Tributaria miembros de la Asociación Actora con derecho a percibir pensión de jubilación o cesantía al amparo del Decreto Ley </w:t>
      </w:r>
      <w:r w:rsidRPr="000B33B9">
        <w:rPr>
          <w:rFonts w:ascii="Verdana" w:hAnsi="Verdana"/>
          <w:sz w:val="18"/>
          <w:szCs w:val="18"/>
          <w:lang w:val="es-ES"/>
        </w:rPr>
        <w:t>[20530]</w:t>
      </w:r>
      <w:r w:rsidRPr="000B33B9">
        <w:rPr>
          <w:rFonts w:ascii="Verdana" w:hAnsi="Verdana"/>
          <w:sz w:val="18"/>
          <w:szCs w:val="18"/>
          <w:lang w:val="es-DO"/>
        </w:rPr>
        <w:t xml:space="preserve">, cuyo derecho esté reconocido por la Tercera Disposición Transitoria del Decreto Legislativo </w:t>
      </w:r>
      <w:r w:rsidRPr="000B33B9">
        <w:rPr>
          <w:rFonts w:ascii="Verdana" w:hAnsi="Verdana"/>
          <w:sz w:val="18"/>
          <w:szCs w:val="18"/>
          <w:lang w:val="es-ES"/>
        </w:rPr>
        <w:t>[673]</w:t>
      </w:r>
      <w:r w:rsidRPr="000B33B9">
        <w:rPr>
          <w:rFonts w:ascii="Verdana" w:hAnsi="Verdana"/>
          <w:sz w:val="18"/>
          <w:szCs w:val="18"/>
          <w:lang w:val="es-DO"/>
        </w:rPr>
        <w:t xml:space="preserve">; ordenaron les sea repuesto el derecho a percibir la pensión que les corresponda, nivelada con las remuneraciones de los servidores activos de la Superintendencia Nacional de Administración Tributaria y se les reintegre los incrementos dejados de percibir como consecuencia de la aplicación de la mencionada Tercera Disposición Transitoria del Decreto Legislativo </w:t>
      </w:r>
      <w:r w:rsidRPr="000B33B9">
        <w:rPr>
          <w:rFonts w:ascii="Verdana" w:hAnsi="Verdana"/>
          <w:sz w:val="18"/>
          <w:szCs w:val="18"/>
          <w:lang w:val="es-ES"/>
        </w:rPr>
        <w:t>[673]”</w:t>
      </w:r>
      <w:r w:rsidRPr="000B33B9">
        <w:rPr>
          <w:rStyle w:val="Refdenotaalpie"/>
          <w:rFonts w:ascii="Verdana" w:hAnsi="Verdana"/>
          <w:sz w:val="18"/>
          <w:szCs w:val="18"/>
          <w:lang w:val="es-DO"/>
        </w:rPr>
        <w:footnoteReference w:id="167"/>
      </w:r>
      <w:r w:rsidRPr="000B33B9">
        <w:rPr>
          <w:rFonts w:ascii="Verdana" w:hAnsi="Verdana"/>
          <w:sz w:val="18"/>
          <w:szCs w:val="18"/>
          <w:lang w:val="es-ES"/>
        </w:rPr>
        <w:t>.</w:t>
      </w:r>
    </w:p>
    <w:p w14:paraId="0221F2F2" w14:textId="77777777" w:rsidR="00387453" w:rsidRPr="000B33B9" w:rsidRDefault="00387453" w:rsidP="00387453">
      <w:pPr>
        <w:spacing w:after="0" w:line="240" w:lineRule="auto"/>
        <w:jc w:val="both"/>
        <w:rPr>
          <w:rFonts w:ascii="Verdana" w:hAnsi="Verdana"/>
          <w:sz w:val="20"/>
          <w:szCs w:val="20"/>
          <w:lang w:val="es-DO"/>
        </w:rPr>
      </w:pPr>
    </w:p>
    <w:p w14:paraId="7A23D8C4" w14:textId="07574ECA" w:rsidR="0042135F" w:rsidRPr="000B33B9" w:rsidRDefault="00387453"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De la comparación de ambos textos, el Tribunal Constitucional concluyó que la Corte Suprema había ajustado los parámetros de su decisión a lo expresamente solicitado por ANCEJUB-SUNAT, en cuyo petitorio solo se demandó la inaplicación de la </w:t>
      </w:r>
      <w:r w:rsidR="001901D6" w:rsidRPr="000B33B9">
        <w:rPr>
          <w:rFonts w:ascii="Verdana" w:hAnsi="Verdana"/>
          <w:sz w:val="20"/>
          <w:szCs w:val="20"/>
        </w:rPr>
        <w:t>T</w:t>
      </w:r>
      <w:r w:rsidRPr="000B33B9">
        <w:rPr>
          <w:rFonts w:ascii="Verdana" w:hAnsi="Verdana"/>
          <w:sz w:val="20"/>
          <w:szCs w:val="20"/>
        </w:rPr>
        <w:t xml:space="preserve">ercera </w:t>
      </w:r>
      <w:r w:rsidR="001901D6" w:rsidRPr="000B33B9">
        <w:rPr>
          <w:rFonts w:ascii="Verdana" w:hAnsi="Verdana"/>
          <w:sz w:val="20"/>
          <w:szCs w:val="20"/>
        </w:rPr>
        <w:t>D</w:t>
      </w:r>
      <w:r w:rsidRPr="000B33B9">
        <w:rPr>
          <w:rFonts w:ascii="Verdana" w:hAnsi="Verdana"/>
          <w:sz w:val="20"/>
          <w:szCs w:val="20"/>
        </w:rPr>
        <w:t xml:space="preserve">isposición </w:t>
      </w:r>
      <w:r w:rsidR="001901D6" w:rsidRPr="000B33B9">
        <w:rPr>
          <w:rFonts w:ascii="Verdana" w:hAnsi="Verdana"/>
          <w:sz w:val="20"/>
          <w:szCs w:val="20"/>
        </w:rPr>
        <w:t>T</w:t>
      </w:r>
      <w:r w:rsidRPr="000B33B9">
        <w:rPr>
          <w:rFonts w:ascii="Verdana" w:hAnsi="Verdana"/>
          <w:sz w:val="20"/>
          <w:szCs w:val="20"/>
        </w:rPr>
        <w:t xml:space="preserve">ransitoria del Decreto 673, sin hacer referencia explícita al </w:t>
      </w:r>
      <w:r w:rsidR="001901D6" w:rsidRPr="000B33B9">
        <w:rPr>
          <w:rFonts w:ascii="Verdana" w:hAnsi="Verdana"/>
          <w:sz w:val="20"/>
          <w:szCs w:val="20"/>
        </w:rPr>
        <w:t>inciso</w:t>
      </w:r>
      <w:r w:rsidRPr="000B33B9">
        <w:rPr>
          <w:rFonts w:ascii="Verdana" w:hAnsi="Verdana"/>
          <w:sz w:val="20"/>
          <w:szCs w:val="20"/>
        </w:rPr>
        <w:t xml:space="preserve"> c de su artículo 3 ni conforme a cuál régimen debían nivelarse las pensiones. Esto evidencia que el Tribunal Constitucional realizó una exposición clara de su decisión, lo cual es parte esencial de la correcta motivación de una resolución judicial</w:t>
      </w:r>
      <w:r w:rsidRPr="000B33B9">
        <w:rPr>
          <w:rStyle w:val="Refdenotaalpie"/>
          <w:rFonts w:ascii="Verdana" w:hAnsi="Verdana"/>
          <w:sz w:val="20"/>
          <w:szCs w:val="20"/>
        </w:rPr>
        <w:footnoteReference w:id="168"/>
      </w:r>
      <w:r w:rsidRPr="000B33B9">
        <w:rPr>
          <w:rFonts w:ascii="Verdana" w:hAnsi="Verdana"/>
          <w:sz w:val="20"/>
          <w:szCs w:val="20"/>
        </w:rPr>
        <w:t>. Adicionalmente, la Corte constata que, al juzgar sobre la aplicación del artículo 3, inciso c, del Decreto 673, el Tribunal Constitucional estatuyó sobre los alegatos presentados por las partes y respondió de manera individualizada los argumentos planteados por ANCEJUB-SUNAT, lo cual también es uno de los elementos de la obligación de motivar debidamente las decisiones judiciales</w:t>
      </w:r>
      <w:r w:rsidRPr="000B33B9">
        <w:rPr>
          <w:rFonts w:ascii="Verdana" w:hAnsi="Verdana"/>
          <w:sz w:val="20"/>
          <w:szCs w:val="20"/>
          <w:vertAlign w:val="superscript"/>
        </w:rPr>
        <w:footnoteReference w:id="169"/>
      </w:r>
      <w:r w:rsidRPr="000B33B9">
        <w:rPr>
          <w:rFonts w:ascii="Verdana" w:hAnsi="Verdana"/>
          <w:sz w:val="20"/>
          <w:szCs w:val="20"/>
        </w:rPr>
        <w:t xml:space="preserve">, conforme el derecho a </w:t>
      </w:r>
      <w:r w:rsidR="00755798" w:rsidRPr="000B33B9">
        <w:rPr>
          <w:rFonts w:ascii="Verdana" w:hAnsi="Verdana"/>
          <w:sz w:val="20"/>
          <w:szCs w:val="20"/>
        </w:rPr>
        <w:t>las garantías judiciales y la protección judicial</w:t>
      </w:r>
      <w:r w:rsidRPr="000B33B9">
        <w:rPr>
          <w:rFonts w:ascii="Verdana" w:hAnsi="Verdana"/>
          <w:sz w:val="20"/>
          <w:szCs w:val="20"/>
        </w:rPr>
        <w:t xml:space="preserve">. </w:t>
      </w:r>
    </w:p>
    <w:p w14:paraId="0F8CDCE7" w14:textId="77777777" w:rsidR="0042135F" w:rsidRPr="000B33B9" w:rsidRDefault="0042135F" w:rsidP="0042135F">
      <w:pPr>
        <w:pStyle w:val="Prrafodelista"/>
        <w:spacing w:after="0" w:line="240" w:lineRule="auto"/>
        <w:ind w:left="0"/>
        <w:jc w:val="both"/>
        <w:rPr>
          <w:rFonts w:ascii="Verdana" w:hAnsi="Verdana"/>
          <w:sz w:val="20"/>
          <w:szCs w:val="20"/>
        </w:rPr>
      </w:pPr>
    </w:p>
    <w:p w14:paraId="43295383" w14:textId="4498B6F7" w:rsidR="004B204D" w:rsidRPr="000B33B9" w:rsidRDefault="00387453"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En función de lo anterior, la Corte recuerda que </w:t>
      </w:r>
      <w:r w:rsidRPr="000B33B9">
        <w:rPr>
          <w:rFonts w:ascii="Verdana" w:hAnsi="Verdana" w:cs="Verdana"/>
          <w:bCs/>
          <w:iCs/>
          <w:sz w:val="20"/>
          <w:szCs w:val="20"/>
          <w:lang w:val="es-CR"/>
        </w:rPr>
        <w:t>la efectividad de un recurso no implica que este produzca un resultado favorable para el demandante</w:t>
      </w:r>
      <w:r w:rsidRPr="000B33B9">
        <w:rPr>
          <w:rFonts w:ascii="Verdana" w:hAnsi="Verdana" w:cs="Verdana"/>
          <w:bCs/>
          <w:iCs/>
          <w:sz w:val="20"/>
          <w:szCs w:val="20"/>
          <w:vertAlign w:val="superscript"/>
        </w:rPr>
        <w:footnoteReference w:id="170"/>
      </w:r>
      <w:r w:rsidRPr="000B33B9">
        <w:rPr>
          <w:rFonts w:ascii="Verdana" w:hAnsi="Verdana" w:cs="Verdana"/>
          <w:bCs/>
          <w:iCs/>
          <w:sz w:val="20"/>
          <w:szCs w:val="20"/>
          <w:lang w:val="es-CR"/>
        </w:rPr>
        <w:t xml:space="preserve">, puesto </w:t>
      </w:r>
      <w:r w:rsidRPr="000B33B9">
        <w:rPr>
          <w:rFonts w:ascii="Verdana" w:hAnsi="Verdana"/>
          <w:sz w:val="20"/>
          <w:szCs w:val="20"/>
        </w:rPr>
        <w:t>que la obligación del Estado de conducir los procesos con apego a la garantía de protección judicial consiste en una obligación que es de medio o comportamiento</w:t>
      </w:r>
      <w:r w:rsidRPr="000B33B9">
        <w:rPr>
          <w:rStyle w:val="Refdenotaalpie"/>
          <w:rFonts w:ascii="Verdana" w:hAnsi="Verdana"/>
          <w:sz w:val="20"/>
          <w:szCs w:val="20"/>
        </w:rPr>
        <w:footnoteReference w:id="171"/>
      </w:r>
      <w:r w:rsidRPr="000B33B9">
        <w:rPr>
          <w:rFonts w:ascii="Verdana" w:hAnsi="Verdana"/>
          <w:sz w:val="20"/>
          <w:szCs w:val="20"/>
        </w:rPr>
        <w:t>. En este caso, la Corte observa que, no obstante que la sentencia de 9 de agosto de 2011 resolvió con autoridad de la cosa irrevocablemente juzgada la controversia sobre el régimen bajo el cuál debía efectuarse la nivelación de las pensiones, ANCEJUB-SUNAT continuó cuestionando los informes periciales que fueron realizados conforme lo ordenado por dicha sentencia, a raíz de lo cual el Tribunal Constitucional tuvo que pronunciarse nuevamente sobre la interpretación de la sentencia de 25 de octubre de 1993, señalando mediante resolución de 23 de abril de 2019 que “</w:t>
      </w:r>
      <w:r w:rsidR="003D2A72" w:rsidRPr="000B33B9">
        <w:rPr>
          <w:rFonts w:ascii="Verdana" w:hAnsi="Verdana"/>
          <w:sz w:val="20"/>
          <w:szCs w:val="20"/>
        </w:rPr>
        <w:t xml:space="preserve">(…) </w:t>
      </w:r>
      <w:r w:rsidRPr="000B33B9">
        <w:rPr>
          <w:rFonts w:ascii="Verdana" w:hAnsi="Verdana"/>
          <w:sz w:val="20"/>
          <w:szCs w:val="20"/>
        </w:rPr>
        <w:t>ya había zanjado el asunto en el 2011, concluyendo que dichos incrementos no tienen el carácter pensionable para los trabajadores comprendidos en el régimen jubilatorio del Decreto 20530”</w:t>
      </w:r>
      <w:r w:rsidRPr="000B33B9">
        <w:rPr>
          <w:rStyle w:val="Refdenotaalpie"/>
          <w:rFonts w:ascii="Verdana" w:hAnsi="Verdana"/>
          <w:sz w:val="20"/>
          <w:szCs w:val="20"/>
        </w:rPr>
        <w:footnoteReference w:id="172"/>
      </w:r>
      <w:r w:rsidRPr="000B33B9">
        <w:rPr>
          <w:rFonts w:ascii="Verdana" w:hAnsi="Verdana"/>
          <w:sz w:val="20"/>
          <w:szCs w:val="20"/>
        </w:rPr>
        <w:t>.</w:t>
      </w:r>
    </w:p>
    <w:p w14:paraId="271613AA" w14:textId="77777777" w:rsidR="004B204D" w:rsidRPr="000B33B9" w:rsidRDefault="004B204D" w:rsidP="004B204D">
      <w:pPr>
        <w:pStyle w:val="Prrafodelista"/>
        <w:spacing w:after="0" w:line="240" w:lineRule="auto"/>
        <w:ind w:left="0"/>
        <w:jc w:val="both"/>
        <w:rPr>
          <w:rFonts w:ascii="Verdana" w:hAnsi="Verdana"/>
          <w:sz w:val="20"/>
          <w:szCs w:val="20"/>
        </w:rPr>
      </w:pPr>
    </w:p>
    <w:p w14:paraId="375F7284" w14:textId="359071D3" w:rsidR="00480477" w:rsidRPr="000B33B9" w:rsidRDefault="00480477" w:rsidP="007B74B8">
      <w:pPr>
        <w:pStyle w:val="Prrafodelista"/>
        <w:numPr>
          <w:ilvl w:val="0"/>
          <w:numId w:val="10"/>
        </w:numPr>
        <w:spacing w:after="0" w:line="240" w:lineRule="auto"/>
        <w:ind w:left="0" w:firstLine="0"/>
        <w:jc w:val="both"/>
        <w:rPr>
          <w:rFonts w:ascii="Verdana" w:eastAsiaTheme="minorHAnsi" w:hAnsi="Verdana"/>
          <w:sz w:val="20"/>
          <w:szCs w:val="20"/>
        </w:rPr>
      </w:pPr>
      <w:r w:rsidRPr="000B33B9">
        <w:rPr>
          <w:rFonts w:ascii="Verdana" w:hAnsi="Verdana"/>
          <w:sz w:val="20"/>
          <w:szCs w:val="20"/>
        </w:rPr>
        <w:t>En consecuencia, aun cuando el Tribunal Constitucional realizó una interpretación distinta a la pretendida por las presuntas víctimas mediante la interposición de su tercer recurso de amparo, la Corte concluye que la sentencia de 9 de agosto de 2011 no contravino ninguna de las garantías del debido proceso o a un recurso judicial efectivo, sin perjuicio de que el retardo injustificado en la ejecución de la sentencia de 25 de octubre de 1993 pudiera derivar en sí mismo en la vulneración a los artículos 25 y 8 de la Convención</w:t>
      </w:r>
      <w:r w:rsidR="009D502E" w:rsidRPr="000B33B9">
        <w:rPr>
          <w:rFonts w:ascii="Verdana" w:hAnsi="Verdana"/>
          <w:sz w:val="20"/>
          <w:szCs w:val="20"/>
        </w:rPr>
        <w:t xml:space="preserve"> </w:t>
      </w:r>
      <w:r w:rsidR="001901D6" w:rsidRPr="000B33B9">
        <w:rPr>
          <w:rFonts w:ascii="Verdana" w:hAnsi="Verdana"/>
          <w:sz w:val="20"/>
          <w:szCs w:val="20"/>
        </w:rPr>
        <w:t>o</w:t>
      </w:r>
      <w:r w:rsidRPr="000B33B9">
        <w:rPr>
          <w:rFonts w:ascii="Verdana" w:hAnsi="Verdana"/>
          <w:sz w:val="20"/>
          <w:szCs w:val="20"/>
        </w:rPr>
        <w:t xml:space="preserve"> conllevar afectaciones a otros derechos, tales como la seguridad social,</w:t>
      </w:r>
      <w:r w:rsidR="001901D6" w:rsidRPr="000B33B9">
        <w:rPr>
          <w:rFonts w:ascii="Verdana" w:hAnsi="Verdana"/>
          <w:sz w:val="20"/>
          <w:szCs w:val="20"/>
        </w:rPr>
        <w:t xml:space="preserve"> la</w:t>
      </w:r>
      <w:r w:rsidRPr="000B33B9">
        <w:rPr>
          <w:rFonts w:ascii="Verdana" w:hAnsi="Verdana"/>
          <w:sz w:val="20"/>
          <w:szCs w:val="20"/>
        </w:rPr>
        <w:t xml:space="preserve"> vida digna</w:t>
      </w:r>
      <w:r w:rsidR="009D502E" w:rsidRPr="000B33B9">
        <w:rPr>
          <w:rFonts w:ascii="Verdana" w:hAnsi="Verdana"/>
          <w:sz w:val="20"/>
          <w:szCs w:val="20"/>
        </w:rPr>
        <w:t xml:space="preserve"> </w:t>
      </w:r>
      <w:r w:rsidRPr="000B33B9">
        <w:rPr>
          <w:rFonts w:ascii="Verdana" w:hAnsi="Verdana"/>
          <w:sz w:val="20"/>
          <w:szCs w:val="20"/>
        </w:rPr>
        <w:t>y</w:t>
      </w:r>
      <w:r w:rsidR="001901D6" w:rsidRPr="000B33B9">
        <w:rPr>
          <w:rFonts w:ascii="Verdana" w:hAnsi="Verdana"/>
          <w:sz w:val="20"/>
          <w:szCs w:val="20"/>
        </w:rPr>
        <w:t xml:space="preserve"> la</w:t>
      </w:r>
      <w:r w:rsidRPr="000B33B9">
        <w:rPr>
          <w:rFonts w:ascii="Verdana" w:hAnsi="Verdana"/>
          <w:sz w:val="20"/>
          <w:szCs w:val="20"/>
        </w:rPr>
        <w:t xml:space="preserve"> propiedad, las cuales serán analizadas más adelante en </w:t>
      </w:r>
      <w:r w:rsidR="000853B4" w:rsidRPr="000B33B9">
        <w:rPr>
          <w:rFonts w:ascii="Verdana" w:hAnsi="Verdana"/>
          <w:sz w:val="20"/>
          <w:szCs w:val="20"/>
        </w:rPr>
        <w:t>el presente</w:t>
      </w:r>
      <w:r w:rsidRPr="000B33B9">
        <w:rPr>
          <w:rFonts w:ascii="Verdana" w:hAnsi="Verdana"/>
          <w:sz w:val="20"/>
          <w:szCs w:val="20"/>
        </w:rPr>
        <w:t xml:space="preserve"> capítulo.</w:t>
      </w:r>
    </w:p>
    <w:p w14:paraId="040321DB" w14:textId="77777777" w:rsidR="00CB7833" w:rsidRPr="000B33B9" w:rsidRDefault="00CB7833" w:rsidP="00D678D6">
      <w:pPr>
        <w:pStyle w:val="Prrafodelista"/>
        <w:spacing w:after="0" w:line="240" w:lineRule="auto"/>
        <w:ind w:left="0"/>
        <w:jc w:val="both"/>
        <w:rPr>
          <w:rFonts w:ascii="Verdana" w:hAnsi="Verdana" w:cs="Arial"/>
          <w:spacing w:val="-2"/>
          <w:sz w:val="20"/>
          <w:szCs w:val="20"/>
          <w:lang w:eastAsia="ja-JP"/>
        </w:rPr>
      </w:pPr>
    </w:p>
    <w:p w14:paraId="16A582D4" w14:textId="654FB174" w:rsidR="00CB7833" w:rsidRPr="000B33B9" w:rsidRDefault="00721095" w:rsidP="00FB4805">
      <w:pPr>
        <w:spacing w:after="0" w:line="240" w:lineRule="auto"/>
        <w:ind w:firstLine="720"/>
        <w:rPr>
          <w:rFonts w:ascii="Verdana" w:eastAsiaTheme="majorEastAsia" w:hAnsi="Verdana"/>
          <w:b/>
          <w:i/>
          <w:sz w:val="20"/>
          <w:szCs w:val="20"/>
        </w:rPr>
      </w:pPr>
      <w:bookmarkStart w:id="65" w:name="_Toc22568577"/>
      <w:r w:rsidRPr="000B33B9">
        <w:rPr>
          <w:rFonts w:ascii="Verdana" w:hAnsi="Verdana"/>
          <w:i/>
          <w:sz w:val="20"/>
          <w:szCs w:val="20"/>
        </w:rPr>
        <w:t>ii</w:t>
      </w:r>
      <w:r w:rsidR="00FB5780" w:rsidRPr="000B33B9">
        <w:rPr>
          <w:rFonts w:ascii="Verdana" w:hAnsi="Verdana"/>
          <w:i/>
          <w:sz w:val="20"/>
          <w:szCs w:val="20"/>
        </w:rPr>
        <w:t xml:space="preserve">) </w:t>
      </w:r>
      <w:bookmarkEnd w:id="65"/>
      <w:r w:rsidR="0022623B" w:rsidRPr="000B33B9">
        <w:rPr>
          <w:rFonts w:ascii="Verdana" w:hAnsi="Verdana"/>
          <w:i/>
          <w:sz w:val="20"/>
          <w:szCs w:val="20"/>
        </w:rPr>
        <w:t>Respecto a los beneficiarios de la sentencia</w:t>
      </w:r>
      <w:r w:rsidR="00D35009" w:rsidRPr="000B33B9">
        <w:rPr>
          <w:rFonts w:ascii="Verdana" w:hAnsi="Verdana"/>
          <w:i/>
          <w:sz w:val="20"/>
          <w:szCs w:val="20"/>
        </w:rPr>
        <w:t xml:space="preserve"> de 25 de octubre de 1993</w:t>
      </w:r>
    </w:p>
    <w:p w14:paraId="6698C931" w14:textId="77777777" w:rsidR="00CB7833" w:rsidRPr="000B33B9" w:rsidRDefault="00CB7833" w:rsidP="00FB4805">
      <w:pPr>
        <w:pStyle w:val="Prrafodelista"/>
        <w:spacing w:after="0" w:line="240" w:lineRule="auto"/>
        <w:ind w:left="0"/>
        <w:jc w:val="both"/>
        <w:rPr>
          <w:rFonts w:ascii="Verdana" w:hAnsi="Verdana"/>
          <w:i/>
          <w:sz w:val="20"/>
          <w:szCs w:val="20"/>
        </w:rPr>
      </w:pPr>
    </w:p>
    <w:p w14:paraId="42C4E822" w14:textId="3CBCC06C" w:rsidR="0022623B"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En este punto, el Tribunal considera pertinente pronunciarse sobre las personas que pueden ser consideradas como beneficiarias de la sentencia de 25 de octubre de 1993. En ese sentido, el Tribunal recuerda que la Comisión reiteró que desde la petición inicial se indicó como presuntas víctimas a 703 personas, sin perjuicio de los debates que en el proceso interno de ejecución de sentencias se han dado sobre la can</w:t>
      </w:r>
      <w:r w:rsidR="001901D6" w:rsidRPr="000B33B9">
        <w:rPr>
          <w:rFonts w:ascii="Verdana" w:hAnsi="Verdana"/>
          <w:sz w:val="20"/>
          <w:szCs w:val="20"/>
        </w:rPr>
        <w:t>tidad de personas beneficiarias</w:t>
      </w:r>
      <w:r w:rsidRPr="000B33B9">
        <w:rPr>
          <w:rFonts w:ascii="Verdana" w:hAnsi="Verdana"/>
          <w:sz w:val="20"/>
          <w:szCs w:val="20"/>
        </w:rPr>
        <w:t>. En el mismo sentido, los representantes manifestaron que “no puede caber duda que los beneficiarios de la Sentencia de la Corte Suprema no pueden ser otros ni menos que todos los miembros de la asociación a quienes se aplicó arbitrariamente la Tercera Disposición Transitoria del Decreto Legislativo No. 673, y que han sido debidamente acreditados razonablemente por la Comisió</w:t>
      </w:r>
      <w:r w:rsidR="001901D6" w:rsidRPr="000B33B9">
        <w:rPr>
          <w:rFonts w:ascii="Verdana" w:hAnsi="Verdana"/>
          <w:sz w:val="20"/>
          <w:szCs w:val="20"/>
        </w:rPr>
        <w:t>n en el número de 703 víctimas”</w:t>
      </w:r>
      <w:r w:rsidRPr="000B33B9">
        <w:rPr>
          <w:rFonts w:ascii="Verdana" w:hAnsi="Verdana"/>
          <w:sz w:val="20"/>
          <w:szCs w:val="20"/>
        </w:rPr>
        <w:t>. En cambio, el Estado alegó que las presuntas víctimas del caso deben ser aquellas que resultaron beneficiadas con la Sentencia de la Corte Suprema de fecha 25 de octubre de 1993, las cuales fueron determinadas mediante r</w:t>
      </w:r>
      <w:r w:rsidR="001901D6" w:rsidRPr="000B33B9">
        <w:rPr>
          <w:rFonts w:ascii="Verdana" w:hAnsi="Verdana"/>
          <w:sz w:val="20"/>
          <w:szCs w:val="20"/>
        </w:rPr>
        <w:t>esolución de 3 de junio de 2005</w:t>
      </w:r>
      <w:r w:rsidRPr="000B33B9">
        <w:rPr>
          <w:rFonts w:ascii="Verdana" w:hAnsi="Verdana"/>
          <w:sz w:val="20"/>
          <w:szCs w:val="20"/>
        </w:rPr>
        <w:t>.</w:t>
      </w:r>
    </w:p>
    <w:p w14:paraId="170A35B3" w14:textId="77777777" w:rsidR="0022623B" w:rsidRPr="000B33B9" w:rsidRDefault="0022623B" w:rsidP="0022623B">
      <w:pPr>
        <w:pStyle w:val="Prrafodelista"/>
        <w:spacing w:after="0" w:line="240" w:lineRule="auto"/>
        <w:ind w:left="0"/>
        <w:jc w:val="both"/>
        <w:rPr>
          <w:rFonts w:ascii="Verdana" w:hAnsi="Verdana"/>
          <w:sz w:val="20"/>
          <w:szCs w:val="20"/>
        </w:rPr>
      </w:pPr>
    </w:p>
    <w:p w14:paraId="7DBAC33B" w14:textId="2E8D1BEE" w:rsidR="0022623B"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En relación con lo anterior, la Corte recuerda que la sentencia de la Corte Suprema de 25 de octubre de 1993 declaró la inaplicabilidad de la Tercera Disposición Transitoria del Decreto 673 respecto a “</w:t>
      </w:r>
      <w:r w:rsidR="0039102C" w:rsidRPr="000B33B9">
        <w:rPr>
          <w:rFonts w:ascii="Verdana" w:hAnsi="Verdana"/>
          <w:sz w:val="20"/>
          <w:szCs w:val="20"/>
        </w:rPr>
        <w:t xml:space="preserve">(…) </w:t>
      </w:r>
      <w:r w:rsidRPr="000B33B9">
        <w:rPr>
          <w:rFonts w:ascii="Verdana" w:hAnsi="Verdana"/>
          <w:sz w:val="20"/>
          <w:szCs w:val="20"/>
        </w:rPr>
        <w:t>los ex servidores de la Superintendencia Nacional de Administración Tributaria miembros de la Asociación Actora con derecho”</w:t>
      </w:r>
      <w:r w:rsidRPr="000B33B9">
        <w:rPr>
          <w:rStyle w:val="Refdenotaalpie"/>
          <w:rFonts w:ascii="Verdana" w:hAnsi="Verdana"/>
          <w:sz w:val="20"/>
          <w:szCs w:val="20"/>
        </w:rPr>
        <w:footnoteReference w:id="173"/>
      </w:r>
      <w:r w:rsidRPr="000B33B9">
        <w:rPr>
          <w:rFonts w:ascii="Verdana" w:hAnsi="Verdana"/>
          <w:sz w:val="20"/>
          <w:szCs w:val="20"/>
        </w:rPr>
        <w:t xml:space="preserve">. Debido a que dicha sentencia no individualizó a las personas que para entonces eran integrantes de ANCEJUB-SUNAT, en representación de los cuales la referida asociación </w:t>
      </w:r>
      <w:r w:rsidR="00F82A54" w:rsidRPr="000B33B9">
        <w:rPr>
          <w:rFonts w:ascii="Verdana" w:hAnsi="Verdana"/>
          <w:sz w:val="20"/>
          <w:szCs w:val="20"/>
        </w:rPr>
        <w:t xml:space="preserve">presentó </w:t>
      </w:r>
      <w:r w:rsidRPr="000B33B9">
        <w:rPr>
          <w:rFonts w:ascii="Verdana" w:hAnsi="Verdana"/>
          <w:sz w:val="20"/>
          <w:szCs w:val="20"/>
        </w:rPr>
        <w:t>la acción de amparo</w:t>
      </w:r>
      <w:r w:rsidRPr="000B33B9">
        <w:rPr>
          <w:rStyle w:val="Refdenotaalpie"/>
          <w:rFonts w:ascii="Verdana" w:hAnsi="Verdana"/>
          <w:sz w:val="20"/>
          <w:szCs w:val="20"/>
        </w:rPr>
        <w:footnoteReference w:id="174"/>
      </w:r>
      <w:r w:rsidRPr="000B33B9">
        <w:rPr>
          <w:rFonts w:ascii="Verdana" w:hAnsi="Verdana"/>
          <w:sz w:val="20"/>
          <w:szCs w:val="20"/>
        </w:rPr>
        <w:t>, la determinación de los beneficiarios de la sentencia fue uno de los primeros inconvenientes suscitados durante el proceso de ejecución, constituyendo un punto controvertido que tuvo que ser resuelto judicialmente</w:t>
      </w:r>
      <w:r w:rsidR="0039102C" w:rsidRPr="000B33B9">
        <w:rPr>
          <w:rFonts w:ascii="Verdana" w:hAnsi="Verdana"/>
          <w:sz w:val="20"/>
          <w:szCs w:val="20"/>
        </w:rPr>
        <w:t xml:space="preserve"> a nivel interno</w:t>
      </w:r>
      <w:r w:rsidRPr="000B33B9">
        <w:rPr>
          <w:rFonts w:ascii="Verdana" w:hAnsi="Verdana"/>
          <w:sz w:val="20"/>
          <w:szCs w:val="20"/>
        </w:rPr>
        <w:t>.</w:t>
      </w:r>
    </w:p>
    <w:p w14:paraId="00E098E9" w14:textId="77777777" w:rsidR="0022623B" w:rsidRPr="000B33B9" w:rsidRDefault="0022623B" w:rsidP="0022623B">
      <w:pPr>
        <w:pStyle w:val="Prrafodelista"/>
        <w:rPr>
          <w:rFonts w:ascii="Verdana" w:hAnsi="Verdana"/>
          <w:sz w:val="20"/>
          <w:szCs w:val="20"/>
        </w:rPr>
      </w:pPr>
    </w:p>
    <w:p w14:paraId="4356DA77" w14:textId="16C3EEFF" w:rsidR="0022623B"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La Corte recuerda que una vez retomado el proceso de ejecución a partir de la sentencia de 10 de mayo de 2001</w:t>
      </w:r>
      <w:r w:rsidRPr="000B33B9">
        <w:rPr>
          <w:rStyle w:val="Refdenotaalpie"/>
          <w:rFonts w:ascii="Verdana" w:hAnsi="Verdana"/>
          <w:sz w:val="20"/>
          <w:szCs w:val="20"/>
        </w:rPr>
        <w:footnoteReference w:id="175"/>
      </w:r>
      <w:r w:rsidRPr="000B33B9">
        <w:rPr>
          <w:rFonts w:ascii="Verdana" w:hAnsi="Verdana"/>
          <w:sz w:val="20"/>
          <w:szCs w:val="20"/>
        </w:rPr>
        <w:t>, mediante resoluciones de fecha 11 de abril y 30 de mayo de 2002, el Sexagésimo Tercer Juzgado ordenó a la SUNAT el cumplimiento de la sentencia de 25 de octubre de 1993</w:t>
      </w:r>
      <w:r w:rsidRPr="000B33B9">
        <w:rPr>
          <w:rStyle w:val="Refdenotaalpie"/>
          <w:rFonts w:ascii="Verdana" w:hAnsi="Verdana"/>
          <w:sz w:val="20"/>
          <w:szCs w:val="20"/>
        </w:rPr>
        <w:footnoteReference w:id="176"/>
      </w:r>
      <w:r w:rsidRPr="000B33B9">
        <w:rPr>
          <w:rFonts w:ascii="Verdana" w:hAnsi="Verdana"/>
          <w:sz w:val="20"/>
          <w:szCs w:val="20"/>
        </w:rPr>
        <w:t xml:space="preserve"> y que, ante dicho requerimiento, la SUNAT informó que solo cumpliría “</w:t>
      </w:r>
      <w:r w:rsidR="0039102C" w:rsidRPr="000B33B9">
        <w:rPr>
          <w:rFonts w:ascii="Verdana" w:hAnsi="Verdana"/>
          <w:sz w:val="20"/>
          <w:szCs w:val="20"/>
        </w:rPr>
        <w:t xml:space="preserve">(…) </w:t>
      </w:r>
      <w:r w:rsidRPr="000B33B9">
        <w:rPr>
          <w:rFonts w:ascii="Verdana" w:hAnsi="Verdana"/>
          <w:sz w:val="20"/>
          <w:szCs w:val="20"/>
        </w:rPr>
        <w:t>respecto a las personas a quienes alcanza los efectos de la Ejecutoria Suprema (…), que no son otras que las 11 personas acreditadas como asociados de la ANCEJUB al momento de interponerse la demanda”</w:t>
      </w:r>
      <w:r w:rsidRPr="000B33B9">
        <w:rPr>
          <w:rStyle w:val="Refdenotaalpie"/>
          <w:rFonts w:ascii="Verdana" w:hAnsi="Verdana"/>
          <w:sz w:val="20"/>
          <w:szCs w:val="20"/>
        </w:rPr>
        <w:footnoteReference w:id="177"/>
      </w:r>
      <w:r w:rsidRPr="000B33B9">
        <w:rPr>
          <w:rFonts w:ascii="Verdana" w:hAnsi="Verdana"/>
          <w:sz w:val="20"/>
          <w:szCs w:val="20"/>
        </w:rPr>
        <w:t xml:space="preserve">. Como resultado de la objeción por parte de la SUNAT, a partir de 2002 los juzgados de ejecución tuvieron que ocuparse de determinar quiénes eran integrantes de ANCEJUB-SUNAT cuando se </w:t>
      </w:r>
      <w:r w:rsidR="00F82A54" w:rsidRPr="000B33B9">
        <w:rPr>
          <w:rFonts w:ascii="Verdana" w:hAnsi="Verdana"/>
          <w:sz w:val="20"/>
          <w:szCs w:val="20"/>
        </w:rPr>
        <w:t xml:space="preserve">presentó </w:t>
      </w:r>
      <w:r w:rsidRPr="000B33B9">
        <w:rPr>
          <w:rFonts w:ascii="Verdana" w:hAnsi="Verdana"/>
          <w:sz w:val="20"/>
          <w:szCs w:val="20"/>
        </w:rPr>
        <w:t>el amparo el 19 de diciembre de 1991 y, por ende, a cuáles personas abarcaban los efectos de la sentencia de 25 de octubre de 1993</w:t>
      </w:r>
      <w:r w:rsidRPr="000B33B9">
        <w:rPr>
          <w:rStyle w:val="Refdenotaalpie"/>
          <w:rFonts w:ascii="Verdana" w:hAnsi="Verdana"/>
          <w:sz w:val="20"/>
          <w:szCs w:val="20"/>
        </w:rPr>
        <w:footnoteReference w:id="178"/>
      </w:r>
      <w:r w:rsidRPr="000B33B9">
        <w:rPr>
          <w:rFonts w:ascii="Verdana" w:hAnsi="Verdana"/>
          <w:sz w:val="20"/>
          <w:szCs w:val="20"/>
        </w:rPr>
        <w:t xml:space="preserve">. </w:t>
      </w:r>
    </w:p>
    <w:p w14:paraId="7607ED6E" w14:textId="77777777" w:rsidR="0022623B" w:rsidRPr="000B33B9" w:rsidRDefault="0022623B" w:rsidP="0022623B">
      <w:pPr>
        <w:pStyle w:val="Prrafodelista"/>
        <w:rPr>
          <w:rFonts w:ascii="Verdana" w:hAnsi="Verdana"/>
          <w:sz w:val="20"/>
          <w:szCs w:val="20"/>
        </w:rPr>
      </w:pPr>
    </w:p>
    <w:p w14:paraId="292C9756" w14:textId="0AD29A93" w:rsidR="0022623B"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La cuestión antes mencionada fue </w:t>
      </w:r>
      <w:r w:rsidR="00CF4411" w:rsidRPr="000B33B9">
        <w:rPr>
          <w:rFonts w:ascii="Verdana" w:hAnsi="Verdana"/>
          <w:sz w:val="20"/>
          <w:szCs w:val="20"/>
        </w:rPr>
        <w:t>abordada</w:t>
      </w:r>
      <w:r w:rsidRPr="000B33B9">
        <w:rPr>
          <w:rFonts w:ascii="Verdana" w:hAnsi="Verdana"/>
          <w:sz w:val="20"/>
          <w:szCs w:val="20"/>
        </w:rPr>
        <w:t xml:space="preserve"> </w:t>
      </w:r>
      <w:r w:rsidR="00CF4411" w:rsidRPr="000B33B9">
        <w:rPr>
          <w:rFonts w:ascii="Verdana" w:hAnsi="Verdana"/>
          <w:sz w:val="20"/>
          <w:szCs w:val="20"/>
        </w:rPr>
        <w:t xml:space="preserve">por la </w:t>
      </w:r>
      <w:r w:rsidRPr="000B33B9">
        <w:rPr>
          <w:rFonts w:ascii="Verdana" w:hAnsi="Verdana"/>
          <w:sz w:val="20"/>
          <w:szCs w:val="20"/>
        </w:rPr>
        <w:t xml:space="preserve">sentencia </w:t>
      </w:r>
      <w:r w:rsidR="0039102C" w:rsidRPr="000B33B9">
        <w:rPr>
          <w:rFonts w:ascii="Verdana" w:hAnsi="Verdana"/>
          <w:sz w:val="20"/>
          <w:szCs w:val="20"/>
        </w:rPr>
        <w:t>de</w:t>
      </w:r>
      <w:r w:rsidRPr="000B33B9">
        <w:rPr>
          <w:rFonts w:ascii="Verdana" w:hAnsi="Verdana"/>
          <w:sz w:val="20"/>
          <w:szCs w:val="20"/>
        </w:rPr>
        <w:t xml:space="preserve"> 3 de junio de 2005 </w:t>
      </w:r>
      <w:r w:rsidR="0039102C" w:rsidRPr="000B33B9">
        <w:rPr>
          <w:rFonts w:ascii="Verdana" w:hAnsi="Verdana"/>
          <w:sz w:val="20"/>
          <w:szCs w:val="20"/>
        </w:rPr>
        <w:t>de</w:t>
      </w:r>
      <w:r w:rsidRPr="000B33B9">
        <w:rPr>
          <w:rFonts w:ascii="Verdana" w:hAnsi="Verdana"/>
          <w:sz w:val="20"/>
          <w:szCs w:val="20"/>
        </w:rPr>
        <w:t xml:space="preserve"> la Sexta Sala Civil, </w:t>
      </w:r>
      <w:r w:rsidR="00CF4411" w:rsidRPr="000B33B9">
        <w:rPr>
          <w:rFonts w:ascii="Verdana" w:hAnsi="Verdana"/>
          <w:sz w:val="20"/>
          <w:szCs w:val="20"/>
        </w:rPr>
        <w:t>en la cual se</w:t>
      </w:r>
      <w:r w:rsidR="00336ED7" w:rsidRPr="000B33B9">
        <w:rPr>
          <w:rFonts w:ascii="Verdana" w:hAnsi="Verdana"/>
          <w:sz w:val="20"/>
          <w:szCs w:val="20"/>
        </w:rPr>
        <w:t xml:space="preserve"> </w:t>
      </w:r>
      <w:r w:rsidRPr="000B33B9">
        <w:rPr>
          <w:rFonts w:ascii="Verdana" w:hAnsi="Verdana"/>
          <w:sz w:val="20"/>
          <w:szCs w:val="20"/>
        </w:rPr>
        <w:t xml:space="preserve">reconoció como beneficiarios de la sentencia de 25 de octubre de 1993 a las personas que habían sido parte de ANCEJUB-SUNAT al momento de la interposición de la acción de amparo y, a tales efectos, identificó a </w:t>
      </w:r>
      <w:r w:rsidR="00336ED7" w:rsidRPr="000B33B9">
        <w:rPr>
          <w:rFonts w:ascii="Verdana" w:hAnsi="Verdana"/>
          <w:sz w:val="20"/>
          <w:szCs w:val="20"/>
        </w:rPr>
        <w:t>604</w:t>
      </w:r>
      <w:r w:rsidRPr="000B33B9">
        <w:rPr>
          <w:rFonts w:ascii="Verdana" w:hAnsi="Verdana"/>
          <w:sz w:val="20"/>
          <w:szCs w:val="20"/>
        </w:rPr>
        <w:t xml:space="preserve"> personas, cuyos nombres consignó en un listado construido a partir del libro registro de asociados de ANCEJUB-SUNAT y una lista de descuentos de los cesantes de la SUNAT</w:t>
      </w:r>
      <w:r w:rsidRPr="000B33B9">
        <w:rPr>
          <w:rStyle w:val="Refdenotaalpie"/>
          <w:rFonts w:ascii="Verdana" w:hAnsi="Verdana"/>
          <w:sz w:val="20"/>
          <w:szCs w:val="20"/>
        </w:rPr>
        <w:footnoteReference w:id="179"/>
      </w:r>
      <w:r w:rsidRPr="000B33B9">
        <w:rPr>
          <w:rFonts w:ascii="Verdana" w:hAnsi="Verdana"/>
          <w:sz w:val="20"/>
          <w:szCs w:val="20"/>
        </w:rPr>
        <w:t>. En sus motivaciones, dicho tribunal sostuvo que “(…) Atendiendo a que la demanda fue presentada por la [ANCEJUB-SUNAT], en nombre y representación de sus miembros, sólo deben considerarse demandantes a quienes fueron asociados al tiempo que en que se entabló el proceso, esto al [30] de diciembre de [1991] en que se admitió a trámite la demanda (…), pues los demás que se incorporaron que se incorporaron en la persona jurídica con posterioridad a dicha fecha no fueron representados en el juicio por esta última y por lo tanto tampoco tienen la calidad de demandas”.</w:t>
      </w:r>
    </w:p>
    <w:p w14:paraId="2EB69A2E" w14:textId="77777777" w:rsidR="0022623B" w:rsidRPr="000B33B9" w:rsidRDefault="0022623B" w:rsidP="0022623B">
      <w:pPr>
        <w:pStyle w:val="Prrafodelista"/>
        <w:spacing w:after="0" w:line="240" w:lineRule="auto"/>
        <w:ind w:left="0"/>
        <w:jc w:val="both"/>
        <w:rPr>
          <w:rFonts w:ascii="Verdana" w:hAnsi="Verdana"/>
          <w:sz w:val="20"/>
          <w:szCs w:val="20"/>
        </w:rPr>
      </w:pPr>
    </w:p>
    <w:p w14:paraId="2E45ABAE" w14:textId="664CF941" w:rsidR="0022623B"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La Corte concuerda con la indicada resolución en el sentido de que si ANCEJUB-SUNAT actuaba en representación de sus miembros, resulta lógico que solo quienes poseían tal calidad al momento de interponerse el recurso de amparo en 1991 puedan ser considerados beneficiarios de la decisión que lo declaró procedente. </w:t>
      </w:r>
      <w:r w:rsidR="00320517" w:rsidRPr="000B33B9">
        <w:rPr>
          <w:rFonts w:ascii="Verdana" w:hAnsi="Verdana"/>
          <w:sz w:val="20"/>
          <w:szCs w:val="20"/>
        </w:rPr>
        <w:t>Asimismo, la Corte o</w:t>
      </w:r>
      <w:r w:rsidR="004114DB" w:rsidRPr="000B33B9">
        <w:rPr>
          <w:rFonts w:ascii="Verdana" w:hAnsi="Verdana"/>
          <w:sz w:val="20"/>
          <w:szCs w:val="20"/>
        </w:rPr>
        <w:t>bserva que, en adición a las 604</w:t>
      </w:r>
      <w:r w:rsidR="00320517" w:rsidRPr="000B33B9">
        <w:rPr>
          <w:rFonts w:ascii="Verdana" w:hAnsi="Verdana"/>
          <w:sz w:val="20"/>
          <w:szCs w:val="20"/>
        </w:rPr>
        <w:t xml:space="preserve"> personas identificadas en la resolución de 3 de junio de 2005, al aprobar el peritaje de 18 de octubre de 2011 y ordenar el pago de los reintegros allí consignados, el Tribunal Constitucional, mediante sentencia de 23 de abril de 2019</w:t>
      </w:r>
      <w:r w:rsidR="006C06C3" w:rsidRPr="000B33B9">
        <w:rPr>
          <w:rStyle w:val="Refdenotaalpie"/>
          <w:rFonts w:ascii="Verdana" w:hAnsi="Verdana"/>
          <w:sz w:val="20"/>
          <w:szCs w:val="20"/>
        </w:rPr>
        <w:footnoteReference w:id="180"/>
      </w:r>
      <w:r w:rsidR="00320517" w:rsidRPr="000B33B9">
        <w:rPr>
          <w:rFonts w:ascii="Verdana" w:hAnsi="Verdana"/>
          <w:sz w:val="20"/>
          <w:szCs w:val="20"/>
        </w:rPr>
        <w:t xml:space="preserve">, consideró como beneficiarias de la sentencia de 25 de octubre de 1993 a las personas listadas en los anexos del citado informe pericial. </w:t>
      </w:r>
      <w:r w:rsidRPr="000B33B9">
        <w:rPr>
          <w:rFonts w:ascii="Verdana" w:hAnsi="Verdana"/>
          <w:sz w:val="20"/>
          <w:szCs w:val="20"/>
        </w:rPr>
        <w:t>Dado que la Corte no tiene constancia</w:t>
      </w:r>
      <w:r w:rsidR="00320517" w:rsidRPr="000B33B9">
        <w:rPr>
          <w:rFonts w:ascii="Verdana" w:hAnsi="Verdana"/>
          <w:sz w:val="20"/>
          <w:szCs w:val="20"/>
        </w:rPr>
        <w:t xml:space="preserve"> de la revocación de </w:t>
      </w:r>
      <w:r w:rsidR="006C06C3" w:rsidRPr="000B33B9">
        <w:rPr>
          <w:rFonts w:ascii="Verdana" w:hAnsi="Verdana"/>
          <w:sz w:val="20"/>
          <w:szCs w:val="20"/>
        </w:rPr>
        <w:t>las referidas reso</w:t>
      </w:r>
      <w:r w:rsidR="004114DB" w:rsidRPr="000B33B9">
        <w:rPr>
          <w:rFonts w:ascii="Verdana" w:hAnsi="Verdana"/>
          <w:sz w:val="20"/>
          <w:szCs w:val="20"/>
        </w:rPr>
        <w:t>luciones</w:t>
      </w:r>
      <w:r w:rsidR="004F3B08" w:rsidRPr="000B33B9">
        <w:rPr>
          <w:rFonts w:ascii="Verdana" w:hAnsi="Verdana"/>
          <w:sz w:val="20"/>
          <w:szCs w:val="20"/>
        </w:rPr>
        <w:t>,</w:t>
      </w:r>
      <w:r w:rsidRPr="000B33B9">
        <w:rPr>
          <w:rFonts w:ascii="Verdana" w:hAnsi="Verdana"/>
          <w:sz w:val="20"/>
          <w:szCs w:val="20"/>
        </w:rPr>
        <w:t xml:space="preserve"> este Tribunal estima que la determinación de las personas a las cuales aplicaba lo ordenado por la sentencia de 25 de octubre de 1993 </w:t>
      </w:r>
      <w:r w:rsidR="006C06C3" w:rsidRPr="000B33B9">
        <w:rPr>
          <w:rFonts w:ascii="Verdana" w:hAnsi="Verdana"/>
          <w:sz w:val="20"/>
          <w:szCs w:val="20"/>
        </w:rPr>
        <w:t xml:space="preserve">fue </w:t>
      </w:r>
      <w:r w:rsidRPr="000B33B9">
        <w:rPr>
          <w:rFonts w:ascii="Verdana" w:hAnsi="Verdana"/>
          <w:sz w:val="20"/>
          <w:szCs w:val="20"/>
        </w:rPr>
        <w:t xml:space="preserve">resuelta </w:t>
      </w:r>
      <w:r w:rsidR="006C06C3" w:rsidRPr="000B33B9">
        <w:rPr>
          <w:rFonts w:ascii="Verdana" w:hAnsi="Verdana"/>
          <w:sz w:val="20"/>
          <w:szCs w:val="20"/>
        </w:rPr>
        <w:t xml:space="preserve">tanto por </w:t>
      </w:r>
      <w:r w:rsidRPr="000B33B9">
        <w:rPr>
          <w:rFonts w:ascii="Verdana" w:hAnsi="Verdana"/>
          <w:sz w:val="20"/>
          <w:szCs w:val="20"/>
        </w:rPr>
        <w:t>la sentencia de 3 de junio de 2005</w:t>
      </w:r>
      <w:r w:rsidR="006C06C3" w:rsidRPr="000B33B9">
        <w:rPr>
          <w:rFonts w:ascii="Verdana" w:hAnsi="Verdana"/>
          <w:sz w:val="20"/>
          <w:szCs w:val="20"/>
        </w:rPr>
        <w:t xml:space="preserve"> como por la de 23 de abril de 2019</w:t>
      </w:r>
      <w:r w:rsidR="003A3F6A" w:rsidRPr="000B33B9">
        <w:rPr>
          <w:rFonts w:ascii="Verdana" w:hAnsi="Verdana"/>
          <w:sz w:val="20"/>
          <w:szCs w:val="20"/>
        </w:rPr>
        <w:t>.</w:t>
      </w:r>
      <w:r w:rsidRPr="000B33B9">
        <w:rPr>
          <w:rFonts w:ascii="Verdana" w:hAnsi="Verdana"/>
          <w:sz w:val="20"/>
          <w:szCs w:val="20"/>
        </w:rPr>
        <w:t xml:space="preserve"> </w:t>
      </w:r>
    </w:p>
    <w:p w14:paraId="41D80B4D" w14:textId="77777777" w:rsidR="0022623B" w:rsidRPr="000B33B9" w:rsidRDefault="0022623B" w:rsidP="0022623B">
      <w:pPr>
        <w:pStyle w:val="Prrafodelista"/>
        <w:rPr>
          <w:rFonts w:ascii="Verdana" w:hAnsi="Verdana"/>
          <w:sz w:val="20"/>
          <w:szCs w:val="20"/>
        </w:rPr>
      </w:pPr>
    </w:p>
    <w:p w14:paraId="183661B1" w14:textId="6F4E0293" w:rsidR="0022623B"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En relación con lo anterior, la Corte recuerda que el objeto principal de la controversia en el presente caso consiste en determinar si el Estado es internacionalmente responsable por la inejecución de la sentencia judicial de la Corte Suprema de 25 de octubre de 1993 y sobre los efectos que esta sentencia pudo tener en otros derechos de las presuntas víctimas. En consecuencia, dado que solo han sido reconocidas como beneficiarias de la sentencia de 25 de octubre de 1993 las </w:t>
      </w:r>
      <w:r w:rsidR="00336ED7" w:rsidRPr="000B33B9">
        <w:rPr>
          <w:rFonts w:ascii="Verdana" w:hAnsi="Verdana"/>
          <w:sz w:val="20"/>
          <w:szCs w:val="20"/>
        </w:rPr>
        <w:t>598</w:t>
      </w:r>
      <w:r w:rsidR="006C06C3" w:rsidRPr="000B33B9">
        <w:rPr>
          <w:rFonts w:ascii="Verdana" w:hAnsi="Verdana"/>
          <w:sz w:val="20"/>
          <w:szCs w:val="20"/>
        </w:rPr>
        <w:t xml:space="preserve"> </w:t>
      </w:r>
      <w:r w:rsidRPr="000B33B9">
        <w:rPr>
          <w:rFonts w:ascii="Verdana" w:hAnsi="Verdana"/>
          <w:sz w:val="20"/>
          <w:szCs w:val="20"/>
        </w:rPr>
        <w:t>personas identificadas</w:t>
      </w:r>
      <w:r w:rsidR="006C06C3" w:rsidRPr="000B33B9">
        <w:rPr>
          <w:rFonts w:ascii="Verdana" w:hAnsi="Verdana"/>
          <w:sz w:val="20"/>
          <w:szCs w:val="20"/>
        </w:rPr>
        <w:t xml:space="preserve"> ya sea en</w:t>
      </w:r>
      <w:r w:rsidRPr="000B33B9">
        <w:rPr>
          <w:rFonts w:ascii="Verdana" w:hAnsi="Verdana"/>
          <w:sz w:val="20"/>
          <w:szCs w:val="20"/>
        </w:rPr>
        <w:t xml:space="preserve"> la resolución de 3 de junio de 2005</w:t>
      </w:r>
      <w:r w:rsidR="006C06C3" w:rsidRPr="000B33B9">
        <w:rPr>
          <w:rFonts w:ascii="Verdana" w:hAnsi="Verdana"/>
          <w:sz w:val="20"/>
          <w:szCs w:val="20"/>
        </w:rPr>
        <w:t xml:space="preserve"> o en el peritaje aprobado por la sentencia de 23 de abril de 2019</w:t>
      </w:r>
      <w:r w:rsidRPr="000B33B9">
        <w:rPr>
          <w:rFonts w:ascii="Verdana" w:hAnsi="Verdana"/>
          <w:sz w:val="20"/>
          <w:szCs w:val="20"/>
        </w:rPr>
        <w:t>, el Tribunal considera que estas son las únicas personas que pueden ser consideradas como presuntas víctimas de las vulneraciones alegadas en este caso</w:t>
      </w:r>
      <w:r w:rsidR="00070F24" w:rsidRPr="000B33B9">
        <w:rPr>
          <w:rFonts w:ascii="Verdana" w:hAnsi="Verdana"/>
          <w:sz w:val="20"/>
          <w:szCs w:val="20"/>
        </w:rPr>
        <w:t xml:space="preserve">, </w:t>
      </w:r>
      <w:r w:rsidR="00283EBD" w:rsidRPr="000B33B9">
        <w:rPr>
          <w:rFonts w:ascii="Verdana" w:hAnsi="Verdana"/>
          <w:sz w:val="20"/>
          <w:szCs w:val="20"/>
        </w:rPr>
        <w:t>siempre que se encuentren contempladas en el “Anexo único” de la Comisión en su Informe de Fondo</w:t>
      </w:r>
      <w:r w:rsidR="00283EBD" w:rsidRPr="000B33B9">
        <w:rPr>
          <w:rStyle w:val="Refdenotaalpie"/>
          <w:rFonts w:ascii="Verdana" w:hAnsi="Verdana"/>
          <w:sz w:val="20"/>
          <w:szCs w:val="20"/>
        </w:rPr>
        <w:footnoteReference w:id="181"/>
      </w:r>
      <w:r w:rsidRPr="000B33B9">
        <w:rPr>
          <w:rFonts w:ascii="Verdana" w:hAnsi="Verdana"/>
          <w:sz w:val="20"/>
          <w:szCs w:val="20"/>
        </w:rPr>
        <w:t>. Por la misma razón, el señor Ipanaqué tampoco podrá ser considerado como presunta víctima en el presente caso a pesar de haber sido considerado como tal por la Comisión en su Informe de Fondo.</w:t>
      </w:r>
    </w:p>
    <w:p w14:paraId="794E792C" w14:textId="77777777" w:rsidR="0022623B" w:rsidRPr="000B33B9" w:rsidRDefault="0022623B" w:rsidP="0022623B">
      <w:pPr>
        <w:pStyle w:val="Prrafodelista"/>
        <w:rPr>
          <w:rFonts w:ascii="Verdana" w:hAnsi="Verdana"/>
          <w:sz w:val="20"/>
          <w:szCs w:val="20"/>
        </w:rPr>
      </w:pPr>
    </w:p>
    <w:p w14:paraId="1128AD72" w14:textId="1A20E95D" w:rsidR="00CB7833" w:rsidRPr="000B33B9" w:rsidRDefault="0022623B" w:rsidP="007B74B8">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z w:val="20"/>
          <w:szCs w:val="20"/>
        </w:rPr>
        <w:t xml:space="preserve">En razón de lo anterior, corresponde a la Corte determinar si el Estado ha ejecutado la sentencia de 25 de octubre de 1993 de conformidad con el alcance definido por el Tribunal Constitucional en la sentencia de 9 de agosto de 2011, y a favor de las </w:t>
      </w:r>
      <w:r w:rsidR="00336ED7" w:rsidRPr="000B33B9">
        <w:rPr>
          <w:rFonts w:ascii="Verdana" w:hAnsi="Verdana"/>
          <w:sz w:val="20"/>
          <w:szCs w:val="20"/>
        </w:rPr>
        <w:t>598</w:t>
      </w:r>
      <w:r w:rsidR="006C06C3" w:rsidRPr="000B33B9">
        <w:rPr>
          <w:rFonts w:ascii="Verdana" w:hAnsi="Verdana"/>
          <w:sz w:val="20"/>
          <w:szCs w:val="20"/>
        </w:rPr>
        <w:t xml:space="preserve"> </w:t>
      </w:r>
      <w:r w:rsidRPr="000B33B9">
        <w:rPr>
          <w:rFonts w:ascii="Verdana" w:hAnsi="Verdana"/>
          <w:sz w:val="20"/>
          <w:szCs w:val="20"/>
        </w:rPr>
        <w:t>personas</w:t>
      </w:r>
      <w:r w:rsidR="00551F35" w:rsidRPr="000B33B9">
        <w:rPr>
          <w:rFonts w:ascii="Verdana" w:hAnsi="Verdana"/>
          <w:sz w:val="20"/>
          <w:szCs w:val="20"/>
        </w:rPr>
        <w:t xml:space="preserve"> que, habiendo sido</w:t>
      </w:r>
      <w:r w:rsidRPr="000B33B9">
        <w:rPr>
          <w:rFonts w:ascii="Verdana" w:hAnsi="Verdana"/>
          <w:sz w:val="20"/>
          <w:szCs w:val="20"/>
        </w:rPr>
        <w:t xml:space="preserve"> individualizadas en la sentencia de 3 de junio de 2005</w:t>
      </w:r>
      <w:r w:rsidR="006C06C3" w:rsidRPr="000B33B9">
        <w:rPr>
          <w:rFonts w:ascii="Verdana" w:hAnsi="Verdana"/>
          <w:sz w:val="20"/>
          <w:szCs w:val="20"/>
        </w:rPr>
        <w:t xml:space="preserve"> o en el peritaje de 18 de octubre de 2011, aprobado por la sentencia de 23 de abril de 2019</w:t>
      </w:r>
      <w:r w:rsidR="00551F35" w:rsidRPr="000B33B9">
        <w:rPr>
          <w:rFonts w:ascii="Verdana" w:hAnsi="Verdana"/>
          <w:sz w:val="20"/>
          <w:szCs w:val="20"/>
        </w:rPr>
        <w:t xml:space="preserve">, figuran </w:t>
      </w:r>
      <w:r w:rsidR="00421CB6" w:rsidRPr="000B33B9">
        <w:rPr>
          <w:rFonts w:ascii="Verdana" w:hAnsi="Verdana"/>
          <w:sz w:val="20"/>
          <w:szCs w:val="20"/>
        </w:rPr>
        <w:t xml:space="preserve">como presuntas víctimas </w:t>
      </w:r>
      <w:r w:rsidR="00551F35" w:rsidRPr="000B33B9">
        <w:rPr>
          <w:rFonts w:ascii="Verdana" w:hAnsi="Verdana"/>
          <w:sz w:val="20"/>
          <w:szCs w:val="20"/>
        </w:rPr>
        <w:t>en el Informe de Fondo de la Comisión</w:t>
      </w:r>
      <w:r w:rsidRPr="000B33B9">
        <w:rPr>
          <w:rFonts w:ascii="Verdana" w:hAnsi="Verdana"/>
          <w:sz w:val="20"/>
          <w:szCs w:val="20"/>
        </w:rPr>
        <w:t>.</w:t>
      </w:r>
      <w:r w:rsidR="00CB7833" w:rsidRPr="000B33B9">
        <w:rPr>
          <w:rFonts w:ascii="Verdana" w:hAnsi="Verdana"/>
          <w:sz w:val="20"/>
          <w:szCs w:val="20"/>
        </w:rPr>
        <w:t xml:space="preserve"> </w:t>
      </w:r>
    </w:p>
    <w:p w14:paraId="5750BECF" w14:textId="77777777" w:rsidR="00CB7833" w:rsidRPr="000B33B9" w:rsidRDefault="00CB7833" w:rsidP="00CB7833">
      <w:pPr>
        <w:pStyle w:val="Prrafodelista"/>
        <w:spacing w:after="0" w:line="240" w:lineRule="auto"/>
        <w:jc w:val="both"/>
        <w:rPr>
          <w:rFonts w:ascii="Verdana" w:hAnsi="Verdana" w:cs="Arial"/>
          <w:spacing w:val="-2"/>
          <w:sz w:val="20"/>
          <w:szCs w:val="20"/>
          <w:lang w:eastAsia="ja-JP"/>
        </w:rPr>
      </w:pPr>
    </w:p>
    <w:p w14:paraId="6D291BA5" w14:textId="60F4AE5C" w:rsidR="00BD156F" w:rsidRPr="000B33B9" w:rsidRDefault="00BD156F" w:rsidP="008F68AE">
      <w:pPr>
        <w:pStyle w:val="Ttulo4"/>
        <w:numPr>
          <w:ilvl w:val="0"/>
          <w:numId w:val="0"/>
        </w:numPr>
        <w:ind w:left="1068"/>
        <w:rPr>
          <w:lang w:eastAsia="ja-JP"/>
        </w:rPr>
      </w:pPr>
      <w:bookmarkStart w:id="66" w:name="_Toc27329769"/>
      <w:r w:rsidRPr="000B33B9">
        <w:t>A.2.</w:t>
      </w:r>
      <w:r w:rsidR="000D5FA5" w:rsidRPr="000B33B9">
        <w:t>2</w:t>
      </w:r>
      <w:r w:rsidRPr="000B33B9">
        <w:t xml:space="preserve">. </w:t>
      </w:r>
      <w:r w:rsidRPr="000B33B9">
        <w:rPr>
          <w:lang w:eastAsia="ja-JP"/>
        </w:rPr>
        <w:t xml:space="preserve">La </w:t>
      </w:r>
      <w:r w:rsidR="00D35009" w:rsidRPr="000B33B9">
        <w:rPr>
          <w:lang w:eastAsia="ja-JP"/>
        </w:rPr>
        <w:t>in</w:t>
      </w:r>
      <w:r w:rsidR="00025674" w:rsidRPr="000B33B9">
        <w:rPr>
          <w:lang w:eastAsia="ja-JP"/>
        </w:rPr>
        <w:t>ejecu</w:t>
      </w:r>
      <w:r w:rsidR="00E82025" w:rsidRPr="000B33B9">
        <w:rPr>
          <w:lang w:eastAsia="ja-JP"/>
        </w:rPr>
        <w:t>ci</w:t>
      </w:r>
      <w:r w:rsidR="00025674" w:rsidRPr="000B33B9">
        <w:rPr>
          <w:lang w:eastAsia="ja-JP"/>
        </w:rPr>
        <w:t>ón</w:t>
      </w:r>
      <w:r w:rsidRPr="000B33B9">
        <w:rPr>
          <w:lang w:eastAsia="ja-JP"/>
        </w:rPr>
        <w:t xml:space="preserve"> del pago de los reintegros por concepto de la nivelación de las pensiones</w:t>
      </w:r>
      <w:bookmarkEnd w:id="66"/>
    </w:p>
    <w:p w14:paraId="5D167835" w14:textId="77777777" w:rsidR="00BD156F" w:rsidRPr="000B33B9" w:rsidRDefault="00BD156F" w:rsidP="00BD156F">
      <w:pPr>
        <w:pStyle w:val="Prrafodelista"/>
        <w:jc w:val="both"/>
        <w:rPr>
          <w:rFonts w:ascii="Verdana" w:hAnsi="Verdana" w:cs="Arial"/>
          <w:i/>
          <w:spacing w:val="-2"/>
          <w:sz w:val="20"/>
          <w:szCs w:val="20"/>
          <w:u w:val="single"/>
          <w:lang w:eastAsia="ja-JP"/>
        </w:rPr>
      </w:pPr>
    </w:p>
    <w:p w14:paraId="420E7F6B" w14:textId="69122D01" w:rsidR="00BD156F" w:rsidRPr="000B33B9" w:rsidRDefault="00BD156F" w:rsidP="009B2521">
      <w:pPr>
        <w:pStyle w:val="Prrafodelista"/>
        <w:numPr>
          <w:ilvl w:val="0"/>
          <w:numId w:val="10"/>
        </w:numPr>
        <w:spacing w:after="0" w:line="240" w:lineRule="auto"/>
        <w:ind w:left="0" w:firstLine="0"/>
        <w:jc w:val="both"/>
        <w:rPr>
          <w:rFonts w:ascii="Verdana" w:hAnsi="Verdana"/>
          <w:sz w:val="20"/>
          <w:szCs w:val="20"/>
        </w:rPr>
      </w:pPr>
      <w:r w:rsidRPr="000B33B9">
        <w:rPr>
          <w:rFonts w:ascii="Verdana" w:hAnsi="Verdana"/>
          <w:spacing w:val="-2"/>
          <w:sz w:val="20"/>
          <w:szCs w:val="20"/>
        </w:rPr>
        <w:t xml:space="preserve">La Corte recuerda que el aspecto sustancial que debía determinar el proceso de ejecución de la sentencia de 25 de octubre de 1993 era el cálculo </w:t>
      </w:r>
      <w:r w:rsidRPr="000B33B9">
        <w:rPr>
          <w:rFonts w:ascii="Verdana" w:hAnsi="Verdana"/>
          <w:sz w:val="20"/>
          <w:szCs w:val="20"/>
        </w:rPr>
        <w:t xml:space="preserve">de </w:t>
      </w:r>
      <w:r w:rsidRPr="000B33B9">
        <w:rPr>
          <w:rFonts w:ascii="Verdana" w:hAnsi="Verdana"/>
          <w:spacing w:val="-2"/>
          <w:sz w:val="20"/>
          <w:szCs w:val="20"/>
        </w:rPr>
        <w:t xml:space="preserve">los montos que debían ser pagados a las presuntas víctimas por concepto reintegros de pensiones niveladas que fueron no percibidos durante </w:t>
      </w:r>
      <w:r w:rsidR="00D615D4" w:rsidRPr="000B33B9">
        <w:rPr>
          <w:rFonts w:ascii="Verdana" w:hAnsi="Verdana"/>
          <w:spacing w:val="-2"/>
          <w:sz w:val="20"/>
          <w:szCs w:val="20"/>
        </w:rPr>
        <w:t xml:space="preserve">el periodo de aplicación de la Tercera Disposición Transitoria del Decreto 673. </w:t>
      </w:r>
      <w:r w:rsidRPr="000B33B9">
        <w:rPr>
          <w:rFonts w:ascii="Verdana" w:hAnsi="Verdana"/>
          <w:sz w:val="20"/>
          <w:szCs w:val="20"/>
          <w:lang w:val="es-ES"/>
        </w:rPr>
        <w:t xml:space="preserve">Del contenido de la referida sentencia, la resolución de 9 de agosto de 2011 y la Ley 23495 sobre la </w:t>
      </w:r>
      <w:r w:rsidR="00D615D4" w:rsidRPr="000B33B9">
        <w:rPr>
          <w:rFonts w:ascii="Verdana" w:hAnsi="Verdana"/>
          <w:sz w:val="20"/>
          <w:szCs w:val="20"/>
          <w:lang w:val="es-ES"/>
        </w:rPr>
        <w:t>nivelación</w:t>
      </w:r>
      <w:r w:rsidRPr="000B33B9">
        <w:rPr>
          <w:rFonts w:ascii="Verdana" w:hAnsi="Verdana"/>
          <w:sz w:val="20"/>
          <w:szCs w:val="20"/>
          <w:lang w:val="es-ES"/>
        </w:rPr>
        <w:t xml:space="preserve"> progresiva de las pensiones de los cesantes y jubilados de la </w:t>
      </w:r>
      <w:r w:rsidR="00D615D4" w:rsidRPr="000B33B9">
        <w:rPr>
          <w:rFonts w:ascii="Verdana" w:hAnsi="Verdana"/>
          <w:sz w:val="20"/>
          <w:szCs w:val="20"/>
          <w:lang w:val="es-ES"/>
        </w:rPr>
        <w:t>Administración</w:t>
      </w:r>
      <w:r w:rsidRPr="000B33B9">
        <w:rPr>
          <w:rFonts w:ascii="Verdana" w:hAnsi="Verdana"/>
          <w:sz w:val="20"/>
          <w:szCs w:val="20"/>
          <w:lang w:val="es-ES"/>
        </w:rPr>
        <w:t xml:space="preserve"> Pública</w:t>
      </w:r>
      <w:r w:rsidRPr="000B33B9">
        <w:rPr>
          <w:rStyle w:val="Refdenotaalpie"/>
          <w:rFonts w:ascii="Verdana" w:hAnsi="Verdana"/>
          <w:sz w:val="20"/>
          <w:szCs w:val="20"/>
          <w:lang w:val="es-ES"/>
        </w:rPr>
        <w:footnoteReference w:id="182"/>
      </w:r>
      <w:r w:rsidRPr="000B33B9">
        <w:rPr>
          <w:rFonts w:ascii="Verdana" w:hAnsi="Verdana"/>
          <w:sz w:val="20"/>
          <w:szCs w:val="20"/>
          <w:lang w:val="es-ES"/>
        </w:rPr>
        <w:t xml:space="preserve">, la Corte advierte que tales reintegros consisten en la diferencia entre los montos de las pensiones recibidas por las víctimas mientras se mantuvo vigente la tercera disposición transitoria del Decreto 673 </w:t>
      </w:r>
      <w:r w:rsidR="00492FA2" w:rsidRPr="000B33B9">
        <w:rPr>
          <w:rFonts w:ascii="Verdana" w:hAnsi="Verdana"/>
          <w:sz w:val="20"/>
          <w:szCs w:val="20"/>
          <w:lang w:val="es-ES"/>
        </w:rPr>
        <w:t xml:space="preserve">y hasta que entró en vigor la reforma constitucional promovida por la Ley </w:t>
      </w:r>
      <w:r w:rsidR="00492FA2" w:rsidRPr="000B33B9">
        <w:rPr>
          <w:rFonts w:ascii="Verdana" w:hAnsi="Verdana"/>
          <w:sz w:val="20"/>
          <w:szCs w:val="20"/>
        </w:rPr>
        <w:t xml:space="preserve">28389, </w:t>
      </w:r>
      <w:r w:rsidRPr="000B33B9">
        <w:rPr>
          <w:rFonts w:ascii="Verdana" w:hAnsi="Verdana"/>
          <w:sz w:val="20"/>
          <w:szCs w:val="20"/>
          <w:lang w:val="es-ES"/>
        </w:rPr>
        <w:t xml:space="preserve">y los correspondientes a las remuneraciones percibidas en dicho periodo por los servidores activos de la SUNAT sujetos al régimen laboral del Decreto 276, que ocuparan un cargo igual o similar al que desempeñaban las víctimas al momento del cese, sin incluir los conceptos considerados como no pensionables por el artículo 3, inciso c, del Decreto 673. En otras palabras, los reintegros son el aumento que debió haberse registrado en las pensiones de las </w:t>
      </w:r>
      <w:r w:rsidR="0039102C" w:rsidRPr="000B33B9">
        <w:rPr>
          <w:rFonts w:ascii="Verdana" w:hAnsi="Verdana"/>
          <w:sz w:val="20"/>
          <w:szCs w:val="20"/>
          <w:lang w:val="es-ES"/>
        </w:rPr>
        <w:t xml:space="preserve">presuntas </w:t>
      </w:r>
      <w:r w:rsidRPr="000B33B9">
        <w:rPr>
          <w:rFonts w:ascii="Verdana" w:hAnsi="Verdana"/>
          <w:sz w:val="20"/>
          <w:szCs w:val="20"/>
          <w:lang w:val="es-ES"/>
        </w:rPr>
        <w:t xml:space="preserve">víctimas si, durante la aplicación de la </w:t>
      </w:r>
      <w:r w:rsidR="0039102C" w:rsidRPr="000B33B9">
        <w:rPr>
          <w:rFonts w:ascii="Verdana" w:hAnsi="Verdana"/>
          <w:sz w:val="20"/>
          <w:szCs w:val="20"/>
          <w:lang w:val="es-ES"/>
        </w:rPr>
        <w:t>T</w:t>
      </w:r>
      <w:r w:rsidRPr="000B33B9">
        <w:rPr>
          <w:rFonts w:ascii="Verdana" w:hAnsi="Verdana"/>
          <w:sz w:val="20"/>
          <w:szCs w:val="20"/>
          <w:lang w:val="es-ES"/>
        </w:rPr>
        <w:t xml:space="preserve">ercera </w:t>
      </w:r>
      <w:r w:rsidR="0039102C" w:rsidRPr="000B33B9">
        <w:rPr>
          <w:rFonts w:ascii="Verdana" w:hAnsi="Verdana"/>
          <w:sz w:val="20"/>
          <w:szCs w:val="20"/>
          <w:lang w:val="es-ES"/>
        </w:rPr>
        <w:t>D</w:t>
      </w:r>
      <w:r w:rsidRPr="000B33B9">
        <w:rPr>
          <w:rFonts w:ascii="Verdana" w:hAnsi="Verdana"/>
          <w:sz w:val="20"/>
          <w:szCs w:val="20"/>
          <w:lang w:val="es-ES"/>
        </w:rPr>
        <w:t xml:space="preserve">isposición </w:t>
      </w:r>
      <w:r w:rsidR="0039102C" w:rsidRPr="000B33B9">
        <w:rPr>
          <w:rFonts w:ascii="Verdana" w:hAnsi="Verdana"/>
          <w:sz w:val="20"/>
          <w:szCs w:val="20"/>
          <w:lang w:val="es-ES"/>
        </w:rPr>
        <w:t>T</w:t>
      </w:r>
      <w:r w:rsidRPr="000B33B9">
        <w:rPr>
          <w:rFonts w:ascii="Verdana" w:hAnsi="Verdana"/>
          <w:sz w:val="20"/>
          <w:szCs w:val="20"/>
          <w:lang w:val="es-ES"/>
        </w:rPr>
        <w:t>ransitoria del Decreto 673, estas hubieran sido equiparadas a los incrementos progresivos en la remuneración que recibían los trabajadores de la SUNAT comprendidos en el ré</w:t>
      </w:r>
      <w:r w:rsidR="00D615D4" w:rsidRPr="000B33B9">
        <w:rPr>
          <w:rFonts w:ascii="Verdana" w:hAnsi="Verdana"/>
          <w:sz w:val="20"/>
          <w:szCs w:val="20"/>
          <w:lang w:val="es-ES"/>
        </w:rPr>
        <w:t>gimen laboral del Decreto 276.</w:t>
      </w:r>
    </w:p>
    <w:p w14:paraId="413AF081" w14:textId="77777777" w:rsidR="00BD156F" w:rsidRPr="000B33B9" w:rsidRDefault="00BD156F" w:rsidP="009B2521">
      <w:pPr>
        <w:pStyle w:val="Prrafodelista"/>
        <w:spacing w:after="0" w:line="240" w:lineRule="auto"/>
        <w:ind w:left="0"/>
        <w:jc w:val="both"/>
        <w:rPr>
          <w:rFonts w:ascii="Verdana" w:hAnsi="Verdana"/>
          <w:sz w:val="20"/>
          <w:szCs w:val="20"/>
        </w:rPr>
      </w:pPr>
    </w:p>
    <w:p w14:paraId="0D296D64" w14:textId="2490327B" w:rsidR="00BD156F" w:rsidRPr="000B33B9" w:rsidRDefault="00BD156F" w:rsidP="009B2521">
      <w:pPr>
        <w:pStyle w:val="Prrafodelista"/>
        <w:numPr>
          <w:ilvl w:val="0"/>
          <w:numId w:val="10"/>
        </w:numPr>
        <w:tabs>
          <w:tab w:val="left" w:pos="709"/>
        </w:tabs>
        <w:spacing w:after="0" w:line="240" w:lineRule="auto"/>
        <w:ind w:left="0" w:firstLine="0"/>
        <w:jc w:val="both"/>
        <w:rPr>
          <w:rFonts w:ascii="Verdana" w:hAnsi="Verdana"/>
          <w:spacing w:val="-2"/>
          <w:sz w:val="20"/>
          <w:szCs w:val="20"/>
        </w:rPr>
      </w:pPr>
      <w:r w:rsidRPr="000B33B9">
        <w:rPr>
          <w:rFonts w:ascii="Verdana" w:hAnsi="Verdana"/>
          <w:sz w:val="20"/>
          <w:szCs w:val="20"/>
          <w:lang w:val="es-ES"/>
        </w:rPr>
        <w:t xml:space="preserve">La </w:t>
      </w:r>
      <w:r w:rsidRPr="000B33B9">
        <w:rPr>
          <w:rFonts w:ascii="Verdana" w:hAnsi="Verdana"/>
          <w:sz w:val="20"/>
          <w:szCs w:val="20"/>
        </w:rPr>
        <w:t>Corte reitera que, como la sentencia de 25 de octubre de 1993 dispuso de manera general el reintegro de dicha diferencia sin fijar la suma a la que ascend</w:t>
      </w:r>
      <w:r w:rsidR="0039102C" w:rsidRPr="000B33B9">
        <w:rPr>
          <w:rFonts w:ascii="Verdana" w:hAnsi="Verdana"/>
          <w:sz w:val="20"/>
          <w:szCs w:val="20"/>
        </w:rPr>
        <w:t>ía respecto a cada cesante, era</w:t>
      </w:r>
      <w:r w:rsidRPr="000B33B9">
        <w:rPr>
          <w:rFonts w:ascii="Verdana" w:hAnsi="Verdana"/>
          <w:sz w:val="20"/>
          <w:szCs w:val="20"/>
        </w:rPr>
        <w:t xml:space="preserve"> necesario determinar mediante prueba pericial la cuantía de los aumentos que debieron operar respecto a las pensiones de las </w:t>
      </w:r>
      <w:r w:rsidR="0039102C" w:rsidRPr="000B33B9">
        <w:rPr>
          <w:rFonts w:ascii="Verdana" w:hAnsi="Verdana"/>
          <w:sz w:val="20"/>
          <w:szCs w:val="20"/>
        </w:rPr>
        <w:t xml:space="preserve">presuntas </w:t>
      </w:r>
      <w:r w:rsidRPr="000B33B9">
        <w:rPr>
          <w:rFonts w:ascii="Verdana" w:hAnsi="Verdana"/>
          <w:sz w:val="20"/>
          <w:szCs w:val="20"/>
        </w:rPr>
        <w:t xml:space="preserve">víctimas de estas haber sido niveladas durante </w:t>
      </w:r>
      <w:r w:rsidR="0039102C" w:rsidRPr="000B33B9">
        <w:rPr>
          <w:rFonts w:ascii="Verdana" w:hAnsi="Verdana"/>
          <w:sz w:val="20"/>
          <w:szCs w:val="20"/>
        </w:rPr>
        <w:t>el periodo de aplicación de la Tercera Disposición T</w:t>
      </w:r>
      <w:r w:rsidRPr="000B33B9">
        <w:rPr>
          <w:rFonts w:ascii="Verdana" w:hAnsi="Verdana"/>
          <w:sz w:val="20"/>
          <w:szCs w:val="20"/>
        </w:rPr>
        <w:t xml:space="preserve">ransitoria del Decreto 673, desde enero de </w:t>
      </w:r>
      <w:r w:rsidR="00492FA2" w:rsidRPr="000B33B9">
        <w:rPr>
          <w:rFonts w:ascii="Verdana" w:hAnsi="Verdana"/>
          <w:sz w:val="20"/>
          <w:szCs w:val="20"/>
        </w:rPr>
        <w:t>1992</w:t>
      </w:r>
      <w:r w:rsidRPr="000B33B9">
        <w:rPr>
          <w:rFonts w:ascii="Verdana" w:hAnsi="Verdana"/>
          <w:sz w:val="20"/>
          <w:szCs w:val="20"/>
        </w:rPr>
        <w:t xml:space="preserve"> hasta diciembre de 2004</w:t>
      </w:r>
      <w:r w:rsidR="00492FA2" w:rsidRPr="000B33B9">
        <w:rPr>
          <w:rFonts w:ascii="Verdana" w:hAnsi="Verdana"/>
          <w:sz w:val="20"/>
          <w:szCs w:val="20"/>
        </w:rPr>
        <w:t>, en que entró en vigor la reforma constitucional que eliminó el derecho a la nivelación</w:t>
      </w:r>
      <w:r w:rsidRPr="000B33B9">
        <w:rPr>
          <w:rFonts w:ascii="Verdana" w:hAnsi="Verdana"/>
          <w:sz w:val="20"/>
          <w:szCs w:val="20"/>
        </w:rPr>
        <w:t xml:space="preserve">. </w:t>
      </w:r>
      <w:r w:rsidRPr="000B33B9">
        <w:rPr>
          <w:rFonts w:ascii="Verdana" w:hAnsi="Verdana"/>
          <w:spacing w:val="-2"/>
          <w:sz w:val="20"/>
          <w:szCs w:val="20"/>
        </w:rPr>
        <w:t>Para la determinación de dichos montos se realizaron dos peritajes que fueron sucesivamente revocados por los tribunales a cargo de la ejecución debido a las observaciones de una u otra parte: a) el informe pericial de 3 de abril de 2003 fue revocado mediante resolución expedida el 5 de mayo de 2005 por el Sexagésimo Sexto Juzgado</w:t>
      </w:r>
      <w:r w:rsidRPr="000B33B9">
        <w:rPr>
          <w:rStyle w:val="Refdenotaalpie"/>
          <w:rFonts w:ascii="Verdana" w:hAnsi="Verdana"/>
          <w:spacing w:val="-2"/>
          <w:sz w:val="20"/>
          <w:szCs w:val="20"/>
        </w:rPr>
        <w:footnoteReference w:id="183"/>
      </w:r>
      <w:r w:rsidRPr="000B33B9">
        <w:rPr>
          <w:rFonts w:ascii="Verdana" w:hAnsi="Verdana"/>
          <w:spacing w:val="-2"/>
          <w:sz w:val="20"/>
          <w:szCs w:val="20"/>
        </w:rPr>
        <w:t>, y b) el informe pericial de 9 de noviembre de 2005 fue revocado por resolución emitida el 24 de julio de 2006 por la Sexta Sala Civil</w:t>
      </w:r>
      <w:r w:rsidRPr="000B33B9">
        <w:rPr>
          <w:rStyle w:val="Refdenotaalpie"/>
          <w:rFonts w:ascii="Verdana" w:hAnsi="Verdana"/>
          <w:spacing w:val="-2"/>
          <w:sz w:val="20"/>
          <w:szCs w:val="20"/>
        </w:rPr>
        <w:footnoteReference w:id="184"/>
      </w:r>
      <w:r w:rsidRPr="000B33B9">
        <w:rPr>
          <w:rFonts w:ascii="Verdana" w:hAnsi="Verdana"/>
          <w:spacing w:val="-2"/>
          <w:sz w:val="20"/>
          <w:szCs w:val="20"/>
        </w:rPr>
        <w:t xml:space="preserve">. </w:t>
      </w:r>
    </w:p>
    <w:p w14:paraId="095657B8" w14:textId="77777777" w:rsidR="00BD156F" w:rsidRPr="000B33B9" w:rsidRDefault="00BD156F" w:rsidP="009B2521">
      <w:pPr>
        <w:pStyle w:val="Prrafodelista"/>
        <w:jc w:val="both"/>
        <w:rPr>
          <w:rFonts w:ascii="Verdana" w:hAnsi="Verdana"/>
          <w:spacing w:val="-2"/>
          <w:sz w:val="20"/>
          <w:szCs w:val="20"/>
        </w:rPr>
      </w:pPr>
    </w:p>
    <w:p w14:paraId="506FDEC5" w14:textId="55711F6E" w:rsidR="00BD156F" w:rsidRPr="000B33B9" w:rsidRDefault="00BD156F" w:rsidP="009B2521">
      <w:pPr>
        <w:pStyle w:val="Prrafodelista"/>
        <w:numPr>
          <w:ilvl w:val="0"/>
          <w:numId w:val="10"/>
        </w:numPr>
        <w:tabs>
          <w:tab w:val="left" w:pos="709"/>
        </w:tabs>
        <w:spacing w:after="0" w:line="240" w:lineRule="auto"/>
        <w:ind w:left="0" w:firstLine="0"/>
        <w:jc w:val="both"/>
        <w:rPr>
          <w:rFonts w:ascii="Verdana" w:hAnsi="Verdana" w:cs="Arial"/>
          <w:spacing w:val="-2"/>
          <w:sz w:val="20"/>
          <w:szCs w:val="20"/>
          <w:lang w:eastAsia="ja-JP"/>
        </w:rPr>
      </w:pPr>
      <w:r w:rsidRPr="000B33B9">
        <w:rPr>
          <w:rFonts w:ascii="Verdana" w:hAnsi="Verdana"/>
          <w:spacing w:val="-2"/>
          <w:sz w:val="20"/>
          <w:szCs w:val="20"/>
        </w:rPr>
        <w:t>De conformidad con lo ordenado en la resolución de 24 de julio de 2006, el 25 de octubre de 2006 se dispuso la elaboración de un tercer informe pericial</w:t>
      </w:r>
      <w:r w:rsidRPr="000B33B9">
        <w:rPr>
          <w:rStyle w:val="Refdenotaalpie"/>
          <w:rFonts w:ascii="Verdana" w:hAnsi="Verdana"/>
          <w:spacing w:val="-2"/>
          <w:sz w:val="20"/>
          <w:szCs w:val="20"/>
        </w:rPr>
        <w:footnoteReference w:id="185"/>
      </w:r>
      <w:r w:rsidRPr="000B33B9">
        <w:rPr>
          <w:rFonts w:ascii="Verdana" w:hAnsi="Verdana"/>
          <w:spacing w:val="-2"/>
          <w:sz w:val="20"/>
          <w:szCs w:val="20"/>
        </w:rPr>
        <w:t>, que fue presentado por el Equipo Técnico Pericial el 18 de octubre de 2011</w:t>
      </w:r>
      <w:r w:rsidRPr="000B33B9">
        <w:rPr>
          <w:rStyle w:val="Refdenotaalpie"/>
          <w:rFonts w:ascii="Verdana" w:hAnsi="Verdana"/>
          <w:spacing w:val="-2"/>
          <w:sz w:val="20"/>
          <w:szCs w:val="20"/>
        </w:rPr>
        <w:footnoteReference w:id="186"/>
      </w:r>
      <w:r w:rsidRPr="000B33B9">
        <w:rPr>
          <w:rFonts w:ascii="Verdana" w:hAnsi="Verdana"/>
          <w:spacing w:val="-2"/>
          <w:sz w:val="20"/>
          <w:szCs w:val="20"/>
        </w:rPr>
        <w:t>, y fue ratificado por un cuarto informe de fecha 18 de mayo de 2014</w:t>
      </w:r>
      <w:r w:rsidRPr="000B33B9">
        <w:rPr>
          <w:rStyle w:val="Refdenotaalpie"/>
          <w:rFonts w:ascii="Verdana" w:hAnsi="Verdana"/>
          <w:spacing w:val="-2"/>
          <w:sz w:val="20"/>
          <w:szCs w:val="20"/>
        </w:rPr>
        <w:footnoteReference w:id="187"/>
      </w:r>
      <w:r w:rsidRPr="000B33B9">
        <w:rPr>
          <w:rFonts w:ascii="Verdana" w:hAnsi="Verdana"/>
          <w:spacing w:val="-2"/>
          <w:sz w:val="20"/>
          <w:szCs w:val="20"/>
        </w:rPr>
        <w:t xml:space="preserve">. </w:t>
      </w:r>
      <w:r w:rsidRPr="000B33B9">
        <w:rPr>
          <w:rFonts w:ascii="Verdana" w:hAnsi="Verdana"/>
          <w:sz w:val="20"/>
          <w:szCs w:val="20"/>
        </w:rPr>
        <w:t>En el informe pericial de 11 de octubre de 2011 se hizo el cálculo de la nivelación y se determinó la diferencia entre esta y las pensiones que percibieron las</w:t>
      </w:r>
      <w:r w:rsidR="0039102C" w:rsidRPr="000B33B9">
        <w:rPr>
          <w:rFonts w:ascii="Verdana" w:hAnsi="Verdana"/>
          <w:sz w:val="20"/>
          <w:szCs w:val="20"/>
        </w:rPr>
        <w:t xml:space="preserve"> presuntas</w:t>
      </w:r>
      <w:r w:rsidRPr="000B33B9">
        <w:rPr>
          <w:rFonts w:ascii="Verdana" w:hAnsi="Verdana"/>
          <w:sz w:val="20"/>
          <w:szCs w:val="20"/>
        </w:rPr>
        <w:t xml:space="preserve"> víctimas, concluyendo que la suma pendiente de pago por dicho concepto ascendía a S</w:t>
      </w:r>
      <w:r w:rsidRPr="000B33B9">
        <w:rPr>
          <w:rFonts w:ascii="Verdana" w:hAnsi="Verdana"/>
          <w:sz w:val="20"/>
          <w:szCs w:val="20"/>
          <w:lang w:val="es-DO"/>
        </w:rPr>
        <w:t>/193,751.69 nuevos soles</w:t>
      </w:r>
      <w:r w:rsidRPr="000B33B9">
        <w:rPr>
          <w:rStyle w:val="Refdenotaalpie"/>
          <w:rFonts w:ascii="Verdana" w:hAnsi="Verdana"/>
          <w:sz w:val="20"/>
          <w:szCs w:val="20"/>
          <w:lang w:val="es-DO"/>
        </w:rPr>
        <w:footnoteReference w:id="188"/>
      </w:r>
      <w:r w:rsidRPr="000B33B9">
        <w:rPr>
          <w:rFonts w:ascii="Verdana" w:hAnsi="Verdana"/>
          <w:sz w:val="20"/>
          <w:szCs w:val="20"/>
        </w:rPr>
        <w:t>.</w:t>
      </w:r>
    </w:p>
    <w:p w14:paraId="1ED0E70B" w14:textId="77777777" w:rsidR="00FE46F1" w:rsidRPr="000B33B9" w:rsidRDefault="00FE46F1" w:rsidP="00BD156F">
      <w:pPr>
        <w:pStyle w:val="Prrafodelista"/>
        <w:jc w:val="both"/>
        <w:rPr>
          <w:rFonts w:ascii="Verdana" w:hAnsi="Verdana"/>
          <w:spacing w:val="-2"/>
          <w:sz w:val="20"/>
          <w:szCs w:val="20"/>
        </w:rPr>
      </w:pPr>
    </w:p>
    <w:p w14:paraId="713985F7" w14:textId="2B8A3528" w:rsidR="00BD156F" w:rsidRPr="009B2521" w:rsidRDefault="00BD156F" w:rsidP="009B2521">
      <w:pPr>
        <w:pStyle w:val="Prrafodelista"/>
        <w:numPr>
          <w:ilvl w:val="0"/>
          <w:numId w:val="10"/>
        </w:numPr>
        <w:tabs>
          <w:tab w:val="left" w:pos="709"/>
        </w:tabs>
        <w:spacing w:after="0" w:line="240" w:lineRule="auto"/>
        <w:ind w:left="0" w:firstLine="0"/>
        <w:jc w:val="both"/>
        <w:rPr>
          <w:rFonts w:ascii="Verdana" w:hAnsi="Verdana" w:cs="Arial"/>
          <w:spacing w:val="-2"/>
          <w:sz w:val="20"/>
          <w:szCs w:val="20"/>
          <w:lang w:eastAsia="ja-JP"/>
        </w:rPr>
      </w:pPr>
      <w:r w:rsidRPr="000B33B9">
        <w:rPr>
          <w:rFonts w:ascii="Verdana" w:hAnsi="Verdana" w:cs="Arial"/>
          <w:spacing w:val="-2"/>
          <w:sz w:val="20"/>
          <w:szCs w:val="20"/>
          <w:lang w:eastAsia="ja-JP"/>
        </w:rPr>
        <w:t xml:space="preserve">La Corte recuerda que dicho peritaje </w:t>
      </w:r>
      <w:r w:rsidRPr="000B33B9">
        <w:rPr>
          <w:rFonts w:ascii="Verdana" w:hAnsi="Verdana"/>
          <w:spacing w:val="-2"/>
          <w:sz w:val="20"/>
          <w:szCs w:val="20"/>
        </w:rPr>
        <w:t xml:space="preserve">fue aprobado </w:t>
      </w:r>
      <w:r w:rsidRPr="000B33B9">
        <w:rPr>
          <w:rFonts w:ascii="Verdana" w:hAnsi="Verdana" w:cs="Arial"/>
          <w:spacing w:val="-2"/>
          <w:sz w:val="20"/>
          <w:szCs w:val="20"/>
          <w:lang w:eastAsia="ja-JP"/>
        </w:rPr>
        <w:t xml:space="preserve">por el </w:t>
      </w:r>
      <w:r w:rsidRPr="000B33B9">
        <w:rPr>
          <w:rFonts w:ascii="Verdana" w:hAnsi="Verdana"/>
          <w:sz w:val="20"/>
          <w:szCs w:val="20"/>
          <w:lang w:val="es-ES"/>
        </w:rPr>
        <w:t>Segundo Juzgado</w:t>
      </w:r>
      <w:r w:rsidR="000D5FA5" w:rsidRPr="000B33B9">
        <w:rPr>
          <w:rFonts w:ascii="Verdana" w:hAnsi="Verdana"/>
          <w:sz w:val="20"/>
          <w:szCs w:val="20"/>
          <w:lang w:val="es-ES"/>
        </w:rPr>
        <w:t xml:space="preserve"> Civil</w:t>
      </w:r>
      <w:r w:rsidR="00117906" w:rsidRPr="000B33B9">
        <w:rPr>
          <w:rFonts w:ascii="Verdana" w:hAnsi="Verdana"/>
          <w:sz w:val="20"/>
          <w:szCs w:val="20"/>
          <w:lang w:val="es-ES"/>
        </w:rPr>
        <w:t xml:space="preserve"> </w:t>
      </w:r>
      <w:r w:rsidRPr="000B33B9">
        <w:rPr>
          <w:rFonts w:ascii="Verdana" w:hAnsi="Verdana" w:cs="Arial"/>
          <w:spacing w:val="-2"/>
          <w:sz w:val="20"/>
          <w:szCs w:val="20"/>
          <w:lang w:eastAsia="ja-JP"/>
        </w:rPr>
        <w:t xml:space="preserve">mediante resolución </w:t>
      </w:r>
      <w:r w:rsidRPr="000B33B9">
        <w:rPr>
          <w:rFonts w:ascii="Verdana" w:hAnsi="Verdana"/>
          <w:sz w:val="20"/>
          <w:szCs w:val="20"/>
          <w:lang w:val="es-ES"/>
        </w:rPr>
        <w:t>247 de 13 de junio de 2017</w:t>
      </w:r>
      <w:r w:rsidRPr="000B33B9">
        <w:rPr>
          <w:rStyle w:val="Refdenotaalpie"/>
          <w:rFonts w:ascii="Verdana" w:hAnsi="Verdana"/>
          <w:sz w:val="20"/>
          <w:szCs w:val="20"/>
          <w:lang w:val="es-ES"/>
        </w:rPr>
        <w:footnoteReference w:id="189"/>
      </w:r>
      <w:r w:rsidRPr="000B33B9">
        <w:rPr>
          <w:rFonts w:ascii="Verdana" w:hAnsi="Verdana"/>
          <w:sz w:val="20"/>
          <w:szCs w:val="20"/>
          <w:lang w:val="es-ES"/>
        </w:rPr>
        <w:t xml:space="preserve">, la cual fue confirmada con carácter de la cosa </w:t>
      </w:r>
      <w:r w:rsidRPr="009B2521">
        <w:rPr>
          <w:rFonts w:ascii="Verdana" w:hAnsi="Verdana"/>
          <w:sz w:val="20"/>
          <w:szCs w:val="20"/>
          <w:lang w:val="es-ES"/>
        </w:rPr>
        <w:t xml:space="preserve">irrevocablemente juzgada con ocasión de la sentencia dictada el 23 de abril de 2019 por el Tribunal Constitucional. En virtud de la resolución de junio de 2017, </w:t>
      </w:r>
      <w:r w:rsidRPr="009B2521">
        <w:rPr>
          <w:rFonts w:ascii="Verdana" w:hAnsi="Verdana" w:cs="Arial"/>
          <w:sz w:val="20"/>
          <w:szCs w:val="20"/>
          <w:lang w:val="es-ES" w:eastAsia="ja-JP"/>
        </w:rPr>
        <w:t>el 14 de agosto de 2017, la SUNAT consignó en el Banco de La Nación, a favor de ANCEJUB-SUNAT, la suma correspondiente a los reintegros por concepto de “pensiones devengadas”</w:t>
      </w:r>
      <w:r w:rsidRPr="009B2521">
        <w:rPr>
          <w:rStyle w:val="Refdenotaalpie"/>
          <w:rFonts w:ascii="Verdana" w:hAnsi="Verdana" w:cs="Arial"/>
          <w:sz w:val="20"/>
          <w:szCs w:val="20"/>
          <w:lang w:val="es-ES" w:eastAsia="ja-JP"/>
        </w:rPr>
        <w:footnoteReference w:id="190"/>
      </w:r>
      <w:r w:rsidRPr="009B2521">
        <w:rPr>
          <w:rFonts w:ascii="Verdana" w:hAnsi="Verdana" w:cs="Arial"/>
          <w:sz w:val="20"/>
          <w:szCs w:val="20"/>
          <w:lang w:val="es-ES" w:eastAsia="ja-JP"/>
        </w:rPr>
        <w:t xml:space="preserve"> y depositó la constancia de dicha operación ante el Segundo Juzgado </w:t>
      </w:r>
      <w:r w:rsidR="00117906" w:rsidRPr="009B2521">
        <w:rPr>
          <w:rFonts w:ascii="Verdana" w:hAnsi="Verdana" w:cs="Arial"/>
          <w:sz w:val="20"/>
          <w:szCs w:val="20"/>
          <w:lang w:val="es-ES" w:eastAsia="ja-JP"/>
        </w:rPr>
        <w:t>Civil</w:t>
      </w:r>
      <w:r w:rsidRPr="009B2521">
        <w:rPr>
          <w:rStyle w:val="Refdenotaalpie"/>
          <w:rFonts w:ascii="Verdana" w:hAnsi="Verdana" w:cs="Arial"/>
          <w:sz w:val="20"/>
          <w:szCs w:val="20"/>
          <w:lang w:val="es-ES" w:eastAsia="ja-JP"/>
        </w:rPr>
        <w:footnoteReference w:id="191"/>
      </w:r>
      <w:r w:rsidRPr="009B2521">
        <w:rPr>
          <w:rFonts w:ascii="Verdana" w:hAnsi="Verdana" w:cs="Arial"/>
          <w:sz w:val="20"/>
          <w:szCs w:val="20"/>
          <w:lang w:val="es-ES" w:eastAsia="ja-JP"/>
        </w:rPr>
        <w:t xml:space="preserve">. </w:t>
      </w:r>
      <w:r w:rsidRPr="009B2521">
        <w:rPr>
          <w:rFonts w:ascii="Verdana" w:hAnsi="Verdana" w:cs="Arial"/>
          <w:spacing w:val="-2"/>
          <w:sz w:val="20"/>
          <w:szCs w:val="20"/>
          <w:lang w:eastAsia="ja-JP"/>
        </w:rPr>
        <w:t xml:space="preserve">No obstante, los montos correspondientes a los reintegros todavía no han sido pagados a las </w:t>
      </w:r>
      <w:r w:rsidR="007F0FE3" w:rsidRPr="009B2521">
        <w:rPr>
          <w:rFonts w:ascii="Verdana" w:hAnsi="Verdana" w:cs="Arial"/>
          <w:spacing w:val="-2"/>
          <w:sz w:val="20"/>
          <w:szCs w:val="20"/>
          <w:lang w:eastAsia="ja-JP"/>
        </w:rPr>
        <w:t xml:space="preserve">presuntas </w:t>
      </w:r>
      <w:r w:rsidRPr="009B2521">
        <w:rPr>
          <w:rFonts w:ascii="Verdana" w:hAnsi="Verdana" w:cs="Arial"/>
          <w:spacing w:val="-2"/>
          <w:sz w:val="20"/>
          <w:szCs w:val="20"/>
          <w:lang w:eastAsia="ja-JP"/>
        </w:rPr>
        <w:t xml:space="preserve">víctimas, </w:t>
      </w:r>
      <w:r w:rsidRPr="009B2521">
        <w:rPr>
          <w:rFonts w:ascii="Verdana" w:hAnsi="Verdana" w:cs="Arial"/>
          <w:spacing w:val="-2"/>
          <w:sz w:val="20"/>
          <w:szCs w:val="20"/>
          <w:lang w:val="es-DO" w:eastAsia="ja-JP"/>
        </w:rPr>
        <w:t xml:space="preserve">lo cual </w:t>
      </w:r>
      <w:r w:rsidR="007F0FE3" w:rsidRPr="009B2521">
        <w:rPr>
          <w:rFonts w:ascii="Verdana" w:hAnsi="Verdana" w:cs="Arial"/>
          <w:spacing w:val="-2"/>
          <w:sz w:val="20"/>
          <w:szCs w:val="20"/>
          <w:lang w:val="es-DO" w:eastAsia="ja-JP"/>
        </w:rPr>
        <w:t xml:space="preserve">fue </w:t>
      </w:r>
      <w:r w:rsidR="00492FA2" w:rsidRPr="009B2521">
        <w:rPr>
          <w:rFonts w:ascii="Verdana" w:hAnsi="Verdana" w:cs="Arial"/>
          <w:spacing w:val="-2"/>
          <w:sz w:val="20"/>
          <w:szCs w:val="20"/>
          <w:lang w:val="es-DO" w:eastAsia="ja-JP"/>
        </w:rPr>
        <w:t xml:space="preserve">reconocido </w:t>
      </w:r>
      <w:r w:rsidRPr="009B2521">
        <w:rPr>
          <w:rFonts w:ascii="Verdana" w:hAnsi="Verdana" w:cs="Arial"/>
          <w:spacing w:val="-2"/>
          <w:sz w:val="20"/>
          <w:szCs w:val="20"/>
          <w:lang w:val="es-DO" w:eastAsia="ja-JP"/>
        </w:rPr>
        <w:t>por el propio Tribunal Constitucional cuando señala, en la sentencia de 23 de abril de 2019, que “</w:t>
      </w:r>
      <w:r w:rsidR="0039102C" w:rsidRPr="009B2521">
        <w:rPr>
          <w:rFonts w:ascii="Verdana" w:hAnsi="Verdana" w:cs="Arial"/>
          <w:spacing w:val="-2"/>
          <w:sz w:val="20"/>
          <w:szCs w:val="20"/>
          <w:lang w:val="es-DO" w:eastAsia="ja-JP"/>
        </w:rPr>
        <w:t xml:space="preserve">(…) </w:t>
      </w:r>
      <w:r w:rsidRPr="009B2521">
        <w:rPr>
          <w:rFonts w:ascii="Verdana" w:hAnsi="Verdana" w:cs="Arial"/>
          <w:spacing w:val="-2"/>
          <w:sz w:val="20"/>
          <w:szCs w:val="20"/>
          <w:lang w:val="es-DO" w:eastAsia="ja-JP"/>
        </w:rPr>
        <w:t>pese a haber transcurrido más de 20 años, la causa aún continúa en la etapa de ejecución de sentencia” y subsecuentemente ordena al juez ejecutor que “</w:t>
      </w:r>
      <w:r w:rsidR="0039102C" w:rsidRPr="009B2521">
        <w:rPr>
          <w:rFonts w:ascii="Verdana" w:hAnsi="Verdana" w:cs="Arial"/>
          <w:spacing w:val="-2"/>
          <w:sz w:val="20"/>
          <w:szCs w:val="20"/>
          <w:lang w:val="es-DO" w:eastAsia="ja-JP"/>
        </w:rPr>
        <w:t xml:space="preserve">(…) </w:t>
      </w:r>
      <w:r w:rsidRPr="009B2521">
        <w:rPr>
          <w:rFonts w:ascii="Verdana" w:hAnsi="Verdana" w:cs="Arial"/>
          <w:spacing w:val="-2"/>
          <w:sz w:val="20"/>
          <w:szCs w:val="20"/>
          <w:lang w:val="es-DO" w:eastAsia="ja-JP"/>
        </w:rPr>
        <w:t>adopte las acciones necesarias para que se haga efectiva la nivelación de las pensiones de los asociados de la demandante y el pago de los reintegros correspondientes, de la forma en que se ha establecido en el informe pericial contable de fecha 18 de octubre de 2011”</w:t>
      </w:r>
      <w:r w:rsidRPr="009B2521">
        <w:rPr>
          <w:rStyle w:val="Refdenotaalpie"/>
          <w:rFonts w:ascii="Verdana" w:hAnsi="Verdana" w:cs="Arial"/>
          <w:spacing w:val="-2"/>
          <w:sz w:val="20"/>
          <w:szCs w:val="20"/>
          <w:lang w:val="es-DO" w:eastAsia="ja-JP"/>
        </w:rPr>
        <w:footnoteReference w:id="192"/>
      </w:r>
      <w:r w:rsidRPr="009B2521">
        <w:rPr>
          <w:rFonts w:ascii="Verdana" w:hAnsi="Verdana" w:cs="Arial"/>
          <w:spacing w:val="-2"/>
          <w:sz w:val="20"/>
          <w:szCs w:val="20"/>
          <w:lang w:val="es-DO" w:eastAsia="ja-JP"/>
        </w:rPr>
        <w:t>.</w:t>
      </w:r>
    </w:p>
    <w:p w14:paraId="46D54D24" w14:textId="77777777" w:rsidR="00BD156F" w:rsidRPr="009B2521" w:rsidRDefault="00BD156F" w:rsidP="009B2521">
      <w:pPr>
        <w:pStyle w:val="Prrafodelista"/>
        <w:jc w:val="both"/>
        <w:rPr>
          <w:rFonts w:ascii="Verdana" w:hAnsi="Verdana" w:cs="Arial"/>
          <w:spacing w:val="-2"/>
          <w:sz w:val="20"/>
          <w:szCs w:val="20"/>
          <w:lang w:eastAsia="ja-JP"/>
        </w:rPr>
      </w:pPr>
    </w:p>
    <w:p w14:paraId="7FFD3404" w14:textId="1FD09E1D" w:rsidR="00BD156F" w:rsidRPr="009B2521" w:rsidRDefault="00BD156F" w:rsidP="009B2521">
      <w:pPr>
        <w:pStyle w:val="Prrafodelista"/>
        <w:numPr>
          <w:ilvl w:val="0"/>
          <w:numId w:val="10"/>
        </w:numPr>
        <w:spacing w:after="0" w:line="240" w:lineRule="auto"/>
        <w:ind w:left="0" w:firstLine="0"/>
        <w:jc w:val="both"/>
        <w:rPr>
          <w:rFonts w:ascii="Verdana" w:hAnsi="Verdana" w:cs="Arial"/>
          <w:spacing w:val="-2"/>
          <w:sz w:val="20"/>
          <w:szCs w:val="20"/>
          <w:lang w:eastAsia="ja-JP"/>
        </w:rPr>
      </w:pPr>
      <w:r w:rsidRPr="009B2521">
        <w:rPr>
          <w:rFonts w:ascii="Verdana" w:hAnsi="Verdana" w:cs="Arial"/>
          <w:spacing w:val="-2"/>
          <w:sz w:val="20"/>
          <w:szCs w:val="20"/>
          <w:lang w:eastAsia="ja-JP"/>
        </w:rPr>
        <w:t xml:space="preserve">Si bien este Tribunal nota que la decisión de </w:t>
      </w:r>
      <w:r w:rsidR="0039102C" w:rsidRPr="009B2521">
        <w:rPr>
          <w:rFonts w:ascii="Verdana" w:hAnsi="Verdana" w:cs="Arial"/>
          <w:spacing w:val="-2"/>
          <w:sz w:val="20"/>
          <w:szCs w:val="20"/>
          <w:lang w:eastAsia="ja-JP"/>
        </w:rPr>
        <w:t>13 de junio</w:t>
      </w:r>
      <w:r w:rsidRPr="009B2521">
        <w:rPr>
          <w:rFonts w:ascii="Verdana" w:hAnsi="Verdana" w:cs="Arial"/>
          <w:spacing w:val="-2"/>
          <w:sz w:val="20"/>
          <w:szCs w:val="20"/>
          <w:lang w:eastAsia="ja-JP"/>
        </w:rPr>
        <w:t xml:space="preserve"> de 2017 fue objeto de un recurso de apelación</w:t>
      </w:r>
      <w:r w:rsidRPr="009B2521">
        <w:rPr>
          <w:rStyle w:val="Refdenotaalpie"/>
          <w:rFonts w:ascii="Verdana" w:hAnsi="Verdana" w:cs="Arial"/>
          <w:sz w:val="20"/>
          <w:szCs w:val="20"/>
          <w:lang w:val="es-ES" w:eastAsia="ja-JP"/>
        </w:rPr>
        <w:footnoteReference w:id="193"/>
      </w:r>
      <w:r w:rsidR="007F0FE3" w:rsidRPr="009B2521">
        <w:rPr>
          <w:rFonts w:ascii="Verdana" w:hAnsi="Verdana" w:cs="Arial"/>
          <w:spacing w:val="-2"/>
          <w:sz w:val="20"/>
          <w:szCs w:val="20"/>
          <w:lang w:eastAsia="ja-JP"/>
        </w:rPr>
        <w:t>,</w:t>
      </w:r>
      <w:r w:rsidRPr="009B2521">
        <w:rPr>
          <w:rFonts w:ascii="Verdana" w:hAnsi="Verdana" w:cs="Arial"/>
          <w:spacing w:val="-2"/>
          <w:sz w:val="20"/>
          <w:szCs w:val="20"/>
          <w:lang w:eastAsia="ja-JP"/>
        </w:rPr>
        <w:t xml:space="preserve"> </w:t>
      </w:r>
      <w:r w:rsidR="007F0FE3" w:rsidRPr="009B2521">
        <w:rPr>
          <w:rFonts w:ascii="Verdana" w:hAnsi="Verdana" w:cs="Arial"/>
          <w:spacing w:val="-2"/>
          <w:sz w:val="20"/>
          <w:szCs w:val="20"/>
          <w:lang w:eastAsia="ja-JP"/>
        </w:rPr>
        <w:t>el cual</w:t>
      </w:r>
      <w:r w:rsidRPr="009B2521">
        <w:rPr>
          <w:rFonts w:ascii="Verdana" w:hAnsi="Verdana" w:cs="Arial"/>
          <w:spacing w:val="-2"/>
          <w:sz w:val="20"/>
          <w:szCs w:val="20"/>
          <w:lang w:eastAsia="ja-JP"/>
        </w:rPr>
        <w:t xml:space="preserve"> eventualmente derivó en la</w:t>
      </w:r>
      <w:r w:rsidR="007F0FE3" w:rsidRPr="009B2521">
        <w:rPr>
          <w:rFonts w:ascii="Verdana" w:hAnsi="Verdana" w:cs="Arial"/>
          <w:spacing w:val="-2"/>
          <w:sz w:val="20"/>
          <w:szCs w:val="20"/>
          <w:lang w:eastAsia="ja-JP"/>
        </w:rPr>
        <w:t xml:space="preserve"> referida</w:t>
      </w:r>
      <w:r w:rsidRPr="009B2521">
        <w:rPr>
          <w:rFonts w:ascii="Verdana" w:hAnsi="Verdana" w:cs="Arial"/>
          <w:spacing w:val="-2"/>
          <w:sz w:val="20"/>
          <w:szCs w:val="20"/>
          <w:lang w:eastAsia="ja-JP"/>
        </w:rPr>
        <w:t xml:space="preserve"> sentencia de 23 de abril de 2019, la Corte estima que, debido al carácter de la prestación involucrada, el Estado debió haber actuado con especial diligencia, adoptando medidas para garantizar lo antes posible la ejecución de la sentencia de 25 de octubre de 1993 en lo concerniente al p</w:t>
      </w:r>
      <w:r w:rsidR="007F0FE3" w:rsidRPr="009B2521">
        <w:rPr>
          <w:rFonts w:ascii="Verdana" w:hAnsi="Verdana" w:cs="Arial"/>
          <w:spacing w:val="-2"/>
          <w:sz w:val="20"/>
          <w:szCs w:val="20"/>
          <w:lang w:eastAsia="ja-JP"/>
        </w:rPr>
        <w:t>ago de los reintegros. Esto así</w:t>
      </w:r>
      <w:r w:rsidRPr="009B2521">
        <w:rPr>
          <w:rFonts w:ascii="Verdana" w:hAnsi="Verdana" w:cs="Arial"/>
          <w:spacing w:val="-2"/>
          <w:sz w:val="20"/>
          <w:szCs w:val="20"/>
          <w:lang w:eastAsia="ja-JP"/>
        </w:rPr>
        <w:t xml:space="preserve"> como consecuencia del </w:t>
      </w:r>
      <w:r w:rsidRPr="009B2521">
        <w:rPr>
          <w:rFonts w:ascii="Verdana" w:hAnsi="Verdana"/>
          <w:sz w:val="20"/>
          <w:szCs w:val="20"/>
        </w:rPr>
        <w:t>carácter que investía la prestación en juego en tanto sustitutiva del salario y a la necesidad de celeridad, simplificación procesal y efectividad en casos en los que el contenido del reclamo ante los órganos jurisdiccionales se refiere a la seguridad social, especialmente de personas mayores</w:t>
      </w:r>
      <w:r w:rsidRPr="009B2521">
        <w:rPr>
          <w:rStyle w:val="Refdenotaalpie"/>
          <w:rFonts w:ascii="Verdana" w:hAnsi="Verdana"/>
          <w:sz w:val="20"/>
          <w:szCs w:val="20"/>
        </w:rPr>
        <w:footnoteReference w:id="194"/>
      </w:r>
      <w:r w:rsidRPr="009B2521">
        <w:rPr>
          <w:rFonts w:ascii="Verdana" w:hAnsi="Verdana"/>
          <w:sz w:val="20"/>
          <w:szCs w:val="20"/>
        </w:rPr>
        <w:t xml:space="preserve">. </w:t>
      </w:r>
      <w:r w:rsidRPr="009B2521">
        <w:rPr>
          <w:rFonts w:ascii="Verdana" w:hAnsi="Verdana" w:cs="Arial"/>
          <w:spacing w:val="-2"/>
          <w:sz w:val="20"/>
          <w:szCs w:val="20"/>
          <w:lang w:eastAsia="ja-JP"/>
        </w:rPr>
        <w:t>En este sentido, la Corte considera que, aunque los recursos de apelación surten efectos suspensivos respecto a la decisión a</w:t>
      </w:r>
      <w:r w:rsidR="008342AF" w:rsidRPr="009B2521">
        <w:rPr>
          <w:rFonts w:ascii="Verdana" w:hAnsi="Verdana" w:cs="Arial"/>
          <w:spacing w:val="-2"/>
          <w:sz w:val="20"/>
          <w:szCs w:val="20"/>
          <w:lang w:eastAsia="ja-JP"/>
        </w:rPr>
        <w:t>pelada, en el presente caso el juzgado de e</w:t>
      </w:r>
      <w:r w:rsidRPr="009B2521">
        <w:rPr>
          <w:rFonts w:ascii="Verdana" w:hAnsi="Verdana" w:cs="Arial"/>
          <w:spacing w:val="-2"/>
          <w:sz w:val="20"/>
          <w:szCs w:val="20"/>
          <w:lang w:eastAsia="ja-JP"/>
        </w:rPr>
        <w:t xml:space="preserve">jecución debió haber declarado la ejecutoriedad de la resolución de </w:t>
      </w:r>
      <w:r w:rsidR="0039102C" w:rsidRPr="009B2521">
        <w:rPr>
          <w:rFonts w:ascii="Verdana" w:hAnsi="Verdana" w:cs="Arial"/>
          <w:spacing w:val="-2"/>
          <w:sz w:val="20"/>
          <w:szCs w:val="20"/>
          <w:lang w:eastAsia="ja-JP"/>
        </w:rPr>
        <w:t>13 de junio</w:t>
      </w:r>
      <w:r w:rsidRPr="009B2521">
        <w:rPr>
          <w:rFonts w:ascii="Verdana" w:hAnsi="Verdana" w:cs="Arial"/>
          <w:spacing w:val="-2"/>
          <w:sz w:val="20"/>
          <w:szCs w:val="20"/>
          <w:lang w:eastAsia="ja-JP"/>
        </w:rPr>
        <w:t xml:space="preserve"> de 2017, concediendo sin efecto suspensivo el recurso de apelación, a fin de que, mientras se tramitaba su instrucción y se resolvía sobre su procedencia, las</w:t>
      </w:r>
      <w:r w:rsidR="0039102C" w:rsidRPr="009B2521">
        <w:rPr>
          <w:rFonts w:ascii="Verdana" w:hAnsi="Verdana" w:cs="Arial"/>
          <w:spacing w:val="-2"/>
          <w:sz w:val="20"/>
          <w:szCs w:val="20"/>
          <w:lang w:eastAsia="ja-JP"/>
        </w:rPr>
        <w:t xml:space="preserve"> presuntas</w:t>
      </w:r>
      <w:r w:rsidRPr="009B2521">
        <w:rPr>
          <w:rFonts w:ascii="Verdana" w:hAnsi="Verdana" w:cs="Arial"/>
          <w:spacing w:val="-2"/>
          <w:sz w:val="20"/>
          <w:szCs w:val="20"/>
          <w:lang w:eastAsia="ja-JP"/>
        </w:rPr>
        <w:t xml:space="preserve"> víctimas pudieran recibir los montos concernientes a los reintegros ordenados por la sentencia de 25 de octubre de 1993</w:t>
      </w:r>
      <w:r w:rsidR="00492FA2" w:rsidRPr="009B2521">
        <w:rPr>
          <w:rFonts w:ascii="Verdana" w:hAnsi="Verdana" w:cs="Arial"/>
          <w:spacing w:val="-2"/>
          <w:sz w:val="20"/>
          <w:szCs w:val="20"/>
          <w:lang w:eastAsia="ja-JP"/>
        </w:rPr>
        <w:t>.</w:t>
      </w:r>
    </w:p>
    <w:p w14:paraId="2FC18AC5" w14:textId="77777777" w:rsidR="00BD156F" w:rsidRPr="009B2521" w:rsidRDefault="00BD156F" w:rsidP="009B2521">
      <w:pPr>
        <w:pStyle w:val="Prrafodelista"/>
        <w:spacing w:after="0" w:line="240" w:lineRule="auto"/>
        <w:ind w:left="0"/>
        <w:jc w:val="both"/>
        <w:rPr>
          <w:rFonts w:ascii="Verdana" w:hAnsi="Verdana" w:cs="Arial"/>
          <w:spacing w:val="-2"/>
          <w:sz w:val="20"/>
          <w:szCs w:val="20"/>
          <w:lang w:eastAsia="ja-JP"/>
        </w:rPr>
      </w:pPr>
    </w:p>
    <w:p w14:paraId="2EF57139" w14:textId="0F9211A0" w:rsidR="00BD156F" w:rsidRPr="00E75FBA" w:rsidRDefault="00BD156F" w:rsidP="00E75FBA">
      <w:pPr>
        <w:pStyle w:val="Prrafodelista"/>
        <w:numPr>
          <w:ilvl w:val="0"/>
          <w:numId w:val="10"/>
        </w:numPr>
        <w:spacing w:after="0" w:line="240" w:lineRule="auto"/>
        <w:ind w:left="0" w:firstLine="0"/>
        <w:jc w:val="both"/>
        <w:rPr>
          <w:rFonts w:ascii="Verdana" w:hAnsi="Verdana" w:cs="Arial"/>
          <w:spacing w:val="-2"/>
          <w:sz w:val="20"/>
          <w:szCs w:val="20"/>
          <w:lang w:eastAsia="ja-JP"/>
        </w:rPr>
      </w:pPr>
      <w:r w:rsidRPr="009B2521">
        <w:rPr>
          <w:rFonts w:ascii="Verdana" w:hAnsi="Verdana" w:cs="Arial"/>
          <w:spacing w:val="-2"/>
          <w:sz w:val="20"/>
          <w:szCs w:val="20"/>
          <w:lang w:eastAsia="ja-JP"/>
        </w:rPr>
        <w:t>La Corte nota que esta medida había sido adoptada con anterioridad ante la interposición de recursos de apelación por parte de la SUNAT</w:t>
      </w:r>
      <w:r w:rsidRPr="009B2521">
        <w:rPr>
          <w:rStyle w:val="Refdenotaalpie"/>
          <w:rFonts w:ascii="Verdana" w:hAnsi="Verdana" w:cs="Arial"/>
          <w:spacing w:val="-2"/>
          <w:sz w:val="20"/>
          <w:szCs w:val="20"/>
          <w:lang w:eastAsia="ja-JP"/>
        </w:rPr>
        <w:footnoteReference w:id="195"/>
      </w:r>
      <w:r w:rsidRPr="009B2521">
        <w:rPr>
          <w:rFonts w:ascii="Verdana" w:hAnsi="Verdana" w:cs="Arial"/>
          <w:spacing w:val="-2"/>
          <w:sz w:val="20"/>
          <w:szCs w:val="20"/>
          <w:lang w:eastAsia="ja-JP"/>
        </w:rPr>
        <w:t>, por lo que se circunscribía a las atribuciones de los juzgados de ejecución intervinientes en el caso. En efecto, dicha potestad estaba contemplada en el artículo 368 del Código Procesal Civil de Perú, que regula los efectos de los recursos de apelación y establece que los mismos pueden ser concedidos “</w:t>
      </w:r>
      <w:r w:rsidR="0039102C" w:rsidRPr="009B2521">
        <w:rPr>
          <w:rFonts w:ascii="Verdana" w:hAnsi="Verdana" w:cs="Arial"/>
          <w:spacing w:val="-2"/>
          <w:sz w:val="20"/>
          <w:szCs w:val="20"/>
          <w:lang w:eastAsia="ja-JP"/>
        </w:rPr>
        <w:t xml:space="preserve">(…) </w:t>
      </w:r>
      <w:r w:rsidRPr="009B2521">
        <w:rPr>
          <w:rFonts w:ascii="Verdana" w:hAnsi="Verdana" w:cs="Arial"/>
          <w:spacing w:val="-2"/>
          <w:sz w:val="20"/>
          <w:szCs w:val="20"/>
          <w:lang w:eastAsia="ja-JP"/>
        </w:rPr>
        <w:t>sin efecto suspensivo, por lo que la eficacia de la resolución impugnada se mantiene, incluso para el cumplimiento de ésta”</w:t>
      </w:r>
      <w:r w:rsidRPr="009B2521">
        <w:rPr>
          <w:rStyle w:val="Refdenotaalpie"/>
          <w:rFonts w:ascii="Verdana" w:hAnsi="Verdana" w:cs="Arial"/>
          <w:spacing w:val="-2"/>
          <w:sz w:val="20"/>
          <w:szCs w:val="20"/>
          <w:lang w:eastAsia="ja-JP"/>
        </w:rPr>
        <w:footnoteReference w:id="196"/>
      </w:r>
      <w:r w:rsidRPr="009B2521">
        <w:rPr>
          <w:rFonts w:ascii="Verdana" w:hAnsi="Verdana" w:cs="Arial"/>
          <w:spacing w:val="-2"/>
          <w:sz w:val="20"/>
          <w:szCs w:val="20"/>
          <w:lang w:eastAsia="ja-JP"/>
        </w:rPr>
        <w:t>.</w:t>
      </w:r>
      <w:r w:rsidR="00805A66" w:rsidRPr="000B33B9">
        <w:rPr>
          <w:rFonts w:ascii="Verdana" w:hAnsi="Verdana" w:cs="Arial"/>
          <w:spacing w:val="-2"/>
          <w:sz w:val="20"/>
          <w:szCs w:val="20"/>
          <w:lang w:eastAsia="ja-JP"/>
        </w:rPr>
        <w:t xml:space="preserve"> </w:t>
      </w:r>
      <w:r w:rsidRPr="00E75FBA">
        <w:rPr>
          <w:rFonts w:ascii="Verdana" w:hAnsi="Verdana" w:cs="Arial"/>
          <w:spacing w:val="-2"/>
          <w:sz w:val="20"/>
          <w:szCs w:val="20"/>
          <w:lang w:eastAsia="ja-JP"/>
        </w:rPr>
        <w:t>En consideración a lo anterior</w:t>
      </w:r>
      <w:r w:rsidR="007F0FE3" w:rsidRPr="00E75FBA">
        <w:rPr>
          <w:rFonts w:ascii="Verdana" w:hAnsi="Verdana" w:cs="Arial"/>
          <w:spacing w:val="-2"/>
          <w:sz w:val="20"/>
          <w:szCs w:val="20"/>
          <w:lang w:eastAsia="ja-JP"/>
        </w:rPr>
        <w:t>,</w:t>
      </w:r>
      <w:r w:rsidRPr="00E75FBA">
        <w:rPr>
          <w:rFonts w:ascii="Verdana" w:hAnsi="Verdana" w:cs="Arial"/>
          <w:spacing w:val="-2"/>
          <w:sz w:val="20"/>
          <w:szCs w:val="20"/>
          <w:lang w:eastAsia="ja-JP"/>
        </w:rPr>
        <w:t xml:space="preserve"> y dado que la SUNAT había realizado la consignación de las sumas correspondientes a los reintegros, la Corte considera que el Estado pudo haber garantizado su entrega efectiva a las </w:t>
      </w:r>
      <w:r w:rsidR="0039102C" w:rsidRPr="00E75FBA">
        <w:rPr>
          <w:rFonts w:ascii="Verdana" w:hAnsi="Verdana" w:cs="Arial"/>
          <w:spacing w:val="-2"/>
          <w:sz w:val="20"/>
          <w:szCs w:val="20"/>
          <w:lang w:eastAsia="ja-JP"/>
        </w:rPr>
        <w:t xml:space="preserve">presuntas </w:t>
      </w:r>
      <w:r w:rsidRPr="00E75FBA">
        <w:rPr>
          <w:rFonts w:ascii="Verdana" w:hAnsi="Verdana" w:cs="Arial"/>
          <w:spacing w:val="-2"/>
          <w:sz w:val="20"/>
          <w:szCs w:val="20"/>
          <w:lang w:eastAsia="ja-JP"/>
        </w:rPr>
        <w:t>víctimas desde 2017, lo cual no hizo pese al carácter especial de la indicada prestación y la situación de vulnerabilidad de las</w:t>
      </w:r>
      <w:r w:rsidR="0039102C" w:rsidRPr="00E75FBA">
        <w:rPr>
          <w:rFonts w:ascii="Verdana" w:hAnsi="Verdana" w:cs="Arial"/>
          <w:spacing w:val="-2"/>
          <w:sz w:val="20"/>
          <w:szCs w:val="20"/>
          <w:lang w:eastAsia="ja-JP"/>
        </w:rPr>
        <w:t xml:space="preserve"> presuntas</w:t>
      </w:r>
      <w:r w:rsidRPr="00E75FBA">
        <w:rPr>
          <w:rFonts w:ascii="Verdana" w:hAnsi="Verdana" w:cs="Arial"/>
          <w:spacing w:val="-2"/>
          <w:sz w:val="20"/>
          <w:szCs w:val="20"/>
          <w:lang w:eastAsia="ja-JP"/>
        </w:rPr>
        <w:t xml:space="preserve"> víctimas como personas mayores. En sí mismo, esto denota una falta de diligencia por parte del Estado en cuanto a la adopción de los medios necesarios para garantizar la ejecución de la sentencia de 25 de octubre de 1993 de manera integral, rápida y sin dilaciones injustificadas, conforme las obligaciones establecidas en el artículo 25.2.c de la Convención. </w:t>
      </w:r>
    </w:p>
    <w:p w14:paraId="19056064" w14:textId="77777777" w:rsidR="00BD156F" w:rsidRPr="00E75FBA" w:rsidRDefault="00BD156F" w:rsidP="00E75FBA">
      <w:pPr>
        <w:tabs>
          <w:tab w:val="left" w:pos="567"/>
          <w:tab w:val="left" w:pos="709"/>
        </w:tabs>
        <w:spacing w:after="0" w:line="240" w:lineRule="auto"/>
        <w:jc w:val="both"/>
        <w:rPr>
          <w:rFonts w:ascii="Verdana" w:hAnsi="Verdana"/>
          <w:spacing w:val="-2"/>
          <w:sz w:val="20"/>
          <w:szCs w:val="20"/>
        </w:rPr>
      </w:pPr>
    </w:p>
    <w:p w14:paraId="7E4F9725" w14:textId="2A4BE0D5" w:rsidR="00BD156F" w:rsidRPr="00E75FBA" w:rsidRDefault="00F27910" w:rsidP="00E75FBA">
      <w:pPr>
        <w:pStyle w:val="Ttulo4"/>
        <w:numPr>
          <w:ilvl w:val="0"/>
          <w:numId w:val="0"/>
        </w:numPr>
        <w:ind w:left="1068" w:hanging="360"/>
        <w:rPr>
          <w:b/>
        </w:rPr>
      </w:pPr>
      <w:bookmarkStart w:id="67" w:name="_Toc27329770"/>
      <w:r w:rsidRPr="00E75FBA">
        <w:t>A.2.</w:t>
      </w:r>
      <w:r w:rsidR="000D5FA5" w:rsidRPr="00E75FBA">
        <w:t>3</w:t>
      </w:r>
      <w:r w:rsidR="00BD156F" w:rsidRPr="00E75FBA">
        <w:t xml:space="preserve">. </w:t>
      </w:r>
      <w:r w:rsidR="00B073FA" w:rsidRPr="00E75FBA">
        <w:t>L</w:t>
      </w:r>
      <w:r w:rsidR="00BD156F" w:rsidRPr="00E75FBA">
        <w:t>as dilaciones propiciadas por el Estado que incidieron en la falta de ejecución de la sentencia de 25 de octubre de 1993</w:t>
      </w:r>
      <w:bookmarkEnd w:id="67"/>
      <w:r w:rsidR="00BD156F" w:rsidRPr="00E75FBA">
        <w:t xml:space="preserve"> </w:t>
      </w:r>
    </w:p>
    <w:p w14:paraId="4E6656D5" w14:textId="77777777" w:rsidR="00BD156F" w:rsidRPr="00E75FBA" w:rsidRDefault="00BD156F" w:rsidP="00E75FBA">
      <w:pPr>
        <w:tabs>
          <w:tab w:val="left" w:pos="567"/>
          <w:tab w:val="left" w:pos="709"/>
        </w:tabs>
        <w:spacing w:after="0" w:line="240" w:lineRule="auto"/>
        <w:jc w:val="both"/>
        <w:rPr>
          <w:rFonts w:ascii="Verdana" w:hAnsi="Verdana"/>
          <w:i/>
          <w:spacing w:val="-2"/>
          <w:sz w:val="20"/>
          <w:szCs w:val="20"/>
        </w:rPr>
      </w:pPr>
    </w:p>
    <w:p w14:paraId="471E14E7" w14:textId="29EE8A24" w:rsidR="00BD156F" w:rsidRPr="00E75FBA" w:rsidRDefault="00BD156F" w:rsidP="00E75FBA">
      <w:pPr>
        <w:pStyle w:val="Prrafodelista"/>
        <w:numPr>
          <w:ilvl w:val="0"/>
          <w:numId w:val="10"/>
        </w:numPr>
        <w:tabs>
          <w:tab w:val="left" w:pos="567"/>
          <w:tab w:val="left" w:pos="709"/>
        </w:tabs>
        <w:spacing w:after="0" w:line="240" w:lineRule="auto"/>
        <w:ind w:left="0" w:firstLine="0"/>
        <w:jc w:val="both"/>
        <w:rPr>
          <w:rFonts w:ascii="Verdana" w:hAnsi="Verdana"/>
          <w:spacing w:val="-2"/>
          <w:sz w:val="20"/>
          <w:szCs w:val="20"/>
        </w:rPr>
      </w:pPr>
      <w:r w:rsidRPr="00E75FBA">
        <w:rPr>
          <w:rFonts w:ascii="Verdana" w:hAnsi="Verdana"/>
          <w:spacing w:val="-2"/>
          <w:sz w:val="20"/>
          <w:szCs w:val="20"/>
        </w:rPr>
        <w:t>El Estado alegó que “durante la etapa de ejecución de sentencia, surgieron una serie de debates, que no pudieron ser discutidos durante el proceso judicial [del amparo] y que necesariamente tuvieron que ser discutidos y dilucidados durante la etapa de ejecución (…) donde tratándose de obligaciones de dar suma de dinero (…) el juez a cargo tuvo que recurrir a la prueba pericial para que practique lo</w:t>
      </w:r>
      <w:r w:rsidR="0039102C" w:rsidRPr="00E75FBA">
        <w:rPr>
          <w:rFonts w:ascii="Verdana" w:hAnsi="Verdana"/>
          <w:spacing w:val="-2"/>
          <w:sz w:val="20"/>
          <w:szCs w:val="20"/>
        </w:rPr>
        <w:t>s cálculos y las liquidaciones”</w:t>
      </w:r>
      <w:r w:rsidRPr="00E75FBA">
        <w:rPr>
          <w:rFonts w:ascii="Verdana" w:hAnsi="Verdana"/>
          <w:spacing w:val="-2"/>
          <w:sz w:val="20"/>
          <w:szCs w:val="20"/>
        </w:rPr>
        <w:t>. Al respecto, la Corte advierte que, en efecto, al haber sido emitida en el marco de un proceso de amparo, la sentencia de 25 de octubre de 1993 dispuso en términos generales la protección y reivindicación del derecho de las presuntas víctimas a recibir sus pensiones niveladas y el reintegro de los montos no percibid</w:t>
      </w:r>
      <w:r w:rsidR="00022002" w:rsidRPr="00E75FBA">
        <w:rPr>
          <w:rFonts w:ascii="Verdana" w:hAnsi="Verdana"/>
          <w:spacing w:val="-2"/>
          <w:sz w:val="20"/>
          <w:szCs w:val="20"/>
        </w:rPr>
        <w:t>os durante la aplicación de la Tercera Disposición T</w:t>
      </w:r>
      <w:r w:rsidRPr="00E75FBA">
        <w:rPr>
          <w:rFonts w:ascii="Verdana" w:hAnsi="Verdana"/>
          <w:spacing w:val="-2"/>
          <w:sz w:val="20"/>
          <w:szCs w:val="20"/>
        </w:rPr>
        <w:t xml:space="preserve">ransitoria del Decreto 673, de manera que aunque estableció una obligación de pago a cargo del Estado, la misma no resultaba líquida por cuanto no habían sido determinadas las sumas específicas que debían reintegrarse. Al respecto, el perito Dante Ludwig Apolín manifestó lo siguiente: </w:t>
      </w:r>
    </w:p>
    <w:p w14:paraId="6814AE7E" w14:textId="77777777" w:rsidR="00BD156F" w:rsidRPr="00E75FBA" w:rsidRDefault="00BD156F" w:rsidP="00E75FBA">
      <w:pPr>
        <w:tabs>
          <w:tab w:val="left" w:pos="567"/>
          <w:tab w:val="left" w:pos="709"/>
        </w:tabs>
        <w:spacing w:after="0" w:line="240" w:lineRule="auto"/>
        <w:jc w:val="both"/>
        <w:rPr>
          <w:rFonts w:ascii="Verdana" w:hAnsi="Verdana"/>
          <w:spacing w:val="-2"/>
          <w:sz w:val="20"/>
          <w:szCs w:val="20"/>
        </w:rPr>
      </w:pPr>
    </w:p>
    <w:p w14:paraId="7C770A09" w14:textId="4C0C70D7" w:rsidR="00BD156F" w:rsidRPr="00E75FBA" w:rsidRDefault="00BD156F" w:rsidP="00E75FBA">
      <w:pPr>
        <w:spacing w:after="0" w:line="240" w:lineRule="auto"/>
        <w:ind w:left="749" w:right="1094" w:hanging="43"/>
        <w:jc w:val="both"/>
        <w:rPr>
          <w:rFonts w:ascii="Verdana" w:hAnsi="Verdana"/>
          <w:sz w:val="18"/>
          <w:szCs w:val="18"/>
        </w:rPr>
      </w:pPr>
      <w:r w:rsidRPr="00E75FBA">
        <w:rPr>
          <w:rFonts w:ascii="Verdana" w:hAnsi="Verdana"/>
          <w:sz w:val="18"/>
          <w:szCs w:val="18"/>
        </w:rPr>
        <w:t>“</w:t>
      </w:r>
      <w:r w:rsidR="00022002" w:rsidRPr="00E75FBA">
        <w:rPr>
          <w:rFonts w:ascii="Verdana" w:hAnsi="Verdana"/>
          <w:sz w:val="18"/>
          <w:szCs w:val="18"/>
        </w:rPr>
        <w:t xml:space="preserve">(…) </w:t>
      </w:r>
      <w:r w:rsidRPr="00E75FBA">
        <w:rPr>
          <w:rFonts w:ascii="Verdana" w:hAnsi="Verdana"/>
          <w:sz w:val="18"/>
          <w:szCs w:val="18"/>
        </w:rPr>
        <w:t>¿Qué ocurrió en el caso concreto? (…) la sentencia de la Corte Suprema del 25 de octubre del año 93 dispone tres consecuencias jurídicas en su parte resolutiva, tres mandatos: primero, la inaplicación de la tercera disposición transitoria del decreto legislativo 673; segundo, que el Estado reponga el derecho a percibir la pensión que les corresponda; tercero, que se les reintegre los incrementos dejados de percibir.</w:t>
      </w:r>
    </w:p>
    <w:p w14:paraId="7DC8FB8B" w14:textId="77777777" w:rsidR="00BD156F" w:rsidRPr="00E75FBA" w:rsidRDefault="00BD156F" w:rsidP="00E75FBA">
      <w:pPr>
        <w:spacing w:after="0" w:line="240" w:lineRule="auto"/>
        <w:ind w:left="749" w:right="1094" w:hanging="43"/>
        <w:jc w:val="both"/>
        <w:rPr>
          <w:rFonts w:ascii="Verdana" w:hAnsi="Verdana"/>
          <w:sz w:val="18"/>
          <w:szCs w:val="18"/>
        </w:rPr>
      </w:pPr>
    </w:p>
    <w:p w14:paraId="22670280" w14:textId="77777777" w:rsidR="00BD156F" w:rsidRPr="00E75FBA" w:rsidRDefault="00BD156F" w:rsidP="00E75FBA">
      <w:pPr>
        <w:spacing w:after="0" w:line="240" w:lineRule="auto"/>
        <w:ind w:left="749" w:right="1094" w:hanging="43"/>
        <w:jc w:val="both"/>
        <w:rPr>
          <w:rFonts w:ascii="Verdana" w:hAnsi="Verdana"/>
          <w:sz w:val="18"/>
          <w:szCs w:val="18"/>
        </w:rPr>
      </w:pPr>
      <w:r w:rsidRPr="00E75FBA">
        <w:rPr>
          <w:rFonts w:ascii="Verdana" w:hAnsi="Verdana"/>
          <w:sz w:val="18"/>
          <w:szCs w:val="18"/>
        </w:rPr>
        <w:t>La primera de estas consecuencias, el primero de estos mandatos, claramente es una declaración constitutiva, que no requiere de una conducta del demandado para que surta efectos (…). No obstante, las otras dos consecuencias, estos dos otros mandatos, imponen al demandado una conducta, que el Estado cumpla con una determinada prestación, (…) una prestación de dar suma de dinero.</w:t>
      </w:r>
    </w:p>
    <w:p w14:paraId="64D7BDD7" w14:textId="77777777" w:rsidR="00BD156F" w:rsidRPr="00E75FBA" w:rsidRDefault="00BD156F" w:rsidP="00E75FBA">
      <w:pPr>
        <w:spacing w:after="0" w:line="240" w:lineRule="auto"/>
        <w:ind w:left="749" w:right="1094" w:hanging="43"/>
        <w:jc w:val="both"/>
        <w:rPr>
          <w:rFonts w:ascii="Verdana" w:hAnsi="Verdana"/>
          <w:sz w:val="18"/>
          <w:szCs w:val="18"/>
        </w:rPr>
      </w:pPr>
    </w:p>
    <w:p w14:paraId="439ADD09" w14:textId="77777777" w:rsidR="00BD156F" w:rsidRPr="00E75FBA" w:rsidRDefault="00BD156F" w:rsidP="00E75FBA">
      <w:pPr>
        <w:spacing w:after="0" w:line="240" w:lineRule="auto"/>
        <w:ind w:left="749" w:right="1094" w:hanging="43"/>
        <w:jc w:val="both"/>
        <w:rPr>
          <w:rFonts w:ascii="Verdana" w:hAnsi="Verdana"/>
          <w:sz w:val="18"/>
          <w:szCs w:val="18"/>
        </w:rPr>
      </w:pPr>
      <w:r w:rsidRPr="00E75FBA">
        <w:rPr>
          <w:rFonts w:ascii="Verdana" w:hAnsi="Verdana"/>
          <w:sz w:val="18"/>
          <w:szCs w:val="18"/>
        </w:rPr>
        <w:t>Sin embargo, estas dos últimas prestaciones (…) no establecen el monto o la cuantía que corresponde que el Estado entregue a la parte demandante. Es decir, son sentencias de condena que imponen una prestación de dar sumas de dinero pero ilíquidas”</w:t>
      </w:r>
      <w:r w:rsidRPr="00E75FBA">
        <w:rPr>
          <w:rStyle w:val="Refdenotaalpie"/>
          <w:rFonts w:ascii="Verdana" w:hAnsi="Verdana"/>
          <w:sz w:val="18"/>
          <w:szCs w:val="18"/>
        </w:rPr>
        <w:footnoteReference w:id="197"/>
      </w:r>
      <w:r w:rsidRPr="00E75FBA">
        <w:rPr>
          <w:rFonts w:ascii="Verdana" w:hAnsi="Verdana"/>
          <w:sz w:val="18"/>
          <w:szCs w:val="18"/>
        </w:rPr>
        <w:t xml:space="preserve">. </w:t>
      </w:r>
    </w:p>
    <w:p w14:paraId="271E8CBF" w14:textId="77777777" w:rsidR="00BD156F" w:rsidRPr="00E75FBA" w:rsidRDefault="00BD156F" w:rsidP="00E75FBA">
      <w:pPr>
        <w:spacing w:after="0" w:line="240" w:lineRule="auto"/>
        <w:ind w:right="1094"/>
        <w:jc w:val="both"/>
        <w:rPr>
          <w:rFonts w:ascii="Verdana" w:hAnsi="Verdana"/>
          <w:sz w:val="20"/>
          <w:szCs w:val="20"/>
        </w:rPr>
      </w:pPr>
    </w:p>
    <w:p w14:paraId="75608A93" w14:textId="67F5E1D4" w:rsidR="0002065C" w:rsidRPr="000B33B9" w:rsidRDefault="0037315C" w:rsidP="00E75FBA">
      <w:pPr>
        <w:pStyle w:val="Prrafodelista"/>
        <w:numPr>
          <w:ilvl w:val="0"/>
          <w:numId w:val="10"/>
        </w:numPr>
        <w:tabs>
          <w:tab w:val="left" w:pos="709"/>
        </w:tabs>
        <w:spacing w:after="0" w:line="240" w:lineRule="auto"/>
        <w:ind w:left="0" w:firstLine="0"/>
        <w:jc w:val="both"/>
        <w:rPr>
          <w:rFonts w:ascii="Verdana" w:hAnsi="Verdana"/>
          <w:spacing w:val="-2"/>
          <w:sz w:val="20"/>
          <w:szCs w:val="20"/>
        </w:rPr>
      </w:pPr>
      <w:r w:rsidRPr="00E75FBA">
        <w:rPr>
          <w:rFonts w:ascii="Verdana" w:hAnsi="Verdana"/>
          <w:spacing w:val="-2"/>
          <w:sz w:val="20"/>
          <w:szCs w:val="20"/>
        </w:rPr>
        <w:t>En relación con lo anterior, la Corte recuerda que no son efectivos los recursos judiciales que por las circunstancias particulares de un caso resultan ilusorios como consecuencia de que el Estado no provee los medios necesarios para ejecutar las sentencias que los juzgaron procedentes  o cuando existen retardos injustificados en las decisiones</w:t>
      </w:r>
      <w:r w:rsidRPr="00E75FBA">
        <w:rPr>
          <w:rStyle w:val="Refdenotaalpie"/>
          <w:rFonts w:ascii="Verdana" w:hAnsi="Verdana"/>
          <w:spacing w:val="-2"/>
          <w:sz w:val="20"/>
          <w:szCs w:val="20"/>
        </w:rPr>
        <w:footnoteReference w:id="198"/>
      </w:r>
      <w:r w:rsidRPr="00E75FBA">
        <w:rPr>
          <w:rFonts w:ascii="Verdana" w:hAnsi="Verdana"/>
          <w:spacing w:val="-2"/>
          <w:sz w:val="20"/>
          <w:szCs w:val="20"/>
        </w:rPr>
        <w:t>. Al respecto, el Tribunal r</w:t>
      </w:r>
      <w:r w:rsidR="00117906" w:rsidRPr="00E75FBA">
        <w:rPr>
          <w:rFonts w:ascii="Verdana" w:hAnsi="Verdana"/>
          <w:spacing w:val="-2"/>
          <w:sz w:val="20"/>
          <w:szCs w:val="20"/>
        </w:rPr>
        <w:t xml:space="preserve">eitera </w:t>
      </w:r>
      <w:r w:rsidRPr="00E75FBA">
        <w:rPr>
          <w:rFonts w:ascii="Verdana" w:hAnsi="Verdana"/>
          <w:spacing w:val="-2"/>
          <w:sz w:val="20"/>
          <w:szCs w:val="20"/>
        </w:rPr>
        <w:t>que como parte de las obligaciones contenidas en el artículo 25 de la Convención, las autoridades públicas no pueden</w:t>
      </w:r>
      <w:r w:rsidRPr="00E75FBA">
        <w:rPr>
          <w:rFonts w:ascii="Verdana" w:hAnsi="Verdana"/>
          <w:color w:val="211D1E"/>
          <w:sz w:val="20"/>
          <w:szCs w:val="20"/>
        </w:rPr>
        <w:t xml:space="preserve"> obstaculizar el sentido y alcance de las decisiones judiciales ni retrasar</w:t>
      </w:r>
      <w:r w:rsidRPr="000B33B9">
        <w:rPr>
          <w:rFonts w:ascii="Verdana" w:hAnsi="Verdana"/>
          <w:color w:val="211D1E"/>
          <w:sz w:val="20"/>
          <w:szCs w:val="20"/>
        </w:rPr>
        <w:t xml:space="preserve"> indebidamente su ejecución</w:t>
      </w:r>
      <w:r w:rsidRPr="000B33B9">
        <w:rPr>
          <w:rStyle w:val="Refdenotaalpie"/>
          <w:rFonts w:ascii="Verdana" w:hAnsi="Verdana"/>
          <w:color w:val="211D1E"/>
          <w:sz w:val="20"/>
          <w:szCs w:val="20"/>
        </w:rPr>
        <w:footnoteReference w:id="199"/>
      </w:r>
      <w:r w:rsidRPr="000B33B9">
        <w:rPr>
          <w:rFonts w:ascii="Verdana" w:hAnsi="Verdana"/>
          <w:color w:val="211D1E"/>
          <w:sz w:val="20"/>
          <w:szCs w:val="20"/>
        </w:rPr>
        <w:t>. En este caso, n</w:t>
      </w:r>
      <w:r w:rsidRPr="000B33B9">
        <w:rPr>
          <w:rFonts w:ascii="Verdana" w:hAnsi="Verdana"/>
          <w:sz w:val="20"/>
          <w:szCs w:val="20"/>
        </w:rPr>
        <w:t>o obstante la existencia de un debate judicial respecto de la determinación de los montos específicos que habían de ser pagados a las presuntas víctimas, lo cual influyó en que la sentencia no pudiera ser ejecutada de forma inmediata, el Tribunal advierte la existencia de una serie de actuaciones por parte de las autoridades estatales que retrasaron la ejecución de dicha sentencia y que necesariamente incidieron en que todavía no hayan sido pagados a las víctimas los reintegros por concepto de la nivelación de sus pensiones. Al hab</w:t>
      </w:r>
      <w:r w:rsidR="00117906" w:rsidRPr="000B33B9">
        <w:rPr>
          <w:rFonts w:ascii="Verdana" w:hAnsi="Verdana"/>
          <w:sz w:val="20"/>
          <w:szCs w:val="20"/>
        </w:rPr>
        <w:t xml:space="preserve">er impactado directamente en el proceso de </w:t>
      </w:r>
      <w:r w:rsidRPr="000B33B9">
        <w:rPr>
          <w:rFonts w:ascii="Verdana" w:hAnsi="Verdana"/>
          <w:sz w:val="20"/>
          <w:szCs w:val="20"/>
        </w:rPr>
        <w:t>ejecución de la sentencia de 25 de octubre de 1993, estas actuaciones serán abordadas en el análisis relativo a la alegada vulneración a la garantía del plazo razonable prevista en el artículo 8 de la Convención.</w:t>
      </w:r>
    </w:p>
    <w:p w14:paraId="0B19F5B0" w14:textId="77777777" w:rsidR="00BD156F" w:rsidRPr="000B33B9" w:rsidRDefault="00BD156F" w:rsidP="009B2521">
      <w:pPr>
        <w:pStyle w:val="Prrafodelista"/>
        <w:tabs>
          <w:tab w:val="left" w:pos="709"/>
        </w:tabs>
        <w:spacing w:after="0" w:line="240" w:lineRule="auto"/>
        <w:ind w:left="0"/>
        <w:jc w:val="both"/>
        <w:rPr>
          <w:rFonts w:ascii="Verdana" w:hAnsi="Verdana"/>
          <w:spacing w:val="-2"/>
          <w:sz w:val="20"/>
          <w:szCs w:val="20"/>
        </w:rPr>
      </w:pPr>
    </w:p>
    <w:p w14:paraId="7DF31BD4" w14:textId="77777777" w:rsidR="00BD156F" w:rsidRPr="000B33B9" w:rsidRDefault="00BD156F" w:rsidP="009B2521">
      <w:pPr>
        <w:pStyle w:val="Ttulo2"/>
        <w:numPr>
          <w:ilvl w:val="0"/>
          <w:numId w:val="0"/>
        </w:numPr>
        <w:ind w:left="928"/>
      </w:pPr>
      <w:bookmarkStart w:id="68" w:name="_Toc27329771"/>
      <w:r w:rsidRPr="000B33B9">
        <w:t>B. Plazo razonable</w:t>
      </w:r>
      <w:bookmarkEnd w:id="68"/>
    </w:p>
    <w:p w14:paraId="727F8B60" w14:textId="77777777" w:rsidR="00BD156F" w:rsidRPr="000B33B9" w:rsidRDefault="00BD156F" w:rsidP="009B2521">
      <w:pPr>
        <w:tabs>
          <w:tab w:val="left" w:pos="1658"/>
        </w:tabs>
        <w:spacing w:after="0" w:line="240" w:lineRule="auto"/>
        <w:jc w:val="both"/>
        <w:rPr>
          <w:rFonts w:ascii="Verdana" w:hAnsi="Verdana"/>
          <w:sz w:val="20"/>
          <w:szCs w:val="20"/>
          <w:lang w:val="es-DO"/>
        </w:rPr>
      </w:pPr>
    </w:p>
    <w:p w14:paraId="2212C95A" w14:textId="66A8FC27" w:rsidR="00BD156F" w:rsidRPr="000B33B9" w:rsidRDefault="00BD156F" w:rsidP="009B2521">
      <w:pPr>
        <w:pStyle w:val="Ttulo3"/>
        <w:numPr>
          <w:ilvl w:val="0"/>
          <w:numId w:val="0"/>
        </w:numPr>
        <w:ind w:left="1353"/>
        <w:rPr>
          <w:lang w:val="es-DO"/>
        </w:rPr>
      </w:pPr>
      <w:bookmarkStart w:id="69" w:name="_Toc27329772"/>
      <w:r w:rsidRPr="000B33B9">
        <w:rPr>
          <w:lang w:val="es-DO"/>
        </w:rPr>
        <w:t xml:space="preserve">B.1. </w:t>
      </w:r>
      <w:r w:rsidR="002B063D" w:rsidRPr="000B33B9">
        <w:rPr>
          <w:lang w:val="es-DO"/>
        </w:rPr>
        <w:t>Argumentos</w:t>
      </w:r>
      <w:r w:rsidRPr="000B33B9">
        <w:rPr>
          <w:lang w:val="es-DO"/>
        </w:rPr>
        <w:t xml:space="preserve"> de la Comisión y las partes</w:t>
      </w:r>
      <w:bookmarkEnd w:id="69"/>
    </w:p>
    <w:p w14:paraId="45C355B1" w14:textId="77777777" w:rsidR="00BD156F" w:rsidRPr="000B33B9" w:rsidRDefault="00BD156F" w:rsidP="009B2521">
      <w:pPr>
        <w:tabs>
          <w:tab w:val="left" w:pos="1658"/>
        </w:tabs>
        <w:spacing w:after="0" w:line="240" w:lineRule="auto"/>
        <w:jc w:val="both"/>
        <w:rPr>
          <w:rFonts w:ascii="Verdana" w:hAnsi="Verdana"/>
          <w:sz w:val="20"/>
          <w:szCs w:val="20"/>
          <w:lang w:val="es-DO"/>
        </w:rPr>
      </w:pPr>
    </w:p>
    <w:p w14:paraId="71BB3287" w14:textId="459B597D" w:rsidR="00BD156F" w:rsidRPr="000B33B9" w:rsidRDefault="00BD156F" w:rsidP="009B2521">
      <w:pPr>
        <w:pStyle w:val="Prrafodelista"/>
        <w:numPr>
          <w:ilvl w:val="0"/>
          <w:numId w:val="10"/>
        </w:numPr>
        <w:spacing w:after="0" w:line="240" w:lineRule="auto"/>
        <w:ind w:left="0" w:firstLine="0"/>
        <w:jc w:val="both"/>
        <w:rPr>
          <w:rFonts w:ascii="Verdana" w:hAnsi="Verdana"/>
          <w:b/>
          <w:sz w:val="20"/>
          <w:szCs w:val="20"/>
          <w:lang w:val="es-DO"/>
        </w:rPr>
      </w:pPr>
      <w:r w:rsidRPr="000B33B9">
        <w:rPr>
          <w:rFonts w:ascii="Verdana" w:hAnsi="Verdana"/>
          <w:sz w:val="20"/>
          <w:szCs w:val="20"/>
          <w:lang w:val="es-DO"/>
        </w:rPr>
        <w:t xml:space="preserve">La </w:t>
      </w:r>
      <w:r w:rsidRPr="000B33B9">
        <w:rPr>
          <w:rFonts w:ascii="Verdana" w:hAnsi="Verdana"/>
          <w:b/>
          <w:i/>
          <w:sz w:val="20"/>
          <w:szCs w:val="20"/>
          <w:lang w:val="es-DO"/>
        </w:rPr>
        <w:t xml:space="preserve">Comisión </w:t>
      </w:r>
      <w:r w:rsidRPr="000B33B9">
        <w:rPr>
          <w:rFonts w:ascii="Verdana" w:hAnsi="Verdana"/>
          <w:sz w:val="20"/>
          <w:szCs w:val="20"/>
          <w:lang w:val="es-DO"/>
        </w:rPr>
        <w:t xml:space="preserve">alegó que el Estado es responsable por la violación al artículo 8.1 de la Convención dado que no constituye un plazo razonable el periodo de 25 años transcurrido sin ejecutar la sentencia desde su emisión en 1993, y que el punto de partida del plazo razonable comienza desde la primera sentencia firme. Para sostener que dicho plazo resultaba irrazonable, la Comisión examinó los siguientes criterios: </w:t>
      </w:r>
      <w:r w:rsidR="00804A6C" w:rsidRPr="000B33B9">
        <w:rPr>
          <w:rFonts w:ascii="Verdana" w:hAnsi="Verdana"/>
          <w:sz w:val="20"/>
          <w:szCs w:val="20"/>
          <w:lang w:val="es-DO"/>
        </w:rPr>
        <w:t>a</w:t>
      </w:r>
      <w:r w:rsidRPr="000B33B9">
        <w:rPr>
          <w:rFonts w:ascii="Verdana" w:hAnsi="Verdana"/>
          <w:sz w:val="20"/>
          <w:szCs w:val="20"/>
          <w:lang w:val="es-DO"/>
        </w:rPr>
        <w:t xml:space="preserve">) complejidad del asunto, </w:t>
      </w:r>
      <w:r w:rsidR="00804A6C" w:rsidRPr="000B33B9">
        <w:rPr>
          <w:rFonts w:ascii="Verdana" w:hAnsi="Verdana"/>
          <w:sz w:val="20"/>
          <w:szCs w:val="20"/>
          <w:lang w:val="es-DO"/>
        </w:rPr>
        <w:t>b</w:t>
      </w:r>
      <w:r w:rsidRPr="000B33B9">
        <w:rPr>
          <w:rFonts w:ascii="Verdana" w:hAnsi="Verdana"/>
          <w:sz w:val="20"/>
          <w:szCs w:val="20"/>
          <w:lang w:val="es-DO"/>
        </w:rPr>
        <w:t xml:space="preserve">) actividad procesal, </w:t>
      </w:r>
      <w:r w:rsidR="00804A6C" w:rsidRPr="000B33B9">
        <w:rPr>
          <w:rFonts w:ascii="Verdana" w:hAnsi="Verdana"/>
          <w:sz w:val="20"/>
          <w:szCs w:val="20"/>
          <w:lang w:val="es-DO"/>
        </w:rPr>
        <w:t>c</w:t>
      </w:r>
      <w:r w:rsidRPr="000B33B9">
        <w:rPr>
          <w:rFonts w:ascii="Verdana" w:hAnsi="Verdana"/>
          <w:sz w:val="20"/>
          <w:szCs w:val="20"/>
          <w:lang w:val="es-DO"/>
        </w:rPr>
        <w:t xml:space="preserve">) conducta de las autoridades, </w:t>
      </w:r>
      <w:r w:rsidR="00804A6C" w:rsidRPr="000B33B9">
        <w:rPr>
          <w:rFonts w:ascii="Verdana" w:hAnsi="Verdana"/>
          <w:sz w:val="20"/>
          <w:szCs w:val="20"/>
          <w:lang w:val="es-DO"/>
        </w:rPr>
        <w:t>d</w:t>
      </w:r>
      <w:r w:rsidR="00FF1FF4" w:rsidRPr="000B33B9">
        <w:rPr>
          <w:rFonts w:ascii="Verdana" w:hAnsi="Verdana"/>
          <w:sz w:val="20"/>
          <w:szCs w:val="20"/>
          <w:lang w:val="es-DO"/>
        </w:rPr>
        <w:t>) afectación general</w:t>
      </w:r>
      <w:r w:rsidRPr="000B33B9">
        <w:rPr>
          <w:rFonts w:ascii="Verdana" w:hAnsi="Verdana"/>
          <w:sz w:val="20"/>
          <w:szCs w:val="20"/>
          <w:lang w:val="es-DO"/>
        </w:rPr>
        <w:t>. Sobre el primer elemento, la Comisión sostuvo que al principio el asunto no resultaba complejo en tanto que existía una sentencia judicial firme que debía ser ejecutada. Sobre la participación del interesado, la</w:t>
      </w:r>
      <w:r w:rsidRPr="000B33B9">
        <w:rPr>
          <w:rFonts w:ascii="Verdana" w:hAnsi="Verdana"/>
          <w:b/>
          <w:sz w:val="20"/>
          <w:szCs w:val="20"/>
          <w:lang w:val="es-DO"/>
        </w:rPr>
        <w:t xml:space="preserve"> </w:t>
      </w:r>
      <w:r w:rsidRPr="000B33B9">
        <w:rPr>
          <w:rFonts w:ascii="Verdana" w:hAnsi="Verdana"/>
          <w:sz w:val="20"/>
          <w:szCs w:val="20"/>
          <w:lang w:val="es-DO"/>
        </w:rPr>
        <w:t>Comisión resaltó que el hecho de que las personas afectadas utilicen los recursos disponibles para solicitar el cumplimiento de una decisión es compatible con sus derechos y no ju</w:t>
      </w:r>
      <w:r w:rsidR="00FF1FF4" w:rsidRPr="000B33B9">
        <w:rPr>
          <w:rFonts w:ascii="Verdana" w:hAnsi="Verdana"/>
          <w:sz w:val="20"/>
          <w:szCs w:val="20"/>
          <w:lang w:val="es-DO"/>
        </w:rPr>
        <w:t>stifica la demora en el proceso</w:t>
      </w:r>
      <w:r w:rsidRPr="000B33B9">
        <w:rPr>
          <w:rFonts w:ascii="Verdana" w:hAnsi="Verdana"/>
          <w:sz w:val="20"/>
          <w:szCs w:val="20"/>
          <w:lang w:val="es-DO"/>
        </w:rPr>
        <w:t>.</w:t>
      </w:r>
      <w:r w:rsidRPr="000B33B9">
        <w:rPr>
          <w:rFonts w:ascii="Verdana" w:hAnsi="Verdana"/>
          <w:b/>
          <w:sz w:val="20"/>
          <w:szCs w:val="20"/>
          <w:lang w:val="es-DO"/>
        </w:rPr>
        <w:t xml:space="preserve"> </w:t>
      </w:r>
      <w:r w:rsidRPr="000B33B9">
        <w:rPr>
          <w:rFonts w:ascii="Verdana" w:hAnsi="Verdana"/>
          <w:sz w:val="20"/>
          <w:szCs w:val="20"/>
          <w:lang w:val="es-DO"/>
        </w:rPr>
        <w:t>En cuanto a la conducta de las autoridades, reiteró que su actuación durante la etapa de ejecución de la sentencia ha sido inefectiva para resolver aspectos sustanciales de su cumplimiento.</w:t>
      </w:r>
      <w:r w:rsidRPr="000B33B9">
        <w:rPr>
          <w:rFonts w:ascii="Verdana" w:hAnsi="Verdana"/>
          <w:b/>
          <w:sz w:val="20"/>
          <w:szCs w:val="20"/>
          <w:lang w:val="es-DO"/>
        </w:rPr>
        <w:t xml:space="preserve"> </w:t>
      </w:r>
      <w:r w:rsidRPr="000B33B9">
        <w:rPr>
          <w:rFonts w:ascii="Verdana" w:hAnsi="Verdana"/>
          <w:sz w:val="20"/>
          <w:szCs w:val="20"/>
          <w:lang w:val="es-DO"/>
        </w:rPr>
        <w:t xml:space="preserve">Finalmente, en lo referente a la afectación generada, sostuvo que en materia de pensiones el transcurso del tiempo puede tener un efecto muy impactante y, en tal sentido, tomó en consideración que a la fecha han fallecido más de 100 miembros de </w:t>
      </w:r>
      <w:r w:rsidR="00FF1FF4" w:rsidRPr="000B33B9">
        <w:rPr>
          <w:rFonts w:ascii="Verdana" w:hAnsi="Verdana"/>
          <w:sz w:val="20"/>
          <w:szCs w:val="20"/>
          <w:lang w:val="es-DO"/>
        </w:rPr>
        <w:t>ANCEJUB-SUNAT</w:t>
      </w:r>
      <w:r w:rsidRPr="000B33B9">
        <w:rPr>
          <w:rFonts w:ascii="Verdana" w:hAnsi="Verdana"/>
          <w:sz w:val="20"/>
          <w:szCs w:val="20"/>
          <w:lang w:val="es-DO"/>
        </w:rPr>
        <w:t>.</w:t>
      </w:r>
    </w:p>
    <w:p w14:paraId="358E4CF8" w14:textId="77777777" w:rsidR="00BD156F" w:rsidRPr="000B33B9" w:rsidRDefault="00BD156F" w:rsidP="009B2521">
      <w:pPr>
        <w:pStyle w:val="Prrafodelista"/>
        <w:spacing w:after="0" w:line="240" w:lineRule="auto"/>
        <w:ind w:left="0"/>
        <w:jc w:val="both"/>
        <w:rPr>
          <w:rFonts w:ascii="Verdana" w:hAnsi="Verdana"/>
          <w:b/>
          <w:sz w:val="20"/>
          <w:szCs w:val="20"/>
          <w:lang w:val="es-DO"/>
        </w:rPr>
      </w:pPr>
    </w:p>
    <w:p w14:paraId="2F2B9D89" w14:textId="32666F5D" w:rsidR="00BD156F" w:rsidRPr="000B33B9" w:rsidRDefault="00BD156F" w:rsidP="009B2521">
      <w:pPr>
        <w:pStyle w:val="Prrafodelista"/>
        <w:numPr>
          <w:ilvl w:val="0"/>
          <w:numId w:val="10"/>
        </w:numPr>
        <w:spacing w:after="0" w:line="240" w:lineRule="auto"/>
        <w:ind w:left="0" w:firstLine="0"/>
        <w:jc w:val="both"/>
        <w:rPr>
          <w:rFonts w:ascii="Verdana" w:hAnsi="Verdana"/>
          <w:b/>
          <w:sz w:val="20"/>
          <w:szCs w:val="20"/>
          <w:lang w:val="es-DO"/>
        </w:rPr>
      </w:pPr>
      <w:r w:rsidRPr="000B33B9">
        <w:rPr>
          <w:rFonts w:ascii="Verdana" w:hAnsi="Verdana"/>
          <w:sz w:val="20"/>
          <w:szCs w:val="20"/>
          <w:lang w:val="es-DO"/>
        </w:rPr>
        <w:t xml:space="preserve">Los </w:t>
      </w:r>
      <w:r w:rsidRPr="000B33B9">
        <w:rPr>
          <w:rFonts w:ascii="Verdana" w:hAnsi="Verdana"/>
          <w:b/>
          <w:i/>
          <w:sz w:val="20"/>
          <w:szCs w:val="20"/>
          <w:lang w:val="es-DO"/>
        </w:rPr>
        <w:t>representantes</w:t>
      </w:r>
      <w:r w:rsidRPr="000B33B9">
        <w:rPr>
          <w:rFonts w:ascii="Verdana" w:hAnsi="Verdana"/>
          <w:b/>
          <w:sz w:val="20"/>
          <w:szCs w:val="20"/>
          <w:lang w:val="es-DO"/>
        </w:rPr>
        <w:t xml:space="preserve"> </w:t>
      </w:r>
      <w:r w:rsidRPr="000B33B9">
        <w:rPr>
          <w:rFonts w:ascii="Verdana" w:hAnsi="Verdana"/>
          <w:sz w:val="20"/>
          <w:szCs w:val="20"/>
          <w:lang w:val="es-DO"/>
        </w:rPr>
        <w:t>alegaron que “</w:t>
      </w:r>
      <w:r w:rsidR="00FF1FF4" w:rsidRPr="000B33B9">
        <w:rPr>
          <w:rFonts w:ascii="Verdana" w:hAnsi="Verdana"/>
          <w:sz w:val="20"/>
          <w:szCs w:val="20"/>
          <w:lang w:val="es-DO"/>
        </w:rPr>
        <w:t xml:space="preserve">(…) </w:t>
      </w:r>
      <w:r w:rsidRPr="000B33B9">
        <w:rPr>
          <w:rFonts w:ascii="Verdana" w:hAnsi="Verdana"/>
          <w:sz w:val="20"/>
          <w:szCs w:val="20"/>
          <w:lang w:val="es-DO"/>
        </w:rPr>
        <w:t xml:space="preserve">casi </w:t>
      </w:r>
      <w:r w:rsidR="00A074B7" w:rsidRPr="000B33B9">
        <w:rPr>
          <w:rFonts w:ascii="Verdana" w:hAnsi="Verdana"/>
          <w:sz w:val="20"/>
          <w:szCs w:val="20"/>
          <w:lang w:val="es-DO"/>
        </w:rPr>
        <w:t>[27]</w:t>
      </w:r>
      <w:r w:rsidRPr="000B33B9">
        <w:rPr>
          <w:rFonts w:ascii="Verdana" w:hAnsi="Verdana"/>
          <w:sz w:val="20"/>
          <w:szCs w:val="20"/>
          <w:lang w:val="es-DO"/>
        </w:rPr>
        <w:t xml:space="preserve"> años después de presentada al Poder Judicial, el Estado peruano no ha dado una respuesta definitiva al reclamo de</w:t>
      </w:r>
      <w:r w:rsidR="00FF1FF4" w:rsidRPr="000B33B9">
        <w:rPr>
          <w:rFonts w:ascii="Verdana" w:hAnsi="Verdana"/>
          <w:sz w:val="20"/>
          <w:szCs w:val="20"/>
          <w:lang w:val="es-DO"/>
        </w:rPr>
        <w:t xml:space="preserve"> ANCEJUB-SUNAT”</w:t>
      </w:r>
      <w:r w:rsidRPr="000B33B9">
        <w:rPr>
          <w:rFonts w:ascii="Verdana" w:hAnsi="Verdana"/>
          <w:sz w:val="20"/>
          <w:szCs w:val="20"/>
          <w:lang w:val="es-DO"/>
        </w:rPr>
        <w:t>. Afirmaron que lo anterior “se trata de una demora prolongada que, como la que se ha dado en este caso, constituye en principio, y por sí misma una violación de las garantías judiciales”, por lo que el Estado es responsable por la violación del artículo 8 de la Convención. De igual manera, los representantes sostuvieron que la demora en el proceso no es resultado de “una actuación irrazonable de las víctimas”, sino de las “actuaciones sistemáticamente distorsionadoras de las autoridades est</w:t>
      </w:r>
      <w:r w:rsidR="00FF1FF4" w:rsidRPr="000B33B9">
        <w:rPr>
          <w:rFonts w:ascii="Verdana" w:hAnsi="Verdana"/>
          <w:sz w:val="20"/>
          <w:szCs w:val="20"/>
          <w:lang w:val="es-DO"/>
        </w:rPr>
        <w:t>atales a lo largo del proceso”.</w:t>
      </w:r>
    </w:p>
    <w:p w14:paraId="374769A3" w14:textId="77777777" w:rsidR="00BD156F" w:rsidRPr="000B33B9" w:rsidRDefault="00BD156F" w:rsidP="009B2521">
      <w:pPr>
        <w:pStyle w:val="Prrafodelista"/>
        <w:spacing w:after="0" w:line="240" w:lineRule="auto"/>
        <w:ind w:left="0"/>
        <w:jc w:val="both"/>
        <w:rPr>
          <w:rFonts w:ascii="Verdana" w:hAnsi="Verdana"/>
          <w:b/>
          <w:sz w:val="20"/>
          <w:szCs w:val="20"/>
          <w:lang w:val="es-DO"/>
        </w:rPr>
      </w:pPr>
    </w:p>
    <w:p w14:paraId="49AC5606" w14:textId="172F8C55" w:rsidR="00BD156F" w:rsidRPr="000B33B9" w:rsidRDefault="00BD156F" w:rsidP="009B2521">
      <w:pPr>
        <w:pStyle w:val="Prrafodelista"/>
        <w:numPr>
          <w:ilvl w:val="0"/>
          <w:numId w:val="10"/>
        </w:numPr>
        <w:spacing w:after="0" w:line="240" w:lineRule="auto"/>
        <w:ind w:left="0" w:firstLine="0"/>
        <w:jc w:val="both"/>
        <w:rPr>
          <w:rFonts w:ascii="Verdana" w:hAnsi="Verdana"/>
          <w:b/>
          <w:sz w:val="20"/>
          <w:szCs w:val="20"/>
          <w:lang w:val="es-DO"/>
        </w:rPr>
      </w:pPr>
      <w:r w:rsidRPr="000B33B9">
        <w:rPr>
          <w:rFonts w:ascii="Verdana" w:hAnsi="Verdana"/>
          <w:sz w:val="20"/>
          <w:szCs w:val="20"/>
          <w:lang w:val="es-DO"/>
        </w:rPr>
        <w:t xml:space="preserve">El </w:t>
      </w:r>
      <w:r w:rsidRPr="000B33B9">
        <w:rPr>
          <w:rFonts w:ascii="Verdana" w:hAnsi="Verdana"/>
          <w:b/>
          <w:i/>
          <w:sz w:val="20"/>
          <w:szCs w:val="20"/>
          <w:lang w:val="es-DO"/>
        </w:rPr>
        <w:t>Estado</w:t>
      </w:r>
      <w:r w:rsidRPr="000B33B9">
        <w:rPr>
          <w:rFonts w:ascii="Verdana" w:hAnsi="Verdana"/>
          <w:i/>
          <w:sz w:val="20"/>
          <w:szCs w:val="20"/>
          <w:lang w:val="es-DO"/>
        </w:rPr>
        <w:t xml:space="preserve"> </w:t>
      </w:r>
      <w:r w:rsidRPr="000B33B9">
        <w:rPr>
          <w:rFonts w:ascii="Verdana" w:hAnsi="Verdana"/>
          <w:sz w:val="20"/>
          <w:szCs w:val="20"/>
          <w:lang w:val="es-DO"/>
        </w:rPr>
        <w:t>sostuvo que no es responsable por la violación del artículo 8.1 de la Convención. Sobre el elemento de la complejidad del asunto, el Estado alegó que la manera genérica en que la Sentencia de 25 de octubre de 1993 dispuso la nivelación de las pensiones, se debió a que el proceso de amparo incoado por los miembros de ANCEJUB-SUNAT careció de una etapa probatoria y por tanto “no se pudo discutir la naturaleza, conceptos y montos de las pensiones”</w:t>
      </w:r>
      <w:r w:rsidRPr="000B33B9">
        <w:rPr>
          <w:rFonts w:ascii="Verdana" w:hAnsi="Verdana"/>
          <w:b/>
          <w:sz w:val="20"/>
          <w:szCs w:val="20"/>
          <w:lang w:val="es-DO"/>
        </w:rPr>
        <w:t xml:space="preserve">. </w:t>
      </w:r>
      <w:r w:rsidRPr="000B33B9">
        <w:rPr>
          <w:rFonts w:ascii="Verdana" w:hAnsi="Verdana"/>
          <w:sz w:val="20"/>
          <w:szCs w:val="20"/>
          <w:lang w:val="es-DO"/>
        </w:rPr>
        <w:t>De igual manera, señaló que la cantidad de víctimas y el hecho de que a cada una correspondía a una categoría, nivel remunerativo, tiempo de servicio y cargo distinto, contribuyó a la complejidad “que presentaba desde un inicio el proceso de ejecución”. Sobre la actuación de los interesados, el Estado puntualizó que las acciones interpuestas por ANCEJUB-SUNAT no estaban encaminadas a cumplir la decisión de 25 de octubre de 1993, sino a desconocer las resoluciones emitidas por las autoridades para garantizar su ejecución, y al respecto, agregó que por un lapso de 12 años desde el 8 de mayo de 2006, “</w:t>
      </w:r>
      <w:r w:rsidR="00FF1FF4" w:rsidRPr="000B33B9">
        <w:rPr>
          <w:rFonts w:ascii="Verdana" w:hAnsi="Verdana"/>
          <w:sz w:val="20"/>
          <w:szCs w:val="20"/>
          <w:lang w:val="es-DO"/>
        </w:rPr>
        <w:t xml:space="preserve">(…) </w:t>
      </w:r>
      <w:r w:rsidRPr="000B33B9">
        <w:rPr>
          <w:rFonts w:ascii="Verdana" w:hAnsi="Verdana"/>
          <w:sz w:val="20"/>
          <w:szCs w:val="20"/>
          <w:lang w:val="es-DO"/>
        </w:rPr>
        <w:t>los miembros de ANCEJUB-SUNAT han venido dilatando el proceso en claro incumplimiento de los mandatos judiciales de los tribunales”. En referencia al elemento sobre la conducta de las autoridades, el Estado indicó que las mismas “resolvieron oportunamente los aspectos fundamentales e indispensables para la ejecución de la sentencia del 25 de octubre de 1993” y que “la mayor duración del procedimiento no ha sido motivado por el Estado peruano y en tal sentido el transcurrir del tiempo no puede atribuírsele</w:t>
      </w:r>
      <w:r w:rsidR="00FF1FF4" w:rsidRPr="000B33B9">
        <w:rPr>
          <w:rFonts w:ascii="Verdana" w:hAnsi="Verdana"/>
          <w:sz w:val="20"/>
          <w:szCs w:val="20"/>
          <w:lang w:val="es-DO"/>
        </w:rPr>
        <w:t>”</w:t>
      </w:r>
      <w:r w:rsidRPr="000B33B9">
        <w:rPr>
          <w:rFonts w:ascii="Verdana" w:hAnsi="Verdana"/>
          <w:sz w:val="20"/>
          <w:szCs w:val="20"/>
          <w:lang w:val="es-DO"/>
        </w:rPr>
        <w:t>.</w:t>
      </w:r>
      <w:r w:rsidRPr="000B33B9">
        <w:rPr>
          <w:rFonts w:ascii="Verdana" w:hAnsi="Verdana"/>
          <w:b/>
          <w:sz w:val="20"/>
          <w:szCs w:val="20"/>
          <w:lang w:val="es-DO"/>
        </w:rPr>
        <w:t xml:space="preserve"> </w:t>
      </w:r>
      <w:r w:rsidRPr="000B33B9">
        <w:rPr>
          <w:rFonts w:ascii="Verdana" w:hAnsi="Verdana"/>
          <w:sz w:val="20"/>
          <w:szCs w:val="20"/>
          <w:lang w:val="es-DO"/>
        </w:rPr>
        <w:t>Finalmente, en cuanto a la alegada afectación derivada del incumplimiento, el Estado sostuvo que “nunca suspendió o redujo las mesadas pensionales que vienen cobrando las presuntas víctimas” y que estas “vienen recibiendo las pensiones de conformidad con la legislación y jurisprudencia nacional”</w:t>
      </w:r>
      <w:r w:rsidRPr="000B33B9">
        <w:rPr>
          <w:rFonts w:ascii="Verdana" w:hAnsi="Verdana"/>
          <w:b/>
          <w:sz w:val="20"/>
          <w:szCs w:val="20"/>
          <w:lang w:val="es-DO"/>
        </w:rPr>
        <w:t>.</w:t>
      </w:r>
    </w:p>
    <w:p w14:paraId="736D0CC7" w14:textId="77777777" w:rsidR="00BD156F" w:rsidRPr="000B33B9" w:rsidRDefault="00BD156F" w:rsidP="00BD156F">
      <w:pPr>
        <w:tabs>
          <w:tab w:val="left" w:pos="1658"/>
        </w:tabs>
        <w:spacing w:after="0" w:line="240" w:lineRule="auto"/>
        <w:jc w:val="both"/>
        <w:rPr>
          <w:rFonts w:ascii="Verdana" w:hAnsi="Verdana"/>
          <w:sz w:val="20"/>
          <w:szCs w:val="20"/>
          <w:lang w:val="es-DO"/>
        </w:rPr>
      </w:pPr>
    </w:p>
    <w:p w14:paraId="39901E03" w14:textId="77777777" w:rsidR="00BD156F" w:rsidRPr="000B33B9" w:rsidRDefault="00BD156F" w:rsidP="00BD156F">
      <w:pPr>
        <w:pStyle w:val="Ttulo3"/>
        <w:numPr>
          <w:ilvl w:val="0"/>
          <w:numId w:val="0"/>
        </w:numPr>
        <w:ind w:left="1353"/>
        <w:rPr>
          <w:lang w:val="es-DO"/>
        </w:rPr>
      </w:pPr>
      <w:bookmarkStart w:id="70" w:name="_Toc27329773"/>
      <w:r w:rsidRPr="000B33B9">
        <w:rPr>
          <w:lang w:val="es-DO"/>
        </w:rPr>
        <w:t>B.2. Consideraciones de la Corte</w:t>
      </w:r>
      <w:bookmarkEnd w:id="70"/>
    </w:p>
    <w:p w14:paraId="68DC2C55" w14:textId="77777777" w:rsidR="00BD156F" w:rsidRPr="000B33B9" w:rsidRDefault="00BD156F" w:rsidP="00BD156F">
      <w:pPr>
        <w:pStyle w:val="Prrafodelista"/>
        <w:tabs>
          <w:tab w:val="left" w:pos="567"/>
        </w:tabs>
        <w:spacing w:after="0" w:line="240" w:lineRule="auto"/>
        <w:ind w:left="0"/>
        <w:contextualSpacing w:val="0"/>
        <w:jc w:val="both"/>
        <w:rPr>
          <w:rFonts w:ascii="Verdana" w:hAnsi="Verdana"/>
          <w:sz w:val="20"/>
          <w:szCs w:val="20"/>
          <w:lang w:val="es-DO"/>
        </w:rPr>
      </w:pPr>
    </w:p>
    <w:p w14:paraId="6A329867" w14:textId="121AE51B" w:rsidR="00BD156F" w:rsidRPr="000B33B9" w:rsidRDefault="00BD156F" w:rsidP="007B74B8">
      <w:pPr>
        <w:pStyle w:val="Prrafodelista"/>
        <w:numPr>
          <w:ilvl w:val="0"/>
          <w:numId w:val="10"/>
        </w:numPr>
        <w:tabs>
          <w:tab w:val="left" w:pos="567"/>
        </w:tabs>
        <w:spacing w:after="0" w:line="240" w:lineRule="auto"/>
        <w:ind w:left="0" w:firstLine="0"/>
        <w:contextualSpacing w:val="0"/>
        <w:jc w:val="both"/>
        <w:rPr>
          <w:rFonts w:ascii="Verdana" w:hAnsi="Verdana"/>
          <w:sz w:val="20"/>
          <w:szCs w:val="20"/>
          <w:lang w:val="es-ES" w:eastAsia="es-MX"/>
        </w:rPr>
      </w:pPr>
      <w:r w:rsidRPr="000B33B9">
        <w:rPr>
          <w:rFonts w:ascii="Verdana" w:hAnsi="Verdana" w:cs="Verdana"/>
          <w:bCs/>
          <w:iCs/>
          <w:sz w:val="20"/>
          <w:szCs w:val="20"/>
        </w:rPr>
        <w:t>El Tribunal ha señalado que la evaluación del plazo razonable se debe analizar en cada caso concreto, en relación con la duración total del proceso, lo cual podría también incluir la ejecución de la sentencia definitiva. De esta manera, ha considerado cuatro elementos para analizar si se cumplió con la garantía</w:t>
      </w:r>
      <w:r w:rsidR="00FF1FF4" w:rsidRPr="000B33B9">
        <w:rPr>
          <w:rFonts w:ascii="Verdana" w:hAnsi="Verdana" w:cs="Verdana"/>
          <w:bCs/>
          <w:iCs/>
          <w:sz w:val="20"/>
          <w:szCs w:val="20"/>
        </w:rPr>
        <w:t xml:space="preserve"> del plazo razonable, a saber: a) la complejidad del asunto, b</w:t>
      </w:r>
      <w:r w:rsidRPr="000B33B9">
        <w:rPr>
          <w:rFonts w:ascii="Verdana" w:hAnsi="Verdana" w:cs="Verdana"/>
          <w:bCs/>
          <w:iCs/>
          <w:sz w:val="20"/>
          <w:szCs w:val="20"/>
        </w:rPr>
        <w:t xml:space="preserve">) la actividad procesal del interesado, </w:t>
      </w:r>
      <w:r w:rsidR="00FF1FF4" w:rsidRPr="000B33B9">
        <w:rPr>
          <w:rFonts w:ascii="Verdana" w:hAnsi="Verdana" w:cs="Verdana"/>
          <w:bCs/>
          <w:iCs/>
          <w:sz w:val="20"/>
          <w:szCs w:val="20"/>
        </w:rPr>
        <w:t>c</w:t>
      </w:r>
      <w:r w:rsidRPr="000B33B9">
        <w:rPr>
          <w:rFonts w:ascii="Verdana" w:hAnsi="Verdana" w:cs="Verdana"/>
          <w:bCs/>
          <w:iCs/>
          <w:sz w:val="20"/>
          <w:szCs w:val="20"/>
        </w:rPr>
        <w:t xml:space="preserve">) la conducta de las autoridades judiciales, y </w:t>
      </w:r>
      <w:r w:rsidR="00FF1FF4" w:rsidRPr="000B33B9">
        <w:rPr>
          <w:rFonts w:ascii="Verdana" w:hAnsi="Verdana" w:cs="Verdana"/>
          <w:bCs/>
          <w:iCs/>
          <w:sz w:val="20"/>
          <w:szCs w:val="20"/>
        </w:rPr>
        <w:t>d</w:t>
      </w:r>
      <w:r w:rsidRPr="000B33B9">
        <w:rPr>
          <w:rFonts w:ascii="Verdana" w:hAnsi="Verdana" w:cs="Verdana"/>
          <w:bCs/>
          <w:iCs/>
          <w:sz w:val="20"/>
          <w:szCs w:val="20"/>
        </w:rPr>
        <w:t xml:space="preserve">) la afectación generada en la situación jurídica de la persona involucrada en el proceso. La Corte recuerda que corresponde al Estado justificar, con fundamento en los criterios señalados, la razón por la cual ha requerido del tiempo transcurrido para tratar los casos y, en la eventualidad de que </w:t>
      </w:r>
      <w:r w:rsidR="00764169" w:rsidRPr="000B33B9">
        <w:rPr>
          <w:rFonts w:ascii="Verdana" w:hAnsi="Verdana" w:cs="Verdana"/>
          <w:bCs/>
          <w:iCs/>
          <w:sz w:val="20"/>
          <w:szCs w:val="20"/>
        </w:rPr>
        <w:t>e</w:t>
      </w:r>
      <w:r w:rsidRPr="000B33B9">
        <w:rPr>
          <w:rFonts w:ascii="Verdana" w:hAnsi="Verdana" w:cs="Verdana"/>
          <w:bCs/>
          <w:iCs/>
          <w:sz w:val="20"/>
          <w:szCs w:val="20"/>
        </w:rPr>
        <w:t>ste no lo demuestre, la Corte tiene amplias atribuciones para hacer su propia estimación al respecto</w:t>
      </w:r>
      <w:r w:rsidRPr="000B33B9">
        <w:rPr>
          <w:rFonts w:ascii="Verdana" w:hAnsi="Verdana"/>
          <w:sz w:val="20"/>
          <w:szCs w:val="20"/>
          <w:vertAlign w:val="superscript"/>
        </w:rPr>
        <w:footnoteReference w:id="200"/>
      </w:r>
      <w:r w:rsidRPr="000B33B9">
        <w:rPr>
          <w:rFonts w:ascii="Verdana" w:hAnsi="Verdana" w:cs="Verdana"/>
          <w:bCs/>
          <w:iCs/>
          <w:sz w:val="20"/>
          <w:szCs w:val="20"/>
        </w:rPr>
        <w:t>.</w:t>
      </w:r>
      <w:r w:rsidRPr="000B33B9">
        <w:rPr>
          <w:rFonts w:ascii="Verdana" w:hAnsi="Verdana" w:cs="Verdana"/>
          <w:bCs/>
          <w:i/>
          <w:iCs/>
          <w:sz w:val="20"/>
          <w:szCs w:val="20"/>
        </w:rPr>
        <w:t xml:space="preserve"> </w:t>
      </w:r>
    </w:p>
    <w:p w14:paraId="320D9C88" w14:textId="77777777" w:rsidR="00BD156F" w:rsidRPr="000B33B9" w:rsidRDefault="00BD156F" w:rsidP="00BD156F">
      <w:pPr>
        <w:pStyle w:val="Prrafodelista"/>
        <w:jc w:val="both"/>
        <w:rPr>
          <w:rFonts w:ascii="Verdana" w:hAnsi="Verdana" w:cs="Verdana"/>
          <w:bCs/>
          <w:iCs/>
          <w:sz w:val="20"/>
          <w:szCs w:val="20"/>
        </w:rPr>
      </w:pPr>
    </w:p>
    <w:p w14:paraId="4F3AE393" w14:textId="6797D62D" w:rsidR="00BD156F" w:rsidRPr="000B33B9" w:rsidRDefault="00BD156F" w:rsidP="007B74B8">
      <w:pPr>
        <w:pStyle w:val="Prrafodelista"/>
        <w:numPr>
          <w:ilvl w:val="0"/>
          <w:numId w:val="10"/>
        </w:numPr>
        <w:tabs>
          <w:tab w:val="left" w:pos="567"/>
        </w:tabs>
        <w:spacing w:after="0" w:line="240" w:lineRule="auto"/>
        <w:ind w:left="0" w:firstLine="0"/>
        <w:contextualSpacing w:val="0"/>
        <w:jc w:val="both"/>
        <w:rPr>
          <w:rFonts w:ascii="Verdana" w:hAnsi="Verdana"/>
          <w:sz w:val="20"/>
          <w:szCs w:val="20"/>
          <w:lang w:val="es-ES" w:eastAsia="es-MX"/>
        </w:rPr>
      </w:pPr>
      <w:r w:rsidRPr="000B33B9">
        <w:rPr>
          <w:rFonts w:ascii="Verdana" w:hAnsi="Verdana" w:cs="Verdana"/>
          <w:bCs/>
          <w:iCs/>
          <w:sz w:val="20"/>
          <w:szCs w:val="20"/>
        </w:rPr>
        <w:t xml:space="preserve">El análisis del presente apartado se centrará en evaluar, a partir de los cuatro elementos antes indicados, el plazo transcurrido desde la adopción de la primera sentencia de amparo de la Corte Suprema de 25 de </w:t>
      </w:r>
      <w:r w:rsidR="00764169" w:rsidRPr="000B33B9">
        <w:rPr>
          <w:rFonts w:ascii="Verdana" w:hAnsi="Verdana" w:cs="Verdana"/>
          <w:bCs/>
          <w:iCs/>
          <w:sz w:val="20"/>
          <w:szCs w:val="20"/>
        </w:rPr>
        <w:t>octubre</w:t>
      </w:r>
      <w:r w:rsidRPr="000B33B9">
        <w:rPr>
          <w:rFonts w:ascii="Verdana" w:hAnsi="Verdana" w:cs="Verdana"/>
          <w:bCs/>
          <w:iCs/>
          <w:sz w:val="20"/>
          <w:szCs w:val="20"/>
        </w:rPr>
        <w:t xml:space="preserve"> de 1993 hasta la actualidad.</w:t>
      </w:r>
    </w:p>
    <w:p w14:paraId="213953E6" w14:textId="77777777" w:rsidR="00BD156F" w:rsidRPr="000B33B9" w:rsidRDefault="00BD156F" w:rsidP="00BD156F">
      <w:pPr>
        <w:pStyle w:val="Prrafodelista"/>
        <w:spacing w:after="0" w:line="240" w:lineRule="auto"/>
        <w:contextualSpacing w:val="0"/>
        <w:jc w:val="both"/>
        <w:rPr>
          <w:rFonts w:ascii="Verdana" w:hAnsi="Verdana"/>
          <w:sz w:val="20"/>
          <w:szCs w:val="20"/>
          <w:lang w:val="es-ES" w:eastAsia="es-MX"/>
        </w:rPr>
      </w:pPr>
    </w:p>
    <w:p w14:paraId="2F545BB3" w14:textId="3B414922" w:rsidR="00BD156F" w:rsidRPr="000B33B9" w:rsidRDefault="00F27910" w:rsidP="00F27910">
      <w:pPr>
        <w:pStyle w:val="Ttulo4"/>
        <w:numPr>
          <w:ilvl w:val="0"/>
          <w:numId w:val="0"/>
        </w:numPr>
        <w:ind w:left="708"/>
        <w:rPr>
          <w:lang w:val="es-ES" w:eastAsia="es-MX"/>
        </w:rPr>
      </w:pPr>
      <w:bookmarkStart w:id="71" w:name="_Toc27329774"/>
      <w:r w:rsidRPr="000B33B9">
        <w:rPr>
          <w:lang w:val="es-ES" w:eastAsia="es-MX"/>
        </w:rPr>
        <w:t xml:space="preserve">B.2.1. </w:t>
      </w:r>
      <w:r w:rsidR="00BD156F" w:rsidRPr="000B33B9">
        <w:rPr>
          <w:lang w:val="es-ES" w:eastAsia="es-MX"/>
        </w:rPr>
        <w:t>Complejidad del asunto</w:t>
      </w:r>
      <w:bookmarkEnd w:id="71"/>
    </w:p>
    <w:p w14:paraId="524E9DE5" w14:textId="77777777" w:rsidR="00BD156F" w:rsidRPr="000B33B9" w:rsidRDefault="00BD156F" w:rsidP="00BD156F">
      <w:pPr>
        <w:tabs>
          <w:tab w:val="left" w:pos="567"/>
        </w:tabs>
        <w:spacing w:after="0" w:line="240" w:lineRule="auto"/>
        <w:jc w:val="both"/>
        <w:rPr>
          <w:rFonts w:ascii="Verdana" w:hAnsi="Verdana"/>
          <w:b/>
          <w:bCs/>
          <w:i/>
          <w:iCs/>
          <w:sz w:val="20"/>
          <w:szCs w:val="20"/>
          <w:lang w:val="es-ES" w:eastAsia="es-MX"/>
        </w:rPr>
      </w:pPr>
    </w:p>
    <w:p w14:paraId="2D0C390D" w14:textId="77777777" w:rsidR="00BD156F" w:rsidRPr="000B33B9" w:rsidRDefault="00BD156F" w:rsidP="007B74B8">
      <w:pPr>
        <w:pStyle w:val="Prrafodelista"/>
        <w:numPr>
          <w:ilvl w:val="0"/>
          <w:numId w:val="10"/>
        </w:numPr>
        <w:tabs>
          <w:tab w:val="left" w:pos="567"/>
        </w:tabs>
        <w:spacing w:after="0" w:line="240" w:lineRule="auto"/>
        <w:ind w:left="0" w:firstLine="0"/>
        <w:jc w:val="both"/>
        <w:rPr>
          <w:rFonts w:ascii="Verdana" w:hAnsi="Verdana"/>
          <w:sz w:val="20"/>
          <w:szCs w:val="20"/>
          <w:lang w:val="es-DO"/>
        </w:rPr>
      </w:pPr>
      <w:r w:rsidRPr="000B33B9">
        <w:rPr>
          <w:rFonts w:ascii="Verdana" w:hAnsi="Verdana"/>
          <w:sz w:val="20"/>
          <w:szCs w:val="20"/>
        </w:rPr>
        <w:t>Este Tribunal ha tenido en cuenta diversos criterios para determinar la complejidad del asunto, como la complejidad de la prueba, la pluralidad de sujetos procesales o la cantidad de víctimas, el tiempo transcurrido desde la violación, las características del recurso consagradas en la legislación interna y el contexto en el que ocurrió la violación</w:t>
      </w:r>
      <w:r w:rsidRPr="000B33B9">
        <w:rPr>
          <w:rStyle w:val="Refdenotaalpie"/>
          <w:rFonts w:ascii="Verdana" w:hAnsi="Verdana"/>
          <w:sz w:val="20"/>
          <w:szCs w:val="20"/>
        </w:rPr>
        <w:footnoteReference w:id="201"/>
      </w:r>
      <w:r w:rsidRPr="000B33B9">
        <w:rPr>
          <w:rFonts w:ascii="Verdana" w:hAnsi="Verdana"/>
          <w:sz w:val="20"/>
          <w:szCs w:val="20"/>
        </w:rPr>
        <w:t>. En este caso, la Corte aprecia que la cantidad de víctimas supuso, desde el inicio del proceso de ejecución de la sentencia de 25 de octubre de 1993 y aún ante esta jurisdicción internacional, un punto controvertido entre las partes. Debido a las características del amparo como recurso sumario y expedito, la acción interpuesta el 19 de diciembre de 1991 por ANCEJUB-SUNAT no identificó a cada una de las personas que tenían la calidad de integrantes de la asociación en ese momento, por lo que la sentencia de 25 de octubre de 1993 tampoco las individualizó, sino que se limitó a hacer referencia general a “los miembros de la Asociación actora”</w:t>
      </w:r>
      <w:r w:rsidRPr="000B33B9">
        <w:rPr>
          <w:rStyle w:val="Refdenotaalpie"/>
          <w:rFonts w:ascii="Verdana" w:hAnsi="Verdana"/>
          <w:sz w:val="20"/>
          <w:szCs w:val="20"/>
          <w:lang w:val="es-DO"/>
        </w:rPr>
        <w:footnoteReference w:id="202"/>
      </w:r>
      <w:r w:rsidRPr="000B33B9">
        <w:rPr>
          <w:rFonts w:ascii="Verdana" w:hAnsi="Verdana"/>
          <w:sz w:val="20"/>
          <w:szCs w:val="20"/>
          <w:lang w:val="es-DO"/>
        </w:rPr>
        <w:t>.</w:t>
      </w:r>
    </w:p>
    <w:p w14:paraId="48F57FEA" w14:textId="77777777" w:rsidR="00BD156F" w:rsidRPr="000B33B9" w:rsidRDefault="00BD156F" w:rsidP="00BD156F">
      <w:pPr>
        <w:pStyle w:val="Prrafodelista"/>
        <w:tabs>
          <w:tab w:val="left" w:pos="567"/>
        </w:tabs>
        <w:spacing w:after="0" w:line="240" w:lineRule="auto"/>
        <w:ind w:left="0"/>
        <w:jc w:val="both"/>
        <w:rPr>
          <w:rFonts w:ascii="Verdana" w:hAnsi="Verdana"/>
          <w:sz w:val="20"/>
          <w:szCs w:val="20"/>
          <w:lang w:val="es-DO"/>
        </w:rPr>
      </w:pPr>
    </w:p>
    <w:p w14:paraId="0D3905D5" w14:textId="40EB4880" w:rsidR="00BD156F" w:rsidRPr="000B33B9" w:rsidRDefault="00BD156F" w:rsidP="00B756D7">
      <w:pPr>
        <w:pStyle w:val="Prrafodelista"/>
        <w:numPr>
          <w:ilvl w:val="0"/>
          <w:numId w:val="10"/>
        </w:numPr>
        <w:tabs>
          <w:tab w:val="left" w:pos="567"/>
        </w:tabs>
        <w:spacing w:after="0" w:line="240" w:lineRule="auto"/>
        <w:ind w:left="0" w:firstLine="0"/>
        <w:jc w:val="both"/>
        <w:rPr>
          <w:rFonts w:ascii="Verdana" w:hAnsi="Verdana"/>
          <w:sz w:val="20"/>
          <w:szCs w:val="20"/>
          <w:lang w:val="es-ES" w:eastAsia="es-MX"/>
        </w:rPr>
      </w:pPr>
      <w:r w:rsidRPr="000B33B9">
        <w:rPr>
          <w:rFonts w:ascii="Verdana" w:hAnsi="Verdana"/>
          <w:sz w:val="20"/>
          <w:szCs w:val="20"/>
          <w:lang w:val="es-ES" w:eastAsia="es-MX"/>
        </w:rPr>
        <w:t>En efecto, la Corte constata que, a partir de mayo de 2002</w:t>
      </w:r>
      <w:r w:rsidRPr="000B33B9">
        <w:rPr>
          <w:rStyle w:val="Refdenotaalpie"/>
          <w:rFonts w:ascii="Verdana" w:hAnsi="Verdana"/>
          <w:sz w:val="20"/>
          <w:szCs w:val="20"/>
          <w:lang w:val="es-ES"/>
        </w:rPr>
        <w:footnoteReference w:id="203"/>
      </w:r>
      <w:r w:rsidRPr="000B33B9">
        <w:rPr>
          <w:rFonts w:ascii="Verdana" w:hAnsi="Verdana"/>
          <w:sz w:val="20"/>
          <w:szCs w:val="20"/>
          <w:lang w:val="es-ES" w:eastAsia="es-MX"/>
        </w:rPr>
        <w:t>, los juzgados de ejecución se ocuparon de determinar la identidad de los beneficiarios de la sentencia de 25 de octubre de 1993 en vi</w:t>
      </w:r>
      <w:r w:rsidR="00764169" w:rsidRPr="000B33B9">
        <w:rPr>
          <w:rFonts w:ascii="Verdana" w:hAnsi="Verdana"/>
          <w:sz w:val="20"/>
          <w:szCs w:val="20"/>
          <w:lang w:val="es-ES" w:eastAsia="es-MX"/>
        </w:rPr>
        <w:t>sta de la observación presentada</w:t>
      </w:r>
      <w:r w:rsidRPr="000B33B9">
        <w:rPr>
          <w:rFonts w:ascii="Verdana" w:hAnsi="Verdana"/>
          <w:sz w:val="20"/>
          <w:szCs w:val="20"/>
          <w:lang w:val="es-ES" w:eastAsia="es-MX"/>
        </w:rPr>
        <w:t xml:space="preserve"> por la SUNAT sobre el cumplimiento de la decisión a favor exclusivamente de las 11 personas que figuraban en los documentos de incorporación de ANCEJUB-SUNAT</w:t>
      </w:r>
      <w:r w:rsidRPr="000B33B9">
        <w:rPr>
          <w:rStyle w:val="Refdenotaalpie"/>
          <w:rFonts w:ascii="Verdana" w:hAnsi="Verdana"/>
          <w:sz w:val="20"/>
          <w:szCs w:val="20"/>
          <w:lang w:val="es-DO"/>
        </w:rPr>
        <w:footnoteReference w:id="204"/>
      </w:r>
      <w:r w:rsidRPr="000B33B9">
        <w:rPr>
          <w:rFonts w:ascii="Verdana" w:hAnsi="Verdana"/>
          <w:sz w:val="20"/>
          <w:szCs w:val="20"/>
          <w:lang w:val="es-ES" w:eastAsia="es-MX"/>
        </w:rPr>
        <w:t xml:space="preserve">, cuestión que fue resuelta en la jurisdicción interna mediante resolución de 3 de junio de 2005, en la cual se declaró como víctimas a </w:t>
      </w:r>
      <w:r w:rsidR="0029378E" w:rsidRPr="000B33B9">
        <w:rPr>
          <w:rFonts w:ascii="Verdana" w:hAnsi="Verdana"/>
          <w:sz w:val="20"/>
          <w:szCs w:val="20"/>
          <w:lang w:val="es-ES" w:eastAsia="es-MX"/>
        </w:rPr>
        <w:t>604</w:t>
      </w:r>
      <w:r w:rsidRPr="000B33B9">
        <w:rPr>
          <w:rFonts w:ascii="Verdana" w:hAnsi="Verdana"/>
          <w:sz w:val="20"/>
          <w:szCs w:val="20"/>
          <w:lang w:val="es-ES" w:eastAsia="es-MX"/>
        </w:rPr>
        <w:t xml:space="preserve"> integrantes de la indicada asociación</w:t>
      </w:r>
      <w:r w:rsidRPr="000B33B9">
        <w:rPr>
          <w:rStyle w:val="Refdenotaalpie"/>
          <w:rFonts w:ascii="Verdana" w:hAnsi="Verdana"/>
          <w:sz w:val="20"/>
          <w:szCs w:val="20"/>
          <w:lang w:val="es-ES" w:eastAsia="es-MX"/>
        </w:rPr>
        <w:footnoteReference w:id="205"/>
      </w:r>
      <w:r w:rsidR="00764169" w:rsidRPr="000B33B9">
        <w:rPr>
          <w:rFonts w:ascii="Verdana" w:hAnsi="Verdana"/>
          <w:sz w:val="20"/>
          <w:szCs w:val="20"/>
          <w:lang w:val="es-ES" w:eastAsia="es-MX"/>
        </w:rPr>
        <w:t>.</w:t>
      </w:r>
      <w:r w:rsidRPr="000B33B9">
        <w:rPr>
          <w:rFonts w:ascii="Verdana" w:hAnsi="Verdana"/>
          <w:sz w:val="20"/>
          <w:szCs w:val="20"/>
          <w:lang w:val="es-ES" w:eastAsia="es-MX"/>
        </w:rPr>
        <w:t xml:space="preserve"> El Tribunal estima que la pluralidad de víctimas, sumada a la naturaleza de las prestaciones involucradas, las cuales comportaban el cálculo individualizado de la nivelación y los reintegros desde enero de 1992 a diciembre de 2004, permite concluir que la ejecución de la sentencia de 25 de octubre de 1993 era compleja.</w:t>
      </w:r>
    </w:p>
    <w:p w14:paraId="5FA17D57" w14:textId="77777777" w:rsidR="00BD156F" w:rsidRPr="000B33B9" w:rsidRDefault="00BD156F" w:rsidP="00B756D7">
      <w:pPr>
        <w:pStyle w:val="Prrafodelista"/>
        <w:spacing w:after="0" w:line="240" w:lineRule="auto"/>
        <w:ind w:left="0"/>
        <w:contextualSpacing w:val="0"/>
        <w:jc w:val="both"/>
        <w:rPr>
          <w:rFonts w:ascii="Verdana" w:hAnsi="Verdana"/>
          <w:sz w:val="20"/>
          <w:szCs w:val="20"/>
          <w:lang w:val="es-ES" w:eastAsia="es-MX"/>
        </w:rPr>
      </w:pPr>
    </w:p>
    <w:p w14:paraId="51525EF3" w14:textId="305CAA46" w:rsidR="00BD156F" w:rsidRPr="000B33B9" w:rsidRDefault="00F27910" w:rsidP="00B756D7">
      <w:pPr>
        <w:pStyle w:val="Ttulo4"/>
        <w:numPr>
          <w:ilvl w:val="0"/>
          <w:numId w:val="0"/>
        </w:numPr>
        <w:ind w:left="1068" w:hanging="360"/>
        <w:rPr>
          <w:lang w:val="es-ES" w:eastAsia="es-MX"/>
        </w:rPr>
      </w:pPr>
      <w:bookmarkStart w:id="72" w:name="_Toc27329775"/>
      <w:r w:rsidRPr="000B33B9">
        <w:rPr>
          <w:lang w:val="es-ES" w:eastAsia="es-MX"/>
        </w:rPr>
        <w:t xml:space="preserve">B.2.2. </w:t>
      </w:r>
      <w:r w:rsidR="00BD156F" w:rsidRPr="000B33B9">
        <w:rPr>
          <w:lang w:val="es-ES" w:eastAsia="es-MX"/>
        </w:rPr>
        <w:t>Actividad procesal de los interesados</w:t>
      </w:r>
      <w:bookmarkEnd w:id="72"/>
    </w:p>
    <w:p w14:paraId="60118324" w14:textId="77777777" w:rsidR="00BD156F" w:rsidRPr="000B33B9" w:rsidRDefault="00BD156F" w:rsidP="00B756D7">
      <w:pPr>
        <w:pStyle w:val="Prrafodelista"/>
        <w:spacing w:after="0" w:line="240" w:lineRule="auto"/>
        <w:ind w:left="0"/>
        <w:contextualSpacing w:val="0"/>
        <w:jc w:val="both"/>
        <w:rPr>
          <w:rFonts w:ascii="Verdana" w:hAnsi="Verdana"/>
          <w:sz w:val="20"/>
          <w:szCs w:val="20"/>
          <w:lang w:val="es-ES" w:eastAsia="es-MX"/>
        </w:rPr>
      </w:pPr>
    </w:p>
    <w:p w14:paraId="1AE0E761" w14:textId="665EDFDB" w:rsidR="00BD156F" w:rsidRPr="000B33B9" w:rsidRDefault="00BD156F" w:rsidP="00B756D7">
      <w:pPr>
        <w:pStyle w:val="Prrafodelista"/>
        <w:numPr>
          <w:ilvl w:val="0"/>
          <w:numId w:val="10"/>
        </w:numPr>
        <w:spacing w:after="0" w:line="240" w:lineRule="auto"/>
        <w:ind w:left="0" w:firstLine="0"/>
        <w:contextualSpacing w:val="0"/>
        <w:jc w:val="both"/>
        <w:rPr>
          <w:rFonts w:ascii="Verdana" w:hAnsi="Verdana"/>
          <w:sz w:val="20"/>
          <w:szCs w:val="20"/>
          <w:lang w:val="es-DO" w:eastAsia="es-MX"/>
        </w:rPr>
      </w:pPr>
      <w:r w:rsidRPr="000B33B9">
        <w:rPr>
          <w:rFonts w:ascii="Verdana" w:hAnsi="Verdana"/>
          <w:sz w:val="20"/>
          <w:szCs w:val="20"/>
          <w:lang w:val="es-ES" w:eastAsia="es-MX"/>
        </w:rPr>
        <w:t>Para determinar la razonabilidad del plazo, la Corte ha tomado en consideración s</w:t>
      </w:r>
      <w:r w:rsidRPr="000B33B9">
        <w:rPr>
          <w:rFonts w:ascii="Verdana" w:hAnsi="Verdana"/>
          <w:sz w:val="20"/>
          <w:szCs w:val="20"/>
        </w:rPr>
        <w:t>i la conducta procesal del propio interesado en obtener justicia ha contribuido en algún grado a prolongar indebidamente la duración del proceso</w:t>
      </w:r>
      <w:r w:rsidRPr="000B33B9">
        <w:rPr>
          <w:rStyle w:val="Refdenotaalpie"/>
          <w:rFonts w:ascii="Verdana" w:hAnsi="Verdana"/>
          <w:sz w:val="20"/>
          <w:szCs w:val="20"/>
        </w:rPr>
        <w:footnoteReference w:id="206"/>
      </w:r>
      <w:r w:rsidRPr="000B33B9">
        <w:rPr>
          <w:rFonts w:ascii="Verdana" w:hAnsi="Verdana"/>
          <w:sz w:val="20"/>
          <w:szCs w:val="20"/>
        </w:rPr>
        <w:t xml:space="preserve">. En este caso, el Tribunal </w:t>
      </w:r>
      <w:r w:rsidRPr="000B33B9">
        <w:rPr>
          <w:rFonts w:ascii="Verdana" w:hAnsi="Verdana"/>
          <w:sz w:val="20"/>
          <w:szCs w:val="20"/>
          <w:lang w:val="es-ES" w:eastAsia="es-MX"/>
        </w:rPr>
        <w:t xml:space="preserve">observa que, desde su emisión, ANCEJUB-SUNAT ha promovido, en representación de las </w:t>
      </w:r>
      <w:r w:rsidR="00764169" w:rsidRPr="000B33B9">
        <w:rPr>
          <w:rFonts w:ascii="Verdana" w:hAnsi="Verdana"/>
          <w:sz w:val="20"/>
          <w:szCs w:val="20"/>
          <w:lang w:val="es-ES" w:eastAsia="es-MX"/>
        </w:rPr>
        <w:t xml:space="preserve">presuntas </w:t>
      </w:r>
      <w:r w:rsidRPr="000B33B9">
        <w:rPr>
          <w:rFonts w:ascii="Verdana" w:hAnsi="Verdana"/>
          <w:sz w:val="20"/>
          <w:szCs w:val="20"/>
          <w:lang w:val="es-ES" w:eastAsia="es-MX"/>
        </w:rPr>
        <w:t>víctimas, múltiples acciones encaminadas a impulsar la ejecución de la sentencia de 25 de octubre de 1993. En este sentido, la Corte constata que ANCEJUB-SUNAT apeló las resoluciones que impusieron a las</w:t>
      </w:r>
      <w:r w:rsidR="00764169" w:rsidRPr="000B33B9">
        <w:rPr>
          <w:rFonts w:ascii="Verdana" w:hAnsi="Verdana"/>
          <w:sz w:val="20"/>
          <w:szCs w:val="20"/>
          <w:lang w:val="es-ES" w:eastAsia="es-MX"/>
        </w:rPr>
        <w:t xml:space="preserve"> presuntas</w:t>
      </w:r>
      <w:r w:rsidRPr="000B33B9">
        <w:rPr>
          <w:rFonts w:ascii="Verdana" w:hAnsi="Verdana"/>
          <w:sz w:val="20"/>
          <w:szCs w:val="20"/>
          <w:lang w:val="es-ES" w:eastAsia="es-MX"/>
        </w:rPr>
        <w:t xml:space="preserve"> víctimas la necesidad de recurrir a la vía administrativa para lograr la ejecución de la referida sentencia, y al respecto </w:t>
      </w:r>
      <w:r w:rsidR="00F82A54" w:rsidRPr="000B33B9">
        <w:rPr>
          <w:rFonts w:ascii="Verdana" w:hAnsi="Verdana"/>
          <w:sz w:val="20"/>
          <w:szCs w:val="20"/>
          <w:lang w:val="es-ES" w:eastAsia="es-MX"/>
        </w:rPr>
        <w:t xml:space="preserve">presentó </w:t>
      </w:r>
      <w:r w:rsidRPr="000B33B9">
        <w:rPr>
          <w:rFonts w:ascii="Verdana" w:hAnsi="Verdana"/>
          <w:sz w:val="20"/>
          <w:szCs w:val="20"/>
          <w:lang w:val="es-ES" w:eastAsia="es-MX"/>
        </w:rPr>
        <w:t>un segundo recurso de amparo en abril de 1999</w:t>
      </w:r>
      <w:r w:rsidRPr="000B33B9">
        <w:rPr>
          <w:rStyle w:val="Refdenotaalpie"/>
          <w:rFonts w:ascii="Verdana" w:hAnsi="Verdana"/>
          <w:sz w:val="20"/>
          <w:szCs w:val="20"/>
          <w:lang w:val="es-ES"/>
        </w:rPr>
        <w:footnoteReference w:id="207"/>
      </w:r>
      <w:r w:rsidRPr="000B33B9">
        <w:rPr>
          <w:rFonts w:ascii="Verdana" w:hAnsi="Verdana"/>
          <w:sz w:val="20"/>
          <w:szCs w:val="20"/>
          <w:lang w:val="es-ES"/>
        </w:rPr>
        <w:t xml:space="preserve">, </w:t>
      </w:r>
      <w:r w:rsidRPr="000B33B9">
        <w:rPr>
          <w:rFonts w:ascii="Verdana" w:hAnsi="Verdana"/>
          <w:sz w:val="20"/>
          <w:szCs w:val="20"/>
          <w:lang w:val="es-ES" w:eastAsia="es-MX"/>
        </w:rPr>
        <w:t>un recurso de apelación</w:t>
      </w:r>
      <w:r w:rsidRPr="000B33B9">
        <w:rPr>
          <w:rStyle w:val="Refdenotaalpie"/>
          <w:rFonts w:ascii="Verdana" w:hAnsi="Verdana"/>
          <w:sz w:val="20"/>
          <w:szCs w:val="20"/>
          <w:lang w:val="es-DO"/>
        </w:rPr>
        <w:footnoteReference w:id="208"/>
      </w:r>
      <w:r w:rsidRPr="000B33B9">
        <w:rPr>
          <w:rFonts w:ascii="Verdana" w:hAnsi="Verdana"/>
          <w:sz w:val="20"/>
          <w:szCs w:val="20"/>
          <w:lang w:val="es-ES" w:eastAsia="es-MX"/>
        </w:rPr>
        <w:t xml:space="preserve"> y un recurso extraordinario hasta conseguir que, en virtud de la sentencia emitida por el Tribunal Constitucional en 2001, se dispusiera la ejecución en sede judicial</w:t>
      </w:r>
      <w:r w:rsidRPr="000B33B9">
        <w:rPr>
          <w:rStyle w:val="Refdenotaalpie"/>
          <w:rFonts w:ascii="Verdana" w:hAnsi="Verdana"/>
          <w:sz w:val="20"/>
          <w:szCs w:val="20"/>
          <w:lang w:val="es-DO"/>
        </w:rPr>
        <w:footnoteReference w:id="209"/>
      </w:r>
      <w:r w:rsidRPr="000B33B9">
        <w:rPr>
          <w:rFonts w:ascii="Verdana" w:hAnsi="Verdana"/>
          <w:sz w:val="20"/>
          <w:szCs w:val="20"/>
          <w:lang w:val="es-ES" w:eastAsia="es-MX"/>
        </w:rPr>
        <w:t>. Asimismo, la Corte observa que ANCEJUB-SUNAT depositó oportunamente la documentación que le era requerida por los juzgados de ejecución</w:t>
      </w:r>
      <w:r w:rsidRPr="000B33B9">
        <w:rPr>
          <w:rStyle w:val="Refdenotaalpie"/>
          <w:rFonts w:ascii="Verdana" w:hAnsi="Verdana"/>
          <w:sz w:val="20"/>
          <w:szCs w:val="20"/>
          <w:lang w:val="es-DO"/>
        </w:rPr>
        <w:footnoteReference w:id="210"/>
      </w:r>
      <w:r w:rsidRPr="000B33B9">
        <w:rPr>
          <w:rFonts w:ascii="Verdana" w:hAnsi="Verdana"/>
          <w:sz w:val="20"/>
          <w:szCs w:val="20"/>
          <w:lang w:val="es-DO" w:eastAsia="es-MX"/>
        </w:rPr>
        <w:t>, y participó activamente en la discusión de los informes periciales</w:t>
      </w:r>
      <w:r w:rsidRPr="000B33B9">
        <w:rPr>
          <w:rStyle w:val="Refdenotaalpie"/>
          <w:rFonts w:ascii="Verdana" w:hAnsi="Verdana"/>
          <w:sz w:val="20"/>
          <w:szCs w:val="20"/>
          <w:lang w:val="es-DO"/>
        </w:rPr>
        <w:footnoteReference w:id="211"/>
      </w:r>
      <w:r w:rsidRPr="000B33B9">
        <w:rPr>
          <w:rFonts w:ascii="Verdana" w:hAnsi="Verdana"/>
          <w:sz w:val="20"/>
          <w:szCs w:val="20"/>
          <w:lang w:val="es-DO" w:eastAsia="es-MX"/>
        </w:rPr>
        <w:t xml:space="preserve">. </w:t>
      </w:r>
    </w:p>
    <w:p w14:paraId="41192BE9" w14:textId="77777777" w:rsidR="00BD156F" w:rsidRPr="000B33B9" w:rsidRDefault="00BD156F" w:rsidP="00B756D7">
      <w:pPr>
        <w:pStyle w:val="Prrafodelista"/>
        <w:spacing w:after="0" w:line="240" w:lineRule="auto"/>
        <w:ind w:left="0"/>
        <w:contextualSpacing w:val="0"/>
        <w:jc w:val="both"/>
        <w:rPr>
          <w:rFonts w:ascii="Verdana" w:hAnsi="Verdana"/>
          <w:sz w:val="20"/>
          <w:szCs w:val="20"/>
          <w:lang w:val="es-DO" w:eastAsia="es-MX"/>
        </w:rPr>
      </w:pPr>
    </w:p>
    <w:p w14:paraId="7DB661E8" w14:textId="4FA974DE" w:rsidR="00BD156F" w:rsidRPr="000B33B9" w:rsidRDefault="00BD156F" w:rsidP="00B756D7">
      <w:pPr>
        <w:pStyle w:val="Prrafodelista"/>
        <w:numPr>
          <w:ilvl w:val="0"/>
          <w:numId w:val="10"/>
        </w:numPr>
        <w:spacing w:after="0" w:line="240" w:lineRule="auto"/>
        <w:ind w:left="0" w:firstLine="0"/>
        <w:contextualSpacing w:val="0"/>
        <w:jc w:val="both"/>
        <w:rPr>
          <w:rFonts w:ascii="Verdana" w:hAnsi="Verdana"/>
          <w:sz w:val="20"/>
          <w:szCs w:val="20"/>
          <w:lang w:val="es-DO" w:eastAsia="es-MX"/>
        </w:rPr>
      </w:pPr>
      <w:r w:rsidRPr="000B33B9">
        <w:rPr>
          <w:rFonts w:ascii="Verdana" w:hAnsi="Verdana"/>
          <w:sz w:val="20"/>
          <w:szCs w:val="20"/>
          <w:lang w:val="es-DO" w:eastAsia="es-MX"/>
        </w:rPr>
        <w:t>Por otro lado, en cuanto al argumento presentado por el Estado respecto a que las acciones incoadas por ANCEJUB-SUNAT contra las resoluciones que “no le dieron razón sobre los alcances de la sentencia de la Corte Suprema” es lo que “extendió innecesariamente l</w:t>
      </w:r>
      <w:r w:rsidR="00764169" w:rsidRPr="000B33B9">
        <w:rPr>
          <w:rFonts w:ascii="Verdana" w:hAnsi="Verdana"/>
          <w:sz w:val="20"/>
          <w:szCs w:val="20"/>
          <w:lang w:val="es-DO" w:eastAsia="es-MX"/>
        </w:rPr>
        <w:t>a controversia por varios años”</w:t>
      </w:r>
      <w:r w:rsidRPr="000B33B9">
        <w:rPr>
          <w:rFonts w:ascii="Verdana" w:hAnsi="Verdana"/>
          <w:sz w:val="20"/>
          <w:szCs w:val="20"/>
          <w:lang w:val="es-DO" w:eastAsia="es-MX"/>
        </w:rPr>
        <w:t xml:space="preserve">, la Corte </w:t>
      </w:r>
      <w:r w:rsidRPr="000B33B9">
        <w:rPr>
          <w:rFonts w:ascii="Verdana" w:hAnsi="Verdana"/>
          <w:sz w:val="20"/>
          <w:szCs w:val="20"/>
        </w:rPr>
        <w:t>destaca que las partes en dicho proceso, entre ellas las presuntas víctimas en este caso, estaban haciendo uso de medios de impugnación reconocidos por la legislación aplicable para la defensa de sus intereses</w:t>
      </w:r>
      <w:r w:rsidRPr="000B33B9">
        <w:rPr>
          <w:rStyle w:val="Refdenotaalpie"/>
          <w:rFonts w:ascii="Verdana" w:hAnsi="Verdana"/>
          <w:sz w:val="20"/>
          <w:szCs w:val="20"/>
        </w:rPr>
        <w:footnoteReference w:id="212"/>
      </w:r>
      <w:r w:rsidRPr="000B33B9">
        <w:rPr>
          <w:rFonts w:ascii="Verdana" w:hAnsi="Verdana"/>
          <w:sz w:val="20"/>
          <w:szCs w:val="20"/>
        </w:rPr>
        <w:t>.</w:t>
      </w:r>
    </w:p>
    <w:p w14:paraId="58D7006F" w14:textId="77777777" w:rsidR="00BD156F" w:rsidRPr="000B33B9" w:rsidRDefault="00BD156F" w:rsidP="00B756D7">
      <w:pPr>
        <w:pStyle w:val="Prrafodelista"/>
        <w:spacing w:after="0" w:line="240" w:lineRule="auto"/>
        <w:ind w:left="0"/>
        <w:contextualSpacing w:val="0"/>
        <w:jc w:val="both"/>
        <w:rPr>
          <w:rFonts w:ascii="Verdana" w:hAnsi="Verdana"/>
          <w:i/>
          <w:sz w:val="20"/>
          <w:szCs w:val="20"/>
        </w:rPr>
      </w:pPr>
    </w:p>
    <w:p w14:paraId="4B38859B" w14:textId="57BDF269" w:rsidR="00BD156F" w:rsidRPr="000B33B9" w:rsidRDefault="00F27910" w:rsidP="00B756D7">
      <w:pPr>
        <w:pStyle w:val="Ttulo4"/>
        <w:numPr>
          <w:ilvl w:val="0"/>
          <w:numId w:val="0"/>
        </w:numPr>
        <w:ind w:left="1068" w:hanging="360"/>
      </w:pPr>
      <w:bookmarkStart w:id="73" w:name="_Toc27329776"/>
      <w:r w:rsidRPr="000B33B9">
        <w:t xml:space="preserve">B.2.3. </w:t>
      </w:r>
      <w:r w:rsidR="00BD156F" w:rsidRPr="000B33B9">
        <w:t>Actuación de las autoridades judiciales</w:t>
      </w:r>
      <w:bookmarkEnd w:id="73"/>
    </w:p>
    <w:p w14:paraId="526A58A2" w14:textId="77777777" w:rsidR="00BD156F" w:rsidRPr="000B33B9" w:rsidRDefault="00BD156F" w:rsidP="00B756D7">
      <w:pPr>
        <w:pStyle w:val="Prrafodelista"/>
        <w:jc w:val="both"/>
        <w:rPr>
          <w:rFonts w:ascii="Verdana" w:hAnsi="Verdana"/>
          <w:sz w:val="20"/>
          <w:szCs w:val="20"/>
          <w:lang w:val="es-DO" w:eastAsia="es-MX"/>
        </w:rPr>
      </w:pPr>
    </w:p>
    <w:p w14:paraId="54D72A13" w14:textId="4FFCE3BC" w:rsidR="00BD156F" w:rsidRPr="000B33B9" w:rsidRDefault="00BD156F" w:rsidP="00B756D7">
      <w:pPr>
        <w:pStyle w:val="Prrafodelista"/>
        <w:numPr>
          <w:ilvl w:val="0"/>
          <w:numId w:val="10"/>
        </w:numPr>
        <w:spacing w:after="0" w:line="240" w:lineRule="auto"/>
        <w:ind w:left="0" w:firstLine="0"/>
        <w:contextualSpacing w:val="0"/>
        <w:jc w:val="both"/>
        <w:rPr>
          <w:rFonts w:ascii="Verdana" w:hAnsi="Verdana"/>
          <w:sz w:val="20"/>
          <w:szCs w:val="20"/>
          <w:lang w:val="es-DO"/>
        </w:rPr>
      </w:pPr>
      <w:r w:rsidRPr="000B33B9">
        <w:rPr>
          <w:rFonts w:ascii="Verdana" w:hAnsi="Verdana"/>
          <w:sz w:val="20"/>
          <w:szCs w:val="20"/>
          <w:lang w:val="es-DO"/>
        </w:rPr>
        <w:t xml:space="preserve">En este caso, la Corte observa </w:t>
      </w:r>
      <w:r w:rsidRPr="000B33B9">
        <w:rPr>
          <w:rFonts w:ascii="Verdana" w:hAnsi="Verdana"/>
          <w:sz w:val="20"/>
          <w:szCs w:val="20"/>
          <w:lang w:val="es-DO" w:eastAsia="es-MX"/>
        </w:rPr>
        <w:t xml:space="preserve">que determinadas conductas de las autoridades judiciales dilataron el proceso de ejecución de la sentencia de 25 de octubre de 1993 hasta el punto de que, a la fecha, no se le ha dado cumplimiento a algunas de las prestaciones ordenadas. </w:t>
      </w:r>
    </w:p>
    <w:p w14:paraId="5D75F1F8" w14:textId="77777777" w:rsidR="00BD156F" w:rsidRPr="000B33B9" w:rsidRDefault="00BD156F" w:rsidP="00B756D7">
      <w:pPr>
        <w:pStyle w:val="Prrafodelista"/>
        <w:spacing w:after="0" w:line="240" w:lineRule="auto"/>
        <w:ind w:left="0"/>
        <w:contextualSpacing w:val="0"/>
        <w:jc w:val="both"/>
        <w:rPr>
          <w:rFonts w:ascii="Verdana" w:hAnsi="Verdana"/>
          <w:sz w:val="20"/>
          <w:szCs w:val="20"/>
          <w:lang w:val="es-DO"/>
        </w:rPr>
      </w:pPr>
    </w:p>
    <w:p w14:paraId="2EFE97E8" w14:textId="71AE207B" w:rsidR="0037315C" w:rsidRPr="009B2521" w:rsidRDefault="0037315C" w:rsidP="00B756D7">
      <w:pPr>
        <w:pStyle w:val="Prrafodelista"/>
        <w:numPr>
          <w:ilvl w:val="0"/>
          <w:numId w:val="10"/>
        </w:numPr>
        <w:tabs>
          <w:tab w:val="left" w:pos="709"/>
        </w:tabs>
        <w:spacing w:after="0" w:line="240" w:lineRule="auto"/>
        <w:ind w:left="0" w:firstLine="0"/>
        <w:jc w:val="both"/>
        <w:rPr>
          <w:rFonts w:ascii="Verdana" w:hAnsi="Verdana"/>
          <w:spacing w:val="-2"/>
          <w:sz w:val="20"/>
          <w:szCs w:val="20"/>
        </w:rPr>
      </w:pPr>
      <w:r w:rsidRPr="000B33B9">
        <w:rPr>
          <w:rFonts w:ascii="Verdana" w:hAnsi="Verdana"/>
          <w:sz w:val="20"/>
          <w:szCs w:val="20"/>
        </w:rPr>
        <w:t>En primer lugar, la confusión de los juzgados de ejecución en cuanto a la autoridad encargada del cumplimiento. L</w:t>
      </w:r>
      <w:r w:rsidRPr="000B33B9">
        <w:rPr>
          <w:rFonts w:ascii="Verdana" w:hAnsi="Verdana"/>
          <w:spacing w:val="-2"/>
          <w:sz w:val="20"/>
          <w:szCs w:val="20"/>
        </w:rPr>
        <w:t>a Corte recuerda que, pese a que la sentencia de 25 de octubre de 1993</w:t>
      </w:r>
      <w:r w:rsidR="00764169" w:rsidRPr="000B33B9">
        <w:rPr>
          <w:rFonts w:ascii="Verdana" w:hAnsi="Verdana"/>
          <w:spacing w:val="-2"/>
          <w:sz w:val="20"/>
          <w:szCs w:val="20"/>
        </w:rPr>
        <w:t xml:space="preserve"> declaró la inaplicación de la Tercera Disposición T</w:t>
      </w:r>
      <w:r w:rsidRPr="000B33B9">
        <w:rPr>
          <w:rFonts w:ascii="Verdana" w:hAnsi="Verdana"/>
          <w:spacing w:val="-2"/>
          <w:sz w:val="20"/>
          <w:szCs w:val="20"/>
        </w:rPr>
        <w:t>ransitoria del Decreto 673, lo que implicaba la reinstauración de la SUNAT como autoridad a cargo de la liquidación de las pensiones de los integrantes de ANCEJUB-SUNAT, el 21</w:t>
      </w:r>
      <w:r w:rsidR="00117906" w:rsidRPr="000B33B9">
        <w:rPr>
          <w:rFonts w:ascii="Verdana" w:hAnsi="Verdana"/>
          <w:spacing w:val="-2"/>
          <w:sz w:val="20"/>
          <w:szCs w:val="20"/>
        </w:rPr>
        <w:t xml:space="preserve"> de enero de 1997 el Juzgado Pre</w:t>
      </w:r>
      <w:r w:rsidRPr="000B33B9">
        <w:rPr>
          <w:rFonts w:ascii="Verdana" w:hAnsi="Verdana"/>
          <w:spacing w:val="-2"/>
          <w:sz w:val="20"/>
          <w:szCs w:val="20"/>
        </w:rPr>
        <w:t>visional ordenó el pago al</w:t>
      </w:r>
      <w:r w:rsidR="00117906" w:rsidRPr="000B33B9">
        <w:rPr>
          <w:rFonts w:ascii="Verdana" w:hAnsi="Verdana"/>
          <w:spacing w:val="-2"/>
          <w:sz w:val="20"/>
          <w:szCs w:val="20"/>
        </w:rPr>
        <w:t xml:space="preserve"> MEF</w:t>
      </w:r>
      <w:r w:rsidRPr="000B33B9">
        <w:rPr>
          <w:rFonts w:ascii="Verdana" w:hAnsi="Verdana"/>
          <w:spacing w:val="-2"/>
          <w:sz w:val="20"/>
          <w:szCs w:val="20"/>
        </w:rPr>
        <w:t xml:space="preserve">, decisión que fue confirmada el 16 de febrero de 1998 por el Primer Juzgado Corporativo. Los recursos interpuestos por el MEF contra las referidas resoluciones derivaron en la sentencia de 27 </w:t>
      </w:r>
      <w:r w:rsidRPr="009B2521">
        <w:rPr>
          <w:rFonts w:ascii="Verdana" w:hAnsi="Verdana"/>
          <w:spacing w:val="-2"/>
          <w:sz w:val="20"/>
          <w:szCs w:val="20"/>
        </w:rPr>
        <w:t xml:space="preserve">de febrero de 1998, dictada por la Sala Corporativa, </w:t>
      </w:r>
      <w:r w:rsidRPr="009B2521">
        <w:rPr>
          <w:rFonts w:ascii="Verdana" w:hAnsi="Verdana"/>
          <w:color w:val="000000"/>
          <w:spacing w:val="-2"/>
          <w:sz w:val="20"/>
          <w:szCs w:val="20"/>
        </w:rPr>
        <w:t>que las revocó y señaló que las presuntas</w:t>
      </w:r>
      <w:r w:rsidRPr="009B2521">
        <w:rPr>
          <w:rFonts w:ascii="Verdana" w:hAnsi="Verdana"/>
          <w:color w:val="000000"/>
          <w:spacing w:val="-2"/>
          <w:sz w:val="20"/>
          <w:szCs w:val="20"/>
          <w:shd w:val="clear" w:color="auto" w:fill="FFFFFF"/>
        </w:rPr>
        <w:t xml:space="preserve"> </w:t>
      </w:r>
      <w:r w:rsidRPr="009B2521">
        <w:rPr>
          <w:rFonts w:ascii="Verdana" w:hAnsi="Verdana"/>
          <w:color w:val="000000"/>
          <w:spacing w:val="-2"/>
          <w:sz w:val="20"/>
          <w:szCs w:val="20"/>
        </w:rPr>
        <w:t>víctimas debían instrumentar, de manera individual y en sede administrativa, los “</w:t>
      </w:r>
      <w:r w:rsidR="008342AF" w:rsidRPr="009B2521">
        <w:rPr>
          <w:rFonts w:ascii="Verdana" w:hAnsi="Verdana"/>
          <w:color w:val="000000"/>
          <w:spacing w:val="-2"/>
          <w:sz w:val="20"/>
          <w:szCs w:val="20"/>
        </w:rPr>
        <w:t xml:space="preserve">(…) </w:t>
      </w:r>
      <w:r w:rsidRPr="009B2521">
        <w:rPr>
          <w:rFonts w:ascii="Verdana" w:hAnsi="Verdana"/>
          <w:color w:val="000000"/>
          <w:spacing w:val="-2"/>
          <w:sz w:val="20"/>
          <w:szCs w:val="20"/>
        </w:rPr>
        <w:t>procesos en</w:t>
      </w:r>
      <w:r w:rsidRPr="009B2521">
        <w:rPr>
          <w:rFonts w:ascii="Verdana" w:hAnsi="Verdana"/>
          <w:color w:val="000000"/>
          <w:spacing w:val="-2"/>
          <w:sz w:val="20"/>
          <w:szCs w:val="20"/>
          <w:shd w:val="clear" w:color="auto" w:fill="FFFFFF"/>
        </w:rPr>
        <w:t xml:space="preserve"> </w:t>
      </w:r>
      <w:r w:rsidRPr="009B2521">
        <w:rPr>
          <w:rFonts w:ascii="Verdana" w:hAnsi="Verdana"/>
          <w:color w:val="000000"/>
          <w:spacing w:val="-2"/>
          <w:sz w:val="20"/>
          <w:szCs w:val="20"/>
        </w:rPr>
        <w:t>los que idóneamente se permita el ajuste de liquidaciones y el cabal cumplimiento de sus derechos</w:t>
      </w:r>
      <w:r w:rsidRPr="009B2521">
        <w:rPr>
          <w:rFonts w:ascii="Verdana" w:hAnsi="Verdana"/>
          <w:color w:val="000000"/>
          <w:spacing w:val="-2"/>
          <w:sz w:val="20"/>
          <w:szCs w:val="20"/>
          <w:shd w:val="clear" w:color="auto" w:fill="FFFFFF"/>
        </w:rPr>
        <w:t xml:space="preserve"> </w:t>
      </w:r>
      <w:r w:rsidRPr="009B2521">
        <w:rPr>
          <w:rFonts w:ascii="Verdana" w:hAnsi="Verdana"/>
          <w:color w:val="000000"/>
          <w:spacing w:val="-2"/>
          <w:sz w:val="20"/>
          <w:szCs w:val="20"/>
        </w:rPr>
        <w:t>reconocidos jurisdiccionalmente”</w:t>
      </w:r>
      <w:r w:rsidRPr="009B2521">
        <w:rPr>
          <w:rStyle w:val="Refdenotaalpie"/>
          <w:rFonts w:ascii="Verdana" w:hAnsi="Verdana"/>
          <w:color w:val="000000"/>
          <w:spacing w:val="-2"/>
          <w:sz w:val="20"/>
          <w:szCs w:val="20"/>
        </w:rPr>
        <w:footnoteReference w:id="213"/>
      </w:r>
      <w:r w:rsidRPr="009B2521">
        <w:rPr>
          <w:rFonts w:ascii="Verdana" w:hAnsi="Verdana"/>
          <w:color w:val="000000"/>
          <w:spacing w:val="-2"/>
          <w:sz w:val="20"/>
          <w:szCs w:val="20"/>
        </w:rPr>
        <w:t>. Conforme esta sentencia, el 2 de octubre de 1998 el Primer</w:t>
      </w:r>
      <w:r w:rsidRPr="009B2521">
        <w:rPr>
          <w:rFonts w:ascii="Verdana" w:hAnsi="Verdana"/>
          <w:color w:val="000000"/>
          <w:spacing w:val="-2"/>
          <w:sz w:val="20"/>
          <w:szCs w:val="20"/>
          <w:shd w:val="clear" w:color="auto" w:fill="FFFFFF"/>
        </w:rPr>
        <w:t xml:space="preserve"> </w:t>
      </w:r>
      <w:r w:rsidRPr="009B2521">
        <w:rPr>
          <w:rFonts w:ascii="Verdana" w:hAnsi="Verdana"/>
          <w:color w:val="000000"/>
          <w:spacing w:val="-2"/>
          <w:sz w:val="20"/>
          <w:szCs w:val="20"/>
        </w:rPr>
        <w:t>Juzgado Corporativo ordenó a las presuntas víctimas que instauraran “el pertinente trámite</w:t>
      </w:r>
      <w:r w:rsidRPr="009B2521">
        <w:rPr>
          <w:rFonts w:ascii="Verdana" w:hAnsi="Verdana"/>
          <w:color w:val="000000"/>
          <w:spacing w:val="-2"/>
          <w:sz w:val="20"/>
          <w:szCs w:val="20"/>
          <w:shd w:val="clear" w:color="auto" w:fill="FFFFFF"/>
        </w:rPr>
        <w:t xml:space="preserve"> administrativo y/o jurisdiccional en su caso”</w:t>
      </w:r>
      <w:r w:rsidRPr="009B2521">
        <w:rPr>
          <w:rStyle w:val="Refdenotaalpie"/>
          <w:rFonts w:ascii="Verdana" w:hAnsi="Verdana"/>
          <w:color w:val="000000"/>
          <w:spacing w:val="-2"/>
          <w:sz w:val="20"/>
          <w:szCs w:val="20"/>
          <w:shd w:val="clear" w:color="auto" w:fill="FFFFFF"/>
        </w:rPr>
        <w:footnoteReference w:id="214"/>
      </w:r>
      <w:r w:rsidRPr="009B2521">
        <w:rPr>
          <w:rFonts w:ascii="Verdana" w:hAnsi="Verdana"/>
          <w:color w:val="000000"/>
          <w:spacing w:val="-2"/>
          <w:sz w:val="20"/>
          <w:szCs w:val="20"/>
          <w:shd w:val="clear" w:color="auto" w:fill="FFFFFF"/>
        </w:rPr>
        <w:t xml:space="preserve">. </w:t>
      </w:r>
    </w:p>
    <w:p w14:paraId="781659B9" w14:textId="77777777" w:rsidR="0037315C" w:rsidRPr="00B756D7" w:rsidRDefault="0037315C" w:rsidP="00B756D7">
      <w:pPr>
        <w:pStyle w:val="Prrafodelista"/>
        <w:tabs>
          <w:tab w:val="left" w:pos="709"/>
        </w:tabs>
        <w:spacing w:after="0" w:line="240" w:lineRule="auto"/>
        <w:ind w:left="0"/>
        <w:jc w:val="both"/>
        <w:rPr>
          <w:rFonts w:ascii="Verdana" w:hAnsi="Verdana"/>
          <w:spacing w:val="-2"/>
          <w:sz w:val="20"/>
          <w:szCs w:val="20"/>
        </w:rPr>
      </w:pPr>
    </w:p>
    <w:p w14:paraId="0C7D0220" w14:textId="2E831AB8" w:rsidR="0037315C" w:rsidRPr="000B33B9" w:rsidRDefault="0037315C" w:rsidP="00B756D7">
      <w:pPr>
        <w:pStyle w:val="Prrafodelista"/>
        <w:numPr>
          <w:ilvl w:val="0"/>
          <w:numId w:val="10"/>
        </w:numPr>
        <w:tabs>
          <w:tab w:val="left" w:pos="709"/>
        </w:tabs>
        <w:spacing w:after="0" w:line="240" w:lineRule="auto"/>
        <w:ind w:left="0" w:firstLine="0"/>
        <w:jc w:val="both"/>
        <w:rPr>
          <w:rFonts w:ascii="Verdana" w:hAnsi="Verdana"/>
          <w:sz w:val="20"/>
          <w:szCs w:val="20"/>
        </w:rPr>
      </w:pPr>
      <w:r w:rsidRPr="009B2521">
        <w:rPr>
          <w:rFonts w:ascii="Verdana" w:hAnsi="Verdana"/>
          <w:sz w:val="20"/>
          <w:szCs w:val="20"/>
        </w:rPr>
        <w:t>L</w:t>
      </w:r>
      <w:r w:rsidRPr="009B2521">
        <w:rPr>
          <w:rFonts w:ascii="Verdana" w:hAnsi="Verdana"/>
          <w:color w:val="000000"/>
          <w:spacing w:val="-2"/>
          <w:sz w:val="20"/>
          <w:szCs w:val="20"/>
        </w:rPr>
        <w:t xml:space="preserve">a Corte observa que las referidas resoluciones </w:t>
      </w:r>
      <w:r w:rsidRPr="009B2521">
        <w:rPr>
          <w:rFonts w:ascii="Verdana" w:hAnsi="Verdana"/>
          <w:spacing w:val="-2"/>
          <w:sz w:val="20"/>
          <w:szCs w:val="20"/>
        </w:rPr>
        <w:t>no solo contribuyeron a prolo</w:t>
      </w:r>
      <w:r w:rsidR="00764169" w:rsidRPr="009B2521">
        <w:rPr>
          <w:rFonts w:ascii="Verdana" w:hAnsi="Verdana"/>
          <w:spacing w:val="-2"/>
          <w:sz w:val="20"/>
          <w:szCs w:val="20"/>
        </w:rPr>
        <w:t>n</w:t>
      </w:r>
      <w:r w:rsidRPr="009B2521">
        <w:rPr>
          <w:rFonts w:ascii="Verdana" w:hAnsi="Verdana"/>
          <w:spacing w:val="-2"/>
          <w:sz w:val="20"/>
          <w:szCs w:val="20"/>
        </w:rPr>
        <w:t>gar</w:t>
      </w:r>
      <w:r w:rsidRPr="00B756D7">
        <w:rPr>
          <w:rFonts w:ascii="Verdana" w:hAnsi="Verdana"/>
          <w:spacing w:val="-2"/>
          <w:sz w:val="20"/>
          <w:szCs w:val="20"/>
        </w:rPr>
        <w:t xml:space="preserve"> innecesariamente el proceso de ejecución, creando incertidumbre sobre un aspecto que se desprendía con claridad del dispositivo de la sentencia de 25 de octubre de 1993</w:t>
      </w:r>
      <w:r w:rsidRPr="00B756D7">
        <w:rPr>
          <w:rStyle w:val="Refdenotaalpie"/>
          <w:rFonts w:ascii="Verdana" w:hAnsi="Verdana"/>
          <w:spacing w:val="-2"/>
          <w:sz w:val="20"/>
          <w:szCs w:val="20"/>
        </w:rPr>
        <w:footnoteReference w:id="215"/>
      </w:r>
      <w:r w:rsidRPr="00B756D7">
        <w:rPr>
          <w:rFonts w:ascii="Verdana" w:hAnsi="Verdana"/>
          <w:spacing w:val="-2"/>
          <w:sz w:val="20"/>
          <w:szCs w:val="20"/>
        </w:rPr>
        <w:t>, sino que atribuyeron a las víctimas la responsabilidad de perseguir por la vía administrativa la determinación y subsecuente cobro de las pensiones niveladas y sus reintegros. El hecho de que, luego de haber agotado el recurso pertinente para la salvaguarda de sus derechos y haber obtenido una sentencia judicial que ordenó su reivindicación desde hacía aproximadamente cinco</w:t>
      </w:r>
      <w:r w:rsidRPr="000B33B9">
        <w:rPr>
          <w:rFonts w:ascii="Verdana" w:hAnsi="Verdana"/>
          <w:spacing w:val="-2"/>
          <w:sz w:val="20"/>
          <w:szCs w:val="20"/>
        </w:rPr>
        <w:t xml:space="preserve"> años, se dispusiera que las </w:t>
      </w:r>
      <w:r w:rsidR="00764169" w:rsidRPr="000B33B9">
        <w:rPr>
          <w:rFonts w:ascii="Verdana" w:hAnsi="Verdana"/>
          <w:spacing w:val="-2"/>
          <w:sz w:val="20"/>
          <w:szCs w:val="20"/>
        </w:rPr>
        <w:t xml:space="preserve">presuntas </w:t>
      </w:r>
      <w:r w:rsidRPr="000B33B9">
        <w:rPr>
          <w:rFonts w:ascii="Verdana" w:hAnsi="Verdana"/>
          <w:spacing w:val="-2"/>
          <w:sz w:val="20"/>
          <w:szCs w:val="20"/>
        </w:rPr>
        <w:t>víctimas debían interponer nuevos trámites para lograr la materialización de los mismos, supone el traslado a las</w:t>
      </w:r>
      <w:r w:rsidR="00764169" w:rsidRPr="000B33B9">
        <w:rPr>
          <w:rFonts w:ascii="Verdana" w:hAnsi="Verdana"/>
          <w:spacing w:val="-2"/>
          <w:sz w:val="20"/>
          <w:szCs w:val="20"/>
        </w:rPr>
        <w:t xml:space="preserve"> presuntas</w:t>
      </w:r>
      <w:r w:rsidRPr="000B33B9">
        <w:rPr>
          <w:rFonts w:ascii="Verdana" w:hAnsi="Verdana"/>
          <w:spacing w:val="-2"/>
          <w:sz w:val="20"/>
          <w:szCs w:val="20"/>
        </w:rPr>
        <w:t xml:space="preserve"> víctimas de la obligación que posee el Estado de procurar los medios para ejecutar las decisiones emitidas por las autoridades competentes. </w:t>
      </w:r>
    </w:p>
    <w:p w14:paraId="32C7391A" w14:textId="77777777" w:rsidR="0037315C" w:rsidRPr="000B33B9" w:rsidRDefault="0037315C" w:rsidP="00B756D7">
      <w:pPr>
        <w:pStyle w:val="Prrafodelista"/>
        <w:rPr>
          <w:rFonts w:ascii="Verdana" w:hAnsi="Verdana"/>
          <w:sz w:val="20"/>
          <w:szCs w:val="20"/>
          <w:highlight w:val="lightGray"/>
        </w:rPr>
      </w:pPr>
    </w:p>
    <w:p w14:paraId="1FE66C1F" w14:textId="7683D9EE" w:rsidR="0037315C" w:rsidRPr="000B33B9" w:rsidRDefault="0037315C" w:rsidP="00B756D7">
      <w:pPr>
        <w:pStyle w:val="Prrafodelista"/>
        <w:numPr>
          <w:ilvl w:val="0"/>
          <w:numId w:val="10"/>
        </w:numPr>
        <w:tabs>
          <w:tab w:val="left" w:pos="709"/>
        </w:tabs>
        <w:spacing w:after="0" w:line="240" w:lineRule="auto"/>
        <w:ind w:left="0" w:firstLine="0"/>
        <w:jc w:val="both"/>
        <w:rPr>
          <w:rFonts w:ascii="Verdana" w:hAnsi="Verdana"/>
          <w:spacing w:val="-2"/>
          <w:sz w:val="20"/>
          <w:szCs w:val="20"/>
        </w:rPr>
      </w:pPr>
      <w:r w:rsidRPr="00B756D7">
        <w:rPr>
          <w:rFonts w:ascii="Verdana" w:hAnsi="Verdana"/>
          <w:sz w:val="20"/>
          <w:szCs w:val="20"/>
        </w:rPr>
        <w:t>La Corte estima que la necesidad de que se agotaran otras vías para el cumplimiento de las propias obligaciones estatales establecidas en la sentencia de 25 de octubre de 1993, en vez de propiciar su ejecución, las entorpeció</w:t>
      </w:r>
      <w:r w:rsidRPr="00B756D7">
        <w:rPr>
          <w:rStyle w:val="Refdenotaalpie"/>
          <w:rFonts w:ascii="Verdana" w:hAnsi="Verdana"/>
          <w:sz w:val="20"/>
          <w:szCs w:val="20"/>
        </w:rPr>
        <w:footnoteReference w:id="216"/>
      </w:r>
      <w:r w:rsidRPr="00B756D7">
        <w:rPr>
          <w:rFonts w:ascii="Verdana" w:hAnsi="Verdana"/>
          <w:sz w:val="20"/>
          <w:szCs w:val="20"/>
        </w:rPr>
        <w:t>, sobre todo porque las referidas resoluciones no especificaron los trámites que habrían de interponerse ni la autoridad ante la cual los mismos</w:t>
      </w:r>
      <w:r w:rsidRPr="000B33B9">
        <w:rPr>
          <w:rFonts w:ascii="Verdana" w:hAnsi="Verdana"/>
          <w:sz w:val="20"/>
          <w:szCs w:val="20"/>
        </w:rPr>
        <w:t xml:space="preserve"> tendrían lugar. Esto habr</w:t>
      </w:r>
      <w:r w:rsidRPr="000B33B9">
        <w:rPr>
          <w:rFonts w:ascii="Verdana" w:hAnsi="Verdana"/>
          <w:sz w:val="20"/>
          <w:szCs w:val="20"/>
          <w:lang w:val="es-DO"/>
        </w:rPr>
        <w:t>ía resultado</w:t>
      </w:r>
      <w:r w:rsidRPr="000B33B9">
        <w:rPr>
          <w:rFonts w:ascii="Verdana" w:hAnsi="Verdana"/>
          <w:sz w:val="20"/>
          <w:szCs w:val="20"/>
        </w:rPr>
        <w:t xml:space="preserve"> en un esfuerzo desmedido o exagerado en detrimento de los miembros de ANCEJUB-SUNAT, quienes después de haber obtenido un fallo en su favor se vieron obligados a presentar una segunda acción de amparo a fin de revocar las indicadas resoluciones. Así, </w:t>
      </w:r>
      <w:r w:rsidRPr="000B33B9">
        <w:rPr>
          <w:rFonts w:ascii="Verdana" w:hAnsi="Verdana"/>
          <w:sz w:val="20"/>
          <w:szCs w:val="20"/>
          <w:lang w:val="es-DO" w:eastAsia="es-MX"/>
        </w:rPr>
        <w:t>como consecuencia de las citadas resoluciones</w:t>
      </w:r>
      <w:r w:rsidRPr="000B33B9">
        <w:rPr>
          <w:rStyle w:val="Refdenotaalpie"/>
          <w:rFonts w:ascii="Verdana" w:hAnsi="Verdana"/>
          <w:sz w:val="20"/>
          <w:szCs w:val="20"/>
          <w:lang w:val="es-DO"/>
        </w:rPr>
        <w:footnoteReference w:id="217"/>
      </w:r>
      <w:r w:rsidRPr="000B33B9">
        <w:rPr>
          <w:rFonts w:ascii="Verdana" w:hAnsi="Verdana"/>
          <w:sz w:val="20"/>
          <w:szCs w:val="20"/>
          <w:lang w:val="es-DO" w:eastAsia="es-MX"/>
        </w:rPr>
        <w:t xml:space="preserve">, las </w:t>
      </w:r>
      <w:r w:rsidR="00764169" w:rsidRPr="000B33B9">
        <w:rPr>
          <w:rFonts w:ascii="Verdana" w:hAnsi="Verdana"/>
          <w:sz w:val="20"/>
          <w:szCs w:val="20"/>
          <w:lang w:val="es-DO" w:eastAsia="es-MX"/>
        </w:rPr>
        <w:t xml:space="preserve">presuntas </w:t>
      </w:r>
      <w:r w:rsidRPr="000B33B9">
        <w:rPr>
          <w:rFonts w:ascii="Verdana" w:hAnsi="Verdana"/>
          <w:sz w:val="20"/>
          <w:szCs w:val="20"/>
          <w:lang w:val="es-DO" w:eastAsia="es-MX"/>
        </w:rPr>
        <w:t>víctimas tuvieron que interponer nuevas acciones judiciales</w:t>
      </w:r>
      <w:r w:rsidRPr="000B33B9">
        <w:rPr>
          <w:rStyle w:val="Refdenotaalpie"/>
          <w:rFonts w:ascii="Verdana" w:hAnsi="Verdana"/>
          <w:sz w:val="20"/>
          <w:szCs w:val="20"/>
          <w:lang w:val="es-ES"/>
        </w:rPr>
        <w:footnoteReference w:id="218"/>
      </w:r>
      <w:r w:rsidRPr="000B33B9">
        <w:rPr>
          <w:rFonts w:ascii="Verdana" w:hAnsi="Verdana"/>
          <w:sz w:val="20"/>
          <w:szCs w:val="20"/>
          <w:lang w:val="es-ES"/>
        </w:rPr>
        <w:t xml:space="preserve"> </w:t>
      </w:r>
      <w:r w:rsidRPr="000B33B9">
        <w:rPr>
          <w:rFonts w:ascii="Verdana" w:hAnsi="Verdana"/>
          <w:sz w:val="20"/>
          <w:szCs w:val="20"/>
          <w:lang w:val="es-DO" w:eastAsia="es-MX"/>
        </w:rPr>
        <w:t xml:space="preserve">para lograr que la ejecución retornara al estado en que se encontraba al momento de expedirse la sentencia de 25 de junio de 1996, lo cual no sucedería sino hasta cinco años después con </w:t>
      </w:r>
      <w:r w:rsidR="008342AF" w:rsidRPr="000B33B9">
        <w:rPr>
          <w:rFonts w:ascii="Verdana" w:hAnsi="Verdana"/>
          <w:sz w:val="20"/>
          <w:szCs w:val="20"/>
        </w:rPr>
        <w:t xml:space="preserve">ocasión de la </w:t>
      </w:r>
      <w:r w:rsidR="008342AF" w:rsidRPr="000B33B9">
        <w:rPr>
          <w:rFonts w:ascii="Verdana" w:hAnsi="Verdana"/>
          <w:sz w:val="20"/>
          <w:szCs w:val="20"/>
          <w:lang w:val="es-DO"/>
        </w:rPr>
        <w:t>sentencia</w:t>
      </w:r>
      <w:r w:rsidRPr="000B33B9">
        <w:rPr>
          <w:rFonts w:ascii="Verdana" w:hAnsi="Verdana"/>
          <w:sz w:val="20"/>
          <w:szCs w:val="20"/>
          <w:lang w:val="es-DO"/>
        </w:rPr>
        <w:t xml:space="preserve"> expedida el 10 de mayo de 2001 por el Tribunal Constitucional, en la que reconoció precisamente que las referidas decisiones “</w:t>
      </w:r>
      <w:r w:rsidR="008342AF" w:rsidRPr="000B33B9">
        <w:rPr>
          <w:rFonts w:ascii="Verdana" w:hAnsi="Verdana"/>
          <w:sz w:val="20"/>
          <w:szCs w:val="20"/>
          <w:lang w:val="es-DO"/>
        </w:rPr>
        <w:t xml:space="preserve">(…) </w:t>
      </w:r>
      <w:r w:rsidRPr="000B33B9">
        <w:rPr>
          <w:rFonts w:ascii="Verdana" w:hAnsi="Verdana"/>
          <w:sz w:val="20"/>
          <w:szCs w:val="20"/>
          <w:lang w:val="es-DO"/>
        </w:rPr>
        <w:t>preten[dían] dejar sin efecto la resolución del Juzgado Provisional (…) que ordena cumplir la ejecutoria suprema de fecha [25] de octubre de [1993]”</w:t>
      </w:r>
      <w:r w:rsidRPr="000B33B9">
        <w:rPr>
          <w:rStyle w:val="Refdenotaalpie"/>
          <w:rFonts w:ascii="Verdana" w:hAnsi="Verdana"/>
          <w:sz w:val="20"/>
          <w:szCs w:val="20"/>
          <w:lang w:val="es-DO"/>
        </w:rPr>
        <w:footnoteReference w:id="219"/>
      </w:r>
      <w:r w:rsidRPr="000B33B9">
        <w:rPr>
          <w:rFonts w:ascii="Verdana" w:hAnsi="Verdana"/>
          <w:sz w:val="20"/>
          <w:szCs w:val="20"/>
          <w:lang w:val="es-DO"/>
        </w:rPr>
        <w:t>.</w:t>
      </w:r>
    </w:p>
    <w:p w14:paraId="65CE9449" w14:textId="77777777" w:rsidR="0037315C" w:rsidRPr="000B33B9" w:rsidRDefault="0037315C" w:rsidP="00B756D7">
      <w:pPr>
        <w:tabs>
          <w:tab w:val="left" w:pos="709"/>
        </w:tabs>
        <w:spacing w:after="0" w:line="240" w:lineRule="auto"/>
        <w:jc w:val="both"/>
        <w:rPr>
          <w:rFonts w:ascii="Verdana" w:eastAsia="Calibri" w:hAnsi="Verdana" w:cs="Times New Roman"/>
          <w:sz w:val="20"/>
          <w:szCs w:val="20"/>
          <w:lang w:val="es-DO" w:eastAsia="es-ES"/>
        </w:rPr>
      </w:pPr>
    </w:p>
    <w:p w14:paraId="411BA91C" w14:textId="6A6D7746" w:rsidR="0037315C" w:rsidRPr="000B33B9" w:rsidRDefault="0037315C" w:rsidP="00B756D7">
      <w:pPr>
        <w:pStyle w:val="Prrafodelista"/>
        <w:numPr>
          <w:ilvl w:val="0"/>
          <w:numId w:val="10"/>
        </w:numPr>
        <w:spacing w:after="0" w:line="240" w:lineRule="auto"/>
        <w:ind w:left="0" w:firstLine="0"/>
        <w:contextualSpacing w:val="0"/>
        <w:jc w:val="both"/>
        <w:rPr>
          <w:rFonts w:ascii="Verdana" w:hAnsi="Verdana"/>
          <w:sz w:val="20"/>
          <w:szCs w:val="20"/>
          <w:lang w:val="es-DO"/>
        </w:rPr>
      </w:pPr>
      <w:r w:rsidRPr="000B33B9">
        <w:rPr>
          <w:rFonts w:ascii="Verdana" w:eastAsia="Calibri" w:hAnsi="Verdana" w:cs="Times New Roman"/>
          <w:sz w:val="20"/>
          <w:szCs w:val="20"/>
          <w:lang w:val="es-DO" w:eastAsia="es-ES"/>
        </w:rPr>
        <w:t>En segundo</w:t>
      </w:r>
      <w:r w:rsidR="00764169" w:rsidRPr="000B33B9">
        <w:rPr>
          <w:rFonts w:ascii="Verdana" w:eastAsia="Calibri" w:hAnsi="Verdana" w:cs="Times New Roman"/>
          <w:sz w:val="20"/>
          <w:szCs w:val="20"/>
          <w:lang w:val="es-DO" w:eastAsia="es-ES"/>
        </w:rPr>
        <w:t xml:space="preserve"> lugar, el Tribunal observa que</w:t>
      </w:r>
      <w:r w:rsidRPr="000B33B9">
        <w:rPr>
          <w:rFonts w:ascii="Verdana" w:eastAsia="Calibri" w:hAnsi="Verdana" w:cs="Times New Roman"/>
          <w:sz w:val="20"/>
          <w:szCs w:val="20"/>
          <w:lang w:val="es-DO" w:eastAsia="es-ES"/>
        </w:rPr>
        <w:t xml:space="preserve"> el 25 de octubre de 2006 se ordenó la elaboración de un nuevo peritaje</w:t>
      </w:r>
      <w:r w:rsidRPr="000B33B9">
        <w:rPr>
          <w:rStyle w:val="Refdenotaalpie"/>
          <w:rFonts w:ascii="Verdana" w:eastAsia="Calibri" w:hAnsi="Verdana" w:cs="Times New Roman"/>
          <w:sz w:val="20"/>
          <w:szCs w:val="20"/>
          <w:lang w:val="es-ES" w:eastAsia="es-ES"/>
        </w:rPr>
        <w:footnoteReference w:id="220"/>
      </w:r>
      <w:r w:rsidRPr="000B33B9">
        <w:rPr>
          <w:rFonts w:ascii="Verdana" w:eastAsia="Calibri" w:hAnsi="Verdana" w:cs="Times New Roman"/>
          <w:sz w:val="20"/>
          <w:szCs w:val="20"/>
          <w:lang w:val="es-DO" w:eastAsia="es-ES"/>
        </w:rPr>
        <w:t xml:space="preserve"> a cargo de la Oficina </w:t>
      </w:r>
      <w:r w:rsidRPr="000B33B9">
        <w:rPr>
          <w:rFonts w:ascii="Verdana" w:eastAsia="Calibri" w:hAnsi="Verdana" w:cs="Times New Roman"/>
          <w:sz w:val="20"/>
          <w:szCs w:val="20"/>
          <w:lang w:val="es-ES" w:eastAsia="es-ES"/>
        </w:rPr>
        <w:t>de Pericias Judiciales, pero transcurrió un año para que el expediente fuera remitido a dicha institución</w:t>
      </w:r>
      <w:r w:rsidRPr="000B33B9">
        <w:rPr>
          <w:rStyle w:val="Refdenotaalpie"/>
          <w:rFonts w:ascii="Verdana" w:eastAsia="Calibri" w:hAnsi="Verdana" w:cs="Times New Roman"/>
          <w:sz w:val="20"/>
          <w:szCs w:val="20"/>
          <w:lang w:val="es-ES" w:eastAsia="es-ES"/>
        </w:rPr>
        <w:footnoteReference w:id="221"/>
      </w:r>
      <w:r w:rsidRPr="000B33B9">
        <w:rPr>
          <w:rFonts w:ascii="Verdana" w:eastAsia="Calibri" w:hAnsi="Verdana" w:cs="Times New Roman"/>
          <w:sz w:val="20"/>
          <w:szCs w:val="20"/>
          <w:lang w:val="es-ES" w:eastAsia="es-ES"/>
        </w:rPr>
        <w:t xml:space="preserve"> y que, una vez allí, pasó otro año para que el equipo técnico de la Corte Superior de Justicia de Lima determinara, el 6 de octubre de 2008, que no podía encargarse de realizarlo y que el expediente debía ser enviado al </w:t>
      </w:r>
      <w:r w:rsidR="00764169" w:rsidRPr="000B33B9">
        <w:rPr>
          <w:rFonts w:ascii="Verdana" w:eastAsia="Calibri" w:hAnsi="Verdana" w:cs="Times New Roman"/>
          <w:sz w:val="20"/>
          <w:szCs w:val="20"/>
          <w:lang w:val="es-ES" w:eastAsia="es-ES"/>
        </w:rPr>
        <w:t>REPEJ</w:t>
      </w:r>
      <w:r w:rsidRPr="000B33B9">
        <w:rPr>
          <w:rStyle w:val="Refdenotaalpie"/>
          <w:rFonts w:ascii="Verdana" w:eastAsia="Calibri" w:hAnsi="Verdana" w:cs="Times New Roman"/>
          <w:sz w:val="20"/>
          <w:szCs w:val="20"/>
          <w:lang w:val="es-ES" w:eastAsia="es-ES"/>
        </w:rPr>
        <w:footnoteReference w:id="222"/>
      </w:r>
      <w:r w:rsidRPr="000B33B9">
        <w:rPr>
          <w:rFonts w:ascii="Verdana" w:eastAsia="Calibri" w:hAnsi="Verdana" w:cs="Times New Roman"/>
          <w:sz w:val="20"/>
          <w:szCs w:val="20"/>
          <w:lang w:val="es-ES" w:eastAsia="es-ES"/>
        </w:rPr>
        <w:t>. Al respecto, la Corte observa que transcurrieron cinco años desde que se ordenó la realización del nuevo informe pericial hasta que fue finalmente presentado en octubre de 2011</w:t>
      </w:r>
      <w:r w:rsidRPr="000B33B9">
        <w:rPr>
          <w:rStyle w:val="Refdenotaalpie"/>
          <w:rFonts w:ascii="Verdana" w:hAnsi="Verdana"/>
          <w:sz w:val="20"/>
          <w:szCs w:val="20"/>
          <w:lang w:val="es-ES"/>
        </w:rPr>
        <w:footnoteReference w:id="223"/>
      </w:r>
      <w:r w:rsidRPr="000B33B9">
        <w:rPr>
          <w:rFonts w:ascii="Verdana" w:eastAsia="Calibri" w:hAnsi="Verdana" w:cs="Times New Roman"/>
          <w:sz w:val="20"/>
          <w:szCs w:val="20"/>
          <w:lang w:val="es-ES" w:eastAsia="es-ES"/>
        </w:rPr>
        <w:t xml:space="preserve">. </w:t>
      </w:r>
    </w:p>
    <w:p w14:paraId="5D3362EC" w14:textId="77777777" w:rsidR="0037315C" w:rsidRPr="000B33B9" w:rsidRDefault="0037315C" w:rsidP="00B756D7">
      <w:pPr>
        <w:pStyle w:val="Prrafodelista"/>
        <w:jc w:val="both"/>
        <w:rPr>
          <w:rFonts w:ascii="Verdana" w:eastAsia="Calibri" w:hAnsi="Verdana" w:cs="Times New Roman"/>
          <w:sz w:val="20"/>
          <w:szCs w:val="20"/>
          <w:lang w:val="es-ES" w:eastAsia="es-ES"/>
        </w:rPr>
      </w:pPr>
    </w:p>
    <w:p w14:paraId="1766EA14" w14:textId="09E009F7" w:rsidR="0037315C" w:rsidRPr="000B33B9" w:rsidRDefault="0037315C" w:rsidP="00B756D7">
      <w:pPr>
        <w:pStyle w:val="Prrafodelista"/>
        <w:numPr>
          <w:ilvl w:val="0"/>
          <w:numId w:val="10"/>
        </w:numPr>
        <w:spacing w:after="0" w:line="240" w:lineRule="auto"/>
        <w:ind w:left="0" w:firstLine="0"/>
        <w:contextualSpacing w:val="0"/>
        <w:jc w:val="both"/>
        <w:rPr>
          <w:rFonts w:ascii="Verdana" w:hAnsi="Verdana"/>
          <w:sz w:val="20"/>
          <w:szCs w:val="20"/>
          <w:lang w:val="es-DO"/>
        </w:rPr>
      </w:pPr>
      <w:r w:rsidRPr="000B33B9">
        <w:rPr>
          <w:rFonts w:ascii="Verdana" w:eastAsia="Calibri" w:hAnsi="Verdana" w:cs="Times New Roman"/>
          <w:sz w:val="20"/>
          <w:szCs w:val="20"/>
          <w:lang w:val="es-ES" w:eastAsia="es-ES"/>
        </w:rPr>
        <w:t xml:space="preserve">En tercer lugar, la Corte advierte que el expediente se mantuvo inactivo por espacio de un año desde que, en marzo de 2015, fue recibido por el Segundo Juzgado </w:t>
      </w:r>
      <w:r w:rsidR="00764169" w:rsidRPr="000B33B9">
        <w:rPr>
          <w:rFonts w:ascii="Verdana" w:eastAsia="Calibri" w:hAnsi="Verdana" w:cs="Times New Roman"/>
          <w:sz w:val="20"/>
          <w:szCs w:val="20"/>
          <w:lang w:val="es-ES" w:eastAsia="es-ES"/>
        </w:rPr>
        <w:t>Civil</w:t>
      </w:r>
      <w:r w:rsidRPr="000B33B9">
        <w:rPr>
          <w:rStyle w:val="Refdenotaalpie"/>
          <w:rFonts w:ascii="Verdana" w:eastAsia="Calibri" w:hAnsi="Verdana" w:cs="Times New Roman"/>
          <w:sz w:val="20"/>
          <w:szCs w:val="20"/>
          <w:lang w:val="es-ES" w:eastAsia="es-ES"/>
        </w:rPr>
        <w:footnoteReference w:id="224"/>
      </w:r>
      <w:r w:rsidRPr="000B33B9">
        <w:rPr>
          <w:rFonts w:ascii="Verdana" w:eastAsia="Calibri" w:hAnsi="Verdana" w:cs="Times New Roman"/>
          <w:sz w:val="20"/>
          <w:szCs w:val="20"/>
          <w:lang w:val="es-ES" w:eastAsia="es-ES"/>
        </w:rPr>
        <w:t xml:space="preserve"> hasta que, en julio de 2016, se dispuso la celebración de una audiencia pública para dirimir las observaciones de las partes, y que a partir de entonces transcurrió otro año para que dicho tribunal estatuyera sobre la aprobación del peritaje</w:t>
      </w:r>
      <w:r w:rsidRPr="000B33B9">
        <w:rPr>
          <w:rStyle w:val="Refdenotaalpie"/>
          <w:rFonts w:ascii="Verdana" w:hAnsi="Verdana"/>
          <w:sz w:val="20"/>
          <w:szCs w:val="20"/>
          <w:lang w:val="es-ES"/>
        </w:rPr>
        <w:footnoteReference w:id="225"/>
      </w:r>
      <w:r w:rsidRPr="000B33B9">
        <w:rPr>
          <w:rFonts w:ascii="Verdana" w:eastAsia="Calibri" w:hAnsi="Verdana" w:cs="Times New Roman"/>
          <w:sz w:val="20"/>
          <w:szCs w:val="20"/>
          <w:lang w:val="es-ES" w:eastAsia="es-ES"/>
        </w:rPr>
        <w:t xml:space="preserve">. De igual modo, la Corte reitera que han transcurrido dos años desde que dicho peritaje fue aprobado en junio de 2017 sin que a la fecha el Estado haya pagado a las víctimas los reintegros relativos a la nivelación de sus pensiones. </w:t>
      </w:r>
    </w:p>
    <w:p w14:paraId="622EBBC8" w14:textId="77777777" w:rsidR="0037315C" w:rsidRPr="000B33B9" w:rsidRDefault="0037315C" w:rsidP="00B756D7">
      <w:pPr>
        <w:pStyle w:val="Prrafodelista"/>
        <w:jc w:val="both"/>
        <w:rPr>
          <w:rFonts w:ascii="Verdana" w:eastAsia="Calibri" w:hAnsi="Verdana" w:cs="Times New Roman"/>
          <w:sz w:val="20"/>
          <w:szCs w:val="20"/>
          <w:lang w:val="es-ES" w:eastAsia="es-ES"/>
        </w:rPr>
      </w:pPr>
    </w:p>
    <w:p w14:paraId="3B6CB89E" w14:textId="62DCF57C" w:rsidR="00BD156F" w:rsidRPr="000864AE" w:rsidRDefault="0037315C" w:rsidP="000864AE">
      <w:pPr>
        <w:pStyle w:val="Prrafodelista"/>
        <w:numPr>
          <w:ilvl w:val="0"/>
          <w:numId w:val="10"/>
        </w:numPr>
        <w:spacing w:after="0" w:line="240" w:lineRule="auto"/>
        <w:ind w:left="0" w:firstLine="0"/>
        <w:contextualSpacing w:val="0"/>
        <w:jc w:val="both"/>
        <w:rPr>
          <w:rFonts w:ascii="Verdana" w:hAnsi="Verdana"/>
          <w:sz w:val="20"/>
          <w:szCs w:val="20"/>
          <w:lang w:val="es-DO"/>
        </w:rPr>
      </w:pPr>
      <w:r w:rsidRPr="000B33B9">
        <w:rPr>
          <w:rFonts w:ascii="Verdana" w:eastAsia="Calibri" w:hAnsi="Verdana" w:cs="Times New Roman"/>
          <w:sz w:val="20"/>
          <w:szCs w:val="20"/>
          <w:lang w:val="es-ES" w:eastAsia="es-ES"/>
        </w:rPr>
        <w:t xml:space="preserve">En consecuencia, el Tribunal estima que, pese a haberse dictado </w:t>
      </w:r>
      <w:r w:rsidRPr="000B33B9">
        <w:rPr>
          <w:rFonts w:ascii="Verdana" w:hAnsi="Verdana"/>
          <w:sz w:val="20"/>
          <w:szCs w:val="20"/>
          <w:lang w:val="es-DO"/>
        </w:rPr>
        <w:t xml:space="preserve">tres sentencias judiciales firmes a favor de las </w:t>
      </w:r>
      <w:r w:rsidR="00764169" w:rsidRPr="000B33B9">
        <w:rPr>
          <w:rFonts w:ascii="Verdana" w:hAnsi="Verdana"/>
          <w:sz w:val="20"/>
          <w:szCs w:val="20"/>
          <w:lang w:val="es-DO"/>
        </w:rPr>
        <w:t xml:space="preserve">presuntas </w:t>
      </w:r>
      <w:r w:rsidRPr="000B33B9">
        <w:rPr>
          <w:rFonts w:ascii="Verdana" w:hAnsi="Verdana"/>
          <w:sz w:val="20"/>
          <w:szCs w:val="20"/>
          <w:lang w:val="es-DO"/>
        </w:rPr>
        <w:t xml:space="preserve">víctimas, las autoridades judiciales no garantizaron los </w:t>
      </w:r>
      <w:r w:rsidRPr="000864AE">
        <w:rPr>
          <w:rFonts w:ascii="Verdana" w:hAnsi="Verdana"/>
          <w:sz w:val="20"/>
          <w:szCs w:val="20"/>
          <w:lang w:val="es-DO"/>
        </w:rPr>
        <w:t>medios ni tomaron las medidas conducentes a lograr el cumplimento de las indicadas decisiones en un plazo razonable, evidenciándose su ineficacia para resolver las vicisitudes planteadas en el proceso de ejecución</w:t>
      </w:r>
      <w:r w:rsidRPr="000864AE">
        <w:rPr>
          <w:rStyle w:val="Refdenotaalpie"/>
          <w:rFonts w:ascii="Verdana" w:hAnsi="Verdana"/>
          <w:sz w:val="20"/>
          <w:szCs w:val="20"/>
          <w:lang w:val="es-DO"/>
        </w:rPr>
        <w:footnoteReference w:id="226"/>
      </w:r>
      <w:r w:rsidRPr="000864AE">
        <w:rPr>
          <w:rFonts w:ascii="Verdana" w:hAnsi="Verdana"/>
          <w:sz w:val="20"/>
          <w:szCs w:val="20"/>
          <w:lang w:val="es-DO"/>
        </w:rPr>
        <w:t xml:space="preserve">. </w:t>
      </w:r>
      <w:r w:rsidRPr="000864AE">
        <w:rPr>
          <w:rFonts w:ascii="Verdana" w:hAnsi="Verdana"/>
          <w:sz w:val="20"/>
          <w:szCs w:val="20"/>
        </w:rPr>
        <w:t>De este modo, la Corte advierte que el hecho de que todavía no haya culminado el proceso de ejecución de la sentencia, quedando obligaciones pendientes de saldo, puede atribuirse a las dilaciones ocasionadas por el Estado, entre las cuales se destacan: a) la incertidumbre creada por las resoluciones internas en cuanto a la autoridad encargada de cumplir la sen</w:t>
      </w:r>
      <w:r w:rsidR="00764169" w:rsidRPr="000864AE">
        <w:rPr>
          <w:rFonts w:ascii="Verdana" w:hAnsi="Verdana"/>
          <w:sz w:val="20"/>
          <w:szCs w:val="20"/>
        </w:rPr>
        <w:t>tencia de 25 de octubre de 1993;</w:t>
      </w:r>
      <w:r w:rsidRPr="000864AE">
        <w:rPr>
          <w:rFonts w:ascii="Verdana" w:hAnsi="Verdana"/>
          <w:sz w:val="20"/>
          <w:szCs w:val="20"/>
        </w:rPr>
        <w:t xml:space="preserve"> b) la perentoriedad de interponer trámites adicionales en la vía administrativa para procurar la eje</w:t>
      </w:r>
      <w:r w:rsidR="00764169" w:rsidRPr="000864AE">
        <w:rPr>
          <w:rFonts w:ascii="Verdana" w:hAnsi="Verdana"/>
          <w:sz w:val="20"/>
          <w:szCs w:val="20"/>
        </w:rPr>
        <w:t>cución de la indicada sentencia;</w:t>
      </w:r>
      <w:r w:rsidRPr="000864AE">
        <w:rPr>
          <w:rFonts w:ascii="Verdana" w:hAnsi="Verdana"/>
          <w:sz w:val="20"/>
          <w:szCs w:val="20"/>
        </w:rPr>
        <w:t xml:space="preserve"> c) la demora injustificada en cuanto a la elaboración del peritaje de 18 de octubre de 2011</w:t>
      </w:r>
      <w:r w:rsidR="00421CB6" w:rsidRPr="000864AE">
        <w:rPr>
          <w:rFonts w:ascii="Verdana" w:hAnsi="Verdana"/>
          <w:sz w:val="20"/>
          <w:szCs w:val="20"/>
        </w:rPr>
        <w:t>,</w:t>
      </w:r>
      <w:r w:rsidRPr="000864AE">
        <w:rPr>
          <w:rFonts w:ascii="Verdana" w:hAnsi="Verdana"/>
          <w:sz w:val="20"/>
          <w:szCs w:val="20"/>
        </w:rPr>
        <w:t xml:space="preserve"> y d) la inercia de los juzgados de ejecución que mantuvo inactivo el expediente en determinados periodos de más de </w:t>
      </w:r>
      <w:r w:rsidR="00764169" w:rsidRPr="000864AE">
        <w:rPr>
          <w:rFonts w:ascii="Verdana" w:hAnsi="Verdana"/>
          <w:sz w:val="20"/>
          <w:szCs w:val="20"/>
        </w:rPr>
        <w:t>un</w:t>
      </w:r>
      <w:r w:rsidRPr="000864AE">
        <w:rPr>
          <w:rFonts w:ascii="Verdana" w:hAnsi="Verdana"/>
          <w:sz w:val="20"/>
          <w:szCs w:val="20"/>
        </w:rPr>
        <w:t xml:space="preserve"> año. Por consiguiente, en el proceso de ejecución existieron demoras y periodos de inactividad atribuibles en su totalidad al Estado.</w:t>
      </w:r>
    </w:p>
    <w:p w14:paraId="54F369CD" w14:textId="77777777" w:rsidR="00BD156F" w:rsidRPr="000864AE" w:rsidRDefault="00BD156F" w:rsidP="000864AE">
      <w:pPr>
        <w:pStyle w:val="Default"/>
        <w:jc w:val="both"/>
        <w:rPr>
          <w:sz w:val="20"/>
          <w:szCs w:val="20"/>
          <w:lang w:val="es-ES"/>
        </w:rPr>
      </w:pPr>
    </w:p>
    <w:p w14:paraId="192EC69A" w14:textId="77B3437A" w:rsidR="00BD156F" w:rsidRPr="000864AE" w:rsidRDefault="00F27910" w:rsidP="000864AE">
      <w:pPr>
        <w:pStyle w:val="Ttulo4"/>
        <w:numPr>
          <w:ilvl w:val="0"/>
          <w:numId w:val="0"/>
        </w:numPr>
        <w:ind w:left="1068" w:hanging="360"/>
        <w:rPr>
          <w:lang w:val="es-DO"/>
        </w:rPr>
      </w:pPr>
      <w:bookmarkStart w:id="74" w:name="_Toc27329777"/>
      <w:r w:rsidRPr="000864AE">
        <w:rPr>
          <w:lang w:val="es-DO"/>
        </w:rPr>
        <w:t xml:space="preserve">B.2.4. </w:t>
      </w:r>
      <w:r w:rsidR="00BD156F" w:rsidRPr="000864AE">
        <w:rPr>
          <w:lang w:val="es-DO"/>
        </w:rPr>
        <w:t>Afectación generada</w:t>
      </w:r>
      <w:bookmarkEnd w:id="74"/>
      <w:r w:rsidR="00BD156F" w:rsidRPr="000864AE">
        <w:rPr>
          <w:lang w:val="es-DO"/>
        </w:rPr>
        <w:t xml:space="preserve"> </w:t>
      </w:r>
    </w:p>
    <w:p w14:paraId="3285AF5A" w14:textId="77777777" w:rsidR="00BD156F" w:rsidRPr="000864AE" w:rsidRDefault="00BD156F" w:rsidP="000864AE">
      <w:pPr>
        <w:spacing w:after="0" w:line="240" w:lineRule="auto"/>
        <w:jc w:val="both"/>
        <w:rPr>
          <w:rFonts w:ascii="Verdana" w:hAnsi="Verdana"/>
          <w:sz w:val="20"/>
          <w:szCs w:val="20"/>
          <w:lang w:val="es-DO"/>
        </w:rPr>
      </w:pPr>
    </w:p>
    <w:p w14:paraId="05910EB7" w14:textId="250E94F1" w:rsidR="00BD156F" w:rsidRPr="000864AE" w:rsidRDefault="00BD156F" w:rsidP="000864AE">
      <w:pPr>
        <w:pStyle w:val="Prrafodelista"/>
        <w:numPr>
          <w:ilvl w:val="0"/>
          <w:numId w:val="10"/>
        </w:numPr>
        <w:spacing w:after="0" w:line="240" w:lineRule="auto"/>
        <w:ind w:left="0" w:firstLine="0"/>
        <w:jc w:val="both"/>
        <w:rPr>
          <w:rFonts w:ascii="Verdana" w:hAnsi="Verdana"/>
          <w:sz w:val="20"/>
          <w:szCs w:val="20"/>
        </w:rPr>
      </w:pPr>
      <w:r w:rsidRPr="000864AE">
        <w:rPr>
          <w:rFonts w:ascii="Verdana" w:hAnsi="Verdana"/>
          <w:sz w:val="20"/>
          <w:szCs w:val="20"/>
        </w:rPr>
        <w:t>En referencia al cuarto elemento, la Corte ha afirmado que para determinar la razonabilidad del plazo se debe tomar en cuenta la afectación generada por la duración del procedimiento en la situación jurídica de la persona involucrada, considerando, entre otros elementos, la materia de la controversia. Así, el Tribunal ha establecido que si el paso del tiempo incide de manera relevante en la situación jurídica del individuo, resultará necesario que el procedimiento se desarrolle con mayor prontitud a fin de que el caso se resuelva en un tiempo breve</w:t>
      </w:r>
      <w:r w:rsidRPr="000864AE">
        <w:rPr>
          <w:rStyle w:val="Refdenotaalpie"/>
          <w:rFonts w:ascii="Verdana" w:hAnsi="Verdana"/>
          <w:sz w:val="20"/>
          <w:szCs w:val="20"/>
        </w:rPr>
        <w:footnoteReference w:id="227"/>
      </w:r>
      <w:r w:rsidRPr="000864AE">
        <w:rPr>
          <w:rFonts w:ascii="Verdana" w:hAnsi="Verdana"/>
          <w:sz w:val="20"/>
          <w:szCs w:val="20"/>
        </w:rPr>
        <w:t>. En este caso, la Corte reitera que versa sobre el incumplimiento de una sentencia que involucra derechos pensionarios, por lo que la excesiva prolongación de su ejecución necesariamente incidió en el derecho a la seguridad social de las</w:t>
      </w:r>
      <w:r w:rsidR="00764169" w:rsidRPr="000864AE">
        <w:rPr>
          <w:rFonts w:ascii="Verdana" w:hAnsi="Verdana"/>
          <w:sz w:val="20"/>
          <w:szCs w:val="20"/>
        </w:rPr>
        <w:t xml:space="preserve"> presuntas</w:t>
      </w:r>
      <w:r w:rsidRPr="000864AE">
        <w:rPr>
          <w:rFonts w:ascii="Verdana" w:hAnsi="Verdana"/>
          <w:sz w:val="20"/>
          <w:szCs w:val="20"/>
        </w:rPr>
        <w:t xml:space="preserve"> víctimas, las cuales se encuentran en una situación de especial vulnerabilidad al ser personas mayores</w:t>
      </w:r>
      <w:r w:rsidRPr="000864AE">
        <w:rPr>
          <w:rStyle w:val="Refdenotaalpie"/>
          <w:rFonts w:ascii="Verdana" w:hAnsi="Verdana"/>
          <w:sz w:val="20"/>
          <w:szCs w:val="20"/>
        </w:rPr>
        <w:footnoteReference w:id="228"/>
      </w:r>
      <w:r w:rsidRPr="000864AE">
        <w:rPr>
          <w:rFonts w:ascii="Verdana" w:hAnsi="Verdana"/>
          <w:sz w:val="20"/>
          <w:szCs w:val="20"/>
        </w:rPr>
        <w:t>.</w:t>
      </w:r>
      <w:r w:rsidR="00B11A5C" w:rsidRPr="000864AE">
        <w:rPr>
          <w:rFonts w:ascii="Verdana" w:hAnsi="Verdana"/>
          <w:sz w:val="20"/>
          <w:szCs w:val="20"/>
        </w:rPr>
        <w:t xml:space="preserve"> </w:t>
      </w:r>
      <w:r w:rsidRPr="000864AE">
        <w:rPr>
          <w:rFonts w:ascii="Verdana" w:hAnsi="Verdana"/>
          <w:sz w:val="20"/>
          <w:szCs w:val="20"/>
        </w:rPr>
        <w:t>Tratándose del derecho a la seguridad social, es decir una prestación de carácter alimentario y sustitutivo del salario, la Corte estima que era exigible un criterio reforzado de celeridad, el cual no fue adoptado por el Estado en este caso</w:t>
      </w:r>
      <w:r w:rsidRPr="000864AE">
        <w:rPr>
          <w:rStyle w:val="Refdenotaalpie"/>
          <w:rFonts w:ascii="Verdana" w:hAnsi="Verdana"/>
          <w:sz w:val="20"/>
          <w:szCs w:val="20"/>
        </w:rPr>
        <w:footnoteReference w:id="229"/>
      </w:r>
      <w:r w:rsidRPr="000864AE">
        <w:rPr>
          <w:rFonts w:ascii="Verdana" w:hAnsi="Verdana"/>
          <w:sz w:val="20"/>
          <w:szCs w:val="20"/>
        </w:rPr>
        <w:t xml:space="preserve">. </w:t>
      </w:r>
    </w:p>
    <w:p w14:paraId="340FB5E0" w14:textId="77777777" w:rsidR="00804A6C" w:rsidRPr="000864AE" w:rsidRDefault="00804A6C" w:rsidP="000864AE">
      <w:pPr>
        <w:pStyle w:val="Prrafodelista"/>
        <w:spacing w:after="0" w:line="240" w:lineRule="auto"/>
        <w:ind w:left="0"/>
        <w:jc w:val="both"/>
        <w:rPr>
          <w:rFonts w:ascii="Verdana" w:hAnsi="Verdana"/>
          <w:sz w:val="20"/>
          <w:szCs w:val="20"/>
        </w:rPr>
      </w:pPr>
    </w:p>
    <w:p w14:paraId="28EE3522" w14:textId="77DC5D07" w:rsidR="00BD156F" w:rsidRPr="000864AE" w:rsidRDefault="00322E11" w:rsidP="000864AE">
      <w:pPr>
        <w:pStyle w:val="Ttulo3"/>
        <w:numPr>
          <w:ilvl w:val="0"/>
          <w:numId w:val="0"/>
        </w:numPr>
        <w:ind w:left="1353"/>
      </w:pPr>
      <w:bookmarkStart w:id="75" w:name="_Toc27329778"/>
      <w:r w:rsidRPr="000864AE">
        <w:t xml:space="preserve">B.3. </w:t>
      </w:r>
      <w:r w:rsidR="00BD156F" w:rsidRPr="000864AE">
        <w:t>Conclusión</w:t>
      </w:r>
      <w:bookmarkEnd w:id="75"/>
    </w:p>
    <w:p w14:paraId="55792B19" w14:textId="77777777" w:rsidR="00BD156F" w:rsidRPr="000864AE" w:rsidRDefault="00BD156F" w:rsidP="000864AE">
      <w:pPr>
        <w:pStyle w:val="Prrafodelista"/>
        <w:spacing w:after="0" w:line="240" w:lineRule="auto"/>
        <w:ind w:left="0"/>
        <w:jc w:val="both"/>
        <w:rPr>
          <w:rFonts w:ascii="Verdana" w:hAnsi="Verdana" w:cs="Arial"/>
          <w:spacing w:val="-2"/>
          <w:sz w:val="20"/>
          <w:szCs w:val="20"/>
          <w:lang w:eastAsia="ja-JP"/>
        </w:rPr>
      </w:pPr>
    </w:p>
    <w:p w14:paraId="496ADAA0" w14:textId="11491480" w:rsidR="004B204D" w:rsidRPr="000864AE" w:rsidRDefault="00A50374" w:rsidP="000864AE">
      <w:pPr>
        <w:pStyle w:val="Prrafodelista"/>
        <w:numPr>
          <w:ilvl w:val="0"/>
          <w:numId w:val="10"/>
        </w:numPr>
        <w:tabs>
          <w:tab w:val="left" w:pos="709"/>
        </w:tabs>
        <w:spacing w:after="0" w:line="240" w:lineRule="auto"/>
        <w:ind w:left="0" w:firstLine="0"/>
        <w:jc w:val="both"/>
        <w:rPr>
          <w:rFonts w:ascii="Verdana" w:hAnsi="Verdana"/>
          <w:sz w:val="20"/>
          <w:szCs w:val="20"/>
        </w:rPr>
      </w:pPr>
      <w:r w:rsidRPr="000864AE">
        <w:rPr>
          <w:rFonts w:ascii="Verdana" w:hAnsi="Verdana"/>
          <w:sz w:val="20"/>
          <w:szCs w:val="20"/>
        </w:rPr>
        <w:t xml:space="preserve">De todo lo anteriormente expuesto, el Tribunal concluye que el Estado es responsable por el incumplimiento de la sentencia de 25 de octubre de 1993 en virtud de las acciones estatales que derivaron en el retraso del proceso </w:t>
      </w:r>
      <w:r w:rsidR="003655AA" w:rsidRPr="000864AE">
        <w:rPr>
          <w:rFonts w:ascii="Verdana" w:hAnsi="Verdana"/>
          <w:sz w:val="20"/>
          <w:szCs w:val="20"/>
        </w:rPr>
        <w:t xml:space="preserve">y la necesidad de que los </w:t>
      </w:r>
      <w:r w:rsidR="006D1198" w:rsidRPr="000864AE">
        <w:rPr>
          <w:rFonts w:ascii="Verdana" w:hAnsi="Verdana"/>
          <w:sz w:val="20"/>
          <w:szCs w:val="20"/>
        </w:rPr>
        <w:t>integrantes</w:t>
      </w:r>
      <w:r w:rsidR="003655AA" w:rsidRPr="000864AE">
        <w:rPr>
          <w:rFonts w:ascii="Verdana" w:hAnsi="Verdana"/>
          <w:sz w:val="20"/>
          <w:szCs w:val="20"/>
        </w:rPr>
        <w:t xml:space="preserve"> de ANCEJUB-SUNAT tuvieran que iniciar nuevos trámites en sede administrativa para procurar la liquidación de sus pensiones niveladas, así como por la falta de pago de los reintegros ordenados por la sentencia antes mencionada. Asimismo, el tiempo transcurrido de 27 años desde la emisión de la sentencia vulneró la garantía del plazo razonable. </w:t>
      </w:r>
    </w:p>
    <w:p w14:paraId="32A31348" w14:textId="77777777" w:rsidR="004B204D" w:rsidRPr="000864AE" w:rsidRDefault="004B204D" w:rsidP="000864AE">
      <w:pPr>
        <w:pStyle w:val="Prrafodelista"/>
        <w:tabs>
          <w:tab w:val="left" w:pos="709"/>
        </w:tabs>
        <w:spacing w:after="0" w:line="240" w:lineRule="auto"/>
        <w:ind w:left="0"/>
        <w:jc w:val="both"/>
        <w:rPr>
          <w:rFonts w:ascii="Verdana" w:hAnsi="Verdana"/>
          <w:sz w:val="20"/>
          <w:szCs w:val="20"/>
        </w:rPr>
      </w:pPr>
    </w:p>
    <w:p w14:paraId="61AB98B5" w14:textId="63FEADF6" w:rsidR="00A50374" w:rsidRPr="000864AE" w:rsidRDefault="003655AA" w:rsidP="000864AE">
      <w:pPr>
        <w:pStyle w:val="Prrafodelista"/>
        <w:numPr>
          <w:ilvl w:val="0"/>
          <w:numId w:val="10"/>
        </w:numPr>
        <w:tabs>
          <w:tab w:val="left" w:pos="709"/>
        </w:tabs>
        <w:spacing w:after="0" w:line="240" w:lineRule="auto"/>
        <w:ind w:left="0" w:firstLine="0"/>
        <w:jc w:val="both"/>
        <w:rPr>
          <w:rFonts w:ascii="Verdana" w:hAnsi="Verdana"/>
          <w:sz w:val="20"/>
          <w:szCs w:val="20"/>
        </w:rPr>
      </w:pPr>
      <w:r w:rsidRPr="000864AE">
        <w:rPr>
          <w:rFonts w:ascii="Verdana" w:hAnsi="Verdana"/>
          <w:sz w:val="20"/>
          <w:szCs w:val="20"/>
        </w:rPr>
        <w:t>En ese sentido, el Estado violó el derecho a las garantías judiciales y la protección judicial en términos de los artículos 8.1, 25.1</w:t>
      </w:r>
      <w:r w:rsidR="001002AE" w:rsidRPr="000864AE">
        <w:rPr>
          <w:rFonts w:ascii="Verdana" w:hAnsi="Verdana"/>
          <w:sz w:val="20"/>
          <w:szCs w:val="20"/>
        </w:rPr>
        <w:t xml:space="preserve">, </w:t>
      </w:r>
      <w:r w:rsidRPr="000864AE">
        <w:rPr>
          <w:rFonts w:ascii="Verdana" w:hAnsi="Verdana"/>
          <w:sz w:val="20"/>
          <w:szCs w:val="20"/>
        </w:rPr>
        <w:t>25.2.c)</w:t>
      </w:r>
      <w:r w:rsidR="001002AE" w:rsidRPr="000864AE">
        <w:rPr>
          <w:rFonts w:ascii="Verdana" w:hAnsi="Verdana"/>
          <w:sz w:val="20"/>
          <w:szCs w:val="20"/>
        </w:rPr>
        <w:t xml:space="preserve"> de la </w:t>
      </w:r>
      <w:r w:rsidR="00014862" w:rsidRPr="000864AE">
        <w:rPr>
          <w:rFonts w:ascii="Verdana" w:hAnsi="Verdana"/>
          <w:sz w:val="20"/>
          <w:szCs w:val="20"/>
        </w:rPr>
        <w:t>Convención</w:t>
      </w:r>
      <w:r w:rsidR="001002AE" w:rsidRPr="000864AE">
        <w:rPr>
          <w:rFonts w:ascii="Verdana" w:hAnsi="Verdana"/>
          <w:sz w:val="20"/>
          <w:szCs w:val="20"/>
        </w:rPr>
        <w:t xml:space="preserve">, </w:t>
      </w:r>
      <w:r w:rsidR="00014862" w:rsidRPr="000864AE">
        <w:rPr>
          <w:rFonts w:ascii="Verdana" w:hAnsi="Verdana"/>
          <w:sz w:val="20"/>
          <w:szCs w:val="20"/>
        </w:rPr>
        <w:t>además</w:t>
      </w:r>
      <w:r w:rsidR="001002AE" w:rsidRPr="000864AE">
        <w:rPr>
          <w:rFonts w:ascii="Verdana" w:hAnsi="Verdana"/>
          <w:sz w:val="20"/>
          <w:szCs w:val="20"/>
        </w:rPr>
        <w:t xml:space="preserve"> del articulo 26 por las razones que se desarrollar</w:t>
      </w:r>
      <w:r w:rsidR="00421CB6" w:rsidRPr="000864AE">
        <w:rPr>
          <w:rFonts w:ascii="Verdana" w:hAnsi="Verdana"/>
          <w:sz w:val="20"/>
          <w:szCs w:val="20"/>
        </w:rPr>
        <w:t>á</w:t>
      </w:r>
      <w:r w:rsidR="001002AE" w:rsidRPr="000864AE">
        <w:rPr>
          <w:rFonts w:ascii="Verdana" w:hAnsi="Verdana"/>
          <w:sz w:val="20"/>
          <w:szCs w:val="20"/>
        </w:rPr>
        <w:t>n m</w:t>
      </w:r>
      <w:r w:rsidR="00421CB6" w:rsidRPr="000864AE">
        <w:rPr>
          <w:rFonts w:ascii="Verdana" w:hAnsi="Verdana"/>
          <w:sz w:val="20"/>
          <w:szCs w:val="20"/>
        </w:rPr>
        <w:t>á</w:t>
      </w:r>
      <w:r w:rsidR="001002AE" w:rsidRPr="000864AE">
        <w:rPr>
          <w:rFonts w:ascii="Verdana" w:hAnsi="Verdana"/>
          <w:sz w:val="20"/>
          <w:szCs w:val="20"/>
        </w:rPr>
        <w:t>s adelante</w:t>
      </w:r>
      <w:r w:rsidRPr="000864AE">
        <w:rPr>
          <w:rFonts w:ascii="Verdana" w:hAnsi="Verdana"/>
          <w:sz w:val="20"/>
          <w:szCs w:val="20"/>
        </w:rPr>
        <w:t>, en relación con el artículo 1.1 del mismo instrumento</w:t>
      </w:r>
      <w:r w:rsidR="001217FD" w:rsidRPr="000864AE">
        <w:rPr>
          <w:rFonts w:ascii="Verdana" w:hAnsi="Verdana"/>
          <w:sz w:val="20"/>
          <w:szCs w:val="20"/>
        </w:rPr>
        <w:t>, en perjuicio de las personas señaladas en el Anexo 2 de la presente Sentencia</w:t>
      </w:r>
      <w:r w:rsidRPr="000864AE">
        <w:rPr>
          <w:rFonts w:ascii="Verdana" w:hAnsi="Verdana"/>
          <w:sz w:val="20"/>
          <w:szCs w:val="20"/>
        </w:rPr>
        <w:t>.</w:t>
      </w:r>
    </w:p>
    <w:p w14:paraId="0F1D7ED2" w14:textId="4C103E11" w:rsidR="00B86B27" w:rsidRPr="000864AE" w:rsidRDefault="00BD156F" w:rsidP="000864AE">
      <w:pPr>
        <w:pStyle w:val="Prrafodelista"/>
        <w:spacing w:after="0" w:line="240" w:lineRule="auto"/>
        <w:ind w:left="0"/>
        <w:jc w:val="both"/>
        <w:rPr>
          <w:rFonts w:ascii="Verdana" w:eastAsia="Times New Roman" w:hAnsi="Verdana" w:cs="Verdana"/>
          <w:b/>
          <w:bCs/>
          <w:caps/>
          <w:snapToGrid w:val="0"/>
          <w:sz w:val="20"/>
          <w:szCs w:val="20"/>
          <w:lang w:val="es-ES_tradnl"/>
        </w:rPr>
      </w:pPr>
      <w:r w:rsidRPr="000864AE">
        <w:rPr>
          <w:rFonts w:ascii="Verdana" w:hAnsi="Verdana"/>
          <w:sz w:val="20"/>
          <w:szCs w:val="20"/>
        </w:rPr>
        <w:t xml:space="preserve"> </w:t>
      </w:r>
    </w:p>
    <w:p w14:paraId="0727BE1E" w14:textId="1EE6182F" w:rsidR="002E0CC2" w:rsidRPr="000864AE" w:rsidRDefault="002E0CC2" w:rsidP="000864AE">
      <w:pPr>
        <w:pStyle w:val="Ttulo2"/>
        <w:numPr>
          <w:ilvl w:val="0"/>
          <w:numId w:val="0"/>
        </w:numPr>
        <w:ind w:left="928" w:hanging="360"/>
      </w:pPr>
      <w:bookmarkStart w:id="76" w:name="_Toc27329779"/>
      <w:r w:rsidRPr="000864AE">
        <w:t>C. Derecho</w:t>
      </w:r>
      <w:r w:rsidR="00F95A6A" w:rsidRPr="000864AE">
        <w:t>s</w:t>
      </w:r>
      <w:r w:rsidRPr="000864AE">
        <w:t xml:space="preserve"> a la seguridad social</w:t>
      </w:r>
      <w:r w:rsidR="000B4A4B" w:rsidRPr="000864AE">
        <w:t>,</w:t>
      </w:r>
      <w:r w:rsidR="00F84C31" w:rsidRPr="000864AE">
        <w:t xml:space="preserve"> a la vida digna</w:t>
      </w:r>
      <w:r w:rsidR="000B4A4B" w:rsidRPr="000864AE">
        <w:t xml:space="preserve"> y a la propiedad</w:t>
      </w:r>
      <w:bookmarkEnd w:id="76"/>
    </w:p>
    <w:p w14:paraId="25C9638B" w14:textId="77777777" w:rsidR="002E0CC2" w:rsidRPr="000864AE" w:rsidRDefault="002E0CC2" w:rsidP="000864AE">
      <w:pPr>
        <w:pStyle w:val="Ttulo2"/>
        <w:numPr>
          <w:ilvl w:val="0"/>
          <w:numId w:val="0"/>
        </w:numPr>
        <w:ind w:left="928" w:hanging="360"/>
      </w:pPr>
    </w:p>
    <w:p w14:paraId="6B4D0106" w14:textId="1AB52F9C" w:rsidR="00B86B27" w:rsidRPr="000864AE" w:rsidRDefault="002E0CC2" w:rsidP="000864AE">
      <w:pPr>
        <w:pStyle w:val="Ttulo3"/>
        <w:numPr>
          <w:ilvl w:val="0"/>
          <w:numId w:val="0"/>
        </w:numPr>
        <w:ind w:left="1353"/>
        <w:rPr>
          <w:lang w:val="es-DO"/>
        </w:rPr>
      </w:pPr>
      <w:bookmarkStart w:id="77" w:name="_Toc27329780"/>
      <w:r w:rsidRPr="000864AE">
        <w:t xml:space="preserve">C.1. </w:t>
      </w:r>
      <w:r w:rsidR="00B86B27" w:rsidRPr="000864AE">
        <w:t>Argumentos de la Comisión y de las partes</w:t>
      </w:r>
      <w:bookmarkEnd w:id="77"/>
    </w:p>
    <w:p w14:paraId="042D4017" w14:textId="77777777" w:rsidR="00B86B27" w:rsidRPr="000864AE" w:rsidRDefault="00B86B27" w:rsidP="000864AE">
      <w:pPr>
        <w:tabs>
          <w:tab w:val="left" w:pos="1658"/>
        </w:tabs>
        <w:spacing w:after="0" w:line="240" w:lineRule="auto"/>
        <w:jc w:val="both"/>
        <w:rPr>
          <w:rFonts w:ascii="Verdana" w:hAnsi="Verdana"/>
          <w:sz w:val="20"/>
          <w:szCs w:val="20"/>
          <w:lang w:val="es-DO"/>
        </w:rPr>
      </w:pPr>
    </w:p>
    <w:p w14:paraId="57005E0A" w14:textId="1BA1D051" w:rsidR="00B86B27" w:rsidRPr="000864AE" w:rsidRDefault="00B86B27" w:rsidP="000864AE">
      <w:pPr>
        <w:pStyle w:val="Prrafodelista"/>
        <w:numPr>
          <w:ilvl w:val="0"/>
          <w:numId w:val="10"/>
        </w:numPr>
        <w:tabs>
          <w:tab w:val="left" w:pos="709"/>
        </w:tabs>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La </w:t>
      </w:r>
      <w:r w:rsidRPr="000864AE">
        <w:rPr>
          <w:rFonts w:ascii="Verdana" w:hAnsi="Verdana"/>
          <w:b/>
          <w:i/>
          <w:sz w:val="20"/>
          <w:szCs w:val="20"/>
          <w:lang w:val="es-DO"/>
        </w:rPr>
        <w:t>Comisión</w:t>
      </w:r>
      <w:r w:rsidRPr="000864AE">
        <w:rPr>
          <w:rFonts w:ascii="Verdana" w:hAnsi="Verdana"/>
          <w:sz w:val="20"/>
          <w:szCs w:val="20"/>
          <w:lang w:val="es-DO"/>
        </w:rPr>
        <w:t xml:space="preserve"> señaló que los precedentes de </w:t>
      </w:r>
      <w:r w:rsidRPr="000864AE">
        <w:rPr>
          <w:rFonts w:ascii="Verdana" w:hAnsi="Verdana"/>
          <w:i/>
          <w:sz w:val="20"/>
          <w:szCs w:val="20"/>
          <w:lang w:val="es-DO"/>
        </w:rPr>
        <w:t xml:space="preserve">Cinco Pensionistas Vs. Perú </w:t>
      </w:r>
      <w:r w:rsidRPr="000864AE">
        <w:rPr>
          <w:rFonts w:ascii="Verdana" w:hAnsi="Verdana"/>
          <w:sz w:val="20"/>
          <w:szCs w:val="20"/>
          <w:lang w:val="es-DO"/>
        </w:rPr>
        <w:t xml:space="preserve">y </w:t>
      </w:r>
      <w:r w:rsidRPr="000864AE">
        <w:rPr>
          <w:rFonts w:ascii="Verdana" w:hAnsi="Verdana"/>
          <w:i/>
          <w:sz w:val="20"/>
          <w:szCs w:val="20"/>
          <w:lang w:val="es-DO"/>
        </w:rPr>
        <w:t xml:space="preserve">Acevedo Buendía Vs. Perú </w:t>
      </w:r>
      <w:r w:rsidRPr="000864AE">
        <w:rPr>
          <w:rFonts w:ascii="Verdana" w:hAnsi="Verdana"/>
          <w:sz w:val="20"/>
          <w:szCs w:val="20"/>
          <w:lang w:val="es-DO"/>
        </w:rPr>
        <w:t xml:space="preserve">son plenamente aplicables en lo que respecta a la afectación al derecho a la propiedad privada. En particular, manifestó que la falta de cumplimiento de las sentencias no permitió que los </w:t>
      </w:r>
      <w:r w:rsidR="00F95A6A" w:rsidRPr="000864AE">
        <w:rPr>
          <w:rFonts w:ascii="Verdana" w:hAnsi="Verdana"/>
          <w:sz w:val="20"/>
          <w:szCs w:val="20"/>
          <w:lang w:val="es-DO"/>
        </w:rPr>
        <w:t>integrantes de ANCEJUB-SUNAT</w:t>
      </w:r>
      <w:r w:rsidRPr="000864AE">
        <w:rPr>
          <w:rFonts w:ascii="Verdana" w:hAnsi="Verdana"/>
          <w:sz w:val="20"/>
          <w:szCs w:val="20"/>
          <w:lang w:val="es-DO"/>
        </w:rPr>
        <w:t xml:space="preserve"> pudieran gozar integralmente de su derecho a la propiedad sobre los efectos patrimoniales de su pensión nivelable, legalmente reconocida, entendiendo aquella como los montos dejados de percibir. En relación con el artículo 26, la Comisión manifestó que en su Informe de Fondo no se pronunció sobre la aplicabilidad de dicho artículo debido a la fecha de emisión del referido Informe. Al respecto, la Comisión tomó nota de que en el </w:t>
      </w:r>
      <w:r w:rsidRPr="000864AE">
        <w:rPr>
          <w:rFonts w:ascii="Verdana" w:hAnsi="Verdana"/>
          <w:i/>
          <w:sz w:val="20"/>
          <w:szCs w:val="20"/>
          <w:lang w:val="es-DO"/>
        </w:rPr>
        <w:t xml:space="preserve">Caso Muelle Flores Vs. Perú </w:t>
      </w:r>
      <w:r w:rsidRPr="000864AE">
        <w:rPr>
          <w:rFonts w:ascii="Verdana" w:hAnsi="Verdana"/>
          <w:sz w:val="20"/>
          <w:szCs w:val="20"/>
          <w:lang w:val="es-DO"/>
        </w:rPr>
        <w:t>la Corte dio aplicación concreta al derecho a la seguridad social, y solicitó que se tome en consideración dicha decisión en el presente caso, en virtud de su semejanza.</w:t>
      </w:r>
    </w:p>
    <w:p w14:paraId="44247B80" w14:textId="77777777" w:rsidR="00B86B27" w:rsidRPr="000864AE" w:rsidRDefault="00B86B27" w:rsidP="000864AE">
      <w:pPr>
        <w:pStyle w:val="Prrafodelista"/>
        <w:tabs>
          <w:tab w:val="left" w:pos="709"/>
        </w:tabs>
        <w:spacing w:after="0" w:line="240" w:lineRule="auto"/>
        <w:ind w:left="0"/>
        <w:jc w:val="both"/>
        <w:rPr>
          <w:rFonts w:ascii="Verdana" w:hAnsi="Verdana"/>
          <w:sz w:val="20"/>
          <w:szCs w:val="20"/>
          <w:lang w:val="es-DO"/>
        </w:rPr>
      </w:pPr>
    </w:p>
    <w:p w14:paraId="3C68A638" w14:textId="6470C739" w:rsidR="00B86B27" w:rsidRPr="000864AE" w:rsidRDefault="00B86B27" w:rsidP="000864AE">
      <w:pPr>
        <w:pStyle w:val="Prrafodelista"/>
        <w:numPr>
          <w:ilvl w:val="0"/>
          <w:numId w:val="10"/>
        </w:numPr>
        <w:tabs>
          <w:tab w:val="left" w:pos="709"/>
        </w:tabs>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Los </w:t>
      </w:r>
      <w:r w:rsidRPr="000864AE">
        <w:rPr>
          <w:rFonts w:ascii="Verdana" w:hAnsi="Verdana"/>
          <w:b/>
          <w:i/>
          <w:sz w:val="20"/>
          <w:szCs w:val="20"/>
          <w:lang w:val="es-DO"/>
        </w:rPr>
        <w:t>representantes</w:t>
      </w:r>
      <w:r w:rsidRPr="000864AE">
        <w:rPr>
          <w:rFonts w:ascii="Verdana" w:hAnsi="Verdana"/>
          <w:sz w:val="20"/>
          <w:szCs w:val="20"/>
          <w:lang w:val="es-DO"/>
        </w:rPr>
        <w:t xml:space="preserve"> alegaron que el incumplimiento de las sentencias de la Sala Constitucional y Social de la Corte Suprema ha generado una violación al derecho a la propiedad que tienen las víctimas sobre los efectos patrimoniales derivados del derecho a la pensión nivelada que adquirieron según la legislación interna peruana, pues señalaron que basta que el derecho a la pensión se adquiera de acuerdo con la ley para que ingrese al patrimonio de la persona y de esta forma esté protegido por el artículo 21. Agregaron que la conclusión antes mencionada se puede derivar del artículo 886 del Código Civil peruano. Asimismo, alegaron que la falta de pago adecuado de las pensiones de las víctimas devengadas desd</w:t>
      </w:r>
      <w:r w:rsidR="00942597" w:rsidRPr="000864AE">
        <w:rPr>
          <w:rFonts w:ascii="Verdana" w:hAnsi="Verdana"/>
          <w:sz w:val="20"/>
          <w:szCs w:val="20"/>
          <w:lang w:val="es-DO"/>
        </w:rPr>
        <w:t xml:space="preserve">e el 24 de septiembre de 1991 </w:t>
      </w:r>
      <w:r w:rsidRPr="000864AE">
        <w:rPr>
          <w:rFonts w:ascii="Verdana" w:hAnsi="Verdana"/>
          <w:sz w:val="20"/>
          <w:szCs w:val="20"/>
          <w:lang w:val="es-DO"/>
        </w:rPr>
        <w:t>hasta la actualidad configuró la violación de su derecho a la seguridad social, de conformidad con el artículo 26 de la Convención Americana.</w:t>
      </w:r>
      <w:r w:rsidRPr="000864AE">
        <w:rPr>
          <w:rFonts w:ascii="Verdana" w:hAnsi="Verdana"/>
          <w:b/>
          <w:sz w:val="20"/>
          <w:szCs w:val="20"/>
          <w:lang w:val="es-DO"/>
        </w:rPr>
        <w:t xml:space="preserve"> </w:t>
      </w:r>
      <w:r w:rsidRPr="000864AE">
        <w:rPr>
          <w:rFonts w:ascii="Verdana" w:hAnsi="Verdana"/>
          <w:sz w:val="20"/>
          <w:szCs w:val="20"/>
          <w:lang w:val="es-DO"/>
        </w:rPr>
        <w:t>En ese sentido, alegaron que al adoptar el Decreto</w:t>
      </w:r>
      <w:r w:rsidRPr="000864AE">
        <w:rPr>
          <w:rFonts w:ascii="Verdana" w:hAnsi="Verdana"/>
          <w:b/>
          <w:sz w:val="20"/>
          <w:szCs w:val="20"/>
          <w:lang w:val="es-DO"/>
        </w:rPr>
        <w:t xml:space="preserve"> </w:t>
      </w:r>
      <w:r w:rsidRPr="000864AE">
        <w:rPr>
          <w:rFonts w:ascii="Verdana" w:hAnsi="Verdana"/>
          <w:sz w:val="20"/>
          <w:szCs w:val="20"/>
          <w:lang w:val="es-DO"/>
        </w:rPr>
        <w:t>673, “</w:t>
      </w:r>
      <w:r w:rsidR="00942597" w:rsidRPr="000864AE">
        <w:rPr>
          <w:rFonts w:ascii="Verdana" w:hAnsi="Verdana"/>
          <w:sz w:val="20"/>
          <w:szCs w:val="20"/>
          <w:lang w:val="es-DO"/>
        </w:rPr>
        <w:t xml:space="preserve">(…) </w:t>
      </w:r>
      <w:r w:rsidRPr="000864AE">
        <w:rPr>
          <w:rFonts w:ascii="Verdana" w:hAnsi="Verdana"/>
          <w:sz w:val="20"/>
          <w:szCs w:val="20"/>
          <w:lang w:val="es-DO"/>
        </w:rPr>
        <w:t>el Estado peruano violó el deber de progresividad que le competía en el marco de la implementación del derecho humano a la seguridad social”. En particular, expresaron que la alteración arbitraria de la forma de determinar sus pensiones de jubilación conllevó un manifiesto retroceso respecto al derecho a la seguridad social.</w:t>
      </w:r>
      <w:r w:rsidR="00B14315" w:rsidRPr="000864AE">
        <w:rPr>
          <w:rFonts w:ascii="Verdana" w:hAnsi="Verdana"/>
          <w:sz w:val="20"/>
          <w:szCs w:val="20"/>
          <w:lang w:val="es-DO"/>
        </w:rPr>
        <w:t xml:space="preserve"> </w:t>
      </w:r>
      <w:r w:rsidRPr="000864AE">
        <w:rPr>
          <w:rFonts w:ascii="Verdana" w:hAnsi="Verdana"/>
          <w:sz w:val="20"/>
          <w:szCs w:val="20"/>
          <w:lang w:val="es-DO"/>
        </w:rPr>
        <w:t>Los</w:t>
      </w:r>
      <w:r w:rsidRPr="000864AE">
        <w:rPr>
          <w:rFonts w:ascii="Verdana" w:hAnsi="Verdana"/>
          <w:b/>
          <w:sz w:val="20"/>
          <w:szCs w:val="20"/>
          <w:lang w:val="es-DO"/>
        </w:rPr>
        <w:t xml:space="preserve"> </w:t>
      </w:r>
      <w:r w:rsidRPr="000864AE">
        <w:rPr>
          <w:rFonts w:ascii="Verdana" w:hAnsi="Verdana"/>
          <w:sz w:val="20"/>
          <w:szCs w:val="20"/>
          <w:lang w:val="es-DO"/>
        </w:rPr>
        <w:t>representantes</w:t>
      </w:r>
      <w:r w:rsidRPr="000864AE">
        <w:rPr>
          <w:rFonts w:ascii="Verdana" w:hAnsi="Verdana"/>
          <w:b/>
          <w:i/>
          <w:sz w:val="20"/>
          <w:szCs w:val="20"/>
          <w:lang w:val="es-DO"/>
        </w:rPr>
        <w:t xml:space="preserve"> </w:t>
      </w:r>
      <w:r w:rsidRPr="000864AE">
        <w:rPr>
          <w:rFonts w:ascii="Verdana" w:hAnsi="Verdana"/>
          <w:sz w:val="20"/>
          <w:szCs w:val="20"/>
          <w:lang w:val="es-DO"/>
        </w:rPr>
        <w:t>señalaron que, de conformidad con la jurisprudencia de la Corte Interamericana, el derecho a la vida digna supone el acceso a las “condiciones materiales necesarias que permitan desarrollar una existencia digna”.</w:t>
      </w:r>
      <w:r w:rsidRPr="000864AE">
        <w:rPr>
          <w:rFonts w:ascii="Verdana" w:hAnsi="Verdana"/>
          <w:b/>
          <w:sz w:val="20"/>
          <w:szCs w:val="20"/>
          <w:lang w:val="es-DO"/>
        </w:rPr>
        <w:t xml:space="preserve"> </w:t>
      </w:r>
      <w:r w:rsidRPr="000864AE">
        <w:rPr>
          <w:rFonts w:ascii="Verdana" w:hAnsi="Verdana"/>
          <w:sz w:val="20"/>
          <w:szCs w:val="20"/>
          <w:lang w:val="es-DO"/>
        </w:rPr>
        <w:t>En ese sentido, manifestaron que el Estado no tuvo en cuenta el riesgo que la supresión del derecho a la nivelación de sus pensiones supuso respecto del menoscabo de los medios de vida que contaban para su supervivencia y el goce de sus derechos básicos a la salud, la seguridad social, la vivienda adecu</w:t>
      </w:r>
      <w:r w:rsidR="00942597" w:rsidRPr="000864AE">
        <w:rPr>
          <w:rFonts w:ascii="Verdana" w:hAnsi="Verdana"/>
          <w:sz w:val="20"/>
          <w:szCs w:val="20"/>
          <w:lang w:val="es-DO"/>
        </w:rPr>
        <w:t>ada y la educación de sus hijos</w:t>
      </w:r>
      <w:r w:rsidRPr="000864AE">
        <w:rPr>
          <w:rFonts w:ascii="Verdana" w:hAnsi="Verdana"/>
          <w:sz w:val="20"/>
          <w:szCs w:val="20"/>
          <w:lang w:val="es-DO"/>
        </w:rPr>
        <w:t>. Asimismo, manifestaron que esta violación constituyó una clara amenaza a su vida digna pues afectó directamente su derecho a gozar de un mínimo vital.</w:t>
      </w:r>
    </w:p>
    <w:p w14:paraId="15BD7901" w14:textId="77777777" w:rsidR="00B86B27" w:rsidRPr="000864AE" w:rsidRDefault="00B86B27" w:rsidP="000864AE">
      <w:pPr>
        <w:pStyle w:val="Prrafodelista"/>
        <w:tabs>
          <w:tab w:val="left" w:pos="709"/>
        </w:tabs>
        <w:spacing w:after="0" w:line="240" w:lineRule="auto"/>
        <w:ind w:left="0"/>
        <w:jc w:val="both"/>
        <w:rPr>
          <w:rFonts w:ascii="Verdana" w:hAnsi="Verdana"/>
          <w:sz w:val="20"/>
          <w:szCs w:val="20"/>
          <w:lang w:val="es-DO"/>
        </w:rPr>
      </w:pPr>
    </w:p>
    <w:p w14:paraId="4AD27C9C" w14:textId="085C527B" w:rsidR="00B86B27" w:rsidRPr="000864AE" w:rsidRDefault="00B86B27" w:rsidP="000864AE">
      <w:pPr>
        <w:pStyle w:val="Prrafodelista"/>
        <w:numPr>
          <w:ilvl w:val="0"/>
          <w:numId w:val="10"/>
        </w:numPr>
        <w:tabs>
          <w:tab w:val="left" w:pos="709"/>
        </w:tabs>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El </w:t>
      </w:r>
      <w:r w:rsidRPr="000864AE">
        <w:rPr>
          <w:rFonts w:ascii="Verdana" w:hAnsi="Verdana"/>
          <w:b/>
          <w:i/>
          <w:sz w:val="20"/>
          <w:szCs w:val="20"/>
          <w:lang w:val="es-DO"/>
        </w:rPr>
        <w:t xml:space="preserve">Estado </w:t>
      </w:r>
      <w:r w:rsidRPr="000864AE">
        <w:rPr>
          <w:rFonts w:ascii="Verdana" w:hAnsi="Verdana"/>
          <w:sz w:val="20"/>
          <w:szCs w:val="20"/>
          <w:lang w:val="es-DO"/>
        </w:rPr>
        <w:t xml:space="preserve">alegó, respecto al derecho a la propiedad, que la Corte debía tener en cuenta lo dispuesto en el inciso c) del artículo 3 del Decreto 673. Este artículo establece que la mayor remuneración que corresponda al trabajador por efecto de lo dispuesto en los párrafos a) y b) tendrá el carácter de no pensionable para aquellos trabajadores comprendidos en el régimen jubilatorio del Decreto 20530. El Estado señaló que se debe entender que tal regulación rige tanto para los activos pertenecientes al régimen público del Decreto 276 como para los actuales cesantes, en la medida </w:t>
      </w:r>
      <w:r w:rsidR="00942597" w:rsidRPr="000864AE">
        <w:rPr>
          <w:rFonts w:ascii="Verdana" w:hAnsi="Verdana"/>
          <w:sz w:val="20"/>
          <w:szCs w:val="20"/>
          <w:lang w:val="es-DO"/>
        </w:rPr>
        <w:t xml:space="preserve">en </w:t>
      </w:r>
      <w:r w:rsidRPr="000864AE">
        <w:rPr>
          <w:rFonts w:ascii="Verdana" w:hAnsi="Verdana"/>
          <w:sz w:val="20"/>
          <w:szCs w:val="20"/>
          <w:lang w:val="es-DO"/>
        </w:rPr>
        <w:t>que no resulta lógico que los pensionistas que nunca percibieron dicha bonificación no pensionable la deban percibir en interpretación de una sentencia que además no la dispone. De esta forma, el Estado concluyó que los pensionistas miembros de ANCEJUB, en tanto nunca tuvieron derecho sobre montos que no tenían carácter pensionable, no vieron afectado su derecho a la propiedad. En consecuencia, el Estado alegó que no es responsable por la violación del derecho a la propiedad en términos del artículo 21 de la Convención.</w:t>
      </w:r>
      <w:r w:rsidR="00B14315" w:rsidRPr="000864AE">
        <w:rPr>
          <w:rFonts w:ascii="Verdana" w:hAnsi="Verdana"/>
          <w:sz w:val="20"/>
          <w:szCs w:val="20"/>
          <w:lang w:val="es-DO"/>
        </w:rPr>
        <w:t xml:space="preserve"> </w:t>
      </w:r>
      <w:r w:rsidRPr="000864AE">
        <w:rPr>
          <w:rFonts w:ascii="Verdana" w:hAnsi="Verdana"/>
          <w:sz w:val="20"/>
          <w:szCs w:val="20"/>
          <w:lang w:val="es-DO"/>
        </w:rPr>
        <w:t>En relación con el derecho a la vida digna, el Estado</w:t>
      </w:r>
      <w:r w:rsidRPr="000864AE">
        <w:rPr>
          <w:rFonts w:ascii="Verdana" w:hAnsi="Verdana"/>
          <w:b/>
          <w:i/>
          <w:sz w:val="20"/>
          <w:szCs w:val="20"/>
          <w:lang w:val="es-DO"/>
        </w:rPr>
        <w:t xml:space="preserve"> </w:t>
      </w:r>
      <w:r w:rsidRPr="000864AE">
        <w:rPr>
          <w:rFonts w:ascii="Verdana" w:hAnsi="Verdana"/>
          <w:sz w:val="20"/>
          <w:szCs w:val="20"/>
          <w:lang w:val="es-DO"/>
        </w:rPr>
        <w:t>alegó que no existe sustento fáctico que acredite de modo adecuado las alegadas afectaciones al derecho a la vida. Al respecto, reiteró que nunca dejó de abonar las pensiones que correspondían a las presuntas víctimas y alegó que, dado que el sistema de seguridad social supone el pago de tales pensiones y el acceso al sistema de salud, la atención médica requerida por las</w:t>
      </w:r>
      <w:r w:rsidR="00942597" w:rsidRPr="000864AE">
        <w:rPr>
          <w:rFonts w:ascii="Verdana" w:hAnsi="Verdana"/>
          <w:sz w:val="20"/>
          <w:szCs w:val="20"/>
          <w:lang w:val="es-DO"/>
        </w:rPr>
        <w:t xml:space="preserve"> presuntas</w:t>
      </w:r>
      <w:r w:rsidRPr="000864AE">
        <w:rPr>
          <w:rFonts w:ascii="Verdana" w:hAnsi="Verdana"/>
          <w:sz w:val="20"/>
          <w:szCs w:val="20"/>
          <w:lang w:val="es-DO"/>
        </w:rPr>
        <w:t xml:space="preserve"> víctimas no se vio afectada ni interrumpida. </w:t>
      </w:r>
    </w:p>
    <w:p w14:paraId="08034B9C" w14:textId="77777777" w:rsidR="00B86B27" w:rsidRPr="000864AE" w:rsidRDefault="00B86B27" w:rsidP="000864AE">
      <w:pPr>
        <w:tabs>
          <w:tab w:val="left" w:pos="1658"/>
        </w:tabs>
        <w:spacing w:after="0" w:line="240" w:lineRule="auto"/>
        <w:jc w:val="both"/>
        <w:rPr>
          <w:rFonts w:ascii="Verdana" w:hAnsi="Verdana"/>
          <w:sz w:val="20"/>
          <w:szCs w:val="20"/>
          <w:lang w:val="es-DO"/>
        </w:rPr>
      </w:pPr>
    </w:p>
    <w:p w14:paraId="01785879" w14:textId="68BE82A0" w:rsidR="00B86B27" w:rsidRPr="000864AE" w:rsidRDefault="002E0CC2" w:rsidP="000864AE">
      <w:pPr>
        <w:pStyle w:val="Ttulo3"/>
        <w:numPr>
          <w:ilvl w:val="0"/>
          <w:numId w:val="0"/>
        </w:numPr>
        <w:ind w:left="1353" w:hanging="360"/>
      </w:pPr>
      <w:bookmarkStart w:id="78" w:name="_Toc27329781"/>
      <w:r w:rsidRPr="000864AE">
        <w:t xml:space="preserve">C.2. </w:t>
      </w:r>
      <w:r w:rsidR="00B86B27" w:rsidRPr="000864AE">
        <w:t>Consideraciones de la Corte</w:t>
      </w:r>
      <w:bookmarkEnd w:id="78"/>
    </w:p>
    <w:p w14:paraId="1CAA6D85" w14:textId="4B5F546B" w:rsidR="00E83A1C" w:rsidRPr="000864AE" w:rsidRDefault="00E83A1C" w:rsidP="000864AE">
      <w:pPr>
        <w:pStyle w:val="Prrafodelista"/>
        <w:spacing w:after="0" w:line="240" w:lineRule="auto"/>
        <w:ind w:left="0"/>
        <w:jc w:val="both"/>
        <w:rPr>
          <w:rFonts w:ascii="Verdana" w:hAnsi="Verdana"/>
          <w:sz w:val="20"/>
          <w:szCs w:val="20"/>
          <w:lang w:val="es-DO"/>
        </w:rPr>
      </w:pPr>
    </w:p>
    <w:p w14:paraId="7DC6D0DA" w14:textId="7E8F27FF" w:rsidR="00E83A1C" w:rsidRPr="000864AE" w:rsidRDefault="00E83A1C" w:rsidP="000864AE">
      <w:pPr>
        <w:numPr>
          <w:ilvl w:val="0"/>
          <w:numId w:val="10"/>
        </w:numPr>
        <w:tabs>
          <w:tab w:val="left" w:pos="720"/>
          <w:tab w:val="left" w:pos="851"/>
        </w:tabs>
        <w:spacing w:after="0" w:line="240" w:lineRule="auto"/>
        <w:ind w:left="0" w:firstLine="0"/>
        <w:jc w:val="both"/>
        <w:rPr>
          <w:rFonts w:ascii="Verdana" w:hAnsi="Verdana"/>
          <w:spacing w:val="-2"/>
          <w:sz w:val="20"/>
          <w:szCs w:val="20"/>
        </w:rPr>
      </w:pPr>
      <w:r w:rsidRPr="000864AE">
        <w:rPr>
          <w:rFonts w:ascii="Verdana" w:eastAsia="Verdana" w:hAnsi="Verdana"/>
          <w:bCs/>
          <w:sz w:val="20"/>
          <w:szCs w:val="20"/>
          <w:lang w:val="es-CR" w:eastAsia="x-none"/>
        </w:rPr>
        <w:t xml:space="preserve">El Tribunal advierte que en el presente caso </w:t>
      </w:r>
      <w:r w:rsidR="009D502E" w:rsidRPr="000864AE">
        <w:rPr>
          <w:rFonts w:ascii="Verdana" w:eastAsia="Verdana" w:hAnsi="Verdana"/>
          <w:bCs/>
          <w:sz w:val="20"/>
          <w:szCs w:val="20"/>
          <w:lang w:val="es-CR" w:eastAsia="x-none"/>
        </w:rPr>
        <w:t>uno de los</w:t>
      </w:r>
      <w:r w:rsidRPr="000864AE">
        <w:rPr>
          <w:rFonts w:ascii="Verdana" w:eastAsia="Verdana" w:hAnsi="Verdana"/>
          <w:bCs/>
          <w:sz w:val="20"/>
          <w:szCs w:val="20"/>
          <w:lang w:val="es-CR" w:eastAsia="x-none"/>
        </w:rPr>
        <w:t xml:space="preserve"> problema</w:t>
      </w:r>
      <w:r w:rsidR="009D502E" w:rsidRPr="000864AE">
        <w:rPr>
          <w:rFonts w:ascii="Verdana" w:eastAsia="Verdana" w:hAnsi="Verdana"/>
          <w:bCs/>
          <w:sz w:val="20"/>
          <w:szCs w:val="20"/>
          <w:lang w:val="es-CR" w:eastAsia="x-none"/>
        </w:rPr>
        <w:t>s</w:t>
      </w:r>
      <w:r w:rsidRPr="000864AE">
        <w:rPr>
          <w:rFonts w:ascii="Verdana" w:eastAsia="Verdana" w:hAnsi="Verdana"/>
          <w:bCs/>
          <w:sz w:val="20"/>
          <w:szCs w:val="20"/>
          <w:lang w:val="es-CR" w:eastAsia="x-none"/>
        </w:rPr>
        <w:t xml:space="preserve"> jurídico</w:t>
      </w:r>
      <w:r w:rsidR="009D502E" w:rsidRPr="000864AE">
        <w:rPr>
          <w:rFonts w:ascii="Verdana" w:eastAsia="Verdana" w:hAnsi="Verdana"/>
          <w:bCs/>
          <w:sz w:val="20"/>
          <w:szCs w:val="20"/>
          <w:lang w:val="es-CR" w:eastAsia="x-none"/>
        </w:rPr>
        <w:t>s</w:t>
      </w:r>
      <w:r w:rsidRPr="000864AE">
        <w:rPr>
          <w:rFonts w:ascii="Verdana" w:eastAsia="Verdana" w:hAnsi="Verdana"/>
          <w:bCs/>
          <w:sz w:val="20"/>
          <w:szCs w:val="20"/>
          <w:lang w:val="es-CR" w:eastAsia="x-none"/>
        </w:rPr>
        <w:t xml:space="preserve"> planteado</w:t>
      </w:r>
      <w:r w:rsidR="009D502E" w:rsidRPr="000864AE">
        <w:rPr>
          <w:rFonts w:ascii="Verdana" w:eastAsia="Verdana" w:hAnsi="Verdana"/>
          <w:bCs/>
          <w:sz w:val="20"/>
          <w:szCs w:val="20"/>
          <w:lang w:val="es-CR" w:eastAsia="x-none"/>
        </w:rPr>
        <w:t>s</w:t>
      </w:r>
      <w:r w:rsidRPr="000864AE">
        <w:rPr>
          <w:rFonts w:ascii="Verdana" w:eastAsia="Verdana" w:hAnsi="Verdana"/>
          <w:bCs/>
          <w:sz w:val="20"/>
          <w:szCs w:val="20"/>
          <w:lang w:val="es-CR" w:eastAsia="x-none"/>
        </w:rPr>
        <w:t xml:space="preserve"> por los representantes se relaciona con los alcances del derecho a la seguridad social entendido como un derecho autónomo que deriva del artículo 26 de la Convención Americana. En este sentido, los alegatos de las representantes siguen la aproximación adoptada por este Tribunal desde el caso </w:t>
      </w:r>
      <w:r w:rsidRPr="000864AE">
        <w:rPr>
          <w:rFonts w:ascii="Verdana" w:eastAsia="Verdana" w:hAnsi="Verdana"/>
          <w:bCs/>
          <w:i/>
          <w:sz w:val="20"/>
          <w:szCs w:val="20"/>
          <w:lang w:val="es-CR" w:eastAsia="x-none"/>
        </w:rPr>
        <w:t>Lagos del Campo Vs. Perú</w:t>
      </w:r>
      <w:r w:rsidRPr="000864AE">
        <w:rPr>
          <w:rStyle w:val="Refdenotaalpie"/>
          <w:rFonts w:ascii="Verdana" w:eastAsia="Verdana" w:hAnsi="Verdana"/>
          <w:sz w:val="20"/>
          <w:szCs w:val="20"/>
          <w:lang w:eastAsia="x-none"/>
        </w:rPr>
        <w:footnoteReference w:id="230"/>
      </w:r>
      <w:r w:rsidRPr="000864AE">
        <w:rPr>
          <w:rFonts w:ascii="Verdana" w:eastAsia="Verdana" w:hAnsi="Verdana"/>
          <w:bCs/>
          <w:sz w:val="20"/>
          <w:szCs w:val="20"/>
          <w:lang w:val="es-CR" w:eastAsia="x-none"/>
        </w:rPr>
        <w:t>, y que ha sido continuada en decisiones posteriores</w:t>
      </w:r>
      <w:r w:rsidRPr="000864AE">
        <w:rPr>
          <w:rStyle w:val="Refdenotaalpie"/>
          <w:rFonts w:ascii="Verdana" w:eastAsia="Verdana" w:hAnsi="Verdana"/>
          <w:sz w:val="20"/>
          <w:szCs w:val="20"/>
          <w:lang w:eastAsia="x-none"/>
        </w:rPr>
        <w:footnoteReference w:id="231"/>
      </w:r>
      <w:r w:rsidRPr="000864AE">
        <w:rPr>
          <w:rFonts w:ascii="Verdana" w:eastAsia="Verdana" w:hAnsi="Verdana"/>
          <w:bCs/>
          <w:sz w:val="20"/>
          <w:szCs w:val="20"/>
          <w:lang w:val="es-CR" w:eastAsia="x-none"/>
        </w:rPr>
        <w:t xml:space="preserve">. Al respecto, la Corte recuerda que ya en el caso </w:t>
      </w:r>
      <w:r w:rsidRPr="000864AE">
        <w:rPr>
          <w:rFonts w:ascii="Verdana" w:eastAsia="Verdana" w:hAnsi="Verdana"/>
          <w:bCs/>
          <w:i/>
          <w:sz w:val="20"/>
          <w:szCs w:val="20"/>
          <w:lang w:val="es-CR" w:eastAsia="x-none"/>
        </w:rPr>
        <w:t>Poblete Vilches y otros Vs. Chile</w:t>
      </w:r>
      <w:r w:rsidRPr="000864AE">
        <w:rPr>
          <w:rFonts w:ascii="Verdana" w:eastAsia="Verdana" w:hAnsi="Verdana"/>
          <w:bCs/>
          <w:sz w:val="20"/>
          <w:szCs w:val="20"/>
          <w:lang w:val="es-CR" w:eastAsia="x-none"/>
        </w:rPr>
        <w:t xml:space="preserve"> señaló lo siguiente:</w:t>
      </w:r>
    </w:p>
    <w:p w14:paraId="4F472CB6" w14:textId="77777777" w:rsidR="00E83A1C" w:rsidRPr="000864AE" w:rsidRDefault="00E83A1C" w:rsidP="000864AE">
      <w:pPr>
        <w:pStyle w:val="Estilo1"/>
        <w:tabs>
          <w:tab w:val="left" w:pos="709"/>
        </w:tabs>
        <w:spacing w:after="0"/>
        <w:ind w:right="-4"/>
        <w:rPr>
          <w:rFonts w:eastAsia="Verdana"/>
          <w:bCs/>
          <w:i/>
          <w:sz w:val="20"/>
          <w:szCs w:val="20"/>
          <w:lang w:val="es-CR" w:eastAsia="x-none"/>
        </w:rPr>
      </w:pPr>
    </w:p>
    <w:p w14:paraId="788B2325" w14:textId="33A4D8EF" w:rsidR="00E83A1C" w:rsidRPr="000864AE" w:rsidRDefault="00223943" w:rsidP="000864AE">
      <w:pPr>
        <w:pStyle w:val="Estilo1"/>
        <w:tabs>
          <w:tab w:val="left" w:pos="709"/>
          <w:tab w:val="left" w:pos="8505"/>
        </w:tabs>
        <w:spacing w:after="0"/>
        <w:ind w:left="709" w:right="856"/>
        <w:rPr>
          <w:i/>
          <w:sz w:val="18"/>
          <w:szCs w:val="18"/>
          <w:lang w:val="es-CR"/>
        </w:rPr>
      </w:pPr>
      <w:r w:rsidRPr="000864AE">
        <w:rPr>
          <w:sz w:val="18"/>
          <w:szCs w:val="18"/>
          <w:lang w:val="es-CR"/>
        </w:rPr>
        <w:t>“</w:t>
      </w:r>
      <w:r w:rsidR="00E83A1C" w:rsidRPr="000864AE">
        <w:rPr>
          <w:sz w:val="18"/>
          <w:szCs w:val="18"/>
          <w:lang w:val="es-CR"/>
        </w:rPr>
        <w:t>Así, resulta claro interpretar que la Convención Americana incorporó en su catálogo de derechos protegidos los denominados derechos económicos, sociales, culturales y ambientales (DESCA), a través de una derivación de las normas reconocidas en la Carta de la Organización de los Estados Americanos (OEA), así como de las normas de interpretación dispuestas en el propio artículo 29 de la Convención; particularmente, que impide limitar o excluir el goce de los derechos establecidos en la Declaración Americana e inclusive los reconocidos en materia interna. Asimismo, de conformidad con una interpretación sistemática, teleológica y evolutiva, la Corte ha recurrido al corpus iuris internacional y nacional en la materia para dar contenido específico al alcance de los derechos tutelados por la Convención, a fin de derivar el alcance de las obligaciones específicas de cada derecho</w:t>
      </w:r>
      <w:r w:rsidRPr="000864AE">
        <w:rPr>
          <w:sz w:val="18"/>
          <w:szCs w:val="18"/>
          <w:lang w:val="es-CR"/>
        </w:rPr>
        <w:t>”</w:t>
      </w:r>
      <w:r w:rsidR="00E83A1C" w:rsidRPr="000864AE">
        <w:rPr>
          <w:rStyle w:val="Refdenotaalpie"/>
          <w:sz w:val="18"/>
          <w:szCs w:val="18"/>
        </w:rPr>
        <w:footnoteReference w:id="232"/>
      </w:r>
      <w:r w:rsidR="00E83A1C" w:rsidRPr="000864AE">
        <w:rPr>
          <w:sz w:val="18"/>
          <w:szCs w:val="18"/>
          <w:lang w:val="es-CR"/>
        </w:rPr>
        <w:t>.</w:t>
      </w:r>
    </w:p>
    <w:p w14:paraId="0CD04B44" w14:textId="77777777" w:rsidR="00E83A1C" w:rsidRPr="000864AE" w:rsidRDefault="00E83A1C" w:rsidP="000864AE">
      <w:pPr>
        <w:pStyle w:val="Estilo1"/>
        <w:tabs>
          <w:tab w:val="left" w:pos="709"/>
          <w:tab w:val="left" w:pos="8505"/>
        </w:tabs>
        <w:spacing w:after="0"/>
        <w:ind w:right="855"/>
        <w:rPr>
          <w:rFonts w:eastAsia="Verdana"/>
          <w:bCs/>
          <w:i/>
          <w:sz w:val="20"/>
          <w:szCs w:val="20"/>
          <w:lang w:val="es-CR" w:eastAsia="x-none"/>
        </w:rPr>
      </w:pPr>
    </w:p>
    <w:p w14:paraId="2DE416E4" w14:textId="43543498" w:rsidR="00E83A1C" w:rsidRPr="000864AE" w:rsidRDefault="00E83A1C" w:rsidP="000864AE">
      <w:pPr>
        <w:numPr>
          <w:ilvl w:val="0"/>
          <w:numId w:val="10"/>
        </w:numPr>
        <w:tabs>
          <w:tab w:val="num" w:pos="709"/>
          <w:tab w:val="left" w:pos="851"/>
          <w:tab w:val="num" w:pos="12305"/>
        </w:tabs>
        <w:spacing w:after="0" w:line="240" w:lineRule="auto"/>
        <w:ind w:left="0" w:firstLine="0"/>
        <w:jc w:val="both"/>
        <w:rPr>
          <w:rFonts w:ascii="Verdana" w:eastAsia="Times" w:hAnsi="Verdana" w:cs="Arial"/>
          <w:sz w:val="20"/>
          <w:szCs w:val="20"/>
        </w:rPr>
      </w:pPr>
      <w:r w:rsidRPr="000864AE">
        <w:rPr>
          <w:rFonts w:ascii="Verdana" w:hAnsi="Verdana"/>
          <w:sz w:val="20"/>
          <w:szCs w:val="20"/>
          <w:lang w:val="es-PE"/>
        </w:rPr>
        <w:t xml:space="preserve">En </w:t>
      </w:r>
      <w:r w:rsidRPr="000864AE">
        <w:rPr>
          <w:rFonts w:ascii="Verdana" w:eastAsia="Times" w:hAnsi="Verdana" w:cs="Arial"/>
          <w:sz w:val="20"/>
          <w:szCs w:val="20"/>
        </w:rPr>
        <w:t xml:space="preserve">este apartado, la Corte se pronunciará </w:t>
      </w:r>
      <w:r w:rsidRPr="000864AE">
        <w:rPr>
          <w:rFonts w:ascii="Verdana" w:hAnsi="Verdana"/>
          <w:sz w:val="20"/>
          <w:szCs w:val="20"/>
        </w:rPr>
        <w:t>respecto del derecho a la seguridad social, en particular sobre el derecho a la pensión, de manera autónoma, co</w:t>
      </w:r>
      <w:r w:rsidR="00204520" w:rsidRPr="000864AE">
        <w:rPr>
          <w:rFonts w:ascii="Verdana" w:hAnsi="Verdana"/>
          <w:sz w:val="20"/>
          <w:szCs w:val="20"/>
        </w:rPr>
        <w:t>mo parte integrante de los derechos económicos, sociales, culturales y ambientales (en adelante “DESCA”)</w:t>
      </w:r>
      <w:r w:rsidR="00805A66" w:rsidRPr="000864AE">
        <w:rPr>
          <w:rFonts w:ascii="Verdana" w:hAnsi="Verdana"/>
          <w:sz w:val="20"/>
          <w:szCs w:val="20"/>
        </w:rPr>
        <w:t xml:space="preserve">, al igual que sobre las supuestas afectaciones </w:t>
      </w:r>
      <w:r w:rsidR="00204520" w:rsidRPr="000864AE">
        <w:rPr>
          <w:rFonts w:ascii="Verdana" w:hAnsi="Verdana"/>
          <w:sz w:val="20"/>
          <w:szCs w:val="20"/>
        </w:rPr>
        <w:t>a</w:t>
      </w:r>
      <w:r w:rsidR="00805A66" w:rsidRPr="000864AE">
        <w:rPr>
          <w:rFonts w:ascii="Verdana" w:hAnsi="Verdana"/>
          <w:sz w:val="20"/>
          <w:szCs w:val="20"/>
        </w:rPr>
        <w:t>l derecho a la vida digna y a la propiedad alegadas por la Comisión y los representantes</w:t>
      </w:r>
      <w:r w:rsidR="00805A66" w:rsidRPr="000864AE">
        <w:rPr>
          <w:rFonts w:ascii="Verdana" w:eastAsia="Times" w:hAnsi="Verdana" w:cs="Arial"/>
          <w:sz w:val="20"/>
          <w:szCs w:val="20"/>
        </w:rPr>
        <w:t>. P</w:t>
      </w:r>
      <w:r w:rsidRPr="000864AE">
        <w:rPr>
          <w:rFonts w:ascii="Verdana" w:eastAsia="Times" w:hAnsi="Verdana" w:cs="Arial"/>
          <w:sz w:val="20"/>
          <w:szCs w:val="20"/>
        </w:rPr>
        <w:t xml:space="preserve">ara tal efecto seguirá el siguiente orden: a) el derecho a la seguridad social como </w:t>
      </w:r>
      <w:r w:rsidR="00204520" w:rsidRPr="000864AE">
        <w:rPr>
          <w:rFonts w:ascii="Verdana" w:eastAsia="Times" w:hAnsi="Verdana" w:cs="Arial"/>
          <w:sz w:val="20"/>
          <w:szCs w:val="20"/>
        </w:rPr>
        <w:t>derecho autónomo y justiciable;</w:t>
      </w:r>
      <w:r w:rsidRPr="000864AE">
        <w:rPr>
          <w:rFonts w:ascii="Verdana" w:eastAsia="Times" w:hAnsi="Verdana" w:cs="Arial"/>
          <w:sz w:val="20"/>
          <w:szCs w:val="20"/>
        </w:rPr>
        <w:t xml:space="preserve"> b)</w:t>
      </w:r>
      <w:r w:rsidRPr="000864AE">
        <w:rPr>
          <w:rFonts w:ascii="Verdana" w:eastAsia="Times" w:hAnsi="Verdana" w:cs="Arial"/>
          <w:sz w:val="20"/>
          <w:szCs w:val="20"/>
          <w:lang w:val="es-PE"/>
        </w:rPr>
        <w:t xml:space="preserve"> el conten</w:t>
      </w:r>
      <w:r w:rsidR="00204520" w:rsidRPr="000864AE">
        <w:rPr>
          <w:rFonts w:ascii="Verdana" w:eastAsia="Times" w:hAnsi="Verdana" w:cs="Arial"/>
          <w:sz w:val="20"/>
          <w:szCs w:val="20"/>
          <w:lang w:val="es-PE"/>
        </w:rPr>
        <w:t>ido del derecho a la seguridad;</w:t>
      </w:r>
      <w:r w:rsidRPr="000864AE">
        <w:rPr>
          <w:rFonts w:ascii="Verdana" w:eastAsia="Times" w:hAnsi="Verdana" w:cs="Arial"/>
          <w:sz w:val="20"/>
          <w:szCs w:val="20"/>
        </w:rPr>
        <w:t xml:space="preserve"> c) la afectación del derecho a la seguridad social </w:t>
      </w:r>
      <w:r w:rsidR="00805A66" w:rsidRPr="000864AE">
        <w:rPr>
          <w:rFonts w:ascii="Verdana" w:eastAsia="Times" w:hAnsi="Verdana" w:cs="Arial"/>
          <w:sz w:val="20"/>
          <w:szCs w:val="20"/>
        </w:rPr>
        <w:t xml:space="preserve">y a la vida digna </w:t>
      </w:r>
      <w:r w:rsidRPr="000864AE">
        <w:rPr>
          <w:rFonts w:ascii="Verdana" w:eastAsia="Times" w:hAnsi="Verdana" w:cs="Arial"/>
          <w:sz w:val="20"/>
          <w:szCs w:val="20"/>
        </w:rPr>
        <w:t>en el presente caso</w:t>
      </w:r>
      <w:r w:rsidR="00942597" w:rsidRPr="000864AE">
        <w:rPr>
          <w:rFonts w:ascii="Verdana" w:eastAsia="Times" w:hAnsi="Verdana" w:cs="Arial"/>
          <w:sz w:val="20"/>
          <w:szCs w:val="20"/>
        </w:rPr>
        <w:t>, y d) la afectación al derecho a la propiedad</w:t>
      </w:r>
      <w:r w:rsidRPr="000864AE">
        <w:rPr>
          <w:rFonts w:ascii="Verdana" w:eastAsia="Times" w:hAnsi="Verdana" w:cs="Arial"/>
          <w:sz w:val="20"/>
          <w:szCs w:val="20"/>
        </w:rPr>
        <w:t>.</w:t>
      </w:r>
    </w:p>
    <w:p w14:paraId="224F0298" w14:textId="77777777" w:rsidR="00E83A1C" w:rsidRPr="000864AE" w:rsidRDefault="00E83A1C" w:rsidP="000864AE">
      <w:pPr>
        <w:spacing w:after="0" w:line="240" w:lineRule="auto"/>
        <w:jc w:val="both"/>
        <w:rPr>
          <w:rFonts w:ascii="Verdana" w:hAnsi="Verdana"/>
          <w:i/>
          <w:sz w:val="20"/>
          <w:szCs w:val="20"/>
        </w:rPr>
      </w:pPr>
    </w:p>
    <w:p w14:paraId="4C234BEC" w14:textId="0D525846" w:rsidR="00E83A1C" w:rsidRPr="000864AE" w:rsidRDefault="00E83A1C" w:rsidP="000864AE">
      <w:pPr>
        <w:pStyle w:val="Ttulo4"/>
        <w:numPr>
          <w:ilvl w:val="0"/>
          <w:numId w:val="0"/>
        </w:numPr>
        <w:ind w:left="1068"/>
      </w:pPr>
      <w:bookmarkStart w:id="79" w:name="_Toc27329782"/>
      <w:r w:rsidRPr="000864AE">
        <w:t>C.2.1. El derecho a la seguridad social como derecho autónomo y justiciable</w:t>
      </w:r>
      <w:bookmarkEnd w:id="79"/>
    </w:p>
    <w:p w14:paraId="01247A40" w14:textId="77777777" w:rsidR="00E83A1C" w:rsidRPr="000864AE" w:rsidRDefault="00E83A1C" w:rsidP="000864AE">
      <w:pPr>
        <w:pStyle w:val="Prrafodelista"/>
        <w:spacing w:after="0" w:line="240" w:lineRule="auto"/>
        <w:ind w:left="1080"/>
        <w:jc w:val="both"/>
        <w:rPr>
          <w:rFonts w:ascii="Verdana" w:hAnsi="Verdana"/>
          <w:i/>
          <w:sz w:val="20"/>
          <w:szCs w:val="20"/>
        </w:rPr>
      </w:pPr>
    </w:p>
    <w:p w14:paraId="6F7290BC" w14:textId="58BB86C8" w:rsidR="00E83A1C" w:rsidRPr="000864AE" w:rsidRDefault="00E83A1C" w:rsidP="000864AE">
      <w:pPr>
        <w:numPr>
          <w:ilvl w:val="0"/>
          <w:numId w:val="10"/>
        </w:numPr>
        <w:tabs>
          <w:tab w:val="left" w:pos="709"/>
          <w:tab w:val="num" w:pos="1569"/>
          <w:tab w:val="num" w:pos="12305"/>
        </w:tabs>
        <w:spacing w:after="0" w:line="240" w:lineRule="auto"/>
        <w:ind w:left="0" w:firstLine="0"/>
        <w:jc w:val="both"/>
        <w:rPr>
          <w:rFonts w:ascii="Verdana" w:eastAsia="Times New Roman" w:hAnsi="Verdana" w:cs="Tahoma"/>
          <w:color w:val="333333"/>
          <w:sz w:val="20"/>
          <w:szCs w:val="20"/>
          <w:lang w:val="es-PE"/>
        </w:rPr>
      </w:pPr>
      <w:r w:rsidRPr="000864AE">
        <w:rPr>
          <w:rFonts w:ascii="Verdana" w:hAnsi="Verdana"/>
          <w:sz w:val="20"/>
          <w:szCs w:val="20"/>
          <w:lang w:val="es-ES"/>
        </w:rPr>
        <w:t xml:space="preserve">Para identificar aquellos derechos que pueden ser derivados interpretativamente del artículo 26, se debe considerar que este </w:t>
      </w:r>
      <w:r w:rsidRPr="000864AE">
        <w:rPr>
          <w:rFonts w:ascii="Verdana" w:hAnsi="Verdana"/>
          <w:sz w:val="20"/>
          <w:szCs w:val="20"/>
          <w:lang w:val="es-PE"/>
        </w:rPr>
        <w:t xml:space="preserve">realiza una remisión directa a </w:t>
      </w:r>
      <w:r w:rsidRPr="000864AE">
        <w:rPr>
          <w:rFonts w:ascii="Verdana" w:eastAsia="Times" w:hAnsi="Verdana" w:cs="Arial"/>
          <w:sz w:val="20"/>
          <w:szCs w:val="20"/>
        </w:rPr>
        <w:t xml:space="preserve">las normas económicas, sociales y sobre educación, ciencia y cultura contenidas en la Carta de la </w:t>
      </w:r>
      <w:r w:rsidR="00847A68" w:rsidRPr="000864AE">
        <w:rPr>
          <w:rFonts w:ascii="Verdana" w:eastAsia="Times" w:hAnsi="Verdana" w:cs="Arial"/>
          <w:sz w:val="20"/>
          <w:szCs w:val="20"/>
        </w:rPr>
        <w:t>OEA</w:t>
      </w:r>
      <w:r w:rsidRPr="000864AE">
        <w:rPr>
          <w:rFonts w:ascii="Verdana" w:hAnsi="Verdana"/>
          <w:sz w:val="20"/>
          <w:szCs w:val="20"/>
          <w:lang w:val="es-PE"/>
        </w:rPr>
        <w:t xml:space="preserve">. De una lectura de este último instrumento, </w:t>
      </w:r>
      <w:r w:rsidRPr="000864AE">
        <w:rPr>
          <w:rFonts w:ascii="Verdana" w:eastAsia="Times" w:hAnsi="Verdana" w:cs="Arial"/>
          <w:sz w:val="20"/>
          <w:szCs w:val="20"/>
        </w:rPr>
        <w:t>la Corte advi</w:t>
      </w:r>
      <w:r w:rsidR="00EF0872" w:rsidRPr="000864AE">
        <w:rPr>
          <w:rFonts w:ascii="Verdana" w:eastAsia="Times" w:hAnsi="Verdana" w:cs="Arial"/>
          <w:sz w:val="20"/>
          <w:szCs w:val="20"/>
        </w:rPr>
        <w:t>erte que reconoce</w:t>
      </w:r>
      <w:r w:rsidRPr="000864AE">
        <w:rPr>
          <w:rFonts w:ascii="Verdana" w:eastAsia="Times" w:hAnsi="Verdana" w:cs="Arial"/>
          <w:sz w:val="20"/>
          <w:szCs w:val="20"/>
        </w:rPr>
        <w:t xml:space="preserve"> la seguridad social en su artículo 3.j)</w:t>
      </w:r>
      <w:r w:rsidRPr="000864AE">
        <w:rPr>
          <w:rStyle w:val="Refdenotaalpie"/>
          <w:rFonts w:ascii="Verdana" w:eastAsia="Times" w:hAnsi="Verdana"/>
          <w:sz w:val="20"/>
          <w:szCs w:val="20"/>
        </w:rPr>
        <w:footnoteReference w:id="233"/>
      </w:r>
      <w:r w:rsidRPr="000864AE">
        <w:rPr>
          <w:rFonts w:ascii="Verdana" w:eastAsia="Times" w:hAnsi="Verdana" w:cs="Arial"/>
          <w:sz w:val="20"/>
          <w:szCs w:val="20"/>
        </w:rPr>
        <w:t xml:space="preserve"> al señalar que “la justicia y la seguridad sociales son bases de una paz duradera”. Asimismo, </w:t>
      </w:r>
      <w:r w:rsidRPr="000864AE">
        <w:rPr>
          <w:rFonts w:ascii="Verdana" w:hAnsi="Verdana"/>
          <w:sz w:val="20"/>
          <w:szCs w:val="20"/>
        </w:rPr>
        <w:t>el</w:t>
      </w:r>
      <w:r w:rsidRPr="000864AE">
        <w:rPr>
          <w:rFonts w:ascii="Verdana" w:hAnsi="Verdana"/>
          <w:sz w:val="20"/>
          <w:szCs w:val="20"/>
          <w:lang w:val="es-CR"/>
        </w:rPr>
        <w:t xml:space="preserve"> artículo 45.b)</w:t>
      </w:r>
      <w:r w:rsidRPr="000864AE">
        <w:rPr>
          <w:rStyle w:val="Refdenotaalpie"/>
          <w:rFonts w:ascii="Verdana" w:hAnsi="Verdana"/>
          <w:sz w:val="20"/>
          <w:szCs w:val="20"/>
        </w:rPr>
        <w:footnoteReference w:id="234"/>
      </w:r>
      <w:r w:rsidRPr="000864AE">
        <w:rPr>
          <w:rFonts w:ascii="Verdana" w:hAnsi="Verdana"/>
          <w:sz w:val="20"/>
          <w:szCs w:val="20"/>
          <w:lang w:val="es-CR"/>
        </w:rPr>
        <w:t xml:space="preserve"> de la Carta de la OEA establece que “b) </w:t>
      </w:r>
      <w:r w:rsidRPr="000864AE">
        <w:rPr>
          <w:rFonts w:ascii="Verdana" w:hAnsi="Verdana" w:cs="Tahoma"/>
          <w:color w:val="000000"/>
          <w:sz w:val="20"/>
          <w:szCs w:val="20"/>
          <w:lang w:val="es-ES"/>
        </w:rPr>
        <w:t xml:space="preserve">[e]l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 Asimismo, el </w:t>
      </w:r>
      <w:r w:rsidRPr="000864AE">
        <w:rPr>
          <w:rFonts w:ascii="Verdana" w:hAnsi="Verdana"/>
          <w:sz w:val="20"/>
          <w:szCs w:val="20"/>
          <w:lang w:val="es-ES"/>
        </w:rPr>
        <w:t>artículo</w:t>
      </w:r>
      <w:r w:rsidRPr="000864AE">
        <w:rPr>
          <w:rFonts w:ascii="Verdana" w:hAnsi="Verdana"/>
          <w:sz w:val="20"/>
          <w:szCs w:val="20"/>
          <w:lang w:val="es-CR"/>
        </w:rPr>
        <w:t xml:space="preserve"> 45.h)</w:t>
      </w:r>
      <w:r w:rsidRPr="000864AE">
        <w:rPr>
          <w:rStyle w:val="Refdenotaalpie"/>
          <w:rFonts w:ascii="Verdana" w:hAnsi="Verdana"/>
          <w:sz w:val="20"/>
          <w:szCs w:val="20"/>
        </w:rPr>
        <w:footnoteReference w:id="235"/>
      </w:r>
      <w:r w:rsidRPr="000864AE">
        <w:rPr>
          <w:rFonts w:ascii="Verdana" w:hAnsi="Verdana"/>
          <w:sz w:val="20"/>
          <w:szCs w:val="20"/>
          <w:lang w:val="es-CR"/>
        </w:rPr>
        <w:t xml:space="preserve"> de la Carta establece que “el hombre sólo puede alcanzar la plena realización de sus aspiraciones dentro de un orden social justo”, por lo que los Estados convienen en dedicar esfuerzos a la aplicación de ciertos principios y mecanismos, entre ellos </w:t>
      </w:r>
      <w:r w:rsidRPr="000864AE">
        <w:rPr>
          <w:rFonts w:ascii="Verdana" w:hAnsi="Verdana" w:cs="Tahoma"/>
          <w:color w:val="000000"/>
          <w:sz w:val="20"/>
          <w:szCs w:val="20"/>
          <w:lang w:val="es-PE"/>
        </w:rPr>
        <w:t xml:space="preserve">el “h) </w:t>
      </w:r>
      <w:r w:rsidRPr="000864AE">
        <w:rPr>
          <w:rFonts w:ascii="Verdana" w:hAnsi="Verdana"/>
          <w:sz w:val="20"/>
          <w:szCs w:val="20"/>
          <w:lang w:val="es-CR"/>
        </w:rPr>
        <w:t xml:space="preserve">[d]esarrollo de una política eficiente de seguridad social”. Por su parte, en el artículo 46 de la Carta los Estados reconocen que </w:t>
      </w:r>
      <w:r w:rsidRPr="000864AE">
        <w:rPr>
          <w:rFonts w:ascii="Verdana" w:hAnsi="Verdana" w:cs="Tahoma"/>
          <w:color w:val="000000"/>
          <w:sz w:val="20"/>
          <w:szCs w:val="20"/>
          <w:lang w:val="es-ES"/>
        </w:rPr>
        <w:t>“para facilitar el proceso de la integración regional latinoamericana, es necesario armonizar la legislación social de los países en desarrollo, especialmente en el campo laboral y de la seguridad social, a fin de que los derechos de los trabajadores sean igualmente protegidos, y convienen en realizar los máximos esfuerzos para alcanzar esta finalidad”.</w:t>
      </w:r>
    </w:p>
    <w:p w14:paraId="192771F0" w14:textId="77777777" w:rsidR="00E83A1C" w:rsidRPr="000864AE" w:rsidRDefault="00E83A1C" w:rsidP="000864AE">
      <w:pPr>
        <w:pStyle w:val="Prrafodelista"/>
        <w:spacing w:after="0" w:line="240" w:lineRule="auto"/>
        <w:ind w:left="0"/>
        <w:jc w:val="both"/>
        <w:rPr>
          <w:rFonts w:ascii="Verdana" w:hAnsi="Verdana"/>
          <w:sz w:val="20"/>
          <w:szCs w:val="20"/>
          <w:lang w:val="es-CR"/>
        </w:rPr>
      </w:pPr>
    </w:p>
    <w:p w14:paraId="194AC9F3" w14:textId="77777777" w:rsidR="00E83A1C" w:rsidRPr="000864AE" w:rsidRDefault="00E83A1C" w:rsidP="000864AE">
      <w:pPr>
        <w:numPr>
          <w:ilvl w:val="0"/>
          <w:numId w:val="10"/>
        </w:numPr>
        <w:tabs>
          <w:tab w:val="left" w:pos="709"/>
          <w:tab w:val="num" w:pos="1569"/>
          <w:tab w:val="num" w:pos="12305"/>
        </w:tabs>
        <w:spacing w:after="0" w:line="240" w:lineRule="auto"/>
        <w:ind w:left="0" w:firstLine="0"/>
        <w:jc w:val="both"/>
        <w:rPr>
          <w:rFonts w:ascii="Verdana" w:eastAsia="Times" w:hAnsi="Verdana" w:cs="Arial"/>
          <w:sz w:val="20"/>
          <w:szCs w:val="20"/>
        </w:rPr>
      </w:pPr>
      <w:r w:rsidRPr="000864AE">
        <w:rPr>
          <w:rFonts w:ascii="Verdana" w:hAnsi="Verdana"/>
          <w:sz w:val="20"/>
          <w:szCs w:val="20"/>
          <w:lang w:val="es-CR"/>
        </w:rPr>
        <w:t>De esta forma, la Corte considera que existe una referencia con el suficiente grado de especificidad del derecho a la seguridad social para derivar su existencia y reconocimiento implícito en la Carta de la OEA. En particular, de los distintos enunciados se deduce que el derecho a la seguridad social tiene como finalidad asegurar a las personas una vida, salud y niveles económicos decorosos en su vejez, o ante eventos que las priven de su posibilidad de trabajar, es decir en relación con eventos futuros que podrían afectar el nivel y calidad de sus vidas.</w:t>
      </w:r>
      <w:r w:rsidRPr="000864AE">
        <w:rPr>
          <w:rFonts w:ascii="Verdana" w:eastAsia="Times" w:hAnsi="Verdana" w:cs="Arial"/>
          <w:sz w:val="20"/>
          <w:szCs w:val="20"/>
        </w:rPr>
        <w:t xml:space="preserve"> </w:t>
      </w:r>
      <w:r w:rsidRPr="000864AE">
        <w:rPr>
          <w:rFonts w:ascii="Verdana" w:hAnsi="Verdana"/>
          <w:sz w:val="20"/>
          <w:szCs w:val="20"/>
        </w:rPr>
        <w:t>En vista de lo anterior, la Corte considera que el derecho a la seguridad social es un derecho protegido por el artículo 26 de la Convención</w:t>
      </w:r>
      <w:r w:rsidRPr="000864AE">
        <w:rPr>
          <w:rStyle w:val="Refdenotaalpie"/>
          <w:rFonts w:ascii="Verdana" w:hAnsi="Verdana"/>
          <w:sz w:val="20"/>
          <w:szCs w:val="20"/>
        </w:rPr>
        <w:footnoteReference w:id="236"/>
      </w:r>
      <w:r w:rsidRPr="000864AE">
        <w:rPr>
          <w:rFonts w:ascii="Verdana" w:hAnsi="Verdana"/>
          <w:sz w:val="20"/>
          <w:szCs w:val="20"/>
        </w:rPr>
        <w:t xml:space="preserve">. </w:t>
      </w:r>
    </w:p>
    <w:p w14:paraId="653226DF" w14:textId="77777777" w:rsidR="00E83A1C" w:rsidRPr="000864AE" w:rsidRDefault="00E83A1C" w:rsidP="000864AE">
      <w:pPr>
        <w:tabs>
          <w:tab w:val="left" w:pos="567"/>
          <w:tab w:val="num" w:pos="12305"/>
        </w:tabs>
        <w:spacing w:after="0" w:line="240" w:lineRule="auto"/>
        <w:jc w:val="both"/>
        <w:rPr>
          <w:rFonts w:ascii="Verdana" w:eastAsia="Times" w:hAnsi="Verdana" w:cs="Arial"/>
          <w:sz w:val="20"/>
          <w:szCs w:val="20"/>
        </w:rPr>
      </w:pPr>
    </w:p>
    <w:p w14:paraId="500A30AC" w14:textId="4AED50BB" w:rsidR="00E83A1C" w:rsidRPr="000864AE" w:rsidRDefault="00E83A1C" w:rsidP="000864AE">
      <w:pPr>
        <w:numPr>
          <w:ilvl w:val="0"/>
          <w:numId w:val="10"/>
        </w:numPr>
        <w:tabs>
          <w:tab w:val="num" w:pos="709"/>
          <w:tab w:val="num" w:pos="12305"/>
        </w:tabs>
        <w:spacing w:after="0" w:line="240" w:lineRule="auto"/>
        <w:ind w:left="0" w:firstLine="0"/>
        <w:jc w:val="both"/>
        <w:rPr>
          <w:rFonts w:ascii="Verdana" w:hAnsi="Verdana"/>
          <w:sz w:val="20"/>
          <w:szCs w:val="20"/>
        </w:rPr>
      </w:pPr>
      <w:r w:rsidRPr="000864AE">
        <w:rPr>
          <w:rFonts w:ascii="Verdana" w:eastAsia="Times" w:hAnsi="Verdana" w:cs="Arial"/>
          <w:sz w:val="20"/>
          <w:szCs w:val="20"/>
        </w:rPr>
        <w:t xml:space="preserve">Corresponde entonces a este Tribunal reiterar los alcances del derecho a la seguridad social, en particular del derecho a la pensión en el marco de los hechos del presente caso, a la luz del </w:t>
      </w:r>
      <w:r w:rsidRPr="000864AE">
        <w:rPr>
          <w:rFonts w:ascii="Verdana" w:eastAsia="Times" w:hAnsi="Verdana" w:cs="Arial"/>
          <w:i/>
          <w:sz w:val="20"/>
          <w:szCs w:val="20"/>
        </w:rPr>
        <w:t>corpus iuris</w:t>
      </w:r>
      <w:r w:rsidRPr="000864AE">
        <w:rPr>
          <w:rFonts w:ascii="Verdana" w:eastAsia="Times" w:hAnsi="Verdana" w:cs="Arial"/>
          <w:sz w:val="20"/>
          <w:szCs w:val="20"/>
        </w:rPr>
        <w:t xml:space="preserve"> internacional en la materia. La Corte recuerda que </w:t>
      </w:r>
      <w:r w:rsidRPr="000864AE">
        <w:rPr>
          <w:rFonts w:ascii="Verdana" w:hAnsi="Verdana"/>
          <w:sz w:val="20"/>
          <w:szCs w:val="20"/>
          <w:lang w:val="es-CR"/>
        </w:rPr>
        <w:t xml:space="preserve">las obligaciones contenidas en los artículos 1.1 y 2 de la Convención Americana constituyen, en definitiva, la base para la determinación de responsabilidad internacional </w:t>
      </w:r>
      <w:r w:rsidR="00EF0872" w:rsidRPr="000864AE">
        <w:rPr>
          <w:rFonts w:ascii="Verdana" w:hAnsi="Verdana"/>
          <w:sz w:val="20"/>
          <w:szCs w:val="20"/>
          <w:lang w:val="es-CR"/>
        </w:rPr>
        <w:t>de</w:t>
      </w:r>
      <w:r w:rsidRPr="000864AE">
        <w:rPr>
          <w:rFonts w:ascii="Verdana" w:hAnsi="Verdana"/>
          <w:sz w:val="20"/>
          <w:szCs w:val="20"/>
          <w:lang w:val="es-CR"/>
        </w:rPr>
        <w:t xml:space="preserve"> un Estado por violaciones a los derechos </w:t>
      </w:r>
      <w:r w:rsidR="00EF0872" w:rsidRPr="000864AE">
        <w:rPr>
          <w:rFonts w:ascii="Verdana" w:hAnsi="Verdana"/>
          <w:sz w:val="20"/>
          <w:szCs w:val="20"/>
          <w:lang w:val="es-CR"/>
        </w:rPr>
        <w:t>contemplados</w:t>
      </w:r>
      <w:r w:rsidRPr="000864AE">
        <w:rPr>
          <w:rFonts w:ascii="Verdana" w:hAnsi="Verdana"/>
          <w:sz w:val="20"/>
          <w:szCs w:val="20"/>
          <w:lang w:val="es-CR"/>
        </w:rPr>
        <w:t xml:space="preserve"> en la Convención</w:t>
      </w:r>
      <w:r w:rsidRPr="000864AE">
        <w:rPr>
          <w:rStyle w:val="Refdenotaalpie"/>
          <w:rFonts w:ascii="Verdana" w:hAnsi="Verdana"/>
          <w:sz w:val="20"/>
          <w:szCs w:val="20"/>
        </w:rPr>
        <w:footnoteReference w:id="237"/>
      </w:r>
      <w:r w:rsidRPr="000864AE">
        <w:rPr>
          <w:rFonts w:ascii="Verdana" w:hAnsi="Verdana"/>
          <w:sz w:val="20"/>
          <w:szCs w:val="20"/>
          <w:lang w:val="es-CR"/>
        </w:rPr>
        <w:t xml:space="preserve">, incluidos aquellos reconocidos en virtud del artículo 26. Sin embargo, la misma Convención hace expresa referencia a las normas del Derecho Internacional general para su interpretación y aplicación, específicamente a través del artículo 29, el cual prevé el principio </w:t>
      </w:r>
      <w:r w:rsidRPr="000864AE">
        <w:rPr>
          <w:rFonts w:ascii="Verdana" w:hAnsi="Verdana"/>
          <w:i/>
          <w:sz w:val="20"/>
          <w:szCs w:val="20"/>
          <w:lang w:val="es-CR"/>
        </w:rPr>
        <w:t>pro persona</w:t>
      </w:r>
      <w:r w:rsidRPr="000864AE">
        <w:rPr>
          <w:rStyle w:val="Refdenotaalpie"/>
          <w:rFonts w:ascii="Verdana" w:hAnsi="Verdana"/>
          <w:sz w:val="20"/>
          <w:szCs w:val="20"/>
        </w:rPr>
        <w:footnoteReference w:id="238"/>
      </w:r>
      <w:r w:rsidRPr="000864AE">
        <w:rPr>
          <w:rFonts w:ascii="Verdana" w:hAnsi="Verdana"/>
          <w:sz w:val="20"/>
          <w:szCs w:val="20"/>
          <w:lang w:val="es-CR"/>
        </w:rPr>
        <w:t xml:space="preserve">. De esta </w:t>
      </w:r>
      <w:r w:rsidR="00EF0872" w:rsidRPr="000864AE">
        <w:rPr>
          <w:rFonts w:ascii="Verdana" w:hAnsi="Verdana"/>
          <w:sz w:val="20"/>
          <w:szCs w:val="20"/>
          <w:lang w:val="es-CR"/>
        </w:rPr>
        <w:t>manera</w:t>
      </w:r>
      <w:r w:rsidRPr="000864AE">
        <w:rPr>
          <w:rFonts w:ascii="Verdana" w:hAnsi="Verdana"/>
          <w:sz w:val="20"/>
          <w:szCs w:val="20"/>
          <w:lang w:val="es-CR"/>
        </w:rPr>
        <w:t>, como ha sido la práctica constante de este Tribunal</w:t>
      </w:r>
      <w:r w:rsidRPr="000864AE">
        <w:rPr>
          <w:rStyle w:val="Refdenotaalpie"/>
          <w:rFonts w:ascii="Verdana" w:hAnsi="Verdana"/>
          <w:sz w:val="20"/>
          <w:szCs w:val="20"/>
        </w:rPr>
        <w:footnoteReference w:id="239"/>
      </w:r>
      <w:r w:rsidRPr="000864AE">
        <w:rPr>
          <w:rFonts w:ascii="Verdana" w:hAnsi="Verdana"/>
          <w:sz w:val="20"/>
          <w:szCs w:val="20"/>
          <w:lang w:val="es-CR"/>
        </w:rPr>
        <w:t xml:space="preserve">, al determinar la compatibilidad de las </w:t>
      </w:r>
      <w:r w:rsidR="00EF0872" w:rsidRPr="000864AE">
        <w:rPr>
          <w:rFonts w:ascii="Verdana" w:hAnsi="Verdana"/>
          <w:sz w:val="20"/>
          <w:szCs w:val="20"/>
          <w:lang w:val="es-CR"/>
        </w:rPr>
        <w:t>acciones y omisiones del Estado</w:t>
      </w:r>
      <w:r w:rsidRPr="000864AE">
        <w:rPr>
          <w:rFonts w:ascii="Verdana" w:hAnsi="Verdana"/>
          <w:sz w:val="20"/>
          <w:szCs w:val="20"/>
          <w:lang w:val="es-CR"/>
        </w:rPr>
        <w:t xml:space="preserve"> o de sus normas, con la propia Convención u otros tratados respecto de los cuales tiene competencia, la Corte puede interpretar las obligaciones y derechos en ellos contenidos a la luz de otros tratados y normas pertinentes</w:t>
      </w:r>
      <w:r w:rsidRPr="000864AE">
        <w:rPr>
          <w:rStyle w:val="Refdenotaalpie"/>
          <w:rFonts w:ascii="Verdana" w:hAnsi="Verdana"/>
          <w:sz w:val="20"/>
          <w:szCs w:val="20"/>
        </w:rPr>
        <w:footnoteReference w:id="240"/>
      </w:r>
      <w:r w:rsidRPr="000864AE">
        <w:rPr>
          <w:rFonts w:ascii="Verdana" w:hAnsi="Verdana"/>
          <w:sz w:val="20"/>
          <w:szCs w:val="20"/>
          <w:lang w:val="es-CR"/>
        </w:rPr>
        <w:t>.</w:t>
      </w:r>
    </w:p>
    <w:p w14:paraId="31FA1366" w14:textId="77777777" w:rsidR="00E83A1C" w:rsidRPr="000864AE" w:rsidRDefault="00E83A1C" w:rsidP="000864AE">
      <w:pPr>
        <w:tabs>
          <w:tab w:val="left" w:pos="567"/>
        </w:tabs>
        <w:spacing w:after="0" w:line="240" w:lineRule="auto"/>
        <w:jc w:val="both"/>
        <w:rPr>
          <w:rFonts w:ascii="Verdana" w:hAnsi="Verdana"/>
          <w:sz w:val="20"/>
          <w:szCs w:val="20"/>
        </w:rPr>
      </w:pPr>
    </w:p>
    <w:p w14:paraId="61C6EC85" w14:textId="6FAD1995" w:rsidR="00E83A1C" w:rsidRPr="000864AE" w:rsidRDefault="00E83A1C" w:rsidP="000864AE">
      <w:pPr>
        <w:numPr>
          <w:ilvl w:val="0"/>
          <w:numId w:val="10"/>
        </w:numPr>
        <w:tabs>
          <w:tab w:val="left" w:pos="709"/>
          <w:tab w:val="num" w:pos="1569"/>
          <w:tab w:val="num" w:pos="12305"/>
        </w:tabs>
        <w:spacing w:after="0" w:line="240" w:lineRule="auto"/>
        <w:ind w:left="0" w:firstLine="0"/>
        <w:jc w:val="both"/>
        <w:rPr>
          <w:rFonts w:ascii="Verdana" w:hAnsi="Verdana"/>
          <w:sz w:val="20"/>
          <w:szCs w:val="20"/>
        </w:rPr>
      </w:pPr>
      <w:r w:rsidRPr="000864AE">
        <w:rPr>
          <w:rFonts w:ascii="Verdana" w:hAnsi="Verdana"/>
          <w:sz w:val="20"/>
          <w:szCs w:val="20"/>
          <w:lang w:val="es-CR"/>
        </w:rPr>
        <w:t xml:space="preserve">De esta forma, la Corte reiterará las fuentes, principios y criterios del </w:t>
      </w:r>
      <w:r w:rsidRPr="000864AE">
        <w:rPr>
          <w:rFonts w:ascii="Verdana" w:hAnsi="Verdana"/>
          <w:i/>
          <w:sz w:val="20"/>
          <w:szCs w:val="20"/>
          <w:lang w:val="es-CR"/>
        </w:rPr>
        <w:t xml:space="preserve">corpus iuris </w:t>
      </w:r>
      <w:r w:rsidRPr="000864AE">
        <w:rPr>
          <w:rFonts w:ascii="Verdana" w:hAnsi="Verdana"/>
          <w:sz w:val="20"/>
          <w:szCs w:val="20"/>
          <w:lang w:val="es-CR"/>
        </w:rPr>
        <w:t xml:space="preserve">internacional como normativa especial aplicable en la determinación del contenido del derecho a la seguridad social. Este Tribunal señala que la utilización de la normativa antes mencionada para la determinación del derecho en cuestión se utilizará </w:t>
      </w:r>
      <w:r w:rsidR="00EF0872" w:rsidRPr="000864AE">
        <w:rPr>
          <w:rFonts w:ascii="Verdana" w:hAnsi="Verdana"/>
          <w:sz w:val="20"/>
          <w:szCs w:val="20"/>
          <w:lang w:val="es-CR"/>
        </w:rPr>
        <w:t>de modo</w:t>
      </w:r>
      <w:r w:rsidRPr="000864AE">
        <w:rPr>
          <w:rFonts w:ascii="Verdana" w:hAnsi="Verdana"/>
          <w:sz w:val="20"/>
          <w:szCs w:val="20"/>
          <w:lang w:val="es-CR"/>
        </w:rPr>
        <w:t xml:space="preserve"> compl</w:t>
      </w:r>
      <w:r w:rsidR="00EF0872" w:rsidRPr="000864AE">
        <w:rPr>
          <w:rFonts w:ascii="Verdana" w:hAnsi="Verdana"/>
          <w:sz w:val="20"/>
          <w:szCs w:val="20"/>
          <w:lang w:val="es-CR"/>
        </w:rPr>
        <w:t>ementario</w:t>
      </w:r>
      <w:r w:rsidRPr="000864AE">
        <w:rPr>
          <w:rFonts w:ascii="Verdana" w:hAnsi="Verdana"/>
          <w:sz w:val="20"/>
          <w:szCs w:val="20"/>
          <w:lang w:val="es-CR"/>
        </w:rPr>
        <w:t xml:space="preserve"> a la normativa convencional. Al respecto, la Corte afirma que no está asumiendo competencias sobre tratados en los que no la tiene, ni tampoco está otorgando jerarquía convencional a normas contenidas en otros instrumentos nacionales o internacionales relacionados con los </w:t>
      </w:r>
      <w:r w:rsidR="00EF0872" w:rsidRPr="000864AE">
        <w:rPr>
          <w:rFonts w:ascii="Verdana" w:hAnsi="Verdana"/>
          <w:sz w:val="20"/>
          <w:szCs w:val="20"/>
          <w:lang w:val="es-CR"/>
        </w:rPr>
        <w:t>derechos económicos, sociales, culturales y ambientales</w:t>
      </w:r>
      <w:r w:rsidRPr="000864AE">
        <w:rPr>
          <w:rStyle w:val="Refdenotaalpie"/>
          <w:rFonts w:ascii="Verdana" w:hAnsi="Verdana"/>
          <w:sz w:val="20"/>
          <w:szCs w:val="20"/>
        </w:rPr>
        <w:footnoteReference w:id="241"/>
      </w:r>
      <w:r w:rsidRPr="000864AE">
        <w:rPr>
          <w:rFonts w:ascii="Verdana" w:hAnsi="Verdana"/>
          <w:sz w:val="20"/>
          <w:szCs w:val="20"/>
          <w:lang w:val="es-CR"/>
        </w:rPr>
        <w:t>. Por el contrario, la Corte realizará una interpretación de conformidad con las pautas previstas por el artículo 29, y conforme a su práctica jurisprudencial, que permita actualizar el sentido de los derechos derivados de la Carta de la OEA que se encuentran reconocidos por el artículo 26 de la Convención. La determinación del derecho a la seguridad social dará un especial énfasis a la Declaración Americana</w:t>
      </w:r>
      <w:r w:rsidR="00EF0872" w:rsidRPr="000864AE">
        <w:rPr>
          <w:rFonts w:ascii="Verdana" w:hAnsi="Verdana"/>
          <w:sz w:val="20"/>
          <w:szCs w:val="20"/>
          <w:lang w:val="es-CR"/>
        </w:rPr>
        <w:t xml:space="preserve"> de los Derechos y D</w:t>
      </w:r>
      <w:r w:rsidR="00D647B1" w:rsidRPr="000864AE">
        <w:rPr>
          <w:rFonts w:ascii="Verdana" w:hAnsi="Verdana"/>
          <w:sz w:val="20"/>
          <w:szCs w:val="20"/>
          <w:lang w:val="es-CR"/>
        </w:rPr>
        <w:t>eberes del Hombre (en adelante “</w:t>
      </w:r>
      <w:r w:rsidR="00EF0872" w:rsidRPr="000864AE">
        <w:rPr>
          <w:rFonts w:ascii="Verdana" w:hAnsi="Verdana"/>
          <w:sz w:val="20"/>
          <w:szCs w:val="20"/>
          <w:lang w:val="es-CR"/>
        </w:rPr>
        <w:t>la Declaración Americana</w:t>
      </w:r>
      <w:r w:rsidR="00D647B1" w:rsidRPr="000864AE">
        <w:rPr>
          <w:rFonts w:ascii="Verdana" w:hAnsi="Verdana"/>
          <w:sz w:val="20"/>
          <w:szCs w:val="20"/>
          <w:lang w:val="es-CR"/>
        </w:rPr>
        <w:t>”</w:t>
      </w:r>
      <w:r w:rsidR="00EF0872" w:rsidRPr="000864AE">
        <w:rPr>
          <w:rFonts w:ascii="Verdana" w:hAnsi="Verdana"/>
          <w:sz w:val="20"/>
          <w:szCs w:val="20"/>
          <w:lang w:val="es-CR"/>
        </w:rPr>
        <w:t>)</w:t>
      </w:r>
      <w:r w:rsidRPr="000864AE">
        <w:rPr>
          <w:rFonts w:ascii="Verdana" w:hAnsi="Verdana"/>
          <w:sz w:val="20"/>
          <w:szCs w:val="20"/>
          <w:lang w:val="es-CR"/>
        </w:rPr>
        <w:t>, pues tal y como lo estableció este Tribunal:</w:t>
      </w:r>
    </w:p>
    <w:p w14:paraId="276C9A90" w14:textId="77777777" w:rsidR="00E83A1C" w:rsidRPr="000864AE" w:rsidRDefault="00E83A1C" w:rsidP="000864AE">
      <w:pPr>
        <w:pStyle w:val="Estilo1"/>
        <w:tabs>
          <w:tab w:val="left" w:pos="709"/>
        </w:tabs>
        <w:spacing w:after="0"/>
        <w:ind w:right="-4"/>
        <w:rPr>
          <w:rFonts w:eastAsia="Times" w:cs="Arial"/>
          <w:i/>
          <w:sz w:val="20"/>
          <w:szCs w:val="20"/>
          <w:lang w:val="es-MX" w:eastAsia="es-CR"/>
        </w:rPr>
      </w:pPr>
    </w:p>
    <w:p w14:paraId="0C723D8A" w14:textId="12028F2D" w:rsidR="00E83A1C" w:rsidRPr="000864AE" w:rsidRDefault="00223943" w:rsidP="000864AE">
      <w:pPr>
        <w:autoSpaceDE w:val="0"/>
        <w:autoSpaceDN w:val="0"/>
        <w:spacing w:after="0" w:line="240" w:lineRule="auto"/>
        <w:ind w:left="708" w:right="900"/>
        <w:jc w:val="both"/>
        <w:rPr>
          <w:rFonts w:ascii="Verdana" w:hAnsi="Verdana" w:cs="Verdana"/>
          <w:sz w:val="18"/>
          <w:szCs w:val="18"/>
        </w:rPr>
      </w:pPr>
      <w:r w:rsidRPr="000864AE">
        <w:rPr>
          <w:rFonts w:ascii="Verdana" w:hAnsi="Verdana" w:cs="Verdana"/>
          <w:sz w:val="18"/>
          <w:szCs w:val="18"/>
        </w:rPr>
        <w:t>“</w:t>
      </w:r>
      <w:r w:rsidR="00EF0872" w:rsidRPr="000864AE">
        <w:rPr>
          <w:rFonts w:ascii="Verdana" w:hAnsi="Verdana" w:cs="Verdana"/>
          <w:sz w:val="18"/>
          <w:szCs w:val="18"/>
        </w:rPr>
        <w:t>(…)</w:t>
      </w:r>
      <w:r w:rsidR="00E83A1C" w:rsidRPr="000864AE">
        <w:rPr>
          <w:rFonts w:ascii="Verdana" w:hAnsi="Verdana" w:cs="Verdana"/>
          <w:sz w:val="18"/>
          <w:szCs w:val="18"/>
        </w:rPr>
        <w:t xml:space="preserve"> [L]os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w:t>
      </w:r>
      <w:r w:rsidRPr="000864AE">
        <w:rPr>
          <w:rFonts w:ascii="Verdana" w:hAnsi="Verdana" w:cs="Verdana"/>
          <w:sz w:val="18"/>
          <w:szCs w:val="18"/>
        </w:rPr>
        <w:t>”</w:t>
      </w:r>
      <w:r w:rsidR="00E83A1C" w:rsidRPr="000864AE">
        <w:rPr>
          <w:rFonts w:ascii="Verdana" w:hAnsi="Verdana"/>
          <w:sz w:val="18"/>
          <w:szCs w:val="18"/>
          <w:vertAlign w:val="superscript"/>
        </w:rPr>
        <w:footnoteReference w:id="242"/>
      </w:r>
      <w:r w:rsidR="00E83A1C" w:rsidRPr="000864AE">
        <w:rPr>
          <w:rFonts w:ascii="Verdana" w:hAnsi="Verdana" w:cs="Verdana"/>
          <w:sz w:val="18"/>
          <w:szCs w:val="18"/>
        </w:rPr>
        <w:t>.</w:t>
      </w:r>
    </w:p>
    <w:p w14:paraId="15AF8597" w14:textId="77777777" w:rsidR="00E83A1C" w:rsidRPr="000864AE" w:rsidRDefault="00E83A1C" w:rsidP="000864AE">
      <w:pPr>
        <w:tabs>
          <w:tab w:val="left" w:pos="567"/>
        </w:tabs>
        <w:spacing w:after="0" w:line="240" w:lineRule="auto"/>
        <w:jc w:val="both"/>
        <w:rPr>
          <w:rFonts w:ascii="Verdana" w:hAnsi="Verdana"/>
          <w:sz w:val="20"/>
          <w:szCs w:val="20"/>
        </w:rPr>
      </w:pPr>
    </w:p>
    <w:p w14:paraId="09A4BD03" w14:textId="188B705D" w:rsidR="00E83A1C" w:rsidRPr="000864AE" w:rsidRDefault="00E83A1C" w:rsidP="000864AE">
      <w:pPr>
        <w:numPr>
          <w:ilvl w:val="0"/>
          <w:numId w:val="10"/>
        </w:numPr>
        <w:tabs>
          <w:tab w:val="left" w:pos="709"/>
          <w:tab w:val="num" w:pos="1569"/>
          <w:tab w:val="num" w:pos="12305"/>
        </w:tabs>
        <w:spacing w:after="0" w:line="240" w:lineRule="auto"/>
        <w:ind w:left="0" w:firstLine="0"/>
        <w:jc w:val="both"/>
        <w:rPr>
          <w:rFonts w:ascii="Verdana" w:eastAsia="Times" w:hAnsi="Verdana" w:cs="Arial"/>
          <w:i/>
          <w:sz w:val="20"/>
          <w:szCs w:val="20"/>
        </w:rPr>
      </w:pPr>
      <w:r w:rsidRPr="000864AE">
        <w:rPr>
          <w:rFonts w:ascii="Verdana" w:eastAsia="Times" w:hAnsi="Verdana" w:cs="Arial"/>
          <w:sz w:val="20"/>
          <w:szCs w:val="20"/>
        </w:rPr>
        <w:t>En el mismo sentido, este Tribunal ha señalado en otras oportunidades que los tratados de derechos humanos son instrumentos vivos, cuya interpretación tiene que acompañar la evolución de los tiempos y las condiciones de vida actuales. Tal interpretación evolutiva es consecuente con las reglas generales de interpretación establecidas en el artículo 29 de la Convención Americana, así como con la Convención de Viena</w:t>
      </w:r>
      <w:r w:rsidR="00EF0872" w:rsidRPr="000864AE">
        <w:rPr>
          <w:rFonts w:ascii="Verdana" w:eastAsia="Times" w:hAnsi="Verdana" w:cs="Arial"/>
          <w:sz w:val="20"/>
          <w:szCs w:val="20"/>
        </w:rPr>
        <w:t xml:space="preserve"> sobre el Derecho de los Tratados</w:t>
      </w:r>
      <w:r w:rsidRPr="000864AE">
        <w:rPr>
          <w:rStyle w:val="Refdenotaalpie"/>
          <w:rFonts w:ascii="Verdana" w:eastAsia="Times" w:hAnsi="Verdana"/>
          <w:sz w:val="20"/>
          <w:szCs w:val="20"/>
        </w:rPr>
        <w:footnoteReference w:id="243"/>
      </w:r>
      <w:r w:rsidR="00D647B1" w:rsidRPr="000864AE">
        <w:rPr>
          <w:rFonts w:ascii="Verdana" w:eastAsia="Times" w:hAnsi="Verdana" w:cs="Arial"/>
          <w:sz w:val="20"/>
          <w:szCs w:val="20"/>
        </w:rPr>
        <w:t xml:space="preserve"> (en adelante “la Convención de Viena”)</w:t>
      </w:r>
      <w:r w:rsidRPr="000864AE">
        <w:rPr>
          <w:rFonts w:ascii="Verdana" w:eastAsia="Times" w:hAnsi="Verdana" w:cs="Arial"/>
          <w:sz w:val="20"/>
          <w:szCs w:val="20"/>
        </w:rPr>
        <w:t>. Además, el párrafo tercero del artículo 31 de la Convención de Viena autoriza la utilización de medios interpretativos tales como los acuerdos o la práctica o reglas relevantes del derecho internacional que los Estados hayan manifestado sobre la materia del tratado, los cuales son algunos de los métodos que se relacionan con una visión evolutiva del Tratado. De esta forma, con el objetivo de determinar el alcance del derecho a la seguridad social, en particular del derecho a la pensión en el marco de un sistema de pensi</w:t>
      </w:r>
      <w:r w:rsidR="00EF0872" w:rsidRPr="000864AE">
        <w:rPr>
          <w:rFonts w:ascii="Verdana" w:eastAsia="Times" w:hAnsi="Verdana" w:cs="Arial"/>
          <w:sz w:val="20"/>
          <w:szCs w:val="20"/>
        </w:rPr>
        <w:t>ones contributivo estatal, tal</w:t>
      </w:r>
      <w:r w:rsidRPr="000864AE">
        <w:rPr>
          <w:rFonts w:ascii="Verdana" w:eastAsia="Times" w:hAnsi="Verdana" w:cs="Arial"/>
          <w:sz w:val="20"/>
          <w:szCs w:val="20"/>
        </w:rPr>
        <w:t xml:space="preserve"> como se </w:t>
      </w:r>
      <w:r w:rsidRPr="000864AE">
        <w:rPr>
          <w:rFonts w:ascii="Verdana" w:hAnsi="Verdana" w:cs="Tahoma"/>
          <w:sz w:val="20"/>
          <w:szCs w:val="20"/>
          <w:lang w:val="es-CR"/>
        </w:rPr>
        <w:t xml:space="preserve">deriva de las normas económicas, sociales y sobre educación, ciencia y cultura de la Carta de la OEA, el Tribunal hará referencia a los instrumentos relevantes del </w:t>
      </w:r>
      <w:r w:rsidRPr="000864AE">
        <w:rPr>
          <w:rFonts w:ascii="Verdana" w:hAnsi="Verdana" w:cs="Tahoma"/>
          <w:i/>
          <w:sz w:val="20"/>
          <w:szCs w:val="20"/>
          <w:lang w:val="es-CR"/>
        </w:rPr>
        <w:t>corpus iuris</w:t>
      </w:r>
      <w:r w:rsidRPr="000864AE">
        <w:rPr>
          <w:rFonts w:ascii="Verdana" w:hAnsi="Verdana" w:cs="Tahoma"/>
          <w:sz w:val="20"/>
          <w:szCs w:val="20"/>
          <w:lang w:val="es-CR"/>
        </w:rPr>
        <w:t xml:space="preserve"> internacional.</w:t>
      </w:r>
    </w:p>
    <w:p w14:paraId="0FF3D6B0" w14:textId="77777777" w:rsidR="00E83A1C" w:rsidRPr="000864AE" w:rsidRDefault="00E83A1C" w:rsidP="000864AE">
      <w:pPr>
        <w:tabs>
          <w:tab w:val="left" w:pos="567"/>
        </w:tabs>
        <w:spacing w:after="0" w:line="240" w:lineRule="auto"/>
        <w:jc w:val="both"/>
        <w:rPr>
          <w:rFonts w:ascii="Verdana" w:eastAsia="Times" w:hAnsi="Verdana" w:cs="Arial"/>
          <w:i/>
          <w:sz w:val="20"/>
          <w:szCs w:val="20"/>
        </w:rPr>
      </w:pPr>
    </w:p>
    <w:p w14:paraId="187FD310" w14:textId="77777777" w:rsidR="00E83A1C" w:rsidRPr="000864AE" w:rsidRDefault="00E83A1C" w:rsidP="000864AE">
      <w:pPr>
        <w:numPr>
          <w:ilvl w:val="0"/>
          <w:numId w:val="10"/>
        </w:numPr>
        <w:tabs>
          <w:tab w:val="left" w:pos="709"/>
          <w:tab w:val="num" w:pos="1569"/>
          <w:tab w:val="num" w:pos="12305"/>
        </w:tabs>
        <w:spacing w:after="0" w:line="240" w:lineRule="auto"/>
        <w:ind w:left="0" w:firstLine="0"/>
        <w:jc w:val="both"/>
        <w:rPr>
          <w:rFonts w:ascii="Verdana" w:eastAsia="Times" w:hAnsi="Verdana" w:cs="Arial"/>
          <w:i/>
          <w:sz w:val="20"/>
          <w:szCs w:val="20"/>
        </w:rPr>
      </w:pPr>
      <w:r w:rsidRPr="000864AE">
        <w:rPr>
          <w:rFonts w:ascii="Verdana" w:hAnsi="Verdana"/>
          <w:sz w:val="20"/>
          <w:szCs w:val="20"/>
        </w:rPr>
        <w:t>A continuación, este Tribunal procede a verificar el alcance y contenido de este derecho para efectos del presente caso.</w:t>
      </w:r>
    </w:p>
    <w:p w14:paraId="7AD0DE55" w14:textId="77777777" w:rsidR="00E83A1C" w:rsidRPr="000864AE" w:rsidRDefault="00E83A1C" w:rsidP="000864AE">
      <w:pPr>
        <w:pStyle w:val="Estilo1"/>
        <w:tabs>
          <w:tab w:val="left" w:pos="709"/>
        </w:tabs>
        <w:spacing w:after="0"/>
        <w:ind w:right="-4"/>
        <w:rPr>
          <w:rFonts w:eastAsia="Times" w:cs="Arial"/>
          <w:i/>
          <w:sz w:val="20"/>
          <w:szCs w:val="20"/>
          <w:lang w:val="es-MX" w:eastAsia="es-CR"/>
        </w:rPr>
      </w:pPr>
    </w:p>
    <w:p w14:paraId="39EE54B2" w14:textId="396C287E" w:rsidR="00E83A1C" w:rsidRPr="000864AE" w:rsidRDefault="00E83A1C" w:rsidP="000864AE">
      <w:pPr>
        <w:pStyle w:val="Ttulo4"/>
        <w:numPr>
          <w:ilvl w:val="0"/>
          <w:numId w:val="0"/>
        </w:numPr>
        <w:ind w:left="1068"/>
        <w:rPr>
          <w:strike/>
        </w:rPr>
      </w:pPr>
      <w:bookmarkStart w:id="80" w:name="_Toc27329783"/>
      <w:r w:rsidRPr="000864AE">
        <w:rPr>
          <w:lang w:val="es-PE"/>
        </w:rPr>
        <w:t>C.2.2. El contenido del derecho a la seguridad social</w:t>
      </w:r>
      <w:bookmarkEnd w:id="80"/>
      <w:r w:rsidRPr="000864AE">
        <w:rPr>
          <w:lang w:val="es-PE"/>
        </w:rPr>
        <w:t xml:space="preserve"> </w:t>
      </w:r>
    </w:p>
    <w:p w14:paraId="07340736" w14:textId="77777777" w:rsidR="00E83A1C" w:rsidRPr="000864AE" w:rsidRDefault="00E83A1C" w:rsidP="000864AE">
      <w:pPr>
        <w:pStyle w:val="Estilo1"/>
        <w:tabs>
          <w:tab w:val="left" w:pos="709"/>
        </w:tabs>
        <w:spacing w:after="0"/>
        <w:ind w:right="-4"/>
        <w:rPr>
          <w:rFonts w:eastAsia="Times" w:cs="Arial"/>
          <w:i/>
          <w:strike/>
          <w:sz w:val="20"/>
          <w:szCs w:val="20"/>
          <w:lang w:val="es-CR" w:eastAsia="es-CR"/>
        </w:rPr>
      </w:pPr>
    </w:p>
    <w:p w14:paraId="72054E39" w14:textId="77777777"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hAnsi="Verdana"/>
          <w:sz w:val="20"/>
          <w:szCs w:val="20"/>
        </w:rPr>
        <w:t xml:space="preserve">De conformidad con lo señalado anteriormente, el artículo 45.b) de la Carta de la OEA señala expresamente que </w:t>
      </w:r>
      <w:r w:rsidRPr="000864AE">
        <w:rPr>
          <w:rFonts w:ascii="Verdana" w:hAnsi="Verdana" w:cs="Tahoma"/>
          <w:color w:val="000000"/>
          <w:sz w:val="20"/>
          <w:szCs w:val="20"/>
          <w:lang w:val="es-ES"/>
        </w:rPr>
        <w:t xml:space="preserve">el trabajo deberá ser ejercido en condiciones que aseguren la vida, la salud y un nivel económico decoroso para el trabajador y su familia, tanto en sus años de trabajo como en su vejez, o cuando cualquier circunstancia lo prive de la posibilidad de trabajar. </w:t>
      </w:r>
    </w:p>
    <w:p w14:paraId="5096D5F8" w14:textId="77777777" w:rsidR="00E83A1C" w:rsidRPr="000864AE" w:rsidRDefault="00E83A1C" w:rsidP="000864AE">
      <w:pPr>
        <w:tabs>
          <w:tab w:val="left" w:pos="567"/>
        </w:tabs>
        <w:spacing w:after="0" w:line="240" w:lineRule="auto"/>
        <w:jc w:val="both"/>
        <w:rPr>
          <w:rFonts w:ascii="Verdana" w:eastAsia="Times" w:hAnsi="Verdana" w:cs="Arial"/>
          <w:sz w:val="20"/>
          <w:szCs w:val="20"/>
        </w:rPr>
      </w:pPr>
    </w:p>
    <w:p w14:paraId="459B6F46" w14:textId="77777777"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hAnsi="Verdana"/>
          <w:sz w:val="20"/>
          <w:szCs w:val="20"/>
        </w:rPr>
        <w:t>Asimismo, el artículo XVI de la Declaración Americana permite identificar el derecho a la seguridad social al referir que toda persona tiene derecho “a la seguridad social que le proteja contra las consecuencias de la desocupación, de la vejez y de la incapacidad que, proveniente de cualquier otra causa ajena a su voluntad, la imposibilite física o mentalmente para obtener los medios de subsistencia”</w:t>
      </w:r>
      <w:r w:rsidRPr="000864AE">
        <w:rPr>
          <w:rStyle w:val="Refdenotaalpie"/>
          <w:rFonts w:ascii="Verdana" w:hAnsi="Verdana"/>
          <w:sz w:val="20"/>
          <w:szCs w:val="20"/>
        </w:rPr>
        <w:footnoteReference w:id="244"/>
      </w:r>
      <w:r w:rsidRPr="000864AE">
        <w:rPr>
          <w:rFonts w:ascii="Verdana" w:hAnsi="Verdana"/>
          <w:sz w:val="20"/>
          <w:szCs w:val="20"/>
        </w:rPr>
        <w:t>.</w:t>
      </w:r>
    </w:p>
    <w:p w14:paraId="7708A4A5" w14:textId="77777777" w:rsidR="00E83A1C" w:rsidRPr="000864AE" w:rsidRDefault="00E83A1C" w:rsidP="000864AE">
      <w:pPr>
        <w:pStyle w:val="Prrafodelista"/>
        <w:spacing w:after="0" w:line="240" w:lineRule="auto"/>
        <w:ind w:left="0"/>
        <w:jc w:val="both"/>
        <w:rPr>
          <w:rFonts w:ascii="Verdana" w:hAnsi="Verdana"/>
          <w:sz w:val="20"/>
          <w:szCs w:val="20"/>
        </w:rPr>
      </w:pPr>
    </w:p>
    <w:p w14:paraId="21A15471" w14:textId="69DA1723"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hAnsi="Verdana"/>
          <w:sz w:val="20"/>
          <w:szCs w:val="20"/>
        </w:rPr>
        <w:t xml:space="preserve">De igual manera, el artículo 9 del </w:t>
      </w:r>
      <w:r w:rsidR="00D647B1" w:rsidRPr="000864AE">
        <w:rPr>
          <w:rFonts w:ascii="Verdana" w:hAnsi="Verdana"/>
          <w:sz w:val="20"/>
          <w:szCs w:val="20"/>
        </w:rPr>
        <w:t xml:space="preserve">Protocolo de San Salvador </w:t>
      </w:r>
      <w:r w:rsidRPr="000864AE">
        <w:rPr>
          <w:rFonts w:ascii="Verdana" w:hAnsi="Verdana"/>
          <w:sz w:val="20"/>
          <w:szCs w:val="20"/>
        </w:rPr>
        <w:t xml:space="preserve">establece que </w:t>
      </w:r>
      <w:r w:rsidRPr="000864AE">
        <w:rPr>
          <w:rFonts w:ascii="Verdana" w:hAnsi="Verdana"/>
          <w:sz w:val="20"/>
          <w:szCs w:val="20"/>
          <w:lang w:val="es-PE"/>
        </w:rPr>
        <w:t>“</w:t>
      </w:r>
      <w:r w:rsidRPr="000864AE">
        <w:rPr>
          <w:rFonts w:ascii="Verdana" w:hAnsi="Verdana"/>
          <w:sz w:val="20"/>
          <w:szCs w:val="20"/>
          <w:lang w:val="es-ES"/>
        </w:rPr>
        <w:t>1) [t]oda persona tiene derecho a la seguridad social que la proteja contra las consecuencias de la vejez y de la incapacidad que la imposibilite física o mentalmente para obtener los medios para llevar una vida digna y decorosa. En caso de muerte del beneficiario, las prestaciones de seguridad social serán aplicadas a sus dependientes. 2) [c]uando se trate de personas que se encuentran trabajando, el derecho a la seguridad social cubrirá al menos la atención médica y el subsidio o jubilación en casos de accidentes de trabajo o de enfermedad profesional y, cuando se trate de mujeres, licencia retribuida por maternidad antes y después del parto”</w:t>
      </w:r>
      <w:r w:rsidR="00DF0BAA" w:rsidRPr="000864AE">
        <w:rPr>
          <w:rStyle w:val="Refdenotaalpie"/>
          <w:rFonts w:ascii="Verdana" w:hAnsi="Verdana"/>
          <w:sz w:val="20"/>
          <w:szCs w:val="20"/>
        </w:rPr>
        <w:t xml:space="preserve"> </w:t>
      </w:r>
      <w:r w:rsidR="00DF0BAA" w:rsidRPr="000864AE">
        <w:rPr>
          <w:rStyle w:val="Refdenotaalpie"/>
          <w:rFonts w:ascii="Verdana" w:hAnsi="Verdana"/>
          <w:sz w:val="20"/>
          <w:szCs w:val="20"/>
        </w:rPr>
        <w:footnoteReference w:id="245"/>
      </w:r>
      <w:r w:rsidRPr="000864AE">
        <w:rPr>
          <w:rFonts w:ascii="Verdana" w:hAnsi="Verdana"/>
          <w:sz w:val="20"/>
          <w:szCs w:val="20"/>
          <w:lang w:val="es-ES"/>
        </w:rPr>
        <w:t>.</w:t>
      </w:r>
    </w:p>
    <w:p w14:paraId="45312853" w14:textId="77777777" w:rsidR="00E83A1C" w:rsidRPr="000864AE" w:rsidRDefault="00E83A1C" w:rsidP="000864AE">
      <w:pPr>
        <w:pStyle w:val="Prrafodelista"/>
        <w:spacing w:after="0" w:line="240" w:lineRule="auto"/>
        <w:ind w:left="0"/>
        <w:jc w:val="both"/>
        <w:rPr>
          <w:rFonts w:ascii="Verdana" w:eastAsia="Times" w:hAnsi="Verdana" w:cs="Arial"/>
          <w:sz w:val="20"/>
          <w:szCs w:val="20"/>
        </w:rPr>
      </w:pPr>
    </w:p>
    <w:p w14:paraId="09E4D79D" w14:textId="65A4F3BB"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eastAsia="Times" w:hAnsi="Verdana" w:cs="Arial"/>
          <w:sz w:val="20"/>
          <w:szCs w:val="20"/>
        </w:rPr>
        <w:t xml:space="preserve">En el ámbito universal, </w:t>
      </w:r>
      <w:r w:rsidRPr="000864AE">
        <w:rPr>
          <w:rFonts w:ascii="Verdana" w:hAnsi="Verdana"/>
          <w:sz w:val="20"/>
          <w:szCs w:val="20"/>
        </w:rPr>
        <w:t>el artículo 22 de la Declaración Universal de Derechos Humanos</w:t>
      </w:r>
      <w:r w:rsidRPr="000864AE">
        <w:rPr>
          <w:rStyle w:val="Refdenotaalpie"/>
          <w:rFonts w:ascii="Verdana" w:hAnsi="Verdana"/>
          <w:sz w:val="20"/>
          <w:szCs w:val="20"/>
        </w:rPr>
        <w:footnoteReference w:id="246"/>
      </w:r>
      <w:r w:rsidRPr="000864AE">
        <w:rPr>
          <w:rFonts w:ascii="Verdana" w:hAnsi="Verdana"/>
          <w:sz w:val="20"/>
          <w:szCs w:val="20"/>
        </w:rPr>
        <w:t xml:space="preserve"> establece que “[t]oda persona, como miembro de la sociedad, tiene derecho a la seguridad social, y a obtener, mediante el esfuerzo nacional y la Co</w:t>
      </w:r>
      <w:r w:rsidR="00421CB6" w:rsidRPr="000864AE">
        <w:rPr>
          <w:rFonts w:ascii="Verdana" w:hAnsi="Verdana"/>
          <w:sz w:val="20"/>
          <w:szCs w:val="20"/>
        </w:rPr>
        <w:t>o</w:t>
      </w:r>
      <w:r w:rsidRPr="000864AE">
        <w:rPr>
          <w:rFonts w:ascii="Verdana" w:hAnsi="Verdana"/>
          <w:sz w:val="20"/>
          <w:szCs w:val="20"/>
        </w:rPr>
        <w:t xml:space="preserve">peración internacional, habida cuenta de la organización y los recursos de cada Estado, la satisfacción de los derechos económicos, sociales y culturales, indispensables a su dignidad y al libre desarrollo de su personalidad”. De igual forma, el artículo 25 destaca que “toda persona tiene derecho </w:t>
      </w:r>
      <w:r w:rsidRPr="000864AE">
        <w:rPr>
          <w:rFonts w:ascii="Verdana" w:hAnsi="Verdana"/>
          <w:sz w:val="20"/>
          <w:szCs w:val="20"/>
          <w:shd w:val="clear" w:color="auto" w:fill="FFFFFF"/>
        </w:rPr>
        <w:t>a un nivel de vida adecuado […] y a los seguros en caso de desempleo, enfermedad, invalidez, viudez, vejez u otros casos de pérdida de sus medios de subsistencia por circunstancias independientes de su voluntad”.</w:t>
      </w:r>
      <w:r w:rsidRPr="000864AE">
        <w:rPr>
          <w:rFonts w:ascii="Verdana" w:eastAsia="Times" w:hAnsi="Verdana" w:cs="Arial"/>
          <w:sz w:val="20"/>
          <w:szCs w:val="20"/>
        </w:rPr>
        <w:t xml:space="preserve"> Por su parte, el artículo 9 del </w:t>
      </w:r>
      <w:r w:rsidRPr="000864AE">
        <w:rPr>
          <w:rFonts w:ascii="Verdana" w:hAnsi="Verdana"/>
          <w:sz w:val="20"/>
          <w:szCs w:val="20"/>
        </w:rPr>
        <w:t>Pacto Internacional de Derechos Económicos, Sociales y Culturales (PIDESC) también reconoce “</w:t>
      </w:r>
      <w:r w:rsidRPr="000864AE">
        <w:rPr>
          <w:rFonts w:ascii="Verdana" w:hAnsi="Verdana"/>
          <w:bCs/>
          <w:sz w:val="20"/>
          <w:szCs w:val="20"/>
        </w:rPr>
        <w:t>el derecho de toda persona a la seguridad social, incluso al seguro social”</w:t>
      </w:r>
      <w:r w:rsidR="00462864" w:rsidRPr="000864AE">
        <w:rPr>
          <w:rStyle w:val="Refdenotaalpie"/>
          <w:rFonts w:ascii="Verdana" w:hAnsi="Verdana"/>
          <w:sz w:val="20"/>
          <w:szCs w:val="20"/>
        </w:rPr>
        <w:footnoteReference w:id="247"/>
      </w:r>
      <w:r w:rsidRPr="000864AE">
        <w:rPr>
          <w:rFonts w:ascii="Verdana" w:hAnsi="Verdana"/>
          <w:bCs/>
          <w:sz w:val="20"/>
          <w:szCs w:val="20"/>
        </w:rPr>
        <w:t>.</w:t>
      </w:r>
    </w:p>
    <w:p w14:paraId="2B30653F" w14:textId="77777777" w:rsidR="00E83A1C" w:rsidRPr="000864AE" w:rsidRDefault="00E83A1C" w:rsidP="000864AE">
      <w:pPr>
        <w:tabs>
          <w:tab w:val="left" w:pos="567"/>
        </w:tabs>
        <w:spacing w:after="0" w:line="240" w:lineRule="auto"/>
        <w:jc w:val="both"/>
        <w:rPr>
          <w:rFonts w:ascii="Verdana" w:eastAsia="Times" w:hAnsi="Verdana" w:cs="Arial"/>
          <w:sz w:val="20"/>
          <w:szCs w:val="20"/>
        </w:rPr>
      </w:pPr>
    </w:p>
    <w:p w14:paraId="7AA8F91A" w14:textId="638CFB9C"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eastAsia="Times" w:hAnsi="Verdana" w:cs="Arial"/>
          <w:sz w:val="20"/>
          <w:szCs w:val="20"/>
        </w:rPr>
        <w:t xml:space="preserve">Asimismo, el derecho a la seguridad social está reconocido a nivel constitucional en el Perú, en </w:t>
      </w:r>
      <w:r w:rsidR="00462864" w:rsidRPr="000864AE">
        <w:rPr>
          <w:rFonts w:ascii="Verdana" w:eastAsia="Times" w:hAnsi="Verdana" w:cs="Arial"/>
          <w:sz w:val="20"/>
          <w:szCs w:val="20"/>
        </w:rPr>
        <w:t>los</w:t>
      </w:r>
      <w:r w:rsidRPr="000864AE">
        <w:rPr>
          <w:rFonts w:ascii="Verdana" w:eastAsia="Times" w:hAnsi="Verdana" w:cs="Arial"/>
          <w:sz w:val="20"/>
          <w:szCs w:val="20"/>
        </w:rPr>
        <w:t xml:space="preserve"> artículos 10 y 11 de la Constitución Política de 1993</w:t>
      </w:r>
      <w:r w:rsidRPr="000864AE">
        <w:rPr>
          <w:rStyle w:val="Refdenotaalpie"/>
          <w:rFonts w:ascii="Verdana" w:eastAsia="Times" w:hAnsi="Verdana"/>
          <w:sz w:val="20"/>
          <w:szCs w:val="20"/>
        </w:rPr>
        <w:footnoteReference w:id="248"/>
      </w:r>
      <w:r w:rsidRPr="000864AE">
        <w:rPr>
          <w:rFonts w:ascii="Verdana" w:eastAsia="Times" w:hAnsi="Verdana" w:cs="Arial"/>
          <w:sz w:val="20"/>
          <w:szCs w:val="20"/>
        </w:rPr>
        <w:t>.</w:t>
      </w:r>
    </w:p>
    <w:p w14:paraId="3F6944C5" w14:textId="77777777" w:rsidR="00E83A1C" w:rsidRPr="000864AE" w:rsidRDefault="00E83A1C" w:rsidP="000864AE">
      <w:pPr>
        <w:tabs>
          <w:tab w:val="left" w:pos="567"/>
        </w:tabs>
        <w:spacing w:after="0" w:line="240" w:lineRule="auto"/>
        <w:jc w:val="both"/>
        <w:rPr>
          <w:rFonts w:ascii="Verdana" w:eastAsia="Times" w:hAnsi="Verdana" w:cs="Arial"/>
          <w:sz w:val="20"/>
          <w:szCs w:val="20"/>
        </w:rPr>
      </w:pPr>
    </w:p>
    <w:p w14:paraId="448009D1" w14:textId="043B8D9A"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eastAsia="Times" w:hAnsi="Verdana" w:cs="Arial"/>
          <w:sz w:val="20"/>
          <w:szCs w:val="20"/>
        </w:rPr>
        <w:t>En relación con lo anterior, el Tribunal reitera que, del artículo 45 de la Carta de la OEA, interpretado a la luz de la Declaración Americana y de los demás instrumentos mencionados, se puede</w:t>
      </w:r>
      <w:r w:rsidR="00462864" w:rsidRPr="000864AE">
        <w:rPr>
          <w:rFonts w:ascii="Verdana" w:eastAsia="Times" w:hAnsi="Verdana" w:cs="Arial"/>
          <w:sz w:val="20"/>
          <w:szCs w:val="20"/>
        </w:rPr>
        <w:t>n</w:t>
      </w:r>
      <w:r w:rsidRPr="000864AE">
        <w:rPr>
          <w:rFonts w:ascii="Verdana" w:eastAsia="Times" w:hAnsi="Verdana" w:cs="Arial"/>
          <w:sz w:val="20"/>
          <w:szCs w:val="20"/>
        </w:rPr>
        <w:t xml:space="preserve"> derivar elementos constitutivos del derecho a la seguridad social, como por ejemplo, que es un derecho que busca proteger al individuo de contingencias futuras, que de producirse ocasionarían consecuencias perjudiciales para la persona, por lo que deben adoptarse medidas para protegerla</w:t>
      </w:r>
      <w:r w:rsidRPr="000864AE">
        <w:rPr>
          <w:rStyle w:val="Refdenotaalpie"/>
          <w:rFonts w:ascii="Verdana" w:eastAsia="Times" w:hAnsi="Verdana"/>
          <w:sz w:val="20"/>
          <w:szCs w:val="20"/>
        </w:rPr>
        <w:footnoteReference w:id="249"/>
      </w:r>
      <w:r w:rsidRPr="000864AE">
        <w:rPr>
          <w:rFonts w:ascii="Verdana" w:eastAsia="Times" w:hAnsi="Verdana" w:cs="Arial"/>
          <w:sz w:val="20"/>
          <w:szCs w:val="20"/>
        </w:rPr>
        <w:t>. En el caso que nos ocupa, el derecho a la seguridad social buscar proteger al individuo de situaci</w:t>
      </w:r>
      <w:r w:rsidR="00462864" w:rsidRPr="000864AE">
        <w:rPr>
          <w:rFonts w:ascii="Verdana" w:eastAsia="Times" w:hAnsi="Verdana" w:cs="Arial"/>
          <w:sz w:val="20"/>
          <w:szCs w:val="20"/>
        </w:rPr>
        <w:t>ones que se presentarán cuando e</w:t>
      </w:r>
      <w:r w:rsidRPr="000864AE">
        <w:rPr>
          <w:rFonts w:ascii="Verdana" w:eastAsia="Times" w:hAnsi="Verdana" w:cs="Arial"/>
          <w:sz w:val="20"/>
          <w:szCs w:val="20"/>
        </w:rPr>
        <w:t xml:space="preserve">ste llegue a una edad determinada en la cual </w:t>
      </w:r>
      <w:r w:rsidRPr="000864AE">
        <w:rPr>
          <w:rFonts w:ascii="Verdana" w:hAnsi="Verdana"/>
          <w:sz w:val="20"/>
          <w:szCs w:val="20"/>
        </w:rPr>
        <w:t>se vea imposibilitado física o mentalmente para obtener los medios de subsistencia</w:t>
      </w:r>
      <w:r w:rsidRPr="000864AE">
        <w:rPr>
          <w:rFonts w:ascii="Verdana" w:eastAsia="Times" w:hAnsi="Verdana" w:cs="Arial"/>
          <w:sz w:val="20"/>
          <w:szCs w:val="20"/>
        </w:rPr>
        <w:t xml:space="preserve"> necesarios </w:t>
      </w:r>
      <w:r w:rsidRPr="000864AE">
        <w:rPr>
          <w:rFonts w:ascii="Verdana" w:hAnsi="Verdana"/>
          <w:snapToGrid w:val="0"/>
          <w:sz w:val="20"/>
          <w:szCs w:val="20"/>
        </w:rPr>
        <w:t xml:space="preserve">para vivir un nivel de vida adecuado, lo que a su vez </w:t>
      </w:r>
      <w:r w:rsidRPr="000864AE">
        <w:rPr>
          <w:rFonts w:ascii="Verdana" w:eastAsia="Times" w:hAnsi="Verdana" w:cs="Arial"/>
          <w:sz w:val="20"/>
          <w:szCs w:val="20"/>
        </w:rPr>
        <w:t xml:space="preserve">podría privarlo de su capacidad de ejercer plenamente el resto de sus derechos. </w:t>
      </w:r>
      <w:r w:rsidRPr="000864AE">
        <w:rPr>
          <w:rFonts w:ascii="Verdana" w:hAnsi="Verdana"/>
          <w:snapToGrid w:val="0"/>
          <w:sz w:val="20"/>
          <w:szCs w:val="20"/>
        </w:rPr>
        <w:t xml:space="preserve">Esto último también da cuenta de uno de los elementos constitutivos del derecho, ya que la seguridad social deberá ser ejercida de modo tal que garantice </w:t>
      </w:r>
      <w:r w:rsidRPr="000864AE">
        <w:rPr>
          <w:rFonts w:ascii="Verdana" w:hAnsi="Verdana" w:cs="Tahoma"/>
          <w:color w:val="000000"/>
          <w:sz w:val="20"/>
          <w:szCs w:val="20"/>
          <w:lang w:val="es-ES"/>
        </w:rPr>
        <w:t>condiciones que aseguren la vida, la salud y un nivel económico decoroso</w:t>
      </w:r>
      <w:r w:rsidRPr="000864AE">
        <w:rPr>
          <w:rStyle w:val="Refdenotaalpie"/>
          <w:rFonts w:ascii="Verdana" w:eastAsia="Times" w:hAnsi="Verdana"/>
          <w:sz w:val="20"/>
          <w:szCs w:val="20"/>
        </w:rPr>
        <w:footnoteReference w:id="250"/>
      </w:r>
      <w:r w:rsidRPr="000864AE">
        <w:rPr>
          <w:rFonts w:ascii="Verdana" w:hAnsi="Verdana" w:cs="Tahoma"/>
          <w:color w:val="000000"/>
          <w:sz w:val="20"/>
          <w:szCs w:val="20"/>
          <w:lang w:val="es-ES"/>
        </w:rPr>
        <w:t>.</w:t>
      </w:r>
    </w:p>
    <w:p w14:paraId="7F055F01" w14:textId="77777777" w:rsidR="00E83A1C" w:rsidRPr="000864AE" w:rsidRDefault="00E83A1C" w:rsidP="000864AE">
      <w:pPr>
        <w:tabs>
          <w:tab w:val="left" w:pos="567"/>
          <w:tab w:val="num" w:pos="12305"/>
        </w:tabs>
        <w:spacing w:after="0" w:line="240" w:lineRule="auto"/>
        <w:jc w:val="both"/>
        <w:rPr>
          <w:rFonts w:ascii="Verdana" w:eastAsia="Times" w:hAnsi="Verdana" w:cs="Arial"/>
          <w:sz w:val="20"/>
          <w:szCs w:val="20"/>
        </w:rPr>
      </w:pPr>
    </w:p>
    <w:p w14:paraId="0C1A9F87" w14:textId="6FA85C86" w:rsidR="00E83A1C" w:rsidRPr="000864AE" w:rsidRDefault="00462864"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eastAsia="Times" w:hAnsi="Verdana" w:cs="Arial"/>
          <w:sz w:val="20"/>
          <w:szCs w:val="20"/>
        </w:rPr>
        <w:t>Si bien</w:t>
      </w:r>
      <w:r w:rsidR="00E83A1C" w:rsidRPr="000864AE">
        <w:rPr>
          <w:rFonts w:ascii="Verdana" w:eastAsia="Times" w:hAnsi="Verdana" w:cs="Arial"/>
          <w:sz w:val="20"/>
          <w:szCs w:val="20"/>
        </w:rPr>
        <w:t xml:space="preserve"> el derecho a la seguridad social está reconocido ampliamente en el </w:t>
      </w:r>
      <w:r w:rsidR="00E83A1C" w:rsidRPr="000864AE">
        <w:rPr>
          <w:rFonts w:ascii="Verdana" w:eastAsia="Times" w:hAnsi="Verdana" w:cs="Arial"/>
          <w:i/>
          <w:sz w:val="20"/>
          <w:szCs w:val="20"/>
        </w:rPr>
        <w:t>corpus iuris</w:t>
      </w:r>
      <w:r w:rsidR="00E83A1C" w:rsidRPr="000864AE">
        <w:rPr>
          <w:rFonts w:ascii="Verdana" w:eastAsia="Times" w:hAnsi="Verdana" w:cs="Arial"/>
          <w:sz w:val="20"/>
          <w:szCs w:val="20"/>
        </w:rPr>
        <w:t xml:space="preserve"> internacional</w:t>
      </w:r>
      <w:r w:rsidR="00E83A1C" w:rsidRPr="000864AE">
        <w:rPr>
          <w:rStyle w:val="Refdenotaalpie"/>
          <w:rFonts w:ascii="Verdana" w:eastAsia="Times" w:hAnsi="Verdana"/>
          <w:sz w:val="20"/>
          <w:szCs w:val="20"/>
        </w:rPr>
        <w:footnoteReference w:id="251"/>
      </w:r>
      <w:r w:rsidR="00E83A1C" w:rsidRPr="000864AE">
        <w:rPr>
          <w:rFonts w:ascii="Verdana" w:eastAsia="Times" w:hAnsi="Verdana" w:cs="Arial"/>
          <w:sz w:val="20"/>
          <w:szCs w:val="20"/>
        </w:rPr>
        <w:t xml:space="preserve">, tanto la Organización Internacional </w:t>
      </w:r>
      <w:r w:rsidRPr="000864AE">
        <w:rPr>
          <w:rFonts w:ascii="Verdana" w:eastAsia="Times" w:hAnsi="Verdana" w:cs="Arial"/>
          <w:sz w:val="20"/>
          <w:szCs w:val="20"/>
        </w:rPr>
        <w:t>del Trabajo (en adelante “OIT”)</w:t>
      </w:r>
      <w:r w:rsidR="00E83A1C" w:rsidRPr="000864AE">
        <w:rPr>
          <w:rFonts w:ascii="Verdana" w:eastAsia="Times" w:hAnsi="Verdana" w:cs="Arial"/>
          <w:sz w:val="20"/>
          <w:szCs w:val="20"/>
        </w:rPr>
        <w:t xml:space="preserve"> como el Comité de Derechos </w:t>
      </w:r>
      <w:r w:rsidR="00E83A1C" w:rsidRPr="000864AE">
        <w:rPr>
          <w:rFonts w:ascii="Verdana" w:hAnsi="Verdana"/>
          <w:sz w:val="20"/>
          <w:szCs w:val="20"/>
        </w:rPr>
        <w:t>Económicos, Sociales y Culturales de las Naciones Unidas (en adelante “Comité DESC”) siguiendo los principales instrumentos adoptados por el primero</w:t>
      </w:r>
      <w:r w:rsidR="00E83A1C" w:rsidRPr="000864AE">
        <w:rPr>
          <w:rStyle w:val="Refdenotaalpie"/>
          <w:rFonts w:ascii="Verdana" w:hAnsi="Verdana"/>
          <w:sz w:val="20"/>
          <w:szCs w:val="20"/>
        </w:rPr>
        <w:footnoteReference w:id="252"/>
      </w:r>
      <w:r w:rsidR="00E83A1C" w:rsidRPr="000864AE">
        <w:rPr>
          <w:rFonts w:ascii="Verdana" w:hAnsi="Verdana"/>
          <w:sz w:val="20"/>
          <w:szCs w:val="20"/>
        </w:rPr>
        <w:t>, han desarrollado el contenido del derecho a la seguridad social con mayor claridad, lo cual le ha permitido a la Corte interpretar el contenido del derecho y las obligaciones del Estado peruano de conformidad con los hechos de casos similares</w:t>
      </w:r>
      <w:r w:rsidR="00E83A1C" w:rsidRPr="000864AE">
        <w:rPr>
          <w:rStyle w:val="Refdenotaalpie"/>
          <w:rFonts w:ascii="Verdana" w:hAnsi="Verdana"/>
          <w:sz w:val="20"/>
          <w:szCs w:val="20"/>
        </w:rPr>
        <w:footnoteReference w:id="253"/>
      </w:r>
      <w:r w:rsidR="00E83A1C" w:rsidRPr="000864AE">
        <w:rPr>
          <w:rFonts w:ascii="Verdana" w:hAnsi="Verdana"/>
          <w:sz w:val="20"/>
          <w:szCs w:val="20"/>
        </w:rPr>
        <w:t>.</w:t>
      </w:r>
    </w:p>
    <w:p w14:paraId="7466C2C0" w14:textId="77777777" w:rsidR="00E83A1C" w:rsidRPr="000864AE" w:rsidRDefault="00E83A1C" w:rsidP="000864AE">
      <w:pPr>
        <w:pStyle w:val="Prrafodelista"/>
        <w:spacing w:after="0" w:line="240" w:lineRule="auto"/>
        <w:jc w:val="both"/>
        <w:rPr>
          <w:rFonts w:ascii="Verdana" w:eastAsia="Times" w:hAnsi="Verdana" w:cs="Arial"/>
          <w:sz w:val="20"/>
          <w:szCs w:val="20"/>
        </w:rPr>
      </w:pPr>
    </w:p>
    <w:p w14:paraId="254A2F3F" w14:textId="7CC5CF57"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eastAsia="Times" w:hAnsi="Verdana" w:cs="Arial"/>
          <w:sz w:val="20"/>
          <w:szCs w:val="20"/>
        </w:rPr>
        <w:t xml:space="preserve">De manera general, la OIT ha definido el derecho a la seguridad social como </w:t>
      </w:r>
      <w:r w:rsidRPr="000864AE">
        <w:rPr>
          <w:rFonts w:ascii="Verdana" w:hAnsi="Verdana" w:cs="JansonTextLTStd-Roman"/>
          <w:sz w:val="20"/>
          <w:szCs w:val="20"/>
        </w:rPr>
        <w:t>“</w:t>
      </w:r>
      <w:r w:rsidR="00462864" w:rsidRPr="000864AE">
        <w:rPr>
          <w:rFonts w:ascii="Verdana" w:hAnsi="Verdana" w:cs="JansonTextLTStd-Roman"/>
          <w:sz w:val="20"/>
          <w:szCs w:val="20"/>
        </w:rPr>
        <w:t xml:space="preserve">(…) </w:t>
      </w:r>
      <w:r w:rsidRPr="000864AE">
        <w:rPr>
          <w:rFonts w:ascii="Verdana" w:hAnsi="Verdana" w:cs="JansonTextLTStd-Roman"/>
          <w:sz w:val="20"/>
          <w:szCs w:val="20"/>
        </w:rPr>
        <w:t>la protección que una sociedad proporciona a los individuos y los hogares para asegurar el acceso a la asistencia médica y garantizar la seguridad del ingreso [al sistema de pensiones], en particular en caso de vejez, desempleo, enfermedad, invalidez, accidentes del trabajo, maternidad o pérdida del sostén de familia”</w:t>
      </w:r>
      <w:r w:rsidRPr="000864AE">
        <w:rPr>
          <w:rStyle w:val="Refdenotaalpie"/>
          <w:rFonts w:ascii="Verdana" w:hAnsi="Verdana" w:cs="JansonTextLTStd-Roman"/>
          <w:sz w:val="20"/>
          <w:szCs w:val="20"/>
        </w:rPr>
        <w:footnoteReference w:id="254"/>
      </w:r>
      <w:r w:rsidRPr="000864AE">
        <w:rPr>
          <w:rFonts w:ascii="Verdana" w:hAnsi="Verdana" w:cs="JansonTextLTStd-Roman"/>
          <w:sz w:val="20"/>
          <w:szCs w:val="20"/>
        </w:rPr>
        <w:t xml:space="preserve">. </w:t>
      </w:r>
      <w:r w:rsidRPr="000864AE">
        <w:rPr>
          <w:rFonts w:ascii="Verdana" w:eastAsia="Times" w:hAnsi="Verdana" w:cs="Arial"/>
          <w:sz w:val="20"/>
          <w:szCs w:val="20"/>
        </w:rPr>
        <w:t>En el caso concreto de la pensión por jubilación derivada de un sistema de contribuciones o cotizaciones, es un</w:t>
      </w:r>
      <w:r w:rsidRPr="000864AE">
        <w:rPr>
          <w:rFonts w:ascii="Verdana" w:hAnsi="Verdana"/>
          <w:color w:val="000000"/>
          <w:sz w:val="20"/>
          <w:szCs w:val="20"/>
          <w:shd w:val="clear" w:color="auto" w:fill="FFFFFF"/>
          <w:lang w:val="es-PE"/>
        </w:rPr>
        <w:t xml:space="preserve"> componente de la seguridad social que busca satisfacer la necesidad de subsistencia económica que persiste para quien dejó de trabajar, al cumplirse la contingencia con base en la supervivencia más allá de la edad prescrita. En estos casos, la pensión de vejez es una especie de salario diferido del trabajador, un derecho adquirido luego de una acumulación de cotizaciones y tiempo laboral cumplido</w:t>
      </w:r>
      <w:r w:rsidRPr="000864AE">
        <w:rPr>
          <w:rStyle w:val="Refdenotaalpie"/>
          <w:rFonts w:ascii="Verdana" w:hAnsi="Verdana"/>
          <w:color w:val="000000"/>
          <w:sz w:val="20"/>
          <w:szCs w:val="20"/>
          <w:shd w:val="clear" w:color="auto" w:fill="FFFFFF"/>
          <w:lang w:val="es-PE"/>
        </w:rPr>
        <w:footnoteReference w:id="255"/>
      </w:r>
      <w:r w:rsidRPr="000864AE">
        <w:rPr>
          <w:rFonts w:ascii="Verdana" w:hAnsi="Verdana"/>
          <w:color w:val="000000"/>
          <w:sz w:val="20"/>
          <w:szCs w:val="20"/>
          <w:shd w:val="clear" w:color="auto" w:fill="FFFFFF"/>
          <w:lang w:val="es-PE"/>
        </w:rPr>
        <w:t>.</w:t>
      </w:r>
    </w:p>
    <w:p w14:paraId="2A034227" w14:textId="77777777" w:rsidR="00E83A1C" w:rsidRPr="000864AE" w:rsidRDefault="00E83A1C" w:rsidP="000864AE">
      <w:pPr>
        <w:pStyle w:val="Prrafodelista"/>
        <w:spacing w:after="0" w:line="240" w:lineRule="auto"/>
        <w:jc w:val="both"/>
        <w:rPr>
          <w:rFonts w:ascii="Verdana" w:eastAsia="Times" w:hAnsi="Verdana" w:cs="Arial"/>
          <w:sz w:val="20"/>
          <w:szCs w:val="20"/>
        </w:rPr>
      </w:pPr>
    </w:p>
    <w:p w14:paraId="5A0DA9D5" w14:textId="69BBE2E1"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eastAsia="Times" w:hAnsi="Verdana" w:cs="Arial"/>
          <w:sz w:val="20"/>
          <w:szCs w:val="20"/>
        </w:rPr>
      </w:pPr>
      <w:r w:rsidRPr="000864AE">
        <w:rPr>
          <w:rFonts w:ascii="Verdana" w:eastAsia="Times" w:hAnsi="Verdana" w:cs="Arial"/>
          <w:sz w:val="20"/>
          <w:szCs w:val="20"/>
        </w:rPr>
        <w:t xml:space="preserve">El Comité DESC ha establecido en su Observación General No. 19 sobre “el derecho a la seguridad social” que este derecho </w:t>
      </w:r>
      <w:r w:rsidRPr="000864AE">
        <w:rPr>
          <w:rFonts w:ascii="Verdana" w:hAnsi="Verdana"/>
          <w:snapToGrid w:val="0"/>
          <w:sz w:val="20"/>
          <w:szCs w:val="20"/>
        </w:rPr>
        <w:t xml:space="preserve">abarca el obtener y mantener prestaciones sociales, ya sea en efectivo o en especie, sin discriminación, con el </w:t>
      </w:r>
      <w:r w:rsidR="00462864" w:rsidRPr="000864AE">
        <w:rPr>
          <w:rFonts w:ascii="Verdana" w:hAnsi="Verdana"/>
          <w:snapToGrid w:val="0"/>
          <w:sz w:val="20"/>
          <w:szCs w:val="20"/>
        </w:rPr>
        <w:t>fin de obtener protección</w:t>
      </w:r>
      <w:r w:rsidRPr="000864AE">
        <w:rPr>
          <w:rFonts w:ascii="Verdana" w:hAnsi="Verdana"/>
          <w:snapToGrid w:val="0"/>
          <w:sz w:val="20"/>
          <w:szCs w:val="20"/>
        </w:rPr>
        <w:t xml:space="preserve"> en diversas circunstancias, en particular por la falta de ingresos procedentes del trabajo debido a la vejez</w:t>
      </w:r>
      <w:r w:rsidRPr="000864AE">
        <w:rPr>
          <w:rStyle w:val="Refdenotaalpie"/>
          <w:rFonts w:ascii="Verdana" w:hAnsi="Verdana"/>
          <w:snapToGrid w:val="0"/>
          <w:sz w:val="20"/>
          <w:szCs w:val="20"/>
        </w:rPr>
        <w:footnoteReference w:id="256"/>
      </w:r>
      <w:r w:rsidRPr="000864AE">
        <w:rPr>
          <w:rFonts w:ascii="Verdana" w:hAnsi="Verdana"/>
          <w:snapToGrid w:val="0"/>
          <w:sz w:val="20"/>
          <w:szCs w:val="20"/>
        </w:rPr>
        <w:t>. De igual forma, la Observación General No. 19 del Comité DESC ha establecido el contenido normativo del derecho a la seguridad social</w:t>
      </w:r>
      <w:r w:rsidRPr="000864AE">
        <w:rPr>
          <w:rStyle w:val="Refdenotaalpie"/>
          <w:rFonts w:ascii="Verdana" w:hAnsi="Verdana"/>
          <w:snapToGrid w:val="0"/>
          <w:sz w:val="20"/>
          <w:szCs w:val="20"/>
        </w:rPr>
        <w:footnoteReference w:id="257"/>
      </w:r>
      <w:r w:rsidRPr="000864AE">
        <w:rPr>
          <w:rFonts w:ascii="Verdana" w:hAnsi="Verdana"/>
          <w:snapToGrid w:val="0"/>
          <w:sz w:val="20"/>
          <w:szCs w:val="20"/>
        </w:rPr>
        <w:t xml:space="preserve"> y destacó </w:t>
      </w:r>
      <w:r w:rsidRPr="000864AE">
        <w:rPr>
          <w:rFonts w:ascii="Verdana" w:eastAsia="Times" w:hAnsi="Verdana" w:cs="Arial"/>
          <w:sz w:val="20"/>
          <w:szCs w:val="20"/>
        </w:rPr>
        <w:t xml:space="preserve">que </w:t>
      </w:r>
      <w:r w:rsidRPr="000864AE">
        <w:rPr>
          <w:rFonts w:ascii="Verdana" w:hAnsi="Verdana"/>
          <w:snapToGrid w:val="0"/>
          <w:sz w:val="20"/>
          <w:szCs w:val="20"/>
        </w:rPr>
        <w:t>incluye el derecho a no ser sometido a restricciones arbitrarias o poco razonables de la cobertura social existente, ya sea del sector público o del privado, así como del derecho a la igualdad en el disfrute de una protección suficiente contra los riesgos e imprevistos sociales. En cuanto a sus elementos fundamentales</w:t>
      </w:r>
      <w:r w:rsidR="00462864" w:rsidRPr="000864AE">
        <w:rPr>
          <w:rFonts w:ascii="Verdana" w:hAnsi="Verdana"/>
          <w:snapToGrid w:val="0"/>
          <w:sz w:val="20"/>
          <w:szCs w:val="20"/>
        </w:rPr>
        <w:t>,</w:t>
      </w:r>
      <w:r w:rsidRPr="000864AE">
        <w:rPr>
          <w:rFonts w:ascii="Verdana" w:hAnsi="Verdana"/>
          <w:snapToGrid w:val="0"/>
          <w:sz w:val="20"/>
          <w:szCs w:val="20"/>
        </w:rPr>
        <w:t xml:space="preserve"> destacó los siguientes:</w:t>
      </w:r>
    </w:p>
    <w:p w14:paraId="59393E26" w14:textId="77777777" w:rsidR="00E83A1C" w:rsidRPr="000864AE" w:rsidRDefault="00E83A1C" w:rsidP="000864AE">
      <w:pPr>
        <w:tabs>
          <w:tab w:val="left" w:pos="567"/>
          <w:tab w:val="num" w:pos="12305"/>
        </w:tabs>
        <w:spacing w:after="0" w:line="240" w:lineRule="auto"/>
        <w:jc w:val="both"/>
        <w:rPr>
          <w:rFonts w:ascii="Verdana" w:eastAsia="Times" w:hAnsi="Verdana" w:cs="Arial"/>
          <w:sz w:val="20"/>
          <w:szCs w:val="20"/>
        </w:rPr>
      </w:pPr>
    </w:p>
    <w:p w14:paraId="0412159E" w14:textId="77777777" w:rsidR="00E83A1C" w:rsidRPr="000864AE" w:rsidRDefault="00E83A1C" w:rsidP="000864AE">
      <w:pPr>
        <w:snapToGrid w:val="0"/>
        <w:spacing w:after="0" w:line="240" w:lineRule="auto"/>
        <w:ind w:left="360" w:right="540"/>
        <w:jc w:val="both"/>
        <w:rPr>
          <w:rFonts w:ascii="Verdana" w:hAnsi="Verdana"/>
          <w:snapToGrid w:val="0"/>
          <w:sz w:val="18"/>
          <w:szCs w:val="18"/>
        </w:rPr>
      </w:pPr>
      <w:r w:rsidRPr="000864AE">
        <w:rPr>
          <w:rFonts w:ascii="Verdana" w:hAnsi="Verdana"/>
          <w:i/>
          <w:snapToGrid w:val="0"/>
          <w:sz w:val="18"/>
          <w:szCs w:val="18"/>
        </w:rPr>
        <w:t>a) Disponibilidad:</w:t>
      </w:r>
      <w:r w:rsidRPr="000864AE">
        <w:rPr>
          <w:rFonts w:ascii="Verdana" w:hAnsi="Verdana"/>
          <w:snapToGrid w:val="0"/>
          <w:sz w:val="18"/>
          <w:szCs w:val="18"/>
        </w:rPr>
        <w:t xml:space="preserve"> El derecho a la seguridad social requiere, para ser ejercido, que se haya establecido y funcione un sistema, con independencia de que esté compuesto de uno o varios planes, que garantice las prestaciones correspondientes a los riesgos e imprevistos sociales de que se trate. Este sistema debe establecerse en el marco del derecho nacional, y las autoridades públicas deben asumir la responsabilidad de su administración o supervisión eficaz. Los planes también deben ser sostenibles, incluidos los planes de pensiones, a fin de asegurar que las generaciones presentes y futuras puedan ejercer este derecho.</w:t>
      </w:r>
    </w:p>
    <w:p w14:paraId="39AE5896" w14:textId="77777777" w:rsidR="00E83A1C" w:rsidRPr="000864AE" w:rsidRDefault="00E83A1C" w:rsidP="000864AE">
      <w:pPr>
        <w:snapToGrid w:val="0"/>
        <w:spacing w:after="0" w:line="240" w:lineRule="auto"/>
        <w:ind w:left="360" w:right="540"/>
        <w:jc w:val="both"/>
        <w:rPr>
          <w:rFonts w:ascii="Verdana" w:hAnsi="Verdana"/>
          <w:snapToGrid w:val="0"/>
          <w:sz w:val="18"/>
          <w:szCs w:val="18"/>
        </w:rPr>
      </w:pPr>
    </w:p>
    <w:p w14:paraId="44D411C2" w14:textId="77DCA3D9" w:rsidR="00E83A1C" w:rsidRPr="000864AE" w:rsidRDefault="00E83A1C" w:rsidP="000864AE">
      <w:pPr>
        <w:snapToGrid w:val="0"/>
        <w:spacing w:after="0" w:line="240" w:lineRule="auto"/>
        <w:ind w:left="360" w:right="540"/>
        <w:jc w:val="both"/>
        <w:rPr>
          <w:rFonts w:ascii="Verdana" w:hAnsi="Verdana"/>
          <w:snapToGrid w:val="0"/>
          <w:sz w:val="18"/>
          <w:szCs w:val="18"/>
        </w:rPr>
      </w:pPr>
      <w:r w:rsidRPr="000864AE">
        <w:rPr>
          <w:rFonts w:ascii="Verdana" w:hAnsi="Verdana"/>
          <w:i/>
          <w:snapToGrid w:val="0"/>
          <w:sz w:val="18"/>
          <w:szCs w:val="18"/>
        </w:rPr>
        <w:t>b) Riesgos e imprevistos sociales:</w:t>
      </w:r>
      <w:r w:rsidR="00462864" w:rsidRPr="000864AE">
        <w:rPr>
          <w:rFonts w:ascii="Verdana" w:hAnsi="Verdana"/>
          <w:snapToGrid w:val="0"/>
          <w:sz w:val="18"/>
          <w:szCs w:val="18"/>
        </w:rPr>
        <w:t xml:space="preserve"> debe abarcar nueve</w:t>
      </w:r>
      <w:r w:rsidRPr="000864AE">
        <w:rPr>
          <w:rFonts w:ascii="Verdana" w:hAnsi="Verdana"/>
          <w:snapToGrid w:val="0"/>
          <w:sz w:val="18"/>
          <w:szCs w:val="18"/>
        </w:rPr>
        <w:t xml:space="preserve"> ramas principales a saber: i) atención en salud; ii) enfermedad; iii) vejez; iv) desempleo; v) accidentes laborales; vi) prestaciones familiares; vii) maternidad; viii) discapacidad, y ix) sobrevivientes y huérfanos. En cuanto la atención en salud, los Estados Partes tienen la obligación de garantizar que se establezcan sistemas de salud que prevean un acceso adecuado de todas las personas a los servicios de salud</w:t>
      </w:r>
      <w:r w:rsidRPr="000864AE">
        <w:rPr>
          <w:rStyle w:val="Refdenotaalpie"/>
          <w:rFonts w:ascii="Verdana" w:hAnsi="Verdana"/>
          <w:snapToGrid w:val="0"/>
          <w:sz w:val="18"/>
          <w:szCs w:val="18"/>
        </w:rPr>
        <w:footnoteReference w:id="258"/>
      </w:r>
      <w:r w:rsidRPr="000864AE">
        <w:rPr>
          <w:rFonts w:ascii="Verdana" w:hAnsi="Verdana"/>
          <w:snapToGrid w:val="0"/>
          <w:sz w:val="18"/>
          <w:szCs w:val="18"/>
        </w:rPr>
        <w:t>, que deben ser asequibles. En cuanto a la vejez, los Estados Partes deben tomar medidas apropiadas para establecer planes de seguridad social que concedan prestaciones a las personas de edad, a partir de una edad determinada prescrita por la legislación nacional</w:t>
      </w:r>
      <w:r w:rsidRPr="000864AE">
        <w:rPr>
          <w:rStyle w:val="Refdenotaalpie"/>
          <w:rFonts w:ascii="Verdana" w:hAnsi="Verdana"/>
          <w:snapToGrid w:val="0"/>
          <w:sz w:val="18"/>
          <w:szCs w:val="18"/>
        </w:rPr>
        <w:footnoteReference w:id="259"/>
      </w:r>
      <w:r w:rsidRPr="000864AE">
        <w:rPr>
          <w:rFonts w:ascii="Verdana" w:hAnsi="Verdana"/>
          <w:snapToGrid w:val="0"/>
          <w:sz w:val="18"/>
          <w:szCs w:val="18"/>
        </w:rPr>
        <w:t>.</w:t>
      </w:r>
    </w:p>
    <w:p w14:paraId="50C3B72F" w14:textId="77777777" w:rsidR="00E83A1C" w:rsidRPr="000864AE" w:rsidRDefault="00E83A1C" w:rsidP="000864AE">
      <w:pPr>
        <w:snapToGrid w:val="0"/>
        <w:spacing w:after="0" w:line="240" w:lineRule="auto"/>
        <w:ind w:left="360" w:right="540"/>
        <w:jc w:val="both"/>
        <w:rPr>
          <w:rFonts w:ascii="Verdana" w:hAnsi="Verdana"/>
          <w:snapToGrid w:val="0"/>
          <w:sz w:val="18"/>
          <w:szCs w:val="18"/>
        </w:rPr>
      </w:pPr>
    </w:p>
    <w:p w14:paraId="16BA24A2" w14:textId="1DC9D07B" w:rsidR="00E83A1C" w:rsidRPr="000864AE" w:rsidRDefault="00E83A1C" w:rsidP="000864AE">
      <w:pPr>
        <w:snapToGrid w:val="0"/>
        <w:spacing w:after="0" w:line="240" w:lineRule="auto"/>
        <w:ind w:left="360" w:right="540"/>
        <w:jc w:val="both"/>
        <w:rPr>
          <w:rFonts w:ascii="Verdana" w:hAnsi="Verdana"/>
          <w:snapToGrid w:val="0"/>
          <w:sz w:val="18"/>
          <w:szCs w:val="18"/>
        </w:rPr>
      </w:pPr>
      <w:r w:rsidRPr="000864AE">
        <w:rPr>
          <w:rFonts w:ascii="Verdana" w:hAnsi="Verdana"/>
          <w:i/>
          <w:snapToGrid w:val="0"/>
          <w:sz w:val="18"/>
          <w:szCs w:val="18"/>
        </w:rPr>
        <w:t>c) Nivel suficiente:</w:t>
      </w:r>
      <w:r w:rsidRPr="000864AE">
        <w:rPr>
          <w:rFonts w:ascii="Verdana" w:hAnsi="Verdana"/>
          <w:snapToGrid w:val="0"/>
          <w:sz w:val="18"/>
          <w:szCs w:val="18"/>
        </w:rPr>
        <w:t xml:space="preserve"> las prestaciones, ya sea en efectivo o en especie, deben ser suficientes en importe y duración a fin de que todos puedan gozar de sus derechos a la protección y asistencia familiar, de unas condiciones de vida adecuadas y de acceso suficientes a la atención de salud. Además, los Estados Partes deben respetar plenamente el principio de la dignidad humana y el principio de la no discriminación, a fin de evitar cualquier efecto adverso sobre el nivel de las prestaciones y la forma en que se conceden. Los métodos aplicados deben asegurar un nivel suficiente de las prestaciones. Los criterios de suficiencia deben revisarse periódicamente, para asegurarse de que los beneficiarios pueden costear los bienes y servicios que necesitan para ejercer los derechos reconocidos en el Pacto. Cuando una persona cotiza a un plan de seguridad social que ofrece prestaciones para suplir la falta de ingresos, debe haber una relación razonable entre los ingresos, las cotizaciones abonadas y la cuantía de la prestación pertinente</w:t>
      </w:r>
      <w:r w:rsidR="00462864" w:rsidRPr="000864AE">
        <w:rPr>
          <w:rStyle w:val="Refdenotaalpie"/>
          <w:rFonts w:ascii="Verdana" w:hAnsi="Verdana"/>
          <w:snapToGrid w:val="0"/>
          <w:sz w:val="18"/>
          <w:szCs w:val="18"/>
        </w:rPr>
        <w:footnoteReference w:id="260"/>
      </w:r>
      <w:r w:rsidRPr="000864AE">
        <w:rPr>
          <w:rFonts w:ascii="Verdana" w:hAnsi="Verdana"/>
          <w:snapToGrid w:val="0"/>
          <w:sz w:val="18"/>
          <w:szCs w:val="18"/>
        </w:rPr>
        <w:t>.</w:t>
      </w:r>
    </w:p>
    <w:p w14:paraId="2BC79A16" w14:textId="77777777" w:rsidR="00C729BF" w:rsidRPr="000864AE" w:rsidRDefault="00C729BF" w:rsidP="000864AE">
      <w:pPr>
        <w:snapToGrid w:val="0"/>
        <w:spacing w:after="0" w:line="240" w:lineRule="auto"/>
        <w:ind w:left="360" w:right="540"/>
        <w:jc w:val="both"/>
        <w:rPr>
          <w:rFonts w:ascii="Verdana" w:hAnsi="Verdana"/>
          <w:color w:val="000000"/>
          <w:sz w:val="18"/>
          <w:szCs w:val="18"/>
          <w:lang w:val="es-PE"/>
        </w:rPr>
      </w:pPr>
    </w:p>
    <w:p w14:paraId="7E1C1691" w14:textId="2151E59F" w:rsidR="00E83A1C" w:rsidRPr="000864AE" w:rsidRDefault="00E83A1C" w:rsidP="000864AE">
      <w:pPr>
        <w:snapToGrid w:val="0"/>
        <w:spacing w:after="0" w:line="240" w:lineRule="auto"/>
        <w:ind w:left="360" w:right="540"/>
        <w:jc w:val="both"/>
        <w:rPr>
          <w:rFonts w:ascii="Verdana" w:hAnsi="Verdana"/>
          <w:snapToGrid w:val="0"/>
          <w:sz w:val="18"/>
          <w:szCs w:val="18"/>
        </w:rPr>
      </w:pPr>
      <w:r w:rsidRPr="000864AE">
        <w:rPr>
          <w:rFonts w:ascii="Verdana" w:hAnsi="Verdana"/>
          <w:i/>
          <w:snapToGrid w:val="0"/>
          <w:sz w:val="18"/>
          <w:szCs w:val="18"/>
        </w:rPr>
        <w:t>d) Accesibilidad:</w:t>
      </w:r>
      <w:r w:rsidRPr="000864AE">
        <w:rPr>
          <w:rFonts w:ascii="Verdana" w:hAnsi="Verdana"/>
          <w:snapToGrid w:val="0"/>
          <w:sz w:val="18"/>
          <w:szCs w:val="18"/>
        </w:rPr>
        <w:t xml:space="preserve"> la cual a su vez incluye: i) cobertura: todas las personas deben estar cubiertas por el sistema de seguridad social, sin discriminación. Para garantizar la cobertura de todos, resultarán necesarios los planes no contributivos; ii) condiciones: </w:t>
      </w:r>
      <w:r w:rsidRPr="000864AE">
        <w:rPr>
          <w:rFonts w:ascii="Verdana" w:hAnsi="Verdana"/>
          <w:snapToGrid w:val="0"/>
          <w:sz w:val="18"/>
          <w:szCs w:val="18"/>
          <w:lang w:val="es-PE"/>
        </w:rPr>
        <w:t>l</w:t>
      </w:r>
      <w:r w:rsidRPr="000864AE">
        <w:rPr>
          <w:rFonts w:ascii="Verdana" w:hAnsi="Verdana"/>
          <w:snapToGrid w:val="0"/>
          <w:sz w:val="18"/>
          <w:szCs w:val="18"/>
        </w:rPr>
        <w:t>as condiciones para acogerse a las prestaciones deben ser razonables, proporcionadas y transparentes; iii) asequibilidad: si un plan de seguridad social exige el pago de cotizaciones, éstas deben definirse por adelantado. Los costos directos e indirectos relacionados con las cotizaciones deben de ser asequibles para todos y no deben comprometer el ejercicio de otros derechos; iv) participación e información: los beneficiarios de los planes de seguridad social deben poder participar en la administración del sistema. El sistema debe establecerse en el marco de la legislación nacional y garantizar el derecho de las personas y las organizaciones a recabar, recibir y distribuir información sobre todos los derechos ofrecidos por la seguridad social de manera clara y trasparente, y v) acceso físico: las prestaciones deben concederse oportunamente, y los beneficiarios deben tener acceso físico a los servicios de seguridad social con el fin de obtener las prestaciones y la información, y hacer las cotizaciones cuando cor</w:t>
      </w:r>
      <w:r w:rsidR="00462864" w:rsidRPr="000864AE">
        <w:rPr>
          <w:rFonts w:ascii="Verdana" w:hAnsi="Verdana"/>
          <w:snapToGrid w:val="0"/>
          <w:sz w:val="18"/>
          <w:szCs w:val="18"/>
        </w:rPr>
        <w:t>responda (…)</w:t>
      </w:r>
      <w:r w:rsidRPr="000864AE">
        <w:rPr>
          <w:rFonts w:ascii="Verdana" w:hAnsi="Verdana"/>
          <w:snapToGrid w:val="0"/>
          <w:sz w:val="18"/>
          <w:szCs w:val="18"/>
        </w:rPr>
        <w:t>.</w:t>
      </w:r>
    </w:p>
    <w:p w14:paraId="2654C5A6" w14:textId="77777777" w:rsidR="00C729BF" w:rsidRPr="000864AE" w:rsidRDefault="00C729BF" w:rsidP="000864AE">
      <w:pPr>
        <w:snapToGrid w:val="0"/>
        <w:spacing w:after="0" w:line="240" w:lineRule="auto"/>
        <w:ind w:left="360" w:right="540"/>
        <w:jc w:val="both"/>
        <w:rPr>
          <w:rFonts w:ascii="Verdana" w:hAnsi="Verdana"/>
          <w:snapToGrid w:val="0"/>
          <w:sz w:val="18"/>
          <w:szCs w:val="18"/>
        </w:rPr>
      </w:pPr>
    </w:p>
    <w:p w14:paraId="169AAFF7" w14:textId="1B7ACD4F" w:rsidR="00E83A1C" w:rsidRPr="000864AE" w:rsidRDefault="00E83A1C" w:rsidP="000864AE">
      <w:pPr>
        <w:snapToGrid w:val="0"/>
        <w:spacing w:after="0" w:line="240" w:lineRule="auto"/>
        <w:ind w:left="360" w:right="540"/>
        <w:jc w:val="both"/>
        <w:rPr>
          <w:rFonts w:ascii="Verdana" w:hAnsi="Verdana"/>
          <w:snapToGrid w:val="0"/>
          <w:sz w:val="20"/>
          <w:szCs w:val="20"/>
        </w:rPr>
      </w:pPr>
      <w:r w:rsidRPr="000864AE">
        <w:rPr>
          <w:rFonts w:ascii="Verdana" w:hAnsi="Verdana"/>
          <w:i/>
          <w:snapToGrid w:val="0"/>
          <w:sz w:val="18"/>
          <w:szCs w:val="18"/>
        </w:rPr>
        <w:t>e) Relación con otros derechos:</w:t>
      </w:r>
      <w:r w:rsidRPr="000864AE">
        <w:rPr>
          <w:rFonts w:ascii="Verdana" w:hAnsi="Verdana"/>
          <w:snapToGrid w:val="0"/>
          <w:sz w:val="18"/>
          <w:szCs w:val="18"/>
        </w:rPr>
        <w:t xml:space="preserve"> el derecho a la seguridad social contribuye en gran medida a reforzar el ejercicio de muchos de los derechos eco</w:t>
      </w:r>
      <w:r w:rsidR="00C729BF" w:rsidRPr="000864AE">
        <w:rPr>
          <w:rFonts w:ascii="Verdana" w:hAnsi="Verdana"/>
          <w:snapToGrid w:val="0"/>
          <w:sz w:val="18"/>
          <w:szCs w:val="18"/>
        </w:rPr>
        <w:t>nómicos, sociales y culturales.</w:t>
      </w:r>
    </w:p>
    <w:p w14:paraId="604A3FB4" w14:textId="77777777" w:rsidR="00C729BF" w:rsidRPr="000864AE" w:rsidRDefault="00C729BF" w:rsidP="000864AE">
      <w:pPr>
        <w:snapToGrid w:val="0"/>
        <w:spacing w:after="0" w:line="240" w:lineRule="auto"/>
        <w:ind w:left="360" w:right="540"/>
        <w:jc w:val="both"/>
        <w:rPr>
          <w:rFonts w:ascii="Verdana" w:hAnsi="Verdana"/>
          <w:snapToGrid w:val="0"/>
          <w:sz w:val="20"/>
          <w:szCs w:val="20"/>
        </w:rPr>
      </w:pPr>
    </w:p>
    <w:p w14:paraId="475D50CD" w14:textId="77777777" w:rsidR="00E83A1C"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hAnsi="Verdana"/>
          <w:snapToGrid w:val="0"/>
          <w:sz w:val="20"/>
          <w:szCs w:val="20"/>
        </w:rPr>
      </w:pPr>
      <w:r w:rsidRPr="000864AE">
        <w:rPr>
          <w:rFonts w:ascii="Verdana" w:hAnsi="Verdana"/>
          <w:snapToGrid w:val="0"/>
          <w:sz w:val="20"/>
          <w:szCs w:val="20"/>
        </w:rPr>
        <w:t>Asimismo, la Observación General No. 19 ha establecido que el derecho a acceder a la justicia forma parte del derecho a la seguridad social, por lo que las personas o grupos que hayan sido víctimas de una violación de su derecho a la seguridad social deben tener acceso a recursos judiciales o de otro tipo eficaces, tanto en el plano nacional como internacional, así como a las reparaciones que corresponda</w:t>
      </w:r>
      <w:r w:rsidRPr="000864AE">
        <w:rPr>
          <w:rStyle w:val="Refdenotaalpie"/>
          <w:rFonts w:ascii="Verdana" w:hAnsi="Verdana"/>
          <w:snapToGrid w:val="0"/>
          <w:sz w:val="20"/>
          <w:szCs w:val="20"/>
        </w:rPr>
        <w:footnoteReference w:id="261"/>
      </w:r>
      <w:r w:rsidRPr="000864AE">
        <w:rPr>
          <w:rFonts w:ascii="Verdana" w:hAnsi="Verdana"/>
          <w:snapToGrid w:val="0"/>
          <w:sz w:val="20"/>
          <w:szCs w:val="20"/>
        </w:rPr>
        <w:t xml:space="preserve">. </w:t>
      </w:r>
    </w:p>
    <w:p w14:paraId="61F1998B" w14:textId="77777777" w:rsidR="00E83A1C" w:rsidRPr="000864AE" w:rsidRDefault="00E83A1C" w:rsidP="000864AE">
      <w:pPr>
        <w:tabs>
          <w:tab w:val="left" w:pos="567"/>
        </w:tabs>
        <w:spacing w:after="0" w:line="240" w:lineRule="auto"/>
        <w:jc w:val="both"/>
        <w:rPr>
          <w:rFonts w:ascii="Verdana" w:hAnsi="Verdana"/>
          <w:snapToGrid w:val="0"/>
          <w:sz w:val="20"/>
          <w:szCs w:val="20"/>
        </w:rPr>
      </w:pPr>
    </w:p>
    <w:p w14:paraId="18639B94" w14:textId="503EEE1C" w:rsidR="00C729BF"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hAnsi="Verdana"/>
          <w:snapToGrid w:val="0"/>
          <w:sz w:val="20"/>
          <w:szCs w:val="20"/>
        </w:rPr>
      </w:pPr>
      <w:r w:rsidRPr="000864AE">
        <w:rPr>
          <w:rFonts w:ascii="Verdana" w:hAnsi="Verdana"/>
          <w:snapToGrid w:val="0"/>
          <w:sz w:val="20"/>
          <w:szCs w:val="20"/>
        </w:rPr>
        <w:t>En el mismo sentido, los Estados tienen la obligación de facilitar el ejercicio del derecho a la seguridad social, adoptando medidas positivas para ayudar a los individuos a ejercer dicho derecho</w:t>
      </w:r>
      <w:r w:rsidRPr="000864AE">
        <w:rPr>
          <w:rStyle w:val="Refdenotaalpie"/>
          <w:rFonts w:ascii="Verdana" w:hAnsi="Verdana"/>
          <w:snapToGrid w:val="0"/>
          <w:sz w:val="20"/>
          <w:szCs w:val="20"/>
        </w:rPr>
        <w:footnoteReference w:id="262"/>
      </w:r>
      <w:r w:rsidRPr="000864AE">
        <w:rPr>
          <w:rFonts w:ascii="Verdana" w:hAnsi="Verdana"/>
          <w:snapToGrid w:val="0"/>
          <w:sz w:val="20"/>
          <w:szCs w:val="20"/>
        </w:rPr>
        <w:t>. No solo deben facilitar dicho ejercicio, sino también garantizar que “</w:t>
      </w:r>
      <w:r w:rsidR="00462864" w:rsidRPr="000864AE">
        <w:rPr>
          <w:rFonts w:ascii="Verdana" w:hAnsi="Verdana"/>
          <w:snapToGrid w:val="0"/>
          <w:sz w:val="20"/>
          <w:szCs w:val="20"/>
        </w:rPr>
        <w:t xml:space="preserve">(…) </w:t>
      </w:r>
      <w:r w:rsidRPr="000864AE">
        <w:rPr>
          <w:rFonts w:ascii="Verdana" w:hAnsi="Verdana"/>
          <w:snapToGrid w:val="0"/>
          <w:sz w:val="20"/>
          <w:szCs w:val="20"/>
        </w:rPr>
        <w:t>antes de que el Estado o una tercera parte lleven a cabo cualquier medida que interfiera en el derecho de una persona a la seguridad social, las autoridades competentes deberán garantizar que esas medidas se apliquen de conformidad con la ley y con el Pacto, lo cual supondrá: a) la posibilidad de consultar efectivamente a los afectados; b) la publicidad oportuna y completa de información sobre las medidas propuestas; c) el aviso previo con tiempo razonable de las medidas propuestas; d) recursos y reparaciones legales para los afectados; y e) asistencia letrada para i</w:t>
      </w:r>
      <w:r w:rsidR="00462864" w:rsidRPr="000864AE">
        <w:rPr>
          <w:rFonts w:ascii="Verdana" w:hAnsi="Verdana"/>
          <w:snapToGrid w:val="0"/>
          <w:sz w:val="20"/>
          <w:szCs w:val="20"/>
        </w:rPr>
        <w:t>nterponer recursos judiciales. (…)</w:t>
      </w:r>
      <w:r w:rsidRPr="000864AE">
        <w:rPr>
          <w:rFonts w:ascii="Verdana" w:hAnsi="Verdana"/>
          <w:snapToGrid w:val="0"/>
          <w:sz w:val="20"/>
          <w:szCs w:val="20"/>
        </w:rPr>
        <w:t>”</w:t>
      </w:r>
      <w:r w:rsidRPr="000864AE">
        <w:rPr>
          <w:rStyle w:val="Refdenotaalpie"/>
          <w:rFonts w:ascii="Verdana" w:hAnsi="Verdana"/>
          <w:snapToGrid w:val="0"/>
          <w:sz w:val="20"/>
          <w:szCs w:val="20"/>
        </w:rPr>
        <w:footnoteReference w:id="263"/>
      </w:r>
      <w:r w:rsidRPr="000864AE">
        <w:rPr>
          <w:rFonts w:ascii="Verdana" w:hAnsi="Verdana"/>
          <w:snapToGrid w:val="0"/>
          <w:sz w:val="20"/>
          <w:szCs w:val="20"/>
        </w:rPr>
        <w:t>.</w:t>
      </w:r>
    </w:p>
    <w:p w14:paraId="146FEAF0" w14:textId="77777777" w:rsidR="00C729BF" w:rsidRPr="000864AE" w:rsidRDefault="00C729BF" w:rsidP="000864AE">
      <w:pPr>
        <w:tabs>
          <w:tab w:val="left" w:pos="567"/>
        </w:tabs>
        <w:spacing w:after="0" w:line="240" w:lineRule="auto"/>
        <w:jc w:val="both"/>
        <w:rPr>
          <w:rFonts w:ascii="Verdana" w:hAnsi="Verdana"/>
          <w:snapToGrid w:val="0"/>
          <w:sz w:val="20"/>
          <w:szCs w:val="20"/>
        </w:rPr>
      </w:pPr>
    </w:p>
    <w:p w14:paraId="1FF66461" w14:textId="2C4A6AE5" w:rsidR="004B204D" w:rsidRPr="000864AE" w:rsidRDefault="00E83A1C" w:rsidP="000864AE">
      <w:pPr>
        <w:numPr>
          <w:ilvl w:val="0"/>
          <w:numId w:val="10"/>
        </w:numPr>
        <w:tabs>
          <w:tab w:val="left" w:pos="567"/>
          <w:tab w:val="num" w:pos="1569"/>
          <w:tab w:val="num" w:pos="12305"/>
        </w:tabs>
        <w:spacing w:after="0" w:line="240" w:lineRule="auto"/>
        <w:ind w:left="0" w:firstLine="0"/>
        <w:jc w:val="both"/>
        <w:rPr>
          <w:rFonts w:ascii="Verdana" w:hAnsi="Verdana"/>
          <w:snapToGrid w:val="0"/>
          <w:sz w:val="20"/>
          <w:szCs w:val="20"/>
        </w:rPr>
      </w:pPr>
      <w:r w:rsidRPr="000864AE">
        <w:rPr>
          <w:rFonts w:ascii="Verdana" w:hAnsi="Verdana"/>
          <w:snapToGrid w:val="0"/>
          <w:sz w:val="20"/>
          <w:szCs w:val="20"/>
        </w:rPr>
        <w:t xml:space="preserve">Tal y como lo ha reiterado en su jurisprudencia reciente, la </w:t>
      </w:r>
      <w:r w:rsidRPr="000864AE">
        <w:rPr>
          <w:rFonts w:ascii="Verdana" w:eastAsia="Times" w:hAnsi="Verdana" w:cs="Arial"/>
          <w:sz w:val="20"/>
          <w:szCs w:val="20"/>
        </w:rPr>
        <w:t>Corte considera que la naturaleza y alcance de las obligaciones que derivan de la protección de la seguridad social, incluyen aspectos que tienen una exigibilidad inmediata, así como aspectos que tienen un carácter progresivo</w:t>
      </w:r>
      <w:r w:rsidRPr="000864AE">
        <w:rPr>
          <w:rStyle w:val="Refdenotaalpie"/>
          <w:rFonts w:ascii="Verdana" w:eastAsia="Times" w:hAnsi="Verdana"/>
          <w:sz w:val="20"/>
          <w:szCs w:val="20"/>
        </w:rPr>
        <w:footnoteReference w:id="264"/>
      </w:r>
      <w:r w:rsidRPr="000864AE">
        <w:rPr>
          <w:rFonts w:ascii="Verdana" w:eastAsia="Times" w:hAnsi="Verdana" w:cs="Arial"/>
          <w:sz w:val="20"/>
          <w:szCs w:val="20"/>
        </w:rPr>
        <w:t xml:space="preserve">. Al respecto, la Corte </w:t>
      </w:r>
      <w:r w:rsidR="00462864" w:rsidRPr="000864AE">
        <w:rPr>
          <w:rFonts w:ascii="Verdana" w:eastAsia="Times" w:hAnsi="Verdana" w:cs="Arial"/>
          <w:sz w:val="20"/>
          <w:szCs w:val="20"/>
        </w:rPr>
        <w:t>recuerda que, en relación con los primero</w:t>
      </w:r>
      <w:r w:rsidRPr="000864AE">
        <w:rPr>
          <w:rFonts w:ascii="Verdana" w:eastAsia="Times" w:hAnsi="Verdana" w:cs="Arial"/>
          <w:sz w:val="20"/>
          <w:szCs w:val="20"/>
        </w:rPr>
        <w:t>s (obligaciones de exigibilidad inmediata),</w:t>
      </w:r>
      <w:r w:rsidRPr="000864AE">
        <w:rPr>
          <w:rFonts w:ascii="Verdana" w:hAnsi="Verdana"/>
          <w:sz w:val="20"/>
          <w:szCs w:val="20"/>
          <w:lang w:val="es-CR"/>
        </w:rPr>
        <w:t xml:space="preserve"> los Estados deberán adoptar medidas eficaces a fin de garantizar el acceso sin discriminación a las prestaciones reconocidas para el derecho a la seguridad social, garantizar la igualdad de derechos entre hombres y muj</w:t>
      </w:r>
      <w:r w:rsidR="00462864" w:rsidRPr="000864AE">
        <w:rPr>
          <w:rFonts w:ascii="Verdana" w:hAnsi="Verdana"/>
          <w:sz w:val="20"/>
          <w:szCs w:val="20"/>
          <w:lang w:val="es-CR"/>
        </w:rPr>
        <w:t>eres, entre otros. Respecto a los segundo</w:t>
      </w:r>
      <w:r w:rsidRPr="000864AE">
        <w:rPr>
          <w:rFonts w:ascii="Verdana" w:hAnsi="Verdana"/>
          <w:sz w:val="20"/>
          <w:szCs w:val="20"/>
          <w:lang w:val="es-CR"/>
        </w:rPr>
        <w:t>s (obligaciones de carácter progresivo),</w:t>
      </w:r>
      <w:r w:rsidRPr="000864AE">
        <w:rPr>
          <w:rFonts w:ascii="Verdana" w:eastAsia="Times" w:hAnsi="Verdana" w:cs="Arial"/>
          <w:sz w:val="20"/>
          <w:szCs w:val="20"/>
        </w:rPr>
        <w:t xml:space="preserve"> </w:t>
      </w:r>
      <w:r w:rsidRPr="000864AE">
        <w:rPr>
          <w:rFonts w:ascii="Verdana" w:hAnsi="Verdana"/>
          <w:sz w:val="20"/>
          <w:szCs w:val="20"/>
          <w:lang w:val="es-CR"/>
        </w:rPr>
        <w:t xml:space="preserve">la realización progresiva significa que los Estados partes tienen la obligación concreta y constante de avanzar lo más expedita y eficazmente posible hacia la plena efectividad de dicho derecho, en la medida de sus recursos disponibles, por vía legislativa u otros medios apropiados. </w:t>
      </w:r>
      <w:r w:rsidRPr="000864AE">
        <w:rPr>
          <w:rFonts w:ascii="Verdana" w:hAnsi="Verdana"/>
          <w:sz w:val="20"/>
          <w:szCs w:val="20"/>
        </w:rPr>
        <w:t xml:space="preserve">Asimismo, se impone la obligación de </w:t>
      </w:r>
      <w:r w:rsidRPr="000864AE">
        <w:rPr>
          <w:rFonts w:ascii="Verdana" w:hAnsi="Verdana"/>
          <w:i/>
          <w:sz w:val="20"/>
          <w:szCs w:val="20"/>
        </w:rPr>
        <w:t>no regresividad</w:t>
      </w:r>
      <w:r w:rsidRPr="000864AE">
        <w:rPr>
          <w:rFonts w:ascii="Verdana" w:hAnsi="Verdana"/>
          <w:sz w:val="20"/>
          <w:szCs w:val="20"/>
        </w:rPr>
        <w:t xml:space="preserve"> frente a la realización de los derechos alcanzados. En virtud de lo anterior, las obligaciones convencionales de respeto y garantía, así como de adopción de medidas de derecho interno (artículos 1.1 y 2), resultan fundamentales para alcanzar su efectividad</w:t>
      </w:r>
      <w:r w:rsidRPr="000864AE">
        <w:rPr>
          <w:rStyle w:val="Refdenotaalpie"/>
          <w:rFonts w:ascii="Verdana" w:hAnsi="Verdana"/>
          <w:sz w:val="20"/>
          <w:szCs w:val="20"/>
        </w:rPr>
        <w:footnoteReference w:id="265"/>
      </w:r>
      <w:r w:rsidRPr="000864AE">
        <w:rPr>
          <w:rFonts w:ascii="Verdana" w:hAnsi="Verdana"/>
          <w:sz w:val="20"/>
          <w:szCs w:val="20"/>
        </w:rPr>
        <w:t>.</w:t>
      </w:r>
    </w:p>
    <w:p w14:paraId="3F7E20E8" w14:textId="77777777" w:rsidR="004B204D" w:rsidRPr="000864AE" w:rsidRDefault="004B204D" w:rsidP="000864AE">
      <w:pPr>
        <w:tabs>
          <w:tab w:val="left" w:pos="567"/>
        </w:tabs>
        <w:spacing w:after="0" w:line="240" w:lineRule="auto"/>
        <w:jc w:val="both"/>
        <w:rPr>
          <w:rFonts w:ascii="Verdana" w:hAnsi="Verdana"/>
          <w:snapToGrid w:val="0"/>
          <w:sz w:val="20"/>
          <w:szCs w:val="20"/>
        </w:rPr>
      </w:pPr>
    </w:p>
    <w:p w14:paraId="2D770FBD" w14:textId="3420D950" w:rsidR="001002AE" w:rsidRPr="000864AE" w:rsidRDefault="001002AE" w:rsidP="000864AE">
      <w:pPr>
        <w:numPr>
          <w:ilvl w:val="0"/>
          <w:numId w:val="10"/>
        </w:numPr>
        <w:tabs>
          <w:tab w:val="left" w:pos="567"/>
          <w:tab w:val="num" w:pos="1569"/>
          <w:tab w:val="num" w:pos="12305"/>
        </w:tabs>
        <w:spacing w:after="0" w:line="240" w:lineRule="auto"/>
        <w:ind w:left="0" w:firstLine="0"/>
        <w:jc w:val="both"/>
        <w:rPr>
          <w:rFonts w:ascii="Verdana" w:hAnsi="Verdana"/>
          <w:snapToGrid w:val="0"/>
          <w:sz w:val="20"/>
          <w:szCs w:val="20"/>
        </w:rPr>
      </w:pPr>
      <w:r w:rsidRPr="000864AE">
        <w:rPr>
          <w:rFonts w:ascii="Verdana" w:hAnsi="Verdana"/>
          <w:sz w:val="20"/>
          <w:szCs w:val="20"/>
        </w:rPr>
        <w:t xml:space="preserve">Corresponde a la Corte analizar la conducta estatal respecto del cumplimiento de sus obligaciones de </w:t>
      </w:r>
      <w:r w:rsidR="00462864" w:rsidRPr="000864AE">
        <w:rPr>
          <w:rFonts w:ascii="Verdana" w:hAnsi="Verdana"/>
          <w:sz w:val="20"/>
          <w:szCs w:val="20"/>
        </w:rPr>
        <w:t>garantía</w:t>
      </w:r>
      <w:r w:rsidRPr="000864AE">
        <w:rPr>
          <w:rFonts w:ascii="Verdana" w:hAnsi="Verdana"/>
          <w:sz w:val="20"/>
          <w:szCs w:val="20"/>
        </w:rPr>
        <w:t xml:space="preserve"> respecto del derecho a la </w:t>
      </w:r>
      <w:r w:rsidR="00462864" w:rsidRPr="000864AE">
        <w:rPr>
          <w:rFonts w:ascii="Verdana" w:hAnsi="Verdana"/>
          <w:sz w:val="20"/>
          <w:szCs w:val="20"/>
        </w:rPr>
        <w:t>pensión</w:t>
      </w:r>
      <w:r w:rsidRPr="000864AE">
        <w:rPr>
          <w:rFonts w:ascii="Verdana" w:hAnsi="Verdana"/>
          <w:sz w:val="20"/>
          <w:szCs w:val="20"/>
        </w:rPr>
        <w:t xml:space="preserve">, como parte integral del derecho a la seguridad social, en perjuicio de las presuntas </w:t>
      </w:r>
      <w:r w:rsidR="00462864" w:rsidRPr="000864AE">
        <w:rPr>
          <w:rFonts w:ascii="Verdana" w:hAnsi="Verdana"/>
          <w:sz w:val="20"/>
          <w:szCs w:val="20"/>
        </w:rPr>
        <w:t>víctimas</w:t>
      </w:r>
      <w:r w:rsidRPr="000864AE">
        <w:rPr>
          <w:rFonts w:ascii="Verdana" w:hAnsi="Verdana"/>
          <w:sz w:val="20"/>
          <w:szCs w:val="20"/>
        </w:rPr>
        <w:t xml:space="preserve"> del caso debido a la falta de cumplimiento y </w:t>
      </w:r>
      <w:r w:rsidR="00462864" w:rsidRPr="000864AE">
        <w:rPr>
          <w:rFonts w:ascii="Verdana" w:hAnsi="Verdana"/>
          <w:sz w:val="20"/>
          <w:szCs w:val="20"/>
        </w:rPr>
        <w:t>ejecución</w:t>
      </w:r>
      <w:r w:rsidRPr="000864AE">
        <w:rPr>
          <w:rFonts w:ascii="Verdana" w:hAnsi="Verdana"/>
          <w:sz w:val="20"/>
          <w:szCs w:val="20"/>
        </w:rPr>
        <w:t xml:space="preserve"> de las sentencias dictadas a su favor.</w:t>
      </w:r>
    </w:p>
    <w:p w14:paraId="66F58006" w14:textId="77777777" w:rsidR="00B86B27" w:rsidRPr="000864AE" w:rsidRDefault="00B86B27" w:rsidP="000864AE">
      <w:pPr>
        <w:pStyle w:val="Prrafodelista"/>
        <w:spacing w:after="0" w:line="240" w:lineRule="auto"/>
        <w:rPr>
          <w:rFonts w:ascii="Verdana" w:hAnsi="Verdana"/>
          <w:sz w:val="20"/>
          <w:szCs w:val="20"/>
        </w:rPr>
      </w:pPr>
    </w:p>
    <w:p w14:paraId="4EB8585E" w14:textId="78DC61DA" w:rsidR="008314A4" w:rsidRPr="000864AE" w:rsidRDefault="008314A4" w:rsidP="000864AE">
      <w:pPr>
        <w:numPr>
          <w:ilvl w:val="0"/>
          <w:numId w:val="10"/>
        </w:numPr>
        <w:tabs>
          <w:tab w:val="left" w:pos="567"/>
          <w:tab w:val="num" w:pos="1569"/>
          <w:tab w:val="num" w:pos="12305"/>
        </w:tabs>
        <w:spacing w:after="0" w:line="240" w:lineRule="auto"/>
        <w:ind w:left="0" w:firstLine="0"/>
        <w:jc w:val="both"/>
        <w:rPr>
          <w:rFonts w:ascii="Verdana" w:hAnsi="Verdana"/>
          <w:snapToGrid w:val="0"/>
          <w:sz w:val="20"/>
          <w:szCs w:val="20"/>
        </w:rPr>
      </w:pPr>
      <w:r w:rsidRPr="000864AE">
        <w:rPr>
          <w:rFonts w:ascii="Verdana" w:hAnsi="Verdana"/>
          <w:sz w:val="20"/>
          <w:szCs w:val="20"/>
        </w:rPr>
        <w:t xml:space="preserve">En este sentido, con base en </w:t>
      </w:r>
      <w:r w:rsidR="009D502E" w:rsidRPr="000864AE">
        <w:rPr>
          <w:rFonts w:ascii="Verdana" w:hAnsi="Verdana"/>
          <w:sz w:val="20"/>
          <w:szCs w:val="20"/>
        </w:rPr>
        <w:t>lo antes mencionado respecto del derecho a la seguridad social</w:t>
      </w:r>
      <w:r w:rsidRPr="000864AE">
        <w:rPr>
          <w:rFonts w:ascii="Verdana" w:hAnsi="Verdana"/>
          <w:sz w:val="20"/>
          <w:szCs w:val="20"/>
        </w:rPr>
        <w:t xml:space="preserve">, y tomando en cuenta los hechos y particularidades del presente caso, las obligaciones del Estado en relación con el derecho a la pensión son las siguientes: a) el derecho a acceder a una pensión luego de adquirida la edad legal para ello y los requisitos establecidos en la normativa nacional, para lo cual deberá existir un sistema de seguridad social que funcione y garantice las prestaciones. Este sistema deberá ser administrado o supervisado y fiscalizado por el Estado (en caso de que sea administrado por </w:t>
      </w:r>
      <w:r w:rsidR="00462864" w:rsidRPr="000864AE">
        <w:rPr>
          <w:rFonts w:ascii="Verdana" w:hAnsi="Verdana"/>
          <w:sz w:val="20"/>
          <w:szCs w:val="20"/>
        </w:rPr>
        <w:t xml:space="preserve">sujetos </w:t>
      </w:r>
      <w:r w:rsidRPr="000864AE">
        <w:rPr>
          <w:rFonts w:ascii="Verdana" w:hAnsi="Verdana"/>
          <w:sz w:val="20"/>
          <w:szCs w:val="20"/>
        </w:rPr>
        <w:t>privados); b) garantizar que las prestaciones sean suficientes en importe y duración, que permitan al jubilado gozar de condicione</w:t>
      </w:r>
      <w:r w:rsidR="00462864" w:rsidRPr="000864AE">
        <w:rPr>
          <w:rFonts w:ascii="Verdana" w:hAnsi="Verdana"/>
          <w:sz w:val="20"/>
          <w:szCs w:val="20"/>
        </w:rPr>
        <w:t>s de vida adecuadas y de acceso</w:t>
      </w:r>
      <w:r w:rsidRPr="000864AE">
        <w:rPr>
          <w:rFonts w:ascii="Verdana" w:hAnsi="Verdana"/>
          <w:sz w:val="20"/>
          <w:szCs w:val="20"/>
        </w:rPr>
        <w:t xml:space="preserve"> suficiente a la atención de salud, sin discriminación; c) debe haber accesibilidad para obtener una pensión, es decir que se deberán brindar condiciones razonables, proporcionadas y transparentes para acceder a ella. Asimismo, los costos de las cotizaciones deben ser asequibles y los beneficiarios deben recibir información sobre el derecho de manera clara y transparente, especialmente si se tomara alguna medida que pueda afectar el derecho; d) las prestaciones por pensión de jubilación deben ser garantizadas de manera oportuna y sin demoras, tomando en consideración la importancia de este criterio en personas mayores, y e) se deberá disponer de mecanismos efectivos de reclamo frente a una violación del derecho a la seguridad social, con el fin de garantizar el acceso a la justicia y la tutela judicial efectiva, lo cual abarca también la concretización material del derecho a través de la ejecución efectiva de decisiones favorables dictadas a nivel interno</w:t>
      </w:r>
      <w:r w:rsidR="000B432C" w:rsidRPr="000864AE">
        <w:rPr>
          <w:rStyle w:val="Refdenotaalpie"/>
          <w:rFonts w:ascii="Verdana" w:hAnsi="Verdana"/>
          <w:sz w:val="20"/>
          <w:szCs w:val="20"/>
        </w:rPr>
        <w:footnoteReference w:id="266"/>
      </w:r>
      <w:r w:rsidRPr="000864AE">
        <w:rPr>
          <w:rFonts w:ascii="Verdana" w:hAnsi="Verdana"/>
          <w:sz w:val="20"/>
          <w:szCs w:val="20"/>
        </w:rPr>
        <w:t>.</w:t>
      </w:r>
    </w:p>
    <w:p w14:paraId="25AFE6EE" w14:textId="77777777" w:rsidR="008314A4" w:rsidRPr="000864AE" w:rsidRDefault="008314A4" w:rsidP="000864AE">
      <w:pPr>
        <w:pStyle w:val="Prrafodelista"/>
        <w:spacing w:after="0" w:line="240" w:lineRule="auto"/>
        <w:ind w:left="0"/>
        <w:jc w:val="both"/>
        <w:rPr>
          <w:rFonts w:ascii="Verdana" w:hAnsi="Verdana"/>
          <w:b/>
          <w:sz w:val="20"/>
          <w:szCs w:val="20"/>
          <w:lang w:val="es-DO"/>
        </w:rPr>
      </w:pPr>
    </w:p>
    <w:p w14:paraId="353D8755" w14:textId="327ADA8D" w:rsidR="008314A4" w:rsidRPr="000864AE" w:rsidRDefault="008314A4"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Con base en los criterios establecidos en los párrafos precedentes, con lo concluido</w:t>
      </w:r>
      <w:r w:rsidR="00462864" w:rsidRPr="000864AE">
        <w:rPr>
          <w:rFonts w:ascii="Verdana" w:hAnsi="Verdana"/>
          <w:sz w:val="20"/>
          <w:szCs w:val="20"/>
        </w:rPr>
        <w:t xml:space="preserve"> anteriormente</w:t>
      </w:r>
      <w:r w:rsidRPr="000864AE">
        <w:rPr>
          <w:rFonts w:ascii="Verdana" w:hAnsi="Verdana"/>
          <w:sz w:val="20"/>
          <w:szCs w:val="20"/>
        </w:rPr>
        <w:t xml:space="preserve"> por esta Corte en relación con el derecho a las garantías judiciales y la protección judicial, y considerando de forma particular que existió un proceso de reestructuración de la SUNAT en virtud del cual las presuntas víctimas se jubilaron, el Tribunal </w:t>
      </w:r>
      <w:r w:rsidR="00462864" w:rsidRPr="000864AE">
        <w:rPr>
          <w:rFonts w:ascii="Verdana" w:hAnsi="Verdana"/>
          <w:sz w:val="20"/>
          <w:szCs w:val="20"/>
        </w:rPr>
        <w:t>procede</w:t>
      </w:r>
      <w:r w:rsidRPr="000864AE">
        <w:rPr>
          <w:rFonts w:ascii="Verdana" w:hAnsi="Verdana"/>
          <w:sz w:val="20"/>
          <w:szCs w:val="20"/>
        </w:rPr>
        <w:t xml:space="preserve"> a analizar la afectación del derecho a la seguridad social</w:t>
      </w:r>
      <w:r w:rsidR="00421CB6" w:rsidRPr="000864AE">
        <w:rPr>
          <w:rFonts w:ascii="Verdana" w:hAnsi="Verdana"/>
          <w:sz w:val="20"/>
          <w:szCs w:val="20"/>
        </w:rPr>
        <w:t xml:space="preserve">, </w:t>
      </w:r>
      <w:r w:rsidR="009D502E" w:rsidRPr="000864AE">
        <w:rPr>
          <w:rFonts w:ascii="Verdana" w:hAnsi="Verdana"/>
          <w:sz w:val="20"/>
          <w:szCs w:val="20"/>
        </w:rPr>
        <w:t>la vida digna</w:t>
      </w:r>
      <w:r w:rsidRPr="000864AE">
        <w:rPr>
          <w:rFonts w:ascii="Verdana" w:hAnsi="Verdana"/>
          <w:sz w:val="20"/>
          <w:szCs w:val="20"/>
        </w:rPr>
        <w:t xml:space="preserve"> </w:t>
      </w:r>
      <w:r w:rsidR="00421CB6" w:rsidRPr="000864AE">
        <w:rPr>
          <w:rFonts w:ascii="Verdana" w:hAnsi="Verdana"/>
          <w:sz w:val="20"/>
          <w:szCs w:val="20"/>
        </w:rPr>
        <w:t xml:space="preserve">y la propiedad </w:t>
      </w:r>
      <w:r w:rsidRPr="000864AE">
        <w:rPr>
          <w:rFonts w:ascii="Verdana" w:hAnsi="Verdana"/>
          <w:sz w:val="20"/>
          <w:szCs w:val="20"/>
        </w:rPr>
        <w:t>en el caso concreto.</w:t>
      </w:r>
    </w:p>
    <w:p w14:paraId="14150038" w14:textId="77777777" w:rsidR="00B86B27" w:rsidRPr="000864AE" w:rsidRDefault="00B86B27" w:rsidP="000864AE">
      <w:pPr>
        <w:pStyle w:val="Prrafodelista"/>
        <w:spacing w:after="0" w:line="240" w:lineRule="auto"/>
        <w:ind w:left="0"/>
        <w:jc w:val="both"/>
        <w:rPr>
          <w:rFonts w:ascii="Verdana" w:hAnsi="Verdana"/>
          <w:sz w:val="20"/>
          <w:szCs w:val="20"/>
          <w:lang w:val="es-DO"/>
        </w:rPr>
      </w:pPr>
    </w:p>
    <w:p w14:paraId="323F6C49" w14:textId="75056CF0" w:rsidR="008314A4" w:rsidRPr="000864AE" w:rsidRDefault="008314A4" w:rsidP="000864AE">
      <w:pPr>
        <w:pStyle w:val="Ttulo4"/>
        <w:numPr>
          <w:ilvl w:val="0"/>
          <w:numId w:val="0"/>
        </w:numPr>
        <w:ind w:left="1068"/>
        <w:rPr>
          <w:strike/>
        </w:rPr>
      </w:pPr>
      <w:bookmarkStart w:id="84" w:name="_Toc27329784"/>
      <w:r w:rsidRPr="000864AE">
        <w:rPr>
          <w:lang w:val="es-PE"/>
        </w:rPr>
        <w:t>C.2.3. La afectación de la seguridad social</w:t>
      </w:r>
      <w:r w:rsidR="00410A1D" w:rsidRPr="000864AE">
        <w:rPr>
          <w:lang w:val="es-PE"/>
        </w:rPr>
        <w:t xml:space="preserve"> y la vida digna</w:t>
      </w:r>
      <w:r w:rsidRPr="000864AE">
        <w:rPr>
          <w:lang w:val="es-PE"/>
        </w:rPr>
        <w:t xml:space="preserve"> en el caso concreto</w:t>
      </w:r>
      <w:bookmarkEnd w:id="84"/>
      <w:r w:rsidRPr="000864AE">
        <w:rPr>
          <w:lang w:val="es-PE"/>
        </w:rPr>
        <w:t xml:space="preserve"> </w:t>
      </w:r>
    </w:p>
    <w:p w14:paraId="1C32969D" w14:textId="77777777" w:rsidR="008314A4" w:rsidRPr="000864AE" w:rsidRDefault="008314A4" w:rsidP="000864AE">
      <w:pPr>
        <w:pStyle w:val="Prrafodelista"/>
        <w:spacing w:after="0" w:line="240" w:lineRule="auto"/>
        <w:ind w:left="0"/>
        <w:jc w:val="both"/>
        <w:rPr>
          <w:rFonts w:ascii="Verdana" w:hAnsi="Verdana"/>
          <w:sz w:val="20"/>
          <w:szCs w:val="20"/>
          <w:lang w:val="es-DO"/>
        </w:rPr>
      </w:pPr>
    </w:p>
    <w:p w14:paraId="20DE8743" w14:textId="31B31754" w:rsidR="00B86B27" w:rsidRPr="000864AE" w:rsidRDefault="00B86B27"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La Corte </w:t>
      </w:r>
      <w:r w:rsidR="00FA2D7C" w:rsidRPr="000864AE">
        <w:rPr>
          <w:rFonts w:ascii="Verdana" w:hAnsi="Verdana"/>
          <w:sz w:val="20"/>
          <w:szCs w:val="20"/>
          <w:lang w:val="es-DO"/>
        </w:rPr>
        <w:t>recuerda</w:t>
      </w:r>
      <w:r w:rsidRPr="000864AE">
        <w:rPr>
          <w:rFonts w:ascii="Verdana" w:hAnsi="Verdana"/>
          <w:sz w:val="20"/>
          <w:szCs w:val="20"/>
          <w:lang w:val="es-DO"/>
        </w:rPr>
        <w:t xml:space="preserve"> que el Decreto 20530 regulaba un régimen pensionario que reconocía que las pensiones de los cesantes con más de </w:t>
      </w:r>
      <w:r w:rsidR="00D144F0" w:rsidRPr="000864AE">
        <w:rPr>
          <w:rFonts w:ascii="Verdana" w:hAnsi="Verdana"/>
          <w:sz w:val="20"/>
          <w:szCs w:val="20"/>
          <w:lang w:val="es-DO"/>
        </w:rPr>
        <w:t xml:space="preserve">20 </w:t>
      </w:r>
      <w:r w:rsidRPr="000864AE">
        <w:rPr>
          <w:rFonts w:ascii="Verdana" w:hAnsi="Verdana"/>
          <w:sz w:val="20"/>
          <w:szCs w:val="20"/>
          <w:lang w:val="es-DO"/>
        </w:rPr>
        <w:t>años de servicio y los jubilados de la administración pública se debían nivelar progresivamente con los haberes de los servidores públicos en actividad. La aplicación de dicho régimen de pensiones no ha sido suspendid</w:t>
      </w:r>
      <w:r w:rsidR="006B4675" w:rsidRPr="000864AE">
        <w:rPr>
          <w:rFonts w:ascii="Verdana" w:hAnsi="Verdana"/>
          <w:sz w:val="20"/>
          <w:szCs w:val="20"/>
          <w:lang w:val="es-DO"/>
        </w:rPr>
        <w:t>a</w:t>
      </w:r>
      <w:r w:rsidRPr="000864AE">
        <w:rPr>
          <w:rFonts w:ascii="Verdana" w:hAnsi="Verdana"/>
          <w:sz w:val="20"/>
          <w:szCs w:val="20"/>
          <w:lang w:val="es-DO"/>
        </w:rPr>
        <w:t xml:space="preserve"> para las presuntas víctimas. Sin embargo, </w:t>
      </w:r>
      <w:r w:rsidR="006B4675" w:rsidRPr="000864AE">
        <w:rPr>
          <w:rFonts w:ascii="Verdana" w:hAnsi="Verdana"/>
          <w:sz w:val="20"/>
          <w:szCs w:val="20"/>
          <w:lang w:val="es-DO"/>
        </w:rPr>
        <w:t>como consecuencia</w:t>
      </w:r>
      <w:r w:rsidRPr="000864AE">
        <w:rPr>
          <w:rFonts w:ascii="Verdana" w:hAnsi="Verdana"/>
          <w:sz w:val="20"/>
          <w:szCs w:val="20"/>
          <w:lang w:val="es-DO"/>
        </w:rPr>
        <w:t xml:space="preserve"> de la entrada en vigor del Decreto 673 fue modificad</w:t>
      </w:r>
      <w:r w:rsidR="00D144F0" w:rsidRPr="000864AE">
        <w:rPr>
          <w:rFonts w:ascii="Verdana" w:hAnsi="Verdana"/>
          <w:sz w:val="20"/>
          <w:szCs w:val="20"/>
          <w:lang w:val="es-DO"/>
        </w:rPr>
        <w:t>a</w:t>
      </w:r>
      <w:r w:rsidRPr="000864AE">
        <w:rPr>
          <w:rFonts w:ascii="Verdana" w:hAnsi="Verdana"/>
          <w:sz w:val="20"/>
          <w:szCs w:val="20"/>
          <w:lang w:val="es-DO"/>
        </w:rPr>
        <w:t xml:space="preserve"> tanto la entidad a cargo de la liquidación de las pensiones como el régimen laboral de los servidores públicos activos de la SUNAT. En virtud de ello, la Corte Suprema determinó en su sentencia de 25 de octubre de 1993 que</w:t>
      </w:r>
      <w:r w:rsidR="006B4675" w:rsidRPr="000864AE">
        <w:rPr>
          <w:rFonts w:ascii="Verdana" w:hAnsi="Verdana"/>
          <w:sz w:val="20"/>
          <w:szCs w:val="20"/>
          <w:lang w:val="es-DO"/>
        </w:rPr>
        <w:t xml:space="preserve"> a las presuntas víctimas</w:t>
      </w:r>
      <w:r w:rsidRPr="000864AE">
        <w:rPr>
          <w:rFonts w:ascii="Verdana" w:hAnsi="Verdana"/>
          <w:sz w:val="20"/>
          <w:szCs w:val="20"/>
          <w:lang w:val="es-DO"/>
        </w:rPr>
        <w:t xml:space="preserve"> les fuera repuesto su derecho a percibir la pensión nivelada que les correspondiera</w:t>
      </w:r>
      <w:r w:rsidR="006B4675" w:rsidRPr="000864AE">
        <w:rPr>
          <w:rFonts w:ascii="Verdana" w:hAnsi="Verdana"/>
          <w:sz w:val="20"/>
          <w:szCs w:val="20"/>
          <w:lang w:val="es-DO"/>
        </w:rPr>
        <w:t xml:space="preserve"> conforme al Decreto 20530</w:t>
      </w:r>
      <w:r w:rsidRPr="000864AE">
        <w:rPr>
          <w:rFonts w:ascii="Verdana" w:hAnsi="Verdana"/>
          <w:sz w:val="20"/>
          <w:szCs w:val="20"/>
          <w:lang w:val="es-DO"/>
        </w:rPr>
        <w:t xml:space="preserve">, así como los reintegros dejados de percibir </w:t>
      </w:r>
      <w:r w:rsidR="006B4675" w:rsidRPr="000864AE">
        <w:rPr>
          <w:rFonts w:ascii="Verdana" w:hAnsi="Verdana"/>
          <w:sz w:val="20"/>
          <w:szCs w:val="20"/>
          <w:lang w:val="es-DO"/>
        </w:rPr>
        <w:t>a raíz</w:t>
      </w:r>
      <w:r w:rsidRPr="000864AE">
        <w:rPr>
          <w:rFonts w:ascii="Verdana" w:hAnsi="Verdana"/>
          <w:sz w:val="20"/>
          <w:szCs w:val="20"/>
          <w:lang w:val="es-DO"/>
        </w:rPr>
        <w:t xml:space="preserve"> de la aplicación de la Tercera Disposición Transitoria del Decreto 673. </w:t>
      </w:r>
      <w:r w:rsidR="006B4675" w:rsidRPr="000864AE">
        <w:rPr>
          <w:rFonts w:ascii="Verdana" w:hAnsi="Verdana"/>
          <w:sz w:val="20"/>
          <w:szCs w:val="20"/>
          <w:lang w:val="es-DO"/>
        </w:rPr>
        <w:t xml:space="preserve">Posteriormente, el Tribunal Constitucional ordenó la ejecución de dicha sentencia mediante resoluciones de 25 de junio de 1996 y 10 </w:t>
      </w:r>
      <w:r w:rsidR="00053435" w:rsidRPr="000864AE">
        <w:rPr>
          <w:rFonts w:ascii="Verdana" w:hAnsi="Verdana"/>
          <w:sz w:val="20"/>
          <w:szCs w:val="20"/>
          <w:lang w:val="es-DO"/>
        </w:rPr>
        <w:t>de mayo de 2001</w:t>
      </w:r>
      <w:r w:rsidR="006B4675" w:rsidRPr="000864AE">
        <w:rPr>
          <w:rFonts w:ascii="Verdana" w:hAnsi="Verdana"/>
          <w:sz w:val="20"/>
          <w:szCs w:val="20"/>
          <w:lang w:val="es-DO"/>
        </w:rPr>
        <w:t>.</w:t>
      </w:r>
    </w:p>
    <w:p w14:paraId="13F7C931" w14:textId="77777777" w:rsidR="00B86B27" w:rsidRPr="000864AE" w:rsidRDefault="00B86B27" w:rsidP="000864AE">
      <w:pPr>
        <w:pStyle w:val="Prrafodelista"/>
        <w:spacing w:after="0" w:line="240" w:lineRule="auto"/>
        <w:rPr>
          <w:rFonts w:ascii="Verdana" w:hAnsi="Verdana"/>
          <w:sz w:val="20"/>
          <w:szCs w:val="20"/>
          <w:lang w:val="es-DO"/>
        </w:rPr>
      </w:pPr>
    </w:p>
    <w:p w14:paraId="23EE2AF4" w14:textId="2CA00BDA" w:rsidR="00B86B27" w:rsidRPr="000864AE" w:rsidRDefault="00B86B27"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El Tribunal ya ha establecido que el Estado vulneró los derechos a las garantías judiciales y la protección judicial debido a diversas acciones y omisiones que derivaron en retrasos en la ejecución de la sentencia de 25 de octubre de 1993, así como por la falta del pago de los reintegros que resultaban de las diferencias existentes entre las remuneraciones percibidas por los servidores activos de la SUNAT, y </w:t>
      </w:r>
      <w:r w:rsidR="00053435" w:rsidRPr="000864AE">
        <w:rPr>
          <w:rFonts w:ascii="Verdana" w:hAnsi="Verdana"/>
          <w:sz w:val="20"/>
          <w:szCs w:val="20"/>
          <w:lang w:val="es-DO"/>
        </w:rPr>
        <w:t>las pensiones percibida</w:t>
      </w:r>
      <w:r w:rsidRPr="000864AE">
        <w:rPr>
          <w:rFonts w:ascii="Verdana" w:hAnsi="Verdana"/>
          <w:sz w:val="20"/>
          <w:szCs w:val="20"/>
          <w:lang w:val="es-DO"/>
        </w:rPr>
        <w:t>s por las presuntas víctimas mientras estuvo vigente la Tercera Disposición Transitoria del Decreto 673. En particular, el Tribunal advirtió que a la fecha de la emisión de la sentencia del Tribunal Constitucional de 23 de abril de 2019, y tal como lo determinó</w:t>
      </w:r>
      <w:r w:rsidR="009706F2" w:rsidRPr="000864AE">
        <w:rPr>
          <w:rFonts w:ascii="Verdana" w:hAnsi="Verdana"/>
          <w:sz w:val="20"/>
          <w:szCs w:val="20"/>
          <w:lang w:val="es-DO"/>
        </w:rPr>
        <w:t xml:space="preserve"> dicho t</w:t>
      </w:r>
      <w:r w:rsidRPr="000864AE">
        <w:rPr>
          <w:rFonts w:ascii="Verdana" w:hAnsi="Verdana"/>
          <w:sz w:val="20"/>
          <w:szCs w:val="20"/>
          <w:lang w:val="es-DO"/>
        </w:rPr>
        <w:t>ribunal, aún no se habría garantizado el pago de lo</w:t>
      </w:r>
      <w:r w:rsidR="00304F1F" w:rsidRPr="000864AE">
        <w:rPr>
          <w:rFonts w:ascii="Verdana" w:hAnsi="Verdana"/>
          <w:sz w:val="20"/>
          <w:szCs w:val="20"/>
          <w:lang w:val="es-DO"/>
        </w:rPr>
        <w:t xml:space="preserve">s reintegros que correspondían </w:t>
      </w:r>
      <w:r w:rsidRPr="000864AE">
        <w:rPr>
          <w:rFonts w:ascii="Verdana" w:hAnsi="Verdana"/>
          <w:sz w:val="20"/>
          <w:szCs w:val="20"/>
          <w:lang w:val="es-DO"/>
        </w:rPr>
        <w:t>a las presuntas víctimas conforme al informe pericial de 18 de octubre de 2011. Lo anterior constituyó</w:t>
      </w:r>
      <w:r w:rsidR="006B4675" w:rsidRPr="000864AE">
        <w:rPr>
          <w:rFonts w:ascii="Verdana" w:hAnsi="Verdana"/>
          <w:sz w:val="20"/>
          <w:szCs w:val="20"/>
          <w:lang w:val="es-DO"/>
        </w:rPr>
        <w:t xml:space="preserve"> </w:t>
      </w:r>
      <w:r w:rsidRPr="000864AE">
        <w:rPr>
          <w:rFonts w:ascii="Verdana" w:hAnsi="Verdana"/>
          <w:sz w:val="20"/>
          <w:szCs w:val="20"/>
          <w:lang w:val="es-DO"/>
        </w:rPr>
        <w:t>una violación a lo estipulado en el artículo 25.2.c de la Convención Americana.</w:t>
      </w:r>
    </w:p>
    <w:p w14:paraId="02F2976E" w14:textId="77777777" w:rsidR="00B86B27" w:rsidRPr="000864AE" w:rsidRDefault="00B86B27" w:rsidP="000864AE">
      <w:pPr>
        <w:pStyle w:val="Prrafodelista"/>
        <w:spacing w:after="0" w:line="240" w:lineRule="auto"/>
        <w:rPr>
          <w:rFonts w:ascii="Verdana" w:hAnsi="Verdana"/>
          <w:sz w:val="20"/>
          <w:szCs w:val="20"/>
          <w:lang w:val="es-DO"/>
        </w:rPr>
      </w:pPr>
    </w:p>
    <w:p w14:paraId="1B9B5933" w14:textId="0CC2DFD4" w:rsidR="003B2E08" w:rsidRPr="000864AE" w:rsidRDefault="00B86B27"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En relación con lo anterior, en primer lugar, este Tribunal recuerda que aquellas personas o grupos que hayan sido víctimas de una violación a su derecho a la seguridad social deben tener acceso a recursos judiciales o de otro tipo eficaces, así como</w:t>
      </w:r>
      <w:r w:rsidR="00053435" w:rsidRPr="000864AE">
        <w:rPr>
          <w:rFonts w:ascii="Verdana" w:hAnsi="Verdana"/>
          <w:sz w:val="20"/>
          <w:szCs w:val="20"/>
          <w:lang w:val="es-DO"/>
        </w:rPr>
        <w:t xml:space="preserve"> a</w:t>
      </w:r>
      <w:r w:rsidRPr="000864AE">
        <w:rPr>
          <w:rFonts w:ascii="Verdana" w:hAnsi="Verdana"/>
          <w:sz w:val="20"/>
          <w:szCs w:val="20"/>
          <w:lang w:val="es-DO"/>
        </w:rPr>
        <w:t xml:space="preserve"> la reparación correspondiente</w:t>
      </w:r>
      <w:r w:rsidRPr="000864AE">
        <w:rPr>
          <w:rStyle w:val="Refdenotaalpie"/>
          <w:rFonts w:ascii="Verdana" w:hAnsi="Verdana"/>
          <w:sz w:val="20"/>
          <w:szCs w:val="20"/>
          <w:lang w:val="es-DO"/>
        </w:rPr>
        <w:footnoteReference w:id="267"/>
      </w:r>
      <w:r w:rsidRPr="000864AE">
        <w:rPr>
          <w:rFonts w:ascii="Verdana" w:hAnsi="Verdana"/>
          <w:sz w:val="20"/>
          <w:szCs w:val="20"/>
          <w:lang w:val="es-DO"/>
        </w:rPr>
        <w:t>. En el presente caso</w:t>
      </w:r>
      <w:r w:rsidR="00304F1F" w:rsidRPr="000864AE">
        <w:rPr>
          <w:rFonts w:ascii="Verdana" w:hAnsi="Verdana"/>
          <w:sz w:val="20"/>
          <w:szCs w:val="20"/>
          <w:lang w:val="es-DO"/>
        </w:rPr>
        <w:t>,</w:t>
      </w:r>
      <w:r w:rsidRPr="000864AE">
        <w:rPr>
          <w:rFonts w:ascii="Verdana" w:hAnsi="Verdana"/>
          <w:sz w:val="20"/>
          <w:szCs w:val="20"/>
          <w:lang w:val="es-DO"/>
        </w:rPr>
        <w:t xml:space="preserve"> no queda duda que el simple reconocimiento del derecho de las presuntas víctimas a recibir sus pensiones niveladas</w:t>
      </w:r>
      <w:r w:rsidR="00BD4F44" w:rsidRPr="000864AE">
        <w:rPr>
          <w:rFonts w:ascii="Verdana" w:hAnsi="Verdana"/>
          <w:sz w:val="20"/>
          <w:szCs w:val="20"/>
          <w:lang w:val="es-DO"/>
        </w:rPr>
        <w:t>,</w:t>
      </w:r>
      <w:r w:rsidRPr="000864AE">
        <w:rPr>
          <w:rFonts w:ascii="Verdana" w:hAnsi="Verdana"/>
          <w:sz w:val="20"/>
          <w:szCs w:val="20"/>
          <w:lang w:val="es-DO"/>
        </w:rPr>
        <w:t xml:space="preserve"> y los reintegros correspondientes</w:t>
      </w:r>
      <w:r w:rsidR="00BD4F44" w:rsidRPr="000864AE">
        <w:rPr>
          <w:rFonts w:ascii="Verdana" w:hAnsi="Verdana"/>
          <w:sz w:val="20"/>
          <w:szCs w:val="20"/>
          <w:lang w:val="es-DO"/>
        </w:rPr>
        <w:t>,</w:t>
      </w:r>
      <w:r w:rsidRPr="000864AE">
        <w:rPr>
          <w:rFonts w:ascii="Verdana" w:hAnsi="Verdana"/>
          <w:sz w:val="20"/>
          <w:szCs w:val="20"/>
          <w:lang w:val="es-DO"/>
        </w:rPr>
        <w:t xml:space="preserve"> no implicó que su derecho se haya visto satisfecho o materializado. Es indispensable, en aras de darle eficacia material, que efectivamente se cumplan las sentencias dictadas a nivel interno en favor de las presuntas víctimas y se paguen los montos pendientes en los términos ya establecidos </w:t>
      </w:r>
      <w:r w:rsidR="00456CC2" w:rsidRPr="000864AE">
        <w:rPr>
          <w:rFonts w:ascii="Verdana" w:hAnsi="Verdana"/>
          <w:sz w:val="20"/>
          <w:szCs w:val="20"/>
          <w:lang w:val="es-DO"/>
        </w:rPr>
        <w:t>por la sentencia de 9 de agosto de 2011</w:t>
      </w:r>
      <w:r w:rsidR="0064198F" w:rsidRPr="000864AE">
        <w:rPr>
          <w:rFonts w:ascii="Verdana" w:hAnsi="Verdana"/>
          <w:sz w:val="20"/>
          <w:szCs w:val="20"/>
          <w:lang w:val="es-DO"/>
        </w:rPr>
        <w:t>,</w:t>
      </w:r>
      <w:r w:rsidR="00456CC2" w:rsidRPr="000864AE">
        <w:rPr>
          <w:rFonts w:ascii="Verdana" w:hAnsi="Verdana"/>
          <w:sz w:val="20"/>
          <w:szCs w:val="20"/>
          <w:lang w:val="es-DO"/>
        </w:rPr>
        <w:t xml:space="preserve"> y </w:t>
      </w:r>
      <w:r w:rsidRPr="000864AE">
        <w:rPr>
          <w:rFonts w:ascii="Verdana" w:hAnsi="Verdana"/>
          <w:sz w:val="20"/>
          <w:szCs w:val="20"/>
          <w:lang w:val="es-DO"/>
        </w:rPr>
        <w:t xml:space="preserve">definitivamente por la sentencia del Tribunal Constitucional de 23 de abril de 2019. En consecuencia, la Corte concluye que el Estado también afectó </w:t>
      </w:r>
      <w:r w:rsidR="00456CC2" w:rsidRPr="000864AE">
        <w:rPr>
          <w:rFonts w:ascii="Verdana" w:hAnsi="Verdana"/>
          <w:sz w:val="20"/>
          <w:szCs w:val="20"/>
          <w:lang w:val="es-DO"/>
        </w:rPr>
        <w:t>el</w:t>
      </w:r>
      <w:r w:rsidR="00A82B59" w:rsidRPr="000864AE">
        <w:rPr>
          <w:rFonts w:ascii="Verdana" w:hAnsi="Verdana"/>
          <w:sz w:val="20"/>
          <w:szCs w:val="20"/>
          <w:lang w:val="es-DO"/>
        </w:rPr>
        <w:t xml:space="preserve"> derecho a la seguridad social.</w:t>
      </w:r>
    </w:p>
    <w:p w14:paraId="566167A0" w14:textId="77777777" w:rsidR="003B2E08" w:rsidRPr="000864AE" w:rsidRDefault="003B2E08" w:rsidP="000864AE">
      <w:pPr>
        <w:pStyle w:val="Prrafodelista"/>
        <w:spacing w:after="0" w:line="240" w:lineRule="auto"/>
        <w:ind w:left="0"/>
        <w:jc w:val="both"/>
        <w:rPr>
          <w:rFonts w:ascii="Verdana" w:hAnsi="Verdana"/>
          <w:sz w:val="20"/>
          <w:szCs w:val="20"/>
          <w:lang w:val="es-DO"/>
        </w:rPr>
      </w:pPr>
    </w:p>
    <w:p w14:paraId="13EACB24" w14:textId="6EBF45C8" w:rsidR="003B2E08" w:rsidRPr="000864AE" w:rsidRDefault="00BD4F44"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Al respecto, la Corte recuerda que si bien la sentencia que reconoció los derechos pensionarios de las presuntas víctimas fue emitida el 25 de octubre de 1993, los aspectos elementales para su ejecución no fueron determinados inmediatamente por el Estado, sino que tuvieron que ser delimitados gradualmente por los tribunales internos. Dado que la sentencia de 25 de octubre de 1993 reconoció de manera general el derecho de las presuntas víctimas a la nivelación de sus pensiones, era preciso que el Estado determinara con especial celeridad, tomando en consideración la naturaleza del derecho involucrado (seguridad social), los elementos indispensables para garantizar su ejecución rápida e integral. En atención a la dualidad de regímenes laborales imperante en la SUNAT a partir del Decreto 673, la materialización del derecho de las presuntas víctimas a recibir sus pensiones niveladas dependía de que el Estado subsanara la ambigüedad de la sentencia de 25 de octubre de 1993, determinando el régimen con base al cual debía efectuarse la nivelación. </w:t>
      </w:r>
    </w:p>
    <w:p w14:paraId="50FBA35A" w14:textId="77777777" w:rsidR="003B2E08" w:rsidRPr="000864AE" w:rsidRDefault="003B2E08" w:rsidP="000864AE">
      <w:pPr>
        <w:pStyle w:val="Prrafodelista"/>
        <w:spacing w:after="0" w:line="240" w:lineRule="auto"/>
        <w:ind w:left="0"/>
        <w:jc w:val="both"/>
        <w:rPr>
          <w:rFonts w:ascii="Verdana" w:hAnsi="Verdana"/>
          <w:b/>
          <w:sz w:val="20"/>
          <w:szCs w:val="20"/>
          <w:lang w:val="es-DO"/>
        </w:rPr>
      </w:pPr>
    </w:p>
    <w:p w14:paraId="4D0D20DA" w14:textId="7DEE09B3" w:rsidR="003B2E08" w:rsidRPr="000864AE" w:rsidRDefault="003B2E08"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Sin embargo, la Corte nota que, pese a que la restitución de los derechos de las presuntas víctima</w:t>
      </w:r>
      <w:r w:rsidR="00053435" w:rsidRPr="000864AE">
        <w:rPr>
          <w:rFonts w:ascii="Verdana" w:hAnsi="Verdana"/>
          <w:sz w:val="20"/>
          <w:szCs w:val="20"/>
          <w:lang w:val="es-DO"/>
        </w:rPr>
        <w:t>s se produjo en octubre de 1993</w:t>
      </w:r>
      <w:r w:rsidRPr="000864AE">
        <w:rPr>
          <w:rFonts w:ascii="Verdana" w:hAnsi="Verdana"/>
          <w:sz w:val="20"/>
          <w:szCs w:val="20"/>
          <w:lang w:val="es-DO"/>
        </w:rPr>
        <w:t xml:space="preserve"> con la sentencia de la Corte Suprema, tuvieron que transcurrir cerca de 18 años a partir de la sentencia emitida el 9 de agosto de 2011 por el Tribunal Constitucional para que el Estado fijara de modo definitivo, con carácter de la cosa irrevocablemente juzgada, el régimen laboral con cuyas remuneraciones se nivelarían las pensiones de las presuntas víctimas. Esto implicó que durante dicho lapso de tiempo el contenido material del derecho a la nivelación fuera incierto, porqu</w:t>
      </w:r>
      <w:r w:rsidR="00053435" w:rsidRPr="000864AE">
        <w:rPr>
          <w:rFonts w:ascii="Verdana" w:hAnsi="Verdana"/>
          <w:sz w:val="20"/>
          <w:szCs w:val="20"/>
          <w:lang w:val="es-DO"/>
        </w:rPr>
        <w:t>e no se había determinado cómo e</w:t>
      </w:r>
      <w:r w:rsidRPr="000864AE">
        <w:rPr>
          <w:rFonts w:ascii="Verdana" w:hAnsi="Verdana"/>
          <w:sz w:val="20"/>
          <w:szCs w:val="20"/>
          <w:lang w:val="es-DO"/>
        </w:rPr>
        <w:t>sta debía efectuarse, y subsecuentemente cuáles serían sus alcances pecuniarios. La indeterminación de la modalidad bajo la cual operaría la nivelación significó, a su vez, la indeterminación de la cuantía a que efectivamente ascendían las pensiones de las presuntas víctimas. Estos hechos constituyeron una afectación del derecho a la seguridad social de las presuntas víctimas, pues la Corte considera que una de las obligaciones inmediatas que atañen al Estado para el ej</w:t>
      </w:r>
      <w:r w:rsidR="00C818BD" w:rsidRPr="000864AE">
        <w:rPr>
          <w:rFonts w:ascii="Verdana" w:hAnsi="Verdana"/>
          <w:sz w:val="20"/>
          <w:szCs w:val="20"/>
          <w:lang w:val="es-DO"/>
        </w:rPr>
        <w:t xml:space="preserve">ercicio pleno de este derecho </w:t>
      </w:r>
      <w:r w:rsidRPr="000864AE">
        <w:rPr>
          <w:rFonts w:ascii="Verdana" w:hAnsi="Verdana"/>
          <w:sz w:val="20"/>
          <w:szCs w:val="20"/>
          <w:lang w:val="es-DO"/>
        </w:rPr>
        <w:t>comporta que las personas puedan prever los recursos económicos con los cuales contarán para vivir dignamente durante su vejez.</w:t>
      </w:r>
    </w:p>
    <w:p w14:paraId="07FE2C23" w14:textId="77777777" w:rsidR="003B2E08" w:rsidRPr="000864AE" w:rsidRDefault="003B2E08" w:rsidP="000864AE">
      <w:pPr>
        <w:pStyle w:val="Prrafodelista"/>
        <w:spacing w:after="0" w:line="240" w:lineRule="auto"/>
        <w:ind w:left="0"/>
        <w:jc w:val="both"/>
        <w:rPr>
          <w:rFonts w:ascii="Verdana" w:hAnsi="Verdana"/>
          <w:sz w:val="20"/>
          <w:szCs w:val="20"/>
          <w:lang w:val="es-DO"/>
        </w:rPr>
      </w:pPr>
    </w:p>
    <w:p w14:paraId="410F1FB3" w14:textId="3637033F" w:rsidR="00655238" w:rsidRPr="000864AE" w:rsidRDefault="00B86B27"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En segundo lugar, el Tribunal advierte que uno </w:t>
      </w:r>
      <w:r w:rsidR="00053435" w:rsidRPr="000864AE">
        <w:rPr>
          <w:rFonts w:ascii="Verdana" w:hAnsi="Verdana"/>
          <w:sz w:val="20"/>
          <w:szCs w:val="20"/>
          <w:lang w:val="es-DO"/>
        </w:rPr>
        <w:t>de los elementos que conforman</w:t>
      </w:r>
      <w:r w:rsidRPr="000864AE">
        <w:rPr>
          <w:rFonts w:ascii="Verdana" w:hAnsi="Verdana"/>
          <w:sz w:val="20"/>
          <w:szCs w:val="20"/>
          <w:lang w:val="es-DO"/>
        </w:rPr>
        <w:t xml:space="preserve"> la seguridad social es la accesibilidad, la cual a su vez incluye “el derecho de las personas y las organizaciones a recabar, recibir, y distribuir información sobre todos los derechos ofrecidos por la seguridad social de manera transparente”</w:t>
      </w:r>
      <w:r w:rsidRPr="000864AE">
        <w:rPr>
          <w:rStyle w:val="Refdenotaalpie"/>
          <w:rFonts w:ascii="Verdana" w:hAnsi="Verdana"/>
          <w:sz w:val="20"/>
          <w:szCs w:val="20"/>
          <w:lang w:val="es-DO"/>
        </w:rPr>
        <w:footnoteReference w:id="268"/>
      </w:r>
      <w:r w:rsidRPr="000864AE">
        <w:rPr>
          <w:rFonts w:ascii="Verdana" w:hAnsi="Verdana"/>
          <w:sz w:val="20"/>
          <w:szCs w:val="20"/>
          <w:lang w:val="es-DO"/>
        </w:rPr>
        <w:t>. En el presente caso, el Tribunal considera que las presuntas víctimas t</w:t>
      </w:r>
      <w:r w:rsidR="00053435" w:rsidRPr="000864AE">
        <w:rPr>
          <w:rFonts w:ascii="Verdana" w:hAnsi="Verdana"/>
          <w:sz w:val="20"/>
          <w:szCs w:val="20"/>
          <w:lang w:val="es-DO"/>
        </w:rPr>
        <w:t>enían el derecho a ser informada</w:t>
      </w:r>
      <w:r w:rsidRPr="000864AE">
        <w:rPr>
          <w:rFonts w:ascii="Verdana" w:hAnsi="Verdana"/>
          <w:sz w:val="20"/>
          <w:szCs w:val="20"/>
          <w:lang w:val="es-DO"/>
        </w:rPr>
        <w:t>s, de forma oportuna, clara, transparente y completa de los efectos que tendría para sus pensiones acogerse al Programa de Renuncias Voluntarias dispuesto por el Decreto 639 como parte de las medidas de reestructuración orgánica y racionalización de los recursos de la SUNAT. Esta situación no ocurrió en el presente caso, pues si bien al momento en que las presuntas víctimas renunciaron a la SUNAT podían razonablemente esperar que sus pensiones serían niveladas con arreglo a “</w:t>
      </w:r>
      <w:r w:rsidRPr="000864AE">
        <w:rPr>
          <w:rFonts w:ascii="Verdana" w:hAnsi="Verdana"/>
          <w:sz w:val="20"/>
          <w:szCs w:val="20"/>
        </w:rPr>
        <w:t>los haberes de los servidores públicos en actividad”</w:t>
      </w:r>
      <w:r w:rsidRPr="000864AE">
        <w:rPr>
          <w:rStyle w:val="Refdenotaalpie"/>
          <w:rFonts w:ascii="Verdana" w:hAnsi="Verdana"/>
          <w:sz w:val="20"/>
          <w:szCs w:val="20"/>
        </w:rPr>
        <w:footnoteReference w:id="269"/>
      </w:r>
      <w:r w:rsidRPr="000864AE">
        <w:rPr>
          <w:rFonts w:ascii="Verdana" w:hAnsi="Verdana"/>
          <w:sz w:val="20"/>
          <w:szCs w:val="20"/>
        </w:rPr>
        <w:t>, los cuales eran regulados por el Decreto 276 por ser el régimen general de todos los trabajadores de la SUNAT</w:t>
      </w:r>
      <w:r w:rsidRPr="000864AE">
        <w:rPr>
          <w:rStyle w:val="Refdenotaalpie"/>
          <w:rFonts w:ascii="Verdana" w:hAnsi="Verdana"/>
          <w:sz w:val="20"/>
          <w:szCs w:val="20"/>
        </w:rPr>
        <w:footnoteReference w:id="270"/>
      </w:r>
      <w:r w:rsidRPr="000864AE">
        <w:rPr>
          <w:rFonts w:ascii="Verdana" w:hAnsi="Verdana"/>
          <w:sz w:val="20"/>
          <w:szCs w:val="20"/>
        </w:rPr>
        <w:t>,</w:t>
      </w:r>
      <w:r w:rsidRPr="000864AE">
        <w:rPr>
          <w:rFonts w:ascii="Verdana" w:hAnsi="Verdana"/>
          <w:sz w:val="20"/>
          <w:szCs w:val="20"/>
          <w:lang w:val="es-DO"/>
        </w:rPr>
        <w:t xml:space="preserve"> con la entrada en vigor del Decreto 673 se modificó el régimen laboral correspondiente al personal de la SUNAT, y por lo tanto también las expectativas respecto al monto que las </w:t>
      </w:r>
      <w:r w:rsidR="00053435" w:rsidRPr="000864AE">
        <w:rPr>
          <w:rFonts w:ascii="Verdana" w:hAnsi="Verdana"/>
          <w:sz w:val="20"/>
          <w:szCs w:val="20"/>
          <w:lang w:val="es-DO"/>
        </w:rPr>
        <w:t>presuntas</w:t>
      </w:r>
      <w:r w:rsidRPr="000864AE">
        <w:rPr>
          <w:rFonts w:ascii="Verdana" w:hAnsi="Verdana"/>
          <w:sz w:val="20"/>
          <w:szCs w:val="20"/>
          <w:lang w:val="es-DO"/>
        </w:rPr>
        <w:t xml:space="preserve"> víctimas recibirían como pensionados</w:t>
      </w:r>
      <w:r w:rsidRPr="000864AE">
        <w:rPr>
          <w:rStyle w:val="Refdenotaalpie"/>
          <w:rFonts w:ascii="Verdana" w:hAnsi="Verdana"/>
          <w:sz w:val="20"/>
          <w:szCs w:val="20"/>
          <w:lang w:val="es-DO"/>
        </w:rPr>
        <w:footnoteReference w:id="271"/>
      </w:r>
      <w:r w:rsidR="00B128F9" w:rsidRPr="000864AE">
        <w:rPr>
          <w:rFonts w:ascii="Verdana" w:hAnsi="Verdana"/>
          <w:sz w:val="20"/>
          <w:szCs w:val="20"/>
          <w:lang w:val="es-DO"/>
        </w:rPr>
        <w:t>.</w:t>
      </w:r>
    </w:p>
    <w:p w14:paraId="404B18BC"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3EACB719" w14:textId="573EAB70" w:rsidR="00655238" w:rsidRPr="000864AE" w:rsidRDefault="00B86B27"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De la información con la que cuenta el Tribunal, </w:t>
      </w:r>
      <w:r w:rsidR="00D144F0" w:rsidRPr="000864AE">
        <w:rPr>
          <w:rFonts w:ascii="Verdana" w:hAnsi="Verdana"/>
          <w:sz w:val="20"/>
          <w:szCs w:val="20"/>
          <w:lang w:val="es-DO"/>
        </w:rPr>
        <w:t xml:space="preserve">se desprende que </w:t>
      </w:r>
      <w:r w:rsidRPr="000864AE">
        <w:rPr>
          <w:rFonts w:ascii="Verdana" w:hAnsi="Verdana"/>
          <w:sz w:val="20"/>
          <w:szCs w:val="20"/>
          <w:lang w:val="es-DO"/>
        </w:rPr>
        <w:t>el Estado nunca informó de manera oportuna y completa a los trabajadores de la SUNAT sobre los efectos prácticos que la aplicación de los Decretos 639 y 673 tendrían en el pago de sus pensiones como personas</w:t>
      </w:r>
      <w:r w:rsidR="00053435" w:rsidRPr="000864AE">
        <w:rPr>
          <w:rFonts w:ascii="Verdana" w:hAnsi="Verdana"/>
          <w:sz w:val="20"/>
          <w:szCs w:val="20"/>
          <w:lang w:val="es-DO"/>
        </w:rPr>
        <w:t xml:space="preserve"> sujetas al régimen pensionario</w:t>
      </w:r>
      <w:r w:rsidRPr="000864AE">
        <w:rPr>
          <w:rFonts w:ascii="Verdana" w:hAnsi="Verdana"/>
          <w:sz w:val="20"/>
          <w:szCs w:val="20"/>
          <w:lang w:val="es-DO"/>
        </w:rPr>
        <w:t xml:space="preserve"> del Decreto 20530, por lo que las presuntas víctimas carecieron de información adecuada sobre el impacto que esto tendría en los montos que percibirían </w:t>
      </w:r>
      <w:r w:rsidR="00053435" w:rsidRPr="000864AE">
        <w:rPr>
          <w:rFonts w:ascii="Verdana" w:hAnsi="Verdana"/>
          <w:sz w:val="20"/>
          <w:szCs w:val="20"/>
          <w:lang w:val="es-DO"/>
        </w:rPr>
        <w:t>como su</w:t>
      </w:r>
      <w:r w:rsidRPr="000864AE">
        <w:rPr>
          <w:rFonts w:ascii="Verdana" w:hAnsi="Verdana"/>
          <w:sz w:val="20"/>
          <w:szCs w:val="20"/>
          <w:lang w:val="es-DO"/>
        </w:rPr>
        <w:t xml:space="preserve"> pensión. La falta de una regulación clara sobre la materia en la época de los hechos que estableciera cómo se protegerían los derechos pensionarios de </w:t>
      </w:r>
      <w:r w:rsidR="00053435" w:rsidRPr="000864AE">
        <w:rPr>
          <w:rFonts w:ascii="Verdana" w:hAnsi="Verdana"/>
          <w:sz w:val="20"/>
          <w:szCs w:val="20"/>
          <w:lang w:val="es-DO"/>
        </w:rPr>
        <w:t>los</w:t>
      </w:r>
      <w:r w:rsidRPr="000864AE">
        <w:rPr>
          <w:rFonts w:ascii="Verdana" w:hAnsi="Verdana"/>
          <w:sz w:val="20"/>
          <w:szCs w:val="20"/>
          <w:lang w:val="es-DO"/>
        </w:rPr>
        <w:t xml:space="preserve"> jubilados que se acogieran al régimen previsto por el Decreto 639 agravó esta situación, y trajo como consecuenc</w:t>
      </w:r>
      <w:r w:rsidR="00053435" w:rsidRPr="000864AE">
        <w:rPr>
          <w:rFonts w:ascii="Verdana" w:hAnsi="Verdana"/>
          <w:sz w:val="20"/>
          <w:szCs w:val="20"/>
          <w:lang w:val="es-DO"/>
        </w:rPr>
        <w:t>ia un litigio que duró más de 27</w:t>
      </w:r>
      <w:r w:rsidRPr="000864AE">
        <w:rPr>
          <w:rFonts w:ascii="Verdana" w:hAnsi="Verdana"/>
          <w:sz w:val="20"/>
          <w:szCs w:val="20"/>
          <w:lang w:val="es-DO"/>
        </w:rPr>
        <w:t xml:space="preserve"> años respecto al alcance de la aplicación conjunta de los decretos antes mencionados. La Corte advierte la declaración de Ana María Ráez Guevara en el sentido de que no se habría jubilado en 1991 de haber sabido los efectos que tendría la aplicación de dicho</w:t>
      </w:r>
      <w:r w:rsidR="0056578A" w:rsidRPr="000864AE">
        <w:rPr>
          <w:rFonts w:ascii="Verdana" w:hAnsi="Verdana"/>
          <w:sz w:val="20"/>
          <w:szCs w:val="20"/>
          <w:lang w:val="es-DO"/>
        </w:rPr>
        <w:t xml:space="preserve"> decreto</w:t>
      </w:r>
      <w:r w:rsidRPr="000864AE">
        <w:rPr>
          <w:rFonts w:ascii="Verdana" w:hAnsi="Verdana"/>
          <w:sz w:val="20"/>
          <w:szCs w:val="20"/>
          <w:lang w:val="es-DO"/>
        </w:rPr>
        <w:t xml:space="preserve"> en la nivelación de su pensión</w:t>
      </w:r>
      <w:r w:rsidRPr="000864AE">
        <w:rPr>
          <w:rStyle w:val="Refdenotaalpie"/>
          <w:rFonts w:ascii="Verdana" w:hAnsi="Verdana"/>
          <w:sz w:val="20"/>
          <w:szCs w:val="20"/>
          <w:lang w:val="es-DO"/>
        </w:rPr>
        <w:footnoteReference w:id="272"/>
      </w:r>
      <w:r w:rsidRPr="000864AE">
        <w:rPr>
          <w:rFonts w:ascii="Verdana" w:hAnsi="Verdana"/>
          <w:sz w:val="20"/>
          <w:szCs w:val="20"/>
          <w:lang w:val="es-DO"/>
        </w:rPr>
        <w:t xml:space="preserve">. Asimismo, </w:t>
      </w:r>
      <w:r w:rsidR="00053435" w:rsidRPr="000864AE">
        <w:rPr>
          <w:rFonts w:ascii="Verdana" w:hAnsi="Verdana"/>
          <w:sz w:val="20"/>
          <w:szCs w:val="20"/>
          <w:lang w:val="es-DO"/>
        </w:rPr>
        <w:t>el Tribunal advierte que, tal como fue señalado por la perita</w:t>
      </w:r>
      <w:r w:rsidRPr="000864AE">
        <w:rPr>
          <w:rFonts w:ascii="Verdana" w:hAnsi="Verdana"/>
          <w:b/>
          <w:sz w:val="20"/>
          <w:szCs w:val="20"/>
          <w:lang w:val="es-DO"/>
        </w:rPr>
        <w:t xml:space="preserve"> </w:t>
      </w:r>
      <w:r w:rsidRPr="000864AE">
        <w:rPr>
          <w:rFonts w:ascii="Verdana" w:hAnsi="Verdana"/>
          <w:sz w:val="20"/>
          <w:szCs w:val="20"/>
        </w:rPr>
        <w:t>Vivia</w:t>
      </w:r>
      <w:r w:rsidR="0072745D" w:rsidRPr="000864AE">
        <w:rPr>
          <w:rFonts w:ascii="Verdana" w:hAnsi="Verdana"/>
          <w:sz w:val="20"/>
          <w:szCs w:val="20"/>
        </w:rPr>
        <w:t>na Frida Vais Gen Rivera, alguna</w:t>
      </w:r>
      <w:r w:rsidRPr="000864AE">
        <w:rPr>
          <w:rFonts w:ascii="Verdana" w:hAnsi="Verdana"/>
          <w:sz w:val="20"/>
          <w:szCs w:val="20"/>
        </w:rPr>
        <w:t>s de las presuntas víctimas manifestaron haberse sentido engañados por el Estado</w:t>
      </w:r>
      <w:r w:rsidRPr="000864AE">
        <w:rPr>
          <w:rStyle w:val="Refdenotaalpie"/>
          <w:rFonts w:ascii="Verdana" w:hAnsi="Verdana"/>
          <w:sz w:val="20"/>
          <w:szCs w:val="20"/>
        </w:rPr>
        <w:footnoteReference w:id="273"/>
      </w:r>
      <w:r w:rsidRPr="000864AE">
        <w:rPr>
          <w:rFonts w:ascii="Verdana" w:hAnsi="Verdana"/>
          <w:sz w:val="20"/>
          <w:szCs w:val="20"/>
        </w:rPr>
        <w:t>.</w:t>
      </w:r>
      <w:r w:rsidRPr="000864AE">
        <w:rPr>
          <w:rFonts w:ascii="Verdana" w:hAnsi="Verdana"/>
          <w:sz w:val="20"/>
          <w:szCs w:val="20"/>
          <w:lang w:val="es-DO"/>
        </w:rPr>
        <w:t xml:space="preserve"> </w:t>
      </w:r>
    </w:p>
    <w:p w14:paraId="3D54C417"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63ABF41D" w14:textId="5FF2C2E1"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En tercer lugar, la Corte resalta que otro de los elementos fundamentales de la seguridad social lo constituye su relación con la garantía de otros derechos, pues este derecho “contribuye en gran medida a reforzar el ejercicio de muchos de los derechos económicos, sociales y culturales”</w:t>
      </w:r>
      <w:r w:rsidRPr="000864AE">
        <w:rPr>
          <w:rStyle w:val="Refdenotaalpie"/>
          <w:rFonts w:ascii="Verdana" w:hAnsi="Verdana"/>
          <w:lang w:val="es-DO"/>
        </w:rPr>
        <w:footnoteReference w:id="274"/>
      </w:r>
      <w:r w:rsidRPr="000864AE">
        <w:rPr>
          <w:rFonts w:ascii="Verdana" w:hAnsi="Verdana"/>
          <w:sz w:val="20"/>
          <w:szCs w:val="20"/>
          <w:lang w:val="es-DO"/>
        </w:rPr>
        <w:t>. En ese sentido, este Tribunal ha señalado que</w:t>
      </w:r>
      <w:r w:rsidRPr="000864AE">
        <w:rPr>
          <w:rFonts w:ascii="Verdana" w:eastAsia="Times" w:hAnsi="Verdana" w:cs="Arial"/>
          <w:sz w:val="20"/>
          <w:szCs w:val="20"/>
        </w:rPr>
        <w:t xml:space="preserve"> la pensión derivada de un sistema de contribuciones o cotizaciones es un</w:t>
      </w:r>
      <w:r w:rsidRPr="000864AE">
        <w:rPr>
          <w:rFonts w:ascii="Verdana" w:hAnsi="Verdana"/>
          <w:color w:val="000000"/>
          <w:sz w:val="20"/>
          <w:szCs w:val="20"/>
          <w:shd w:val="clear" w:color="auto" w:fill="FFFFFF"/>
          <w:lang w:val="es-PE"/>
        </w:rPr>
        <w:t xml:space="preserve"> componente de la seguridad social.</w:t>
      </w:r>
      <w:r w:rsidRPr="000864AE">
        <w:rPr>
          <w:rFonts w:ascii="Verdana" w:hAnsi="Verdana"/>
          <w:sz w:val="20"/>
          <w:szCs w:val="20"/>
          <w:lang w:val="es-DO"/>
        </w:rPr>
        <w:t xml:space="preserve"> Asimismo, que los Estados deben prestar servicios especiales para las personas </w:t>
      </w:r>
      <w:r w:rsidR="00773541" w:rsidRPr="000864AE">
        <w:rPr>
          <w:rFonts w:ascii="Verdana" w:hAnsi="Verdana"/>
          <w:sz w:val="20"/>
          <w:szCs w:val="20"/>
          <w:lang w:val="es-DO"/>
        </w:rPr>
        <w:t>mayores</w:t>
      </w:r>
      <w:r w:rsidRPr="000864AE">
        <w:rPr>
          <w:rFonts w:ascii="Verdana" w:hAnsi="Verdana"/>
          <w:sz w:val="20"/>
          <w:szCs w:val="20"/>
          <w:lang w:val="es-DO"/>
        </w:rPr>
        <w:t>, pues</w:t>
      </w:r>
      <w:r w:rsidR="00773541" w:rsidRPr="000864AE">
        <w:rPr>
          <w:rFonts w:ascii="Verdana" w:hAnsi="Verdana"/>
          <w:sz w:val="20"/>
          <w:szCs w:val="20"/>
          <w:lang w:val="es-DO"/>
        </w:rPr>
        <w:t xml:space="preserve"> l</w:t>
      </w:r>
      <w:r w:rsidR="002828B5" w:rsidRPr="000864AE">
        <w:rPr>
          <w:rFonts w:ascii="Verdana" w:hAnsi="Verdana"/>
          <w:sz w:val="20"/>
          <w:szCs w:val="20"/>
          <w:lang w:val="es-DO"/>
        </w:rPr>
        <w:t>a jubilacion</w:t>
      </w:r>
      <w:r w:rsidRPr="000864AE">
        <w:rPr>
          <w:rFonts w:ascii="Verdana" w:hAnsi="Verdana"/>
          <w:sz w:val="20"/>
          <w:szCs w:val="20"/>
          <w:lang w:val="es-DO"/>
        </w:rPr>
        <w:t xml:space="preserve"> constituye el único monto sustitutivo de salario que recibe</w:t>
      </w:r>
      <w:r w:rsidR="00053435" w:rsidRPr="000864AE">
        <w:rPr>
          <w:rFonts w:ascii="Verdana" w:hAnsi="Verdana"/>
          <w:sz w:val="20"/>
          <w:szCs w:val="20"/>
          <w:lang w:val="es-DO"/>
        </w:rPr>
        <w:t>n</w:t>
      </w:r>
      <w:r w:rsidRPr="000864AE">
        <w:rPr>
          <w:rFonts w:ascii="Verdana" w:hAnsi="Verdana"/>
          <w:sz w:val="20"/>
          <w:szCs w:val="20"/>
          <w:lang w:val="es-DO"/>
        </w:rPr>
        <w:t xml:space="preserve"> para suplir sus necesidades básicas. En definitiva, la pensión, y en general la seguridad social, constituyen un medio de protección para gozar de una vida digna.</w:t>
      </w:r>
    </w:p>
    <w:p w14:paraId="410A88C9" w14:textId="77777777" w:rsidR="00655238" w:rsidRPr="000864AE" w:rsidRDefault="00655238" w:rsidP="000864AE">
      <w:pPr>
        <w:pStyle w:val="Prrafodelista"/>
        <w:rPr>
          <w:rFonts w:ascii="Verdana" w:hAnsi="Verdana"/>
          <w:sz w:val="20"/>
          <w:szCs w:val="20"/>
          <w:lang w:val="es-DO"/>
        </w:rPr>
      </w:pPr>
    </w:p>
    <w:p w14:paraId="21FAFACD" w14:textId="5485C311"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La Corte considera que en el presente caso los derechos a la seguridad social y a la vida digna se interrelacionan, situación que se acentúa en el caso de personas mayores. El Tribunal ha señalado que la ausencia de recursos económicos ocasionada por la falta de pago de las mesadas pensionales genera en una persona mayor directamente un menoscabo en su dignidad, pues en esta etapa de su vida la pensión constituye la principal fuente de recursos económicos para solventar sus necesidades primarias y elementales como ser humano. Lo mismo puede afirmarse de la falta de otros conceptos que se encuentran directamente relacionados con la pensión, como son el pago de reintegros adeudados. De esta forma, la afectación del derecho a la seguridad social por </w:t>
      </w:r>
      <w:r w:rsidR="00053435" w:rsidRPr="000864AE">
        <w:rPr>
          <w:rFonts w:ascii="Verdana" w:hAnsi="Verdana"/>
          <w:sz w:val="20"/>
          <w:szCs w:val="20"/>
          <w:lang w:val="es-DO"/>
        </w:rPr>
        <w:t>la falta de</w:t>
      </w:r>
      <w:r w:rsidRPr="000864AE">
        <w:rPr>
          <w:rFonts w:ascii="Verdana" w:hAnsi="Verdana"/>
          <w:sz w:val="20"/>
          <w:szCs w:val="20"/>
          <w:lang w:val="es-DO"/>
        </w:rPr>
        <w:t xml:space="preserve"> pago de dichos reintegros implica angustia, inseguridad e incertidumbre en cuanto al futuro de una persona mayor por la posible falta de recursos económicos para su subsistencia, ya que la privación de un ingreso lleva intrínsecamente la privación en el avance y desarrollo de su calidad de vida y de su integridad personal</w:t>
      </w:r>
      <w:r w:rsidRPr="000864AE">
        <w:rPr>
          <w:rStyle w:val="Refdenotaalpie"/>
          <w:rFonts w:ascii="Verdana" w:hAnsi="Verdana"/>
          <w:lang w:val="es-DO"/>
        </w:rPr>
        <w:footnoteReference w:id="275"/>
      </w:r>
      <w:r w:rsidRPr="000864AE">
        <w:rPr>
          <w:rFonts w:ascii="Verdana" w:hAnsi="Verdana"/>
          <w:sz w:val="20"/>
          <w:szCs w:val="20"/>
          <w:lang w:val="es-DO"/>
        </w:rPr>
        <w:t>.</w:t>
      </w:r>
    </w:p>
    <w:p w14:paraId="0C52C5FD" w14:textId="77777777" w:rsidR="00655238" w:rsidRPr="000864AE" w:rsidRDefault="00655238" w:rsidP="000864AE">
      <w:pPr>
        <w:pStyle w:val="Prrafodelista"/>
        <w:rPr>
          <w:rFonts w:ascii="Verdana" w:hAnsi="Verdana"/>
          <w:sz w:val="20"/>
          <w:szCs w:val="20"/>
          <w:lang w:val="es-DO"/>
        </w:rPr>
      </w:pPr>
    </w:p>
    <w:p w14:paraId="51E8F4F6" w14:textId="080BBBB0"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El Tribunal recuerda que </w:t>
      </w:r>
      <w:r w:rsidRPr="000864AE">
        <w:rPr>
          <w:rFonts w:ascii="Verdana" w:hAnsi="Verdana"/>
          <w:sz w:val="20"/>
        </w:rPr>
        <w:t xml:space="preserve">el derecho a la vida es fundamental en la Convención Americana, </w:t>
      </w:r>
      <w:r w:rsidR="00053435" w:rsidRPr="000864AE">
        <w:rPr>
          <w:rFonts w:ascii="Verdana" w:hAnsi="Verdana"/>
          <w:sz w:val="20"/>
        </w:rPr>
        <w:t>toda vez que</w:t>
      </w:r>
      <w:r w:rsidRPr="000864AE">
        <w:rPr>
          <w:rFonts w:ascii="Verdana" w:hAnsi="Verdana"/>
          <w:sz w:val="20"/>
        </w:rPr>
        <w:t xml:space="preserve"> su salvaguarda depende la realización de los demás derechos</w:t>
      </w:r>
      <w:r w:rsidRPr="000864AE">
        <w:rPr>
          <w:rStyle w:val="Refdenotaalpie"/>
          <w:rFonts w:ascii="Verdana" w:hAnsi="Verdana"/>
        </w:rPr>
        <w:footnoteReference w:id="276"/>
      </w:r>
      <w:r w:rsidRPr="000864AE">
        <w:rPr>
          <w:rFonts w:ascii="Verdana" w:hAnsi="Verdana"/>
          <w:sz w:val="20"/>
        </w:rPr>
        <w:t>. Al no respetarse este derecho, todos los demás derechos desaparecen, puesto que se extingue su titular</w:t>
      </w:r>
      <w:r w:rsidRPr="000864AE">
        <w:rPr>
          <w:rStyle w:val="Refdenotaalpie"/>
          <w:rFonts w:ascii="Verdana" w:hAnsi="Verdana"/>
        </w:rPr>
        <w:footnoteReference w:id="277"/>
      </w:r>
      <w:r w:rsidRPr="000864AE">
        <w:rPr>
          <w:rFonts w:ascii="Verdana" w:hAnsi="Verdana"/>
          <w:sz w:val="20"/>
        </w:rPr>
        <w:t>. En razón de este carácter fundamental, el Tribunal ha sostenido que no son admisibles enfoques restrictivos al derecho a la vida y que este derecho comprende no sólo el derecho de todo ser humano de no ser privado de la vida arbitrariamente, sino también el derecho a que no se generen condiciones que le impidan o dificulten el acceso a una existencia digna</w:t>
      </w:r>
      <w:r w:rsidRPr="000864AE">
        <w:rPr>
          <w:rStyle w:val="Refdenotaalpie"/>
          <w:rFonts w:ascii="Verdana" w:hAnsi="Verdana"/>
        </w:rPr>
        <w:footnoteReference w:id="278"/>
      </w:r>
      <w:r w:rsidRPr="000864AE">
        <w:rPr>
          <w:rFonts w:ascii="Verdana" w:hAnsi="Verdana"/>
          <w:sz w:val="20"/>
        </w:rPr>
        <w:t>. En este sentido, una de las obligaciones que ineludiblemente debe asumir el Estado en su posición de garante, con el objetivo de proteger y garantizar el derecho a la vida, es generar las condiciones de vida mínimas compatibles con la dignidad de la persona humana y no producir condiciones que la dificulten o impidan</w:t>
      </w:r>
      <w:r w:rsidRPr="000864AE">
        <w:rPr>
          <w:rStyle w:val="Refdenotaalpie"/>
          <w:rFonts w:ascii="Verdana" w:hAnsi="Verdana"/>
        </w:rPr>
        <w:footnoteReference w:id="279"/>
      </w:r>
      <w:r w:rsidRPr="000864AE">
        <w:rPr>
          <w:rFonts w:ascii="Verdana" w:hAnsi="Verdana"/>
          <w:sz w:val="20"/>
        </w:rPr>
        <w:t>. Por esta razón, el Estado tiene el deber de adoptar medidas positivas, concretas y orientadas a la satisfacción del derecho a una vida digna, en especial cuando se trata de personas en situación de vulnerabilidad y riesgo, c</w:t>
      </w:r>
      <w:r w:rsidRPr="000864AE">
        <w:rPr>
          <w:rFonts w:ascii="Verdana" w:hAnsi="Verdana"/>
          <w:sz w:val="20"/>
          <w:szCs w:val="32"/>
        </w:rPr>
        <w:t>uya atención se vuelve prioritaria</w:t>
      </w:r>
      <w:r w:rsidRPr="000864AE">
        <w:rPr>
          <w:rStyle w:val="Refdenotaalpie"/>
          <w:rFonts w:ascii="Verdana" w:hAnsi="Verdana"/>
          <w:szCs w:val="32"/>
        </w:rPr>
        <w:footnoteReference w:id="280"/>
      </w:r>
      <w:r w:rsidR="009C71B6" w:rsidRPr="000864AE">
        <w:rPr>
          <w:rFonts w:ascii="Verdana" w:hAnsi="Verdana"/>
          <w:sz w:val="20"/>
          <w:szCs w:val="32"/>
        </w:rPr>
        <w:t>, como las personas mayores</w:t>
      </w:r>
      <w:r w:rsidR="004B204D" w:rsidRPr="000864AE">
        <w:rPr>
          <w:rStyle w:val="Refdenotaalpie"/>
          <w:rFonts w:ascii="Verdana" w:hAnsi="Verdana"/>
          <w:sz w:val="20"/>
          <w:szCs w:val="32"/>
        </w:rPr>
        <w:footnoteReference w:id="281"/>
      </w:r>
      <w:r w:rsidRPr="000864AE">
        <w:rPr>
          <w:rFonts w:ascii="Verdana" w:hAnsi="Verdana"/>
          <w:sz w:val="20"/>
          <w:szCs w:val="32"/>
        </w:rPr>
        <w:t>.</w:t>
      </w:r>
    </w:p>
    <w:p w14:paraId="33B20C29"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0E36A2B5" w14:textId="2187F607"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Este Tribunal también considera que el alcance de las obligaciones positivas del Estado respecto a la protección del derecho a la vida digna de personas mayores debe comprenderse a la luz del </w:t>
      </w:r>
      <w:r w:rsidRPr="000864AE">
        <w:rPr>
          <w:rFonts w:ascii="Verdana" w:hAnsi="Verdana"/>
          <w:i/>
          <w:sz w:val="20"/>
          <w:szCs w:val="20"/>
          <w:lang w:val="es-DO"/>
        </w:rPr>
        <w:t>corpus juris</w:t>
      </w:r>
      <w:r w:rsidRPr="000864AE">
        <w:rPr>
          <w:rFonts w:ascii="Verdana" w:hAnsi="Verdana"/>
          <w:sz w:val="20"/>
          <w:szCs w:val="20"/>
          <w:lang w:val="es-DO"/>
        </w:rPr>
        <w:t xml:space="preserve"> internacional en la materia. De esta forma, el contenido de estas obligaciones se compone a la luz de lo expuesto en el artículo 4 de la Convención Americana, en relación con el deber general de garantía contenido en el artículo 1.1 y con el deber de desarrollo progresivo contenido en el artículo 26 del mismo instrumento, y de los artículos 9 (Seguridad Social), 10 (Derecho a la Salud), y 13 (derecho a la educación) del Protocolo de San Salvador. Asimismo,</w:t>
      </w:r>
      <w:r w:rsidR="009C71B6" w:rsidRPr="000864AE">
        <w:rPr>
          <w:rFonts w:ascii="Verdana" w:hAnsi="Verdana"/>
          <w:sz w:val="20"/>
          <w:szCs w:val="20"/>
          <w:lang w:val="es-DO"/>
        </w:rPr>
        <w:t xml:space="preserve"> el Pacto Internacional de Derechos Económicos, Sociales y Culturales prevé en su artículo 11 reconoce el derecho de toda persona a “un nivel de vida adecuado para sí y su familia, incluso alimentación, vestido y vivienda, y a una mejora continua de las condiciones de existencia”</w:t>
      </w:r>
      <w:r w:rsidR="009C71B6" w:rsidRPr="000864AE">
        <w:rPr>
          <w:rStyle w:val="Refdenotaalpie"/>
          <w:rFonts w:ascii="Verdana" w:hAnsi="Verdana"/>
          <w:lang w:val="es-DO"/>
        </w:rPr>
        <w:footnoteReference w:id="282"/>
      </w:r>
      <w:r w:rsidR="009C71B6" w:rsidRPr="000864AE">
        <w:rPr>
          <w:rFonts w:ascii="Verdana" w:hAnsi="Verdana"/>
          <w:sz w:val="20"/>
          <w:szCs w:val="20"/>
          <w:lang w:val="es-DO"/>
        </w:rPr>
        <w:t>.</w:t>
      </w:r>
      <w:r w:rsidRPr="000864AE">
        <w:rPr>
          <w:rFonts w:ascii="Verdana" w:hAnsi="Verdana"/>
          <w:sz w:val="20"/>
          <w:szCs w:val="20"/>
          <w:lang w:val="es-DO"/>
        </w:rPr>
        <w:t xml:space="preserve"> </w:t>
      </w:r>
      <w:r w:rsidR="009C71B6" w:rsidRPr="000864AE">
        <w:rPr>
          <w:rFonts w:ascii="Verdana" w:hAnsi="Verdana"/>
          <w:sz w:val="20"/>
          <w:szCs w:val="20"/>
          <w:lang w:val="es-DO"/>
        </w:rPr>
        <w:t xml:space="preserve">En la misma lógica, </w:t>
      </w:r>
      <w:r w:rsidRPr="000864AE">
        <w:rPr>
          <w:rFonts w:ascii="Verdana" w:hAnsi="Verdana"/>
          <w:sz w:val="20"/>
          <w:szCs w:val="20"/>
          <w:lang w:val="es-DO"/>
        </w:rPr>
        <w:t xml:space="preserve">el Tribunal nota que los Principios de las Naciones Unidas en favor de las personas </w:t>
      </w:r>
      <w:r w:rsidR="00053435" w:rsidRPr="000864AE">
        <w:rPr>
          <w:rFonts w:ascii="Verdana" w:hAnsi="Verdana"/>
          <w:sz w:val="20"/>
          <w:szCs w:val="20"/>
          <w:lang w:val="es-DO"/>
        </w:rPr>
        <w:t>mayores</w:t>
      </w:r>
      <w:r w:rsidRPr="000864AE">
        <w:rPr>
          <w:rFonts w:ascii="Verdana" w:hAnsi="Verdana"/>
          <w:sz w:val="20"/>
          <w:szCs w:val="20"/>
          <w:lang w:val="es-DO"/>
        </w:rPr>
        <w:t xml:space="preserve"> han establecido que los Estados deberán introducir en sus programas nacionales principios que garanticen que “[l]as personas de edad [tengan] acceso a alimentación, agua, vivienda, vestuario y atención de salud adecuados, mediante la provisión de ingresos, el apoyo de sus familias y de la comunidad y su propia autosuficiencia”</w:t>
      </w:r>
      <w:r w:rsidRPr="000864AE">
        <w:rPr>
          <w:rStyle w:val="Refdenotaalpie"/>
          <w:rFonts w:ascii="Verdana" w:hAnsi="Verdana"/>
          <w:lang w:val="es-DO"/>
        </w:rPr>
        <w:footnoteReference w:id="283"/>
      </w:r>
      <w:r w:rsidR="00053435" w:rsidRPr="000864AE">
        <w:rPr>
          <w:rFonts w:ascii="Verdana" w:hAnsi="Verdana"/>
          <w:sz w:val="20"/>
          <w:szCs w:val="20"/>
          <w:lang w:val="es-DO"/>
        </w:rPr>
        <w:t>.</w:t>
      </w:r>
    </w:p>
    <w:p w14:paraId="2768F742"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68743CEE" w14:textId="51738AC1"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La Corte recuerda que los </w:t>
      </w:r>
      <w:r w:rsidR="003E51C3" w:rsidRPr="000864AE">
        <w:rPr>
          <w:rFonts w:ascii="Verdana" w:hAnsi="Verdana"/>
          <w:sz w:val="20"/>
          <w:szCs w:val="20"/>
          <w:lang w:val="es-DO"/>
        </w:rPr>
        <w:t>integrantes</w:t>
      </w:r>
      <w:r w:rsidRPr="000864AE">
        <w:rPr>
          <w:rFonts w:ascii="Verdana" w:hAnsi="Verdana"/>
          <w:sz w:val="20"/>
          <w:szCs w:val="20"/>
          <w:lang w:val="es-DO"/>
        </w:rPr>
        <w:t xml:space="preserve"> de ANCEJUB</w:t>
      </w:r>
      <w:r w:rsidR="00AC0031" w:rsidRPr="000864AE">
        <w:rPr>
          <w:rFonts w:ascii="Verdana" w:hAnsi="Verdana"/>
          <w:sz w:val="20"/>
          <w:szCs w:val="20"/>
          <w:lang w:val="es-DO"/>
        </w:rPr>
        <w:t>-SUNAT</w:t>
      </w:r>
      <w:r w:rsidRPr="000864AE">
        <w:rPr>
          <w:rFonts w:ascii="Verdana" w:hAnsi="Verdana"/>
          <w:sz w:val="20"/>
          <w:szCs w:val="20"/>
          <w:lang w:val="es-DO"/>
        </w:rPr>
        <w:t xml:space="preserve"> no dejaron de percibir una pensión desde que se jubilaron. Sin embargo, la Corte advierte la existencia de distintos elementos de prueba relacionados con los efectos que las pensiones recibidas por las presuntas víctimas del caso </w:t>
      </w:r>
      <w:r w:rsidR="00AC0031" w:rsidRPr="000864AE">
        <w:rPr>
          <w:rFonts w:ascii="Verdana" w:hAnsi="Verdana"/>
          <w:sz w:val="20"/>
          <w:szCs w:val="20"/>
          <w:lang w:val="es-DO"/>
        </w:rPr>
        <w:t>tuvieron</w:t>
      </w:r>
      <w:r w:rsidRPr="000864AE">
        <w:rPr>
          <w:rFonts w:ascii="Verdana" w:hAnsi="Verdana"/>
          <w:sz w:val="20"/>
          <w:szCs w:val="20"/>
          <w:lang w:val="es-DO"/>
        </w:rPr>
        <w:t xml:space="preserve"> en su posibilidad de satisfacer algunas de sus necesidades básicas en materia de salud, vivienda, alimentación y educación de sus hijos. El Tribunal considera que al no haber obtenido los reintegros que les correspondían por el tiempo en que fue aplicada la Tercera Disposición Transitoria del Decreto 673, las posibilidades económicas de las presuntas víctimas para gozar de una vida digna también se vieron afectadas.</w:t>
      </w:r>
    </w:p>
    <w:p w14:paraId="4A8A81C2" w14:textId="77777777" w:rsidR="00655238" w:rsidRPr="000864AE" w:rsidRDefault="00655238" w:rsidP="000864AE">
      <w:pPr>
        <w:pStyle w:val="Prrafodelista"/>
        <w:rPr>
          <w:rFonts w:ascii="Verdana" w:hAnsi="Verdana"/>
          <w:sz w:val="20"/>
          <w:szCs w:val="20"/>
          <w:lang w:val="es-DO"/>
        </w:rPr>
      </w:pPr>
    </w:p>
    <w:p w14:paraId="02FDBEBC" w14:textId="76C425B4"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El Tribunal toma nota de los resultados señalados por la perit</w:t>
      </w:r>
      <w:r w:rsidR="009C71B6" w:rsidRPr="000864AE">
        <w:rPr>
          <w:rFonts w:ascii="Verdana" w:hAnsi="Verdana"/>
          <w:sz w:val="20"/>
          <w:szCs w:val="20"/>
          <w:lang w:val="es-DO"/>
        </w:rPr>
        <w:t>a</w:t>
      </w:r>
      <w:r w:rsidRPr="000864AE">
        <w:rPr>
          <w:rFonts w:ascii="Verdana" w:hAnsi="Verdana"/>
          <w:sz w:val="20"/>
          <w:szCs w:val="20"/>
          <w:lang w:val="es-DO"/>
        </w:rPr>
        <w:t xml:space="preserve"> </w:t>
      </w:r>
      <w:r w:rsidRPr="000864AE">
        <w:rPr>
          <w:rFonts w:ascii="Verdana" w:hAnsi="Verdana"/>
          <w:sz w:val="20"/>
          <w:szCs w:val="20"/>
        </w:rPr>
        <w:t xml:space="preserve">Viviana Frida Vais Gen Rivera, quien advirtió la existencia de un grado de afectación psicosocial por parte de los miembros entrevistados de ANCEJUB-SUNAT por el sufrimiento provocado </w:t>
      </w:r>
      <w:r w:rsidR="00AC0031" w:rsidRPr="000864AE">
        <w:rPr>
          <w:rFonts w:ascii="Verdana" w:hAnsi="Verdana"/>
          <w:sz w:val="20"/>
          <w:szCs w:val="20"/>
        </w:rPr>
        <w:t>a causa del</w:t>
      </w:r>
      <w:r w:rsidRPr="000864AE">
        <w:rPr>
          <w:rFonts w:ascii="Verdana" w:hAnsi="Verdana"/>
          <w:sz w:val="20"/>
          <w:szCs w:val="20"/>
        </w:rPr>
        <w:t xml:space="preserve"> daño al proyecto de vida y el</w:t>
      </w:r>
      <w:r w:rsidR="00AC0031" w:rsidRPr="000864AE">
        <w:rPr>
          <w:rFonts w:ascii="Verdana" w:hAnsi="Verdana"/>
          <w:sz w:val="20"/>
          <w:szCs w:val="20"/>
        </w:rPr>
        <w:t xml:space="preserve"> subsecuente</w:t>
      </w:r>
      <w:r w:rsidRPr="000864AE">
        <w:rPr>
          <w:rFonts w:ascii="Verdana" w:hAnsi="Verdana"/>
          <w:sz w:val="20"/>
          <w:szCs w:val="20"/>
        </w:rPr>
        <w:t xml:space="preserve"> impacto en sus familias y en la relación con sus hijos</w:t>
      </w:r>
      <w:r w:rsidRPr="000864AE">
        <w:rPr>
          <w:rStyle w:val="Refdenotaalpie"/>
          <w:rFonts w:ascii="Verdana" w:hAnsi="Verdana"/>
        </w:rPr>
        <w:footnoteReference w:id="284"/>
      </w:r>
      <w:r w:rsidRPr="000864AE">
        <w:rPr>
          <w:rFonts w:ascii="Verdana" w:hAnsi="Verdana"/>
          <w:sz w:val="20"/>
          <w:szCs w:val="20"/>
        </w:rPr>
        <w:t>. En particular, la perit</w:t>
      </w:r>
      <w:r w:rsidR="009C71B6" w:rsidRPr="000864AE">
        <w:rPr>
          <w:rFonts w:ascii="Verdana" w:hAnsi="Verdana"/>
          <w:sz w:val="20"/>
          <w:szCs w:val="20"/>
        </w:rPr>
        <w:t>a</w:t>
      </w:r>
      <w:r w:rsidRPr="000864AE">
        <w:rPr>
          <w:rFonts w:ascii="Verdana" w:hAnsi="Verdana"/>
          <w:sz w:val="20"/>
          <w:szCs w:val="20"/>
        </w:rPr>
        <w:t xml:space="preserve"> encontró que la exposición involuntaria y forzada de las presuntas víctimas</w:t>
      </w:r>
      <w:r w:rsidR="00AC0031" w:rsidRPr="000864AE">
        <w:rPr>
          <w:rFonts w:ascii="Verdana" w:hAnsi="Verdana"/>
          <w:sz w:val="20"/>
          <w:szCs w:val="20"/>
        </w:rPr>
        <w:t xml:space="preserve"> a un litigio que tuvo más de 27</w:t>
      </w:r>
      <w:r w:rsidRPr="000864AE">
        <w:rPr>
          <w:rFonts w:ascii="Verdana" w:hAnsi="Verdana"/>
          <w:sz w:val="20"/>
          <w:szCs w:val="20"/>
        </w:rPr>
        <w:t xml:space="preserve"> años de duración provocó una exposición a situaciones estresantes y traumáticas que concurrieron en afectaciones a la salud y la estructura psíquica de las personas. Lo anterior se agrava teniendo en consideración que la mayoría de los miembros de ANCEJUB-SUNAT tiene alrededor de 70 años, y algunos de ellos incluso han fallecido. Asimismo, la perit</w:t>
      </w:r>
      <w:r w:rsidR="009C71B6" w:rsidRPr="000864AE">
        <w:rPr>
          <w:rFonts w:ascii="Verdana" w:hAnsi="Verdana"/>
          <w:sz w:val="20"/>
          <w:szCs w:val="20"/>
        </w:rPr>
        <w:t>a</w:t>
      </w:r>
      <w:r w:rsidRPr="000864AE">
        <w:rPr>
          <w:rFonts w:ascii="Verdana" w:hAnsi="Verdana"/>
          <w:sz w:val="20"/>
          <w:szCs w:val="20"/>
        </w:rPr>
        <w:t xml:space="preserve"> encontró que uno de los elementos más resaltados por las presuntas víctimas en las entrevistas conducidas fue “</w:t>
      </w:r>
      <w:r w:rsidR="00AC0031" w:rsidRPr="000864AE">
        <w:rPr>
          <w:rFonts w:ascii="Verdana" w:hAnsi="Verdana"/>
          <w:sz w:val="20"/>
          <w:szCs w:val="20"/>
        </w:rPr>
        <w:t xml:space="preserve">(…) </w:t>
      </w:r>
      <w:r w:rsidRPr="000864AE">
        <w:rPr>
          <w:rFonts w:ascii="Verdana" w:hAnsi="Verdana"/>
          <w:sz w:val="20"/>
          <w:szCs w:val="20"/>
        </w:rPr>
        <w:t>la sorpresa con respecto a lo sucedido. La sensación de estar frente a una situación que no se podía aceptar como real; y que, con el transcurrir del tiempo, los confirmó en una sensación de ser objeto de burla y engaño”</w:t>
      </w:r>
      <w:r w:rsidRPr="000864AE">
        <w:rPr>
          <w:rStyle w:val="Refdenotaalpie"/>
          <w:rFonts w:ascii="Verdana" w:hAnsi="Verdana"/>
        </w:rPr>
        <w:footnoteReference w:id="285"/>
      </w:r>
      <w:r w:rsidRPr="000864AE">
        <w:rPr>
          <w:rFonts w:ascii="Verdana" w:hAnsi="Verdana"/>
          <w:sz w:val="20"/>
          <w:szCs w:val="20"/>
        </w:rPr>
        <w:t>.</w:t>
      </w:r>
    </w:p>
    <w:p w14:paraId="14FD347A"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5EA5F800" w14:textId="75A79752"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Adicionalmente, el Tribunal advierte que la disminución de los ingresos de las presuntas víctimas una vez que dejaron de laborar para la SUNAT produjo una disminución de su calidad de vida que se concretizó en </w:t>
      </w:r>
      <w:r w:rsidR="00AC0031" w:rsidRPr="000864AE">
        <w:rPr>
          <w:rFonts w:ascii="Verdana" w:hAnsi="Verdana"/>
          <w:sz w:val="20"/>
          <w:szCs w:val="20"/>
          <w:lang w:val="es-DO"/>
        </w:rPr>
        <w:t>la necesidad de contraer deudas</w:t>
      </w:r>
      <w:r w:rsidRPr="000864AE">
        <w:rPr>
          <w:rFonts w:ascii="Verdana" w:hAnsi="Verdana"/>
          <w:sz w:val="20"/>
          <w:szCs w:val="20"/>
          <w:lang w:val="es-DO"/>
        </w:rPr>
        <w:t xml:space="preserve"> con bancos y familiares, la necesidad de vender bi</w:t>
      </w:r>
      <w:r w:rsidR="00AC0031" w:rsidRPr="000864AE">
        <w:rPr>
          <w:rFonts w:ascii="Verdana" w:hAnsi="Verdana"/>
          <w:sz w:val="20"/>
          <w:szCs w:val="20"/>
          <w:lang w:val="es-DO"/>
        </w:rPr>
        <w:t>enes previamente adquiridos, y</w:t>
      </w:r>
      <w:r w:rsidRPr="000864AE">
        <w:rPr>
          <w:rFonts w:ascii="Verdana" w:hAnsi="Verdana"/>
          <w:sz w:val="20"/>
          <w:szCs w:val="20"/>
          <w:lang w:val="es-DO"/>
        </w:rPr>
        <w:t xml:space="preserve"> no poder pagar los gastos de la educación de sus hijos. Asimismo, esta situación tuvo como resultado el aumento de los problemas de salud de los pensionados quienes se vieron obligados a acudir a instituciones de atención pública debido a la pérdida del seguro privado, o bien a no contar </w:t>
      </w:r>
      <w:r w:rsidR="00AC0031" w:rsidRPr="000864AE">
        <w:rPr>
          <w:rFonts w:ascii="Verdana" w:hAnsi="Verdana"/>
          <w:sz w:val="20"/>
          <w:szCs w:val="20"/>
          <w:lang w:val="es-DO"/>
        </w:rPr>
        <w:t xml:space="preserve">con </w:t>
      </w:r>
      <w:r w:rsidRPr="000864AE">
        <w:rPr>
          <w:rFonts w:ascii="Verdana" w:hAnsi="Verdana"/>
          <w:sz w:val="20"/>
          <w:szCs w:val="20"/>
          <w:lang w:val="es-DO"/>
        </w:rPr>
        <w:t>los recursos económicos para gozar de una atención médica de calidad. De igual forma, la Corte advierte el impacto que tuvo en la vida familiar de las personas como resultado de la imposibilidad de cubrir los gastos de sus</w:t>
      </w:r>
      <w:r w:rsidR="00AC0031" w:rsidRPr="000864AE">
        <w:rPr>
          <w:rFonts w:ascii="Verdana" w:hAnsi="Verdana"/>
          <w:sz w:val="20"/>
          <w:szCs w:val="20"/>
          <w:lang w:val="es-DO"/>
        </w:rPr>
        <w:t xml:space="preserve"> hogares, lo que también impactó</w:t>
      </w:r>
      <w:r w:rsidR="009C71B6" w:rsidRPr="000864AE">
        <w:rPr>
          <w:rFonts w:ascii="Verdana" w:hAnsi="Verdana"/>
          <w:sz w:val="20"/>
          <w:szCs w:val="20"/>
          <w:lang w:val="es-DO"/>
        </w:rPr>
        <w:t xml:space="preserve"> en</w:t>
      </w:r>
      <w:r w:rsidRPr="000864AE">
        <w:rPr>
          <w:rFonts w:ascii="Verdana" w:hAnsi="Verdana"/>
          <w:sz w:val="20"/>
          <w:szCs w:val="20"/>
          <w:lang w:val="es-DO"/>
        </w:rPr>
        <w:t xml:space="preserve"> la posibilidad de garantizar la calidad de vida de sus dependientes</w:t>
      </w:r>
      <w:r w:rsidR="00AC0031" w:rsidRPr="000864AE">
        <w:rPr>
          <w:rFonts w:ascii="Verdana" w:hAnsi="Verdana"/>
          <w:sz w:val="20"/>
          <w:szCs w:val="20"/>
          <w:lang w:val="es-DO"/>
        </w:rPr>
        <w:t>,</w:t>
      </w:r>
      <w:r w:rsidRPr="000864AE">
        <w:rPr>
          <w:rFonts w:ascii="Verdana" w:hAnsi="Verdana"/>
          <w:sz w:val="20"/>
          <w:szCs w:val="20"/>
          <w:lang w:val="es-DO"/>
        </w:rPr>
        <w:t xml:space="preserve"> incluidos sus hijos</w:t>
      </w:r>
      <w:r w:rsidRPr="000864AE">
        <w:rPr>
          <w:rStyle w:val="Refdenotaalpie"/>
          <w:rFonts w:ascii="Verdana" w:hAnsi="Verdana"/>
          <w:lang w:val="es-DO"/>
        </w:rPr>
        <w:footnoteReference w:id="286"/>
      </w:r>
      <w:r w:rsidRPr="000864AE">
        <w:rPr>
          <w:rFonts w:ascii="Verdana" w:hAnsi="Verdana"/>
          <w:sz w:val="20"/>
          <w:szCs w:val="20"/>
          <w:lang w:val="es-DO"/>
        </w:rPr>
        <w:t>.</w:t>
      </w:r>
    </w:p>
    <w:p w14:paraId="1C77DAE3" w14:textId="77777777" w:rsidR="00655238" w:rsidRPr="000864AE" w:rsidRDefault="00655238" w:rsidP="000864AE">
      <w:pPr>
        <w:pStyle w:val="Prrafodelista"/>
        <w:rPr>
          <w:rFonts w:ascii="Verdana" w:hAnsi="Verdana"/>
          <w:sz w:val="20"/>
          <w:szCs w:val="20"/>
          <w:lang w:val="es-DO"/>
        </w:rPr>
      </w:pPr>
    </w:p>
    <w:p w14:paraId="585A03C3" w14:textId="202808B2" w:rsidR="00953A15"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En relación con lo anterior, este Tribunal considera que la reducción de los ingresos de las presuntas víctimas con motivo de haber dejado de laborar para la SUNAT tuvo un impacto en su calidad de vida y en su proyecto original de vida. Es fundamental recordar que la jubilación de los miembros de la ANCEJUB-SUNAT se llevó a cabo como parte del proceso de reestructuración orgánica y de racionalización del personal que tuvo como consecuencia que las presuntas víctimas se acogieran al Programa de Renuncias Voluntarias, lo cual derivó en que posteriormente sus ingresos fueran sustancialmente reducidos en virtud de la entrada en vigor del Decreto 673. Este Tribunal considera que las circunstancias específicas en que este cambio sucedió deben ser tomadas en cuenta para la calificación de la responsabilidad internacional del Estado en relación con la garantía del derecho a la seguridad social y a la vida digna. De esta forma, el Tribunal concluye que los efectos que las afectaciones que dicho cambio tuvo en la calidad de vida de las presuntas víctimas constituyó, además de una vulneración a su derecho a la seguridad social, una violación del derecho a su vida digna.</w:t>
      </w:r>
    </w:p>
    <w:p w14:paraId="104F3AC4" w14:textId="77777777" w:rsidR="00953A15" w:rsidRPr="000864AE" w:rsidRDefault="00953A15" w:rsidP="000864AE">
      <w:pPr>
        <w:tabs>
          <w:tab w:val="left" w:pos="709"/>
        </w:tabs>
        <w:spacing w:after="0" w:line="240" w:lineRule="auto"/>
        <w:jc w:val="both"/>
        <w:rPr>
          <w:rFonts w:ascii="Verdana" w:hAnsi="Verdana"/>
          <w:sz w:val="20"/>
          <w:szCs w:val="20"/>
          <w:lang w:val="es-DO"/>
        </w:rPr>
      </w:pPr>
    </w:p>
    <w:p w14:paraId="3DF9CB51" w14:textId="1C5B9566" w:rsidR="00AC0031" w:rsidRPr="000864AE" w:rsidRDefault="00AC0031" w:rsidP="000864AE">
      <w:pPr>
        <w:pStyle w:val="Ttulo4"/>
        <w:numPr>
          <w:ilvl w:val="0"/>
          <w:numId w:val="0"/>
        </w:numPr>
        <w:ind w:left="1068"/>
        <w:rPr>
          <w:strike/>
        </w:rPr>
      </w:pPr>
      <w:bookmarkStart w:id="85" w:name="_Toc27329785"/>
      <w:r w:rsidRPr="000864AE">
        <w:rPr>
          <w:lang w:val="es-PE"/>
        </w:rPr>
        <w:t>C.2.4. La afectación del derecho a la propiedad en el caso concreto</w:t>
      </w:r>
      <w:bookmarkEnd w:id="85"/>
      <w:r w:rsidRPr="000864AE">
        <w:rPr>
          <w:lang w:val="es-PE"/>
        </w:rPr>
        <w:t xml:space="preserve"> </w:t>
      </w:r>
    </w:p>
    <w:p w14:paraId="446343CA" w14:textId="77777777" w:rsidR="00AC0031" w:rsidRPr="000864AE" w:rsidRDefault="00AC0031" w:rsidP="000864AE">
      <w:pPr>
        <w:tabs>
          <w:tab w:val="left" w:pos="709"/>
        </w:tabs>
        <w:spacing w:after="0" w:line="240" w:lineRule="auto"/>
        <w:jc w:val="both"/>
        <w:rPr>
          <w:rFonts w:ascii="Verdana" w:hAnsi="Verdana"/>
          <w:sz w:val="20"/>
          <w:szCs w:val="20"/>
          <w:lang w:val="es-DO"/>
        </w:rPr>
      </w:pPr>
    </w:p>
    <w:p w14:paraId="70425F59" w14:textId="2DD1028B"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 xml:space="preserve">Este Tribunal ha desarrollado en su jurisprudencia un concepto amplio de propiedad que abarca el uso y goce de los bienes, definidos como cosas materiales apropiables, así </w:t>
      </w:r>
      <w:r w:rsidRPr="000864AE">
        <w:rPr>
          <w:rFonts w:ascii="Verdana" w:hAnsi="Verdana" w:cs="Arial"/>
          <w:sz w:val="20"/>
          <w:szCs w:val="20"/>
        </w:rPr>
        <w:t>como</w:t>
      </w:r>
      <w:r w:rsidRPr="000864AE">
        <w:rPr>
          <w:rFonts w:ascii="Verdana" w:hAnsi="Verdana"/>
          <w:sz w:val="20"/>
          <w:szCs w:val="20"/>
        </w:rPr>
        <w:t xml:space="preserve"> todo derecho que pueda formar parte del patrimonio de una persona</w:t>
      </w:r>
      <w:r w:rsidRPr="000864AE">
        <w:rPr>
          <w:rStyle w:val="Refdenotaalpie"/>
          <w:rFonts w:ascii="Verdana" w:hAnsi="Verdana"/>
        </w:rPr>
        <w:footnoteReference w:id="287"/>
      </w:r>
      <w:r w:rsidRPr="000864AE">
        <w:rPr>
          <w:rFonts w:ascii="Verdana" w:hAnsi="Verdana"/>
          <w:sz w:val="20"/>
          <w:szCs w:val="20"/>
        </w:rPr>
        <w:t xml:space="preserve">. Asimismo, la Corte ha protegido a través del artículo 21 </w:t>
      </w:r>
      <w:r w:rsidR="003C1641" w:rsidRPr="000864AE">
        <w:rPr>
          <w:rFonts w:ascii="Verdana" w:hAnsi="Verdana" w:cs="Arial"/>
          <w:sz w:val="20"/>
          <w:szCs w:val="20"/>
          <w:lang w:val="es-AR"/>
        </w:rPr>
        <w:t>de la Convención</w:t>
      </w:r>
      <w:r w:rsidRPr="000864AE">
        <w:rPr>
          <w:rFonts w:ascii="Verdana" w:hAnsi="Verdana"/>
          <w:sz w:val="20"/>
          <w:szCs w:val="20"/>
        </w:rPr>
        <w:t xml:space="preserve"> los derechos adquiridos, entendidos como derechos que se han incorporado al patrimonio de las personas</w:t>
      </w:r>
      <w:r w:rsidRPr="000864AE">
        <w:rPr>
          <w:rFonts w:ascii="Verdana" w:hAnsi="Verdana"/>
          <w:vertAlign w:val="superscript"/>
        </w:rPr>
        <w:footnoteReference w:id="288"/>
      </w:r>
      <w:r w:rsidRPr="000864AE">
        <w:rPr>
          <w:rFonts w:ascii="Verdana" w:hAnsi="Verdana"/>
          <w:sz w:val="20"/>
          <w:szCs w:val="20"/>
        </w:rPr>
        <w:t xml:space="preserve">. Resulta necesario reiterar que el derecho a la propiedad no es </w:t>
      </w:r>
      <w:r w:rsidRPr="000864AE">
        <w:rPr>
          <w:rFonts w:ascii="Verdana" w:hAnsi="Verdana" w:cs="Arial"/>
          <w:sz w:val="20"/>
          <w:szCs w:val="20"/>
          <w:lang w:val="es-AR"/>
        </w:rPr>
        <w:t>absoluto</w:t>
      </w:r>
      <w:r w:rsidRPr="000864AE">
        <w:rPr>
          <w:rFonts w:ascii="Verdana" w:hAnsi="Verdana"/>
          <w:sz w:val="20"/>
          <w:szCs w:val="20"/>
        </w:rPr>
        <w:t xml:space="preserve"> y, en ese sentido, puede ser objeto de restricciones y limitaciones</w:t>
      </w:r>
      <w:r w:rsidRPr="000864AE">
        <w:rPr>
          <w:rStyle w:val="Refdenotaalpie"/>
          <w:rFonts w:ascii="Verdana" w:hAnsi="Verdana"/>
        </w:rPr>
        <w:footnoteReference w:id="289"/>
      </w:r>
      <w:r w:rsidRPr="000864AE">
        <w:rPr>
          <w:rFonts w:ascii="Verdana" w:hAnsi="Verdana"/>
          <w:sz w:val="20"/>
          <w:szCs w:val="20"/>
        </w:rPr>
        <w:t>, siempre y cuando éstas se realicen por la vía legal adecuada</w:t>
      </w:r>
      <w:r w:rsidRPr="000864AE">
        <w:rPr>
          <w:rStyle w:val="Refdenotaalpie"/>
          <w:rFonts w:ascii="Verdana" w:hAnsi="Verdana"/>
        </w:rPr>
        <w:footnoteReference w:id="290"/>
      </w:r>
      <w:r w:rsidRPr="000864AE">
        <w:rPr>
          <w:rFonts w:ascii="Verdana" w:hAnsi="Verdana"/>
          <w:sz w:val="20"/>
          <w:szCs w:val="20"/>
        </w:rPr>
        <w:t xml:space="preserve"> y de conformidad con los parámetros establecidos en dicho artículo 21</w:t>
      </w:r>
      <w:r w:rsidRPr="000864AE">
        <w:rPr>
          <w:rStyle w:val="Refdenotaalpie"/>
          <w:rFonts w:ascii="Verdana" w:hAnsi="Verdana"/>
        </w:rPr>
        <w:footnoteReference w:id="291"/>
      </w:r>
      <w:r w:rsidRPr="000864AE">
        <w:rPr>
          <w:rFonts w:ascii="Verdana" w:hAnsi="Verdana"/>
          <w:sz w:val="20"/>
          <w:szCs w:val="20"/>
        </w:rPr>
        <w:t xml:space="preserve">. </w:t>
      </w:r>
      <w:r w:rsidRPr="000864AE">
        <w:rPr>
          <w:rFonts w:ascii="Verdana" w:hAnsi="Verdana"/>
          <w:sz w:val="20"/>
          <w:lang w:val="es-CR"/>
        </w:rPr>
        <w:t>En casos similares al presente</w:t>
      </w:r>
      <w:r w:rsidRPr="000864AE">
        <w:rPr>
          <w:rFonts w:ascii="Verdana" w:hAnsi="Verdana"/>
          <w:i/>
          <w:sz w:val="20"/>
          <w:lang w:val="es-CR"/>
        </w:rPr>
        <w:t>,</w:t>
      </w:r>
      <w:r w:rsidRPr="000864AE">
        <w:rPr>
          <w:rFonts w:ascii="Verdana" w:hAnsi="Verdana"/>
          <w:sz w:val="20"/>
          <w:lang w:val="es-CR"/>
        </w:rPr>
        <w:t xml:space="preserve"> el Tribunal ha declarado la </w:t>
      </w:r>
      <w:r w:rsidRPr="000864AE">
        <w:rPr>
          <w:rFonts w:ascii="Verdana" w:hAnsi="Verdana"/>
          <w:sz w:val="20"/>
          <w:szCs w:val="20"/>
          <w:lang w:val="es-ES"/>
        </w:rPr>
        <w:t>violación del derecho a la propiedad por la afectación patrimonial causada por el incumplimiento de sentencias que pretendían proteger el derecho a una pensión, el cual había sido adquirido por las víctimas, de conformidad con la normativa interna</w:t>
      </w:r>
      <w:r w:rsidRPr="000864AE">
        <w:rPr>
          <w:rStyle w:val="Refdenotaalpie"/>
          <w:rFonts w:ascii="Verdana" w:hAnsi="Verdana"/>
          <w:lang w:val="es-ES"/>
        </w:rPr>
        <w:footnoteReference w:id="292"/>
      </w:r>
      <w:r w:rsidRPr="000864AE">
        <w:rPr>
          <w:rFonts w:ascii="Verdana" w:hAnsi="Verdana"/>
          <w:sz w:val="20"/>
          <w:szCs w:val="20"/>
          <w:lang w:val="es-ES"/>
        </w:rPr>
        <w:t>.</w:t>
      </w:r>
    </w:p>
    <w:p w14:paraId="6374EBBD"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72F1D697" w14:textId="5164FBF1" w:rsidR="00655238" w:rsidRPr="000864AE" w:rsidRDefault="003C1641"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lang w:val="es-CR"/>
        </w:rPr>
        <w:t xml:space="preserve">Asimismo, tal </w:t>
      </w:r>
      <w:r w:rsidR="00953A15" w:rsidRPr="000864AE">
        <w:rPr>
          <w:rFonts w:ascii="Verdana" w:hAnsi="Verdana"/>
          <w:sz w:val="20"/>
          <w:lang w:val="es-CR"/>
        </w:rPr>
        <w:t xml:space="preserve">como lo hizo en el caso </w:t>
      </w:r>
      <w:r w:rsidR="00953A15" w:rsidRPr="000864AE">
        <w:rPr>
          <w:rFonts w:ascii="Verdana" w:hAnsi="Verdana"/>
          <w:i/>
          <w:sz w:val="20"/>
          <w:lang w:val="es-CR"/>
        </w:rPr>
        <w:t>Muelle Flores Vs. Perú</w:t>
      </w:r>
      <w:r w:rsidR="00953A15" w:rsidRPr="000864AE">
        <w:rPr>
          <w:rFonts w:ascii="Verdana" w:hAnsi="Verdana"/>
          <w:sz w:val="20"/>
          <w:lang w:val="es-CR"/>
        </w:rPr>
        <w:t>, la Corte resalta y coincide con lo señalado por el dictamen pericial de Christian Courtis en relación con que “</w:t>
      </w:r>
      <w:r w:rsidR="00953A15" w:rsidRPr="000864AE">
        <w:rPr>
          <w:rFonts w:ascii="Verdana" w:hAnsi="Verdana"/>
          <w:sz w:val="20"/>
          <w:szCs w:val="20"/>
          <w:lang w:val="es-CR"/>
        </w:rPr>
        <w:t>[l]</w:t>
      </w:r>
      <w:r w:rsidR="00953A15" w:rsidRPr="000864AE">
        <w:rPr>
          <w:rFonts w:ascii="Verdana" w:hAnsi="Verdana"/>
          <w:sz w:val="20"/>
          <w:szCs w:val="20"/>
          <w:lang w:val="es-PE"/>
        </w:rPr>
        <w:t>os beneficios que se derivan de la seguridad social, incluido el derecho a una pensión de vejez, forman parte del derecho de propiedad y por tanto deben estar protegidos contra la interferencia arbitraria del Estado. El derecho a la propiedad puede cubrir aún las expectativas legítimas del titular del derecho, en particular cuando haya efectuado aportes en un sistema contributivo. Con muchísima más razón, cubre los derechos adquiridos una vez perfeccionadas las condiciones para obtener un beneficio tal como la pensión de vejez, más aún cuando ese derecho ha sido reconocido a través de una sentencia judicial. Complementariamente, entre el abanico de intereses protegidos por el derecho a la propiedad, los beneficios de la seguridad social adquieren particular importancia por su ya mencionado carácter alimentario y sustitutivo del salario”</w:t>
      </w:r>
      <w:r w:rsidR="00953A15" w:rsidRPr="000864AE">
        <w:rPr>
          <w:rStyle w:val="Refdenotaalpie"/>
          <w:rFonts w:ascii="Verdana" w:hAnsi="Verdana"/>
          <w:lang w:val="es-PE"/>
        </w:rPr>
        <w:footnoteReference w:id="293"/>
      </w:r>
      <w:r w:rsidR="00953A15" w:rsidRPr="000864AE">
        <w:rPr>
          <w:rFonts w:ascii="Verdana" w:hAnsi="Verdana"/>
          <w:sz w:val="20"/>
          <w:szCs w:val="20"/>
          <w:lang w:val="es-PE"/>
        </w:rPr>
        <w:t>.</w:t>
      </w:r>
    </w:p>
    <w:p w14:paraId="252A9DA3" w14:textId="77777777" w:rsidR="00655238" w:rsidRPr="000864AE" w:rsidRDefault="00655238" w:rsidP="000864AE">
      <w:pPr>
        <w:pStyle w:val="Prrafodelista"/>
        <w:rPr>
          <w:rFonts w:ascii="Verdana" w:hAnsi="Verdana"/>
          <w:sz w:val="20"/>
          <w:lang w:val="es-CR"/>
        </w:rPr>
      </w:pPr>
    </w:p>
    <w:p w14:paraId="4F3BC5CE" w14:textId="66FE01BA"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lang w:val="es-CR"/>
        </w:rPr>
        <w:t xml:space="preserve">En el presente caso, la Corte recuerda que con base en el Decreto 20530 las presuntas víctimas adquirieron el derecho a la pensión nivelada al jubilarse de la SUNAT </w:t>
      </w:r>
      <w:r w:rsidR="0081491E" w:rsidRPr="000864AE">
        <w:rPr>
          <w:rFonts w:ascii="Verdana" w:hAnsi="Verdana"/>
          <w:sz w:val="20"/>
          <w:lang w:val="es-CR"/>
        </w:rPr>
        <w:t xml:space="preserve">y </w:t>
      </w:r>
      <w:r w:rsidRPr="000864AE">
        <w:rPr>
          <w:rFonts w:ascii="Verdana" w:hAnsi="Verdana"/>
          <w:sz w:val="20"/>
          <w:lang w:val="es-CR"/>
        </w:rPr>
        <w:t xml:space="preserve">acogerse a los beneficios previstos por el Decreto 639. Asimismo, el Tribunal recuerda que mediante sentencia de 25 de octubre de 1993 se ordenó que les fuera repuesto el derecho a recibir </w:t>
      </w:r>
      <w:r w:rsidR="008F083A" w:rsidRPr="000864AE">
        <w:rPr>
          <w:rFonts w:ascii="Verdana" w:hAnsi="Verdana"/>
          <w:sz w:val="20"/>
          <w:lang w:val="es-CR"/>
        </w:rPr>
        <w:t>la</w:t>
      </w:r>
      <w:r w:rsidRPr="000864AE">
        <w:rPr>
          <w:rFonts w:ascii="Verdana" w:hAnsi="Verdana"/>
          <w:sz w:val="20"/>
          <w:lang w:val="es-CR"/>
        </w:rPr>
        <w:t xml:space="preserve"> pensión que les correspondiera, nivelada con las remuneraciones de los servidores activos de la SUNAT y se les integraran los incrementos dejados de percibir como consecuencia de la aplicación de la Tercera Disposición Transitoria del Decreto 673. En relación con los reintegros dejados de percibir por la aplicación de la mencionada </w:t>
      </w:r>
      <w:r w:rsidR="003E51C3" w:rsidRPr="000864AE">
        <w:rPr>
          <w:rFonts w:ascii="Verdana" w:hAnsi="Verdana"/>
          <w:sz w:val="20"/>
          <w:lang w:val="es-CR"/>
        </w:rPr>
        <w:t xml:space="preserve">Tercera </w:t>
      </w:r>
      <w:r w:rsidRPr="000864AE">
        <w:rPr>
          <w:rFonts w:ascii="Verdana" w:hAnsi="Verdana"/>
          <w:sz w:val="20"/>
          <w:lang w:val="es-CR"/>
        </w:rPr>
        <w:t>Disposición, la Corte constató que estos no habían sido pagados a las presuntas víctimas, lo que constituyó un incumplimiento del deber de ejecutar la sentencia de 25 de octubre de 1993 y conlleva la responsabilidad internacional del Estado.</w:t>
      </w:r>
    </w:p>
    <w:p w14:paraId="3C157EBB" w14:textId="77777777" w:rsidR="00655238" w:rsidRPr="000864AE" w:rsidRDefault="00655238" w:rsidP="000864AE">
      <w:pPr>
        <w:pStyle w:val="Prrafodelista"/>
        <w:rPr>
          <w:rFonts w:ascii="Verdana" w:hAnsi="Verdana"/>
          <w:sz w:val="20"/>
          <w:lang w:val="es-CR"/>
        </w:rPr>
      </w:pPr>
    </w:p>
    <w:p w14:paraId="715B6F52" w14:textId="41A49E53"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lang w:val="es-CR"/>
        </w:rPr>
        <w:t xml:space="preserve">La Corte estima que el derecho a la pensión nivelada que adquirieron las presuntas víctimas, lo cual incluía los montos que dejaron de percibir con motivo de la aplicación de la Tercera Disposición Transitoria del Decreto 673, generó un efecto en el patrimonio de los miembros de ANCEJUB-SUNAT. En efecto, el derecho a recibir una pensión fue adquirido luego de que las presuntas víctimas dejaran de laborar para </w:t>
      </w:r>
      <w:r w:rsidR="008F083A" w:rsidRPr="000864AE">
        <w:rPr>
          <w:rFonts w:ascii="Verdana" w:hAnsi="Verdana"/>
          <w:sz w:val="20"/>
          <w:lang w:val="es-CR"/>
        </w:rPr>
        <w:t>la SUNAT</w:t>
      </w:r>
      <w:r w:rsidRPr="000864AE">
        <w:rPr>
          <w:rFonts w:ascii="Verdana" w:hAnsi="Verdana"/>
          <w:sz w:val="20"/>
          <w:lang w:val="es-CR"/>
        </w:rPr>
        <w:t>, al haber cumplido con los requisitos para ello y con el pago de las contribuciones correspondientes, de conformidad con la normativa aplicable en la época. En ese sentido, tal patrimonio se vio afectado directamente por la falta de pago del Estado de los reinteg</w:t>
      </w:r>
      <w:r w:rsidR="008F083A" w:rsidRPr="000864AE">
        <w:rPr>
          <w:rFonts w:ascii="Verdana" w:hAnsi="Verdana"/>
          <w:sz w:val="20"/>
          <w:lang w:val="es-CR"/>
        </w:rPr>
        <w:t>ros que les correspondían</w:t>
      </w:r>
      <w:r w:rsidR="00B25FA5" w:rsidRPr="000864AE">
        <w:rPr>
          <w:rFonts w:ascii="Verdana" w:hAnsi="Verdana"/>
          <w:sz w:val="20"/>
          <w:lang w:val="es-CR"/>
        </w:rPr>
        <w:t xml:space="preserve"> en los términos del peritaje de 18 de octubre de 2011, aprobado </w:t>
      </w:r>
      <w:r w:rsidR="003A3F6A" w:rsidRPr="000864AE">
        <w:rPr>
          <w:rFonts w:ascii="Verdana" w:hAnsi="Verdana"/>
          <w:sz w:val="20"/>
          <w:lang w:val="es-CR"/>
        </w:rPr>
        <w:t>con autoridad de la cosa irrevocablemente juzgada</w:t>
      </w:r>
      <w:r w:rsidR="00B25FA5" w:rsidRPr="000864AE">
        <w:rPr>
          <w:rFonts w:ascii="Verdana" w:hAnsi="Verdana"/>
          <w:sz w:val="20"/>
          <w:lang w:val="es-CR"/>
        </w:rPr>
        <w:t xml:space="preserve"> por la sentencia del Tribunal Constitucional de 23 de abril de 2019. </w:t>
      </w:r>
      <w:r w:rsidRPr="000864AE">
        <w:rPr>
          <w:rFonts w:ascii="Verdana" w:hAnsi="Verdana"/>
          <w:sz w:val="20"/>
          <w:lang w:val="es-CR"/>
        </w:rPr>
        <w:t>Por ese motivo, las víctimas no pudieron gozar integralmente de su derecho a la propiedad privada sobre los efectos patrimoniales de su pensión, entendido aquello como los montos dejados de percibir. De igual manera, debido a que el Tribunal no cuenta con elementos que le permitan determinar que dichos reintegros ya han sido entregados a las presuntas víctimas, la afectación a su patrimonio continúa en violación al derecho a la propiedad.</w:t>
      </w:r>
    </w:p>
    <w:p w14:paraId="59BFFE38" w14:textId="77777777" w:rsidR="00AC0031" w:rsidRPr="000864AE" w:rsidRDefault="00AC0031" w:rsidP="000864AE">
      <w:pPr>
        <w:spacing w:after="0" w:line="240" w:lineRule="auto"/>
        <w:rPr>
          <w:rFonts w:ascii="Verdana" w:hAnsi="Verdana"/>
          <w:sz w:val="20"/>
          <w:szCs w:val="20"/>
          <w:lang w:val="es-DO"/>
        </w:rPr>
      </w:pPr>
    </w:p>
    <w:p w14:paraId="126350A1" w14:textId="77777777" w:rsidR="00AC0031" w:rsidRPr="000864AE" w:rsidRDefault="00AC0031" w:rsidP="000864AE">
      <w:pPr>
        <w:pStyle w:val="Ttulo3"/>
        <w:numPr>
          <w:ilvl w:val="0"/>
          <w:numId w:val="0"/>
        </w:numPr>
        <w:ind w:left="1353"/>
        <w:rPr>
          <w:strike/>
        </w:rPr>
      </w:pPr>
      <w:bookmarkStart w:id="86" w:name="_Toc27329786"/>
      <w:r w:rsidRPr="000864AE">
        <w:rPr>
          <w:lang w:val="es-PE"/>
        </w:rPr>
        <w:t>C.3. Conclusión</w:t>
      </w:r>
      <w:bookmarkEnd w:id="86"/>
      <w:r w:rsidRPr="000864AE">
        <w:rPr>
          <w:lang w:val="es-PE"/>
        </w:rPr>
        <w:t xml:space="preserve"> </w:t>
      </w:r>
    </w:p>
    <w:p w14:paraId="0718FBA5" w14:textId="77777777" w:rsidR="00AC0031" w:rsidRPr="000864AE" w:rsidRDefault="00AC0031" w:rsidP="000864AE">
      <w:pPr>
        <w:pStyle w:val="Prrafodelista"/>
        <w:spacing w:after="0" w:line="240" w:lineRule="auto"/>
        <w:ind w:left="0"/>
        <w:jc w:val="both"/>
        <w:rPr>
          <w:rFonts w:ascii="Verdana" w:hAnsi="Verdana"/>
          <w:sz w:val="20"/>
          <w:szCs w:val="20"/>
          <w:lang w:val="es-DO"/>
        </w:rPr>
      </w:pPr>
    </w:p>
    <w:p w14:paraId="647AA389" w14:textId="1DA39D6F" w:rsidR="00AC0031" w:rsidRPr="000864AE" w:rsidRDefault="00AC0031"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Con base en lo anteriormente expuesto, el Estado es responsable por la violación de los artículos 26, 4.1 y 2</w:t>
      </w:r>
      <w:r w:rsidR="0081491E" w:rsidRPr="000864AE">
        <w:rPr>
          <w:rFonts w:ascii="Verdana" w:hAnsi="Verdana"/>
          <w:sz w:val="20"/>
          <w:szCs w:val="20"/>
          <w:lang w:val="es-DO"/>
        </w:rPr>
        <w:t>1</w:t>
      </w:r>
      <w:r w:rsidRPr="000864AE">
        <w:rPr>
          <w:rFonts w:ascii="Verdana" w:hAnsi="Verdana"/>
          <w:sz w:val="20"/>
          <w:szCs w:val="20"/>
          <w:lang w:val="es-DO"/>
        </w:rPr>
        <w:t xml:space="preserve"> de la Convención Americana, en relación con los artículos 8.1, 25.1, 25.2.c) y 1.1 del mismo instrumento, </w:t>
      </w:r>
      <w:r w:rsidRPr="000864AE">
        <w:rPr>
          <w:rFonts w:ascii="Verdana" w:hAnsi="Verdana"/>
          <w:sz w:val="20"/>
          <w:szCs w:val="20"/>
        </w:rPr>
        <w:t>en perjuicio de las personas señaladas en el Anexo 2 de la presente Sentencia.</w:t>
      </w:r>
    </w:p>
    <w:p w14:paraId="012D68C8" w14:textId="3580BD7E" w:rsidR="00953A15" w:rsidRPr="000864AE" w:rsidRDefault="00953A15" w:rsidP="000864AE">
      <w:pPr>
        <w:spacing w:after="0" w:line="240" w:lineRule="auto"/>
        <w:jc w:val="both"/>
        <w:rPr>
          <w:rFonts w:ascii="Verdana" w:hAnsi="Verdana"/>
          <w:sz w:val="20"/>
          <w:szCs w:val="20"/>
          <w:lang w:val="es-CR"/>
        </w:rPr>
      </w:pPr>
    </w:p>
    <w:p w14:paraId="59A16CFE" w14:textId="10705D7D" w:rsidR="00953A15" w:rsidRPr="000864AE" w:rsidRDefault="00953A15" w:rsidP="000864AE">
      <w:pPr>
        <w:pStyle w:val="Ttulo2"/>
        <w:numPr>
          <w:ilvl w:val="0"/>
          <w:numId w:val="15"/>
        </w:numPr>
      </w:pPr>
      <w:bookmarkStart w:id="87" w:name="_Toc27329787"/>
      <w:r w:rsidRPr="000864AE">
        <w:t>Deber de adoptar disposiciones de derecho interno</w:t>
      </w:r>
      <w:bookmarkEnd w:id="87"/>
    </w:p>
    <w:p w14:paraId="42DC7DCE" w14:textId="77777777" w:rsidR="00953A15" w:rsidRPr="000864AE" w:rsidRDefault="00953A15" w:rsidP="000864AE">
      <w:pPr>
        <w:spacing w:after="0" w:line="240" w:lineRule="auto"/>
        <w:rPr>
          <w:rFonts w:ascii="Verdana" w:hAnsi="Verdana"/>
          <w:lang w:val="es-CR" w:eastAsia="es-CR"/>
        </w:rPr>
      </w:pPr>
    </w:p>
    <w:p w14:paraId="7E8DDB4B" w14:textId="58FC7F6C" w:rsidR="00B616A3" w:rsidRPr="000864AE" w:rsidRDefault="008F083A" w:rsidP="000864AE">
      <w:pPr>
        <w:spacing w:after="0" w:line="240" w:lineRule="auto"/>
        <w:ind w:left="1440"/>
        <w:rPr>
          <w:rFonts w:ascii="Verdana" w:hAnsi="Verdana"/>
          <w:b/>
          <w:i/>
          <w:sz w:val="20"/>
          <w:szCs w:val="20"/>
          <w:lang w:val="es-CR" w:eastAsia="es-CR"/>
        </w:rPr>
      </w:pPr>
      <w:r w:rsidRPr="000864AE">
        <w:rPr>
          <w:rFonts w:ascii="Verdana" w:hAnsi="Verdana"/>
          <w:b/>
          <w:i/>
          <w:sz w:val="20"/>
          <w:szCs w:val="20"/>
          <w:lang w:val="es-CR" w:eastAsia="es-CR"/>
        </w:rPr>
        <w:t xml:space="preserve">D.1. </w:t>
      </w:r>
      <w:r w:rsidR="00B616A3" w:rsidRPr="000864AE">
        <w:rPr>
          <w:rFonts w:ascii="Verdana" w:hAnsi="Verdana"/>
          <w:b/>
          <w:i/>
          <w:sz w:val="20"/>
          <w:szCs w:val="20"/>
          <w:lang w:val="es-DO"/>
        </w:rPr>
        <w:t>Argumentos de las partes y de la Comisión</w:t>
      </w:r>
    </w:p>
    <w:p w14:paraId="2322C9C1" w14:textId="77777777" w:rsidR="00B616A3" w:rsidRPr="000864AE" w:rsidRDefault="00B616A3" w:rsidP="000864AE">
      <w:pPr>
        <w:tabs>
          <w:tab w:val="left" w:pos="709"/>
        </w:tabs>
        <w:spacing w:after="0" w:line="240" w:lineRule="auto"/>
        <w:jc w:val="both"/>
        <w:rPr>
          <w:rFonts w:ascii="Verdana" w:hAnsi="Verdana"/>
          <w:sz w:val="20"/>
          <w:szCs w:val="20"/>
          <w:lang w:val="es-DO"/>
        </w:rPr>
      </w:pPr>
    </w:p>
    <w:p w14:paraId="07708AF2" w14:textId="1297494C" w:rsidR="00655238" w:rsidRPr="000864AE" w:rsidRDefault="00B616A3"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La </w:t>
      </w:r>
      <w:r w:rsidRPr="000864AE">
        <w:rPr>
          <w:rFonts w:ascii="Verdana" w:hAnsi="Verdana"/>
          <w:b/>
          <w:i/>
          <w:sz w:val="20"/>
          <w:szCs w:val="20"/>
          <w:lang w:val="es-DO"/>
        </w:rPr>
        <w:t>Comisión</w:t>
      </w:r>
      <w:r w:rsidRPr="000864AE">
        <w:rPr>
          <w:rFonts w:ascii="Verdana" w:hAnsi="Verdana"/>
          <w:sz w:val="20"/>
          <w:szCs w:val="20"/>
          <w:lang w:val="es-DO"/>
        </w:rPr>
        <w:t xml:space="preserve"> resaltó que el incumplimiento por parte de Perú de las sentencias contra entidades estatales desde la década de 1990 forma parte de un contexto más general que trasciende la situa</w:t>
      </w:r>
      <w:r w:rsidR="00010024" w:rsidRPr="000864AE">
        <w:rPr>
          <w:rFonts w:ascii="Verdana" w:hAnsi="Verdana"/>
          <w:sz w:val="20"/>
          <w:szCs w:val="20"/>
          <w:lang w:val="es-DO"/>
        </w:rPr>
        <w:t>ción particular de las víctimas. R</w:t>
      </w:r>
      <w:r w:rsidRPr="000864AE">
        <w:rPr>
          <w:rFonts w:ascii="Verdana" w:hAnsi="Verdana"/>
          <w:sz w:val="20"/>
          <w:szCs w:val="20"/>
          <w:lang w:val="es-DO"/>
        </w:rPr>
        <w:t xml:space="preserve">eiteró que la Corte se ha pronunciado al respecto en la supervisión de cumplimiento en los casos </w:t>
      </w:r>
      <w:r w:rsidRPr="000864AE">
        <w:rPr>
          <w:rFonts w:ascii="Verdana" w:hAnsi="Verdana"/>
          <w:i/>
          <w:sz w:val="20"/>
          <w:szCs w:val="20"/>
          <w:lang w:val="es-DO"/>
        </w:rPr>
        <w:t>Cinco Pensionistas Vs. Perú</w:t>
      </w:r>
      <w:r w:rsidRPr="000864AE">
        <w:rPr>
          <w:rFonts w:ascii="Verdana" w:hAnsi="Verdana"/>
          <w:sz w:val="20"/>
          <w:szCs w:val="20"/>
          <w:lang w:val="es-DO"/>
        </w:rPr>
        <w:t xml:space="preserve">, </w:t>
      </w:r>
      <w:r w:rsidRPr="000864AE">
        <w:rPr>
          <w:rFonts w:ascii="Verdana" w:hAnsi="Verdana"/>
          <w:i/>
          <w:sz w:val="20"/>
          <w:szCs w:val="20"/>
          <w:lang w:val="es-DO"/>
        </w:rPr>
        <w:t>Acevedo Buendía y otros Vs. Perú</w:t>
      </w:r>
      <w:r w:rsidRPr="000864AE">
        <w:rPr>
          <w:rFonts w:ascii="Verdana" w:hAnsi="Verdana"/>
          <w:sz w:val="20"/>
          <w:szCs w:val="20"/>
          <w:lang w:val="es-DO"/>
        </w:rPr>
        <w:t xml:space="preserve"> y </w:t>
      </w:r>
      <w:r w:rsidRPr="000864AE">
        <w:rPr>
          <w:rFonts w:ascii="Verdana" w:hAnsi="Verdana"/>
          <w:i/>
          <w:sz w:val="20"/>
          <w:szCs w:val="20"/>
          <w:lang w:val="es-DO"/>
        </w:rPr>
        <w:t>Muelle Flores Vs. Perú</w:t>
      </w:r>
      <w:r w:rsidRPr="000864AE">
        <w:rPr>
          <w:rFonts w:ascii="Verdana" w:hAnsi="Verdana"/>
          <w:sz w:val="20"/>
          <w:szCs w:val="20"/>
          <w:lang w:val="es-DO"/>
        </w:rPr>
        <w:t>,</w:t>
      </w:r>
      <w:r w:rsidRPr="000864AE">
        <w:rPr>
          <w:rFonts w:ascii="Verdana" w:hAnsi="Verdana"/>
          <w:b/>
          <w:sz w:val="20"/>
          <w:szCs w:val="20"/>
          <w:lang w:val="es-DO"/>
        </w:rPr>
        <w:t xml:space="preserve"> </w:t>
      </w:r>
      <w:r w:rsidRPr="000864AE">
        <w:rPr>
          <w:rFonts w:ascii="Verdana" w:hAnsi="Verdana"/>
          <w:sz w:val="20"/>
          <w:szCs w:val="20"/>
          <w:lang w:val="es-DO"/>
        </w:rPr>
        <w:t>y enfatizó sus similitudes con este caso. Manifestó que esta es una oportunidad para que la Corte se pronuncie sobre este contexto que trasciende a las víctimas del caso y requiere la adopción de garantías de no repetición. Finalmente, la Comisión destacó que, pese a tener conocimiento de esta “problemática estructural”, “el Estado no ha adoptado las medidas generales necesarias para remediarla y evitar repetición”. En consecuencia, alegó que el Estado es responsable por la violación del artículo 2 de la Convención Americana.</w:t>
      </w:r>
    </w:p>
    <w:p w14:paraId="5EF5F7AE"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2CEBFA92" w14:textId="27CB45D0" w:rsidR="00655238" w:rsidRPr="000864AE" w:rsidRDefault="00B616A3"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Los </w:t>
      </w:r>
      <w:r w:rsidRPr="000864AE">
        <w:rPr>
          <w:rFonts w:ascii="Verdana" w:hAnsi="Verdana"/>
          <w:b/>
          <w:i/>
          <w:sz w:val="20"/>
          <w:szCs w:val="20"/>
          <w:lang w:val="es-DO"/>
        </w:rPr>
        <w:t xml:space="preserve">representantes </w:t>
      </w:r>
      <w:r w:rsidRPr="000864AE">
        <w:rPr>
          <w:rFonts w:ascii="Verdana" w:hAnsi="Verdana"/>
          <w:sz w:val="20"/>
          <w:szCs w:val="20"/>
          <w:lang w:val="es-DO"/>
        </w:rPr>
        <w:t>señalaron que existe una notoria identidad de elementos que vinculan estos procesos con otros análogos que ya ha tenido oportunidad la Corte de conocer. Manifestaron que estos casos demuestran un incumplimiento sistemático de sentencias que ordenan la restitución de derechos de naturaleza económica y social, lo cual configura un patrón sistemático de violaciones de derechos humanos que constituye además un “estado de cosas inconvencionales”. Los representantes alegaron que el caso muestra la existencia de una vulneración masiva y generalizada de varios derechos, una prolongada omisión de las autoridades estatales en el cumplimiento de sus obligaciones, la no expedición de medidas legislativas, administrativas y presupuestarias, la existencia de un problema social que requiere la adopción de medidas complejas y coordinadas, y la existencia de un vasto número de personas afectadas. En ese sentido, solicitaron a la Corte ordene la remoción de los obstáculos que impidan el cumplimiento de las sentencias.</w:t>
      </w:r>
    </w:p>
    <w:p w14:paraId="40DACFFA" w14:textId="77777777" w:rsidR="00655238" w:rsidRPr="000864AE" w:rsidRDefault="00655238" w:rsidP="000864AE">
      <w:pPr>
        <w:pStyle w:val="Prrafodelista"/>
        <w:rPr>
          <w:rFonts w:ascii="Verdana" w:hAnsi="Verdana"/>
          <w:sz w:val="20"/>
          <w:szCs w:val="20"/>
          <w:lang w:val="es-DO"/>
        </w:rPr>
      </w:pPr>
    </w:p>
    <w:p w14:paraId="74211E34" w14:textId="3D037B48" w:rsidR="00B616A3" w:rsidRPr="000864AE" w:rsidRDefault="00B616A3"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lang w:val="es-DO"/>
        </w:rPr>
        <w:t xml:space="preserve">El </w:t>
      </w:r>
      <w:r w:rsidRPr="000864AE">
        <w:rPr>
          <w:rFonts w:ascii="Verdana" w:hAnsi="Verdana"/>
          <w:b/>
          <w:i/>
          <w:sz w:val="20"/>
          <w:szCs w:val="20"/>
          <w:lang w:val="es-DO"/>
        </w:rPr>
        <w:t>Estado</w:t>
      </w:r>
      <w:r w:rsidRPr="000864AE">
        <w:rPr>
          <w:rFonts w:ascii="Verdana" w:hAnsi="Verdana"/>
          <w:sz w:val="20"/>
          <w:szCs w:val="20"/>
          <w:lang w:val="es-DO"/>
        </w:rPr>
        <w:t xml:space="preserve"> alegó no ser responsable por la violación del artículo 2 de la Convención Americana pues el caso no se relaciona con una inejecución de sentencias, por lo que no existen medidas que el Estado deba adoptar para modificar la alegada situación de incumplimiento que la Comisión le pretende imputar. Asimismo, reiteró que la supuesta inejecución de la sentencia que se le imputa no tiene sustento fáctico en que apoyarse, por lo que la Corte no debe pronunciarse al respecto. Finalmente, enfatizó que los casos </w:t>
      </w:r>
      <w:r w:rsidRPr="000864AE">
        <w:rPr>
          <w:rFonts w:ascii="Verdana" w:hAnsi="Verdana"/>
          <w:i/>
          <w:sz w:val="20"/>
          <w:szCs w:val="20"/>
          <w:lang w:val="es-DO"/>
        </w:rPr>
        <w:t>Cinco Pensionistas Vs. Perú</w:t>
      </w:r>
      <w:r w:rsidRPr="000864AE">
        <w:rPr>
          <w:rFonts w:ascii="Verdana" w:hAnsi="Verdana"/>
          <w:sz w:val="20"/>
          <w:szCs w:val="20"/>
          <w:lang w:val="es-DO"/>
        </w:rPr>
        <w:t xml:space="preserve"> y </w:t>
      </w:r>
      <w:r w:rsidRPr="000864AE">
        <w:rPr>
          <w:rFonts w:ascii="Verdana" w:hAnsi="Verdana"/>
          <w:i/>
          <w:sz w:val="20"/>
          <w:szCs w:val="20"/>
          <w:lang w:val="es-DO"/>
        </w:rPr>
        <w:t>Acevedo Buendía y otros</w:t>
      </w:r>
      <w:r w:rsidRPr="000864AE">
        <w:rPr>
          <w:rFonts w:ascii="Verdana" w:hAnsi="Verdana"/>
          <w:sz w:val="20"/>
          <w:szCs w:val="20"/>
          <w:lang w:val="es-DO"/>
        </w:rPr>
        <w:t xml:space="preserve"> </w:t>
      </w:r>
      <w:r w:rsidRPr="000864AE">
        <w:rPr>
          <w:rFonts w:ascii="Verdana" w:hAnsi="Verdana"/>
          <w:i/>
          <w:sz w:val="20"/>
          <w:szCs w:val="20"/>
          <w:lang w:val="es-DO"/>
        </w:rPr>
        <w:t>Vs. Perú</w:t>
      </w:r>
      <w:r w:rsidRPr="000864AE">
        <w:rPr>
          <w:rFonts w:ascii="Verdana" w:hAnsi="Verdana"/>
          <w:sz w:val="20"/>
          <w:szCs w:val="20"/>
          <w:lang w:val="es-DO"/>
        </w:rPr>
        <w:t xml:space="preserve"> constituyen litigios distintos que no pueden ser aplicados al presente caso de forma automática para imputar y concluir la existencia de responsabilidad internacional estatal.</w:t>
      </w:r>
    </w:p>
    <w:p w14:paraId="3590ACE6" w14:textId="77777777" w:rsidR="00B616A3" w:rsidRPr="000864AE" w:rsidRDefault="00B616A3" w:rsidP="000864AE">
      <w:pPr>
        <w:tabs>
          <w:tab w:val="left" w:pos="709"/>
        </w:tabs>
        <w:spacing w:after="0" w:line="240" w:lineRule="auto"/>
        <w:jc w:val="both"/>
        <w:rPr>
          <w:rFonts w:ascii="Verdana" w:hAnsi="Verdana"/>
          <w:sz w:val="20"/>
          <w:szCs w:val="20"/>
          <w:lang w:val="es-DO"/>
        </w:rPr>
      </w:pPr>
    </w:p>
    <w:p w14:paraId="0A45BEB6" w14:textId="7AD338D7" w:rsidR="00B616A3" w:rsidRPr="000864AE" w:rsidRDefault="00585FFF" w:rsidP="000864AE">
      <w:pPr>
        <w:pStyle w:val="Prrafodelista"/>
        <w:tabs>
          <w:tab w:val="left" w:pos="709"/>
        </w:tabs>
        <w:spacing w:after="0" w:line="240" w:lineRule="auto"/>
        <w:ind w:left="1065"/>
        <w:jc w:val="both"/>
        <w:rPr>
          <w:rFonts w:ascii="Verdana" w:hAnsi="Verdana"/>
          <w:b/>
          <w:i/>
          <w:sz w:val="20"/>
          <w:szCs w:val="20"/>
          <w:lang w:val="es-DO"/>
        </w:rPr>
      </w:pPr>
      <w:r w:rsidRPr="000864AE">
        <w:rPr>
          <w:rFonts w:ascii="Verdana" w:hAnsi="Verdana"/>
          <w:b/>
          <w:i/>
          <w:sz w:val="20"/>
          <w:szCs w:val="20"/>
          <w:lang w:val="es-DO"/>
        </w:rPr>
        <w:tab/>
      </w:r>
      <w:r w:rsidR="00010024" w:rsidRPr="000864AE">
        <w:rPr>
          <w:rFonts w:ascii="Verdana" w:hAnsi="Verdana"/>
          <w:b/>
          <w:i/>
          <w:sz w:val="20"/>
          <w:szCs w:val="20"/>
          <w:lang w:val="es-DO"/>
        </w:rPr>
        <w:t>D</w:t>
      </w:r>
      <w:r w:rsidRPr="000864AE">
        <w:rPr>
          <w:rFonts w:ascii="Verdana" w:hAnsi="Verdana"/>
          <w:b/>
          <w:i/>
          <w:sz w:val="20"/>
          <w:szCs w:val="20"/>
          <w:lang w:val="es-DO"/>
        </w:rPr>
        <w:t xml:space="preserve">.2. </w:t>
      </w:r>
      <w:r w:rsidR="00B616A3" w:rsidRPr="000864AE">
        <w:rPr>
          <w:rFonts w:ascii="Verdana" w:hAnsi="Verdana"/>
          <w:b/>
          <w:i/>
          <w:sz w:val="20"/>
          <w:szCs w:val="20"/>
          <w:lang w:val="es-DO"/>
        </w:rPr>
        <w:t>Consideraciones de la Corte</w:t>
      </w:r>
    </w:p>
    <w:p w14:paraId="30B206B6" w14:textId="77777777" w:rsidR="00B616A3" w:rsidRPr="000864AE" w:rsidRDefault="00B616A3" w:rsidP="000864AE">
      <w:pPr>
        <w:tabs>
          <w:tab w:val="left" w:pos="709"/>
        </w:tabs>
        <w:spacing w:after="0" w:line="240" w:lineRule="auto"/>
        <w:jc w:val="both"/>
        <w:rPr>
          <w:rFonts w:ascii="Verdana" w:hAnsi="Verdana"/>
          <w:sz w:val="20"/>
          <w:szCs w:val="20"/>
          <w:lang w:val="es-DO"/>
        </w:rPr>
      </w:pPr>
    </w:p>
    <w:p w14:paraId="04F3A31E" w14:textId="77777777" w:rsidR="00655238" w:rsidRPr="000864AE" w:rsidRDefault="00B616A3"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Verdana"/>
          <w:sz w:val="20"/>
          <w:szCs w:val="20"/>
          <w:lang w:val="es-CR"/>
        </w:rPr>
        <w:t xml:space="preserve">La Corte ha señalado que el artículo 2 de la Convención contempla el deber general de los Estados Partes de adecuar su </w:t>
      </w:r>
      <w:r w:rsidRPr="000864AE">
        <w:rPr>
          <w:rFonts w:ascii="Verdana" w:hAnsi="Verdana"/>
          <w:sz w:val="20"/>
          <w:szCs w:val="20"/>
          <w:lang w:val="es-CR"/>
        </w:rPr>
        <w:t>derecho</w:t>
      </w:r>
      <w:r w:rsidRPr="000864AE">
        <w:rPr>
          <w:rFonts w:ascii="Verdana" w:hAnsi="Verdana" w:cs="Verdana"/>
          <w:sz w:val="20"/>
          <w:szCs w:val="20"/>
          <w:lang w:val="es-CR"/>
        </w:rPr>
        <w:t xml:space="preserve"> interno a las disposiciones de la misma para garantizar los derechos en ella </w:t>
      </w:r>
      <w:r w:rsidRPr="000864AE">
        <w:rPr>
          <w:rFonts w:ascii="Verdana" w:hAnsi="Verdana"/>
          <w:sz w:val="20"/>
          <w:szCs w:val="20"/>
          <w:lang w:val="es-CR"/>
        </w:rPr>
        <w:t>consagrados</w:t>
      </w:r>
      <w:r w:rsidRPr="000864AE">
        <w:rPr>
          <w:rFonts w:ascii="Verdana" w:hAnsi="Verdana" w:cs="Verdana"/>
          <w:sz w:val="20"/>
          <w:szCs w:val="20"/>
          <w:lang w:val="es-CR"/>
        </w:rPr>
        <w:t>. Este deber implica la adopción de medidas en dos vertientes. Por una parte, la supresión de las normas y prácticas de cualquier naturaleza que entrañen violación a las garantías previstas en la Convención. Por otra, la expedición de normas y el desarrollo de prácticas conducentes a la efectiva observancia de dichas garantías</w:t>
      </w:r>
      <w:r w:rsidRPr="000864AE">
        <w:rPr>
          <w:rFonts w:ascii="Verdana" w:eastAsiaTheme="majorEastAsia" w:hAnsi="Verdana"/>
          <w:vertAlign w:val="superscript"/>
          <w:lang w:val="es-CR"/>
        </w:rPr>
        <w:footnoteReference w:id="294"/>
      </w:r>
      <w:r w:rsidRPr="000864AE">
        <w:rPr>
          <w:rFonts w:ascii="Verdana" w:hAnsi="Verdana" w:cs="Verdana"/>
          <w:sz w:val="20"/>
          <w:szCs w:val="20"/>
          <w:lang w:val="es-CR"/>
        </w:rPr>
        <w:t xml:space="preserve">. </w:t>
      </w:r>
      <w:r w:rsidRPr="000864AE">
        <w:rPr>
          <w:rFonts w:ascii="Verdana" w:hAnsi="Verdana"/>
          <w:sz w:val="20"/>
          <w:szCs w:val="20"/>
        </w:rPr>
        <w:t>Precisamente, respecto a la adopción de dichas medidas, esta Corte ha reconocido que todas las autoridades de un Estado Parte en la Convención tienen la obligación de ejercer un control de convencionalidad</w:t>
      </w:r>
      <w:r w:rsidRPr="000864AE">
        <w:rPr>
          <w:rStyle w:val="Refdenotaalpie"/>
          <w:rFonts w:ascii="Verdana" w:hAnsi="Verdana" w:cs="Arial"/>
          <w:sz w:val="20"/>
          <w:szCs w:val="20"/>
        </w:rPr>
        <w:footnoteReference w:id="295"/>
      </w:r>
      <w:r w:rsidRPr="000864AE">
        <w:rPr>
          <w:rFonts w:ascii="Verdana" w:hAnsi="Verdana"/>
          <w:sz w:val="20"/>
          <w:szCs w:val="20"/>
        </w:rPr>
        <w:t>, de forma tal que la interpretación y aplicación del derecho nacional sea consistente con las obligaciones internacionales del Estado en materia de derechos humanos</w:t>
      </w:r>
      <w:r w:rsidRPr="000864AE">
        <w:rPr>
          <w:rStyle w:val="Refdenotaalpie"/>
          <w:rFonts w:ascii="Verdana" w:hAnsi="Verdana"/>
          <w:sz w:val="20"/>
          <w:szCs w:val="20"/>
        </w:rPr>
        <w:footnoteReference w:id="296"/>
      </w:r>
      <w:r w:rsidRPr="000864AE">
        <w:rPr>
          <w:rFonts w:ascii="Verdana" w:hAnsi="Verdana"/>
          <w:sz w:val="20"/>
          <w:szCs w:val="20"/>
        </w:rPr>
        <w:t>.</w:t>
      </w:r>
    </w:p>
    <w:p w14:paraId="13E4D317"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7FB09F65" w14:textId="5F2F4C8F" w:rsidR="00655238" w:rsidRPr="000864AE" w:rsidRDefault="00B616A3"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Verdana"/>
          <w:sz w:val="20"/>
          <w:szCs w:val="20"/>
          <w:lang w:val="es-CR"/>
        </w:rPr>
        <w:t xml:space="preserve">La Corte nota, como ya lo señaló en la presente Sentencia, que el Estado violó los derechos humanos reconocidos en los artículos </w:t>
      </w:r>
      <w:r w:rsidR="00010024" w:rsidRPr="000864AE">
        <w:rPr>
          <w:rFonts w:ascii="Verdana" w:hAnsi="Verdana" w:cs="Verdana"/>
          <w:sz w:val="20"/>
          <w:szCs w:val="20"/>
          <w:lang w:val="es-CR"/>
        </w:rPr>
        <w:t>25, 8</w:t>
      </w:r>
      <w:r w:rsidR="00953A15" w:rsidRPr="000864AE">
        <w:rPr>
          <w:rFonts w:ascii="Verdana" w:hAnsi="Verdana" w:cs="Verdana"/>
          <w:sz w:val="20"/>
          <w:szCs w:val="20"/>
          <w:lang w:val="es-CR"/>
        </w:rPr>
        <w:t xml:space="preserve">, </w:t>
      </w:r>
      <w:r w:rsidRPr="000864AE">
        <w:rPr>
          <w:rFonts w:ascii="Verdana" w:hAnsi="Verdana" w:cs="Verdana"/>
          <w:sz w:val="20"/>
          <w:szCs w:val="20"/>
          <w:lang w:val="es-CR"/>
        </w:rPr>
        <w:t>26</w:t>
      </w:r>
      <w:r w:rsidR="00953A15" w:rsidRPr="000864AE">
        <w:rPr>
          <w:rFonts w:ascii="Verdana" w:hAnsi="Verdana" w:cs="Verdana"/>
          <w:sz w:val="20"/>
          <w:szCs w:val="20"/>
          <w:lang w:val="es-CR"/>
        </w:rPr>
        <w:t>, 4.1 y 21</w:t>
      </w:r>
      <w:r w:rsidRPr="000864AE">
        <w:rPr>
          <w:rFonts w:ascii="Verdana" w:hAnsi="Verdana" w:cs="Verdana"/>
          <w:sz w:val="20"/>
          <w:szCs w:val="20"/>
          <w:lang w:val="es-CR"/>
        </w:rPr>
        <w:t xml:space="preserve"> de la Convención, en perjuicio de las personas listadas en el Anexo 2 de la Sentencia, como resultado de la falta de ejecución de la sentencia de 25 de octubre de 1993 y los efectos que esto tuvo en </w:t>
      </w:r>
      <w:r w:rsidR="00953A15" w:rsidRPr="000864AE">
        <w:rPr>
          <w:rFonts w:ascii="Verdana" w:hAnsi="Verdana" w:cs="Verdana"/>
          <w:sz w:val="20"/>
          <w:szCs w:val="20"/>
          <w:lang w:val="es-CR"/>
        </w:rPr>
        <w:t>los derechos</w:t>
      </w:r>
      <w:r w:rsidR="008853EA" w:rsidRPr="000864AE">
        <w:rPr>
          <w:rFonts w:ascii="Verdana" w:hAnsi="Verdana" w:cs="Verdana"/>
          <w:sz w:val="20"/>
          <w:szCs w:val="20"/>
          <w:lang w:val="es-CR"/>
        </w:rPr>
        <w:t xml:space="preserve"> a la seguridad social</w:t>
      </w:r>
      <w:r w:rsidR="00953A15" w:rsidRPr="000864AE">
        <w:rPr>
          <w:rFonts w:ascii="Verdana" w:hAnsi="Verdana" w:cs="Verdana"/>
          <w:sz w:val="20"/>
          <w:szCs w:val="20"/>
          <w:lang w:val="es-CR"/>
        </w:rPr>
        <w:t>, la vida digna y la propiedad</w:t>
      </w:r>
      <w:r w:rsidRPr="000864AE">
        <w:rPr>
          <w:rFonts w:ascii="Verdana" w:hAnsi="Verdana" w:cs="Verdana"/>
          <w:sz w:val="20"/>
          <w:szCs w:val="20"/>
          <w:lang w:val="es-CR"/>
        </w:rPr>
        <w:t xml:space="preserve">. En ese sentido, la Corte advierte la similitud entre el presente caso y otros ya decididos con anterioridad por este Tribunal en los casos de </w:t>
      </w:r>
      <w:r w:rsidRPr="000864AE">
        <w:rPr>
          <w:rFonts w:ascii="Verdana" w:hAnsi="Verdana" w:cs="Verdana"/>
          <w:i/>
          <w:sz w:val="20"/>
          <w:szCs w:val="20"/>
          <w:lang w:val="es-CR"/>
        </w:rPr>
        <w:t>Cinco Pensionistas Vs. Perú</w:t>
      </w:r>
      <w:r w:rsidRPr="000864AE">
        <w:rPr>
          <w:rFonts w:ascii="Verdana" w:hAnsi="Verdana" w:cs="Verdana"/>
          <w:sz w:val="20"/>
          <w:szCs w:val="20"/>
          <w:lang w:val="es-CR"/>
        </w:rPr>
        <w:t xml:space="preserve">, </w:t>
      </w:r>
      <w:r w:rsidRPr="000864AE">
        <w:rPr>
          <w:rFonts w:ascii="Verdana" w:hAnsi="Verdana" w:cs="Verdana"/>
          <w:i/>
          <w:sz w:val="20"/>
          <w:szCs w:val="20"/>
          <w:lang w:val="es-CR"/>
        </w:rPr>
        <w:t xml:space="preserve">Acevedo Buendía Vs. Perú </w:t>
      </w:r>
      <w:r w:rsidRPr="000864AE">
        <w:rPr>
          <w:rFonts w:ascii="Verdana" w:hAnsi="Verdana" w:cs="Verdana"/>
          <w:sz w:val="20"/>
          <w:szCs w:val="20"/>
          <w:lang w:val="es-CR"/>
        </w:rPr>
        <w:t xml:space="preserve">y </w:t>
      </w:r>
      <w:r w:rsidRPr="000864AE">
        <w:rPr>
          <w:rFonts w:ascii="Verdana" w:hAnsi="Verdana" w:cs="Verdana"/>
          <w:i/>
          <w:sz w:val="20"/>
          <w:szCs w:val="20"/>
          <w:lang w:val="es-CR"/>
        </w:rPr>
        <w:t xml:space="preserve">Muelle Flores Vs. Perú. </w:t>
      </w:r>
      <w:r w:rsidRPr="000864AE">
        <w:rPr>
          <w:rFonts w:ascii="Verdana" w:hAnsi="Verdana" w:cs="Verdana"/>
          <w:sz w:val="20"/>
          <w:szCs w:val="20"/>
          <w:lang w:val="es-CR"/>
        </w:rPr>
        <w:t xml:space="preserve">En efecto, en dichos casos se </w:t>
      </w:r>
      <w:r w:rsidR="00CC56B0" w:rsidRPr="000864AE">
        <w:rPr>
          <w:rFonts w:ascii="Verdana" w:hAnsi="Verdana" w:cs="Verdana"/>
          <w:sz w:val="20"/>
          <w:szCs w:val="20"/>
          <w:lang w:val="es-CR"/>
        </w:rPr>
        <w:t>verificó la existencia de</w:t>
      </w:r>
      <w:r w:rsidRPr="000864AE">
        <w:rPr>
          <w:rFonts w:ascii="Verdana" w:hAnsi="Verdana" w:cs="Verdana"/>
          <w:sz w:val="20"/>
          <w:szCs w:val="20"/>
          <w:lang w:val="es-CR"/>
        </w:rPr>
        <w:t xml:space="preserve"> un incumplimiento de sentencias a favor de personas cuyos derechos pensionarios habían sido reconocidos en virtud de una decisión judicial que no habría sido ejecutada en los términos del artículo 25.2.c de la Convención Americana</w:t>
      </w:r>
      <w:r w:rsidRPr="000864AE">
        <w:rPr>
          <w:rStyle w:val="Refdenotaalpie"/>
          <w:rFonts w:ascii="Verdana" w:hAnsi="Verdana" w:cs="Verdana"/>
          <w:sz w:val="20"/>
          <w:szCs w:val="20"/>
          <w:lang w:val="es-CR"/>
        </w:rPr>
        <w:footnoteReference w:id="297"/>
      </w:r>
      <w:r w:rsidRPr="000864AE">
        <w:rPr>
          <w:rFonts w:ascii="Verdana" w:hAnsi="Verdana" w:cs="Verdana"/>
          <w:sz w:val="20"/>
          <w:szCs w:val="20"/>
          <w:lang w:val="es-CR"/>
        </w:rPr>
        <w:t>. En ese sentido, la Comisión y los representantes alegaron la existencia de una problemática estructural en Perú en materia de cumplimiento de fallos judiciales análogos al presente caso, lo cual constituyó un incumplimiento de las obligaciones del Estado previstas en el artículo 2 de la Convención.</w:t>
      </w:r>
    </w:p>
    <w:p w14:paraId="5DC1FBCE"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1D5C271F" w14:textId="0DD09387" w:rsidR="00655238" w:rsidRPr="000864AE" w:rsidRDefault="00953A15"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eastAsia="Cambria" w:hAnsi="Verdana" w:cs="Cambria"/>
          <w:color w:val="000000"/>
          <w:sz w:val="20"/>
          <w:szCs w:val="20"/>
          <w:u w:color="000000"/>
          <w:lang w:eastAsia="es-ES"/>
        </w:rPr>
        <w:t>Al respecto</w:t>
      </w:r>
      <w:r w:rsidR="00B616A3" w:rsidRPr="000864AE">
        <w:rPr>
          <w:rFonts w:ascii="Verdana" w:eastAsia="Cambria" w:hAnsi="Verdana" w:cs="Cambria"/>
          <w:color w:val="000000"/>
          <w:sz w:val="20"/>
          <w:szCs w:val="20"/>
          <w:u w:color="000000"/>
          <w:lang w:eastAsia="es-ES"/>
        </w:rPr>
        <w:t xml:space="preserve">, la Corte </w:t>
      </w:r>
      <w:r w:rsidR="00CC56B0" w:rsidRPr="000864AE">
        <w:rPr>
          <w:rFonts w:ascii="Verdana" w:eastAsia="Cambria" w:hAnsi="Verdana" w:cs="Cambria"/>
          <w:color w:val="000000"/>
          <w:sz w:val="20"/>
          <w:szCs w:val="20"/>
          <w:u w:color="000000"/>
          <w:lang w:eastAsia="es-ES"/>
        </w:rPr>
        <w:t>destaca</w:t>
      </w:r>
      <w:r w:rsidR="00B616A3" w:rsidRPr="000864AE">
        <w:rPr>
          <w:rFonts w:ascii="Verdana" w:eastAsia="Cambria" w:hAnsi="Verdana" w:cs="Cambria"/>
          <w:color w:val="000000"/>
          <w:sz w:val="20"/>
          <w:szCs w:val="20"/>
          <w:u w:color="000000"/>
          <w:lang w:eastAsia="es-ES"/>
        </w:rPr>
        <w:t xml:space="preserve"> que el objeto central de la controversia en el caso constituyó el análisis sobre la alegada violación a los derechos a las garantías judiciales y la protección judicial por la inejecución de la sentencia judicial de la Corte Suprema de octubre de 1993 </w:t>
      </w:r>
      <w:r w:rsidR="00CC56B0" w:rsidRPr="000864AE">
        <w:rPr>
          <w:rFonts w:ascii="Verdana" w:eastAsia="Cambria" w:hAnsi="Verdana" w:cs="Cambria"/>
          <w:color w:val="000000"/>
          <w:sz w:val="20"/>
          <w:szCs w:val="20"/>
          <w:u w:color="000000"/>
          <w:lang w:eastAsia="es-ES"/>
        </w:rPr>
        <w:t>en relación con las presuntas víctimas del caso</w:t>
      </w:r>
      <w:r w:rsidR="00A7462B" w:rsidRPr="000864AE">
        <w:rPr>
          <w:rFonts w:ascii="Verdana" w:eastAsia="Cambria" w:hAnsi="Verdana" w:cs="Cambria"/>
          <w:color w:val="000000"/>
          <w:sz w:val="20"/>
          <w:szCs w:val="20"/>
          <w:u w:color="000000"/>
          <w:lang w:eastAsia="es-ES"/>
        </w:rPr>
        <w:t>, así como la posible afectación a otros derechos</w:t>
      </w:r>
      <w:r w:rsidR="00B616A3" w:rsidRPr="000864AE">
        <w:rPr>
          <w:rFonts w:ascii="Verdana" w:eastAsia="Cambria" w:hAnsi="Verdana" w:cs="Cambria"/>
          <w:color w:val="000000"/>
          <w:sz w:val="20"/>
          <w:szCs w:val="20"/>
          <w:u w:color="000000"/>
          <w:lang w:eastAsia="es-ES"/>
        </w:rPr>
        <w:t xml:space="preserve">. Asimismo, la Corte recuerda que el marco fáctico </w:t>
      </w:r>
      <w:r w:rsidR="006A566E" w:rsidRPr="000864AE">
        <w:rPr>
          <w:rFonts w:ascii="Verdana" w:eastAsia="Cambria" w:hAnsi="Verdana" w:cs="Cambria"/>
          <w:color w:val="000000"/>
          <w:sz w:val="20"/>
          <w:szCs w:val="20"/>
          <w:u w:color="000000"/>
          <w:lang w:eastAsia="es-ES"/>
        </w:rPr>
        <w:t>de este caso</w:t>
      </w:r>
      <w:r w:rsidR="00284E87" w:rsidRPr="000864AE">
        <w:rPr>
          <w:rFonts w:ascii="Verdana" w:eastAsia="Cambria" w:hAnsi="Verdana" w:cs="Cambria"/>
          <w:color w:val="000000"/>
          <w:sz w:val="20"/>
          <w:szCs w:val="20"/>
          <w:u w:color="000000"/>
          <w:lang w:eastAsia="es-ES"/>
        </w:rPr>
        <w:t xml:space="preserve"> </w:t>
      </w:r>
      <w:r w:rsidR="00B616A3" w:rsidRPr="000864AE">
        <w:rPr>
          <w:rFonts w:ascii="Verdana" w:eastAsia="Cambria" w:hAnsi="Verdana" w:cs="Cambria"/>
          <w:color w:val="000000"/>
          <w:sz w:val="20"/>
          <w:szCs w:val="20"/>
          <w:u w:color="000000"/>
          <w:lang w:eastAsia="es-ES"/>
        </w:rPr>
        <w:t>se encuentra constituido por los hechos contenidos en el Informe de Fondo, y considera que las afirmaciones hechas por la Comisión acerca de que “</w:t>
      </w:r>
      <w:r w:rsidR="00010024" w:rsidRPr="000864AE">
        <w:rPr>
          <w:rFonts w:ascii="Verdana" w:eastAsia="Cambria" w:hAnsi="Verdana" w:cs="Cambria"/>
          <w:color w:val="000000"/>
          <w:sz w:val="20"/>
          <w:szCs w:val="20"/>
          <w:u w:color="000000"/>
          <w:lang w:eastAsia="es-ES"/>
        </w:rPr>
        <w:t xml:space="preserve">(…) </w:t>
      </w:r>
      <w:r w:rsidR="00B616A3" w:rsidRPr="000864AE">
        <w:rPr>
          <w:rFonts w:ascii="Verdana" w:eastAsia="Cambria" w:hAnsi="Verdana" w:cs="Cambria"/>
          <w:color w:val="000000"/>
          <w:sz w:val="20"/>
          <w:szCs w:val="20"/>
          <w:u w:color="000000"/>
          <w:lang w:eastAsia="es-ES"/>
        </w:rPr>
        <w:t xml:space="preserve">el incumplimiento de las sentencias por parte del Estado peruano en contra de entidades estatales desde la década de 1990 trasciende la situación individual de las presuntas víctimas del presente caso y hace parte de un contexto más general” </w:t>
      </w:r>
      <w:r w:rsidR="00010024" w:rsidRPr="000864AE">
        <w:rPr>
          <w:rFonts w:ascii="Verdana" w:eastAsia="Cambria" w:hAnsi="Verdana" w:cs="Cambria"/>
          <w:color w:val="000000"/>
          <w:sz w:val="20"/>
          <w:szCs w:val="20"/>
          <w:u w:color="000000"/>
          <w:lang w:eastAsia="es-ES"/>
        </w:rPr>
        <w:t>son</w:t>
      </w:r>
      <w:r w:rsidR="00B616A3" w:rsidRPr="000864AE">
        <w:rPr>
          <w:rFonts w:ascii="Verdana" w:eastAsia="Cambria" w:hAnsi="Verdana" w:cs="Cambria"/>
          <w:color w:val="000000"/>
          <w:sz w:val="20"/>
          <w:szCs w:val="20"/>
          <w:u w:color="000000"/>
          <w:lang w:eastAsia="es-ES"/>
        </w:rPr>
        <w:t xml:space="preserve"> hechos relevantes “para situar los hechos alegados como violatorios de [derechos humanos] en el marco de las circunstancias específicas en que ocurrieron”</w:t>
      </w:r>
      <w:r w:rsidR="00B616A3" w:rsidRPr="000864AE">
        <w:rPr>
          <w:rFonts w:ascii="Verdana" w:hAnsi="Verdana"/>
          <w:u w:color="000000"/>
          <w:vertAlign w:val="superscript"/>
          <w:lang w:eastAsia="es-ES"/>
        </w:rPr>
        <w:footnoteReference w:id="298"/>
      </w:r>
      <w:r w:rsidR="00CC56B0" w:rsidRPr="000864AE">
        <w:rPr>
          <w:rFonts w:ascii="Verdana" w:eastAsia="Cambria" w:hAnsi="Verdana" w:cs="Cambria"/>
          <w:color w:val="000000"/>
          <w:sz w:val="20"/>
          <w:szCs w:val="20"/>
          <w:u w:color="000000"/>
          <w:lang w:eastAsia="es-ES"/>
        </w:rPr>
        <w:t>, pero no para realizar una violación autónoma a los derechos reconocidos en la Convención</w:t>
      </w:r>
      <w:r w:rsidR="00B616A3" w:rsidRPr="000864AE">
        <w:rPr>
          <w:rFonts w:ascii="Verdana" w:eastAsia="Cambria" w:hAnsi="Verdana" w:cs="Cambria"/>
          <w:color w:val="000000"/>
          <w:sz w:val="20"/>
          <w:szCs w:val="20"/>
          <w:u w:color="000000"/>
          <w:lang w:eastAsia="es-ES"/>
        </w:rPr>
        <w:t>.</w:t>
      </w:r>
    </w:p>
    <w:p w14:paraId="1B9A47ED" w14:textId="77777777" w:rsidR="00655238" w:rsidRPr="000864AE" w:rsidRDefault="00655238" w:rsidP="000864AE">
      <w:pPr>
        <w:pStyle w:val="Prrafodelista"/>
        <w:rPr>
          <w:rFonts w:ascii="Verdana" w:eastAsia="Verdana" w:hAnsi="Verdana" w:cs="Verdana"/>
          <w:sz w:val="20"/>
          <w:szCs w:val="20"/>
          <w:lang w:val="es-DO"/>
        </w:rPr>
      </w:pPr>
    </w:p>
    <w:p w14:paraId="4E68612B" w14:textId="3A0501EE" w:rsidR="00655238" w:rsidRPr="000864AE" w:rsidRDefault="00A7462B"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eastAsia="Verdana" w:hAnsi="Verdana" w:cs="Verdana"/>
          <w:sz w:val="20"/>
          <w:szCs w:val="20"/>
          <w:lang w:val="es-DO"/>
        </w:rPr>
        <w:t>Asimismo</w:t>
      </w:r>
      <w:r w:rsidRPr="000864AE">
        <w:rPr>
          <w:rFonts w:ascii="Verdana" w:eastAsia="Verdana" w:hAnsi="Verdana" w:cs="Verdana"/>
          <w:sz w:val="20"/>
          <w:szCs w:val="20"/>
          <w:lang w:val="es-CR"/>
        </w:rPr>
        <w:t xml:space="preserve">, la Corte advierte que los representantes no formularon argumentos concretos sobre cómo el marco jurídico interno impidió la ejecución de sentencias en el ámbito interno para las </w:t>
      </w:r>
      <w:r w:rsidR="00010024" w:rsidRPr="000864AE">
        <w:rPr>
          <w:rFonts w:ascii="Verdana" w:eastAsia="Verdana" w:hAnsi="Verdana" w:cs="Verdana"/>
          <w:sz w:val="20"/>
          <w:szCs w:val="20"/>
          <w:lang w:val="es-CR"/>
        </w:rPr>
        <w:t xml:space="preserve">presuntas </w:t>
      </w:r>
      <w:r w:rsidRPr="000864AE">
        <w:rPr>
          <w:rFonts w:ascii="Verdana" w:eastAsia="Verdana" w:hAnsi="Verdana" w:cs="Verdana"/>
          <w:sz w:val="20"/>
          <w:szCs w:val="20"/>
          <w:lang w:val="es-CR"/>
        </w:rPr>
        <w:t>víctimas del presente caso o de otros casos. Tampoco se desprende del acervo probatorio que dicha violación haya ocurrido. Por tanto, el Tribunal considera que no existen elementos suficientes a efectos de determinar si estas normas constituyeron una violación al artículo 2 de la Convención. En este mismo sentido, la Corte constata que el Estado ha adoptado una serie de leyes dirigidas a compatibilizar “el pago de sentencias con el principio de justicia y legalidad presupuestaria” así como la modificación de leyes y normas de rango inferior “referidas al cumplimiento de sentencias y fallos judiciales”</w:t>
      </w:r>
      <w:r w:rsidR="00585FFF" w:rsidRPr="000864AE">
        <w:rPr>
          <w:rFonts w:ascii="Verdana" w:eastAsia="Verdana" w:hAnsi="Verdana" w:cs="Verdana"/>
          <w:sz w:val="20"/>
          <w:szCs w:val="20"/>
          <w:lang w:val="es-CR"/>
        </w:rPr>
        <w:t>.</w:t>
      </w:r>
      <w:r w:rsidRPr="000864AE">
        <w:rPr>
          <w:rFonts w:ascii="Verdana" w:eastAsia="Verdana" w:hAnsi="Verdana" w:cs="Verdana"/>
          <w:sz w:val="20"/>
          <w:szCs w:val="20"/>
          <w:lang w:val="es-DO"/>
        </w:rPr>
        <w:t xml:space="preserve"> </w:t>
      </w:r>
      <w:r w:rsidR="00585FFF" w:rsidRPr="000864AE">
        <w:rPr>
          <w:rFonts w:ascii="Verdana" w:eastAsia="Verdana" w:hAnsi="Verdana" w:cs="Verdana"/>
          <w:sz w:val="20"/>
          <w:szCs w:val="20"/>
          <w:lang w:val="es-DO"/>
        </w:rPr>
        <w:t xml:space="preserve">Dichas normas no fueron objetadas por los representantes. Al respecto, </w:t>
      </w:r>
      <w:r w:rsidR="00585FFF" w:rsidRPr="000864AE">
        <w:rPr>
          <w:rFonts w:ascii="Verdana" w:eastAsia="Verdana" w:hAnsi="Verdana" w:cs="Verdana"/>
          <w:sz w:val="20"/>
          <w:szCs w:val="20"/>
          <w:lang w:val="es-CR"/>
        </w:rPr>
        <w:t>la</w:t>
      </w:r>
      <w:r w:rsidRPr="000864AE">
        <w:rPr>
          <w:rFonts w:ascii="Verdana" w:eastAsia="Verdana" w:hAnsi="Verdana" w:cs="Verdana"/>
          <w:sz w:val="20"/>
          <w:szCs w:val="20"/>
          <w:lang w:val="es-CR"/>
        </w:rPr>
        <w:t xml:space="preserve"> Corte recuerda que “[l]a competencia contenciosa de la Corte no tiene por objeto la revisión de las legislaciones nacionales en abstracto, sino que es ejercida para resolver casos concretos en que se alegue que un acto [u omisión] del Estado, ejecutado contra personas determinadas, es contrario a la Convención”</w:t>
      </w:r>
      <w:r w:rsidRPr="000864AE">
        <w:rPr>
          <w:rStyle w:val="Refdenotaalpie"/>
          <w:rFonts w:ascii="Verdana" w:eastAsia="Verdana" w:hAnsi="Verdana" w:cs="Verdana"/>
          <w:lang w:val="es-CR"/>
        </w:rPr>
        <w:footnoteReference w:id="299"/>
      </w:r>
      <w:r w:rsidRPr="000864AE">
        <w:rPr>
          <w:rFonts w:ascii="Verdana" w:eastAsia="Verdana" w:hAnsi="Verdana" w:cs="Verdana"/>
          <w:sz w:val="20"/>
          <w:szCs w:val="20"/>
          <w:lang w:val="es-CR"/>
        </w:rPr>
        <w:t xml:space="preserve">. </w:t>
      </w:r>
    </w:p>
    <w:p w14:paraId="0BE95885"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11D44DD9" w14:textId="4857D1C1" w:rsidR="00B616A3" w:rsidRPr="000864AE" w:rsidRDefault="00B616A3"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eastAsia="Cambria" w:hAnsi="Verdana" w:cs="Cambria"/>
          <w:color w:val="000000"/>
          <w:sz w:val="20"/>
          <w:szCs w:val="20"/>
          <w:u w:color="000000"/>
          <w:lang w:eastAsia="es-ES"/>
        </w:rPr>
        <w:t xml:space="preserve">En razón de lo anterior, los hechos </w:t>
      </w:r>
      <w:r w:rsidR="00010024" w:rsidRPr="000864AE">
        <w:rPr>
          <w:rFonts w:ascii="Verdana" w:eastAsia="Cambria" w:hAnsi="Verdana" w:cs="Cambria"/>
          <w:color w:val="000000"/>
          <w:sz w:val="20"/>
          <w:szCs w:val="20"/>
          <w:u w:color="000000"/>
          <w:lang w:eastAsia="es-ES"/>
        </w:rPr>
        <w:t>examinados</w:t>
      </w:r>
      <w:r w:rsidRPr="000864AE">
        <w:rPr>
          <w:rFonts w:ascii="Verdana" w:eastAsia="Cambria" w:hAnsi="Verdana" w:cs="Cambria"/>
          <w:color w:val="000000"/>
          <w:sz w:val="20"/>
          <w:szCs w:val="20"/>
          <w:u w:color="000000"/>
          <w:lang w:eastAsia="es-ES"/>
        </w:rPr>
        <w:t xml:space="preserve"> por esta Corte en otros casos similares al presente</w:t>
      </w:r>
      <w:r w:rsidR="00B85254" w:rsidRPr="000864AE">
        <w:rPr>
          <w:rFonts w:ascii="Verdana" w:eastAsia="Cambria" w:hAnsi="Verdana" w:cs="Cambria"/>
          <w:color w:val="000000"/>
          <w:sz w:val="20"/>
          <w:szCs w:val="20"/>
          <w:u w:color="000000"/>
          <w:lang w:eastAsia="es-ES"/>
        </w:rPr>
        <w:t xml:space="preserve"> </w:t>
      </w:r>
      <w:r w:rsidRPr="000864AE">
        <w:rPr>
          <w:rFonts w:ascii="Verdana" w:eastAsia="Cambria" w:hAnsi="Verdana" w:cs="Cambria"/>
          <w:color w:val="000000"/>
          <w:sz w:val="20"/>
          <w:szCs w:val="20"/>
          <w:u w:color="000000"/>
          <w:lang w:eastAsia="es-ES"/>
        </w:rPr>
        <w:t xml:space="preserve">no pueden ser analizados de manera autónoma sobre la base del artículo 2 de la Convención en el presente caso. </w:t>
      </w:r>
      <w:r w:rsidR="00CC56B0" w:rsidRPr="000864AE">
        <w:rPr>
          <w:rFonts w:ascii="Verdana" w:eastAsia="Cambria" w:hAnsi="Verdana" w:cs="Cambria"/>
          <w:color w:val="000000"/>
          <w:sz w:val="20"/>
          <w:szCs w:val="20"/>
          <w:u w:color="000000"/>
          <w:lang w:eastAsia="es-ES"/>
        </w:rPr>
        <w:t xml:space="preserve">Asimismo, la Corte advierte que no fueron formulados argumentos que permitan determinar aquellas normas o prácticas a nivel interno que sean la causa de la falta de ejecución de sentencias en materia pensionaria. </w:t>
      </w:r>
      <w:r w:rsidRPr="000864AE">
        <w:rPr>
          <w:rFonts w:ascii="Verdana" w:eastAsia="Cambria" w:hAnsi="Verdana" w:cs="Cambria"/>
          <w:color w:val="000000"/>
          <w:sz w:val="20"/>
          <w:szCs w:val="20"/>
          <w:u w:color="000000"/>
          <w:lang w:eastAsia="es-ES"/>
        </w:rPr>
        <w:t>Adicionalmente, la Corte advierte que el Estado ha adoptado una serie de leyes dirigidas a compatibilizar “el pago de sentencias con el principio de justicia y legalidad presupuestaria”</w:t>
      </w:r>
      <w:r w:rsidR="00010024" w:rsidRPr="000864AE">
        <w:rPr>
          <w:rFonts w:ascii="Verdana" w:eastAsia="Cambria" w:hAnsi="Verdana" w:cs="Cambria"/>
          <w:color w:val="000000"/>
          <w:sz w:val="20"/>
          <w:szCs w:val="20"/>
          <w:u w:color="000000"/>
          <w:lang w:eastAsia="es-ES"/>
        </w:rPr>
        <w:t>,</w:t>
      </w:r>
      <w:r w:rsidRPr="000864AE">
        <w:rPr>
          <w:rFonts w:ascii="Verdana" w:eastAsia="Cambria" w:hAnsi="Verdana" w:cs="Cambria"/>
          <w:color w:val="000000"/>
          <w:sz w:val="20"/>
          <w:szCs w:val="20"/>
          <w:u w:color="000000"/>
          <w:lang w:eastAsia="es-ES"/>
        </w:rPr>
        <w:t xml:space="preserve"> </w:t>
      </w:r>
      <w:r w:rsidR="00CC56B0" w:rsidRPr="000864AE">
        <w:rPr>
          <w:rFonts w:ascii="Verdana" w:eastAsia="Cambria" w:hAnsi="Verdana" w:cs="Cambria"/>
          <w:color w:val="000000"/>
          <w:sz w:val="20"/>
          <w:szCs w:val="20"/>
          <w:u w:color="000000"/>
          <w:lang w:eastAsia="es-ES"/>
        </w:rPr>
        <w:t>así como la modificación de leyes y normas de rango inferior referidas al cumplimiento de sentencias y fallos judiciales</w:t>
      </w:r>
      <w:r w:rsidRPr="000864AE">
        <w:rPr>
          <w:rFonts w:ascii="Verdana" w:eastAsia="Cambria" w:hAnsi="Verdana" w:cs="Cambria"/>
          <w:color w:val="000000"/>
          <w:sz w:val="20"/>
          <w:szCs w:val="20"/>
          <w:u w:color="000000"/>
          <w:lang w:eastAsia="es-ES"/>
        </w:rPr>
        <w:t xml:space="preserve">. </w:t>
      </w:r>
      <w:r w:rsidR="009B004A" w:rsidRPr="000864AE">
        <w:rPr>
          <w:rFonts w:ascii="Verdana" w:eastAsia="Cambria" w:hAnsi="Verdana" w:cs="Cambria"/>
          <w:color w:val="000000"/>
          <w:sz w:val="20"/>
          <w:szCs w:val="20"/>
          <w:u w:color="000000"/>
          <w:lang w:eastAsia="es-ES"/>
        </w:rPr>
        <w:t>En ese sentido</w:t>
      </w:r>
      <w:r w:rsidR="00CC56B0" w:rsidRPr="000864AE">
        <w:rPr>
          <w:rFonts w:ascii="Verdana" w:eastAsia="Cambria" w:hAnsi="Verdana" w:cs="Cambria"/>
          <w:color w:val="000000"/>
          <w:sz w:val="20"/>
          <w:szCs w:val="20"/>
          <w:u w:color="000000"/>
          <w:lang w:eastAsia="es-ES"/>
        </w:rPr>
        <w:t>,</w:t>
      </w:r>
      <w:r w:rsidRPr="000864AE">
        <w:rPr>
          <w:rFonts w:ascii="Verdana" w:eastAsia="Cambria" w:hAnsi="Verdana" w:cs="Cambria"/>
          <w:color w:val="000000"/>
          <w:sz w:val="20"/>
          <w:szCs w:val="20"/>
          <w:u w:color="000000"/>
          <w:lang w:eastAsia="es-ES"/>
        </w:rPr>
        <w:t xml:space="preserve"> la Corte </w:t>
      </w:r>
      <w:r w:rsidR="00CC56B0" w:rsidRPr="000864AE">
        <w:rPr>
          <w:rFonts w:ascii="Verdana" w:eastAsia="Cambria" w:hAnsi="Verdana" w:cs="Cambria"/>
          <w:color w:val="000000"/>
          <w:sz w:val="20"/>
          <w:szCs w:val="20"/>
          <w:u w:color="000000"/>
          <w:lang w:eastAsia="es-ES"/>
        </w:rPr>
        <w:t>carece</w:t>
      </w:r>
      <w:r w:rsidRPr="000864AE">
        <w:rPr>
          <w:rFonts w:ascii="Verdana" w:eastAsia="Cambria" w:hAnsi="Verdana" w:cs="Cambria"/>
          <w:color w:val="000000"/>
          <w:sz w:val="20"/>
          <w:szCs w:val="20"/>
          <w:u w:color="000000"/>
          <w:lang w:eastAsia="es-ES"/>
        </w:rPr>
        <w:t xml:space="preserve"> de elementos que permitan concluir la existencia de un problema normativo que impida la ejecución de las sentencias que reconocen</w:t>
      </w:r>
      <w:r w:rsidR="009B004A" w:rsidRPr="000864AE">
        <w:rPr>
          <w:rFonts w:ascii="Verdana" w:eastAsia="Cambria" w:hAnsi="Verdana" w:cs="Cambria"/>
          <w:color w:val="000000"/>
          <w:sz w:val="20"/>
          <w:szCs w:val="20"/>
          <w:u w:color="000000"/>
          <w:lang w:eastAsia="es-ES"/>
        </w:rPr>
        <w:t xml:space="preserve"> derechos pensionarios en Perú. En consecuencia, e</w:t>
      </w:r>
      <w:r w:rsidRPr="000864AE">
        <w:rPr>
          <w:rFonts w:ascii="Verdana" w:eastAsia="Cambria" w:hAnsi="Verdana" w:cs="Cambria"/>
          <w:color w:val="000000"/>
          <w:sz w:val="20"/>
          <w:szCs w:val="20"/>
          <w:u w:color="000000"/>
          <w:lang w:eastAsia="es-ES"/>
        </w:rPr>
        <w:t xml:space="preserve">l Tribunal </w:t>
      </w:r>
      <w:r w:rsidR="009B004A" w:rsidRPr="000864AE">
        <w:rPr>
          <w:rFonts w:ascii="Verdana" w:eastAsia="Cambria" w:hAnsi="Verdana" w:cs="Cambria"/>
          <w:color w:val="000000"/>
          <w:sz w:val="20"/>
          <w:szCs w:val="20"/>
          <w:u w:color="000000"/>
          <w:lang w:eastAsia="es-ES"/>
        </w:rPr>
        <w:t>concluye</w:t>
      </w:r>
      <w:r w:rsidRPr="000864AE">
        <w:rPr>
          <w:rFonts w:ascii="Verdana" w:eastAsia="Cambria" w:hAnsi="Verdana" w:cs="Cambria"/>
          <w:color w:val="000000"/>
          <w:sz w:val="20"/>
          <w:szCs w:val="20"/>
          <w:u w:color="000000"/>
          <w:lang w:eastAsia="es-ES"/>
        </w:rPr>
        <w:t xml:space="preserve"> que el Estado no es responsable por la violación al artículo 2 de la Convención Americana.</w:t>
      </w:r>
    </w:p>
    <w:p w14:paraId="7E8AA6D1" w14:textId="77777777" w:rsidR="00585FFF" w:rsidRPr="000864AE" w:rsidRDefault="00585FFF" w:rsidP="000864AE">
      <w:pPr>
        <w:widowControl w:val="0"/>
        <w:tabs>
          <w:tab w:val="left" w:pos="567"/>
        </w:tabs>
        <w:adjustRightInd w:val="0"/>
        <w:spacing w:after="0" w:line="240" w:lineRule="auto"/>
        <w:jc w:val="both"/>
        <w:textAlignment w:val="baseline"/>
        <w:rPr>
          <w:rFonts w:ascii="Verdana" w:eastAsia="Times New Roman" w:hAnsi="Verdana" w:cs="Times New Roman"/>
          <w:b/>
          <w:bCs/>
          <w:caps/>
          <w:snapToGrid w:val="0"/>
          <w:sz w:val="20"/>
          <w:szCs w:val="20"/>
        </w:rPr>
      </w:pPr>
    </w:p>
    <w:p w14:paraId="6BD8DDA6" w14:textId="659D6AEB" w:rsidR="00585FFF" w:rsidRPr="000864AE" w:rsidRDefault="00010024" w:rsidP="000864AE">
      <w:pPr>
        <w:pStyle w:val="Ttulo2"/>
        <w:numPr>
          <w:ilvl w:val="0"/>
          <w:numId w:val="0"/>
        </w:numPr>
        <w:ind w:left="1068"/>
      </w:pPr>
      <w:bookmarkStart w:id="88" w:name="_Toc27329788"/>
      <w:r w:rsidRPr="000864AE">
        <w:t>E</w:t>
      </w:r>
      <w:r w:rsidR="00F84C31" w:rsidRPr="000864AE">
        <w:t xml:space="preserve">. </w:t>
      </w:r>
      <w:r w:rsidR="00585FFF" w:rsidRPr="000864AE">
        <w:t>Conclusión del capítulo</w:t>
      </w:r>
      <w:bookmarkEnd w:id="88"/>
    </w:p>
    <w:p w14:paraId="2A5180A8" w14:textId="77777777" w:rsidR="00585FFF" w:rsidRPr="000864AE" w:rsidRDefault="00585FFF" w:rsidP="000864AE">
      <w:pPr>
        <w:widowControl w:val="0"/>
        <w:tabs>
          <w:tab w:val="left" w:pos="567"/>
        </w:tabs>
        <w:adjustRightInd w:val="0"/>
        <w:spacing w:after="0" w:line="240" w:lineRule="auto"/>
        <w:jc w:val="both"/>
        <w:textAlignment w:val="baseline"/>
        <w:rPr>
          <w:rFonts w:ascii="Verdana" w:eastAsia="Times New Roman" w:hAnsi="Verdana" w:cs="Times New Roman"/>
          <w:b/>
          <w:bCs/>
          <w:caps/>
          <w:snapToGrid w:val="0"/>
          <w:sz w:val="20"/>
          <w:szCs w:val="20"/>
          <w:lang w:val="es-CR"/>
        </w:rPr>
      </w:pPr>
    </w:p>
    <w:p w14:paraId="01A53353" w14:textId="6F281C7E" w:rsidR="00655238" w:rsidRPr="000864AE" w:rsidRDefault="003655AA"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pacing w:val="-2"/>
          <w:sz w:val="20"/>
          <w:szCs w:val="20"/>
        </w:rPr>
        <w:t>La</w:t>
      </w:r>
      <w:r w:rsidR="00C06BD9" w:rsidRPr="000864AE">
        <w:rPr>
          <w:rFonts w:ascii="Verdana" w:hAnsi="Verdana"/>
          <w:spacing w:val="-2"/>
          <w:sz w:val="20"/>
          <w:szCs w:val="20"/>
        </w:rPr>
        <w:t xml:space="preserve"> Corte recuerda que la</w:t>
      </w:r>
      <w:r w:rsidRPr="000864AE">
        <w:rPr>
          <w:rFonts w:ascii="Verdana" w:hAnsi="Verdana"/>
          <w:spacing w:val="-2"/>
          <w:sz w:val="20"/>
          <w:szCs w:val="20"/>
        </w:rPr>
        <w:t xml:space="preserve"> dilación injustificada en el cumplimiento de una sentencia constituye en sí misma una violación a las garantías judiciales. En el presente caso, </w:t>
      </w:r>
      <w:r w:rsidRPr="000864AE">
        <w:rPr>
          <w:rFonts w:ascii="Verdana" w:hAnsi="Verdana"/>
          <w:sz w:val="20"/>
          <w:szCs w:val="20"/>
        </w:rPr>
        <w:t>la Corte concluye que el proceso de ejecución de la sentencia de 25 de octubre de 1993 resultó irregular e ineficaz por los siguientes hechos: a) la falta de claridad de la autoridad encargada del cumplimiento de la sentencia y la emisión de resoluciones que ordenaban la ejecución sin incluir directamente a la SUNAT, las cuales contribuyeron en gran medida al retraso del proceso e implicaron la interposición de nuevos recursos por parte de ANCEJUB-SUNAT; b) la necesidad de que las presuntas víctimas tuvieran que iniciar nuevos trámites en sede administrativas para procurar la liquidación de las pensiones niveladas, con lo cual se les imputó la obligación a cargo del Estado de procurar los medios necesarios para garantizar la efectividad de sus sentencias</w:t>
      </w:r>
      <w:r w:rsidR="00010024" w:rsidRPr="000864AE">
        <w:rPr>
          <w:rFonts w:ascii="Verdana" w:hAnsi="Verdana"/>
          <w:sz w:val="20"/>
          <w:szCs w:val="20"/>
        </w:rPr>
        <w:t>, y</w:t>
      </w:r>
      <w:r w:rsidRPr="000864AE">
        <w:rPr>
          <w:rFonts w:ascii="Verdana" w:hAnsi="Verdana"/>
          <w:sz w:val="20"/>
          <w:szCs w:val="20"/>
        </w:rPr>
        <w:t xml:space="preserve"> c) la falta de pago de los reintegros ordenados por la sentencia de 25 de octubre de 1993.</w:t>
      </w:r>
      <w:r w:rsidR="00C06BD9" w:rsidRPr="000864AE">
        <w:rPr>
          <w:rFonts w:ascii="Verdana" w:hAnsi="Verdana"/>
          <w:sz w:val="20"/>
          <w:szCs w:val="20"/>
        </w:rPr>
        <w:t xml:space="preserve"> Estos hechos constituyeron una violación al derecho a un recurso judicial efectivo.</w:t>
      </w:r>
      <w:r w:rsidRPr="000864AE">
        <w:rPr>
          <w:rFonts w:ascii="Verdana" w:hAnsi="Verdana"/>
          <w:sz w:val="20"/>
          <w:szCs w:val="20"/>
        </w:rPr>
        <w:t xml:space="preserve"> Por otro lado, el Tribunal considera que, en atención a las particularidades del caso, el plazo de 27 años desde la emisión de la sentencia sin que esta haya sido ejecutada violó la garantía del plazo razonable.</w:t>
      </w:r>
    </w:p>
    <w:p w14:paraId="6D9EA51F"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71435CBD" w14:textId="77777777" w:rsidR="00655238" w:rsidRPr="000864AE" w:rsidRDefault="00C06BD9"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En relación con lo anterior, l</w:t>
      </w:r>
      <w:r w:rsidR="00A50374" w:rsidRPr="000864AE">
        <w:rPr>
          <w:rFonts w:ascii="Verdana" w:hAnsi="Verdana"/>
          <w:sz w:val="20"/>
          <w:szCs w:val="20"/>
        </w:rPr>
        <w:t xml:space="preserve">a Corte concluye que el Estado incumplió con su deber de garantizar el derecho a la seguridad social en virtud de la falta de acceso a un recurso judicial efectivo por parte de las presuntas víctimas para que se pagaran los montos pendientes como parte de su pensión en virtud de la sentencia de 25 de octubre de 1993, por la falta de información adecuada sobre los efectos prácticos que tendría en sus pensiones la entrada en vigor de los Decretos 639 y 673 como personas sujetas al régimen pensionario previsto por el Decreto 20530, y por el impacto que esto tuvo en </w:t>
      </w:r>
      <w:r w:rsidRPr="000864AE">
        <w:rPr>
          <w:rFonts w:ascii="Verdana" w:hAnsi="Verdana"/>
          <w:sz w:val="20"/>
          <w:szCs w:val="20"/>
        </w:rPr>
        <w:t>otros derechos</w:t>
      </w:r>
      <w:r w:rsidR="00A50374" w:rsidRPr="000864AE">
        <w:rPr>
          <w:rFonts w:ascii="Verdana" w:hAnsi="Verdana"/>
          <w:sz w:val="20"/>
          <w:szCs w:val="20"/>
        </w:rPr>
        <w:t xml:space="preserve">. En </w:t>
      </w:r>
      <w:r w:rsidRPr="000864AE">
        <w:rPr>
          <w:rFonts w:ascii="Verdana" w:hAnsi="Verdana"/>
          <w:sz w:val="20"/>
          <w:szCs w:val="20"/>
        </w:rPr>
        <w:t xml:space="preserve">particular, el Tribunal advirtió que en virtud de la interrelación entre el derecho a la seguridad social y la vida digna, </w:t>
      </w:r>
      <w:r w:rsidR="0008710C" w:rsidRPr="000864AE">
        <w:rPr>
          <w:rFonts w:ascii="Verdana" w:hAnsi="Verdana"/>
          <w:sz w:val="20"/>
          <w:szCs w:val="20"/>
        </w:rPr>
        <w:t>situación que se acentúa en el caso de personas mayores, la disminución de los ingresos de las presuntas víctimas con motivo de su jubilación de la SUNAT, y los montos dejados de percibir por la falta de pago de sus reintegros, tuvieron como resultado una afectación a su derecho a la vida digna. Asimismo, la falta de pago</w:t>
      </w:r>
      <w:r w:rsidR="009726DC" w:rsidRPr="000864AE">
        <w:rPr>
          <w:rFonts w:ascii="Verdana" w:hAnsi="Verdana"/>
          <w:sz w:val="20"/>
          <w:szCs w:val="20"/>
        </w:rPr>
        <w:t xml:space="preserve"> de dichos reintegros derivó </w:t>
      </w:r>
      <w:r w:rsidR="0008710C" w:rsidRPr="000864AE">
        <w:rPr>
          <w:rFonts w:ascii="Verdana" w:hAnsi="Verdana"/>
          <w:sz w:val="20"/>
          <w:szCs w:val="20"/>
        </w:rPr>
        <w:t>en la violación al derecho a la propiedad privada.</w:t>
      </w:r>
    </w:p>
    <w:p w14:paraId="37CB05F1"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62FEE940" w14:textId="49F37CE6" w:rsidR="00585FFF" w:rsidRPr="000864AE" w:rsidRDefault="00585FFF"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eastAsia="Cambria" w:hAnsi="Verdana" w:cs="Cambria"/>
          <w:color w:val="000000"/>
          <w:sz w:val="20"/>
          <w:szCs w:val="20"/>
          <w:u w:color="000000"/>
          <w:lang w:eastAsia="es-ES"/>
        </w:rPr>
        <w:t>Con base en todo lo señalado, la Corte concluye que el Estado es responsable por la</w:t>
      </w:r>
      <w:r w:rsidR="00010024" w:rsidRPr="000864AE">
        <w:rPr>
          <w:rFonts w:ascii="Verdana" w:eastAsia="Cambria" w:hAnsi="Verdana" w:cs="Cambria"/>
          <w:color w:val="000000"/>
          <w:sz w:val="20"/>
          <w:szCs w:val="20"/>
          <w:u w:color="000000"/>
          <w:lang w:eastAsia="es-ES"/>
        </w:rPr>
        <w:t xml:space="preserve"> violación de los derechos a la vida digna, las</w:t>
      </w:r>
      <w:r w:rsidRPr="000864AE">
        <w:rPr>
          <w:rFonts w:ascii="Verdana" w:eastAsia="Cambria" w:hAnsi="Verdana" w:cs="Cambria"/>
          <w:color w:val="000000"/>
          <w:sz w:val="20"/>
          <w:szCs w:val="20"/>
          <w:u w:color="000000"/>
          <w:lang w:eastAsia="es-ES"/>
        </w:rPr>
        <w:t xml:space="preserve"> garant</w:t>
      </w:r>
      <w:r w:rsidR="009726DC" w:rsidRPr="000864AE">
        <w:rPr>
          <w:rFonts w:ascii="Verdana" w:eastAsia="Cambria" w:hAnsi="Verdana" w:cs="Cambria"/>
          <w:color w:val="000000"/>
          <w:sz w:val="20"/>
          <w:szCs w:val="20"/>
          <w:u w:color="000000"/>
          <w:lang w:eastAsia="es-ES"/>
        </w:rPr>
        <w:t>ías judiciales,</w:t>
      </w:r>
      <w:r w:rsidR="00010024" w:rsidRPr="000864AE">
        <w:rPr>
          <w:rFonts w:ascii="Verdana" w:eastAsia="Cambria" w:hAnsi="Verdana" w:cs="Cambria"/>
          <w:color w:val="000000"/>
          <w:sz w:val="20"/>
          <w:szCs w:val="20"/>
          <w:u w:color="000000"/>
          <w:lang w:eastAsia="es-ES"/>
        </w:rPr>
        <w:t xml:space="preserve"> la propiedad,</w:t>
      </w:r>
      <w:r w:rsidR="009726DC" w:rsidRPr="000864AE">
        <w:rPr>
          <w:rFonts w:ascii="Verdana" w:eastAsia="Cambria" w:hAnsi="Verdana" w:cs="Cambria"/>
          <w:color w:val="000000"/>
          <w:sz w:val="20"/>
          <w:szCs w:val="20"/>
          <w:u w:color="000000"/>
          <w:lang w:eastAsia="es-ES"/>
        </w:rPr>
        <w:t xml:space="preserve"> </w:t>
      </w:r>
      <w:r w:rsidR="00010024" w:rsidRPr="000864AE">
        <w:rPr>
          <w:rFonts w:ascii="Verdana" w:eastAsia="Cambria" w:hAnsi="Verdana" w:cs="Cambria"/>
          <w:color w:val="000000"/>
          <w:sz w:val="20"/>
          <w:szCs w:val="20"/>
          <w:u w:color="000000"/>
          <w:lang w:eastAsia="es-ES"/>
        </w:rPr>
        <w:t xml:space="preserve">la protección judicial, y </w:t>
      </w:r>
      <w:r w:rsidRPr="000864AE">
        <w:rPr>
          <w:rFonts w:ascii="Verdana" w:eastAsia="Cambria" w:hAnsi="Verdana" w:cs="Cambria"/>
          <w:color w:val="000000"/>
          <w:sz w:val="20"/>
          <w:szCs w:val="20"/>
          <w:u w:color="000000"/>
          <w:lang w:eastAsia="es-ES"/>
        </w:rPr>
        <w:t xml:space="preserve">la seguridad social, reconocidos en los artículos </w:t>
      </w:r>
      <w:r w:rsidR="00482FCB" w:rsidRPr="000864AE">
        <w:rPr>
          <w:rFonts w:ascii="Verdana" w:eastAsia="Cambria" w:hAnsi="Verdana" w:cs="Cambria"/>
          <w:color w:val="000000"/>
          <w:sz w:val="20"/>
          <w:szCs w:val="20"/>
          <w:u w:color="000000"/>
          <w:lang w:eastAsia="es-ES"/>
        </w:rPr>
        <w:t xml:space="preserve">4.1, 8.1, </w:t>
      </w:r>
      <w:r w:rsidR="00B85254" w:rsidRPr="000864AE">
        <w:rPr>
          <w:rFonts w:ascii="Verdana" w:eastAsia="Cambria" w:hAnsi="Verdana" w:cs="Cambria"/>
          <w:color w:val="000000"/>
          <w:sz w:val="20"/>
          <w:szCs w:val="20"/>
          <w:u w:color="000000"/>
          <w:lang w:eastAsia="es-ES"/>
        </w:rPr>
        <w:t xml:space="preserve">21, 25.1, 25.2.c) y 26 de la </w:t>
      </w:r>
      <w:r w:rsidR="00010024" w:rsidRPr="000864AE">
        <w:rPr>
          <w:rFonts w:ascii="Verdana" w:eastAsia="Cambria" w:hAnsi="Verdana" w:cs="Cambria"/>
          <w:color w:val="000000"/>
          <w:sz w:val="20"/>
          <w:szCs w:val="20"/>
          <w:u w:color="000000"/>
          <w:lang w:eastAsia="es-ES"/>
        </w:rPr>
        <w:t>Convención</w:t>
      </w:r>
      <w:r w:rsidRPr="000864AE">
        <w:rPr>
          <w:rFonts w:ascii="Verdana" w:eastAsia="Cambria" w:hAnsi="Verdana" w:cs="Cambria"/>
          <w:color w:val="000000"/>
          <w:sz w:val="20"/>
          <w:szCs w:val="20"/>
          <w:u w:color="000000"/>
          <w:lang w:eastAsia="es-ES"/>
        </w:rPr>
        <w:t>, en relación con el artículo 1.1</w:t>
      </w:r>
      <w:r w:rsidR="00010024" w:rsidRPr="000864AE">
        <w:rPr>
          <w:rFonts w:ascii="Verdana" w:eastAsia="Cambria" w:hAnsi="Verdana" w:cs="Cambria"/>
          <w:color w:val="000000"/>
          <w:sz w:val="20"/>
          <w:szCs w:val="20"/>
          <w:u w:color="000000"/>
          <w:lang w:eastAsia="es-ES"/>
        </w:rPr>
        <w:t xml:space="preserve"> del mismo instrumento</w:t>
      </w:r>
      <w:r w:rsidRPr="000864AE">
        <w:rPr>
          <w:rFonts w:ascii="Verdana" w:eastAsia="Cambria" w:hAnsi="Verdana" w:cs="Cambria"/>
          <w:color w:val="000000"/>
          <w:sz w:val="20"/>
          <w:szCs w:val="20"/>
          <w:u w:color="000000"/>
          <w:lang w:eastAsia="es-ES"/>
        </w:rPr>
        <w:t xml:space="preserve">, en perjuicio de las personas listadas en el Anexo 2 de la presente sentencia. Asimismo, el Estado no es responsable por la violación a su deber de adoptar disposiciones de derecho interno, </w:t>
      </w:r>
      <w:r w:rsidR="009726DC" w:rsidRPr="000864AE">
        <w:rPr>
          <w:rFonts w:ascii="Verdana" w:eastAsia="Cambria" w:hAnsi="Verdana" w:cs="Cambria"/>
          <w:color w:val="000000"/>
          <w:sz w:val="20"/>
          <w:szCs w:val="20"/>
          <w:u w:color="000000"/>
          <w:lang w:eastAsia="es-ES"/>
        </w:rPr>
        <w:t>contemplado</w:t>
      </w:r>
      <w:r w:rsidR="00B7662F" w:rsidRPr="000864AE">
        <w:rPr>
          <w:rFonts w:ascii="Verdana" w:eastAsia="Cambria" w:hAnsi="Verdana" w:cs="Cambria"/>
          <w:color w:val="000000"/>
          <w:sz w:val="20"/>
          <w:szCs w:val="20"/>
          <w:u w:color="000000"/>
          <w:lang w:eastAsia="es-ES"/>
        </w:rPr>
        <w:t xml:space="preserve"> en el artícu</w:t>
      </w:r>
      <w:r w:rsidR="00655238" w:rsidRPr="000864AE">
        <w:rPr>
          <w:rFonts w:ascii="Verdana" w:eastAsia="Cambria" w:hAnsi="Verdana" w:cs="Cambria"/>
          <w:color w:val="000000"/>
          <w:sz w:val="20"/>
          <w:szCs w:val="20"/>
          <w:u w:color="000000"/>
          <w:lang w:eastAsia="es-ES"/>
        </w:rPr>
        <w:t>lo 2 de la Convención Americana.</w:t>
      </w:r>
    </w:p>
    <w:p w14:paraId="338DEF92" w14:textId="77777777" w:rsidR="00585FFF" w:rsidRPr="000864AE" w:rsidRDefault="00585FFF" w:rsidP="000864AE">
      <w:pPr>
        <w:widowControl w:val="0"/>
        <w:tabs>
          <w:tab w:val="left" w:pos="567"/>
        </w:tabs>
        <w:adjustRightInd w:val="0"/>
        <w:spacing w:after="0" w:line="240" w:lineRule="auto"/>
        <w:jc w:val="both"/>
        <w:textAlignment w:val="baseline"/>
        <w:rPr>
          <w:rFonts w:ascii="Verdana" w:eastAsia="Times New Roman" w:hAnsi="Verdana" w:cs="Times New Roman"/>
          <w:b/>
          <w:bCs/>
          <w:caps/>
          <w:snapToGrid w:val="0"/>
          <w:sz w:val="20"/>
          <w:szCs w:val="20"/>
          <w:lang w:val="es-DO"/>
        </w:rPr>
      </w:pPr>
    </w:p>
    <w:p w14:paraId="342D8F88" w14:textId="77777777" w:rsidR="000610B2" w:rsidRPr="000864AE" w:rsidRDefault="000610B2" w:rsidP="000864AE">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89" w:name="_Toc494124027"/>
      <w:bookmarkStart w:id="90" w:name="_Toc7020799"/>
      <w:bookmarkStart w:id="91" w:name="_Toc12726735"/>
      <w:bookmarkStart w:id="92" w:name="_Toc27329789"/>
      <w:r w:rsidRPr="000864AE">
        <w:rPr>
          <w:rFonts w:ascii="Verdana" w:eastAsia="Times New Roman" w:hAnsi="Verdana" w:cs="Verdana"/>
          <w:b/>
          <w:bCs/>
          <w:caps/>
          <w:snapToGrid w:val="0"/>
          <w:sz w:val="20"/>
          <w:szCs w:val="20"/>
          <w:lang w:val="es-ES_tradnl"/>
        </w:rPr>
        <w:t>IX</w:t>
      </w:r>
      <w:r w:rsidRPr="000864AE">
        <w:rPr>
          <w:rFonts w:ascii="Verdana" w:eastAsia="Times New Roman" w:hAnsi="Verdana" w:cs="Verdana"/>
          <w:b/>
          <w:bCs/>
          <w:caps/>
          <w:snapToGrid w:val="0"/>
          <w:sz w:val="20"/>
          <w:szCs w:val="20"/>
          <w:lang w:val="es-ES_tradnl"/>
        </w:rPr>
        <w:br/>
      </w:r>
      <w:bookmarkEnd w:id="89"/>
      <w:bookmarkEnd w:id="90"/>
      <w:r w:rsidRPr="000864AE">
        <w:rPr>
          <w:rFonts w:ascii="Verdana" w:eastAsia="Times New Roman" w:hAnsi="Verdana" w:cs="Verdana"/>
          <w:b/>
          <w:bCs/>
          <w:caps/>
          <w:snapToGrid w:val="0"/>
          <w:sz w:val="20"/>
          <w:szCs w:val="20"/>
          <w:lang w:val="es-ES_tradnl"/>
        </w:rPr>
        <w:t>reparaciones</w:t>
      </w:r>
      <w:bookmarkEnd w:id="91"/>
      <w:bookmarkEnd w:id="92"/>
    </w:p>
    <w:p w14:paraId="52E82C85" w14:textId="77777777" w:rsidR="000610B2" w:rsidRPr="000864AE" w:rsidRDefault="000610B2" w:rsidP="000864AE">
      <w:pPr>
        <w:spacing w:after="0" w:line="240" w:lineRule="auto"/>
        <w:jc w:val="center"/>
        <w:rPr>
          <w:rFonts w:ascii="Verdana" w:hAnsi="Verdana"/>
          <w:b/>
          <w:sz w:val="20"/>
          <w:szCs w:val="20"/>
        </w:rPr>
      </w:pPr>
      <w:r w:rsidRPr="000864AE">
        <w:rPr>
          <w:rFonts w:ascii="Verdana" w:hAnsi="Verdana"/>
          <w:b/>
          <w:sz w:val="20"/>
          <w:szCs w:val="20"/>
        </w:rPr>
        <w:t>APLICACIÓN DEL ARTÍCULO 63.1 DE LA CONVENCIÓN AMERICANA</w:t>
      </w:r>
    </w:p>
    <w:p w14:paraId="3000DB89"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sz w:val="20"/>
          <w:szCs w:val="20"/>
        </w:rPr>
      </w:pPr>
    </w:p>
    <w:p w14:paraId="476ABEEB" w14:textId="77777777"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Sobre la base de lo dispuesto en el artículo 63.1 de la Convención Americana</w:t>
      </w:r>
      <w:r w:rsidRPr="000864AE">
        <w:rPr>
          <w:rStyle w:val="Refdenotaalpie"/>
          <w:rFonts w:ascii="Verdana" w:eastAsia="Calibri" w:hAnsi="Verdana"/>
          <w:sz w:val="20"/>
          <w:szCs w:val="20"/>
        </w:rPr>
        <w:footnoteReference w:id="300"/>
      </w:r>
      <w:r w:rsidRPr="000864AE">
        <w:rPr>
          <w:rFonts w:ascii="Verdana" w:hAnsi="Verdana"/>
          <w:sz w:val="20"/>
          <w:szCs w:val="20"/>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15B433FE"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39CBA3DB" w14:textId="77777777"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La reparación del daño ocasionado por la infracción de una obligación internacional requiere, siempre que sea posible, la plena restitución (</w:t>
      </w:r>
      <w:r w:rsidRPr="000864AE">
        <w:rPr>
          <w:rFonts w:ascii="Verdana" w:hAnsi="Verdana"/>
          <w:i/>
          <w:sz w:val="20"/>
          <w:szCs w:val="20"/>
        </w:rPr>
        <w:t>restitutio in integrum</w:t>
      </w:r>
      <w:r w:rsidRPr="000864AE">
        <w:rPr>
          <w:rFonts w:ascii="Verdana" w:hAnsi="Verdana"/>
          <w:sz w:val="20"/>
          <w:szCs w:val="20"/>
        </w:rPr>
        <w:t>), que consiste en el restablecimiento de la situación anterior</w:t>
      </w:r>
      <w:r w:rsidRPr="000864AE">
        <w:rPr>
          <w:rStyle w:val="Refdenotaalpie"/>
          <w:rFonts w:ascii="Verdana" w:eastAsia="Calibri" w:hAnsi="Verdana"/>
          <w:sz w:val="20"/>
          <w:szCs w:val="20"/>
        </w:rPr>
        <w:footnoteReference w:id="301"/>
      </w:r>
      <w:r w:rsidRPr="000864AE">
        <w:rPr>
          <w:rFonts w:ascii="Verdana" w:hAnsi="Verdana"/>
          <w:sz w:val="20"/>
          <w:szCs w:val="20"/>
        </w:rPr>
        <w:t>. De no ser esto factible, como ocurre en la mayoría de los casos de violaciones a derechos humanos, este Tribunal determinará medidas para garantizar los derechos conculcados y reparar las consecuencias que las infracciones produjeron</w:t>
      </w:r>
      <w:r w:rsidRPr="000864AE">
        <w:rPr>
          <w:rStyle w:val="Refdenotaalpie"/>
          <w:rFonts w:ascii="Verdana" w:eastAsia="Calibri" w:hAnsi="Verdana"/>
          <w:sz w:val="20"/>
          <w:szCs w:val="20"/>
        </w:rPr>
        <w:footnoteReference w:id="302"/>
      </w:r>
      <w:r w:rsidRPr="000864AE">
        <w:rPr>
          <w:rFonts w:ascii="Verdana" w:hAnsi="Verdana"/>
          <w:sz w:val="20"/>
          <w:szCs w:val="2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0864AE">
        <w:rPr>
          <w:rStyle w:val="Refdenotaalpie"/>
          <w:rFonts w:ascii="Verdana" w:eastAsia="Calibri" w:hAnsi="Verdana"/>
          <w:sz w:val="20"/>
          <w:szCs w:val="20"/>
        </w:rPr>
        <w:footnoteReference w:id="303"/>
      </w:r>
      <w:r w:rsidRPr="000864AE">
        <w:rPr>
          <w:rFonts w:ascii="Verdana" w:hAnsi="Verdana"/>
          <w:sz w:val="20"/>
          <w:szCs w:val="20"/>
        </w:rPr>
        <w:t>.</w:t>
      </w:r>
    </w:p>
    <w:p w14:paraId="378CD87A" w14:textId="77777777" w:rsidR="00655238" w:rsidRPr="000864AE" w:rsidRDefault="00655238" w:rsidP="000864AE">
      <w:pPr>
        <w:pStyle w:val="Prrafodelista"/>
        <w:rPr>
          <w:rFonts w:ascii="Verdana" w:hAnsi="Verdana"/>
          <w:sz w:val="20"/>
          <w:szCs w:val="20"/>
        </w:rPr>
      </w:pPr>
    </w:p>
    <w:p w14:paraId="2F2A3615" w14:textId="77777777"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0864AE">
        <w:rPr>
          <w:rStyle w:val="Refdenotaalpie"/>
          <w:rFonts w:ascii="Verdana" w:eastAsia="Calibri" w:hAnsi="Verdana"/>
          <w:sz w:val="20"/>
          <w:szCs w:val="20"/>
        </w:rPr>
        <w:footnoteReference w:id="304"/>
      </w:r>
      <w:r w:rsidRPr="000864AE">
        <w:rPr>
          <w:rFonts w:ascii="Verdana" w:hAnsi="Verdana"/>
          <w:sz w:val="20"/>
          <w:szCs w:val="20"/>
        </w:rPr>
        <w:t>.</w:t>
      </w:r>
    </w:p>
    <w:p w14:paraId="48505816" w14:textId="77777777" w:rsidR="00655238" w:rsidRPr="000864AE" w:rsidRDefault="00655238" w:rsidP="000864AE">
      <w:pPr>
        <w:pStyle w:val="Prrafodelista"/>
        <w:rPr>
          <w:rFonts w:ascii="Verdana" w:hAnsi="Verdana"/>
          <w:sz w:val="20"/>
          <w:szCs w:val="20"/>
        </w:rPr>
      </w:pPr>
    </w:p>
    <w:p w14:paraId="3E94A9EF" w14:textId="124B64E3" w:rsidR="00655238" w:rsidRPr="000864AE" w:rsidRDefault="00F65D74"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En consideración a</w:t>
      </w:r>
      <w:r w:rsidR="000610B2" w:rsidRPr="000864AE">
        <w:rPr>
          <w:rFonts w:ascii="Verdana" w:hAnsi="Verdana"/>
          <w:sz w:val="20"/>
          <w:szCs w:val="20"/>
        </w:rPr>
        <w:t xml:space="preserve"> las violaciones declaradas en el capítulo anterior, este Tribunal procederá a analizar las pretensiones </w:t>
      </w:r>
      <w:r w:rsidRPr="000864AE">
        <w:rPr>
          <w:rFonts w:ascii="Verdana" w:hAnsi="Verdana"/>
          <w:sz w:val="20"/>
          <w:szCs w:val="20"/>
        </w:rPr>
        <w:t>de</w:t>
      </w:r>
      <w:r w:rsidR="000610B2" w:rsidRPr="000864AE">
        <w:rPr>
          <w:rFonts w:ascii="Verdana" w:hAnsi="Verdana"/>
          <w:sz w:val="20"/>
          <w:szCs w:val="20"/>
        </w:rPr>
        <w:t xml:space="preserve">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000610B2" w:rsidRPr="000864AE">
        <w:rPr>
          <w:rStyle w:val="Refdenotaalpie"/>
          <w:rFonts w:ascii="Verdana" w:eastAsia="Calibri" w:hAnsi="Verdana"/>
          <w:sz w:val="20"/>
          <w:szCs w:val="20"/>
        </w:rPr>
        <w:footnoteReference w:id="305"/>
      </w:r>
      <w:r w:rsidR="000610B2" w:rsidRPr="000864AE">
        <w:rPr>
          <w:rFonts w:ascii="Verdana" w:hAnsi="Verdana"/>
          <w:sz w:val="20"/>
          <w:szCs w:val="20"/>
        </w:rPr>
        <w:t>.</w:t>
      </w:r>
    </w:p>
    <w:p w14:paraId="04B9C28B" w14:textId="77777777" w:rsidR="00655238" w:rsidRPr="000864AE" w:rsidRDefault="00655238" w:rsidP="000864AE">
      <w:pPr>
        <w:pStyle w:val="Prrafodelista"/>
        <w:rPr>
          <w:rFonts w:ascii="Verdana" w:hAnsi="Verdana"/>
          <w:sz w:val="20"/>
          <w:szCs w:val="20"/>
        </w:rPr>
      </w:pPr>
    </w:p>
    <w:p w14:paraId="412FE7E8" w14:textId="684804DF" w:rsidR="000610B2"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La jurisprudencia internacional y en particular de la Corte, ha establecido reiteradamente que la sentencia constituye por sí misma una forma de reparación</w:t>
      </w:r>
      <w:r w:rsidRPr="000864AE">
        <w:rPr>
          <w:rStyle w:val="Refdenotaalpie"/>
          <w:rFonts w:ascii="Verdana" w:eastAsia="Calibri" w:hAnsi="Verdana"/>
          <w:sz w:val="20"/>
          <w:szCs w:val="20"/>
        </w:rPr>
        <w:footnoteReference w:id="306"/>
      </w:r>
      <w:r w:rsidRPr="000864AE">
        <w:rPr>
          <w:rFonts w:ascii="Verdana" w:hAnsi="Verdana"/>
          <w:sz w:val="20"/>
          <w:szCs w:val="20"/>
        </w:rPr>
        <w:t>. No obstante, considerando las circunstancias del presente caso y los sufrimientos que las violaciones cometidas causaron a la víctima, la Corte estima pertinente fijar otras medidas.</w:t>
      </w:r>
    </w:p>
    <w:p w14:paraId="65E07411"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sz w:val="20"/>
          <w:szCs w:val="20"/>
        </w:rPr>
      </w:pPr>
    </w:p>
    <w:p w14:paraId="6ED19746" w14:textId="77777777" w:rsidR="000610B2" w:rsidRPr="000864AE" w:rsidRDefault="000610B2" w:rsidP="000864AE">
      <w:pPr>
        <w:pStyle w:val="Ttulo2"/>
        <w:numPr>
          <w:ilvl w:val="0"/>
          <w:numId w:val="13"/>
        </w:numPr>
        <w:rPr>
          <w:b w:val="0"/>
          <w:i w:val="0"/>
        </w:rPr>
      </w:pPr>
      <w:bookmarkStart w:id="93" w:name="_Toc12726736"/>
      <w:bookmarkStart w:id="94" w:name="_Toc27329790"/>
      <w:r w:rsidRPr="000864AE">
        <w:t>Parte Lesionada</w:t>
      </w:r>
      <w:bookmarkEnd w:id="93"/>
      <w:bookmarkEnd w:id="94"/>
    </w:p>
    <w:p w14:paraId="79A5563B"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sz w:val="20"/>
          <w:szCs w:val="20"/>
        </w:rPr>
      </w:pPr>
    </w:p>
    <w:p w14:paraId="56EA14BC" w14:textId="083DB688" w:rsidR="000610B2"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 xml:space="preserve">Este Tribunal reitera que se considera parte lesionada, en los términos del artículo 63.1 de la Convención, a quien ha sido declarada víctima de la violación de algún derecho reconocido en la misma. Por lo tanto, esta Corte considera como “parte lesionada” a las personas mencionadas en el Anexo 2, quienes en su carácter de víctimas de las violaciones declaradas en el capítulo </w:t>
      </w:r>
      <w:r w:rsidR="00F65D74" w:rsidRPr="000864AE">
        <w:rPr>
          <w:rFonts w:ascii="Verdana" w:hAnsi="Verdana"/>
          <w:sz w:val="20"/>
          <w:szCs w:val="20"/>
        </w:rPr>
        <w:t>VII</w:t>
      </w:r>
      <w:r w:rsidR="002B063D" w:rsidRPr="000864AE">
        <w:rPr>
          <w:rFonts w:ascii="Verdana" w:hAnsi="Verdana"/>
          <w:sz w:val="20"/>
          <w:szCs w:val="20"/>
        </w:rPr>
        <w:t>I</w:t>
      </w:r>
      <w:r w:rsidRPr="000864AE">
        <w:rPr>
          <w:rFonts w:ascii="Verdana" w:hAnsi="Verdana"/>
          <w:sz w:val="20"/>
          <w:szCs w:val="20"/>
        </w:rPr>
        <w:t xml:space="preserve"> de la prese</w:t>
      </w:r>
      <w:r w:rsidR="00F65D74" w:rsidRPr="000864AE">
        <w:rPr>
          <w:rFonts w:ascii="Verdana" w:hAnsi="Verdana"/>
          <w:sz w:val="20"/>
          <w:szCs w:val="20"/>
        </w:rPr>
        <w:t>nte Sentencia, serán consideradas beneficiaria</w:t>
      </w:r>
      <w:r w:rsidRPr="000864AE">
        <w:rPr>
          <w:rFonts w:ascii="Verdana" w:hAnsi="Verdana"/>
          <w:sz w:val="20"/>
          <w:szCs w:val="20"/>
        </w:rPr>
        <w:t>s de las reparaciones que ordene el Tribunal.</w:t>
      </w:r>
    </w:p>
    <w:p w14:paraId="6D2A6183"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sz w:val="20"/>
          <w:szCs w:val="20"/>
        </w:rPr>
      </w:pPr>
    </w:p>
    <w:p w14:paraId="0DEBCA0A" w14:textId="77777777" w:rsidR="000610B2" w:rsidRPr="000864AE" w:rsidRDefault="000610B2" w:rsidP="000864AE">
      <w:pPr>
        <w:pStyle w:val="Ttulo2"/>
        <w:rPr>
          <w:rFonts w:cs="Arial"/>
        </w:rPr>
      </w:pPr>
      <w:bookmarkStart w:id="95" w:name="_Toc12726737"/>
      <w:bookmarkStart w:id="96" w:name="_Toc27329791"/>
      <w:bookmarkStart w:id="97" w:name="_Toc497737920"/>
      <w:r w:rsidRPr="000864AE">
        <w:rPr>
          <w:rFonts w:cs="Arial"/>
        </w:rPr>
        <w:t>Medidas de restitución, satisfacción y garantías de no repetición</w:t>
      </w:r>
      <w:bookmarkEnd w:id="95"/>
      <w:bookmarkEnd w:id="96"/>
    </w:p>
    <w:p w14:paraId="29B2A765" w14:textId="77777777" w:rsidR="000610B2" w:rsidRPr="000864AE" w:rsidRDefault="000610B2" w:rsidP="000864AE">
      <w:pPr>
        <w:spacing w:after="0" w:line="240" w:lineRule="auto"/>
        <w:rPr>
          <w:rFonts w:ascii="Verdana" w:hAnsi="Verdana"/>
          <w:sz w:val="20"/>
          <w:szCs w:val="20"/>
          <w:lang w:val="es-CR" w:eastAsia="es-CR"/>
        </w:rPr>
      </w:pPr>
    </w:p>
    <w:p w14:paraId="45CC854A" w14:textId="77777777" w:rsidR="000610B2" w:rsidRPr="000864AE" w:rsidRDefault="000610B2" w:rsidP="000864AE">
      <w:pPr>
        <w:pStyle w:val="Ttulo3"/>
        <w:numPr>
          <w:ilvl w:val="0"/>
          <w:numId w:val="0"/>
        </w:numPr>
        <w:ind w:left="1353"/>
        <w:rPr>
          <w:rFonts w:cs="Arial"/>
          <w:b w:val="0"/>
          <w:lang w:val="es-CR"/>
        </w:rPr>
      </w:pPr>
      <w:bookmarkStart w:id="98" w:name="_Toc12726738"/>
      <w:bookmarkStart w:id="99" w:name="_Toc27329792"/>
      <w:r w:rsidRPr="000864AE">
        <w:rPr>
          <w:rFonts w:cs="Arial"/>
          <w:lang w:val="es-CR"/>
        </w:rPr>
        <w:t>B.1 Medidas de restitución</w:t>
      </w:r>
      <w:bookmarkEnd w:id="98"/>
      <w:bookmarkEnd w:id="99"/>
    </w:p>
    <w:p w14:paraId="5222392E"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cs="Arial"/>
          <w:sz w:val="20"/>
          <w:szCs w:val="20"/>
          <w:lang w:val="es-CR"/>
        </w:rPr>
      </w:pPr>
    </w:p>
    <w:p w14:paraId="2C9CCD61" w14:textId="27FD3DBE"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La </w:t>
      </w:r>
      <w:r w:rsidRPr="000864AE">
        <w:rPr>
          <w:rFonts w:ascii="Verdana" w:hAnsi="Verdana" w:cs="Arial"/>
          <w:b/>
          <w:i/>
          <w:sz w:val="20"/>
          <w:szCs w:val="20"/>
          <w:lang w:val="es-CR"/>
        </w:rPr>
        <w:t>Comisión</w:t>
      </w:r>
      <w:r w:rsidRPr="000864AE">
        <w:rPr>
          <w:rFonts w:ascii="Verdana" w:hAnsi="Verdana" w:cs="Arial"/>
          <w:sz w:val="20"/>
          <w:szCs w:val="20"/>
          <w:lang w:val="es-CR"/>
        </w:rPr>
        <w:t xml:space="preserve"> solicitó que el Estado de cumplimiento a las sentencias de la Corte Suprema de 25 de octubre de 1993 y del Tribunal Constitucional de 25 de junio de 1996 y 10 de mayo de 2001, lo cual implica la adopción inmediata de las medidas necesarias para el pago de la pensión a las personas incluidas en el Informe de Fondo, bajo el régimen del Decreto 20530. En tal sentido, la Comisión señaló que esto incluye el pago de los montos dejados de percibir desde el momento de su jubilación hasta la fecha en que se haga efectivo el pago. Asimismo, solicitó la implementación de un mecanismo expedito para que en el tiempo más breve posible se establezcan los efectos patrimoniales del fallo en su favor y se disponga su pago sin m</w:t>
      </w:r>
      <w:r w:rsidR="00F65D74" w:rsidRPr="000864AE">
        <w:rPr>
          <w:rFonts w:ascii="Verdana" w:hAnsi="Verdana" w:cs="Arial"/>
          <w:sz w:val="20"/>
          <w:szCs w:val="20"/>
          <w:lang w:val="es-CR"/>
        </w:rPr>
        <w:t>ayores dilaciones y obstáculos.</w:t>
      </w:r>
    </w:p>
    <w:p w14:paraId="4361F3E2"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7D1B4E18" w14:textId="4E5AFC23"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Los </w:t>
      </w:r>
      <w:r w:rsidRPr="000864AE">
        <w:rPr>
          <w:rFonts w:ascii="Verdana" w:hAnsi="Verdana" w:cs="Arial"/>
          <w:b/>
          <w:i/>
          <w:sz w:val="20"/>
          <w:szCs w:val="20"/>
          <w:lang w:val="es-CR"/>
        </w:rPr>
        <w:t>representantes</w:t>
      </w:r>
      <w:r w:rsidRPr="000864AE">
        <w:rPr>
          <w:rFonts w:ascii="Verdana" w:hAnsi="Verdana" w:cs="Arial"/>
          <w:sz w:val="20"/>
          <w:szCs w:val="20"/>
          <w:lang w:val="es-CR"/>
        </w:rPr>
        <w:t xml:space="preserve"> solicitaron que el Estado: a) de cumplimiento a las sentencias de la Corte Suprema de 25 de octubre de 1993,</w:t>
      </w:r>
      <w:r w:rsidR="00173EF1" w:rsidRPr="000864AE">
        <w:rPr>
          <w:rFonts w:ascii="Verdana" w:hAnsi="Verdana" w:cs="Arial"/>
          <w:sz w:val="20"/>
          <w:szCs w:val="20"/>
          <w:lang w:val="es-CR"/>
        </w:rPr>
        <w:t xml:space="preserve"> y las sentencias del</w:t>
      </w:r>
      <w:r w:rsidRPr="000864AE">
        <w:rPr>
          <w:rFonts w:ascii="Verdana" w:hAnsi="Verdana" w:cs="Arial"/>
          <w:sz w:val="20"/>
          <w:szCs w:val="20"/>
          <w:lang w:val="es-CR"/>
        </w:rPr>
        <w:t xml:space="preserve"> Tribunal Constitucional de 25 de junio de 1996</w:t>
      </w:r>
      <w:r w:rsidR="00173EF1" w:rsidRPr="000864AE">
        <w:rPr>
          <w:rFonts w:ascii="Verdana" w:hAnsi="Verdana" w:cs="Arial"/>
          <w:sz w:val="20"/>
          <w:szCs w:val="20"/>
          <w:lang w:val="es-CR"/>
        </w:rPr>
        <w:t xml:space="preserve"> y</w:t>
      </w:r>
      <w:r w:rsidRPr="000864AE">
        <w:rPr>
          <w:rFonts w:ascii="Verdana" w:hAnsi="Verdana" w:cs="Arial"/>
          <w:sz w:val="20"/>
          <w:szCs w:val="20"/>
          <w:lang w:val="es-CR"/>
        </w:rPr>
        <w:t xml:space="preserve"> de 10 de mayo de 2001, en sus propios términos, en cuanto repusieron el derecho de las víctimas a percibir la pensión nivelada con las remuneraciones de los servidores activos de la SUNAT y reintegrar los incrementos permanentes en el tiempo y regulares en su monto, dejados de percibir como conse</w:t>
      </w:r>
      <w:r w:rsidR="00173EF1" w:rsidRPr="000864AE">
        <w:rPr>
          <w:rFonts w:ascii="Verdana" w:hAnsi="Verdana" w:cs="Arial"/>
          <w:sz w:val="20"/>
          <w:szCs w:val="20"/>
          <w:lang w:val="es-CR"/>
        </w:rPr>
        <w:t>cuencia de la aplicación de la T</w:t>
      </w:r>
      <w:r w:rsidRPr="000864AE">
        <w:rPr>
          <w:rFonts w:ascii="Verdana" w:hAnsi="Verdana" w:cs="Arial"/>
          <w:sz w:val="20"/>
          <w:szCs w:val="20"/>
          <w:lang w:val="es-CR"/>
        </w:rPr>
        <w:t xml:space="preserve">ercera Disposición Transitoria del Decreto 673, de conformidad con las normas del Decreto 20530, la Ley 23495 y su reglamento aprobado por el Decreto Supremo No. 0015-83-PCM y vigentes en el momento en que las víctimas adquirieron su derecho; b) </w:t>
      </w:r>
      <w:r w:rsidR="00173EF1" w:rsidRPr="000864AE">
        <w:rPr>
          <w:rFonts w:ascii="Verdana" w:hAnsi="Verdana" w:cs="Arial"/>
          <w:sz w:val="20"/>
          <w:szCs w:val="20"/>
          <w:lang w:val="es-CR"/>
        </w:rPr>
        <w:t>de cumplimiento inmediato a la r</w:t>
      </w:r>
      <w:r w:rsidRPr="000864AE">
        <w:rPr>
          <w:rFonts w:ascii="Verdana" w:hAnsi="Verdana" w:cs="Arial"/>
          <w:sz w:val="20"/>
          <w:szCs w:val="20"/>
          <w:lang w:val="es-CR"/>
        </w:rPr>
        <w:t xml:space="preserve">esolución del </w:t>
      </w:r>
      <w:r w:rsidR="00173EF1" w:rsidRPr="000864AE">
        <w:rPr>
          <w:rFonts w:ascii="Verdana" w:hAnsi="Verdana" w:cs="Arial"/>
          <w:sz w:val="20"/>
          <w:szCs w:val="20"/>
          <w:lang w:val="es-CR"/>
        </w:rPr>
        <w:t xml:space="preserve">Sexagésimo Sexto Juzgado Civil </w:t>
      </w:r>
      <w:r w:rsidRPr="000864AE">
        <w:rPr>
          <w:rFonts w:ascii="Verdana" w:hAnsi="Verdana" w:cs="Arial"/>
          <w:sz w:val="20"/>
          <w:szCs w:val="20"/>
          <w:lang w:val="es-CR"/>
        </w:rPr>
        <w:t>de 3 de marzo de 2006, y c) en relación con las víctimas no tomadas en cuenta en las liquidaciones del informe pericial aproba</w:t>
      </w:r>
      <w:r w:rsidR="00173EF1" w:rsidRPr="000864AE">
        <w:rPr>
          <w:rFonts w:ascii="Verdana" w:hAnsi="Verdana" w:cs="Arial"/>
          <w:sz w:val="20"/>
          <w:szCs w:val="20"/>
          <w:lang w:val="es-CR"/>
        </w:rPr>
        <w:t>do por la r</w:t>
      </w:r>
      <w:r w:rsidRPr="000864AE">
        <w:rPr>
          <w:rFonts w:ascii="Verdana" w:hAnsi="Verdana" w:cs="Arial"/>
          <w:sz w:val="20"/>
          <w:szCs w:val="20"/>
          <w:lang w:val="es-CR"/>
        </w:rPr>
        <w:t>esolución 80, disponga la conformación de un órgano independiente e imparcial que determine, en un plazo razonable y mediante una decisión vinculante y definitiva, el monto de las pensiones niveladas y el reintegro de los incrementos dejados de percibir que les correspondiera hasta el mes de diciembre de 2004.</w:t>
      </w:r>
    </w:p>
    <w:p w14:paraId="621CD088"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3D6F8AFB" w14:textId="032B85DD"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b/>
          <w:sz w:val="20"/>
          <w:szCs w:val="20"/>
          <w:lang w:val="es-CR"/>
        </w:rPr>
        <w:t xml:space="preserve"> </w:t>
      </w:r>
      <w:r w:rsidRPr="000864AE">
        <w:rPr>
          <w:rFonts w:ascii="Verdana" w:hAnsi="Verdana" w:cs="Arial"/>
          <w:sz w:val="20"/>
          <w:szCs w:val="20"/>
          <w:lang w:val="es-CR"/>
        </w:rPr>
        <w:t xml:space="preserve">El </w:t>
      </w:r>
      <w:r w:rsidRPr="000864AE">
        <w:rPr>
          <w:rFonts w:ascii="Verdana" w:hAnsi="Verdana" w:cs="Arial"/>
          <w:b/>
          <w:i/>
          <w:sz w:val="20"/>
          <w:szCs w:val="20"/>
          <w:lang w:val="es-CR"/>
        </w:rPr>
        <w:t>Estado</w:t>
      </w:r>
      <w:r w:rsidRPr="000864AE">
        <w:rPr>
          <w:rFonts w:ascii="Verdana" w:hAnsi="Verdana" w:cs="Arial"/>
          <w:sz w:val="20"/>
          <w:szCs w:val="20"/>
          <w:lang w:val="es-CR"/>
        </w:rPr>
        <w:t xml:space="preserve"> alegó que no se le puede imputar el incumplimiento de una decisión judicial por no ejecutar algo que ella no manda o por realizar algo que ella no prohíbe, ni se puede</w:t>
      </w:r>
      <w:r w:rsidR="00173EF1" w:rsidRPr="000864AE">
        <w:rPr>
          <w:rFonts w:ascii="Verdana" w:hAnsi="Verdana" w:cs="Arial"/>
          <w:sz w:val="20"/>
          <w:szCs w:val="20"/>
          <w:lang w:val="es-CR"/>
        </w:rPr>
        <w:t>n</w:t>
      </w:r>
      <w:r w:rsidRPr="000864AE">
        <w:rPr>
          <w:rFonts w:ascii="Verdana" w:hAnsi="Verdana" w:cs="Arial"/>
          <w:sz w:val="20"/>
          <w:szCs w:val="20"/>
          <w:lang w:val="es-CR"/>
        </w:rPr>
        <w:t xml:space="preserve"> derivar de una sentencia mandatos que no ordena o que van más allá de lo que decide, debido a que las decisiones jurisdicciones deben cumplirse en sus propios términos, sin modificar sus alcances o alterar su sentido. Al respecto, sostuvo que el informe pericial de 18 de octubre de 2011 ha calculado ciertas diferencias económicas basadas fundamentalmente en el tiempo de servicios y otros conceptos que inciden en la pensión pero no están vinculados a su nivelación. En virtud de ello, el Estado sostuvo que dio cabal y estricto cumplimiento a lo resuelto en definitiva en el proceso de amparo mediante la Ej</w:t>
      </w:r>
      <w:r w:rsidR="00173EF1" w:rsidRPr="000864AE">
        <w:rPr>
          <w:rFonts w:ascii="Verdana" w:hAnsi="Verdana" w:cs="Arial"/>
          <w:sz w:val="20"/>
          <w:szCs w:val="20"/>
          <w:lang w:val="es-CR"/>
        </w:rPr>
        <w:t>ecutoria de la Corte Suprema de</w:t>
      </w:r>
      <w:r w:rsidRPr="000864AE">
        <w:rPr>
          <w:rFonts w:ascii="Verdana" w:hAnsi="Verdana" w:cs="Arial"/>
          <w:sz w:val="20"/>
          <w:szCs w:val="20"/>
          <w:lang w:val="es-CR"/>
        </w:rPr>
        <w:t xml:space="preserve"> 25 de octubre de 1993.</w:t>
      </w:r>
      <w:r w:rsidRPr="000864AE">
        <w:rPr>
          <w:rFonts w:ascii="Verdana" w:hAnsi="Verdana" w:cs="Arial"/>
          <w:b/>
          <w:sz w:val="20"/>
          <w:szCs w:val="20"/>
          <w:lang w:val="es-CR"/>
        </w:rPr>
        <w:t xml:space="preserve"> </w:t>
      </w:r>
      <w:r w:rsidRPr="000864AE">
        <w:rPr>
          <w:rFonts w:ascii="Verdana" w:hAnsi="Verdana" w:cs="Arial"/>
          <w:sz w:val="20"/>
          <w:szCs w:val="20"/>
          <w:lang w:val="es-CR"/>
        </w:rPr>
        <w:t>El Estado destacó que el Tribunal Constitucional, mediante resolución de 9 de agosto de 2011, concluyó que no se ha vulnerado los derechos fundamentales de los miembros de ANCEJ</w:t>
      </w:r>
      <w:r w:rsidR="00173EF1" w:rsidRPr="000864AE">
        <w:rPr>
          <w:rFonts w:ascii="Verdana" w:hAnsi="Verdana" w:cs="Arial"/>
          <w:sz w:val="20"/>
          <w:szCs w:val="20"/>
          <w:lang w:val="es-CR"/>
        </w:rPr>
        <w:t>UB-SUNAT, por lo que solicitó</w:t>
      </w:r>
      <w:r w:rsidRPr="000864AE">
        <w:rPr>
          <w:rFonts w:ascii="Verdana" w:hAnsi="Verdana" w:cs="Arial"/>
          <w:sz w:val="20"/>
          <w:szCs w:val="20"/>
          <w:lang w:val="es-CR"/>
        </w:rPr>
        <w:t xml:space="preserve"> que dicha medida de restitución sea rechazada. Por otra parte, respecto a la reparación a las víctimas no tomadas en cuenta, el Estado alegó que previamente se requiere que exista un pronunciamiento judicial sobre el reconocimiento de los derechos de personas que no forman parte de la presente controversia, es decir, de quienes no han agotado los recursos que brinda la jurisdicción interna. Respecto a la conformación de un órgano independiente e imparcial, el Estado manifestó que la necesidad de contar con un órgano con tal función no ha sido debidamente sustentada por los representantes y tal determinación ya fue realizada por los peritos en el marco del proceso de ejecución de sentencia. Finalmente, respecto a la solicitud de nivelación de las pensiones, el Estado sostuvo que corresponde dar cumplimiento a lo dispuesto por los órganos jurisdiccionales, quienes ya se pronunciaron al respecto. Posteriormente, alegó que con la emisión del auto del Tribunal Constitucional de 23 de abril de 2019 se cerró todo debate sobre el presente caso, por lo que solicitó a la Corte que valore y respete dicha decisión, toda vez que la misma ratifica la posición que el Estado ha sostenido a lo largo del proceso</w:t>
      </w:r>
      <w:r w:rsidR="000D03CA" w:rsidRPr="000864AE">
        <w:rPr>
          <w:rFonts w:ascii="Verdana" w:hAnsi="Verdana" w:cs="Arial"/>
          <w:sz w:val="20"/>
          <w:szCs w:val="20"/>
          <w:lang w:val="es-CR"/>
        </w:rPr>
        <w:t>.</w:t>
      </w:r>
    </w:p>
    <w:p w14:paraId="06CC1D83"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398CA76C" w14:textId="1B28FBE3" w:rsidR="000610B2"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En el presente caso, el Tribunal concluyó que el Estado violó el derecho a la protección judicial al no haber garantizado la ejecución integral, sin dilaciones injustificadas, de la sentencia de 25 de octubre de 1993. En tal sentido, la Corte determinó que, pese a haber transcurrido aproximadamente 27 años desde su emisión, el proceso de ejecución de la referida sentencia todavía se encuentra abierto porque aún no se ha hecho efectivo el pago de los reintegros correspondientes a la nivelación de las pensiones de las víctimas durante </w:t>
      </w:r>
      <w:r w:rsidR="00173EF1" w:rsidRPr="000864AE">
        <w:rPr>
          <w:rFonts w:ascii="Verdana" w:hAnsi="Verdana" w:cs="Arial"/>
          <w:sz w:val="20"/>
          <w:szCs w:val="20"/>
          <w:lang w:val="es-CR"/>
        </w:rPr>
        <w:t>el periodo de aplicación de la Tercera Disposición T</w:t>
      </w:r>
      <w:r w:rsidRPr="000864AE">
        <w:rPr>
          <w:rFonts w:ascii="Verdana" w:hAnsi="Verdana" w:cs="Arial"/>
          <w:sz w:val="20"/>
          <w:szCs w:val="20"/>
          <w:lang w:val="es-CR"/>
        </w:rPr>
        <w:t>ransitoria del Decreto 673. En virtud de ello, la Corte determinó que el Estado incumplió con su deber de garantizar los medios necesarios para lograr la ejecución de la sentencia de 25 de octubre de 1993, en contravención a las obligaciones dispuestas en el artículo 25.2.c de la Convención. De igual modo, el Tribunal concluyó que constituye un plazo irrazonable el periodo de 27 de años transcurrido desde la expedición de la sentencia antes mencionada, sin que a la fecha el Estado haya garantizado su cumplimiento integral. Por tanto, la Corte ordena al Estado que garantice el pago efectivo e inmediato de los reintegros pendientes de pago por concepto de lo dispuesto por la sentencia de 25 de octubre de 1993, en los términos fijados por el informe pericial de 18 de octubre de 2011, el cual fue aprobado mediante resoluciones de 13 de juni</w:t>
      </w:r>
      <w:r w:rsidR="00655238" w:rsidRPr="000864AE">
        <w:rPr>
          <w:rFonts w:ascii="Verdana" w:hAnsi="Verdana" w:cs="Arial"/>
          <w:sz w:val="20"/>
          <w:szCs w:val="20"/>
          <w:lang w:val="es-CR"/>
        </w:rPr>
        <w:t>o de 2017 y 23 de abril de 2019.</w:t>
      </w:r>
    </w:p>
    <w:p w14:paraId="63FFBCB0" w14:textId="77777777" w:rsidR="000610B2" w:rsidRPr="000864AE" w:rsidRDefault="000610B2" w:rsidP="000864AE">
      <w:pPr>
        <w:pStyle w:val="Prrafodelista"/>
        <w:spacing w:after="0" w:line="240" w:lineRule="auto"/>
        <w:jc w:val="both"/>
        <w:rPr>
          <w:rFonts w:ascii="Verdana" w:hAnsi="Verdana" w:cs="Arial"/>
          <w:sz w:val="20"/>
          <w:szCs w:val="20"/>
          <w:lang w:val="es-CR"/>
        </w:rPr>
      </w:pPr>
    </w:p>
    <w:p w14:paraId="64F69FB3" w14:textId="77777777" w:rsidR="000610B2" w:rsidRPr="000864AE" w:rsidRDefault="000610B2" w:rsidP="000864AE">
      <w:pPr>
        <w:pStyle w:val="Ttulo3"/>
        <w:numPr>
          <w:ilvl w:val="0"/>
          <w:numId w:val="0"/>
        </w:numPr>
        <w:ind w:left="1353"/>
        <w:rPr>
          <w:rFonts w:cs="Arial"/>
          <w:b w:val="0"/>
          <w:lang w:val="es-CR"/>
        </w:rPr>
      </w:pPr>
      <w:bookmarkStart w:id="100" w:name="_Toc12726739"/>
      <w:bookmarkStart w:id="101" w:name="_Toc27329793"/>
      <w:r w:rsidRPr="000864AE">
        <w:rPr>
          <w:rFonts w:cs="Arial"/>
          <w:lang w:val="es-CR"/>
        </w:rPr>
        <w:t>B.2 Medida de satisfacción</w:t>
      </w:r>
      <w:bookmarkEnd w:id="100"/>
      <w:bookmarkEnd w:id="101"/>
    </w:p>
    <w:p w14:paraId="64598837"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cs="Arial"/>
          <w:sz w:val="20"/>
          <w:szCs w:val="20"/>
          <w:lang w:val="es-CR"/>
        </w:rPr>
      </w:pPr>
    </w:p>
    <w:p w14:paraId="3626649E" w14:textId="588EA649"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Los </w:t>
      </w:r>
      <w:r w:rsidRPr="000864AE">
        <w:rPr>
          <w:rFonts w:ascii="Verdana" w:hAnsi="Verdana" w:cs="Arial"/>
          <w:b/>
          <w:i/>
          <w:sz w:val="20"/>
          <w:szCs w:val="20"/>
          <w:lang w:val="es-CR"/>
        </w:rPr>
        <w:t>representantes</w:t>
      </w:r>
      <w:r w:rsidRPr="000864AE">
        <w:rPr>
          <w:rFonts w:ascii="Verdana" w:hAnsi="Verdana" w:cs="Arial"/>
          <w:sz w:val="20"/>
          <w:szCs w:val="20"/>
          <w:lang w:val="es-CR"/>
        </w:rPr>
        <w:t xml:space="preserve"> solicitaron que el Estado y sus altas autoridades realicen un acto de disculpa pública y reconocimiento de su responsabilidad internacional, así como la publicación de la Sentencia en el Diario Oficial “El Peruano”, con los respectivos títulos y subtítulos, así como la parte resolutiva de la misma. El </w:t>
      </w:r>
      <w:r w:rsidRPr="000864AE">
        <w:rPr>
          <w:rFonts w:ascii="Verdana" w:hAnsi="Verdana" w:cs="Arial"/>
          <w:b/>
          <w:i/>
          <w:sz w:val="20"/>
          <w:szCs w:val="20"/>
          <w:lang w:val="es-CR"/>
        </w:rPr>
        <w:t>Estado</w:t>
      </w:r>
      <w:r w:rsidRPr="000864AE">
        <w:rPr>
          <w:rFonts w:ascii="Verdana" w:hAnsi="Verdana" w:cs="Arial"/>
          <w:sz w:val="20"/>
          <w:szCs w:val="20"/>
          <w:lang w:val="es-CR"/>
        </w:rPr>
        <w:t xml:space="preserve"> señaló que no estima necesario que se ordene esta medida. La </w:t>
      </w:r>
      <w:r w:rsidRPr="000864AE">
        <w:rPr>
          <w:rFonts w:ascii="Verdana" w:hAnsi="Verdana" w:cs="Arial"/>
          <w:b/>
          <w:i/>
          <w:sz w:val="20"/>
          <w:szCs w:val="20"/>
          <w:lang w:val="es-CR"/>
        </w:rPr>
        <w:t xml:space="preserve">Comisión </w:t>
      </w:r>
      <w:r w:rsidRPr="000864AE">
        <w:rPr>
          <w:rFonts w:ascii="Verdana" w:hAnsi="Verdana" w:cs="Arial"/>
          <w:sz w:val="20"/>
          <w:szCs w:val="20"/>
          <w:lang w:val="es-CR"/>
        </w:rPr>
        <w:t>no se pronunció respecto de la solicitud de los representantes.</w:t>
      </w:r>
    </w:p>
    <w:p w14:paraId="64D7635C"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66D86D6C" w14:textId="77777777"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La Corte estima pertinente ordenar, como lo ha hecho en otros casos</w:t>
      </w:r>
      <w:r w:rsidRPr="000864AE">
        <w:rPr>
          <w:rStyle w:val="Refdenotaalpie"/>
          <w:rFonts w:ascii="Verdana" w:hAnsi="Verdana"/>
          <w:sz w:val="20"/>
          <w:szCs w:val="20"/>
        </w:rPr>
        <w:footnoteReference w:id="307"/>
      </w:r>
      <w:r w:rsidRPr="000864AE">
        <w:rPr>
          <w:rFonts w:ascii="Verdana" w:hAnsi="Verdana"/>
          <w:sz w:val="20"/>
          <w:szCs w:val="20"/>
        </w:rPr>
        <w:t>, que el Estado, en el plazo de seis meses contado a partir de la notificación de la presente Sentencia, realice las siguientes publicaciones: a) el resumen oficial de la Sentencia elaborado por la Corte, por una sola vez, en el Diario Oficial y en un diario de amplia circulación nacional, en un tamaño de letra legible y adecuado, y b) la presente Sentencia en su integridad, disponible al menos por un período de un año, en un sitio web del Estado, de manera accesible al público. El Estado deberá́ informar de forma inmediata a esta Corte una vez que proceda a realizar cada una de las publicaciones dispuestas, independientemente del plazo de un año para presentar su primer informe dispuesto en la parte resolutiva de esta Sentencia.</w:t>
      </w:r>
    </w:p>
    <w:p w14:paraId="70E607CE" w14:textId="77777777" w:rsidR="00655238" w:rsidRPr="000864AE" w:rsidRDefault="00655238" w:rsidP="000864AE">
      <w:pPr>
        <w:pStyle w:val="Prrafodelista"/>
        <w:rPr>
          <w:rFonts w:ascii="Verdana" w:hAnsi="Verdana" w:cs="Arial"/>
          <w:sz w:val="20"/>
          <w:szCs w:val="20"/>
          <w:lang w:val="es-CR"/>
        </w:rPr>
      </w:pPr>
    </w:p>
    <w:p w14:paraId="43095E11" w14:textId="17EABF39" w:rsidR="000610B2"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Por otro lado, el Tribunal estima pertinente ordenar que se realice un acto de disculpa pública y reconocimiento de responsabilidad internacional por los hechos del presente caso, en desagravio de las víctimas. En dicho acto se deberá hacer referencia a las violaciones de derechos humanos declaradas en el presente caso, en particular reconociendo la responsabilidad del Estado por las afectaciones </w:t>
      </w:r>
      <w:r w:rsidR="000D03CA" w:rsidRPr="000864AE">
        <w:rPr>
          <w:rFonts w:ascii="Verdana" w:hAnsi="Verdana" w:cs="Arial"/>
          <w:sz w:val="20"/>
          <w:szCs w:val="20"/>
          <w:lang w:val="es-CR"/>
        </w:rPr>
        <w:t>al derecho a la seguridad social</w:t>
      </w:r>
      <w:r w:rsidRPr="000864AE">
        <w:rPr>
          <w:rFonts w:ascii="Verdana" w:hAnsi="Verdana" w:cs="Arial"/>
          <w:sz w:val="20"/>
          <w:szCs w:val="20"/>
          <w:lang w:val="es-CR"/>
        </w:rPr>
        <w:t>. Asimismo, deberá llevarse a cabo mediante una ceremonia pública en presencia de altos funcionarios del Estado y las víctimas. El Estado y las víctimas y/o sus representantes deberán acordar la modalidad de cumplimiento del acto público de reconocimiento, así como las particularidades que se requieran, tales como el lugar y la fecha para su realización</w:t>
      </w:r>
      <w:r w:rsidRPr="000864AE">
        <w:rPr>
          <w:rStyle w:val="Refdenotaalpie"/>
          <w:rFonts w:ascii="Verdana" w:hAnsi="Verdana" w:cs="Arial"/>
          <w:sz w:val="20"/>
          <w:szCs w:val="20"/>
        </w:rPr>
        <w:footnoteReference w:id="308"/>
      </w:r>
      <w:r w:rsidRPr="000864AE">
        <w:rPr>
          <w:rFonts w:ascii="Verdana" w:hAnsi="Verdana" w:cs="Arial"/>
          <w:sz w:val="20"/>
          <w:szCs w:val="20"/>
          <w:lang w:val="es-CR"/>
        </w:rPr>
        <w:t>.</w:t>
      </w:r>
    </w:p>
    <w:p w14:paraId="45B92C4B" w14:textId="77777777" w:rsidR="002D4820" w:rsidRPr="000864AE" w:rsidRDefault="002D4820" w:rsidP="000864AE">
      <w:pPr>
        <w:pStyle w:val="Prrafodelista"/>
        <w:spacing w:after="0" w:line="240" w:lineRule="auto"/>
        <w:ind w:left="0"/>
        <w:jc w:val="both"/>
        <w:rPr>
          <w:rFonts w:ascii="Verdana" w:hAnsi="Verdana"/>
          <w:sz w:val="20"/>
          <w:szCs w:val="20"/>
          <w:lang w:val="es-DO"/>
        </w:rPr>
      </w:pPr>
    </w:p>
    <w:p w14:paraId="68451EB7" w14:textId="77777777" w:rsidR="000610B2" w:rsidRPr="000864AE" w:rsidRDefault="000610B2" w:rsidP="000864AE">
      <w:pPr>
        <w:pStyle w:val="Ttulo3"/>
        <w:numPr>
          <w:ilvl w:val="0"/>
          <w:numId w:val="0"/>
        </w:numPr>
        <w:ind w:left="1353"/>
        <w:rPr>
          <w:rFonts w:cs="Arial"/>
          <w:b w:val="0"/>
          <w:lang w:val="es-CR"/>
        </w:rPr>
      </w:pPr>
      <w:bookmarkStart w:id="102" w:name="_Toc12726740"/>
      <w:bookmarkStart w:id="103" w:name="_Toc27329794"/>
      <w:r w:rsidRPr="000864AE">
        <w:rPr>
          <w:rFonts w:cs="Arial"/>
          <w:lang w:val="es-CR"/>
        </w:rPr>
        <w:t>B.3 Garantías de no repetición</w:t>
      </w:r>
      <w:bookmarkEnd w:id="102"/>
      <w:bookmarkEnd w:id="103"/>
    </w:p>
    <w:p w14:paraId="3EB852E8"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17997502" w14:textId="2FFFB5B7"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La </w:t>
      </w:r>
      <w:r w:rsidRPr="000864AE">
        <w:rPr>
          <w:rFonts w:ascii="Verdana" w:hAnsi="Verdana" w:cs="Arial"/>
          <w:b/>
          <w:i/>
          <w:sz w:val="20"/>
          <w:szCs w:val="20"/>
          <w:lang w:val="es-CR"/>
        </w:rPr>
        <w:t xml:space="preserve">Comisión </w:t>
      </w:r>
      <w:r w:rsidRPr="000864AE">
        <w:rPr>
          <w:rFonts w:ascii="Verdana" w:hAnsi="Verdana" w:cs="Arial"/>
          <w:sz w:val="20"/>
          <w:szCs w:val="20"/>
          <w:lang w:val="es-CR"/>
        </w:rPr>
        <w:t>solicitó que el Estado adopte las medidas legislativas o de otra índole necesarias para evitar la repetición de las violaciones declaradas. En tal sentido, solicitó que el Estado disponga las medidas necesarias para: a) asegurar que las empresas estatales cumplan con los fallos judiciales que reconocen derechos pensionarios a ex-trabajadores; b) asegurar que los procesos de ejecución de sentencia cumplan con el estándar convencional de sencillez y rapidez, y c) asegurar que las autoridades judiciales que conocen tales procesos se encuentran facultadas legalmente y apliquen en la práctica los mecanismos coercitivos necesarios para garantizar el cumplimiento de los fallos judiciales.</w:t>
      </w:r>
    </w:p>
    <w:p w14:paraId="1937B4D2"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507A6400" w14:textId="09B07852"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Los</w:t>
      </w:r>
      <w:r w:rsidRPr="000864AE">
        <w:rPr>
          <w:rFonts w:ascii="Verdana" w:hAnsi="Verdana" w:cs="Arial"/>
          <w:b/>
          <w:sz w:val="20"/>
          <w:szCs w:val="20"/>
          <w:lang w:val="es-CR"/>
        </w:rPr>
        <w:t xml:space="preserve"> </w:t>
      </w:r>
      <w:r w:rsidRPr="000864AE">
        <w:rPr>
          <w:rFonts w:ascii="Verdana" w:hAnsi="Verdana" w:cs="Arial"/>
          <w:b/>
          <w:i/>
          <w:sz w:val="20"/>
          <w:szCs w:val="20"/>
          <w:lang w:val="es-CR"/>
        </w:rPr>
        <w:t>representantes</w:t>
      </w:r>
      <w:r w:rsidRPr="000864AE">
        <w:rPr>
          <w:rFonts w:ascii="Verdana" w:hAnsi="Verdana" w:cs="Arial"/>
          <w:b/>
          <w:sz w:val="20"/>
          <w:szCs w:val="20"/>
          <w:lang w:val="es-CR"/>
        </w:rPr>
        <w:t xml:space="preserve"> </w:t>
      </w:r>
      <w:r w:rsidRPr="000864AE">
        <w:rPr>
          <w:rFonts w:ascii="Verdana" w:hAnsi="Verdana" w:cs="Arial"/>
          <w:sz w:val="20"/>
          <w:szCs w:val="20"/>
          <w:lang w:val="es-CR"/>
        </w:rPr>
        <w:t>solicitaron que</w:t>
      </w:r>
      <w:r w:rsidR="002D4820" w:rsidRPr="000864AE">
        <w:rPr>
          <w:rFonts w:ascii="Verdana" w:hAnsi="Verdana" w:cs="Arial"/>
          <w:sz w:val="20"/>
          <w:szCs w:val="20"/>
          <w:lang w:val="es-CR"/>
        </w:rPr>
        <w:t>:</w:t>
      </w:r>
      <w:r w:rsidRPr="000864AE">
        <w:rPr>
          <w:rFonts w:ascii="Verdana" w:hAnsi="Verdana" w:cs="Arial"/>
          <w:sz w:val="20"/>
          <w:szCs w:val="20"/>
          <w:lang w:val="es-CR"/>
        </w:rPr>
        <w:t xml:space="preserve"> a) el Estado efectúe las modificaciones legislativas que correspondan a fin de que se incorporen y garanticen efectivamente las disposiciones de la Convención Americana sobre debido proceso y protección judicial en el orden interno, asegurando la e</w:t>
      </w:r>
      <w:r w:rsidR="002D4820" w:rsidRPr="000864AE">
        <w:rPr>
          <w:rFonts w:ascii="Verdana" w:hAnsi="Verdana" w:cs="Arial"/>
          <w:sz w:val="20"/>
          <w:szCs w:val="20"/>
          <w:lang w:val="es-CR"/>
        </w:rPr>
        <w:t>ficacia de lo ordenado por las s</w:t>
      </w:r>
      <w:r w:rsidRPr="000864AE">
        <w:rPr>
          <w:rFonts w:ascii="Verdana" w:hAnsi="Verdana" w:cs="Arial"/>
          <w:sz w:val="20"/>
          <w:szCs w:val="20"/>
          <w:lang w:val="es-CR"/>
        </w:rPr>
        <w:t xml:space="preserve">entencias relacionadas con la restitución de derechos económicos y sociales, incluyendo la implementación de las medidas recomendadas al efecto por la Defensoría del Pueblo en sus informes consagrados a esta problemática, lo mismo que autorizar reformas al Presupuesto General </w:t>
      </w:r>
      <w:r w:rsidR="002D4820" w:rsidRPr="000864AE">
        <w:rPr>
          <w:rFonts w:ascii="Verdana" w:hAnsi="Verdana" w:cs="Arial"/>
          <w:sz w:val="20"/>
          <w:szCs w:val="20"/>
          <w:lang w:val="es-CR"/>
        </w:rPr>
        <w:t>de Perú</w:t>
      </w:r>
      <w:r w:rsidRPr="000864AE">
        <w:rPr>
          <w:rFonts w:ascii="Verdana" w:hAnsi="Verdana" w:cs="Arial"/>
          <w:sz w:val="20"/>
          <w:szCs w:val="20"/>
          <w:lang w:val="es-CR"/>
        </w:rPr>
        <w:t xml:space="preserve"> a efectos de que incluya la habilitación de una partida específica dotada de recursos suficientes para asegurar el cumplimiento de las sentencias judiciales que obliguen a la restitución de derechos de naturaleza social, de modo que el plazo de estas deudas, en ningún caso, supere el término de </w:t>
      </w:r>
      <w:r w:rsidR="002D4820" w:rsidRPr="000864AE">
        <w:rPr>
          <w:rFonts w:ascii="Verdana" w:hAnsi="Verdana" w:cs="Arial"/>
          <w:sz w:val="20"/>
          <w:szCs w:val="20"/>
          <w:lang w:val="es-CR"/>
        </w:rPr>
        <w:t>un</w:t>
      </w:r>
      <w:r w:rsidRPr="000864AE">
        <w:rPr>
          <w:rFonts w:ascii="Verdana" w:hAnsi="Verdana" w:cs="Arial"/>
          <w:sz w:val="20"/>
          <w:szCs w:val="20"/>
          <w:lang w:val="es-CR"/>
        </w:rPr>
        <w:t xml:space="preserve"> año desde el momento en que se declare firme la resolución judicial que ordene dicho pago, y b) la Corte disponga la expansión de los efectos de la Sentencia a las demás personas que vienen siendo afectadas pero que no hayan sido parte en el presente proceso.</w:t>
      </w:r>
    </w:p>
    <w:p w14:paraId="397F4008" w14:textId="77777777" w:rsidR="00655238" w:rsidRPr="000864AE" w:rsidRDefault="00655238" w:rsidP="000864AE">
      <w:pPr>
        <w:pStyle w:val="Prrafodelista"/>
        <w:spacing w:after="0" w:line="240" w:lineRule="auto"/>
        <w:ind w:left="0"/>
        <w:jc w:val="both"/>
        <w:rPr>
          <w:rFonts w:ascii="Verdana" w:hAnsi="Verdana"/>
          <w:sz w:val="20"/>
          <w:szCs w:val="20"/>
          <w:lang w:val="es-DO"/>
        </w:rPr>
      </w:pPr>
    </w:p>
    <w:p w14:paraId="49468031" w14:textId="08EE73B6" w:rsidR="00655238" w:rsidRPr="000864AE" w:rsidRDefault="000610B2"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 xml:space="preserve">El </w:t>
      </w:r>
      <w:r w:rsidRPr="000864AE">
        <w:rPr>
          <w:rFonts w:ascii="Verdana" w:hAnsi="Verdana" w:cs="Arial"/>
          <w:b/>
          <w:i/>
          <w:sz w:val="20"/>
          <w:szCs w:val="20"/>
          <w:lang w:val="es-CR"/>
        </w:rPr>
        <w:t>Estado</w:t>
      </w:r>
      <w:r w:rsidRPr="000864AE">
        <w:rPr>
          <w:rFonts w:ascii="Verdana" w:hAnsi="Verdana" w:cs="Arial"/>
          <w:sz w:val="20"/>
          <w:szCs w:val="20"/>
          <w:lang w:val="es-CR"/>
        </w:rPr>
        <w:t xml:space="preserve"> sostuvo que el Congreso de la República ha venido analizando, aprobando y modificando leyes de rango inferior referidas al cumplimiento de</w:t>
      </w:r>
      <w:r w:rsidR="002D4820" w:rsidRPr="000864AE">
        <w:rPr>
          <w:rFonts w:ascii="Verdana" w:hAnsi="Verdana" w:cs="Arial"/>
          <w:sz w:val="20"/>
          <w:szCs w:val="20"/>
          <w:lang w:val="es-CR"/>
        </w:rPr>
        <w:t xml:space="preserve"> sentencias y fallos judiciales</w:t>
      </w:r>
      <w:r w:rsidRPr="000864AE">
        <w:rPr>
          <w:rFonts w:ascii="Verdana" w:hAnsi="Verdana" w:cs="Arial"/>
          <w:sz w:val="20"/>
          <w:szCs w:val="20"/>
          <w:lang w:val="es-CR"/>
        </w:rPr>
        <w:t xml:space="preserve">. En tal sentido, alegó que ha tenido y mantiene al día de hoy su voluntad y predisposición de cumplir con fallos y sentencias judiciales emitidos. Asimismo, señaló que el 19 de agosto de 2018 entró en vigencia la Ley 30841, mediante la cual se establece los criterios de priorización de pagos de deudas laborales, previsionales y por violación de derechos humanos a los acreedores adultos mayores de 65 años de edad y a los acreedores </w:t>
      </w:r>
      <w:r w:rsidR="002D4820" w:rsidRPr="000864AE">
        <w:rPr>
          <w:rFonts w:ascii="Verdana" w:hAnsi="Verdana" w:cs="Arial"/>
          <w:sz w:val="20"/>
          <w:szCs w:val="20"/>
          <w:lang w:val="es-CR"/>
        </w:rPr>
        <w:t>con enfermedad en fase avanzada</w:t>
      </w:r>
      <w:r w:rsidRPr="000864AE">
        <w:rPr>
          <w:rFonts w:ascii="Verdana" w:hAnsi="Verdana" w:cs="Arial"/>
          <w:sz w:val="20"/>
          <w:szCs w:val="20"/>
          <w:lang w:val="es-CR"/>
        </w:rPr>
        <w:t>.</w:t>
      </w:r>
      <w:r w:rsidRPr="000864AE">
        <w:rPr>
          <w:rFonts w:ascii="Verdana" w:hAnsi="Verdana" w:cs="Arial"/>
          <w:b/>
          <w:sz w:val="20"/>
          <w:szCs w:val="20"/>
          <w:lang w:val="es-CR"/>
        </w:rPr>
        <w:t xml:space="preserve"> </w:t>
      </w:r>
      <w:r w:rsidRPr="000864AE">
        <w:rPr>
          <w:rFonts w:ascii="Verdana" w:hAnsi="Verdana" w:cs="Arial"/>
          <w:sz w:val="20"/>
          <w:szCs w:val="20"/>
          <w:lang w:val="es-CR"/>
        </w:rPr>
        <w:t xml:space="preserve">Asimismo, en cuanto a la solicitud de los representantes respecto a la expansión de los efectos de la Sentencia a las demás personas afectadas, el Estado sostuvo que dichas personas deberían previamente cumplir con agotar los recursos que </w:t>
      </w:r>
      <w:r w:rsidR="002D4820" w:rsidRPr="000864AE">
        <w:rPr>
          <w:rFonts w:ascii="Verdana" w:hAnsi="Verdana" w:cs="Arial"/>
          <w:sz w:val="20"/>
          <w:szCs w:val="20"/>
          <w:lang w:val="es-CR"/>
        </w:rPr>
        <w:t>brinda la jurisdicción interna.</w:t>
      </w:r>
    </w:p>
    <w:p w14:paraId="6DF3503C" w14:textId="77777777" w:rsidR="00655238" w:rsidRPr="000864AE" w:rsidRDefault="00655238" w:rsidP="000864AE">
      <w:pPr>
        <w:pStyle w:val="Prrafodelista"/>
        <w:rPr>
          <w:rFonts w:ascii="Verdana" w:hAnsi="Verdana"/>
          <w:sz w:val="20"/>
          <w:szCs w:val="20"/>
        </w:rPr>
      </w:pPr>
    </w:p>
    <w:p w14:paraId="05068258" w14:textId="141C456E" w:rsidR="00655238" w:rsidRPr="000864AE" w:rsidRDefault="004B204D"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En el presente caso, la Corte ordenó una medida de restitución en virtud de las violaciones a los derechos humanos declaradas en la presente sentencia. No obstante, en razón de lo alegado por la Comisión y los representantes, el Tribunal advierte que otros miembros de ANCEJUB-SUNAT pueden encontrarse en situaciones similares a las analizadas en el presente caso, dada la posible falta de ejecución de sentencias judiciales en cuanto a la nivelación de sus pensiones y al pago de los reintegros que hayan dejado de percibir por la aplicación del Decreto 673. La Corte destaca que en aquellos casos donde existan violaciones a las pensiones de grupos vulnerables, es necesario ordenar garantía</w:t>
      </w:r>
      <w:r w:rsidR="002D4820" w:rsidRPr="000864AE">
        <w:rPr>
          <w:rFonts w:ascii="Verdana" w:hAnsi="Verdana"/>
          <w:sz w:val="20"/>
          <w:szCs w:val="20"/>
        </w:rPr>
        <w:t>s</w:t>
      </w:r>
      <w:r w:rsidRPr="000864AE">
        <w:rPr>
          <w:rFonts w:ascii="Verdana" w:hAnsi="Verdana"/>
          <w:sz w:val="20"/>
          <w:szCs w:val="20"/>
        </w:rPr>
        <w:t xml:space="preserve"> de no repetición. </w:t>
      </w:r>
    </w:p>
    <w:p w14:paraId="431E263E" w14:textId="77777777" w:rsidR="00655238" w:rsidRPr="000864AE" w:rsidRDefault="00655238" w:rsidP="000864AE">
      <w:pPr>
        <w:pStyle w:val="Prrafodelista"/>
        <w:rPr>
          <w:rFonts w:ascii="Verdana" w:hAnsi="Verdana"/>
          <w:sz w:val="20"/>
          <w:szCs w:val="20"/>
        </w:rPr>
      </w:pPr>
    </w:p>
    <w:p w14:paraId="71E9736E" w14:textId="77777777" w:rsidR="00655238" w:rsidRPr="000864AE" w:rsidRDefault="004B204D"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 xml:space="preserve">En virtud de ello, como garantía de no repetición, el Tribunal considera conveniente ordenar al Estado la creación de un registro que identifique: a) otros integrantes de ANCEJUB-SUNAT que no figuran como víctimas en este caso, y b) otras personas que, no siendo miembros de dicha asociación, sean cesantes o jubilados de la Superintendencia Nacional de Administración Tributaria, que enfrentan condiciones similares a las víctimas del presente caso, en el sentido de que han sido beneficiarios de una sentencia judicial o decisión administrativa, ya sea en el marco de un proceso de amparo u cualquier otro recurso judicial o trámite administrativo contra la aplicación del Decreto 673, que les reconoce, restituye u otorga derechos pensionarios, y cuya ejecución no se haya iniciado o todavía se encuentre abierta. </w:t>
      </w:r>
    </w:p>
    <w:p w14:paraId="7226ACFE" w14:textId="77777777" w:rsidR="00655238" w:rsidRPr="000864AE" w:rsidRDefault="00655238" w:rsidP="000864AE">
      <w:pPr>
        <w:pStyle w:val="Prrafodelista"/>
        <w:rPr>
          <w:rFonts w:ascii="Verdana" w:hAnsi="Verdana"/>
          <w:sz w:val="20"/>
          <w:szCs w:val="20"/>
        </w:rPr>
      </w:pPr>
    </w:p>
    <w:p w14:paraId="04A49E33" w14:textId="77777777" w:rsidR="00655238" w:rsidRPr="000864AE" w:rsidRDefault="004B204D"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sz w:val="20"/>
          <w:szCs w:val="20"/>
        </w:rPr>
        <w:t xml:space="preserve">El Estado se encargará de: a) crear y manejar el registro, en el que inscribirá e individualizará adecuadamente a todas las personas que reúnan las condiciones referidas en esta medida, y b) recopilar, revisar y registrar la información y/o documentación de su proceso judicial, condiciones de trabajo mientras fue servidor del Estado (puesto, categoría, salario, tiempo de servicios, fecha del cese, etc.) y cualquier otro dato o documento necesario para ejecutar integralmente la sentencia emitida a su favor. </w:t>
      </w:r>
    </w:p>
    <w:p w14:paraId="07335BE2" w14:textId="77777777" w:rsidR="00655238" w:rsidRPr="000864AE" w:rsidRDefault="00655238" w:rsidP="000864AE">
      <w:pPr>
        <w:pStyle w:val="Prrafodelista"/>
        <w:rPr>
          <w:rFonts w:ascii="Verdana" w:hAnsi="Verdana" w:cs="Arial"/>
          <w:sz w:val="20"/>
          <w:szCs w:val="20"/>
          <w:lang w:val="es-CR"/>
        </w:rPr>
      </w:pPr>
    </w:p>
    <w:p w14:paraId="3FD0B04A" w14:textId="39F2A4E1" w:rsidR="000610B2" w:rsidRPr="000864AE" w:rsidRDefault="004B204D" w:rsidP="000864AE">
      <w:pPr>
        <w:pStyle w:val="Prrafodelista"/>
        <w:numPr>
          <w:ilvl w:val="0"/>
          <w:numId w:val="10"/>
        </w:numPr>
        <w:spacing w:after="0" w:line="240" w:lineRule="auto"/>
        <w:ind w:left="0" w:firstLine="0"/>
        <w:jc w:val="both"/>
        <w:rPr>
          <w:rFonts w:ascii="Verdana" w:hAnsi="Verdana"/>
          <w:sz w:val="20"/>
          <w:szCs w:val="20"/>
          <w:lang w:val="es-DO"/>
        </w:rPr>
      </w:pPr>
      <w:r w:rsidRPr="000864AE">
        <w:rPr>
          <w:rFonts w:ascii="Verdana" w:hAnsi="Verdana" w:cs="Arial"/>
          <w:sz w:val="20"/>
          <w:szCs w:val="20"/>
          <w:lang w:val="es-CR"/>
        </w:rPr>
        <w:t>Para la creación del referido registro, el Estado cuenta con un plazo de seis meses, contado a partir de la notificación de la Sentencia. Una vez creado el registro, el Estado deberá informar anualmente sobre los avances de la garantía de no repetición antes mencionada por un periodo de tres años. La Corte valorará esta información en la etapa de supervisión de la presente sentencia y se pronunciará al respecto</w:t>
      </w:r>
      <w:r w:rsidR="00655238" w:rsidRPr="000864AE">
        <w:rPr>
          <w:rFonts w:ascii="Verdana" w:hAnsi="Verdana" w:cs="Arial"/>
          <w:sz w:val="20"/>
          <w:szCs w:val="20"/>
          <w:lang w:val="es-CR"/>
        </w:rPr>
        <w:t>.</w:t>
      </w:r>
    </w:p>
    <w:bookmarkEnd w:id="97"/>
    <w:p w14:paraId="4407E272"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7D8707E7" w14:textId="77777777" w:rsidR="000610B2" w:rsidRPr="000864AE" w:rsidRDefault="000610B2" w:rsidP="000864AE">
      <w:pPr>
        <w:pStyle w:val="Ttulo2"/>
        <w:rPr>
          <w:rFonts w:cs="Arial"/>
        </w:rPr>
      </w:pPr>
      <w:bookmarkStart w:id="104" w:name="_Toc12726742"/>
      <w:bookmarkStart w:id="105" w:name="_Toc27329795"/>
      <w:r w:rsidRPr="000864AE">
        <w:rPr>
          <w:rFonts w:cs="Arial"/>
        </w:rPr>
        <w:t>Indemnizaciones compensatorias</w:t>
      </w:r>
      <w:bookmarkEnd w:id="104"/>
      <w:bookmarkEnd w:id="105"/>
    </w:p>
    <w:p w14:paraId="4047169D" w14:textId="77777777" w:rsidR="000610B2" w:rsidRPr="000864AE" w:rsidRDefault="000610B2" w:rsidP="000864AE">
      <w:pPr>
        <w:spacing w:after="0" w:line="240" w:lineRule="auto"/>
        <w:rPr>
          <w:rFonts w:ascii="Verdana" w:hAnsi="Verdana"/>
          <w:sz w:val="20"/>
          <w:szCs w:val="20"/>
          <w:lang w:val="es-CR" w:eastAsia="es-CR"/>
        </w:rPr>
      </w:pPr>
    </w:p>
    <w:p w14:paraId="023B5BE2" w14:textId="77777777" w:rsidR="000610B2" w:rsidRPr="000864AE" w:rsidRDefault="000610B2" w:rsidP="000864AE">
      <w:pPr>
        <w:pStyle w:val="Ttulo3"/>
        <w:numPr>
          <w:ilvl w:val="0"/>
          <w:numId w:val="0"/>
        </w:numPr>
        <w:ind w:left="1353"/>
        <w:rPr>
          <w:rFonts w:cs="Arial"/>
          <w:b w:val="0"/>
          <w:lang w:val="es-CR"/>
        </w:rPr>
      </w:pPr>
      <w:bookmarkStart w:id="106" w:name="_Toc12726743"/>
      <w:bookmarkStart w:id="107" w:name="_Toc27329796"/>
      <w:r w:rsidRPr="000864AE">
        <w:rPr>
          <w:rFonts w:cs="Arial"/>
          <w:lang w:val="es-CR"/>
        </w:rPr>
        <w:t>C.1 Daño material</w:t>
      </w:r>
      <w:bookmarkEnd w:id="106"/>
      <w:bookmarkEnd w:id="107"/>
    </w:p>
    <w:p w14:paraId="3A408E38" w14:textId="77777777" w:rsidR="000610B2" w:rsidRPr="000864AE" w:rsidRDefault="000610B2" w:rsidP="000864A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p>
    <w:p w14:paraId="49693D04" w14:textId="4096C357"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cs="Arial"/>
          <w:sz w:val="20"/>
          <w:szCs w:val="20"/>
          <w:lang w:val="es-CR"/>
        </w:rPr>
        <w:t xml:space="preserve">La </w:t>
      </w:r>
      <w:r w:rsidRPr="000864AE">
        <w:rPr>
          <w:rFonts w:ascii="Verdana" w:hAnsi="Verdana" w:cs="Arial"/>
          <w:b/>
          <w:i/>
          <w:sz w:val="20"/>
          <w:szCs w:val="20"/>
          <w:lang w:val="es-CR"/>
        </w:rPr>
        <w:t xml:space="preserve">Comisión </w:t>
      </w:r>
      <w:r w:rsidRPr="000864AE">
        <w:rPr>
          <w:rFonts w:ascii="Verdana" w:hAnsi="Verdana" w:cs="Arial"/>
          <w:sz w:val="20"/>
          <w:szCs w:val="20"/>
          <w:lang w:val="es-CR"/>
        </w:rPr>
        <w:t>solicitó que el Estado repare integralmente las violaciones declaradas, incluyendo una debida compensación que incluya el daño material causado. El tal sentido, indicó que dicha compensación debe ser implementada no sólo respecto de los miembros de la ANCEJUB-SUNAT que continúan con vida, sino también respecto de aquellos que fallecieron a la espera del cumplimiento del fallo en su favor, haciendo efectiva la repara</w:t>
      </w:r>
      <w:r w:rsidR="002D4820" w:rsidRPr="000864AE">
        <w:rPr>
          <w:rFonts w:ascii="Verdana" w:hAnsi="Verdana" w:cs="Arial"/>
          <w:sz w:val="20"/>
          <w:szCs w:val="20"/>
          <w:lang w:val="es-CR"/>
        </w:rPr>
        <w:t>ción respecto de sus familiares</w:t>
      </w:r>
      <w:r w:rsidRPr="000864AE">
        <w:rPr>
          <w:rFonts w:ascii="Verdana" w:hAnsi="Verdana" w:cs="Arial"/>
          <w:sz w:val="20"/>
          <w:szCs w:val="20"/>
          <w:lang w:val="es-CR"/>
        </w:rPr>
        <w:t>.</w:t>
      </w:r>
    </w:p>
    <w:p w14:paraId="72EEB551" w14:textId="77777777" w:rsidR="00806348" w:rsidRPr="000864AE" w:rsidRDefault="00806348"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57D55CBE" w14:textId="05567268"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Los</w:t>
      </w:r>
      <w:r w:rsidRPr="000864AE">
        <w:rPr>
          <w:rFonts w:ascii="Verdana" w:eastAsia="Arial" w:hAnsi="Verdana" w:cs="Arial"/>
          <w:b/>
          <w:sz w:val="20"/>
          <w:szCs w:val="20"/>
          <w:lang w:val="es-ES"/>
        </w:rPr>
        <w:t xml:space="preserve"> </w:t>
      </w:r>
      <w:r w:rsidRPr="000864AE">
        <w:rPr>
          <w:rFonts w:ascii="Verdana" w:eastAsia="Arial" w:hAnsi="Verdana" w:cs="Arial"/>
          <w:b/>
          <w:i/>
          <w:sz w:val="20"/>
          <w:szCs w:val="20"/>
          <w:lang w:val="es-ES"/>
        </w:rPr>
        <w:t>representantes</w:t>
      </w:r>
      <w:r w:rsidRPr="000864AE">
        <w:rPr>
          <w:rFonts w:ascii="Verdana" w:eastAsia="Arial" w:hAnsi="Verdana" w:cs="Arial"/>
          <w:b/>
          <w:sz w:val="20"/>
          <w:szCs w:val="20"/>
          <w:lang w:val="es-ES"/>
        </w:rPr>
        <w:t xml:space="preserve"> </w:t>
      </w:r>
      <w:r w:rsidRPr="000864AE">
        <w:rPr>
          <w:rFonts w:ascii="Verdana" w:eastAsia="Arial" w:hAnsi="Verdana" w:cs="Arial"/>
          <w:sz w:val="20"/>
          <w:szCs w:val="20"/>
          <w:lang w:val="es-ES"/>
        </w:rPr>
        <w:t>solicitaron que el Estado abone a las víctimas la</w:t>
      </w:r>
      <w:r w:rsidR="002D4820" w:rsidRPr="000864AE">
        <w:rPr>
          <w:rFonts w:ascii="Verdana" w:eastAsia="Arial" w:hAnsi="Verdana" w:cs="Arial"/>
          <w:sz w:val="20"/>
          <w:szCs w:val="20"/>
          <w:lang w:val="es-ES"/>
        </w:rPr>
        <w:t>s cantidades no percibidas por e</w:t>
      </w:r>
      <w:r w:rsidRPr="000864AE">
        <w:rPr>
          <w:rFonts w:ascii="Verdana" w:eastAsia="Arial" w:hAnsi="Verdana" w:cs="Arial"/>
          <w:sz w:val="20"/>
          <w:szCs w:val="20"/>
          <w:lang w:val="es-ES"/>
        </w:rPr>
        <w:t xml:space="preserve">stas, que sean determinadas por el órgano independiente e imparcial al que deben tener acceso las víctimas, en relación con las diferencias entre la pensión mensual resultante al mes de diciembre de 2004 y las pensiones congeladas pagadas a partir del mes de enero de 2005, hasta el mes anterior al mes en que cumpla el Estado con empezar a abonar la nueva pensión resultante, con los términos legales correspondientes. En tal sentido, solicitaron que dicho órgano determine, mediante una decisión vinculante y definitiva, el monto indemnizatorio por daño material producido a partir del año 2005, el cual deberá ser pagado por el Estado a cada una de las víctimas </w:t>
      </w:r>
      <w:r w:rsidR="002D4820" w:rsidRPr="000864AE">
        <w:rPr>
          <w:rFonts w:ascii="Verdana" w:eastAsia="Arial" w:hAnsi="Verdana" w:cs="Arial"/>
          <w:sz w:val="20"/>
          <w:szCs w:val="20"/>
          <w:lang w:val="es-ES"/>
        </w:rPr>
        <w:t>o sus sucesores en caso de que e</w:t>
      </w:r>
      <w:r w:rsidRPr="000864AE">
        <w:rPr>
          <w:rFonts w:ascii="Verdana" w:eastAsia="Arial" w:hAnsi="Verdana" w:cs="Arial"/>
          <w:sz w:val="20"/>
          <w:szCs w:val="20"/>
          <w:lang w:val="es-ES"/>
        </w:rPr>
        <w:t xml:space="preserve">stas hubieren fallecido. Asimismo, solicitaron que dicha decisión final se adopte conjuntamente con la primera, dentro del plazo máximo de un año a partir de la notificación de la Sentencia, y el pago del daño material se efectúe dentro del plazo máximo de un año de </w:t>
      </w:r>
      <w:r w:rsidR="002D4820" w:rsidRPr="000864AE">
        <w:rPr>
          <w:rFonts w:ascii="Verdana" w:eastAsia="Arial" w:hAnsi="Verdana" w:cs="Arial"/>
          <w:sz w:val="20"/>
          <w:szCs w:val="20"/>
          <w:lang w:val="es-ES"/>
        </w:rPr>
        <w:t>notificada dicha decisión final</w:t>
      </w:r>
      <w:r w:rsidRPr="000864AE">
        <w:rPr>
          <w:rFonts w:ascii="Verdana" w:eastAsia="Arial" w:hAnsi="Verdana" w:cs="Arial"/>
          <w:sz w:val="20"/>
          <w:szCs w:val="20"/>
          <w:lang w:val="es-ES"/>
        </w:rPr>
        <w:t>.</w:t>
      </w:r>
    </w:p>
    <w:p w14:paraId="5269B15F" w14:textId="77777777" w:rsidR="00806348" w:rsidRPr="000864AE" w:rsidRDefault="00806348" w:rsidP="000864AE">
      <w:pPr>
        <w:pStyle w:val="Prrafodelista"/>
        <w:rPr>
          <w:rFonts w:ascii="Verdana" w:eastAsia="Arial" w:hAnsi="Verdana" w:cs="Arial"/>
          <w:sz w:val="20"/>
          <w:szCs w:val="20"/>
          <w:lang w:val="es-ES"/>
        </w:rPr>
      </w:pPr>
    </w:p>
    <w:p w14:paraId="263E91F5" w14:textId="45EEF72E"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El</w:t>
      </w:r>
      <w:r w:rsidRPr="000864AE">
        <w:rPr>
          <w:rFonts w:ascii="Verdana" w:eastAsia="Arial" w:hAnsi="Verdana" w:cs="Arial"/>
          <w:b/>
          <w:sz w:val="20"/>
          <w:szCs w:val="20"/>
          <w:lang w:val="es-ES"/>
        </w:rPr>
        <w:t xml:space="preserve"> </w:t>
      </w:r>
      <w:r w:rsidRPr="000864AE">
        <w:rPr>
          <w:rFonts w:ascii="Verdana" w:eastAsia="Arial" w:hAnsi="Verdana" w:cs="Arial"/>
          <w:b/>
          <w:i/>
          <w:sz w:val="20"/>
          <w:szCs w:val="20"/>
          <w:lang w:val="es-ES"/>
        </w:rPr>
        <w:t>Estado</w:t>
      </w:r>
      <w:r w:rsidRPr="000864AE">
        <w:rPr>
          <w:rFonts w:ascii="Verdana" w:eastAsia="Arial" w:hAnsi="Verdana" w:cs="Arial"/>
          <w:b/>
          <w:sz w:val="20"/>
          <w:szCs w:val="20"/>
          <w:lang w:val="es-ES"/>
        </w:rPr>
        <w:t xml:space="preserve"> </w:t>
      </w:r>
      <w:r w:rsidRPr="000864AE">
        <w:rPr>
          <w:rFonts w:ascii="Verdana" w:eastAsia="Arial" w:hAnsi="Verdana" w:cs="Arial"/>
          <w:sz w:val="20"/>
          <w:szCs w:val="20"/>
          <w:lang w:val="es-ES"/>
        </w:rPr>
        <w:t>sostuvo que no ha vulnerado ningún derecho establecido en la Convención Americana, por lo que no se ha configurado responsabilidad internacional estatal que requiera que se ordene una reparación que incluya daño material, por lo que no es factible reparación alguna a favor de los miembros de la ANCEJUB-SUNAT. Asimismo, alegó que los representantes no aportaron medios probatorios idóneos para acreditar que se les causó un daño ni han sustentado cuál es la relación de causalidad entre los actos u omisiones imputadas al Estado y la generación directa</w:t>
      </w:r>
      <w:r w:rsidR="002D4820" w:rsidRPr="000864AE">
        <w:rPr>
          <w:rFonts w:ascii="Verdana" w:eastAsia="Arial" w:hAnsi="Verdana" w:cs="Arial"/>
          <w:sz w:val="20"/>
          <w:szCs w:val="20"/>
          <w:lang w:val="es-ES"/>
        </w:rPr>
        <w:t xml:space="preserve"> y concreta de daños materiales</w:t>
      </w:r>
      <w:r w:rsidRPr="000864AE">
        <w:rPr>
          <w:rFonts w:ascii="Verdana" w:eastAsia="Arial" w:hAnsi="Verdana" w:cs="Arial"/>
          <w:sz w:val="20"/>
          <w:szCs w:val="20"/>
          <w:lang w:val="es-ES"/>
        </w:rPr>
        <w:t>.</w:t>
      </w:r>
    </w:p>
    <w:p w14:paraId="12FF6992" w14:textId="77777777" w:rsidR="00806348" w:rsidRPr="000864AE" w:rsidRDefault="00806348" w:rsidP="000864AE">
      <w:pPr>
        <w:pStyle w:val="Prrafodelista"/>
        <w:rPr>
          <w:rFonts w:ascii="Verdana" w:eastAsia="Arial" w:hAnsi="Verdana" w:cs="Arial"/>
          <w:sz w:val="20"/>
          <w:szCs w:val="20"/>
          <w:lang w:val="es-ES"/>
        </w:rPr>
      </w:pPr>
    </w:p>
    <w:p w14:paraId="14056412" w14:textId="497233CD" w:rsidR="000610B2"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 xml:space="preserve">De acuerdo a las violaciones declaradas en esta Sentencia, el Tribunal observa que el daño material ocasionado en el presente caso surge a partir de la inejecución del fallo de la Corte Suprema de Justicia de 25 de octubre de 1993. En virtud de ello, la Corte considera que la medida de restitución ordenada resulta suficiente para reparar el daño material causado a las víctimas. </w:t>
      </w:r>
    </w:p>
    <w:p w14:paraId="2DDCD331" w14:textId="77777777" w:rsidR="000610B2" w:rsidRPr="000864AE" w:rsidRDefault="000610B2" w:rsidP="000864AE">
      <w:pPr>
        <w:widowControl w:val="0"/>
        <w:tabs>
          <w:tab w:val="left" w:pos="567"/>
          <w:tab w:val="num" w:pos="12305"/>
        </w:tabs>
        <w:adjustRightInd w:val="0"/>
        <w:spacing w:after="0" w:line="240" w:lineRule="auto"/>
        <w:jc w:val="both"/>
        <w:textAlignment w:val="baseline"/>
        <w:rPr>
          <w:rFonts w:ascii="Verdana" w:eastAsia="Arial" w:hAnsi="Verdana" w:cs="Arial"/>
          <w:sz w:val="20"/>
          <w:szCs w:val="20"/>
          <w:lang w:val="es-ES"/>
        </w:rPr>
      </w:pPr>
    </w:p>
    <w:p w14:paraId="0B9ED1AD" w14:textId="77777777" w:rsidR="000610B2" w:rsidRPr="000864AE" w:rsidRDefault="000610B2" w:rsidP="000864AE">
      <w:pPr>
        <w:pStyle w:val="Ttulo3"/>
        <w:numPr>
          <w:ilvl w:val="0"/>
          <w:numId w:val="0"/>
        </w:numPr>
        <w:ind w:left="1353"/>
        <w:rPr>
          <w:rFonts w:cs="Arial"/>
          <w:lang w:val="es-CR"/>
        </w:rPr>
      </w:pPr>
      <w:bookmarkStart w:id="108" w:name="_Toc12726744"/>
      <w:bookmarkStart w:id="109" w:name="_Toc27329797"/>
      <w:r w:rsidRPr="000864AE">
        <w:rPr>
          <w:rFonts w:cs="Arial"/>
          <w:lang w:val="es-CR"/>
        </w:rPr>
        <w:t>C.2 Daño inmaterial</w:t>
      </w:r>
      <w:bookmarkEnd w:id="108"/>
      <w:bookmarkEnd w:id="109"/>
    </w:p>
    <w:p w14:paraId="66DE8946" w14:textId="77777777" w:rsidR="000610B2" w:rsidRPr="000864AE" w:rsidRDefault="000610B2" w:rsidP="000864AE">
      <w:pPr>
        <w:widowControl w:val="0"/>
        <w:tabs>
          <w:tab w:val="left" w:pos="567"/>
        </w:tabs>
        <w:adjustRightInd w:val="0"/>
        <w:spacing w:after="0" w:line="240" w:lineRule="auto"/>
        <w:jc w:val="both"/>
        <w:textAlignment w:val="baseline"/>
        <w:rPr>
          <w:rFonts w:ascii="Verdana" w:eastAsia="Arial" w:hAnsi="Verdana" w:cs="Arial"/>
          <w:sz w:val="20"/>
          <w:szCs w:val="20"/>
          <w:lang w:val="es-ES"/>
        </w:rPr>
      </w:pPr>
    </w:p>
    <w:p w14:paraId="643337D0" w14:textId="5F74E763"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cs="Arial"/>
          <w:sz w:val="20"/>
          <w:szCs w:val="20"/>
          <w:lang w:val="es-CR"/>
        </w:rPr>
        <w:t xml:space="preserve">La </w:t>
      </w:r>
      <w:r w:rsidRPr="000864AE">
        <w:rPr>
          <w:rFonts w:ascii="Verdana" w:hAnsi="Verdana" w:cs="Arial"/>
          <w:b/>
          <w:i/>
          <w:sz w:val="20"/>
          <w:szCs w:val="20"/>
          <w:lang w:val="es-CR"/>
        </w:rPr>
        <w:t xml:space="preserve">Comisión </w:t>
      </w:r>
      <w:r w:rsidRPr="000864AE">
        <w:rPr>
          <w:rFonts w:ascii="Verdana" w:hAnsi="Verdana" w:cs="Arial"/>
          <w:sz w:val="20"/>
          <w:szCs w:val="20"/>
          <w:lang w:val="es-CR"/>
        </w:rPr>
        <w:t xml:space="preserve">solicitó que el Estado repare integralmente las violaciones declaradas, incluyendo una debida compensación que incluya el daño inmaterial causado. El tal sentido, indicó que dicha compensación debe ser implementada no sólo respecto de los miembros de ANCEJUB-SUNAT que continúan con vida, sino también respecto de aquellos que fallecieron a la espera del cumplimiento del fallo en su favor, haciendo efectiva la reparación respecto de sus </w:t>
      </w:r>
      <w:r w:rsidR="002D4820" w:rsidRPr="000864AE">
        <w:rPr>
          <w:rFonts w:ascii="Verdana" w:hAnsi="Verdana" w:cs="Arial"/>
          <w:sz w:val="20"/>
          <w:szCs w:val="20"/>
          <w:lang w:val="es-CR"/>
        </w:rPr>
        <w:t>familiares.</w:t>
      </w:r>
    </w:p>
    <w:p w14:paraId="7A171504" w14:textId="77777777" w:rsidR="00806348" w:rsidRPr="000864AE" w:rsidRDefault="00806348"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0F26A802" w14:textId="592C5A04"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 xml:space="preserve">Los </w:t>
      </w:r>
      <w:r w:rsidRPr="000864AE">
        <w:rPr>
          <w:rFonts w:ascii="Verdana" w:eastAsia="Arial" w:hAnsi="Verdana" w:cs="Arial"/>
          <w:b/>
          <w:i/>
          <w:sz w:val="20"/>
          <w:szCs w:val="20"/>
          <w:lang w:val="es-ES"/>
        </w:rPr>
        <w:t>representantes</w:t>
      </w:r>
      <w:r w:rsidRPr="000864AE">
        <w:rPr>
          <w:rFonts w:ascii="Verdana" w:eastAsia="Arial" w:hAnsi="Verdana" w:cs="Arial"/>
          <w:b/>
          <w:sz w:val="20"/>
          <w:szCs w:val="20"/>
          <w:lang w:val="es-ES"/>
        </w:rPr>
        <w:t xml:space="preserve"> </w:t>
      </w:r>
      <w:r w:rsidRPr="000864AE">
        <w:rPr>
          <w:rFonts w:ascii="Verdana" w:eastAsia="Arial" w:hAnsi="Verdana" w:cs="Arial"/>
          <w:sz w:val="20"/>
          <w:szCs w:val="20"/>
          <w:lang w:val="es-ES"/>
        </w:rPr>
        <w:t>solicitaron que el Estado pague a las víctimas una indemnización por daño inmaterial cuya cuantía comprenda: a) el resarcimiento de la afectación a las víctimas por la excesiva duración del proceso; b) el sufrimiento que provocó a las víctimas la violación de sus derechos humanos, y c) la afectación a su proyec</w:t>
      </w:r>
      <w:r w:rsidR="002D4820" w:rsidRPr="000864AE">
        <w:rPr>
          <w:rFonts w:ascii="Verdana" w:eastAsia="Arial" w:hAnsi="Verdana" w:cs="Arial"/>
          <w:sz w:val="20"/>
          <w:szCs w:val="20"/>
          <w:lang w:val="es-ES"/>
        </w:rPr>
        <w:t>to de vida.</w:t>
      </w:r>
    </w:p>
    <w:p w14:paraId="62DEF31A" w14:textId="77777777" w:rsidR="00806348" w:rsidRPr="000864AE" w:rsidRDefault="00806348" w:rsidP="000864AE">
      <w:pPr>
        <w:pStyle w:val="Prrafodelista"/>
        <w:rPr>
          <w:rFonts w:ascii="Verdana" w:eastAsia="Arial" w:hAnsi="Verdana" w:cs="Arial"/>
          <w:sz w:val="20"/>
          <w:szCs w:val="20"/>
          <w:lang w:val="es-ES"/>
        </w:rPr>
      </w:pPr>
    </w:p>
    <w:p w14:paraId="78E413B4" w14:textId="49BFDD69"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El</w:t>
      </w:r>
      <w:r w:rsidRPr="000864AE">
        <w:rPr>
          <w:rFonts w:ascii="Verdana" w:eastAsia="Arial" w:hAnsi="Verdana" w:cs="Arial"/>
          <w:b/>
          <w:sz w:val="20"/>
          <w:szCs w:val="20"/>
          <w:lang w:val="es-ES"/>
        </w:rPr>
        <w:t xml:space="preserve"> </w:t>
      </w:r>
      <w:r w:rsidRPr="000864AE">
        <w:rPr>
          <w:rFonts w:ascii="Verdana" w:eastAsia="Arial" w:hAnsi="Verdana" w:cs="Arial"/>
          <w:b/>
          <w:i/>
          <w:sz w:val="20"/>
          <w:szCs w:val="20"/>
          <w:lang w:val="es-ES"/>
        </w:rPr>
        <w:t>Estado</w:t>
      </w:r>
      <w:r w:rsidRPr="000864AE">
        <w:rPr>
          <w:rFonts w:ascii="Verdana" w:eastAsia="Arial" w:hAnsi="Verdana" w:cs="Arial"/>
          <w:b/>
          <w:sz w:val="20"/>
          <w:szCs w:val="20"/>
          <w:lang w:val="es-ES"/>
        </w:rPr>
        <w:t xml:space="preserve"> </w:t>
      </w:r>
      <w:r w:rsidRPr="000864AE">
        <w:rPr>
          <w:rFonts w:ascii="Verdana" w:eastAsia="Arial" w:hAnsi="Verdana" w:cs="Arial"/>
          <w:sz w:val="20"/>
          <w:szCs w:val="20"/>
          <w:lang w:val="es-ES"/>
        </w:rPr>
        <w:t>sostuvo que no ha vulnerado ningún derecho establecido en la Convención Americana, por lo que no se ha configurado responsabilidad internacional estatal que requiera que se ordene una reparación que incluya daño inmaterial, por lo que no es factible reparación alguna a favor de los miembros de ANCEJUB-SUNAT. Asimismo, respecto a la afectación al proyecto de vida alegada por los representantes, el Estado indicó que dicho criterio ya no es utilizado por la Corte y señaló que el peritaje psicológico aportado por los</w:t>
      </w:r>
      <w:r w:rsidR="002D4820" w:rsidRPr="000864AE">
        <w:rPr>
          <w:rFonts w:ascii="Verdana" w:eastAsia="Arial" w:hAnsi="Verdana" w:cs="Arial"/>
          <w:sz w:val="20"/>
          <w:szCs w:val="20"/>
          <w:lang w:val="es-ES"/>
        </w:rPr>
        <w:t xml:space="preserve"> representantes para este punto</w:t>
      </w:r>
      <w:r w:rsidRPr="000864AE">
        <w:rPr>
          <w:rFonts w:ascii="Verdana" w:eastAsia="Arial" w:hAnsi="Verdana" w:cs="Arial"/>
          <w:sz w:val="20"/>
          <w:szCs w:val="20"/>
          <w:lang w:val="es-ES"/>
        </w:rPr>
        <w:t xml:space="preserve"> fue elaborado antes de que la Corte lo hubiese aceptado y señalado la modalidad en la cual debía ser rendido, por lo que el Estado no tuvo la oportunidad de presentar preguntas a la pericia de parte. En tal sentido, agregó que dicho peritaje se sustenta en entrevistas a nueve personas, así como la realización de un grupo focal que contó con la presencia de 12 miembros de la ANCEJUB-SUNAT, lo cual no puede acreditar de forma acertada e indubitable la presencia de un daño </w:t>
      </w:r>
      <w:r w:rsidR="0081491E" w:rsidRPr="000864AE">
        <w:rPr>
          <w:rFonts w:ascii="Verdana" w:eastAsia="Arial" w:hAnsi="Verdana" w:cs="Arial"/>
          <w:sz w:val="20"/>
          <w:szCs w:val="20"/>
          <w:lang w:val="es-ES"/>
        </w:rPr>
        <w:t>respecto a 703</w:t>
      </w:r>
      <w:r w:rsidRPr="000864AE">
        <w:rPr>
          <w:rFonts w:ascii="Verdana" w:eastAsia="Arial" w:hAnsi="Verdana" w:cs="Arial"/>
          <w:sz w:val="20"/>
          <w:szCs w:val="20"/>
          <w:lang w:val="es-ES"/>
        </w:rPr>
        <w:t xml:space="preserve"> personas. Asimismo, el Estado destacó que las conclusiones de dicho peritaje se basan en la premisa de que existió una reducción de pensiones de jubilación, lo cual no se produjo ni es materia de controversia. Finalmente, respecto a la excesiva dilación del proceso alegada por los representantes, el Estado rei</w:t>
      </w:r>
      <w:r w:rsidR="002D4820" w:rsidRPr="000864AE">
        <w:rPr>
          <w:rFonts w:ascii="Verdana" w:eastAsia="Arial" w:hAnsi="Verdana" w:cs="Arial"/>
          <w:sz w:val="20"/>
          <w:szCs w:val="20"/>
          <w:lang w:val="es-ES"/>
        </w:rPr>
        <w:t>teró la intervención que tuvo</w:t>
      </w:r>
      <w:r w:rsidRPr="000864AE">
        <w:rPr>
          <w:rFonts w:ascii="Verdana" w:eastAsia="Arial" w:hAnsi="Verdana" w:cs="Arial"/>
          <w:sz w:val="20"/>
          <w:szCs w:val="20"/>
          <w:lang w:val="es-ES"/>
        </w:rPr>
        <w:t xml:space="preserve"> ANCEJUB-SUNAT en la dilación del pr</w:t>
      </w:r>
      <w:r w:rsidR="002D4820" w:rsidRPr="000864AE">
        <w:rPr>
          <w:rFonts w:ascii="Verdana" w:eastAsia="Arial" w:hAnsi="Verdana" w:cs="Arial"/>
          <w:sz w:val="20"/>
          <w:szCs w:val="20"/>
          <w:lang w:val="es-ES"/>
        </w:rPr>
        <w:t>oceso judicial en sede interna.</w:t>
      </w:r>
    </w:p>
    <w:p w14:paraId="2175347A" w14:textId="77777777" w:rsidR="00806348" w:rsidRPr="000864AE" w:rsidRDefault="00806348"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10EB38D2" w14:textId="108B6751"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La Corte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w:t>
      </w:r>
      <w:r w:rsidR="002D4820" w:rsidRPr="000864AE">
        <w:rPr>
          <w:rFonts w:ascii="Verdana" w:hAnsi="Verdana"/>
          <w:sz w:val="20"/>
          <w:szCs w:val="20"/>
        </w:rPr>
        <w:t>s</w:t>
      </w:r>
      <w:r w:rsidRPr="000864AE">
        <w:rPr>
          <w:rFonts w:ascii="Verdana" w:hAnsi="Verdana"/>
          <w:sz w:val="20"/>
          <w:szCs w:val="20"/>
        </w:rPr>
        <w:t xml:space="preserve"> víctima</w:t>
      </w:r>
      <w:r w:rsidR="002D4820" w:rsidRPr="000864AE">
        <w:rPr>
          <w:rFonts w:ascii="Verdana" w:hAnsi="Verdana"/>
          <w:sz w:val="20"/>
          <w:szCs w:val="20"/>
        </w:rPr>
        <w:t>s</w:t>
      </w:r>
      <w:r w:rsidRPr="000864AE">
        <w:rPr>
          <w:rFonts w:ascii="Verdana" w:hAnsi="Verdana"/>
          <w:sz w:val="20"/>
          <w:szCs w:val="20"/>
        </w:rPr>
        <w:t>, mediante el pago de una cantidad de dinero o la entrega de bienes o servicios apreciables en dinero, que el Tribunal determine en aplicación razonable del arbitrio judicial y en términos de equidad</w:t>
      </w:r>
      <w:r w:rsidRPr="000864AE">
        <w:rPr>
          <w:rStyle w:val="Refdenotaalpie"/>
          <w:rFonts w:ascii="Verdana" w:hAnsi="Verdana"/>
          <w:sz w:val="20"/>
          <w:szCs w:val="20"/>
        </w:rPr>
        <w:footnoteReference w:id="309"/>
      </w:r>
      <w:r w:rsidRPr="000864AE">
        <w:rPr>
          <w:rFonts w:ascii="Verdana" w:hAnsi="Verdana"/>
          <w:sz w:val="20"/>
          <w:szCs w:val="20"/>
        </w:rPr>
        <w:t xml:space="preserve">. </w:t>
      </w:r>
    </w:p>
    <w:p w14:paraId="2721C2A1" w14:textId="77777777" w:rsidR="00806348" w:rsidRPr="000864AE" w:rsidRDefault="00806348" w:rsidP="000864AE">
      <w:pPr>
        <w:pStyle w:val="Prrafodelista"/>
        <w:rPr>
          <w:rFonts w:ascii="Verdana" w:eastAsia="Arial" w:hAnsi="Verdana" w:cs="Arial"/>
          <w:sz w:val="20"/>
          <w:szCs w:val="20"/>
          <w:lang w:val="es-ES"/>
        </w:rPr>
      </w:pPr>
    </w:p>
    <w:p w14:paraId="4E539E53" w14:textId="0D504CE1"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 xml:space="preserve">En el presente caso, la Corte determinó que el Estado es responsable por la violación a las garantías judiciales y la protección judicial por la ineficacia de la ejecución de la sentencia de 25 de octubre de 1993 y la violación a la garantía del plazo razonable. Asimismo, determinó que el Estado incumplió con su deber de garantizar el derecho a la seguridad social por la falta de acceso a un recurso judicial efectivo para tutelar este derecho, así como por la falta de información adecuada sobre los efectos prácticos que tendría en el pago de las pensiones de las presuntas víctimas la entrada en vigor de los Decretos 639 y 673, y por el impacto que esto tuvo en </w:t>
      </w:r>
      <w:r w:rsidR="00BB2BA5" w:rsidRPr="000864AE">
        <w:rPr>
          <w:rFonts w:ascii="Verdana" w:eastAsia="Arial" w:hAnsi="Verdana" w:cs="Arial"/>
          <w:sz w:val="20"/>
          <w:szCs w:val="20"/>
          <w:lang w:val="es-ES"/>
        </w:rPr>
        <w:t>el goce de otros derechos</w:t>
      </w:r>
      <w:r w:rsidR="00942A5B" w:rsidRPr="000864AE">
        <w:rPr>
          <w:rFonts w:ascii="Verdana" w:eastAsia="Arial" w:hAnsi="Verdana" w:cs="Arial"/>
          <w:sz w:val="20"/>
          <w:szCs w:val="20"/>
          <w:lang w:val="es-ES"/>
        </w:rPr>
        <w:t>, lo que además constituyó una afectación a su derecho a la vida digna</w:t>
      </w:r>
      <w:r w:rsidRPr="000864AE">
        <w:rPr>
          <w:rFonts w:ascii="Verdana" w:eastAsia="Arial" w:hAnsi="Verdana" w:cs="Arial"/>
          <w:sz w:val="20"/>
          <w:szCs w:val="20"/>
          <w:lang w:val="es-ES"/>
        </w:rPr>
        <w:t>.</w:t>
      </w:r>
      <w:r w:rsidR="00942A5B" w:rsidRPr="000864AE">
        <w:rPr>
          <w:rFonts w:ascii="Verdana" w:eastAsia="Arial" w:hAnsi="Verdana" w:cs="Arial"/>
          <w:sz w:val="20"/>
          <w:szCs w:val="20"/>
          <w:lang w:val="es-ES"/>
        </w:rPr>
        <w:t xml:space="preserve"> Además, la Corte concluyó que el patrimonio de los </w:t>
      </w:r>
      <w:r w:rsidR="002D4820" w:rsidRPr="000864AE">
        <w:rPr>
          <w:rFonts w:ascii="Verdana" w:eastAsia="Arial" w:hAnsi="Verdana" w:cs="Arial"/>
          <w:sz w:val="20"/>
          <w:szCs w:val="20"/>
          <w:lang w:val="es-ES"/>
        </w:rPr>
        <w:t>miembros de ANCEJUB-SUNAT</w:t>
      </w:r>
      <w:r w:rsidR="00942A5B" w:rsidRPr="000864AE">
        <w:rPr>
          <w:rFonts w:ascii="Verdana" w:eastAsia="Arial" w:hAnsi="Verdana" w:cs="Arial"/>
          <w:sz w:val="20"/>
          <w:szCs w:val="20"/>
          <w:lang w:val="es-ES"/>
        </w:rPr>
        <w:t xml:space="preserve"> en virtud del incumplimiento de los reintegros ordenados en la referida sentencia de 1993 constituyó una vulneración a su derecho a la propiedad privada.</w:t>
      </w:r>
      <w:r w:rsidRPr="000864AE">
        <w:rPr>
          <w:rFonts w:ascii="Verdana" w:eastAsia="Arial" w:hAnsi="Verdana" w:cs="Arial"/>
          <w:sz w:val="20"/>
          <w:szCs w:val="20"/>
          <w:lang w:val="es-ES"/>
        </w:rPr>
        <w:t xml:space="preserve"> En virtud de ello, la Corte considera que la incertidumbre, angustia y sufrimiento generados a las víctimas del presente caso como consecuencia del incumplimiento de las decisiones judiciales emitidas respecto a la nivelación de sus pensiones, así como las afectaciones que esto tuvo en el goce de su derecho a la seguridad social</w:t>
      </w:r>
      <w:r w:rsidR="00942A5B" w:rsidRPr="000864AE">
        <w:rPr>
          <w:rFonts w:ascii="Verdana" w:eastAsia="Arial" w:hAnsi="Verdana" w:cs="Arial"/>
          <w:sz w:val="20"/>
          <w:szCs w:val="20"/>
          <w:lang w:val="es-ES"/>
        </w:rPr>
        <w:t>, a la vida digna y a la propiedad</w:t>
      </w:r>
      <w:r w:rsidRPr="000864AE">
        <w:rPr>
          <w:rFonts w:ascii="Verdana" w:eastAsia="Arial" w:hAnsi="Verdana" w:cs="Arial"/>
          <w:sz w:val="20"/>
          <w:szCs w:val="20"/>
          <w:lang w:val="es-ES"/>
        </w:rPr>
        <w:t xml:space="preserve"> es susceptible de reparación, por vía sustitutiva, mediante una indemnización compensatoria por daño inmaterial, conforme a la equidad</w:t>
      </w:r>
      <w:r w:rsidRPr="000864AE">
        <w:rPr>
          <w:rStyle w:val="Refdenotaalpie"/>
          <w:rFonts w:ascii="Verdana" w:eastAsia="Arial" w:hAnsi="Verdana" w:cs="Arial"/>
          <w:sz w:val="20"/>
          <w:szCs w:val="20"/>
          <w:lang w:val="es-ES"/>
        </w:rPr>
        <w:footnoteReference w:id="310"/>
      </w:r>
      <w:r w:rsidR="00A2430D" w:rsidRPr="000864AE">
        <w:rPr>
          <w:rFonts w:ascii="Verdana" w:eastAsia="Arial" w:hAnsi="Verdana" w:cs="Arial"/>
          <w:sz w:val="20"/>
          <w:szCs w:val="20"/>
          <w:lang w:val="es-ES"/>
        </w:rPr>
        <w:t>.</w:t>
      </w:r>
    </w:p>
    <w:p w14:paraId="2CE0B653" w14:textId="77777777" w:rsidR="00806348" w:rsidRPr="000864AE" w:rsidRDefault="00806348"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3C12F19C" w14:textId="6018AB22" w:rsidR="000610B2"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 xml:space="preserve">Por lo tanto, la Corte dicta, en equidad, por concepto de daño inmaterial, la cantidad de US$ </w:t>
      </w:r>
      <w:r w:rsidR="00804A58" w:rsidRPr="000864AE">
        <w:rPr>
          <w:rFonts w:ascii="Verdana" w:eastAsia="Arial" w:hAnsi="Verdana" w:cs="Arial"/>
          <w:sz w:val="20"/>
          <w:szCs w:val="20"/>
          <w:lang w:val="es-ES"/>
        </w:rPr>
        <w:t>25</w:t>
      </w:r>
      <w:r w:rsidRPr="000864AE">
        <w:rPr>
          <w:rFonts w:ascii="Verdana" w:eastAsia="Arial" w:hAnsi="Verdana" w:cs="Arial"/>
          <w:sz w:val="20"/>
          <w:szCs w:val="20"/>
          <w:lang w:val="es-ES"/>
        </w:rPr>
        <w:t>,000.00 (</w:t>
      </w:r>
      <w:r w:rsidR="00804A58" w:rsidRPr="000864AE">
        <w:rPr>
          <w:rFonts w:ascii="Verdana" w:eastAsia="Arial" w:hAnsi="Verdana" w:cs="Arial"/>
          <w:sz w:val="20"/>
          <w:szCs w:val="20"/>
          <w:lang w:val="es-ES"/>
        </w:rPr>
        <w:t>veinticinco</w:t>
      </w:r>
      <w:r w:rsidR="00B15331" w:rsidRPr="000864AE">
        <w:rPr>
          <w:rFonts w:ascii="Verdana" w:eastAsia="Arial" w:hAnsi="Verdana" w:cs="Arial"/>
          <w:sz w:val="20"/>
          <w:szCs w:val="20"/>
          <w:lang w:val="es-ES"/>
        </w:rPr>
        <w:t xml:space="preserve"> </w:t>
      </w:r>
      <w:r w:rsidRPr="000864AE">
        <w:rPr>
          <w:rFonts w:ascii="Verdana" w:eastAsia="Arial" w:hAnsi="Verdana" w:cs="Arial"/>
          <w:sz w:val="20"/>
          <w:szCs w:val="20"/>
          <w:lang w:val="es-ES"/>
        </w:rPr>
        <w:t xml:space="preserve">mil dólares de los Estados Unidos de América) a favor de cada una de las víctimas que figuran en el </w:t>
      </w:r>
      <w:r w:rsidR="0081491E" w:rsidRPr="000864AE">
        <w:rPr>
          <w:rFonts w:ascii="Verdana" w:eastAsia="Arial" w:hAnsi="Verdana" w:cs="Arial"/>
          <w:sz w:val="20"/>
          <w:szCs w:val="20"/>
          <w:lang w:val="es-ES"/>
        </w:rPr>
        <w:t>A</w:t>
      </w:r>
      <w:r w:rsidRPr="000864AE">
        <w:rPr>
          <w:rFonts w:ascii="Verdana" w:eastAsia="Arial" w:hAnsi="Verdana" w:cs="Arial"/>
          <w:sz w:val="20"/>
          <w:szCs w:val="20"/>
          <w:lang w:val="es-ES"/>
        </w:rPr>
        <w:t xml:space="preserve">nexo 2 de la presente Sentencia. El Estado deberá efectuar el pago de este monto dentro del plazo de un año, contado a partir de la notificación de la presente Sentencia. </w:t>
      </w:r>
    </w:p>
    <w:p w14:paraId="461E535D" w14:textId="77777777" w:rsidR="002D4820" w:rsidRPr="000864AE" w:rsidRDefault="002D4820"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524A0A19" w14:textId="77777777" w:rsidR="000610B2" w:rsidRPr="000864AE" w:rsidRDefault="000610B2" w:rsidP="000864AE">
      <w:pPr>
        <w:pStyle w:val="Ttulo2"/>
        <w:rPr>
          <w:rFonts w:cs="Arial"/>
          <w:b w:val="0"/>
          <w:i w:val="0"/>
        </w:rPr>
      </w:pPr>
      <w:bookmarkStart w:id="110" w:name="_Toc12726745"/>
      <w:bookmarkStart w:id="111" w:name="_Toc27329798"/>
      <w:r w:rsidRPr="000864AE">
        <w:rPr>
          <w:rFonts w:cs="Arial"/>
        </w:rPr>
        <w:t>Costas y gastos</w:t>
      </w:r>
      <w:bookmarkEnd w:id="110"/>
      <w:bookmarkEnd w:id="111"/>
    </w:p>
    <w:p w14:paraId="7D7241E3"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cs="Arial"/>
          <w:b/>
          <w:sz w:val="20"/>
          <w:szCs w:val="20"/>
          <w:lang w:val="es-CR"/>
        </w:rPr>
      </w:pPr>
    </w:p>
    <w:p w14:paraId="38D30F67" w14:textId="5410A497" w:rsidR="00806348" w:rsidRPr="000864AE" w:rsidRDefault="00615425"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cs="Arial"/>
          <w:sz w:val="20"/>
          <w:szCs w:val="20"/>
          <w:lang w:val="es-CR"/>
        </w:rPr>
        <w:t>En su escrito de solicitudes, argumentos y pruebas, los</w:t>
      </w:r>
      <w:r w:rsidRPr="000864AE">
        <w:rPr>
          <w:rFonts w:ascii="Verdana" w:hAnsi="Verdana" w:cs="Arial"/>
          <w:sz w:val="20"/>
          <w:szCs w:val="20"/>
          <w:lang w:val="es-ES"/>
        </w:rPr>
        <w:t xml:space="preserve"> </w:t>
      </w:r>
      <w:r w:rsidRPr="000864AE">
        <w:rPr>
          <w:rFonts w:ascii="Verdana" w:hAnsi="Verdana" w:cs="Arial"/>
          <w:b/>
          <w:i/>
          <w:sz w:val="20"/>
          <w:szCs w:val="20"/>
          <w:lang w:val="es-ES"/>
        </w:rPr>
        <w:t>representantes</w:t>
      </w:r>
      <w:r w:rsidRPr="000864AE">
        <w:rPr>
          <w:rFonts w:ascii="Verdana" w:hAnsi="Verdana" w:cs="Arial"/>
          <w:sz w:val="20"/>
          <w:szCs w:val="20"/>
          <w:lang w:val="es-ES"/>
        </w:rPr>
        <w:t xml:space="preserve"> solicitaron el pago de las costas y gastos en que hayan incurrido las víctimas y/o sus representantes para seguir el caso ante la Comisión y la Corte. </w:t>
      </w:r>
      <w:r w:rsidRPr="000864AE">
        <w:rPr>
          <w:rFonts w:ascii="Verdana" w:hAnsi="Verdana" w:cs="Arial"/>
          <w:sz w:val="20"/>
          <w:szCs w:val="20"/>
          <w:lang w:val="es-CR"/>
        </w:rPr>
        <w:t xml:space="preserve">Al respecto, en su contestación el </w:t>
      </w:r>
      <w:r w:rsidRPr="000864AE">
        <w:rPr>
          <w:rFonts w:ascii="Verdana" w:hAnsi="Verdana" w:cs="Arial"/>
          <w:b/>
          <w:i/>
          <w:sz w:val="20"/>
          <w:szCs w:val="20"/>
          <w:lang w:val="es-CR"/>
        </w:rPr>
        <w:t>Estado</w:t>
      </w:r>
      <w:r w:rsidRPr="000864AE">
        <w:rPr>
          <w:rFonts w:ascii="Verdana" w:hAnsi="Verdana" w:cs="Arial"/>
          <w:sz w:val="20"/>
          <w:szCs w:val="20"/>
          <w:lang w:val="es-CR"/>
        </w:rPr>
        <w:t xml:space="preserve"> sostuvo que la solicitud de costas y gastos supone la presentación de los recibos y demás documentos que justifiquen la procedencia de la reparación. En tal sentido, destacó que los representantes no adjuntaron la documentación que sustenta dichos gastos, por lo que consideró que su pretensión es inaceptable. Posteriormente, en su escrito de alegatos finales escritos, los representantes adjuntaron como anexos una serie de facturas y comprobantes de pago por un monto aproximado de US$ 85,000.00 (ochenta y cinco mil dólares de los Estados Unidos de América). Frente a ello, en su escrito de alegatos finales escritos el Estado objetó la admisibilidad de varios de esos comprobantes por considerar que los mismos: a) no están relacionados con el objeto de este proceso, b) no cumplen con los requisitos formale</w:t>
      </w:r>
      <w:r w:rsidR="002D4820" w:rsidRPr="000864AE">
        <w:rPr>
          <w:rFonts w:ascii="Verdana" w:hAnsi="Verdana" w:cs="Arial"/>
          <w:sz w:val="20"/>
          <w:szCs w:val="20"/>
          <w:lang w:val="es-CR"/>
        </w:rPr>
        <w:t>s de emisión o c) son ilegibles</w:t>
      </w:r>
      <w:r w:rsidRPr="000864AE">
        <w:rPr>
          <w:rFonts w:ascii="Verdana" w:hAnsi="Verdana" w:cs="Arial"/>
          <w:sz w:val="20"/>
          <w:szCs w:val="20"/>
          <w:lang w:val="es-CR"/>
        </w:rPr>
        <w:t>.</w:t>
      </w:r>
    </w:p>
    <w:p w14:paraId="1CEE99E5" w14:textId="77777777" w:rsidR="00806348" w:rsidRPr="000864AE" w:rsidRDefault="00806348"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0D41BF1A" w14:textId="77777777" w:rsidR="00806348" w:rsidRPr="000864AE" w:rsidRDefault="00615425"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La Corte reitera que, conforme a su jurisprudencia</w:t>
      </w:r>
      <w:r w:rsidRPr="000864AE">
        <w:rPr>
          <w:rStyle w:val="Refdenotaalpie"/>
          <w:rFonts w:ascii="Verdana" w:hAnsi="Verdana"/>
        </w:rPr>
        <w:footnoteReference w:id="311"/>
      </w:r>
      <w:r w:rsidRPr="000864AE">
        <w:rPr>
          <w:rFonts w:ascii="Verdana" w:hAnsi="Verdana"/>
          <w:sz w:val="20"/>
          <w:szCs w:val="20"/>
        </w:rPr>
        <w:t>,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quantum sea razonable</w:t>
      </w:r>
      <w:r w:rsidRPr="000864AE">
        <w:rPr>
          <w:rStyle w:val="Refdenotaalpie"/>
          <w:rFonts w:ascii="Verdana" w:hAnsi="Verdana"/>
        </w:rPr>
        <w:footnoteReference w:id="312"/>
      </w:r>
      <w:r w:rsidRPr="000864AE">
        <w:rPr>
          <w:rFonts w:ascii="Verdana" w:hAnsi="Verdana"/>
          <w:sz w:val="20"/>
          <w:szCs w:val="20"/>
        </w:rPr>
        <w:t>.</w:t>
      </w:r>
    </w:p>
    <w:p w14:paraId="683FC5AA" w14:textId="77777777" w:rsidR="00806348" w:rsidRPr="000864AE" w:rsidRDefault="00806348" w:rsidP="000864AE">
      <w:pPr>
        <w:pStyle w:val="Prrafodelista"/>
        <w:rPr>
          <w:rFonts w:ascii="Verdana" w:hAnsi="Verdana"/>
          <w:sz w:val="20"/>
          <w:szCs w:val="20"/>
        </w:rPr>
      </w:pPr>
    </w:p>
    <w:p w14:paraId="5C56F560" w14:textId="77777777" w:rsidR="00806348" w:rsidRPr="000864AE" w:rsidRDefault="00615425"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Este Tribunal ha señalado que “las pretensiones de las víctimas o sus representantes en materia de costas y gastos, y las pruebas que las sustentan, deben presentarse a la Corte en el primer momento procesal que se les concede, esto es, en el escrito de solicitudes y argumentos, sin perjuicio de que tales pretensiones se actualicen en un momento posterior, conforme a las nuevas costas y gastos en que se haya incurrido con ocasión del procedimiento ante esta Corte”</w:t>
      </w:r>
      <w:r w:rsidRPr="000864AE">
        <w:rPr>
          <w:rStyle w:val="Refdenotaalpie"/>
          <w:rFonts w:ascii="Verdana" w:hAnsi="Verdana"/>
        </w:rPr>
        <w:footnoteReference w:id="313"/>
      </w:r>
      <w:r w:rsidRPr="000864AE">
        <w:rPr>
          <w:rFonts w:ascii="Verdana" w:hAnsi="Verdana"/>
          <w:sz w:val="20"/>
          <w:szCs w:val="20"/>
        </w:rPr>
        <w:t>. Asimismo, la Corte reitera que “no es suficiente la remisión de documentos probatorios, sino que se requiere que las partes hagan una argumentación que relacione la prueba con el hecho que se considera representado, y que, al tratarse de alegados desembolsos económicos, se establezcan con claridad los rubros y la justificación de los mismos”</w:t>
      </w:r>
      <w:r w:rsidRPr="000864AE">
        <w:rPr>
          <w:rStyle w:val="Refdenotaalpie"/>
          <w:rFonts w:ascii="Verdana" w:hAnsi="Verdana"/>
        </w:rPr>
        <w:footnoteReference w:id="314"/>
      </w:r>
      <w:r w:rsidRPr="000864AE">
        <w:rPr>
          <w:rFonts w:ascii="Verdana" w:hAnsi="Verdana"/>
          <w:sz w:val="20"/>
          <w:szCs w:val="20"/>
        </w:rPr>
        <w:t>.</w:t>
      </w:r>
    </w:p>
    <w:p w14:paraId="768CC3B5" w14:textId="77777777" w:rsidR="00806348" w:rsidRPr="000864AE" w:rsidRDefault="00806348" w:rsidP="000864AE">
      <w:pPr>
        <w:pStyle w:val="Prrafodelista"/>
        <w:rPr>
          <w:rFonts w:ascii="Verdana" w:eastAsia="Arial" w:hAnsi="Verdana" w:cs="Arial"/>
          <w:sz w:val="20"/>
          <w:szCs w:val="20"/>
          <w:lang w:val="es-ES"/>
        </w:rPr>
      </w:pPr>
    </w:p>
    <w:p w14:paraId="495EC069" w14:textId="185F9ECB" w:rsidR="00615425" w:rsidRPr="000864AE" w:rsidRDefault="00615425"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eastAsia="Arial" w:hAnsi="Verdana" w:cs="Arial"/>
          <w:sz w:val="20"/>
          <w:szCs w:val="20"/>
          <w:lang w:val="es-ES"/>
        </w:rPr>
        <w:t>En el presente caso, la Corte observa que los representantes no hicieron referencia al monto que pretendían por concepto de gastos y costas en su escrito de solicitudes, argumentos y pruebas, ni aportaron el respaldo probatorio correspondiente. Asimismo, la Corte constata que muchos de los documentos probatorios remitidos por los representantes con sus alegatos finales se encuentran ilegibles o no son claros respecto de su justificación. De esta forma, el Tribunal carece de respaldo probatorio suficiente en relación con los gastos y costas en los cuales incurrieron las víctimas o sus representantes. Sin embargo, la Corte toma en cuenta los montos señalados por los representantes con base en los comprobantes legibles que fueron presentados. Tomando en cuenta lo anterior, el Tribunal considera que el Estado debe pagar, en equidad, la cantidad de US$15,000.00 (quince mil</w:t>
      </w:r>
      <w:r w:rsidRPr="000864AE">
        <w:rPr>
          <w:rFonts w:ascii="Verdana" w:hAnsi="Verdana" w:cs="Arial"/>
          <w:sz w:val="20"/>
          <w:szCs w:val="20"/>
          <w:lang w:val="es-CR"/>
        </w:rPr>
        <w:t xml:space="preserve"> dólares de los Estados Unidos de América) por concepto de costas y gastos, cantidad que </w:t>
      </w:r>
      <w:r w:rsidR="002D4820" w:rsidRPr="000864AE">
        <w:rPr>
          <w:rFonts w:ascii="Verdana" w:hAnsi="Verdana" w:cs="Arial"/>
          <w:sz w:val="20"/>
          <w:szCs w:val="20"/>
          <w:lang w:val="es-CR"/>
        </w:rPr>
        <w:t>deberá</w:t>
      </w:r>
      <w:r w:rsidRPr="000864AE">
        <w:rPr>
          <w:rFonts w:ascii="Verdana" w:hAnsi="Verdana" w:cs="Arial"/>
          <w:sz w:val="20"/>
          <w:szCs w:val="20"/>
          <w:lang w:val="es-CR"/>
        </w:rPr>
        <w:t xml:space="preserve"> dividirse entre los representantes. En el procedimiento de supervisión de cumplimiento de la presente Sentencia, el Tribunal podrá disponer el reembolso por parte del Estado a las víctimas o sus representantes de los gastos razonable</w:t>
      </w:r>
      <w:r w:rsidR="002D4820" w:rsidRPr="000864AE">
        <w:rPr>
          <w:rFonts w:ascii="Verdana" w:hAnsi="Verdana" w:cs="Arial"/>
          <w:sz w:val="20"/>
          <w:szCs w:val="20"/>
          <w:lang w:val="es-CR"/>
        </w:rPr>
        <w:t>s</w:t>
      </w:r>
      <w:r w:rsidRPr="000864AE">
        <w:rPr>
          <w:rFonts w:ascii="Verdana" w:hAnsi="Verdana" w:cs="Arial"/>
          <w:sz w:val="20"/>
          <w:szCs w:val="20"/>
          <w:lang w:val="es-CR"/>
        </w:rPr>
        <w:t xml:space="preserve"> debidamente comprobados en dicha etapa procesal</w:t>
      </w:r>
      <w:r w:rsidRPr="000864AE">
        <w:rPr>
          <w:rStyle w:val="Refdenotaalpie"/>
          <w:rFonts w:ascii="Verdana" w:hAnsi="Verdana" w:cs="Arial"/>
          <w:lang w:val="es-CR"/>
        </w:rPr>
        <w:footnoteReference w:id="315"/>
      </w:r>
      <w:r w:rsidR="00806348" w:rsidRPr="000864AE">
        <w:rPr>
          <w:rFonts w:ascii="Verdana" w:hAnsi="Verdana" w:cs="Arial"/>
          <w:sz w:val="20"/>
          <w:szCs w:val="20"/>
          <w:lang w:val="es-CR"/>
        </w:rPr>
        <w:t>.</w:t>
      </w:r>
    </w:p>
    <w:p w14:paraId="2C3C6FFE"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sz w:val="20"/>
          <w:szCs w:val="20"/>
        </w:rPr>
      </w:pPr>
    </w:p>
    <w:p w14:paraId="25A12F07" w14:textId="77777777" w:rsidR="000610B2" w:rsidRPr="000864AE" w:rsidRDefault="000610B2" w:rsidP="000864AE">
      <w:pPr>
        <w:pStyle w:val="Ttulo2"/>
        <w:rPr>
          <w:rFonts w:cs="Arial"/>
          <w:b w:val="0"/>
          <w:i w:val="0"/>
        </w:rPr>
      </w:pPr>
      <w:bookmarkStart w:id="112" w:name="_Toc12726747"/>
      <w:bookmarkStart w:id="113" w:name="_Toc27329799"/>
      <w:r w:rsidRPr="000864AE">
        <w:rPr>
          <w:rFonts w:cs="Arial"/>
        </w:rPr>
        <w:t>Modalidad de cumplimiento de los pagos ordenados</w:t>
      </w:r>
      <w:bookmarkEnd w:id="112"/>
      <w:bookmarkEnd w:id="113"/>
    </w:p>
    <w:p w14:paraId="3395EB85" w14:textId="77777777" w:rsidR="000610B2" w:rsidRPr="000864AE" w:rsidRDefault="000610B2" w:rsidP="000864AE">
      <w:pPr>
        <w:widowControl w:val="0"/>
        <w:tabs>
          <w:tab w:val="left" w:pos="567"/>
        </w:tabs>
        <w:adjustRightInd w:val="0"/>
        <w:spacing w:after="0" w:line="240" w:lineRule="auto"/>
        <w:jc w:val="both"/>
        <w:textAlignment w:val="baseline"/>
        <w:rPr>
          <w:rFonts w:ascii="Verdana" w:hAnsi="Verdana"/>
          <w:sz w:val="20"/>
          <w:szCs w:val="20"/>
        </w:rPr>
      </w:pPr>
    </w:p>
    <w:p w14:paraId="7553ADDC" w14:textId="77777777"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El Estado deberá efectuar el pago de las indemnizaciones por concepto de daño inmaterial y el reintegro de costas y gastos establecidos en la presente Sentencia directamente a las personas indicadas en la misma, dentro del plazo de un año contado a partir de la notificación de la presente Sentencia.</w:t>
      </w:r>
    </w:p>
    <w:p w14:paraId="4C26E186" w14:textId="77777777" w:rsidR="00806348" w:rsidRPr="000864AE" w:rsidRDefault="00806348"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12B05F85" w14:textId="77777777"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En caso de que el beneficiario haya fallecido o fallezca antes de que le sea entregada la cantidad respectiva, esta se entregará directamente a sus derechohabientes, conforme al derecho interno aplicable.</w:t>
      </w:r>
    </w:p>
    <w:p w14:paraId="27BB3C66" w14:textId="77777777" w:rsidR="00806348" w:rsidRPr="000864AE" w:rsidRDefault="00806348" w:rsidP="000864AE">
      <w:pPr>
        <w:pStyle w:val="Prrafodelista"/>
        <w:rPr>
          <w:rFonts w:ascii="Verdana" w:hAnsi="Verdana"/>
          <w:sz w:val="20"/>
          <w:szCs w:val="20"/>
        </w:rPr>
      </w:pPr>
    </w:p>
    <w:p w14:paraId="307027D8" w14:textId="77777777"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2D867381" w14:textId="77777777" w:rsidR="00806348" w:rsidRPr="000864AE" w:rsidRDefault="00806348" w:rsidP="000864AE">
      <w:pPr>
        <w:pStyle w:val="Prrafodelista"/>
        <w:rPr>
          <w:rFonts w:ascii="Verdana" w:hAnsi="Verdana"/>
          <w:sz w:val="20"/>
          <w:szCs w:val="20"/>
        </w:rPr>
      </w:pPr>
    </w:p>
    <w:p w14:paraId="74348C13" w14:textId="77777777"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peruana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61D56648" w14:textId="77777777" w:rsidR="00806348" w:rsidRPr="000864AE" w:rsidRDefault="00806348" w:rsidP="000864AE">
      <w:pPr>
        <w:pStyle w:val="Prrafodelista"/>
        <w:rPr>
          <w:rFonts w:ascii="Verdana" w:hAnsi="Verdana"/>
          <w:sz w:val="20"/>
          <w:szCs w:val="20"/>
        </w:rPr>
      </w:pPr>
    </w:p>
    <w:p w14:paraId="44AE8385" w14:textId="77777777" w:rsidR="00806348"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Las cantidades asignadas en la presente Sentencia como indemnización por daños inmateriales, y como reintegro de costas y gastos, deberán ser entregadas a las personas indicadas en forma íntegra, conforme a lo establecido en esta Sentencia, sin reducciones derivadas de eventuales cargas fiscales.</w:t>
      </w:r>
    </w:p>
    <w:p w14:paraId="7312C603" w14:textId="77777777" w:rsidR="00806348" w:rsidRPr="000864AE" w:rsidRDefault="00806348" w:rsidP="000864AE">
      <w:pPr>
        <w:pStyle w:val="Prrafodelista"/>
        <w:rPr>
          <w:rFonts w:ascii="Verdana" w:hAnsi="Verdana"/>
          <w:sz w:val="20"/>
          <w:szCs w:val="20"/>
        </w:rPr>
      </w:pPr>
    </w:p>
    <w:p w14:paraId="55AE6C77" w14:textId="75F85DBB" w:rsidR="00B86B27" w:rsidRPr="000864AE" w:rsidRDefault="000610B2" w:rsidP="000864AE">
      <w:pPr>
        <w:pStyle w:val="Prrafodelista"/>
        <w:widowControl w:val="0"/>
        <w:numPr>
          <w:ilvl w:val="0"/>
          <w:numId w:val="10"/>
        </w:numPr>
        <w:adjustRightInd w:val="0"/>
        <w:spacing w:after="0" w:line="240" w:lineRule="auto"/>
        <w:ind w:left="0" w:firstLine="0"/>
        <w:jc w:val="both"/>
        <w:textAlignment w:val="baseline"/>
        <w:rPr>
          <w:rFonts w:ascii="Verdana" w:eastAsia="Arial" w:hAnsi="Verdana" w:cs="Arial"/>
          <w:b/>
          <w:sz w:val="20"/>
          <w:szCs w:val="20"/>
          <w:lang w:val="es-ES"/>
        </w:rPr>
      </w:pPr>
      <w:r w:rsidRPr="000864AE">
        <w:rPr>
          <w:rFonts w:ascii="Verdana" w:hAnsi="Verdana"/>
          <w:sz w:val="20"/>
          <w:szCs w:val="20"/>
        </w:rPr>
        <w:t>En caso de que el Estado incurriera en mora, incluyendo en el reintegro de los gastos al Fondo de Asistencia Legal de Víctimas, deberá pagar un interés sobre la cantidad adeudada correspondiente al interés bancario moratorio en Perú.</w:t>
      </w:r>
    </w:p>
    <w:p w14:paraId="582320CE" w14:textId="77777777" w:rsidR="002D4820" w:rsidRPr="000864AE" w:rsidRDefault="002D4820" w:rsidP="000864AE">
      <w:pPr>
        <w:pStyle w:val="Prrafodelista"/>
        <w:widowControl w:val="0"/>
        <w:adjustRightInd w:val="0"/>
        <w:spacing w:after="0" w:line="240" w:lineRule="auto"/>
        <w:ind w:left="0"/>
        <w:jc w:val="both"/>
        <w:textAlignment w:val="baseline"/>
        <w:rPr>
          <w:rFonts w:ascii="Verdana" w:eastAsia="Arial" w:hAnsi="Verdana" w:cs="Arial"/>
          <w:b/>
          <w:sz w:val="20"/>
          <w:szCs w:val="20"/>
          <w:lang w:val="es-ES"/>
        </w:rPr>
      </w:pPr>
    </w:p>
    <w:p w14:paraId="3A2B509B" w14:textId="7979C276" w:rsidR="001E14D8" w:rsidRPr="000864AE" w:rsidRDefault="001E14D8" w:rsidP="000864AE">
      <w:pPr>
        <w:keepNext/>
        <w:keepLines/>
        <w:tabs>
          <w:tab w:val="left" w:pos="851"/>
        </w:tabs>
        <w:spacing w:after="0" w:line="240" w:lineRule="auto"/>
        <w:jc w:val="center"/>
        <w:outlineLvl w:val="0"/>
        <w:rPr>
          <w:rFonts w:ascii="Verdana" w:eastAsia="Times New Roman" w:hAnsi="Verdana" w:cs="Verdana"/>
          <w:b/>
          <w:bCs/>
          <w:caps/>
          <w:snapToGrid w:val="0"/>
          <w:sz w:val="20"/>
          <w:szCs w:val="20"/>
        </w:rPr>
      </w:pPr>
      <w:bookmarkStart w:id="114" w:name="_Toc22846334"/>
      <w:bookmarkStart w:id="115" w:name="_Toc27329800"/>
      <w:r w:rsidRPr="000864AE">
        <w:rPr>
          <w:rFonts w:ascii="Verdana" w:eastAsia="Times New Roman" w:hAnsi="Verdana" w:cs="Verdana"/>
          <w:b/>
          <w:bCs/>
          <w:caps/>
          <w:snapToGrid w:val="0"/>
          <w:sz w:val="20"/>
          <w:szCs w:val="20"/>
        </w:rPr>
        <w:t>X</w:t>
      </w:r>
      <w:r w:rsidRPr="000864AE">
        <w:rPr>
          <w:rFonts w:ascii="Verdana" w:eastAsia="Times New Roman" w:hAnsi="Verdana" w:cs="Verdana"/>
          <w:b/>
          <w:bCs/>
          <w:caps/>
          <w:snapToGrid w:val="0"/>
          <w:sz w:val="20"/>
          <w:szCs w:val="20"/>
        </w:rPr>
        <w:br/>
        <w:t>PUNTOS RESOLUTIVOS</w:t>
      </w:r>
      <w:bookmarkEnd w:id="114"/>
      <w:bookmarkEnd w:id="115"/>
    </w:p>
    <w:p w14:paraId="2AC01790" w14:textId="77777777" w:rsidR="001E14D8" w:rsidRPr="000864AE" w:rsidRDefault="001E14D8" w:rsidP="000864AE">
      <w:pPr>
        <w:tabs>
          <w:tab w:val="left" w:pos="720"/>
        </w:tabs>
        <w:spacing w:after="0" w:line="240" w:lineRule="auto"/>
        <w:ind w:right="-90"/>
        <w:contextualSpacing/>
        <w:rPr>
          <w:rFonts w:ascii="Verdana" w:eastAsia="MS Mincho" w:hAnsi="Verdana"/>
          <w:b/>
          <w:bCs/>
          <w:sz w:val="20"/>
          <w:szCs w:val="20"/>
          <w:lang w:val="es-CR" w:bidi="en-US"/>
        </w:rPr>
      </w:pPr>
    </w:p>
    <w:p w14:paraId="2654AD35" w14:textId="7DF040F4" w:rsidR="001E14D8" w:rsidRPr="000864AE" w:rsidRDefault="001E14D8" w:rsidP="000864AE">
      <w:pPr>
        <w:pStyle w:val="Prrafodelista"/>
        <w:numPr>
          <w:ilvl w:val="0"/>
          <w:numId w:val="10"/>
        </w:numPr>
        <w:tabs>
          <w:tab w:val="left" w:pos="720"/>
        </w:tabs>
        <w:spacing w:after="0" w:line="240" w:lineRule="auto"/>
        <w:ind w:left="0" w:right="-90" w:firstLine="0"/>
        <w:jc w:val="both"/>
        <w:rPr>
          <w:rFonts w:ascii="Verdana" w:eastAsia="MS Mincho" w:hAnsi="Verdana"/>
          <w:bCs/>
          <w:sz w:val="20"/>
          <w:szCs w:val="20"/>
          <w:lang w:val="es-CR" w:bidi="en-US"/>
        </w:rPr>
      </w:pPr>
      <w:r w:rsidRPr="000864AE">
        <w:rPr>
          <w:rFonts w:ascii="Verdana" w:eastAsia="MS Mincho" w:hAnsi="Verdana"/>
          <w:bCs/>
          <w:sz w:val="20"/>
          <w:szCs w:val="20"/>
          <w:lang w:val="es-CR" w:bidi="en-US"/>
        </w:rPr>
        <w:t xml:space="preserve">Por tanto, </w:t>
      </w:r>
    </w:p>
    <w:p w14:paraId="19857F15" w14:textId="77777777" w:rsidR="001E14D8" w:rsidRPr="000864AE" w:rsidRDefault="001E14D8" w:rsidP="000864AE">
      <w:pPr>
        <w:tabs>
          <w:tab w:val="left" w:pos="720"/>
        </w:tabs>
        <w:spacing w:after="0" w:line="240" w:lineRule="auto"/>
        <w:ind w:right="-90"/>
        <w:contextualSpacing/>
        <w:jc w:val="both"/>
        <w:rPr>
          <w:rFonts w:ascii="Verdana" w:eastAsia="MS Mincho" w:hAnsi="Verdana"/>
          <w:b/>
          <w:bCs/>
          <w:sz w:val="20"/>
          <w:szCs w:val="20"/>
          <w:lang w:val="es-CR" w:bidi="en-US"/>
        </w:rPr>
      </w:pPr>
    </w:p>
    <w:p w14:paraId="3168FE47" w14:textId="77777777" w:rsidR="001E14D8" w:rsidRPr="000864AE" w:rsidRDefault="001E14D8" w:rsidP="000864AE">
      <w:pPr>
        <w:tabs>
          <w:tab w:val="left" w:pos="720"/>
        </w:tabs>
        <w:spacing w:after="0" w:line="240" w:lineRule="auto"/>
        <w:ind w:right="-90"/>
        <w:contextualSpacing/>
        <w:jc w:val="both"/>
        <w:rPr>
          <w:rFonts w:ascii="Verdana" w:eastAsia="MS Mincho" w:hAnsi="Verdana"/>
          <w:sz w:val="20"/>
          <w:szCs w:val="20"/>
          <w:lang w:val="es-CR" w:bidi="en-US"/>
        </w:rPr>
      </w:pPr>
      <w:r w:rsidRPr="000864AE">
        <w:rPr>
          <w:rFonts w:ascii="Verdana" w:eastAsia="MS Mincho" w:hAnsi="Verdana"/>
          <w:b/>
          <w:bCs/>
          <w:sz w:val="20"/>
          <w:szCs w:val="20"/>
          <w:lang w:val="es-CR" w:bidi="en-US"/>
        </w:rPr>
        <w:t>LA CORTE,</w:t>
      </w:r>
    </w:p>
    <w:p w14:paraId="23EFC5BB" w14:textId="77777777" w:rsidR="001E14D8" w:rsidRPr="000864AE" w:rsidRDefault="001E14D8" w:rsidP="000864AE">
      <w:pPr>
        <w:tabs>
          <w:tab w:val="left" w:pos="720"/>
        </w:tabs>
        <w:spacing w:after="0" w:line="240" w:lineRule="auto"/>
        <w:ind w:right="-90"/>
        <w:contextualSpacing/>
        <w:jc w:val="both"/>
        <w:rPr>
          <w:rFonts w:ascii="Verdana" w:hAnsi="Verdana"/>
          <w:sz w:val="20"/>
          <w:szCs w:val="20"/>
          <w:lang w:val="es-CR"/>
        </w:rPr>
      </w:pPr>
    </w:p>
    <w:p w14:paraId="40816BE7" w14:textId="20F83087" w:rsidR="001E14D8" w:rsidRPr="000864AE" w:rsidRDefault="001E14D8" w:rsidP="000864AE">
      <w:pPr>
        <w:tabs>
          <w:tab w:val="left" w:pos="720"/>
        </w:tabs>
        <w:spacing w:after="0" w:line="240" w:lineRule="auto"/>
        <w:ind w:right="-90"/>
        <w:contextualSpacing/>
        <w:jc w:val="both"/>
        <w:rPr>
          <w:rFonts w:ascii="Verdana" w:hAnsi="Verdana"/>
          <w:b/>
          <w:sz w:val="20"/>
          <w:szCs w:val="20"/>
          <w:lang w:val="es-CR"/>
        </w:rPr>
      </w:pPr>
      <w:r w:rsidRPr="000864AE">
        <w:rPr>
          <w:rFonts w:ascii="Verdana" w:hAnsi="Verdana"/>
          <w:b/>
          <w:sz w:val="20"/>
          <w:szCs w:val="20"/>
          <w:lang w:val="es-CR"/>
        </w:rPr>
        <w:t xml:space="preserve">DECIDE: </w:t>
      </w:r>
    </w:p>
    <w:p w14:paraId="40155602" w14:textId="77777777" w:rsidR="001E14D8" w:rsidRPr="000864AE" w:rsidRDefault="001E14D8" w:rsidP="000864AE">
      <w:pPr>
        <w:tabs>
          <w:tab w:val="left" w:pos="720"/>
        </w:tabs>
        <w:spacing w:after="0" w:line="240" w:lineRule="auto"/>
        <w:ind w:right="-90"/>
        <w:contextualSpacing/>
        <w:jc w:val="both"/>
        <w:rPr>
          <w:rFonts w:ascii="Verdana" w:hAnsi="Verdana"/>
          <w:sz w:val="20"/>
          <w:szCs w:val="20"/>
          <w:lang w:val="es-CR"/>
        </w:rPr>
      </w:pPr>
    </w:p>
    <w:p w14:paraId="3EF897DA" w14:textId="037FEEE6" w:rsidR="00264901" w:rsidRPr="000864AE" w:rsidRDefault="00264901" w:rsidP="000864AE">
      <w:pPr>
        <w:tabs>
          <w:tab w:val="left" w:pos="720"/>
        </w:tabs>
        <w:spacing w:after="0" w:line="240" w:lineRule="auto"/>
        <w:ind w:right="-90"/>
        <w:contextualSpacing/>
        <w:jc w:val="both"/>
        <w:rPr>
          <w:rFonts w:ascii="Verdana" w:hAnsi="Verdana"/>
          <w:sz w:val="20"/>
          <w:szCs w:val="20"/>
          <w:lang w:val="es-CR"/>
        </w:rPr>
      </w:pPr>
      <w:r w:rsidRPr="000864AE">
        <w:rPr>
          <w:rFonts w:ascii="Verdana" w:hAnsi="Verdana"/>
          <w:sz w:val="20"/>
          <w:szCs w:val="20"/>
          <w:lang w:val="es-CR"/>
        </w:rPr>
        <w:t>Por seis votos a favor y uno en contra,</w:t>
      </w:r>
    </w:p>
    <w:p w14:paraId="4A2056F0" w14:textId="77777777" w:rsidR="00264901" w:rsidRPr="000864AE" w:rsidRDefault="00264901" w:rsidP="000864AE">
      <w:pPr>
        <w:tabs>
          <w:tab w:val="left" w:pos="720"/>
        </w:tabs>
        <w:spacing w:after="0" w:line="240" w:lineRule="auto"/>
        <w:ind w:right="-90"/>
        <w:contextualSpacing/>
        <w:jc w:val="both"/>
        <w:rPr>
          <w:rFonts w:ascii="Verdana" w:hAnsi="Verdana"/>
          <w:sz w:val="20"/>
          <w:szCs w:val="20"/>
          <w:lang w:val="es-CR"/>
        </w:rPr>
      </w:pPr>
    </w:p>
    <w:p w14:paraId="1C6A8740" w14:textId="052FB763" w:rsidR="001E14D8" w:rsidRPr="000864AE" w:rsidRDefault="001E14D8" w:rsidP="000864AE">
      <w:pPr>
        <w:pStyle w:val="Prrafodelista"/>
        <w:numPr>
          <w:ilvl w:val="3"/>
          <w:numId w:val="12"/>
        </w:numPr>
        <w:tabs>
          <w:tab w:val="left" w:pos="720"/>
        </w:tabs>
        <w:spacing w:after="0" w:line="240" w:lineRule="auto"/>
        <w:ind w:left="0" w:right="-90" w:firstLine="0"/>
        <w:jc w:val="both"/>
        <w:rPr>
          <w:rFonts w:ascii="Verdana" w:hAnsi="Verdana"/>
          <w:sz w:val="20"/>
          <w:szCs w:val="20"/>
          <w:lang w:val="es-CR"/>
        </w:rPr>
      </w:pPr>
      <w:r w:rsidRPr="000864AE">
        <w:rPr>
          <w:rFonts w:ascii="Verdana" w:hAnsi="Verdana"/>
          <w:sz w:val="20"/>
          <w:szCs w:val="20"/>
          <w:lang w:val="es-CR"/>
        </w:rPr>
        <w:t>Desestimar la excepción preliminar por falta de agotamiento de los recursos internos</w:t>
      </w:r>
      <w:r w:rsidR="00C050C1" w:rsidRPr="000864AE">
        <w:rPr>
          <w:rFonts w:ascii="Verdana" w:hAnsi="Verdana"/>
          <w:sz w:val="20"/>
          <w:szCs w:val="20"/>
          <w:lang w:val="es-CR"/>
        </w:rPr>
        <w:t xml:space="preserve"> planteada por el Estado</w:t>
      </w:r>
      <w:r w:rsidRPr="000864AE">
        <w:rPr>
          <w:rFonts w:ascii="Verdana" w:hAnsi="Verdana"/>
          <w:sz w:val="20"/>
          <w:szCs w:val="20"/>
          <w:lang w:val="es-CR"/>
        </w:rPr>
        <w:t xml:space="preserve">, de conformidad con los párrafos </w:t>
      </w:r>
      <w:r w:rsidR="008174BD" w:rsidRPr="000864AE">
        <w:rPr>
          <w:rFonts w:ascii="Verdana" w:hAnsi="Verdana"/>
          <w:sz w:val="20"/>
          <w:szCs w:val="20"/>
          <w:lang w:val="es-CR"/>
        </w:rPr>
        <w:t>18</w:t>
      </w:r>
      <w:r w:rsidRPr="000864AE">
        <w:rPr>
          <w:rFonts w:ascii="Verdana" w:hAnsi="Verdana"/>
          <w:sz w:val="20"/>
          <w:szCs w:val="20"/>
          <w:lang w:val="es-CR"/>
        </w:rPr>
        <w:t xml:space="preserve"> a</w:t>
      </w:r>
      <w:r w:rsidR="008174BD" w:rsidRPr="000864AE">
        <w:rPr>
          <w:rFonts w:ascii="Verdana" w:hAnsi="Verdana"/>
          <w:sz w:val="20"/>
          <w:szCs w:val="20"/>
          <w:lang w:val="es-CR"/>
        </w:rPr>
        <w:t>l</w:t>
      </w:r>
      <w:r w:rsidRPr="000864AE">
        <w:rPr>
          <w:rFonts w:ascii="Verdana" w:hAnsi="Verdana"/>
          <w:sz w:val="20"/>
          <w:szCs w:val="20"/>
          <w:lang w:val="es-CR"/>
        </w:rPr>
        <w:t xml:space="preserve"> </w:t>
      </w:r>
      <w:r w:rsidR="008174BD" w:rsidRPr="000864AE">
        <w:rPr>
          <w:rFonts w:ascii="Verdana" w:hAnsi="Verdana"/>
          <w:sz w:val="20"/>
          <w:szCs w:val="20"/>
          <w:lang w:val="es-CR"/>
        </w:rPr>
        <w:t>23</w:t>
      </w:r>
      <w:r w:rsidRPr="000864AE">
        <w:rPr>
          <w:rFonts w:ascii="Verdana" w:hAnsi="Verdana"/>
          <w:sz w:val="20"/>
          <w:szCs w:val="20"/>
          <w:lang w:val="es-CR"/>
        </w:rPr>
        <w:t xml:space="preserve"> de la presente Sentencia.</w:t>
      </w:r>
    </w:p>
    <w:p w14:paraId="634CC70A" w14:textId="77777777" w:rsidR="00D311D1" w:rsidRPr="000864AE" w:rsidRDefault="00D311D1" w:rsidP="000864AE">
      <w:pPr>
        <w:pStyle w:val="Ttulo3"/>
        <w:numPr>
          <w:ilvl w:val="0"/>
          <w:numId w:val="0"/>
        </w:numPr>
        <w:rPr>
          <w:b w:val="0"/>
          <w:i w:val="0"/>
          <w:lang w:val="es-CR"/>
        </w:rPr>
      </w:pPr>
    </w:p>
    <w:p w14:paraId="72F52020" w14:textId="22C6FC90" w:rsidR="001E14D8"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 el </w:t>
      </w:r>
      <w:r w:rsidR="00111EE8" w:rsidRPr="000864AE">
        <w:rPr>
          <w:rFonts w:ascii="Verdana" w:hAnsi="Verdana"/>
          <w:sz w:val="20"/>
          <w:szCs w:val="20"/>
        </w:rPr>
        <w:t>J</w:t>
      </w:r>
      <w:r w:rsidRPr="000864AE">
        <w:rPr>
          <w:rFonts w:ascii="Verdana" w:hAnsi="Verdana"/>
          <w:sz w:val="20"/>
          <w:szCs w:val="20"/>
        </w:rPr>
        <w:t>uez Eduardo Vio Grossi.</w:t>
      </w:r>
    </w:p>
    <w:p w14:paraId="1FF29077" w14:textId="77777777" w:rsidR="00D311D1"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p>
    <w:p w14:paraId="273FD4ED" w14:textId="366490FC" w:rsidR="00264901" w:rsidRPr="000864AE" w:rsidRDefault="0026490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lang w:val="es-CR"/>
        </w:rPr>
        <w:t>Por seis votos a favor y uno en contra,</w:t>
      </w:r>
    </w:p>
    <w:p w14:paraId="3CB7FD37" w14:textId="77777777" w:rsidR="00264901" w:rsidRPr="000864AE" w:rsidRDefault="00264901" w:rsidP="000864AE">
      <w:pPr>
        <w:pStyle w:val="Prrafodelista"/>
        <w:tabs>
          <w:tab w:val="left" w:pos="720"/>
        </w:tabs>
        <w:spacing w:after="0" w:line="240" w:lineRule="auto"/>
        <w:ind w:left="0" w:right="-90"/>
        <w:jc w:val="both"/>
        <w:rPr>
          <w:rFonts w:ascii="Verdana" w:hAnsi="Verdana"/>
          <w:sz w:val="20"/>
          <w:szCs w:val="20"/>
          <w:lang w:val="es-CR"/>
        </w:rPr>
      </w:pPr>
    </w:p>
    <w:p w14:paraId="790C0348" w14:textId="479E5C1D" w:rsidR="001E14D8" w:rsidRPr="000864AE" w:rsidRDefault="00C050C1" w:rsidP="000864AE">
      <w:pPr>
        <w:pStyle w:val="Prrafodelista"/>
        <w:numPr>
          <w:ilvl w:val="3"/>
          <w:numId w:val="12"/>
        </w:numPr>
        <w:tabs>
          <w:tab w:val="left" w:pos="720"/>
        </w:tabs>
        <w:spacing w:after="0" w:line="240" w:lineRule="auto"/>
        <w:ind w:left="0" w:right="-90" w:firstLine="0"/>
        <w:jc w:val="both"/>
        <w:rPr>
          <w:rFonts w:ascii="Verdana" w:hAnsi="Verdana"/>
          <w:sz w:val="20"/>
          <w:szCs w:val="20"/>
          <w:lang w:val="es-CR"/>
        </w:rPr>
      </w:pPr>
      <w:r w:rsidRPr="000864AE">
        <w:rPr>
          <w:rFonts w:ascii="Verdana" w:hAnsi="Verdana"/>
          <w:sz w:val="20"/>
          <w:szCs w:val="20"/>
          <w:lang w:val="es-CR"/>
        </w:rPr>
        <w:t xml:space="preserve">Desestimar la excepción preliminar por cuarta instancia planteada por el Estado, de conformidad con los párrafos </w:t>
      </w:r>
      <w:r w:rsidR="008174BD" w:rsidRPr="000864AE">
        <w:rPr>
          <w:rFonts w:ascii="Verdana" w:hAnsi="Verdana"/>
          <w:sz w:val="20"/>
          <w:szCs w:val="20"/>
          <w:lang w:val="es-CR"/>
        </w:rPr>
        <w:t>27</w:t>
      </w:r>
      <w:r w:rsidRPr="000864AE">
        <w:rPr>
          <w:rFonts w:ascii="Verdana" w:hAnsi="Verdana"/>
          <w:sz w:val="20"/>
          <w:szCs w:val="20"/>
          <w:lang w:val="es-CR"/>
        </w:rPr>
        <w:t xml:space="preserve"> a</w:t>
      </w:r>
      <w:r w:rsidR="008174BD" w:rsidRPr="000864AE">
        <w:rPr>
          <w:rFonts w:ascii="Verdana" w:hAnsi="Verdana"/>
          <w:sz w:val="20"/>
          <w:szCs w:val="20"/>
          <w:lang w:val="es-CR"/>
        </w:rPr>
        <w:t>l 29</w:t>
      </w:r>
      <w:r w:rsidRPr="000864AE">
        <w:rPr>
          <w:rFonts w:ascii="Verdana" w:hAnsi="Verdana"/>
          <w:sz w:val="20"/>
          <w:szCs w:val="20"/>
          <w:lang w:val="es-CR"/>
        </w:rPr>
        <w:t xml:space="preserve"> de la presente Sentencia.</w:t>
      </w:r>
    </w:p>
    <w:p w14:paraId="67ADB16D" w14:textId="77777777" w:rsidR="00264901" w:rsidRPr="000864AE" w:rsidRDefault="00264901" w:rsidP="000864AE">
      <w:pPr>
        <w:spacing w:after="0" w:line="240" w:lineRule="auto"/>
        <w:rPr>
          <w:rFonts w:ascii="Verdana" w:hAnsi="Verdana"/>
          <w:sz w:val="20"/>
          <w:szCs w:val="20"/>
          <w:lang w:val="es-CR"/>
        </w:rPr>
      </w:pPr>
    </w:p>
    <w:p w14:paraId="79A7D5C9" w14:textId="5E435828" w:rsidR="00D311D1"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 el </w:t>
      </w:r>
      <w:r w:rsidR="00111EE8" w:rsidRPr="000864AE">
        <w:rPr>
          <w:rFonts w:ascii="Verdana" w:hAnsi="Verdana"/>
          <w:sz w:val="20"/>
          <w:szCs w:val="20"/>
        </w:rPr>
        <w:t>J</w:t>
      </w:r>
      <w:r w:rsidRPr="000864AE">
        <w:rPr>
          <w:rFonts w:ascii="Verdana" w:hAnsi="Verdana"/>
          <w:sz w:val="20"/>
          <w:szCs w:val="20"/>
        </w:rPr>
        <w:t>uez Eduardo Vio Grossi.</w:t>
      </w:r>
    </w:p>
    <w:p w14:paraId="4BEA7BC7" w14:textId="77777777" w:rsidR="00D311D1" w:rsidRPr="000864AE" w:rsidRDefault="00D311D1" w:rsidP="000864AE">
      <w:pPr>
        <w:spacing w:after="0" w:line="240" w:lineRule="auto"/>
        <w:rPr>
          <w:rFonts w:ascii="Verdana" w:hAnsi="Verdana"/>
          <w:sz w:val="20"/>
          <w:szCs w:val="20"/>
          <w:lang w:val="es-CR"/>
        </w:rPr>
      </w:pPr>
    </w:p>
    <w:p w14:paraId="2A22894C" w14:textId="674A7B74" w:rsidR="00264901" w:rsidRPr="000864AE" w:rsidRDefault="00264901" w:rsidP="000864AE">
      <w:pPr>
        <w:spacing w:after="0" w:line="240" w:lineRule="auto"/>
        <w:rPr>
          <w:rFonts w:ascii="Verdana" w:hAnsi="Verdana"/>
          <w:sz w:val="20"/>
          <w:szCs w:val="20"/>
          <w:lang w:val="es-CR"/>
        </w:rPr>
      </w:pPr>
      <w:r w:rsidRPr="000864AE">
        <w:rPr>
          <w:rFonts w:ascii="Verdana" w:hAnsi="Verdana"/>
          <w:sz w:val="20"/>
          <w:szCs w:val="20"/>
          <w:lang w:val="es-CR"/>
        </w:rPr>
        <w:t>Por cinco votos a favor y dos en contra,</w:t>
      </w:r>
    </w:p>
    <w:p w14:paraId="409DD88E" w14:textId="77777777" w:rsidR="00264901" w:rsidRPr="000864AE" w:rsidRDefault="00264901" w:rsidP="000864AE">
      <w:pPr>
        <w:pStyle w:val="Prrafodelista"/>
        <w:spacing w:after="0" w:line="240" w:lineRule="auto"/>
        <w:rPr>
          <w:rFonts w:ascii="Verdana" w:hAnsi="Verdana"/>
          <w:sz w:val="20"/>
          <w:szCs w:val="20"/>
          <w:lang w:val="es-CR"/>
        </w:rPr>
      </w:pPr>
    </w:p>
    <w:p w14:paraId="6D103B95" w14:textId="5110F4E7" w:rsidR="00C050C1" w:rsidRPr="000864AE" w:rsidRDefault="00C050C1" w:rsidP="000864AE">
      <w:pPr>
        <w:pStyle w:val="Prrafodelista"/>
        <w:numPr>
          <w:ilvl w:val="3"/>
          <w:numId w:val="12"/>
        </w:numPr>
        <w:tabs>
          <w:tab w:val="left" w:pos="720"/>
        </w:tabs>
        <w:spacing w:after="0" w:line="240" w:lineRule="auto"/>
        <w:ind w:left="0" w:right="-90" w:firstLine="0"/>
        <w:jc w:val="both"/>
        <w:rPr>
          <w:rFonts w:ascii="Verdana" w:hAnsi="Verdana"/>
          <w:sz w:val="20"/>
          <w:szCs w:val="20"/>
          <w:lang w:val="es-CR"/>
        </w:rPr>
      </w:pPr>
      <w:r w:rsidRPr="000864AE">
        <w:rPr>
          <w:rFonts w:ascii="Verdana" w:hAnsi="Verdana"/>
          <w:sz w:val="20"/>
          <w:szCs w:val="20"/>
          <w:lang w:val="es-CR"/>
        </w:rPr>
        <w:t xml:space="preserve">Desestimar la excepción preliminar </w:t>
      </w:r>
      <w:r w:rsidR="00A74C1D" w:rsidRPr="000864AE">
        <w:rPr>
          <w:rFonts w:ascii="Verdana" w:hAnsi="Verdana"/>
          <w:sz w:val="20"/>
          <w:szCs w:val="20"/>
          <w:lang w:val="es-CR"/>
        </w:rPr>
        <w:t xml:space="preserve">en razón de la materia planteada por el Estado, de conformidad con los párrafos </w:t>
      </w:r>
      <w:r w:rsidR="008174BD" w:rsidRPr="000864AE">
        <w:rPr>
          <w:rFonts w:ascii="Verdana" w:hAnsi="Verdana"/>
          <w:sz w:val="20"/>
          <w:szCs w:val="20"/>
          <w:lang w:val="es-CR"/>
        </w:rPr>
        <w:t>33 a</w:t>
      </w:r>
      <w:r w:rsidR="00070F24" w:rsidRPr="000864AE">
        <w:rPr>
          <w:rFonts w:ascii="Verdana" w:hAnsi="Verdana"/>
          <w:sz w:val="20"/>
          <w:szCs w:val="20"/>
          <w:lang w:val="es-CR"/>
        </w:rPr>
        <w:t>l</w:t>
      </w:r>
      <w:r w:rsidR="008174BD" w:rsidRPr="000864AE">
        <w:rPr>
          <w:rFonts w:ascii="Verdana" w:hAnsi="Verdana"/>
          <w:sz w:val="20"/>
          <w:szCs w:val="20"/>
          <w:lang w:val="es-CR"/>
        </w:rPr>
        <w:t xml:space="preserve"> 37</w:t>
      </w:r>
      <w:r w:rsidR="00A74C1D" w:rsidRPr="000864AE">
        <w:rPr>
          <w:rFonts w:ascii="Verdana" w:hAnsi="Verdana"/>
          <w:sz w:val="20"/>
          <w:szCs w:val="20"/>
          <w:lang w:val="es-CR"/>
        </w:rPr>
        <w:t xml:space="preserve"> de la presente Sentencia.</w:t>
      </w:r>
      <w:r w:rsidRPr="000864AE">
        <w:rPr>
          <w:rFonts w:ascii="Verdana" w:hAnsi="Verdana"/>
          <w:sz w:val="20"/>
          <w:szCs w:val="20"/>
          <w:lang w:val="es-CR"/>
        </w:rPr>
        <w:t xml:space="preserve"> </w:t>
      </w:r>
    </w:p>
    <w:p w14:paraId="1DA0C24A" w14:textId="77777777" w:rsidR="001E14D8" w:rsidRPr="000864AE" w:rsidRDefault="001E14D8" w:rsidP="000864AE">
      <w:pPr>
        <w:tabs>
          <w:tab w:val="left" w:pos="720"/>
        </w:tabs>
        <w:spacing w:after="0" w:line="240" w:lineRule="auto"/>
        <w:ind w:right="-90"/>
        <w:contextualSpacing/>
        <w:jc w:val="both"/>
        <w:rPr>
          <w:rFonts w:ascii="Verdana" w:hAnsi="Verdana"/>
          <w:sz w:val="20"/>
          <w:szCs w:val="20"/>
          <w:lang w:val="es-CR"/>
        </w:rPr>
      </w:pPr>
    </w:p>
    <w:p w14:paraId="57B77D10" w14:textId="4676C7B4" w:rsidR="00B90811" w:rsidRPr="000864AE" w:rsidRDefault="00B9081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Disienten los </w:t>
      </w:r>
      <w:r w:rsidR="00111EE8" w:rsidRPr="000864AE">
        <w:rPr>
          <w:rFonts w:ascii="Verdana" w:hAnsi="Verdana"/>
          <w:sz w:val="20"/>
          <w:szCs w:val="20"/>
        </w:rPr>
        <w:t>J</w:t>
      </w:r>
      <w:r w:rsidRPr="000864AE">
        <w:rPr>
          <w:rFonts w:ascii="Verdana" w:hAnsi="Verdana"/>
          <w:sz w:val="20"/>
          <w:szCs w:val="20"/>
        </w:rPr>
        <w:t>ueces Eduardo Vio Grossi y Humberto Antonio Sierra Porto.</w:t>
      </w:r>
    </w:p>
    <w:p w14:paraId="1BC01F86" w14:textId="77777777" w:rsidR="00D311D1" w:rsidRPr="000864AE" w:rsidRDefault="00D311D1" w:rsidP="000864AE">
      <w:pPr>
        <w:tabs>
          <w:tab w:val="left" w:pos="720"/>
        </w:tabs>
        <w:spacing w:after="0" w:line="240" w:lineRule="auto"/>
        <w:ind w:right="-90"/>
        <w:contextualSpacing/>
        <w:jc w:val="both"/>
        <w:rPr>
          <w:rFonts w:ascii="Verdana" w:hAnsi="Verdana"/>
          <w:sz w:val="20"/>
          <w:szCs w:val="20"/>
          <w:lang w:val="es-CR"/>
        </w:rPr>
      </w:pPr>
    </w:p>
    <w:p w14:paraId="3B4A5B5D" w14:textId="77777777" w:rsidR="001E14D8" w:rsidRPr="000864AE" w:rsidRDefault="001E14D8" w:rsidP="000864AE">
      <w:pPr>
        <w:tabs>
          <w:tab w:val="left" w:pos="720"/>
        </w:tabs>
        <w:spacing w:after="0" w:line="240" w:lineRule="auto"/>
        <w:ind w:right="-90"/>
        <w:contextualSpacing/>
        <w:jc w:val="both"/>
        <w:rPr>
          <w:rFonts w:ascii="Verdana" w:eastAsia="MS Mincho" w:hAnsi="Verdana"/>
          <w:sz w:val="20"/>
          <w:szCs w:val="20"/>
          <w:lang w:val="es-CR" w:bidi="en-US"/>
        </w:rPr>
      </w:pPr>
      <w:r w:rsidRPr="000864AE">
        <w:rPr>
          <w:rFonts w:ascii="Verdana" w:eastAsia="MS Mincho" w:hAnsi="Verdana"/>
          <w:b/>
          <w:bCs/>
          <w:sz w:val="20"/>
          <w:szCs w:val="20"/>
          <w:lang w:val="es-CR" w:bidi="en-US"/>
        </w:rPr>
        <w:t>DECLARA:</w:t>
      </w:r>
    </w:p>
    <w:p w14:paraId="2E9FC764" w14:textId="77777777" w:rsidR="001E14D8" w:rsidRPr="000864AE" w:rsidRDefault="001E14D8" w:rsidP="000864AE">
      <w:pPr>
        <w:tabs>
          <w:tab w:val="left" w:pos="720"/>
        </w:tabs>
        <w:spacing w:after="0" w:line="240" w:lineRule="auto"/>
        <w:ind w:right="-90"/>
        <w:contextualSpacing/>
        <w:jc w:val="both"/>
        <w:rPr>
          <w:rFonts w:ascii="Verdana" w:eastAsia="MS Mincho" w:hAnsi="Verdana"/>
          <w:sz w:val="20"/>
          <w:szCs w:val="20"/>
          <w:lang w:val="es-CR" w:bidi="en-US"/>
        </w:rPr>
      </w:pPr>
    </w:p>
    <w:p w14:paraId="42B1218B" w14:textId="085BCCC6" w:rsidR="001E14D8" w:rsidRPr="000864AE" w:rsidRDefault="001E14D8" w:rsidP="000864AE">
      <w:pPr>
        <w:tabs>
          <w:tab w:val="left" w:pos="720"/>
        </w:tabs>
        <w:spacing w:after="0" w:line="240" w:lineRule="auto"/>
        <w:ind w:right="-90"/>
        <w:contextualSpacing/>
        <w:jc w:val="both"/>
        <w:rPr>
          <w:rFonts w:ascii="Verdana" w:eastAsia="MS Mincho" w:hAnsi="Verdana"/>
          <w:sz w:val="20"/>
          <w:szCs w:val="20"/>
          <w:lang w:val="es-CR" w:bidi="en-US"/>
        </w:rPr>
      </w:pPr>
      <w:r w:rsidRPr="000864AE">
        <w:rPr>
          <w:rFonts w:ascii="Verdana" w:eastAsia="MS Mincho" w:hAnsi="Verdana"/>
          <w:sz w:val="20"/>
          <w:szCs w:val="20"/>
          <w:lang w:val="es-CR" w:bidi="en-US"/>
        </w:rPr>
        <w:t xml:space="preserve">Por </w:t>
      </w:r>
      <w:r w:rsidR="00264901" w:rsidRPr="000864AE">
        <w:rPr>
          <w:rFonts w:ascii="Verdana" w:eastAsia="MS Mincho" w:hAnsi="Verdana"/>
          <w:sz w:val="20"/>
          <w:szCs w:val="20"/>
          <w:lang w:val="es-CR" w:bidi="en-US"/>
        </w:rPr>
        <w:t>cinco</w:t>
      </w:r>
      <w:r w:rsidR="005E51CD" w:rsidRPr="000864AE">
        <w:rPr>
          <w:rFonts w:ascii="Verdana" w:eastAsia="MS Mincho" w:hAnsi="Verdana"/>
          <w:sz w:val="20"/>
          <w:szCs w:val="20"/>
          <w:lang w:val="es-CR" w:bidi="en-US"/>
        </w:rPr>
        <w:t xml:space="preserve"> votos</w:t>
      </w:r>
      <w:r w:rsidR="00264901" w:rsidRPr="000864AE">
        <w:rPr>
          <w:rFonts w:ascii="Verdana" w:eastAsia="MS Mincho" w:hAnsi="Verdana"/>
          <w:sz w:val="20"/>
          <w:szCs w:val="20"/>
          <w:lang w:val="es-CR" w:bidi="en-US"/>
        </w:rPr>
        <w:t xml:space="preserve"> a favor y dos en contra</w:t>
      </w:r>
      <w:r w:rsidR="005E51CD" w:rsidRPr="000864AE">
        <w:rPr>
          <w:rFonts w:ascii="Verdana" w:eastAsia="MS Mincho" w:hAnsi="Verdana"/>
          <w:sz w:val="20"/>
          <w:szCs w:val="20"/>
          <w:lang w:val="es-CR" w:bidi="en-US"/>
        </w:rPr>
        <w:t xml:space="preserve">, </w:t>
      </w:r>
      <w:r w:rsidRPr="000864AE">
        <w:rPr>
          <w:rFonts w:ascii="Verdana" w:eastAsia="MS Mincho" w:hAnsi="Verdana"/>
          <w:sz w:val="20"/>
          <w:szCs w:val="20"/>
          <w:lang w:val="es-CR" w:bidi="en-US"/>
        </w:rPr>
        <w:t>que:</w:t>
      </w:r>
    </w:p>
    <w:p w14:paraId="20609FA6" w14:textId="77777777" w:rsidR="001E14D8" w:rsidRPr="000864AE" w:rsidRDefault="001E14D8" w:rsidP="000864AE">
      <w:pPr>
        <w:spacing w:after="0" w:line="240" w:lineRule="auto"/>
        <w:ind w:right="-90"/>
        <w:contextualSpacing/>
        <w:jc w:val="both"/>
        <w:rPr>
          <w:rFonts w:ascii="Verdana" w:eastAsia="MS Mincho" w:hAnsi="Verdana"/>
          <w:sz w:val="20"/>
          <w:szCs w:val="20"/>
          <w:lang w:val="es-CR" w:bidi="en-US"/>
        </w:rPr>
      </w:pPr>
    </w:p>
    <w:p w14:paraId="5D601F8A" w14:textId="7E158E15" w:rsidR="005E51CD" w:rsidRPr="000864AE" w:rsidRDefault="00C313CA" w:rsidP="000864AE">
      <w:pPr>
        <w:widowControl w:val="0"/>
        <w:tabs>
          <w:tab w:val="left" w:pos="720"/>
        </w:tabs>
        <w:adjustRightInd w:val="0"/>
        <w:spacing w:after="0" w:line="240" w:lineRule="auto"/>
        <w:ind w:right="-91"/>
        <w:jc w:val="both"/>
        <w:textAlignment w:val="baseline"/>
        <w:rPr>
          <w:rFonts w:ascii="Verdana" w:hAnsi="Verdana"/>
          <w:sz w:val="20"/>
          <w:szCs w:val="20"/>
          <w:lang w:val="es-CR"/>
        </w:rPr>
      </w:pPr>
      <w:r w:rsidRPr="000864AE">
        <w:rPr>
          <w:rFonts w:ascii="Verdana" w:hAnsi="Verdana"/>
          <w:sz w:val="20"/>
          <w:szCs w:val="20"/>
          <w:lang w:val="es-CR"/>
        </w:rPr>
        <w:t>4</w:t>
      </w:r>
      <w:r w:rsidR="001E14D8" w:rsidRPr="000864AE">
        <w:rPr>
          <w:rFonts w:ascii="Verdana" w:hAnsi="Verdana"/>
          <w:sz w:val="20"/>
          <w:szCs w:val="20"/>
          <w:lang w:val="es-CR"/>
        </w:rPr>
        <w:t>.</w:t>
      </w:r>
      <w:r w:rsidR="001E14D8" w:rsidRPr="000864AE">
        <w:rPr>
          <w:rFonts w:ascii="Verdana" w:hAnsi="Verdana"/>
          <w:sz w:val="20"/>
          <w:szCs w:val="20"/>
          <w:lang w:val="es-CR"/>
        </w:rPr>
        <w:tab/>
        <w:t xml:space="preserve">El Estado es responsable por la </w:t>
      </w:r>
      <w:r w:rsidR="00A74C1D" w:rsidRPr="000864AE">
        <w:rPr>
          <w:rFonts w:ascii="Verdana" w:hAnsi="Verdana"/>
          <w:sz w:val="20"/>
          <w:szCs w:val="20"/>
          <w:lang w:val="es-CR"/>
        </w:rPr>
        <w:t xml:space="preserve">violación a los derechos a </w:t>
      </w:r>
      <w:r w:rsidR="00804A58" w:rsidRPr="000864AE">
        <w:rPr>
          <w:rFonts w:ascii="Verdana" w:hAnsi="Verdana"/>
          <w:sz w:val="20"/>
          <w:szCs w:val="20"/>
          <w:lang w:val="es-CR"/>
        </w:rPr>
        <w:t xml:space="preserve">la vida digna, </w:t>
      </w:r>
      <w:r w:rsidR="00A74C1D" w:rsidRPr="000864AE">
        <w:rPr>
          <w:rFonts w:ascii="Verdana" w:hAnsi="Verdana"/>
          <w:sz w:val="20"/>
          <w:szCs w:val="20"/>
          <w:lang w:val="es-CR"/>
        </w:rPr>
        <w:t>las garantías judiciales</w:t>
      </w:r>
      <w:r w:rsidR="00804A58" w:rsidRPr="000864AE">
        <w:rPr>
          <w:rFonts w:ascii="Verdana" w:hAnsi="Verdana"/>
          <w:sz w:val="20"/>
          <w:szCs w:val="20"/>
          <w:lang w:val="es-CR"/>
        </w:rPr>
        <w:t xml:space="preserve">, </w:t>
      </w:r>
      <w:r w:rsidR="005B3F02" w:rsidRPr="000864AE">
        <w:rPr>
          <w:rFonts w:ascii="Verdana" w:hAnsi="Verdana"/>
          <w:sz w:val="20"/>
          <w:szCs w:val="20"/>
          <w:lang w:val="es-CR"/>
        </w:rPr>
        <w:t xml:space="preserve">la </w:t>
      </w:r>
      <w:r w:rsidR="00804A58" w:rsidRPr="000864AE">
        <w:rPr>
          <w:rFonts w:ascii="Verdana" w:hAnsi="Verdana"/>
          <w:sz w:val="20"/>
          <w:szCs w:val="20"/>
          <w:lang w:val="es-CR"/>
        </w:rPr>
        <w:t xml:space="preserve">propiedad, </w:t>
      </w:r>
      <w:r w:rsidR="00A74C1D" w:rsidRPr="000864AE">
        <w:rPr>
          <w:rFonts w:ascii="Verdana" w:hAnsi="Verdana"/>
          <w:sz w:val="20"/>
          <w:szCs w:val="20"/>
          <w:lang w:val="es-CR"/>
        </w:rPr>
        <w:t>la protección judicial</w:t>
      </w:r>
      <w:r w:rsidR="00804A58" w:rsidRPr="000864AE">
        <w:rPr>
          <w:rFonts w:ascii="Verdana" w:hAnsi="Verdana"/>
          <w:sz w:val="20"/>
          <w:szCs w:val="20"/>
          <w:lang w:val="es-CR"/>
        </w:rPr>
        <w:t xml:space="preserve"> y </w:t>
      </w:r>
      <w:r w:rsidR="005B3F02" w:rsidRPr="000864AE">
        <w:rPr>
          <w:rFonts w:ascii="Verdana" w:hAnsi="Verdana"/>
          <w:sz w:val="20"/>
          <w:szCs w:val="20"/>
          <w:lang w:val="es-CR"/>
        </w:rPr>
        <w:t xml:space="preserve">la </w:t>
      </w:r>
      <w:r w:rsidR="00804A58" w:rsidRPr="000864AE">
        <w:rPr>
          <w:rFonts w:ascii="Verdana" w:hAnsi="Verdana"/>
          <w:sz w:val="20"/>
          <w:szCs w:val="20"/>
          <w:lang w:val="es-CR"/>
        </w:rPr>
        <w:t>seguridad social</w:t>
      </w:r>
      <w:r w:rsidR="009D33F0" w:rsidRPr="000864AE">
        <w:rPr>
          <w:rFonts w:ascii="Verdana" w:hAnsi="Verdana"/>
          <w:sz w:val="20"/>
          <w:szCs w:val="20"/>
          <w:lang w:val="es-CR"/>
        </w:rPr>
        <w:t>,</w:t>
      </w:r>
      <w:r w:rsidR="00804A58" w:rsidRPr="000864AE">
        <w:rPr>
          <w:rFonts w:ascii="Verdana" w:hAnsi="Verdana"/>
          <w:sz w:val="20"/>
          <w:szCs w:val="20"/>
          <w:lang w:val="es-CR"/>
        </w:rPr>
        <w:t xml:space="preserve"> </w:t>
      </w:r>
      <w:r w:rsidR="00A74C1D" w:rsidRPr="000864AE">
        <w:rPr>
          <w:rFonts w:ascii="Verdana" w:hAnsi="Verdana"/>
          <w:sz w:val="20"/>
          <w:szCs w:val="20"/>
          <w:lang w:val="es-CR"/>
        </w:rPr>
        <w:t>consagrados</w:t>
      </w:r>
      <w:r w:rsidR="001E14D8" w:rsidRPr="000864AE">
        <w:rPr>
          <w:rFonts w:ascii="Verdana" w:hAnsi="Verdana"/>
          <w:sz w:val="20"/>
          <w:szCs w:val="20"/>
          <w:lang w:val="es-CR"/>
        </w:rPr>
        <w:t xml:space="preserve"> en los artículos </w:t>
      </w:r>
      <w:r w:rsidR="00804A58" w:rsidRPr="000864AE">
        <w:rPr>
          <w:rFonts w:ascii="Verdana" w:hAnsi="Verdana"/>
          <w:sz w:val="20"/>
          <w:szCs w:val="20"/>
          <w:lang w:val="es-CR"/>
        </w:rPr>
        <w:t xml:space="preserve">4.1, </w:t>
      </w:r>
      <w:r w:rsidR="00A74C1D" w:rsidRPr="000864AE">
        <w:rPr>
          <w:rFonts w:ascii="Verdana" w:hAnsi="Verdana"/>
          <w:sz w:val="20"/>
          <w:szCs w:val="20"/>
          <w:lang w:val="es-CR"/>
        </w:rPr>
        <w:t>8</w:t>
      </w:r>
      <w:r w:rsidR="00804A58" w:rsidRPr="000864AE">
        <w:rPr>
          <w:rFonts w:ascii="Verdana" w:hAnsi="Verdana"/>
          <w:sz w:val="20"/>
          <w:szCs w:val="20"/>
          <w:lang w:val="es-CR"/>
        </w:rPr>
        <w:t xml:space="preserve">, 21, </w:t>
      </w:r>
      <w:r w:rsidR="005B3F02" w:rsidRPr="000864AE">
        <w:rPr>
          <w:rFonts w:ascii="Verdana" w:hAnsi="Verdana"/>
          <w:sz w:val="20"/>
          <w:szCs w:val="20"/>
          <w:lang w:val="es-CR"/>
        </w:rPr>
        <w:t>25</w:t>
      </w:r>
      <w:r w:rsidR="00804A58" w:rsidRPr="000864AE">
        <w:rPr>
          <w:rFonts w:ascii="Verdana" w:hAnsi="Verdana"/>
          <w:sz w:val="20"/>
          <w:szCs w:val="20"/>
          <w:lang w:val="es-CR"/>
        </w:rPr>
        <w:t xml:space="preserve"> y 26 </w:t>
      </w:r>
      <w:r w:rsidR="001E14D8" w:rsidRPr="000864AE">
        <w:rPr>
          <w:rFonts w:ascii="Verdana" w:hAnsi="Verdana"/>
          <w:sz w:val="20"/>
          <w:szCs w:val="20"/>
          <w:lang w:val="es-CR"/>
        </w:rPr>
        <w:t xml:space="preserve">de la Convención Americana sobre Derechos Humanos, en relación con el artículo 1.1 del mismo instrumento, en perjuicio </w:t>
      </w:r>
      <w:r w:rsidR="00443FCC" w:rsidRPr="000864AE">
        <w:rPr>
          <w:rFonts w:ascii="Verdana" w:hAnsi="Verdana"/>
          <w:sz w:val="20"/>
          <w:szCs w:val="20"/>
          <w:lang w:val="es-CR"/>
        </w:rPr>
        <w:t>de las 598</w:t>
      </w:r>
      <w:r w:rsidR="00A74C1D" w:rsidRPr="000864AE">
        <w:rPr>
          <w:rFonts w:ascii="Verdana" w:hAnsi="Verdana"/>
          <w:sz w:val="20"/>
          <w:szCs w:val="20"/>
          <w:lang w:val="es-CR"/>
        </w:rPr>
        <w:t xml:space="preserve"> personas listadas como víctimas en el Anexo 2 </w:t>
      </w:r>
      <w:r w:rsidR="005E51CD" w:rsidRPr="000864AE">
        <w:rPr>
          <w:rFonts w:ascii="Verdana" w:hAnsi="Verdana"/>
          <w:sz w:val="20"/>
          <w:szCs w:val="20"/>
          <w:lang w:val="es-CR"/>
        </w:rPr>
        <w:t xml:space="preserve">adjunto </w:t>
      </w:r>
      <w:r w:rsidR="00A74C1D" w:rsidRPr="000864AE">
        <w:rPr>
          <w:rFonts w:ascii="Verdana" w:hAnsi="Verdana"/>
          <w:sz w:val="20"/>
          <w:szCs w:val="20"/>
          <w:lang w:val="es-CR"/>
        </w:rPr>
        <w:t>a la presente Sentencia</w:t>
      </w:r>
      <w:r w:rsidR="001E14D8" w:rsidRPr="000864AE">
        <w:rPr>
          <w:rFonts w:ascii="Verdana" w:hAnsi="Verdana"/>
          <w:sz w:val="20"/>
          <w:szCs w:val="20"/>
          <w:lang w:val="es-CR"/>
        </w:rPr>
        <w:t xml:space="preserve">, en los términos de los párrafos </w:t>
      </w:r>
      <w:r w:rsidR="009C1DC6" w:rsidRPr="000864AE">
        <w:rPr>
          <w:rFonts w:ascii="Verdana" w:hAnsi="Verdana"/>
          <w:sz w:val="20"/>
          <w:szCs w:val="20"/>
          <w:lang w:val="es-CR"/>
        </w:rPr>
        <w:t>102 al 196 y del 205</w:t>
      </w:r>
      <w:r w:rsidR="00944B7F" w:rsidRPr="000864AE">
        <w:rPr>
          <w:rFonts w:ascii="Verdana" w:hAnsi="Verdana"/>
          <w:sz w:val="20"/>
          <w:szCs w:val="20"/>
          <w:lang w:val="es-CR"/>
        </w:rPr>
        <w:t xml:space="preserve"> a</w:t>
      </w:r>
      <w:r w:rsidR="00264901" w:rsidRPr="000864AE">
        <w:rPr>
          <w:rFonts w:ascii="Verdana" w:hAnsi="Verdana"/>
          <w:sz w:val="20"/>
          <w:szCs w:val="20"/>
          <w:lang w:val="es-CR"/>
        </w:rPr>
        <w:t>l 20</w:t>
      </w:r>
      <w:r w:rsidR="009C1DC6" w:rsidRPr="000864AE">
        <w:rPr>
          <w:rFonts w:ascii="Verdana" w:hAnsi="Verdana"/>
          <w:sz w:val="20"/>
          <w:szCs w:val="20"/>
          <w:lang w:val="es-CR"/>
        </w:rPr>
        <w:t>7</w:t>
      </w:r>
      <w:r w:rsidR="001E14D8" w:rsidRPr="000864AE">
        <w:rPr>
          <w:rFonts w:ascii="Verdana" w:hAnsi="Verdana"/>
          <w:sz w:val="20"/>
          <w:szCs w:val="20"/>
          <w:lang w:val="es-CR"/>
        </w:rPr>
        <w:t xml:space="preserve"> de la presente Sentencia.</w:t>
      </w:r>
    </w:p>
    <w:p w14:paraId="23616E46" w14:textId="77777777" w:rsidR="00D311D1" w:rsidRPr="000864AE" w:rsidRDefault="00D311D1" w:rsidP="000864AE">
      <w:pPr>
        <w:widowControl w:val="0"/>
        <w:tabs>
          <w:tab w:val="left" w:pos="720"/>
        </w:tabs>
        <w:adjustRightInd w:val="0"/>
        <w:spacing w:after="0" w:line="240" w:lineRule="auto"/>
        <w:ind w:right="-91"/>
        <w:jc w:val="both"/>
        <w:textAlignment w:val="baseline"/>
        <w:rPr>
          <w:rFonts w:ascii="Verdana" w:hAnsi="Verdana"/>
          <w:sz w:val="20"/>
          <w:szCs w:val="20"/>
          <w:lang w:val="es-CR"/>
        </w:rPr>
      </w:pPr>
    </w:p>
    <w:p w14:paraId="7149BB72" w14:textId="297F3676" w:rsidR="00D311D1"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Disienten los </w:t>
      </w:r>
      <w:r w:rsidR="00111EE8" w:rsidRPr="000864AE">
        <w:rPr>
          <w:rFonts w:ascii="Verdana" w:hAnsi="Verdana"/>
          <w:sz w:val="20"/>
          <w:szCs w:val="20"/>
        </w:rPr>
        <w:t>J</w:t>
      </w:r>
      <w:r w:rsidRPr="000864AE">
        <w:rPr>
          <w:rFonts w:ascii="Verdana" w:hAnsi="Verdana"/>
          <w:sz w:val="20"/>
          <w:szCs w:val="20"/>
        </w:rPr>
        <w:t>ueces Eduardo Vio Grossi y Humberto Antonio Sierra Porto.</w:t>
      </w:r>
    </w:p>
    <w:p w14:paraId="7DB11896" w14:textId="77777777" w:rsidR="001E14D8" w:rsidRPr="000864AE" w:rsidRDefault="001E14D8" w:rsidP="000864AE">
      <w:pPr>
        <w:tabs>
          <w:tab w:val="left" w:pos="720"/>
        </w:tabs>
        <w:spacing w:after="0" w:line="240" w:lineRule="auto"/>
        <w:ind w:right="-90"/>
        <w:contextualSpacing/>
        <w:jc w:val="both"/>
        <w:rPr>
          <w:rFonts w:ascii="Verdana" w:hAnsi="Verdana"/>
          <w:sz w:val="20"/>
          <w:szCs w:val="20"/>
          <w:lang w:val="es-CR"/>
        </w:rPr>
      </w:pPr>
    </w:p>
    <w:p w14:paraId="5568EA31" w14:textId="77777777" w:rsidR="00EE343A" w:rsidRPr="000864AE" w:rsidRDefault="00EE343A" w:rsidP="000864AE">
      <w:pPr>
        <w:tabs>
          <w:tab w:val="left" w:pos="720"/>
        </w:tabs>
        <w:spacing w:after="0" w:line="240" w:lineRule="auto"/>
        <w:ind w:right="-90"/>
        <w:contextualSpacing/>
        <w:jc w:val="both"/>
        <w:rPr>
          <w:rFonts w:ascii="Verdana" w:eastAsia="MS Mincho" w:hAnsi="Verdana"/>
          <w:sz w:val="20"/>
          <w:szCs w:val="20"/>
          <w:lang w:val="es-CR" w:bidi="en-US"/>
        </w:rPr>
      </w:pPr>
      <w:r w:rsidRPr="000864AE">
        <w:rPr>
          <w:rFonts w:ascii="Verdana" w:eastAsia="MS Mincho" w:hAnsi="Verdana"/>
          <w:sz w:val="20"/>
          <w:szCs w:val="20"/>
          <w:lang w:val="es-CR" w:bidi="en-US"/>
        </w:rPr>
        <w:t>Por seis votos a favor y uno en contra, que:</w:t>
      </w:r>
    </w:p>
    <w:p w14:paraId="34ED4613" w14:textId="77777777" w:rsidR="00EE343A" w:rsidRPr="000864AE" w:rsidRDefault="00EE343A" w:rsidP="000864AE">
      <w:pPr>
        <w:tabs>
          <w:tab w:val="left" w:pos="720"/>
        </w:tabs>
        <w:spacing w:after="0" w:line="240" w:lineRule="auto"/>
        <w:ind w:right="-90"/>
        <w:contextualSpacing/>
        <w:jc w:val="both"/>
        <w:rPr>
          <w:rFonts w:ascii="Verdana" w:eastAsia="MS Mincho" w:hAnsi="Verdana"/>
          <w:sz w:val="20"/>
          <w:szCs w:val="20"/>
          <w:lang w:val="es-CR" w:bidi="en-US"/>
        </w:rPr>
      </w:pPr>
    </w:p>
    <w:p w14:paraId="0DA60C70" w14:textId="3E999CCD" w:rsidR="00EE343A" w:rsidRPr="000864AE" w:rsidRDefault="00C313CA" w:rsidP="000864AE">
      <w:pPr>
        <w:widowControl w:val="0"/>
        <w:tabs>
          <w:tab w:val="left" w:pos="567"/>
        </w:tabs>
        <w:adjustRightInd w:val="0"/>
        <w:spacing w:after="0" w:line="240" w:lineRule="auto"/>
        <w:ind w:right="-91"/>
        <w:jc w:val="both"/>
        <w:textAlignment w:val="baseline"/>
        <w:rPr>
          <w:rFonts w:ascii="Verdana" w:hAnsi="Verdana"/>
          <w:kern w:val="2"/>
          <w:sz w:val="20"/>
          <w:szCs w:val="20"/>
          <w:lang w:val="es-CR"/>
        </w:rPr>
      </w:pPr>
      <w:r w:rsidRPr="000864AE">
        <w:rPr>
          <w:rFonts w:ascii="Verdana" w:hAnsi="Verdana"/>
          <w:sz w:val="20"/>
          <w:szCs w:val="20"/>
          <w:lang w:val="es-CR"/>
        </w:rPr>
        <w:t>5</w:t>
      </w:r>
      <w:r w:rsidR="00EE343A" w:rsidRPr="000864AE">
        <w:rPr>
          <w:rFonts w:ascii="Verdana" w:hAnsi="Verdana"/>
          <w:sz w:val="20"/>
          <w:szCs w:val="20"/>
          <w:lang w:val="es-CR"/>
        </w:rPr>
        <w:t xml:space="preserve">. </w:t>
      </w:r>
      <w:r w:rsidR="00EE343A" w:rsidRPr="000864AE">
        <w:rPr>
          <w:rFonts w:ascii="Verdana" w:hAnsi="Verdana"/>
          <w:sz w:val="20"/>
          <w:szCs w:val="20"/>
          <w:lang w:val="es-CR"/>
        </w:rPr>
        <w:tab/>
        <w:t>El Estado no es responsable por la violación al deber de adoptar disposiciones de derecho interno, consagrado en el artículo 2 de la Convención</w:t>
      </w:r>
      <w:r w:rsidR="00EE343A" w:rsidRPr="000864AE">
        <w:rPr>
          <w:rFonts w:ascii="Verdana" w:hAnsi="Verdana"/>
          <w:kern w:val="2"/>
          <w:sz w:val="20"/>
          <w:szCs w:val="20"/>
          <w:lang w:val="es-CR"/>
        </w:rPr>
        <w:t xml:space="preserve"> Americana sobre Derechos Humanos</w:t>
      </w:r>
      <w:r w:rsidR="00EE343A" w:rsidRPr="000864AE">
        <w:rPr>
          <w:rFonts w:ascii="Verdana" w:hAnsi="Verdana"/>
          <w:sz w:val="20"/>
          <w:szCs w:val="20"/>
        </w:rPr>
        <w:t>,</w:t>
      </w:r>
      <w:r w:rsidR="00EE343A" w:rsidRPr="000864AE">
        <w:rPr>
          <w:rFonts w:ascii="Verdana" w:hAnsi="Verdana"/>
          <w:sz w:val="20"/>
          <w:szCs w:val="20"/>
          <w:lang w:val="es-CR"/>
        </w:rPr>
        <w:t xml:space="preserve"> en los términos de los párrafos </w:t>
      </w:r>
      <w:r w:rsidR="009C1DC6" w:rsidRPr="000864AE">
        <w:rPr>
          <w:rFonts w:ascii="Verdana" w:hAnsi="Verdana"/>
          <w:sz w:val="20"/>
          <w:szCs w:val="20"/>
          <w:lang w:val="es-CR"/>
        </w:rPr>
        <w:t>200 al 204</w:t>
      </w:r>
      <w:r w:rsidR="00EE343A" w:rsidRPr="000864AE">
        <w:rPr>
          <w:rFonts w:ascii="Verdana" w:hAnsi="Verdana"/>
          <w:sz w:val="20"/>
          <w:szCs w:val="20"/>
          <w:lang w:val="es-CR"/>
        </w:rPr>
        <w:t xml:space="preserve"> de la presente Sentencia</w:t>
      </w:r>
      <w:r w:rsidR="00EE343A" w:rsidRPr="000864AE">
        <w:rPr>
          <w:rFonts w:ascii="Verdana" w:hAnsi="Verdana"/>
          <w:kern w:val="2"/>
          <w:sz w:val="20"/>
          <w:szCs w:val="20"/>
          <w:lang w:val="es-CR"/>
        </w:rPr>
        <w:t>.</w:t>
      </w:r>
    </w:p>
    <w:p w14:paraId="3270EC95" w14:textId="77777777" w:rsidR="00EE343A" w:rsidRPr="000864AE" w:rsidRDefault="00EE343A" w:rsidP="000864AE">
      <w:pPr>
        <w:tabs>
          <w:tab w:val="left" w:pos="720"/>
        </w:tabs>
        <w:spacing w:after="0" w:line="240" w:lineRule="auto"/>
        <w:ind w:right="-90"/>
        <w:contextualSpacing/>
        <w:jc w:val="both"/>
        <w:rPr>
          <w:rFonts w:ascii="Verdana" w:hAnsi="Verdana"/>
          <w:sz w:val="20"/>
          <w:szCs w:val="20"/>
          <w:lang w:val="es-CR"/>
        </w:rPr>
      </w:pPr>
    </w:p>
    <w:p w14:paraId="335CF3F4" w14:textId="5E9FB8ED" w:rsidR="00D311D1"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 el </w:t>
      </w:r>
      <w:r w:rsidR="00111EE8" w:rsidRPr="000864AE">
        <w:rPr>
          <w:rFonts w:ascii="Verdana" w:hAnsi="Verdana"/>
          <w:sz w:val="20"/>
          <w:szCs w:val="20"/>
        </w:rPr>
        <w:t>J</w:t>
      </w:r>
      <w:r w:rsidRPr="000864AE">
        <w:rPr>
          <w:rFonts w:ascii="Verdana" w:hAnsi="Verdana"/>
          <w:sz w:val="20"/>
          <w:szCs w:val="20"/>
        </w:rPr>
        <w:t>uez Eduardo Vio Grossi.</w:t>
      </w:r>
    </w:p>
    <w:p w14:paraId="0F1716B9" w14:textId="77777777" w:rsidR="00D311D1" w:rsidRPr="000864AE" w:rsidRDefault="00D311D1" w:rsidP="000864AE">
      <w:pPr>
        <w:tabs>
          <w:tab w:val="left" w:pos="720"/>
        </w:tabs>
        <w:spacing w:after="0" w:line="240" w:lineRule="auto"/>
        <w:ind w:right="-90"/>
        <w:contextualSpacing/>
        <w:jc w:val="both"/>
        <w:rPr>
          <w:rFonts w:ascii="Verdana" w:hAnsi="Verdana"/>
          <w:sz w:val="20"/>
          <w:szCs w:val="20"/>
          <w:lang w:val="es-CR"/>
        </w:rPr>
      </w:pPr>
    </w:p>
    <w:p w14:paraId="0E091F97" w14:textId="77777777" w:rsidR="001E14D8" w:rsidRPr="000864AE" w:rsidRDefault="001E14D8" w:rsidP="000864AE">
      <w:pPr>
        <w:tabs>
          <w:tab w:val="left" w:pos="720"/>
        </w:tabs>
        <w:spacing w:after="0" w:line="240" w:lineRule="auto"/>
        <w:ind w:right="-90"/>
        <w:contextualSpacing/>
        <w:jc w:val="both"/>
        <w:rPr>
          <w:rFonts w:ascii="Verdana" w:eastAsia="MS Mincho" w:hAnsi="Verdana"/>
          <w:b/>
          <w:bCs/>
          <w:sz w:val="20"/>
          <w:szCs w:val="20"/>
          <w:lang w:val="es-CR" w:bidi="en-US"/>
        </w:rPr>
      </w:pPr>
      <w:r w:rsidRPr="000864AE">
        <w:rPr>
          <w:rFonts w:ascii="Verdana" w:eastAsia="MS Mincho" w:hAnsi="Verdana"/>
          <w:b/>
          <w:bCs/>
          <w:sz w:val="20"/>
          <w:szCs w:val="20"/>
          <w:lang w:val="es-CR" w:bidi="en-US"/>
        </w:rPr>
        <w:t>Y DISPONE:</w:t>
      </w:r>
    </w:p>
    <w:p w14:paraId="0F0DA951" w14:textId="77777777" w:rsidR="001E14D8" w:rsidRPr="000864AE" w:rsidRDefault="001E14D8" w:rsidP="000864AE">
      <w:pPr>
        <w:tabs>
          <w:tab w:val="left" w:pos="720"/>
        </w:tabs>
        <w:spacing w:after="0" w:line="240" w:lineRule="auto"/>
        <w:ind w:right="-90"/>
        <w:jc w:val="both"/>
        <w:rPr>
          <w:rFonts w:ascii="Verdana" w:eastAsia="MS Mincho" w:hAnsi="Verdana"/>
          <w:sz w:val="20"/>
          <w:szCs w:val="20"/>
          <w:lang w:val="es-CR" w:bidi="en-US"/>
        </w:rPr>
      </w:pPr>
    </w:p>
    <w:p w14:paraId="1A254A84" w14:textId="0094F909" w:rsidR="001E14D8" w:rsidRPr="000864AE" w:rsidRDefault="001E14D8" w:rsidP="000864AE">
      <w:pPr>
        <w:tabs>
          <w:tab w:val="left" w:pos="720"/>
        </w:tabs>
        <w:spacing w:after="0" w:line="240" w:lineRule="auto"/>
        <w:ind w:right="-90"/>
        <w:jc w:val="both"/>
        <w:rPr>
          <w:rFonts w:ascii="Verdana" w:eastAsia="MS Mincho" w:hAnsi="Verdana"/>
          <w:sz w:val="20"/>
          <w:szCs w:val="20"/>
          <w:lang w:val="es-CR" w:bidi="en-US"/>
        </w:rPr>
      </w:pPr>
      <w:r w:rsidRPr="000864AE">
        <w:rPr>
          <w:rFonts w:ascii="Verdana" w:eastAsia="MS Mincho" w:hAnsi="Verdana"/>
          <w:sz w:val="20"/>
          <w:szCs w:val="20"/>
          <w:lang w:val="es-CR" w:bidi="en-US"/>
        </w:rPr>
        <w:t xml:space="preserve">Por </w:t>
      </w:r>
      <w:r w:rsidR="00B240D4" w:rsidRPr="000864AE">
        <w:rPr>
          <w:rFonts w:ascii="Verdana" w:eastAsia="MS Mincho" w:hAnsi="Verdana"/>
          <w:sz w:val="20"/>
          <w:szCs w:val="20"/>
          <w:lang w:val="es-CR" w:bidi="en-US"/>
        </w:rPr>
        <w:t>seis votos a favor y uno en contra,</w:t>
      </w:r>
      <w:r w:rsidRPr="000864AE">
        <w:rPr>
          <w:rFonts w:ascii="Verdana" w:eastAsia="MS Mincho" w:hAnsi="Verdana"/>
          <w:sz w:val="20"/>
          <w:szCs w:val="20"/>
          <w:lang w:val="es-CR" w:bidi="en-US"/>
        </w:rPr>
        <w:t xml:space="preserve"> que</w:t>
      </w:r>
      <w:r w:rsidR="00B240D4" w:rsidRPr="000864AE">
        <w:rPr>
          <w:rFonts w:ascii="Verdana" w:eastAsia="MS Mincho" w:hAnsi="Verdana"/>
          <w:sz w:val="20"/>
          <w:szCs w:val="20"/>
          <w:lang w:val="es-CR" w:bidi="en-US"/>
        </w:rPr>
        <w:t>:</w:t>
      </w:r>
    </w:p>
    <w:p w14:paraId="23A86560" w14:textId="77777777" w:rsidR="001E14D8" w:rsidRPr="000864AE" w:rsidRDefault="001E14D8" w:rsidP="000864AE">
      <w:pPr>
        <w:widowControl w:val="0"/>
        <w:tabs>
          <w:tab w:val="left" w:pos="567"/>
        </w:tabs>
        <w:adjustRightInd w:val="0"/>
        <w:spacing w:after="0" w:line="240" w:lineRule="auto"/>
        <w:jc w:val="both"/>
        <w:textAlignment w:val="baseline"/>
        <w:rPr>
          <w:rFonts w:ascii="Verdana" w:hAnsi="Verdana"/>
          <w:sz w:val="20"/>
          <w:szCs w:val="20"/>
          <w:lang w:val="es-CR"/>
        </w:rPr>
      </w:pPr>
    </w:p>
    <w:p w14:paraId="2EE08AD5" w14:textId="35AAB9DA" w:rsidR="00DA39FE" w:rsidRPr="000864AE" w:rsidRDefault="00111B66" w:rsidP="000864AE">
      <w:pPr>
        <w:spacing w:after="0" w:line="240" w:lineRule="auto"/>
        <w:jc w:val="both"/>
        <w:rPr>
          <w:rFonts w:ascii="Verdana" w:hAnsi="Verdana"/>
          <w:sz w:val="20"/>
          <w:szCs w:val="20"/>
        </w:rPr>
      </w:pPr>
      <w:r w:rsidRPr="000864AE">
        <w:rPr>
          <w:rFonts w:ascii="Verdana" w:hAnsi="Verdana"/>
          <w:sz w:val="20"/>
          <w:szCs w:val="20"/>
        </w:rPr>
        <w:t>6</w:t>
      </w:r>
      <w:r w:rsidR="001E14D8" w:rsidRPr="000864AE">
        <w:rPr>
          <w:rFonts w:ascii="Verdana" w:hAnsi="Verdana"/>
          <w:sz w:val="20"/>
          <w:szCs w:val="20"/>
        </w:rPr>
        <w:t>.</w:t>
      </w:r>
      <w:r w:rsidR="001E14D8" w:rsidRPr="000864AE">
        <w:rPr>
          <w:rFonts w:ascii="Verdana" w:hAnsi="Verdana"/>
          <w:sz w:val="20"/>
          <w:szCs w:val="20"/>
        </w:rPr>
        <w:tab/>
      </w:r>
      <w:r w:rsidR="00DA39FE" w:rsidRPr="000864AE">
        <w:rPr>
          <w:rFonts w:ascii="Verdana" w:hAnsi="Verdana"/>
          <w:sz w:val="20"/>
          <w:szCs w:val="20"/>
        </w:rPr>
        <w:t>El Estad</w:t>
      </w:r>
      <w:r w:rsidR="00804A58" w:rsidRPr="000864AE">
        <w:rPr>
          <w:rFonts w:ascii="Verdana" w:hAnsi="Verdana"/>
          <w:sz w:val="20"/>
          <w:szCs w:val="20"/>
        </w:rPr>
        <w:t xml:space="preserve">o </w:t>
      </w:r>
      <w:r w:rsidR="00EC79A5" w:rsidRPr="000864AE">
        <w:rPr>
          <w:rFonts w:ascii="Verdana" w:hAnsi="Verdana"/>
          <w:sz w:val="20"/>
          <w:szCs w:val="20"/>
        </w:rPr>
        <w:t>realizar</w:t>
      </w:r>
      <w:r w:rsidR="00EE343A" w:rsidRPr="000864AE">
        <w:rPr>
          <w:rFonts w:ascii="Verdana" w:hAnsi="Verdana"/>
          <w:sz w:val="20"/>
          <w:szCs w:val="20"/>
        </w:rPr>
        <w:t>á</w:t>
      </w:r>
      <w:r w:rsidR="00EC79A5" w:rsidRPr="000864AE">
        <w:rPr>
          <w:rFonts w:ascii="Verdana" w:hAnsi="Verdana"/>
          <w:sz w:val="20"/>
          <w:szCs w:val="20"/>
        </w:rPr>
        <w:t xml:space="preserve"> el pago efectivo e</w:t>
      </w:r>
      <w:r w:rsidR="00DA39FE" w:rsidRPr="000864AE">
        <w:rPr>
          <w:rFonts w:ascii="Verdana" w:hAnsi="Verdana"/>
          <w:sz w:val="20"/>
          <w:szCs w:val="20"/>
        </w:rPr>
        <w:t xml:space="preserve"> inmediato</w:t>
      </w:r>
      <w:r w:rsidR="00EC79A5" w:rsidRPr="000864AE">
        <w:rPr>
          <w:rFonts w:ascii="Verdana" w:hAnsi="Verdana"/>
          <w:sz w:val="20"/>
          <w:szCs w:val="20"/>
        </w:rPr>
        <w:t xml:space="preserve"> de</w:t>
      </w:r>
      <w:r w:rsidR="00DA39FE" w:rsidRPr="000864AE">
        <w:rPr>
          <w:rFonts w:ascii="Verdana" w:hAnsi="Verdana"/>
          <w:sz w:val="20"/>
          <w:szCs w:val="20"/>
        </w:rPr>
        <w:t xml:space="preserve"> los conceptos pendientes </w:t>
      </w:r>
      <w:r w:rsidR="00A80AF9" w:rsidRPr="000864AE">
        <w:rPr>
          <w:rFonts w:ascii="Verdana" w:hAnsi="Verdana"/>
          <w:sz w:val="20"/>
          <w:szCs w:val="20"/>
        </w:rPr>
        <w:t>en virtud</w:t>
      </w:r>
      <w:r w:rsidR="00DA39FE" w:rsidRPr="000864AE">
        <w:rPr>
          <w:rFonts w:ascii="Verdana" w:hAnsi="Verdana"/>
          <w:sz w:val="20"/>
          <w:szCs w:val="20"/>
        </w:rPr>
        <w:t xml:space="preserve"> de lo dispuesto por la sentencia de 25 de octubre de 1993, en los términos del párrafo </w:t>
      </w:r>
      <w:r w:rsidR="009C1DC6" w:rsidRPr="000864AE">
        <w:rPr>
          <w:rFonts w:ascii="Verdana" w:hAnsi="Verdana"/>
          <w:sz w:val="20"/>
          <w:szCs w:val="20"/>
        </w:rPr>
        <w:t>217</w:t>
      </w:r>
      <w:r w:rsidR="00DA39FE" w:rsidRPr="000864AE">
        <w:rPr>
          <w:rFonts w:ascii="Verdana" w:hAnsi="Verdana"/>
          <w:sz w:val="20"/>
          <w:szCs w:val="20"/>
        </w:rPr>
        <w:t xml:space="preserve"> de presente Sentencia.</w:t>
      </w:r>
    </w:p>
    <w:p w14:paraId="1511ED78" w14:textId="77777777" w:rsidR="00DA39FE" w:rsidRPr="000864AE" w:rsidRDefault="00DA39FE" w:rsidP="000864AE">
      <w:pPr>
        <w:spacing w:after="0" w:line="240" w:lineRule="auto"/>
        <w:jc w:val="both"/>
        <w:rPr>
          <w:rFonts w:ascii="Verdana" w:hAnsi="Verdana"/>
          <w:sz w:val="20"/>
          <w:szCs w:val="20"/>
        </w:rPr>
      </w:pPr>
    </w:p>
    <w:p w14:paraId="56EA2E6A" w14:textId="17915804" w:rsidR="00D311D1"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 el </w:t>
      </w:r>
      <w:r w:rsidR="00111EE8" w:rsidRPr="000864AE">
        <w:rPr>
          <w:rFonts w:ascii="Verdana" w:hAnsi="Verdana"/>
          <w:sz w:val="20"/>
          <w:szCs w:val="20"/>
        </w:rPr>
        <w:t>J</w:t>
      </w:r>
      <w:r w:rsidRPr="000864AE">
        <w:rPr>
          <w:rFonts w:ascii="Verdana" w:hAnsi="Verdana"/>
          <w:sz w:val="20"/>
          <w:szCs w:val="20"/>
        </w:rPr>
        <w:t>uez Eduardo Vio Grossi.</w:t>
      </w:r>
    </w:p>
    <w:p w14:paraId="636C8F22" w14:textId="77777777" w:rsidR="00D311D1" w:rsidRPr="000864AE" w:rsidRDefault="00D311D1" w:rsidP="000864AE">
      <w:pPr>
        <w:spacing w:after="0" w:line="240" w:lineRule="auto"/>
        <w:jc w:val="both"/>
        <w:rPr>
          <w:rFonts w:ascii="Verdana" w:hAnsi="Verdana"/>
          <w:sz w:val="20"/>
          <w:szCs w:val="20"/>
        </w:rPr>
      </w:pPr>
    </w:p>
    <w:p w14:paraId="37FC4EE4" w14:textId="0A624490" w:rsidR="00B240D4" w:rsidRPr="000864AE" w:rsidRDefault="00B240D4" w:rsidP="000864AE">
      <w:pPr>
        <w:spacing w:after="0" w:line="240" w:lineRule="auto"/>
        <w:jc w:val="both"/>
        <w:rPr>
          <w:rFonts w:ascii="Verdana" w:eastAsia="MS Mincho" w:hAnsi="Verdana"/>
          <w:sz w:val="20"/>
          <w:szCs w:val="20"/>
          <w:lang w:val="es-CR" w:bidi="en-US"/>
        </w:rPr>
      </w:pPr>
      <w:r w:rsidRPr="000864AE">
        <w:rPr>
          <w:rFonts w:ascii="Verdana" w:eastAsia="MS Mincho" w:hAnsi="Verdana"/>
          <w:sz w:val="20"/>
          <w:szCs w:val="20"/>
          <w:lang w:val="es-CR" w:bidi="en-US"/>
        </w:rPr>
        <w:t>Por seis votos a favor y uno en contra, que:</w:t>
      </w:r>
    </w:p>
    <w:p w14:paraId="3BEA8B75" w14:textId="77777777" w:rsidR="00B240D4" w:rsidRPr="000864AE" w:rsidRDefault="00B240D4" w:rsidP="000864AE">
      <w:pPr>
        <w:spacing w:after="0" w:line="240" w:lineRule="auto"/>
        <w:jc w:val="both"/>
        <w:rPr>
          <w:rFonts w:ascii="Verdana" w:hAnsi="Verdana"/>
          <w:sz w:val="20"/>
          <w:szCs w:val="20"/>
        </w:rPr>
      </w:pPr>
    </w:p>
    <w:p w14:paraId="43A6DD12" w14:textId="4ACE01DB" w:rsidR="00DA39FE" w:rsidRPr="000864AE" w:rsidRDefault="00111B66" w:rsidP="000864AE">
      <w:pPr>
        <w:spacing w:after="0" w:line="240" w:lineRule="auto"/>
        <w:jc w:val="both"/>
        <w:rPr>
          <w:rFonts w:ascii="Verdana" w:hAnsi="Verdana"/>
          <w:sz w:val="20"/>
          <w:szCs w:val="20"/>
        </w:rPr>
      </w:pPr>
      <w:r w:rsidRPr="000864AE">
        <w:rPr>
          <w:rFonts w:ascii="Verdana" w:hAnsi="Verdana"/>
          <w:sz w:val="20"/>
          <w:szCs w:val="20"/>
        </w:rPr>
        <w:t>7</w:t>
      </w:r>
      <w:r w:rsidR="00DA39FE" w:rsidRPr="000864AE">
        <w:rPr>
          <w:rFonts w:ascii="Verdana" w:hAnsi="Verdana"/>
          <w:sz w:val="20"/>
          <w:szCs w:val="20"/>
        </w:rPr>
        <w:t xml:space="preserve">. </w:t>
      </w:r>
      <w:r w:rsidR="00DA39FE" w:rsidRPr="000864AE">
        <w:rPr>
          <w:rFonts w:ascii="Verdana" w:hAnsi="Verdana"/>
          <w:sz w:val="20"/>
          <w:szCs w:val="20"/>
        </w:rPr>
        <w:tab/>
      </w:r>
      <w:r w:rsidR="001E14D8" w:rsidRPr="000864AE">
        <w:rPr>
          <w:rFonts w:ascii="Verdana" w:hAnsi="Verdana"/>
          <w:sz w:val="20"/>
          <w:szCs w:val="20"/>
        </w:rPr>
        <w:t xml:space="preserve">El Estado </w:t>
      </w:r>
      <w:r w:rsidR="00804A58" w:rsidRPr="000864AE">
        <w:rPr>
          <w:rFonts w:ascii="Verdana" w:hAnsi="Verdana"/>
          <w:sz w:val="20"/>
          <w:szCs w:val="20"/>
        </w:rPr>
        <w:t>realizar</w:t>
      </w:r>
      <w:r w:rsidR="00EE343A" w:rsidRPr="000864AE">
        <w:rPr>
          <w:rFonts w:ascii="Verdana" w:hAnsi="Verdana"/>
          <w:sz w:val="20"/>
          <w:szCs w:val="20"/>
        </w:rPr>
        <w:t>á</w:t>
      </w:r>
      <w:r w:rsidR="001E14D8" w:rsidRPr="000864AE">
        <w:rPr>
          <w:rFonts w:ascii="Verdana" w:hAnsi="Verdana"/>
          <w:sz w:val="20"/>
          <w:szCs w:val="20"/>
        </w:rPr>
        <w:t xml:space="preserve"> las publicaciones indicadas en el párrafo </w:t>
      </w:r>
      <w:r w:rsidR="009C1DC6" w:rsidRPr="000864AE">
        <w:rPr>
          <w:rFonts w:ascii="Verdana" w:hAnsi="Verdana"/>
          <w:sz w:val="20"/>
          <w:szCs w:val="20"/>
        </w:rPr>
        <w:t>219</w:t>
      </w:r>
      <w:r w:rsidR="001E14D8" w:rsidRPr="000864AE">
        <w:rPr>
          <w:rFonts w:ascii="Verdana" w:hAnsi="Verdana"/>
          <w:sz w:val="20"/>
          <w:szCs w:val="20"/>
        </w:rPr>
        <w:t xml:space="preserve"> de la presente Sentencia</w:t>
      </w:r>
      <w:r w:rsidR="00A80AF9" w:rsidRPr="000864AE">
        <w:rPr>
          <w:rFonts w:ascii="Verdana" w:hAnsi="Verdana"/>
          <w:sz w:val="20"/>
          <w:szCs w:val="20"/>
        </w:rPr>
        <w:t xml:space="preserve"> y, dentro del plazo de un año a partir de la notificación de esta Sentencia,</w:t>
      </w:r>
      <w:r w:rsidR="00111EE8" w:rsidRPr="000864AE">
        <w:rPr>
          <w:rFonts w:ascii="Verdana" w:hAnsi="Verdana"/>
          <w:sz w:val="20"/>
          <w:szCs w:val="20"/>
        </w:rPr>
        <w:t xml:space="preserve"> y llevará</w:t>
      </w:r>
      <w:r w:rsidR="00F64C46" w:rsidRPr="000864AE">
        <w:rPr>
          <w:rFonts w:ascii="Verdana" w:hAnsi="Verdana"/>
          <w:sz w:val="20"/>
          <w:szCs w:val="20"/>
        </w:rPr>
        <w:t xml:space="preserve"> a cabo</w:t>
      </w:r>
      <w:r w:rsidR="00A80AF9" w:rsidRPr="000864AE">
        <w:rPr>
          <w:rFonts w:ascii="Verdana" w:hAnsi="Verdana"/>
          <w:sz w:val="20"/>
          <w:szCs w:val="20"/>
        </w:rPr>
        <w:t xml:space="preserve"> un acto público de reconocimiento de responsabilidad internacional en los términos fijados en el párrafo </w:t>
      </w:r>
      <w:r w:rsidR="009C1DC6" w:rsidRPr="000864AE">
        <w:rPr>
          <w:rFonts w:ascii="Verdana" w:hAnsi="Verdana"/>
          <w:sz w:val="20"/>
          <w:szCs w:val="20"/>
        </w:rPr>
        <w:t>220</w:t>
      </w:r>
      <w:r w:rsidR="008404ED" w:rsidRPr="000864AE">
        <w:rPr>
          <w:rFonts w:ascii="Verdana" w:hAnsi="Verdana"/>
          <w:sz w:val="20"/>
          <w:szCs w:val="20"/>
        </w:rPr>
        <w:t xml:space="preserve"> </w:t>
      </w:r>
      <w:r w:rsidR="00A80AF9" w:rsidRPr="000864AE">
        <w:rPr>
          <w:rFonts w:ascii="Verdana" w:hAnsi="Verdana"/>
          <w:sz w:val="20"/>
          <w:szCs w:val="20"/>
        </w:rPr>
        <w:t>de la presente Sentencia</w:t>
      </w:r>
      <w:r w:rsidR="001E14D8" w:rsidRPr="000864AE">
        <w:rPr>
          <w:rFonts w:ascii="Verdana" w:hAnsi="Verdana"/>
          <w:sz w:val="20"/>
          <w:szCs w:val="20"/>
        </w:rPr>
        <w:t>.</w:t>
      </w:r>
    </w:p>
    <w:p w14:paraId="6BD2A6BF" w14:textId="77777777" w:rsidR="00DA39FE" w:rsidRPr="000864AE" w:rsidRDefault="00DA39FE" w:rsidP="000864AE">
      <w:pPr>
        <w:spacing w:after="0" w:line="240" w:lineRule="auto"/>
        <w:jc w:val="both"/>
        <w:rPr>
          <w:rFonts w:ascii="Verdana" w:hAnsi="Verdana"/>
          <w:sz w:val="20"/>
          <w:szCs w:val="20"/>
        </w:rPr>
      </w:pPr>
    </w:p>
    <w:p w14:paraId="24B68AA4" w14:textId="3DE35AB9" w:rsidR="00D311D1" w:rsidRPr="000864AE" w:rsidRDefault="00D311D1" w:rsidP="000864AE">
      <w:pPr>
        <w:pStyle w:val="Prrafodelista"/>
        <w:tabs>
          <w:tab w:val="left" w:pos="720"/>
        </w:tabs>
        <w:spacing w:after="0" w:line="240" w:lineRule="auto"/>
        <w:ind w:left="0" w:right="-90"/>
        <w:jc w:val="both"/>
        <w:rPr>
          <w:rFonts w:ascii="Verdana" w:hAnsi="Verdana"/>
          <w:sz w:val="20"/>
          <w:szCs w:val="20"/>
          <w:lang w:val="es-CR"/>
        </w:rPr>
      </w:pPr>
      <w:r w:rsidRPr="000864AE">
        <w:rPr>
          <w:rFonts w:ascii="Verdana" w:hAnsi="Verdana"/>
          <w:sz w:val="20"/>
          <w:szCs w:val="20"/>
        </w:rPr>
        <w:t xml:space="preserve">Disiente el </w:t>
      </w:r>
      <w:r w:rsidR="00111EE8" w:rsidRPr="000864AE">
        <w:rPr>
          <w:rFonts w:ascii="Verdana" w:hAnsi="Verdana"/>
          <w:sz w:val="20"/>
          <w:szCs w:val="20"/>
        </w:rPr>
        <w:t>J</w:t>
      </w:r>
      <w:r w:rsidRPr="000864AE">
        <w:rPr>
          <w:rFonts w:ascii="Verdana" w:hAnsi="Verdana"/>
          <w:sz w:val="20"/>
          <w:szCs w:val="20"/>
        </w:rPr>
        <w:t>uez Eduardo Vio Grossi.</w:t>
      </w:r>
    </w:p>
    <w:p w14:paraId="688A04F5" w14:textId="77777777" w:rsidR="00D311D1" w:rsidRPr="000864AE" w:rsidRDefault="00D311D1" w:rsidP="000864AE">
      <w:pPr>
        <w:spacing w:after="0" w:line="240" w:lineRule="auto"/>
        <w:jc w:val="both"/>
        <w:rPr>
          <w:rFonts w:ascii="Verdana" w:hAnsi="Verdana"/>
          <w:sz w:val="20"/>
          <w:szCs w:val="20"/>
        </w:rPr>
      </w:pPr>
    </w:p>
    <w:p w14:paraId="5C11FC41" w14:textId="1CBEB1DD" w:rsidR="00B240D4" w:rsidRPr="000864AE" w:rsidRDefault="00B240D4" w:rsidP="000864AE">
      <w:pPr>
        <w:spacing w:after="0" w:line="240" w:lineRule="auto"/>
        <w:jc w:val="both"/>
        <w:rPr>
          <w:rFonts w:ascii="Verdana" w:hAnsi="Verdana"/>
          <w:sz w:val="20"/>
          <w:szCs w:val="20"/>
        </w:rPr>
      </w:pPr>
      <w:r w:rsidRPr="000864AE">
        <w:rPr>
          <w:rFonts w:ascii="Verdana" w:eastAsia="MS Mincho" w:hAnsi="Verdana"/>
          <w:sz w:val="20"/>
          <w:szCs w:val="20"/>
          <w:lang w:val="es-CR" w:bidi="en-US"/>
        </w:rPr>
        <w:t>Por cinco votos a favor y dos en contra, que:</w:t>
      </w:r>
    </w:p>
    <w:p w14:paraId="2CEF5BDC" w14:textId="77777777" w:rsidR="00B240D4" w:rsidRPr="000864AE" w:rsidRDefault="00B240D4" w:rsidP="000864AE">
      <w:pPr>
        <w:spacing w:after="0" w:line="240" w:lineRule="auto"/>
        <w:jc w:val="both"/>
        <w:rPr>
          <w:rFonts w:ascii="Verdana" w:hAnsi="Verdana"/>
          <w:sz w:val="20"/>
          <w:szCs w:val="20"/>
        </w:rPr>
      </w:pPr>
    </w:p>
    <w:p w14:paraId="18B8343F" w14:textId="00BE9B70" w:rsidR="001E14D8" w:rsidRPr="000864AE" w:rsidRDefault="00111B66" w:rsidP="000864AE">
      <w:pPr>
        <w:spacing w:after="0" w:line="240" w:lineRule="auto"/>
        <w:jc w:val="both"/>
        <w:rPr>
          <w:rFonts w:ascii="Verdana" w:hAnsi="Verdana"/>
          <w:sz w:val="20"/>
          <w:szCs w:val="20"/>
        </w:rPr>
      </w:pPr>
      <w:r w:rsidRPr="000864AE">
        <w:rPr>
          <w:rFonts w:ascii="Verdana" w:hAnsi="Verdana"/>
          <w:sz w:val="20"/>
          <w:szCs w:val="20"/>
        </w:rPr>
        <w:t>8</w:t>
      </w:r>
      <w:r w:rsidR="00DA39FE" w:rsidRPr="000864AE">
        <w:rPr>
          <w:rFonts w:ascii="Verdana" w:hAnsi="Verdana"/>
          <w:sz w:val="20"/>
          <w:szCs w:val="20"/>
        </w:rPr>
        <w:t>.</w:t>
      </w:r>
      <w:r w:rsidR="00DA39FE" w:rsidRPr="000864AE">
        <w:rPr>
          <w:rFonts w:ascii="Verdana" w:hAnsi="Verdana"/>
          <w:sz w:val="20"/>
          <w:szCs w:val="20"/>
        </w:rPr>
        <w:tab/>
      </w:r>
      <w:r w:rsidR="001E14D8" w:rsidRPr="000864AE">
        <w:rPr>
          <w:rFonts w:ascii="Verdana" w:hAnsi="Verdana"/>
          <w:sz w:val="20"/>
          <w:szCs w:val="20"/>
        </w:rPr>
        <w:t xml:space="preserve">El Estado </w:t>
      </w:r>
      <w:r w:rsidR="005B3F02" w:rsidRPr="000864AE">
        <w:rPr>
          <w:rFonts w:ascii="Verdana" w:hAnsi="Verdana"/>
          <w:sz w:val="20"/>
          <w:szCs w:val="20"/>
        </w:rPr>
        <w:t>crear</w:t>
      </w:r>
      <w:r w:rsidR="00EE343A" w:rsidRPr="000864AE">
        <w:rPr>
          <w:rFonts w:ascii="Verdana" w:hAnsi="Verdana"/>
          <w:sz w:val="20"/>
          <w:szCs w:val="20"/>
        </w:rPr>
        <w:t>á</w:t>
      </w:r>
      <w:r w:rsidR="001E14D8" w:rsidRPr="000864AE">
        <w:rPr>
          <w:rFonts w:ascii="Verdana" w:hAnsi="Verdana"/>
          <w:sz w:val="20"/>
          <w:szCs w:val="20"/>
        </w:rPr>
        <w:t xml:space="preserve">, dentro de los </w:t>
      </w:r>
      <w:r w:rsidR="009C1DC6" w:rsidRPr="000864AE">
        <w:rPr>
          <w:rFonts w:ascii="Verdana" w:hAnsi="Verdana"/>
          <w:sz w:val="20"/>
          <w:szCs w:val="20"/>
        </w:rPr>
        <w:t>seis</w:t>
      </w:r>
      <w:r w:rsidR="001E14D8" w:rsidRPr="000864AE">
        <w:rPr>
          <w:rFonts w:ascii="Verdana" w:hAnsi="Verdana"/>
          <w:sz w:val="20"/>
          <w:szCs w:val="20"/>
        </w:rPr>
        <w:t xml:space="preserve"> meses que siguen a la notificación de esta Sentencia,</w:t>
      </w:r>
      <w:r w:rsidR="00DA39FE" w:rsidRPr="000864AE">
        <w:rPr>
          <w:rFonts w:ascii="Verdana" w:hAnsi="Verdana"/>
          <w:sz w:val="20"/>
          <w:szCs w:val="20"/>
        </w:rPr>
        <w:t xml:space="preserve"> un </w:t>
      </w:r>
      <w:r w:rsidR="008404ED" w:rsidRPr="000864AE">
        <w:rPr>
          <w:rFonts w:ascii="Verdana" w:hAnsi="Verdana"/>
          <w:sz w:val="20"/>
          <w:szCs w:val="20"/>
        </w:rPr>
        <w:t xml:space="preserve">registro </w:t>
      </w:r>
      <w:r w:rsidR="00DA39FE" w:rsidRPr="000864AE">
        <w:rPr>
          <w:rFonts w:ascii="Verdana" w:hAnsi="Verdana"/>
          <w:sz w:val="20"/>
          <w:szCs w:val="20"/>
        </w:rPr>
        <w:t>para la solución de casos similares al presente, en los términos de</w:t>
      </w:r>
      <w:r w:rsidR="00070F24" w:rsidRPr="000864AE">
        <w:rPr>
          <w:rFonts w:ascii="Verdana" w:hAnsi="Verdana"/>
          <w:sz w:val="20"/>
          <w:szCs w:val="20"/>
        </w:rPr>
        <w:t xml:space="preserve"> </w:t>
      </w:r>
      <w:r w:rsidR="00DA39FE" w:rsidRPr="000864AE">
        <w:rPr>
          <w:rFonts w:ascii="Verdana" w:hAnsi="Verdana"/>
          <w:sz w:val="20"/>
          <w:szCs w:val="20"/>
        </w:rPr>
        <w:t>l</w:t>
      </w:r>
      <w:r w:rsidR="00070F24" w:rsidRPr="000864AE">
        <w:rPr>
          <w:rFonts w:ascii="Verdana" w:hAnsi="Verdana"/>
          <w:sz w:val="20"/>
          <w:szCs w:val="20"/>
        </w:rPr>
        <w:t>os</w:t>
      </w:r>
      <w:r w:rsidR="00DA39FE" w:rsidRPr="000864AE">
        <w:rPr>
          <w:rFonts w:ascii="Verdana" w:hAnsi="Verdana"/>
          <w:sz w:val="20"/>
          <w:szCs w:val="20"/>
        </w:rPr>
        <w:t xml:space="preserve"> párrafo</w:t>
      </w:r>
      <w:r w:rsidR="00070F24" w:rsidRPr="000864AE">
        <w:rPr>
          <w:rFonts w:ascii="Verdana" w:hAnsi="Verdana"/>
          <w:sz w:val="20"/>
          <w:szCs w:val="20"/>
        </w:rPr>
        <w:t xml:space="preserve">s </w:t>
      </w:r>
      <w:r w:rsidR="009C1DC6" w:rsidRPr="000864AE">
        <w:rPr>
          <w:rFonts w:ascii="Verdana" w:hAnsi="Verdana"/>
          <w:sz w:val="20"/>
          <w:szCs w:val="20"/>
        </w:rPr>
        <w:t>225</w:t>
      </w:r>
      <w:r w:rsidR="008404ED" w:rsidRPr="000864AE">
        <w:rPr>
          <w:rFonts w:ascii="Verdana" w:hAnsi="Verdana"/>
          <w:sz w:val="20"/>
          <w:szCs w:val="20"/>
        </w:rPr>
        <w:t xml:space="preserve"> al</w:t>
      </w:r>
      <w:r w:rsidR="00070F24" w:rsidRPr="000864AE">
        <w:rPr>
          <w:rFonts w:ascii="Verdana" w:hAnsi="Verdana"/>
          <w:sz w:val="20"/>
          <w:szCs w:val="20"/>
        </w:rPr>
        <w:t xml:space="preserve"> 2</w:t>
      </w:r>
      <w:r w:rsidR="009C1DC6" w:rsidRPr="000864AE">
        <w:rPr>
          <w:rFonts w:ascii="Verdana" w:hAnsi="Verdana"/>
          <w:sz w:val="20"/>
          <w:szCs w:val="20"/>
        </w:rPr>
        <w:t>27</w:t>
      </w:r>
      <w:r w:rsidR="00A80AF9" w:rsidRPr="000864AE">
        <w:rPr>
          <w:rFonts w:ascii="Verdana" w:hAnsi="Verdana"/>
          <w:sz w:val="20"/>
          <w:szCs w:val="20"/>
        </w:rPr>
        <w:t xml:space="preserve"> de la presente Sentencia</w:t>
      </w:r>
      <w:r w:rsidR="001E14D8" w:rsidRPr="000864AE">
        <w:rPr>
          <w:rFonts w:ascii="Verdana" w:hAnsi="Verdana"/>
          <w:sz w:val="20"/>
          <w:szCs w:val="20"/>
        </w:rPr>
        <w:t>.</w:t>
      </w:r>
    </w:p>
    <w:p w14:paraId="6DB9049D" w14:textId="77777777" w:rsidR="001E14D8" w:rsidRPr="000864AE" w:rsidRDefault="001E14D8" w:rsidP="000864AE">
      <w:pPr>
        <w:spacing w:after="0" w:line="240" w:lineRule="auto"/>
        <w:jc w:val="both"/>
        <w:rPr>
          <w:rFonts w:ascii="Verdana" w:hAnsi="Verdana"/>
          <w:sz w:val="20"/>
          <w:szCs w:val="20"/>
        </w:rPr>
      </w:pPr>
    </w:p>
    <w:p w14:paraId="6807736B" w14:textId="254C5A5E" w:rsidR="00D311D1" w:rsidRPr="000864AE" w:rsidRDefault="00D311D1" w:rsidP="000864AE">
      <w:pPr>
        <w:spacing w:after="0" w:line="240" w:lineRule="auto"/>
        <w:jc w:val="both"/>
        <w:rPr>
          <w:rFonts w:ascii="Verdana" w:hAnsi="Verdana"/>
          <w:sz w:val="20"/>
          <w:szCs w:val="20"/>
        </w:rPr>
      </w:pPr>
      <w:r w:rsidRPr="000864AE">
        <w:rPr>
          <w:rFonts w:ascii="Verdana" w:hAnsi="Verdana"/>
          <w:sz w:val="20"/>
          <w:szCs w:val="20"/>
        </w:rPr>
        <w:t xml:space="preserve">Disienten los </w:t>
      </w:r>
      <w:r w:rsidR="00111EE8" w:rsidRPr="000864AE">
        <w:rPr>
          <w:rFonts w:ascii="Verdana" w:hAnsi="Verdana"/>
          <w:sz w:val="20"/>
          <w:szCs w:val="20"/>
        </w:rPr>
        <w:t>J</w:t>
      </w:r>
      <w:r w:rsidRPr="000864AE">
        <w:rPr>
          <w:rFonts w:ascii="Verdana" w:hAnsi="Verdana"/>
          <w:sz w:val="20"/>
          <w:szCs w:val="20"/>
        </w:rPr>
        <w:t>ueces Eduardo Vio Grossi y Humberto Antonio Sierra Porto.</w:t>
      </w:r>
    </w:p>
    <w:p w14:paraId="57E98D9C" w14:textId="77777777" w:rsidR="00D311D1" w:rsidRPr="000864AE" w:rsidRDefault="00D311D1" w:rsidP="000864AE">
      <w:pPr>
        <w:spacing w:after="0" w:line="240" w:lineRule="auto"/>
        <w:jc w:val="both"/>
        <w:rPr>
          <w:rFonts w:ascii="Verdana" w:hAnsi="Verdana"/>
          <w:sz w:val="20"/>
          <w:szCs w:val="20"/>
        </w:rPr>
      </w:pPr>
    </w:p>
    <w:p w14:paraId="385BDBC4" w14:textId="6F0EA028" w:rsidR="00B240D4" w:rsidRPr="000864AE" w:rsidRDefault="00B240D4" w:rsidP="000864AE">
      <w:pPr>
        <w:spacing w:after="0" w:line="240" w:lineRule="auto"/>
        <w:jc w:val="both"/>
        <w:rPr>
          <w:rFonts w:ascii="Verdana" w:hAnsi="Verdana"/>
          <w:sz w:val="20"/>
          <w:szCs w:val="20"/>
        </w:rPr>
      </w:pPr>
      <w:r w:rsidRPr="000864AE">
        <w:rPr>
          <w:rFonts w:ascii="Verdana" w:eastAsia="MS Mincho" w:hAnsi="Verdana"/>
          <w:sz w:val="20"/>
          <w:szCs w:val="20"/>
          <w:lang w:val="es-CR" w:bidi="en-US"/>
        </w:rPr>
        <w:t>Por cinco votos a favor y dos en contra, que:</w:t>
      </w:r>
    </w:p>
    <w:p w14:paraId="67B8DDA7" w14:textId="77777777" w:rsidR="00B240D4" w:rsidRPr="000864AE" w:rsidRDefault="00B240D4" w:rsidP="000864AE">
      <w:pPr>
        <w:spacing w:after="0" w:line="240" w:lineRule="auto"/>
        <w:jc w:val="both"/>
        <w:rPr>
          <w:rFonts w:ascii="Verdana" w:hAnsi="Verdana"/>
          <w:sz w:val="20"/>
          <w:szCs w:val="20"/>
        </w:rPr>
      </w:pPr>
    </w:p>
    <w:p w14:paraId="6DF2EFEC" w14:textId="513B64F7" w:rsidR="001E14D8" w:rsidRPr="000864AE" w:rsidRDefault="001A5331" w:rsidP="000864AE">
      <w:pPr>
        <w:spacing w:after="0" w:line="240" w:lineRule="auto"/>
        <w:jc w:val="both"/>
        <w:rPr>
          <w:rFonts w:ascii="Verdana" w:hAnsi="Verdana"/>
          <w:sz w:val="20"/>
          <w:szCs w:val="20"/>
        </w:rPr>
      </w:pPr>
      <w:r w:rsidRPr="000864AE">
        <w:rPr>
          <w:rFonts w:ascii="Verdana" w:hAnsi="Verdana"/>
          <w:sz w:val="20"/>
          <w:szCs w:val="20"/>
        </w:rPr>
        <w:t>9</w:t>
      </w:r>
      <w:r w:rsidR="001E14D8" w:rsidRPr="000864AE">
        <w:rPr>
          <w:rFonts w:ascii="Verdana" w:hAnsi="Verdana"/>
          <w:sz w:val="20"/>
          <w:szCs w:val="20"/>
        </w:rPr>
        <w:t xml:space="preserve">. </w:t>
      </w:r>
      <w:r w:rsidR="001E14D8" w:rsidRPr="000864AE">
        <w:rPr>
          <w:rFonts w:ascii="Verdana" w:hAnsi="Verdana"/>
          <w:sz w:val="20"/>
          <w:szCs w:val="20"/>
        </w:rPr>
        <w:tab/>
        <w:t xml:space="preserve">El Estado </w:t>
      </w:r>
      <w:r w:rsidR="005B3F02" w:rsidRPr="000864AE">
        <w:rPr>
          <w:rFonts w:ascii="Verdana" w:hAnsi="Verdana"/>
          <w:sz w:val="20"/>
          <w:szCs w:val="20"/>
        </w:rPr>
        <w:t>pagar</w:t>
      </w:r>
      <w:r w:rsidR="00EE343A" w:rsidRPr="000864AE">
        <w:rPr>
          <w:rFonts w:ascii="Verdana" w:hAnsi="Verdana"/>
          <w:sz w:val="20"/>
          <w:szCs w:val="20"/>
        </w:rPr>
        <w:t>á</w:t>
      </w:r>
      <w:r w:rsidR="001E14D8" w:rsidRPr="000864AE">
        <w:rPr>
          <w:rFonts w:ascii="Verdana" w:hAnsi="Verdana"/>
          <w:sz w:val="20"/>
          <w:szCs w:val="20"/>
        </w:rPr>
        <w:t xml:space="preserve">, dentro del plazo de un año a partir de la notificación de esta Sentencia, </w:t>
      </w:r>
      <w:r w:rsidR="00FA0F95" w:rsidRPr="000864AE">
        <w:rPr>
          <w:rFonts w:ascii="Verdana" w:hAnsi="Verdana"/>
          <w:sz w:val="20"/>
          <w:szCs w:val="20"/>
        </w:rPr>
        <w:t xml:space="preserve">la cantidad fijada en el párrafo </w:t>
      </w:r>
      <w:r w:rsidR="009C1DC6" w:rsidRPr="000864AE">
        <w:rPr>
          <w:rFonts w:ascii="Verdana" w:hAnsi="Verdana"/>
          <w:sz w:val="20"/>
          <w:szCs w:val="20"/>
        </w:rPr>
        <w:t>237</w:t>
      </w:r>
      <w:r w:rsidR="008404ED" w:rsidRPr="000864AE">
        <w:rPr>
          <w:rFonts w:ascii="Verdana" w:hAnsi="Verdana"/>
          <w:sz w:val="20"/>
          <w:szCs w:val="20"/>
        </w:rPr>
        <w:t xml:space="preserve"> </w:t>
      </w:r>
      <w:r w:rsidR="001E14D8" w:rsidRPr="000864AE">
        <w:rPr>
          <w:rFonts w:ascii="Verdana" w:hAnsi="Verdana"/>
          <w:sz w:val="20"/>
          <w:szCs w:val="20"/>
        </w:rPr>
        <w:t>de esta Sentencia, por concepto de indemnización por daño inmaterial, en los términos estab</w:t>
      </w:r>
      <w:r w:rsidR="009C1DC6" w:rsidRPr="000864AE">
        <w:rPr>
          <w:rFonts w:ascii="Verdana" w:hAnsi="Verdana"/>
          <w:sz w:val="20"/>
          <w:szCs w:val="20"/>
        </w:rPr>
        <w:t>lecidos en dicho</w:t>
      </w:r>
      <w:r w:rsidR="001E14D8" w:rsidRPr="000864AE">
        <w:rPr>
          <w:rFonts w:ascii="Verdana" w:hAnsi="Verdana"/>
          <w:sz w:val="20"/>
          <w:szCs w:val="20"/>
        </w:rPr>
        <w:t xml:space="preserve"> </w:t>
      </w:r>
      <w:r w:rsidR="00A80AF9" w:rsidRPr="000864AE">
        <w:rPr>
          <w:rFonts w:ascii="Verdana" w:hAnsi="Verdana"/>
          <w:sz w:val="20"/>
          <w:szCs w:val="20"/>
        </w:rPr>
        <w:t>párrafo</w:t>
      </w:r>
      <w:r w:rsidR="001E14D8" w:rsidRPr="000864AE">
        <w:rPr>
          <w:rFonts w:ascii="Verdana" w:hAnsi="Verdana"/>
          <w:sz w:val="20"/>
          <w:szCs w:val="20"/>
        </w:rPr>
        <w:t>.</w:t>
      </w:r>
    </w:p>
    <w:p w14:paraId="1BEB185D" w14:textId="77777777" w:rsidR="001E14D8" w:rsidRPr="000864AE" w:rsidRDefault="001E14D8" w:rsidP="000864AE">
      <w:pPr>
        <w:widowControl w:val="0"/>
        <w:tabs>
          <w:tab w:val="left" w:pos="567"/>
        </w:tabs>
        <w:adjustRightInd w:val="0"/>
        <w:spacing w:after="0" w:line="240" w:lineRule="auto"/>
        <w:jc w:val="both"/>
        <w:textAlignment w:val="baseline"/>
        <w:rPr>
          <w:rFonts w:ascii="Verdana" w:hAnsi="Verdana"/>
          <w:sz w:val="20"/>
          <w:szCs w:val="20"/>
        </w:rPr>
      </w:pPr>
    </w:p>
    <w:p w14:paraId="78681495" w14:textId="57157FC0" w:rsidR="00D311D1" w:rsidRPr="000864AE" w:rsidRDefault="00D311D1" w:rsidP="000864AE">
      <w:pPr>
        <w:widowControl w:val="0"/>
        <w:tabs>
          <w:tab w:val="left" w:pos="567"/>
        </w:tabs>
        <w:adjustRightInd w:val="0"/>
        <w:spacing w:after="0" w:line="240" w:lineRule="auto"/>
        <w:jc w:val="both"/>
        <w:textAlignment w:val="baseline"/>
        <w:rPr>
          <w:rFonts w:ascii="Verdana" w:hAnsi="Verdana"/>
          <w:sz w:val="20"/>
          <w:szCs w:val="20"/>
        </w:rPr>
      </w:pPr>
      <w:r w:rsidRPr="000864AE">
        <w:rPr>
          <w:rFonts w:ascii="Verdana" w:hAnsi="Verdana"/>
          <w:sz w:val="20"/>
          <w:szCs w:val="20"/>
        </w:rPr>
        <w:t xml:space="preserve">Disienten los </w:t>
      </w:r>
      <w:r w:rsidR="00111EE8" w:rsidRPr="000864AE">
        <w:rPr>
          <w:rFonts w:ascii="Verdana" w:hAnsi="Verdana"/>
          <w:sz w:val="20"/>
          <w:szCs w:val="20"/>
        </w:rPr>
        <w:t>J</w:t>
      </w:r>
      <w:r w:rsidRPr="000864AE">
        <w:rPr>
          <w:rFonts w:ascii="Verdana" w:hAnsi="Verdana"/>
          <w:sz w:val="20"/>
          <w:szCs w:val="20"/>
        </w:rPr>
        <w:t>ueces Eduardo Vio Grossi y Humberto Antonio Sierra Porto.</w:t>
      </w:r>
    </w:p>
    <w:p w14:paraId="30DAE33C" w14:textId="77777777" w:rsidR="00D311D1" w:rsidRPr="000864AE" w:rsidRDefault="00D311D1" w:rsidP="000864AE">
      <w:pPr>
        <w:widowControl w:val="0"/>
        <w:tabs>
          <w:tab w:val="left" w:pos="567"/>
        </w:tabs>
        <w:adjustRightInd w:val="0"/>
        <w:spacing w:after="0" w:line="240" w:lineRule="auto"/>
        <w:jc w:val="both"/>
        <w:textAlignment w:val="baseline"/>
        <w:rPr>
          <w:rFonts w:ascii="Verdana" w:hAnsi="Verdana"/>
          <w:sz w:val="20"/>
          <w:szCs w:val="20"/>
        </w:rPr>
      </w:pPr>
    </w:p>
    <w:p w14:paraId="05580EDE" w14:textId="02BE8CE0" w:rsidR="00B240D4" w:rsidRPr="000864AE" w:rsidRDefault="00B240D4" w:rsidP="000864AE">
      <w:pPr>
        <w:widowControl w:val="0"/>
        <w:tabs>
          <w:tab w:val="left" w:pos="567"/>
        </w:tabs>
        <w:adjustRightInd w:val="0"/>
        <w:spacing w:after="0" w:line="240" w:lineRule="auto"/>
        <w:jc w:val="both"/>
        <w:textAlignment w:val="baseline"/>
        <w:rPr>
          <w:rFonts w:ascii="Verdana" w:hAnsi="Verdana"/>
          <w:sz w:val="20"/>
          <w:szCs w:val="20"/>
        </w:rPr>
      </w:pPr>
      <w:r w:rsidRPr="000864AE">
        <w:rPr>
          <w:rFonts w:ascii="Verdana" w:eastAsia="MS Mincho" w:hAnsi="Verdana"/>
          <w:sz w:val="20"/>
          <w:szCs w:val="20"/>
          <w:lang w:val="es-CR" w:bidi="en-US"/>
        </w:rPr>
        <w:t>Por seis votos a favor y uno en contra, que:</w:t>
      </w:r>
    </w:p>
    <w:p w14:paraId="10FC14CA" w14:textId="77777777" w:rsidR="00B240D4" w:rsidRPr="000864AE" w:rsidRDefault="00B240D4" w:rsidP="000864AE">
      <w:pPr>
        <w:widowControl w:val="0"/>
        <w:tabs>
          <w:tab w:val="left" w:pos="567"/>
        </w:tabs>
        <w:adjustRightInd w:val="0"/>
        <w:spacing w:after="0" w:line="240" w:lineRule="auto"/>
        <w:jc w:val="both"/>
        <w:textAlignment w:val="baseline"/>
        <w:rPr>
          <w:rFonts w:ascii="Verdana" w:hAnsi="Verdana"/>
          <w:sz w:val="20"/>
          <w:szCs w:val="20"/>
        </w:rPr>
      </w:pPr>
    </w:p>
    <w:p w14:paraId="2512635B" w14:textId="6BA53E06" w:rsidR="001E14D8" w:rsidRPr="000864AE" w:rsidRDefault="001A5331" w:rsidP="000864AE">
      <w:pPr>
        <w:spacing w:after="0" w:line="240" w:lineRule="auto"/>
        <w:jc w:val="both"/>
        <w:rPr>
          <w:rFonts w:ascii="Verdana" w:hAnsi="Verdana"/>
          <w:sz w:val="20"/>
          <w:szCs w:val="20"/>
        </w:rPr>
      </w:pPr>
      <w:r w:rsidRPr="000864AE">
        <w:rPr>
          <w:rFonts w:ascii="Verdana" w:hAnsi="Verdana"/>
          <w:sz w:val="20"/>
          <w:szCs w:val="20"/>
        </w:rPr>
        <w:t>10</w:t>
      </w:r>
      <w:r w:rsidR="001E14D8" w:rsidRPr="000864AE">
        <w:rPr>
          <w:rFonts w:ascii="Verdana" w:hAnsi="Verdana"/>
          <w:sz w:val="20"/>
          <w:szCs w:val="20"/>
        </w:rPr>
        <w:t xml:space="preserve">. </w:t>
      </w:r>
      <w:r w:rsidR="001E14D8" w:rsidRPr="000864AE">
        <w:rPr>
          <w:rFonts w:ascii="Verdana" w:hAnsi="Verdana"/>
          <w:sz w:val="20"/>
          <w:szCs w:val="20"/>
        </w:rPr>
        <w:tab/>
        <w:t xml:space="preserve">El Estado </w:t>
      </w:r>
      <w:r w:rsidR="005B3F02" w:rsidRPr="000864AE">
        <w:rPr>
          <w:rFonts w:ascii="Verdana" w:hAnsi="Verdana"/>
          <w:sz w:val="20"/>
          <w:szCs w:val="20"/>
        </w:rPr>
        <w:t>pagar</w:t>
      </w:r>
      <w:r w:rsidR="00EE343A" w:rsidRPr="000864AE">
        <w:rPr>
          <w:rFonts w:ascii="Verdana" w:hAnsi="Verdana"/>
          <w:sz w:val="20"/>
          <w:szCs w:val="20"/>
        </w:rPr>
        <w:t>á</w:t>
      </w:r>
      <w:r w:rsidR="001E14D8" w:rsidRPr="000864AE">
        <w:rPr>
          <w:rFonts w:ascii="Verdana" w:hAnsi="Verdana"/>
          <w:sz w:val="20"/>
          <w:szCs w:val="20"/>
        </w:rPr>
        <w:t xml:space="preserve">, dentro del plazo de un año a partir de la notificación de la presente Sentencia, la cantidad fijada en el párrafo </w:t>
      </w:r>
      <w:r w:rsidR="009C1DC6" w:rsidRPr="000864AE">
        <w:rPr>
          <w:rFonts w:ascii="Verdana" w:hAnsi="Verdana"/>
          <w:sz w:val="20"/>
          <w:szCs w:val="20"/>
        </w:rPr>
        <w:t>241</w:t>
      </w:r>
      <w:r w:rsidR="008404ED" w:rsidRPr="000864AE">
        <w:rPr>
          <w:rFonts w:ascii="Verdana" w:hAnsi="Verdana"/>
          <w:sz w:val="20"/>
          <w:szCs w:val="20"/>
        </w:rPr>
        <w:t xml:space="preserve"> </w:t>
      </w:r>
      <w:r w:rsidR="001E14D8" w:rsidRPr="000864AE">
        <w:rPr>
          <w:rFonts w:ascii="Verdana" w:hAnsi="Verdana"/>
          <w:sz w:val="20"/>
          <w:szCs w:val="20"/>
        </w:rPr>
        <w:t>de esta Sentencia, por concepto de reintegro de costas y gastos, en los términos establecidos en dicho párrafo.</w:t>
      </w:r>
    </w:p>
    <w:p w14:paraId="4D7A5D0B" w14:textId="77777777" w:rsidR="001E14D8" w:rsidRPr="000864AE" w:rsidRDefault="001E14D8" w:rsidP="000864AE">
      <w:pPr>
        <w:widowControl w:val="0"/>
        <w:tabs>
          <w:tab w:val="left" w:pos="567"/>
        </w:tabs>
        <w:adjustRightInd w:val="0"/>
        <w:spacing w:after="0" w:line="240" w:lineRule="auto"/>
        <w:jc w:val="both"/>
        <w:textAlignment w:val="baseline"/>
        <w:rPr>
          <w:rFonts w:ascii="Verdana" w:hAnsi="Verdana"/>
          <w:sz w:val="20"/>
          <w:szCs w:val="20"/>
        </w:rPr>
      </w:pPr>
    </w:p>
    <w:p w14:paraId="4160BEA9" w14:textId="5503D20B" w:rsidR="00D311D1" w:rsidRPr="000864AE" w:rsidRDefault="00D311D1" w:rsidP="000864AE">
      <w:pPr>
        <w:widowControl w:val="0"/>
        <w:tabs>
          <w:tab w:val="left" w:pos="567"/>
        </w:tabs>
        <w:adjustRightInd w:val="0"/>
        <w:spacing w:after="0" w:line="240" w:lineRule="auto"/>
        <w:jc w:val="both"/>
        <w:textAlignment w:val="baseline"/>
        <w:rPr>
          <w:rFonts w:ascii="Verdana" w:hAnsi="Verdana"/>
          <w:sz w:val="20"/>
          <w:szCs w:val="20"/>
        </w:rPr>
      </w:pPr>
      <w:r w:rsidRPr="000864AE">
        <w:rPr>
          <w:rFonts w:ascii="Verdana" w:hAnsi="Verdana"/>
          <w:sz w:val="20"/>
          <w:szCs w:val="20"/>
        </w:rPr>
        <w:t xml:space="preserve">Disiente el </w:t>
      </w:r>
      <w:r w:rsidR="00111EE8" w:rsidRPr="000864AE">
        <w:rPr>
          <w:rFonts w:ascii="Verdana" w:hAnsi="Verdana"/>
          <w:sz w:val="20"/>
          <w:szCs w:val="20"/>
        </w:rPr>
        <w:t>J</w:t>
      </w:r>
      <w:r w:rsidRPr="000864AE">
        <w:rPr>
          <w:rFonts w:ascii="Verdana" w:hAnsi="Verdana"/>
          <w:sz w:val="20"/>
          <w:szCs w:val="20"/>
        </w:rPr>
        <w:t>uez Eduardo Vio Grossi.</w:t>
      </w:r>
    </w:p>
    <w:p w14:paraId="7AC4E1B2" w14:textId="77777777" w:rsidR="00D311D1" w:rsidRPr="000864AE" w:rsidRDefault="00D311D1" w:rsidP="000864AE">
      <w:pPr>
        <w:widowControl w:val="0"/>
        <w:tabs>
          <w:tab w:val="left" w:pos="567"/>
        </w:tabs>
        <w:adjustRightInd w:val="0"/>
        <w:spacing w:after="0" w:line="240" w:lineRule="auto"/>
        <w:jc w:val="both"/>
        <w:textAlignment w:val="baseline"/>
        <w:rPr>
          <w:rFonts w:ascii="Verdana" w:hAnsi="Verdana"/>
          <w:sz w:val="20"/>
          <w:szCs w:val="20"/>
        </w:rPr>
      </w:pPr>
    </w:p>
    <w:p w14:paraId="267FBB0C" w14:textId="7AEF8F99" w:rsidR="00B240D4" w:rsidRPr="000864AE" w:rsidRDefault="00B240D4" w:rsidP="000864AE">
      <w:pPr>
        <w:widowControl w:val="0"/>
        <w:tabs>
          <w:tab w:val="left" w:pos="567"/>
        </w:tabs>
        <w:adjustRightInd w:val="0"/>
        <w:spacing w:after="0" w:line="240" w:lineRule="auto"/>
        <w:jc w:val="both"/>
        <w:textAlignment w:val="baseline"/>
        <w:rPr>
          <w:rFonts w:ascii="Verdana" w:hAnsi="Verdana"/>
          <w:sz w:val="20"/>
          <w:szCs w:val="20"/>
        </w:rPr>
      </w:pPr>
      <w:r w:rsidRPr="000864AE">
        <w:rPr>
          <w:rFonts w:ascii="Verdana" w:hAnsi="Verdana"/>
          <w:sz w:val="20"/>
          <w:szCs w:val="20"/>
        </w:rPr>
        <w:t>Por unanimidad, que:</w:t>
      </w:r>
    </w:p>
    <w:p w14:paraId="491C34C4" w14:textId="77777777" w:rsidR="00B240D4" w:rsidRPr="000864AE" w:rsidRDefault="00B240D4" w:rsidP="000864AE">
      <w:pPr>
        <w:widowControl w:val="0"/>
        <w:tabs>
          <w:tab w:val="left" w:pos="567"/>
        </w:tabs>
        <w:adjustRightInd w:val="0"/>
        <w:spacing w:after="0" w:line="240" w:lineRule="auto"/>
        <w:jc w:val="both"/>
        <w:textAlignment w:val="baseline"/>
        <w:rPr>
          <w:rFonts w:ascii="Verdana" w:hAnsi="Verdana"/>
          <w:sz w:val="20"/>
          <w:szCs w:val="20"/>
        </w:rPr>
      </w:pPr>
    </w:p>
    <w:p w14:paraId="6A5057AB" w14:textId="048B1663" w:rsidR="001E14D8" w:rsidRPr="000864AE" w:rsidRDefault="001A5331" w:rsidP="000864AE">
      <w:pPr>
        <w:widowControl w:val="0"/>
        <w:tabs>
          <w:tab w:val="left" w:pos="567"/>
        </w:tabs>
        <w:adjustRightInd w:val="0"/>
        <w:spacing w:after="0" w:line="240" w:lineRule="auto"/>
        <w:jc w:val="both"/>
        <w:textAlignment w:val="baseline"/>
        <w:rPr>
          <w:rFonts w:ascii="Verdana" w:hAnsi="Verdana"/>
          <w:sz w:val="20"/>
          <w:szCs w:val="20"/>
        </w:rPr>
      </w:pPr>
      <w:r w:rsidRPr="000864AE">
        <w:rPr>
          <w:rFonts w:ascii="Verdana" w:hAnsi="Verdana"/>
          <w:sz w:val="20"/>
          <w:szCs w:val="20"/>
        </w:rPr>
        <w:t>11</w:t>
      </w:r>
      <w:r w:rsidR="001E14D8" w:rsidRPr="000864AE">
        <w:rPr>
          <w:rFonts w:ascii="Verdana" w:hAnsi="Verdana"/>
          <w:sz w:val="20"/>
          <w:szCs w:val="20"/>
        </w:rPr>
        <w:t xml:space="preserve">. </w:t>
      </w:r>
      <w:r w:rsidR="001E14D8" w:rsidRPr="000864AE">
        <w:rPr>
          <w:rFonts w:ascii="Verdana" w:hAnsi="Verdana"/>
          <w:sz w:val="20"/>
          <w:szCs w:val="20"/>
        </w:rPr>
        <w:tab/>
        <w:t xml:space="preserve">El Estado </w:t>
      </w:r>
      <w:r w:rsidR="00EE343A" w:rsidRPr="000864AE">
        <w:rPr>
          <w:rFonts w:ascii="Verdana" w:hAnsi="Verdana"/>
          <w:sz w:val="20"/>
          <w:szCs w:val="20"/>
        </w:rPr>
        <w:t>rendirá</w:t>
      </w:r>
      <w:r w:rsidR="005B3F02" w:rsidRPr="000864AE">
        <w:rPr>
          <w:rFonts w:ascii="Verdana" w:hAnsi="Verdana"/>
          <w:sz w:val="20"/>
          <w:szCs w:val="20"/>
        </w:rPr>
        <w:t xml:space="preserve"> a la Corte</w:t>
      </w:r>
      <w:r w:rsidR="001E14D8" w:rsidRPr="000864AE">
        <w:rPr>
          <w:rFonts w:ascii="Verdana" w:hAnsi="Verdana"/>
          <w:sz w:val="20"/>
          <w:szCs w:val="20"/>
        </w:rPr>
        <w:t xml:space="preserve">, dentro del plazo de un año a partir de la notificación de esta Sentencia, un informe sobre las medidas adoptadas para cumplir con la misma. </w:t>
      </w:r>
    </w:p>
    <w:p w14:paraId="274031CF" w14:textId="77777777" w:rsidR="001E14D8" w:rsidRPr="000864AE" w:rsidRDefault="001E14D8" w:rsidP="000864AE">
      <w:pPr>
        <w:widowControl w:val="0"/>
        <w:tabs>
          <w:tab w:val="left" w:pos="567"/>
        </w:tabs>
        <w:adjustRightInd w:val="0"/>
        <w:spacing w:after="0" w:line="240" w:lineRule="auto"/>
        <w:jc w:val="both"/>
        <w:textAlignment w:val="baseline"/>
        <w:rPr>
          <w:rFonts w:ascii="Verdana" w:hAnsi="Verdana"/>
          <w:sz w:val="20"/>
          <w:szCs w:val="20"/>
        </w:rPr>
      </w:pPr>
    </w:p>
    <w:p w14:paraId="516940E0" w14:textId="77777777" w:rsidR="00B240D4" w:rsidRPr="000864AE" w:rsidRDefault="00B240D4" w:rsidP="000864AE">
      <w:pPr>
        <w:widowControl w:val="0"/>
        <w:tabs>
          <w:tab w:val="left" w:pos="567"/>
        </w:tabs>
        <w:adjustRightInd w:val="0"/>
        <w:spacing w:after="0" w:line="240" w:lineRule="auto"/>
        <w:jc w:val="both"/>
        <w:textAlignment w:val="baseline"/>
        <w:rPr>
          <w:rFonts w:ascii="Verdana" w:hAnsi="Verdana"/>
          <w:sz w:val="20"/>
          <w:szCs w:val="20"/>
        </w:rPr>
      </w:pPr>
      <w:r w:rsidRPr="000864AE">
        <w:rPr>
          <w:rFonts w:ascii="Verdana" w:hAnsi="Verdana"/>
          <w:sz w:val="20"/>
          <w:szCs w:val="20"/>
        </w:rPr>
        <w:t>Por unanimidad, que:</w:t>
      </w:r>
    </w:p>
    <w:p w14:paraId="2FF8D0D8" w14:textId="77777777" w:rsidR="00B240D4" w:rsidRPr="000864AE" w:rsidRDefault="00B240D4" w:rsidP="000864AE">
      <w:pPr>
        <w:widowControl w:val="0"/>
        <w:tabs>
          <w:tab w:val="left" w:pos="567"/>
        </w:tabs>
        <w:adjustRightInd w:val="0"/>
        <w:spacing w:after="0" w:line="240" w:lineRule="auto"/>
        <w:jc w:val="both"/>
        <w:textAlignment w:val="baseline"/>
        <w:rPr>
          <w:rFonts w:ascii="Verdana" w:hAnsi="Verdana"/>
          <w:sz w:val="20"/>
          <w:szCs w:val="20"/>
        </w:rPr>
      </w:pPr>
    </w:p>
    <w:p w14:paraId="64C3A13F" w14:textId="524CCA76" w:rsidR="001E14D8" w:rsidRPr="000864AE" w:rsidRDefault="001A5331" w:rsidP="000864AE">
      <w:pPr>
        <w:widowControl w:val="0"/>
        <w:tabs>
          <w:tab w:val="left" w:pos="567"/>
        </w:tabs>
        <w:adjustRightInd w:val="0"/>
        <w:spacing w:after="0" w:line="240" w:lineRule="auto"/>
        <w:jc w:val="both"/>
        <w:textAlignment w:val="baseline"/>
        <w:rPr>
          <w:rFonts w:ascii="Verdana" w:eastAsia="Arial" w:hAnsi="Verdana" w:cs="Arial"/>
          <w:b/>
          <w:sz w:val="20"/>
          <w:szCs w:val="20"/>
          <w:lang w:val="es-ES"/>
        </w:rPr>
      </w:pPr>
      <w:r w:rsidRPr="000864AE">
        <w:rPr>
          <w:rFonts w:ascii="Verdana" w:hAnsi="Verdana"/>
          <w:sz w:val="20"/>
          <w:szCs w:val="20"/>
        </w:rPr>
        <w:t>12</w:t>
      </w:r>
      <w:r w:rsidR="001E14D8" w:rsidRPr="000864AE">
        <w:rPr>
          <w:rFonts w:ascii="Verdana" w:hAnsi="Verdana"/>
          <w:sz w:val="20"/>
          <w:szCs w:val="20"/>
        </w:rPr>
        <w:t xml:space="preserve">. </w:t>
      </w:r>
      <w:r w:rsidR="001E14D8" w:rsidRPr="000864AE">
        <w:rPr>
          <w:rFonts w:ascii="Verdana" w:hAnsi="Verdana"/>
          <w:sz w:val="20"/>
          <w:szCs w:val="20"/>
        </w:rPr>
        <w:tab/>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con ocasión del mismo. </w:t>
      </w:r>
    </w:p>
    <w:p w14:paraId="400DDFEE" w14:textId="77777777" w:rsidR="001E14D8" w:rsidRPr="000864AE" w:rsidRDefault="001E14D8" w:rsidP="000864AE">
      <w:pPr>
        <w:spacing w:after="0" w:line="240" w:lineRule="auto"/>
        <w:jc w:val="both"/>
        <w:rPr>
          <w:rFonts w:ascii="Verdana" w:hAnsi="Verdana"/>
          <w:sz w:val="20"/>
          <w:szCs w:val="20"/>
          <w:lang w:val="es-ES"/>
        </w:rPr>
      </w:pPr>
    </w:p>
    <w:p w14:paraId="307FE160" w14:textId="44EC9915" w:rsidR="00B240D4" w:rsidRPr="000864AE" w:rsidRDefault="00B45EA2" w:rsidP="000864AE">
      <w:pPr>
        <w:spacing w:after="0" w:line="240" w:lineRule="auto"/>
        <w:jc w:val="both"/>
        <w:rPr>
          <w:rFonts w:ascii="Verdana" w:hAnsi="Verdana"/>
          <w:sz w:val="20"/>
          <w:szCs w:val="20"/>
          <w:lang w:val="es-ES"/>
        </w:rPr>
      </w:pPr>
      <w:r w:rsidRPr="000864AE">
        <w:rPr>
          <w:rFonts w:ascii="Verdana" w:hAnsi="Verdana"/>
          <w:sz w:val="20"/>
          <w:szCs w:val="20"/>
          <w:lang w:val="es-ES"/>
        </w:rPr>
        <w:t>El Juez</w:t>
      </w:r>
      <w:r w:rsidR="00B240D4" w:rsidRPr="000864AE">
        <w:rPr>
          <w:rFonts w:ascii="Verdana" w:hAnsi="Verdana"/>
          <w:sz w:val="20"/>
          <w:szCs w:val="20"/>
          <w:lang w:val="es-ES"/>
        </w:rPr>
        <w:t xml:space="preserve"> Eduardo Vio Grossi</w:t>
      </w:r>
      <w:r w:rsidRPr="000864AE">
        <w:rPr>
          <w:rFonts w:ascii="Verdana" w:hAnsi="Verdana"/>
          <w:sz w:val="20"/>
          <w:szCs w:val="20"/>
          <w:lang w:val="es-ES"/>
        </w:rPr>
        <w:t xml:space="preserve"> dio a conocer su voto</w:t>
      </w:r>
      <w:r w:rsidR="004E5DE0" w:rsidRPr="000864AE">
        <w:rPr>
          <w:rFonts w:ascii="Verdana" w:hAnsi="Verdana"/>
          <w:sz w:val="20"/>
          <w:szCs w:val="20"/>
          <w:lang w:val="es-ES"/>
        </w:rPr>
        <w:t xml:space="preserve"> individual</w:t>
      </w:r>
      <w:r w:rsidRPr="000864AE">
        <w:rPr>
          <w:rFonts w:ascii="Verdana" w:hAnsi="Verdana"/>
          <w:sz w:val="20"/>
          <w:szCs w:val="20"/>
          <w:lang w:val="es-ES"/>
        </w:rPr>
        <w:t xml:space="preserve"> disidente</w:t>
      </w:r>
      <w:r w:rsidR="002270FD" w:rsidRPr="000864AE">
        <w:rPr>
          <w:rFonts w:ascii="Verdana" w:hAnsi="Verdana"/>
          <w:sz w:val="20"/>
          <w:szCs w:val="20"/>
          <w:lang w:val="es-ES"/>
        </w:rPr>
        <w:t>,</w:t>
      </w:r>
      <w:r w:rsidRPr="000864AE">
        <w:rPr>
          <w:rFonts w:ascii="Verdana" w:hAnsi="Verdana"/>
          <w:sz w:val="20"/>
          <w:szCs w:val="20"/>
          <w:lang w:val="es-ES"/>
        </w:rPr>
        <w:t xml:space="preserve"> el Juez Humberto</w:t>
      </w:r>
      <w:r w:rsidR="009C1DC6" w:rsidRPr="000864AE">
        <w:rPr>
          <w:rFonts w:ascii="Verdana" w:hAnsi="Verdana"/>
          <w:sz w:val="20"/>
          <w:szCs w:val="20"/>
          <w:lang w:val="es-ES"/>
        </w:rPr>
        <w:t xml:space="preserve"> Antonio</w:t>
      </w:r>
      <w:r w:rsidRPr="000864AE">
        <w:rPr>
          <w:rFonts w:ascii="Verdana" w:hAnsi="Verdana"/>
          <w:sz w:val="20"/>
          <w:szCs w:val="20"/>
          <w:lang w:val="es-ES"/>
        </w:rPr>
        <w:t xml:space="preserve"> Sierra Porto dio a conocer su voto</w:t>
      </w:r>
      <w:r w:rsidR="004E5DE0" w:rsidRPr="000864AE">
        <w:rPr>
          <w:rFonts w:ascii="Verdana" w:hAnsi="Verdana"/>
          <w:sz w:val="20"/>
          <w:szCs w:val="20"/>
          <w:lang w:val="es-ES"/>
        </w:rPr>
        <w:t xml:space="preserve"> individual</w:t>
      </w:r>
      <w:r w:rsidRPr="000864AE">
        <w:rPr>
          <w:rFonts w:ascii="Verdana" w:hAnsi="Verdana"/>
          <w:sz w:val="20"/>
          <w:szCs w:val="20"/>
          <w:lang w:val="es-ES"/>
        </w:rPr>
        <w:t xml:space="preserve"> parcialmente disidente</w:t>
      </w:r>
      <w:r w:rsidR="002270FD" w:rsidRPr="000864AE">
        <w:rPr>
          <w:rFonts w:ascii="Verdana" w:hAnsi="Verdana"/>
          <w:sz w:val="20"/>
          <w:szCs w:val="20"/>
          <w:lang w:val="es-ES"/>
        </w:rPr>
        <w:t>, y el Juez Ricardo Pérez Manrique dio a conocer su voto individual concurrente.</w:t>
      </w:r>
    </w:p>
    <w:p w14:paraId="59E5AD85" w14:textId="77777777" w:rsidR="00B240D4" w:rsidRPr="000864AE" w:rsidRDefault="00B240D4" w:rsidP="000864AE">
      <w:pPr>
        <w:spacing w:after="0" w:line="240" w:lineRule="auto"/>
        <w:jc w:val="both"/>
        <w:rPr>
          <w:rFonts w:ascii="Verdana" w:hAnsi="Verdana"/>
          <w:sz w:val="20"/>
          <w:szCs w:val="20"/>
          <w:lang w:val="es-ES"/>
        </w:rPr>
      </w:pPr>
    </w:p>
    <w:p w14:paraId="6F547278" w14:textId="0FF6911C" w:rsidR="001E14D8" w:rsidRPr="000864AE" w:rsidRDefault="001E14D8" w:rsidP="000864AE">
      <w:pPr>
        <w:spacing w:after="0" w:line="240" w:lineRule="auto"/>
        <w:jc w:val="both"/>
        <w:rPr>
          <w:rFonts w:ascii="Verdana" w:hAnsi="Verdana"/>
          <w:sz w:val="20"/>
          <w:szCs w:val="20"/>
          <w:lang w:val="es-ES"/>
        </w:rPr>
      </w:pPr>
      <w:r w:rsidRPr="000864AE">
        <w:rPr>
          <w:rFonts w:ascii="Verdana" w:hAnsi="Verdana"/>
          <w:sz w:val="20"/>
          <w:szCs w:val="20"/>
          <w:lang w:val="es-ES"/>
        </w:rPr>
        <w:t>Redactada en San José</w:t>
      </w:r>
      <w:r w:rsidR="001A70B5" w:rsidRPr="000864AE">
        <w:rPr>
          <w:rFonts w:ascii="Verdana" w:hAnsi="Verdana"/>
          <w:sz w:val="20"/>
          <w:szCs w:val="20"/>
          <w:lang w:val="es-ES"/>
        </w:rPr>
        <w:t>, República de Costa Rica, el 21</w:t>
      </w:r>
      <w:r w:rsidRPr="000864AE">
        <w:rPr>
          <w:rFonts w:ascii="Verdana" w:hAnsi="Verdana"/>
          <w:sz w:val="20"/>
          <w:szCs w:val="20"/>
          <w:lang w:val="es-ES"/>
        </w:rPr>
        <w:t xml:space="preserve"> de noviembre de 2019. </w:t>
      </w:r>
    </w:p>
    <w:p w14:paraId="248A42F9" w14:textId="37DF5701" w:rsidR="00804A58" w:rsidRPr="000864AE" w:rsidRDefault="00063CD1" w:rsidP="000864AE">
      <w:pPr>
        <w:rPr>
          <w:rFonts w:ascii="Verdana" w:hAnsi="Verdana"/>
          <w:sz w:val="20"/>
          <w:szCs w:val="20"/>
          <w:lang w:val="es-ES"/>
        </w:rPr>
      </w:pPr>
      <w:r w:rsidRPr="000864AE">
        <w:rPr>
          <w:rFonts w:ascii="Verdana" w:hAnsi="Verdana"/>
          <w:sz w:val="20"/>
          <w:szCs w:val="20"/>
          <w:lang w:val="es-ES"/>
        </w:rPr>
        <w:br w:type="page"/>
      </w:r>
    </w:p>
    <w:p w14:paraId="3CDD6D98" w14:textId="77777777" w:rsidR="00EA38F6" w:rsidRPr="000864AE" w:rsidRDefault="00EA38F6" w:rsidP="000864AE">
      <w:pPr>
        <w:rPr>
          <w:rFonts w:ascii="Verdana" w:hAnsi="Verdana"/>
          <w:sz w:val="20"/>
          <w:szCs w:val="20"/>
          <w:lang w:val="es-ES"/>
        </w:rPr>
      </w:pPr>
    </w:p>
    <w:p w14:paraId="674D17A4" w14:textId="77777777" w:rsidR="00EA38F6" w:rsidRPr="000864AE" w:rsidRDefault="00EA38F6" w:rsidP="000864AE">
      <w:pPr>
        <w:rPr>
          <w:rFonts w:ascii="Verdana" w:hAnsi="Verdana"/>
          <w:sz w:val="20"/>
          <w:szCs w:val="20"/>
          <w:lang w:val="es-ES"/>
        </w:rPr>
      </w:pPr>
    </w:p>
    <w:p w14:paraId="1591ACFE" w14:textId="77777777" w:rsidR="00EA38F6" w:rsidRPr="000864AE" w:rsidRDefault="00EA38F6" w:rsidP="000864AE">
      <w:pPr>
        <w:jc w:val="center"/>
        <w:rPr>
          <w:rFonts w:ascii="Verdana" w:hAnsi="Verdana"/>
          <w:b/>
          <w:noProof/>
          <w:sz w:val="18"/>
          <w:szCs w:val="18"/>
          <w:lang w:eastAsia="es-MX"/>
        </w:rPr>
        <w:sectPr w:rsidR="00EA38F6" w:rsidRPr="000864AE" w:rsidSect="008F4C07">
          <w:headerReference w:type="default" r:id="rId13"/>
          <w:footerReference w:type="default" r:id="rId14"/>
          <w:headerReference w:type="first" r:id="rId15"/>
          <w:pgSz w:w="12240" w:h="15840"/>
          <w:pgMar w:top="1247" w:right="1191" w:bottom="1191" w:left="1247" w:header="720" w:footer="720" w:gutter="0"/>
          <w:cols w:space="720"/>
          <w:titlePg/>
          <w:docGrid w:linePitch="360"/>
        </w:sectPr>
      </w:pPr>
    </w:p>
    <w:tbl>
      <w:tblPr>
        <w:tblStyle w:val="Tablaconcuadrcula"/>
        <w:tblW w:w="4503" w:type="dxa"/>
        <w:tblLook w:val="04A0" w:firstRow="1" w:lastRow="0" w:firstColumn="1" w:lastColumn="0" w:noHBand="0" w:noVBand="1"/>
      </w:tblPr>
      <w:tblGrid>
        <w:gridCol w:w="668"/>
        <w:gridCol w:w="3835"/>
      </w:tblGrid>
      <w:tr w:rsidR="00EA38F6" w:rsidRPr="000864AE" w14:paraId="4D04930E" w14:textId="77777777" w:rsidTr="00AC0C51">
        <w:trPr>
          <w:trHeight w:val="300"/>
        </w:trPr>
        <w:tc>
          <w:tcPr>
            <w:tcW w:w="668" w:type="dxa"/>
            <w:vAlign w:val="center"/>
          </w:tcPr>
          <w:p w14:paraId="532DDACF" w14:textId="1C481D1D" w:rsidR="00EA38F6" w:rsidRPr="000864AE" w:rsidRDefault="00EA38F6" w:rsidP="000864AE">
            <w:pPr>
              <w:jc w:val="center"/>
              <w:rPr>
                <w:rFonts w:ascii="Verdana" w:hAnsi="Verdana"/>
                <w:b/>
                <w:noProof/>
                <w:sz w:val="18"/>
                <w:szCs w:val="18"/>
                <w:lang w:eastAsia="es-MX"/>
              </w:rPr>
            </w:pPr>
            <w:r w:rsidRPr="000864AE">
              <w:rPr>
                <w:rFonts w:ascii="Verdana" w:hAnsi="Verdana"/>
                <w:b/>
                <w:noProof/>
                <w:sz w:val="18"/>
                <w:szCs w:val="18"/>
                <w:lang w:val="en-US"/>
              </w:rPr>
              <mc:AlternateContent>
                <mc:Choice Requires="wps">
                  <w:drawing>
                    <wp:anchor distT="0" distB="0" distL="114300" distR="114300" simplePos="0" relativeHeight="251655680" behindDoc="0" locked="0" layoutInCell="1" allowOverlap="1" wp14:anchorId="27D7DF38" wp14:editId="03DB9A51">
                      <wp:simplePos x="0" y="0"/>
                      <wp:positionH relativeFrom="column">
                        <wp:posOffset>-134620</wp:posOffset>
                      </wp:positionH>
                      <wp:positionV relativeFrom="paragraph">
                        <wp:posOffset>-631825</wp:posOffset>
                      </wp:positionV>
                      <wp:extent cx="6346190" cy="561975"/>
                      <wp:effectExtent l="0" t="0" r="1651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208" cy="561975"/>
                              </a:xfrm>
                              <a:prstGeom prst="rect">
                                <a:avLst/>
                              </a:prstGeom>
                              <a:solidFill>
                                <a:srgbClr val="FFFFFF"/>
                              </a:solidFill>
                              <a:ln w="9525">
                                <a:solidFill>
                                  <a:schemeClr val="bg1"/>
                                </a:solidFill>
                                <a:miter lim="800000"/>
                                <a:headEnd/>
                                <a:tailEnd/>
                              </a:ln>
                            </wps:spPr>
                            <wps:txbx>
                              <w:txbxContent>
                                <w:tbl>
                                  <w:tblPr>
                                    <w:tblStyle w:val="Tablaconcuadrcula"/>
                                    <w:tblW w:w="9889" w:type="dxa"/>
                                    <w:tblLook w:val="04A0" w:firstRow="1" w:lastRow="0" w:firstColumn="1" w:lastColumn="0" w:noHBand="0" w:noVBand="1"/>
                                  </w:tblPr>
                                  <w:tblGrid>
                                    <w:gridCol w:w="9889"/>
                                  </w:tblGrid>
                                  <w:tr w:rsidR="00223943" w14:paraId="52A664A5" w14:textId="77777777" w:rsidTr="00AA5989">
                                    <w:trPr>
                                      <w:trHeight w:val="702"/>
                                    </w:trPr>
                                    <w:tc>
                                      <w:tcPr>
                                        <w:tcW w:w="9889" w:type="dxa"/>
                                        <w:tcBorders>
                                          <w:top w:val="single" w:sz="4" w:space="0" w:color="auto"/>
                                          <w:left w:val="single" w:sz="4" w:space="0" w:color="auto"/>
                                          <w:bottom w:val="single" w:sz="4" w:space="0" w:color="auto"/>
                                          <w:right w:val="single" w:sz="4" w:space="0" w:color="auto"/>
                                        </w:tcBorders>
                                        <w:shd w:val="clear" w:color="auto" w:fill="auto"/>
                                        <w:vAlign w:val="center"/>
                                      </w:tcPr>
                                      <w:p w14:paraId="19D6707F" w14:textId="77777777" w:rsidR="00223943" w:rsidRPr="00AD25A3" w:rsidRDefault="00223943" w:rsidP="00AD25A3">
                                        <w:pPr>
                                          <w:pStyle w:val="Ttulo1"/>
                                          <w:outlineLvl w:val="0"/>
                                        </w:pPr>
                                        <w:bookmarkStart w:id="116" w:name="_Toc27329801"/>
                                        <w:r w:rsidRPr="00AD25A3">
                                          <w:t>ANEXO 1. LISTADO DE PRESUNTAS VÍCTIMAS REMITIDO POR LA CIDH</w:t>
                                        </w:r>
                                        <w:bookmarkEnd w:id="116"/>
                                      </w:p>
                                    </w:tc>
                                  </w:tr>
                                </w:tbl>
                                <w:p w14:paraId="546FE3BC" w14:textId="77777777" w:rsidR="00223943" w:rsidRPr="00DC4289" w:rsidRDefault="00223943" w:rsidP="00EA38F6">
                                  <w:pPr>
                                    <w:jc w:val="center"/>
                                    <w:rPr>
                                      <w:rFonts w:ascii="Verdana" w:hAnsi="Verdana"/>
                                      <w:b/>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7D7DF38" id="_x0000_t202" coordsize="21600,21600" o:spt="202" path="m,l,21600r21600,l21600,xe">
                      <v:stroke joinstyle="miter"/>
                      <v:path gradientshapeok="t" o:connecttype="rect"/>
                    </v:shapetype>
                    <v:shape id="Text Box 2" o:spid="_x0000_s1026" type="#_x0000_t202" style="position:absolute;left:0;text-align:left;margin-left:-10.6pt;margin-top:-49.75pt;width:499.7pt;height:4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" strokecolor="white [3212]">
                      <v:textbox>
                        <w:txbxContent>
                          <w:tbl>
                            <w:tblPr>
                              <w:tblStyle w:val="Tablaconcuadrcula"/>
                              <w:tblW w:w="9889" w:type="dxa"/>
                              <w:tblLook w:val="04A0" w:firstRow="1" w:lastRow="0" w:firstColumn="1" w:lastColumn="0" w:noHBand="0" w:noVBand="1"/>
                            </w:tblPr>
                            <w:tblGrid>
                              <w:gridCol w:w="9889"/>
                            </w:tblGrid>
                            <w:tr w:rsidR="00223943" w14:paraId="52A664A5" w14:textId="77777777" w:rsidTr="00AA5989">
                              <w:trPr>
                                <w:trHeight w:val="702"/>
                              </w:trPr>
                              <w:tc>
                                <w:tcPr>
                                  <w:tcW w:w="9889" w:type="dxa"/>
                                  <w:tcBorders>
                                    <w:top w:val="single" w:sz="4" w:space="0" w:color="auto"/>
                                    <w:left w:val="single" w:sz="4" w:space="0" w:color="auto"/>
                                    <w:bottom w:val="single" w:sz="4" w:space="0" w:color="auto"/>
                                    <w:right w:val="single" w:sz="4" w:space="0" w:color="auto"/>
                                  </w:tcBorders>
                                  <w:shd w:val="clear" w:color="auto" w:fill="auto"/>
                                  <w:vAlign w:val="center"/>
                                </w:tcPr>
                                <w:p w14:paraId="19D6707F" w14:textId="77777777" w:rsidR="00223943" w:rsidRPr="00AD25A3" w:rsidRDefault="00223943" w:rsidP="00AD25A3">
                                  <w:pPr>
                                    <w:pStyle w:val="Ttulo1"/>
                                    <w:outlineLvl w:val="0"/>
                                  </w:pPr>
                                  <w:bookmarkStart w:id="117" w:name="_Toc27329801"/>
                                  <w:r w:rsidRPr="00AD25A3">
                                    <w:t>ANEXO 1. LISTADO DE PRESUNTAS VÍCTIMAS REMITIDO POR LA CIDH</w:t>
                                  </w:r>
                                  <w:bookmarkEnd w:id="117"/>
                                </w:p>
                              </w:tc>
                            </w:tr>
                          </w:tbl>
                          <w:p w14:paraId="546FE3BC" w14:textId="77777777" w:rsidR="00223943" w:rsidRPr="00DC4289" w:rsidRDefault="00223943" w:rsidP="00EA38F6">
                            <w:pPr>
                              <w:jc w:val="center"/>
                              <w:rPr>
                                <w:rFonts w:ascii="Verdana" w:hAnsi="Verdana"/>
                                <w:b/>
                                <w:sz w:val="20"/>
                                <w:szCs w:val="20"/>
                              </w:rPr>
                            </w:pPr>
                          </w:p>
                        </w:txbxContent>
                      </v:textbox>
                    </v:shape>
                  </w:pict>
                </mc:Fallback>
              </mc:AlternateContent>
            </w:r>
            <w:r w:rsidRPr="000864AE">
              <w:rPr>
                <w:rFonts w:ascii="Verdana" w:hAnsi="Verdana"/>
                <w:b/>
                <w:noProof/>
                <w:sz w:val="18"/>
                <w:szCs w:val="18"/>
                <w:lang w:eastAsia="es-MX"/>
              </w:rPr>
              <w:t>N°</w:t>
            </w:r>
          </w:p>
        </w:tc>
        <w:tc>
          <w:tcPr>
            <w:tcW w:w="3835" w:type="dxa"/>
            <w:vAlign w:val="center"/>
          </w:tcPr>
          <w:p w14:paraId="2130178F" w14:textId="77777777" w:rsidR="00EA38F6" w:rsidRPr="000864AE" w:rsidRDefault="00EA38F6" w:rsidP="000864AE">
            <w:pPr>
              <w:jc w:val="center"/>
              <w:rPr>
                <w:rFonts w:ascii="Verdana" w:hAnsi="Verdana"/>
                <w:b/>
                <w:sz w:val="18"/>
                <w:szCs w:val="18"/>
              </w:rPr>
            </w:pPr>
            <w:r w:rsidRPr="000864AE">
              <w:rPr>
                <w:rFonts w:ascii="Verdana" w:hAnsi="Verdana"/>
                <w:b/>
                <w:sz w:val="18"/>
                <w:szCs w:val="18"/>
              </w:rPr>
              <w:t>PRESUNTA VÍCTIMA</w:t>
            </w:r>
          </w:p>
        </w:tc>
      </w:tr>
      <w:tr w:rsidR="00EA38F6" w:rsidRPr="000864AE" w14:paraId="66566EF6" w14:textId="77777777" w:rsidTr="00AC0C51">
        <w:trPr>
          <w:trHeight w:val="300"/>
        </w:trPr>
        <w:tc>
          <w:tcPr>
            <w:tcW w:w="668" w:type="dxa"/>
            <w:vAlign w:val="center"/>
            <w:hideMark/>
          </w:tcPr>
          <w:p w14:paraId="438A4C3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w:t>
            </w:r>
          </w:p>
        </w:tc>
        <w:tc>
          <w:tcPr>
            <w:tcW w:w="3835" w:type="dxa"/>
            <w:vAlign w:val="center"/>
            <w:hideMark/>
          </w:tcPr>
          <w:p w14:paraId="2B9AA270" w14:textId="77777777" w:rsidR="00EA38F6" w:rsidRPr="000864AE" w:rsidRDefault="00EA38F6" w:rsidP="000864AE">
            <w:pPr>
              <w:rPr>
                <w:rFonts w:ascii="Verdana" w:hAnsi="Verdana"/>
                <w:sz w:val="18"/>
                <w:szCs w:val="18"/>
              </w:rPr>
            </w:pPr>
            <w:r w:rsidRPr="000864AE">
              <w:rPr>
                <w:rFonts w:ascii="Verdana" w:hAnsi="Verdana"/>
                <w:sz w:val="18"/>
                <w:szCs w:val="18"/>
              </w:rPr>
              <w:t>Abanto Carrera Eduardo</w:t>
            </w:r>
          </w:p>
        </w:tc>
      </w:tr>
      <w:tr w:rsidR="00EA38F6" w:rsidRPr="000864AE" w14:paraId="09776D8A" w14:textId="77777777" w:rsidTr="00AC0C51">
        <w:trPr>
          <w:trHeight w:val="300"/>
        </w:trPr>
        <w:tc>
          <w:tcPr>
            <w:tcW w:w="668" w:type="dxa"/>
            <w:vAlign w:val="center"/>
            <w:hideMark/>
          </w:tcPr>
          <w:p w14:paraId="1CEBD02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w:t>
            </w:r>
          </w:p>
        </w:tc>
        <w:tc>
          <w:tcPr>
            <w:tcW w:w="3835" w:type="dxa"/>
            <w:vAlign w:val="center"/>
            <w:hideMark/>
          </w:tcPr>
          <w:p w14:paraId="1D9C1FAA" w14:textId="77777777" w:rsidR="00EA38F6" w:rsidRPr="000864AE" w:rsidRDefault="00EA38F6" w:rsidP="000864AE">
            <w:pPr>
              <w:rPr>
                <w:rFonts w:ascii="Verdana" w:hAnsi="Verdana"/>
                <w:sz w:val="18"/>
                <w:szCs w:val="18"/>
              </w:rPr>
            </w:pPr>
            <w:r w:rsidRPr="000864AE">
              <w:rPr>
                <w:rFonts w:ascii="Verdana" w:hAnsi="Verdana"/>
                <w:sz w:val="18"/>
                <w:szCs w:val="18"/>
              </w:rPr>
              <w:t>Acha Vergara Luis Antonio</w:t>
            </w:r>
          </w:p>
        </w:tc>
      </w:tr>
      <w:tr w:rsidR="00EA38F6" w:rsidRPr="000864AE" w14:paraId="2FEA0579" w14:textId="77777777" w:rsidTr="00AC0C51">
        <w:trPr>
          <w:trHeight w:val="300"/>
        </w:trPr>
        <w:tc>
          <w:tcPr>
            <w:tcW w:w="668" w:type="dxa"/>
            <w:vAlign w:val="center"/>
            <w:hideMark/>
          </w:tcPr>
          <w:p w14:paraId="45B2042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w:t>
            </w:r>
          </w:p>
        </w:tc>
        <w:tc>
          <w:tcPr>
            <w:tcW w:w="3835" w:type="dxa"/>
            <w:vAlign w:val="center"/>
            <w:hideMark/>
          </w:tcPr>
          <w:p w14:paraId="595513EB" w14:textId="77777777" w:rsidR="00EA38F6" w:rsidRPr="000864AE" w:rsidRDefault="00EA38F6" w:rsidP="000864AE">
            <w:pPr>
              <w:rPr>
                <w:rFonts w:ascii="Verdana" w:hAnsi="Verdana"/>
                <w:sz w:val="18"/>
                <w:szCs w:val="18"/>
              </w:rPr>
            </w:pPr>
            <w:r w:rsidRPr="000864AE">
              <w:rPr>
                <w:rFonts w:ascii="Verdana" w:hAnsi="Verdana"/>
                <w:sz w:val="18"/>
                <w:szCs w:val="18"/>
              </w:rPr>
              <w:t>Acuña Gayoso Víctor Guillermo</w:t>
            </w:r>
          </w:p>
        </w:tc>
      </w:tr>
      <w:tr w:rsidR="00EA38F6" w:rsidRPr="000864AE" w14:paraId="73EEB88B" w14:textId="77777777" w:rsidTr="00AC0C51">
        <w:trPr>
          <w:trHeight w:val="300"/>
        </w:trPr>
        <w:tc>
          <w:tcPr>
            <w:tcW w:w="668" w:type="dxa"/>
            <w:vAlign w:val="center"/>
            <w:hideMark/>
          </w:tcPr>
          <w:p w14:paraId="3FE0CA6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w:t>
            </w:r>
          </w:p>
        </w:tc>
        <w:tc>
          <w:tcPr>
            <w:tcW w:w="3835" w:type="dxa"/>
            <w:vAlign w:val="center"/>
            <w:hideMark/>
          </w:tcPr>
          <w:p w14:paraId="2DC183EC" w14:textId="77777777" w:rsidR="00EA38F6" w:rsidRPr="000864AE" w:rsidRDefault="00EA38F6" w:rsidP="000864AE">
            <w:pPr>
              <w:rPr>
                <w:rFonts w:ascii="Verdana" w:hAnsi="Verdana"/>
                <w:sz w:val="18"/>
                <w:szCs w:val="18"/>
              </w:rPr>
            </w:pPr>
            <w:r w:rsidRPr="000864AE">
              <w:rPr>
                <w:rFonts w:ascii="Verdana" w:hAnsi="Verdana"/>
                <w:sz w:val="18"/>
                <w:szCs w:val="18"/>
              </w:rPr>
              <w:t>Adrianzén Palacios Carlos Augusto</w:t>
            </w:r>
          </w:p>
        </w:tc>
      </w:tr>
      <w:tr w:rsidR="00EA38F6" w:rsidRPr="000864AE" w14:paraId="08BF00DD" w14:textId="77777777" w:rsidTr="00AC0C51">
        <w:trPr>
          <w:trHeight w:val="300"/>
        </w:trPr>
        <w:tc>
          <w:tcPr>
            <w:tcW w:w="668" w:type="dxa"/>
            <w:vAlign w:val="center"/>
            <w:hideMark/>
          </w:tcPr>
          <w:p w14:paraId="282A951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w:t>
            </w:r>
          </w:p>
        </w:tc>
        <w:tc>
          <w:tcPr>
            <w:tcW w:w="3835" w:type="dxa"/>
            <w:vAlign w:val="center"/>
            <w:hideMark/>
          </w:tcPr>
          <w:p w14:paraId="04A6A971" w14:textId="77777777" w:rsidR="00EA38F6" w:rsidRPr="000864AE" w:rsidRDefault="00EA38F6" w:rsidP="000864AE">
            <w:pPr>
              <w:rPr>
                <w:rFonts w:ascii="Verdana" w:hAnsi="Verdana"/>
                <w:sz w:val="18"/>
                <w:szCs w:val="18"/>
              </w:rPr>
            </w:pPr>
            <w:r w:rsidRPr="000864AE">
              <w:rPr>
                <w:rFonts w:ascii="Verdana" w:hAnsi="Verdana"/>
                <w:sz w:val="18"/>
                <w:szCs w:val="18"/>
              </w:rPr>
              <w:t>Agüero Fitzgerald Estefania Dalmira</w:t>
            </w:r>
          </w:p>
        </w:tc>
      </w:tr>
      <w:tr w:rsidR="00EA38F6" w:rsidRPr="000864AE" w14:paraId="2286F731" w14:textId="77777777" w:rsidTr="00AC0C51">
        <w:trPr>
          <w:trHeight w:val="300"/>
        </w:trPr>
        <w:tc>
          <w:tcPr>
            <w:tcW w:w="668" w:type="dxa"/>
            <w:vAlign w:val="center"/>
            <w:hideMark/>
          </w:tcPr>
          <w:p w14:paraId="2290C33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w:t>
            </w:r>
          </w:p>
        </w:tc>
        <w:tc>
          <w:tcPr>
            <w:tcW w:w="3835" w:type="dxa"/>
            <w:vAlign w:val="center"/>
            <w:hideMark/>
          </w:tcPr>
          <w:p w14:paraId="269E509A" w14:textId="77777777" w:rsidR="00EA38F6" w:rsidRPr="000864AE" w:rsidRDefault="00EA38F6" w:rsidP="000864AE">
            <w:pPr>
              <w:rPr>
                <w:rFonts w:ascii="Verdana" w:hAnsi="Verdana"/>
                <w:sz w:val="18"/>
                <w:szCs w:val="18"/>
              </w:rPr>
            </w:pPr>
            <w:r w:rsidRPr="000864AE">
              <w:rPr>
                <w:rFonts w:ascii="Verdana" w:hAnsi="Verdana"/>
                <w:sz w:val="18"/>
                <w:szCs w:val="18"/>
              </w:rPr>
              <w:t>Agüero Granados Peter Manuel</w:t>
            </w:r>
          </w:p>
        </w:tc>
      </w:tr>
      <w:tr w:rsidR="00EA38F6" w:rsidRPr="000864AE" w14:paraId="6F84A6AE" w14:textId="77777777" w:rsidTr="00AC0C51">
        <w:trPr>
          <w:trHeight w:val="300"/>
        </w:trPr>
        <w:tc>
          <w:tcPr>
            <w:tcW w:w="668" w:type="dxa"/>
            <w:vAlign w:val="center"/>
            <w:hideMark/>
          </w:tcPr>
          <w:p w14:paraId="2EC5E51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w:t>
            </w:r>
          </w:p>
        </w:tc>
        <w:tc>
          <w:tcPr>
            <w:tcW w:w="3835" w:type="dxa"/>
            <w:vAlign w:val="center"/>
            <w:hideMark/>
          </w:tcPr>
          <w:p w14:paraId="78F1CE4F" w14:textId="77777777" w:rsidR="00EA38F6" w:rsidRPr="000864AE" w:rsidRDefault="00EA38F6" w:rsidP="000864AE">
            <w:pPr>
              <w:rPr>
                <w:rFonts w:ascii="Verdana" w:hAnsi="Verdana"/>
                <w:sz w:val="18"/>
                <w:szCs w:val="18"/>
              </w:rPr>
            </w:pPr>
            <w:r w:rsidRPr="000864AE">
              <w:rPr>
                <w:rFonts w:ascii="Verdana" w:hAnsi="Verdana"/>
                <w:sz w:val="18"/>
                <w:szCs w:val="18"/>
              </w:rPr>
              <w:t>Aguilar Nole Manuel Erasmo</w:t>
            </w:r>
          </w:p>
        </w:tc>
      </w:tr>
      <w:tr w:rsidR="00EA38F6" w:rsidRPr="000864AE" w14:paraId="6F82F326" w14:textId="77777777" w:rsidTr="00AC0C51">
        <w:trPr>
          <w:trHeight w:val="300"/>
        </w:trPr>
        <w:tc>
          <w:tcPr>
            <w:tcW w:w="668" w:type="dxa"/>
            <w:vAlign w:val="center"/>
            <w:hideMark/>
          </w:tcPr>
          <w:p w14:paraId="4EFB565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w:t>
            </w:r>
          </w:p>
        </w:tc>
        <w:tc>
          <w:tcPr>
            <w:tcW w:w="3835" w:type="dxa"/>
            <w:vAlign w:val="center"/>
            <w:hideMark/>
          </w:tcPr>
          <w:p w14:paraId="1B2B8466" w14:textId="77777777" w:rsidR="00EA38F6" w:rsidRPr="000864AE" w:rsidRDefault="00EA38F6" w:rsidP="000864AE">
            <w:pPr>
              <w:rPr>
                <w:rFonts w:ascii="Verdana" w:hAnsi="Verdana"/>
                <w:sz w:val="18"/>
                <w:szCs w:val="18"/>
              </w:rPr>
            </w:pPr>
            <w:r w:rsidRPr="000864AE">
              <w:rPr>
                <w:rFonts w:ascii="Verdana" w:hAnsi="Verdana"/>
                <w:sz w:val="18"/>
                <w:szCs w:val="18"/>
              </w:rPr>
              <w:t>Aguilar Obando Juan Manuel</w:t>
            </w:r>
          </w:p>
        </w:tc>
      </w:tr>
      <w:tr w:rsidR="00EA38F6" w:rsidRPr="000864AE" w14:paraId="63300539" w14:textId="77777777" w:rsidTr="00AC0C51">
        <w:trPr>
          <w:trHeight w:val="300"/>
        </w:trPr>
        <w:tc>
          <w:tcPr>
            <w:tcW w:w="668" w:type="dxa"/>
            <w:vAlign w:val="center"/>
            <w:hideMark/>
          </w:tcPr>
          <w:p w14:paraId="0DB6FE8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w:t>
            </w:r>
          </w:p>
        </w:tc>
        <w:tc>
          <w:tcPr>
            <w:tcW w:w="3835" w:type="dxa"/>
            <w:vAlign w:val="center"/>
            <w:hideMark/>
          </w:tcPr>
          <w:p w14:paraId="405049E7" w14:textId="77777777" w:rsidR="00EA38F6" w:rsidRPr="000864AE" w:rsidRDefault="00EA38F6" w:rsidP="000864AE">
            <w:pPr>
              <w:rPr>
                <w:rFonts w:ascii="Verdana" w:hAnsi="Verdana"/>
                <w:sz w:val="18"/>
                <w:szCs w:val="18"/>
              </w:rPr>
            </w:pPr>
            <w:r w:rsidRPr="000864AE">
              <w:rPr>
                <w:rFonts w:ascii="Verdana" w:hAnsi="Verdana"/>
                <w:sz w:val="18"/>
                <w:szCs w:val="18"/>
              </w:rPr>
              <w:t>Aguilar Ocampo Nilda Consuelo</w:t>
            </w:r>
          </w:p>
        </w:tc>
      </w:tr>
      <w:tr w:rsidR="00EA38F6" w:rsidRPr="000864AE" w14:paraId="242A224E" w14:textId="77777777" w:rsidTr="00AC0C51">
        <w:trPr>
          <w:trHeight w:val="300"/>
        </w:trPr>
        <w:tc>
          <w:tcPr>
            <w:tcW w:w="668" w:type="dxa"/>
            <w:vAlign w:val="center"/>
            <w:hideMark/>
          </w:tcPr>
          <w:p w14:paraId="4445418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w:t>
            </w:r>
          </w:p>
        </w:tc>
        <w:tc>
          <w:tcPr>
            <w:tcW w:w="3835" w:type="dxa"/>
            <w:vAlign w:val="center"/>
            <w:hideMark/>
          </w:tcPr>
          <w:p w14:paraId="2FEFF8D7" w14:textId="77777777" w:rsidR="00EA38F6" w:rsidRPr="000864AE" w:rsidRDefault="00EA38F6" w:rsidP="000864AE">
            <w:pPr>
              <w:rPr>
                <w:rFonts w:ascii="Verdana" w:hAnsi="Verdana"/>
                <w:sz w:val="18"/>
                <w:szCs w:val="18"/>
              </w:rPr>
            </w:pPr>
            <w:r w:rsidRPr="000864AE">
              <w:rPr>
                <w:rFonts w:ascii="Verdana" w:hAnsi="Verdana"/>
                <w:sz w:val="18"/>
                <w:szCs w:val="18"/>
              </w:rPr>
              <w:t>Aguilar Torres Nora</w:t>
            </w:r>
          </w:p>
        </w:tc>
      </w:tr>
      <w:tr w:rsidR="00EA38F6" w:rsidRPr="000864AE" w14:paraId="15D328B9" w14:textId="77777777" w:rsidTr="00AC0C51">
        <w:trPr>
          <w:trHeight w:val="300"/>
        </w:trPr>
        <w:tc>
          <w:tcPr>
            <w:tcW w:w="668" w:type="dxa"/>
            <w:vAlign w:val="center"/>
            <w:hideMark/>
          </w:tcPr>
          <w:p w14:paraId="7F72C7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w:t>
            </w:r>
          </w:p>
        </w:tc>
        <w:tc>
          <w:tcPr>
            <w:tcW w:w="3835" w:type="dxa"/>
            <w:vAlign w:val="center"/>
            <w:hideMark/>
          </w:tcPr>
          <w:p w14:paraId="7166F508" w14:textId="77777777" w:rsidR="00EA38F6" w:rsidRPr="000864AE" w:rsidRDefault="00EA38F6" w:rsidP="000864AE">
            <w:pPr>
              <w:rPr>
                <w:rFonts w:ascii="Verdana" w:hAnsi="Verdana"/>
                <w:sz w:val="18"/>
                <w:szCs w:val="18"/>
              </w:rPr>
            </w:pPr>
            <w:r w:rsidRPr="000864AE">
              <w:rPr>
                <w:rFonts w:ascii="Verdana" w:hAnsi="Verdana"/>
                <w:sz w:val="18"/>
                <w:szCs w:val="18"/>
              </w:rPr>
              <w:t>Aguirre Medina Eduardo Dionicio</w:t>
            </w:r>
          </w:p>
        </w:tc>
      </w:tr>
      <w:tr w:rsidR="00EA38F6" w:rsidRPr="000864AE" w14:paraId="000DEB39" w14:textId="77777777" w:rsidTr="00AC0C51">
        <w:trPr>
          <w:trHeight w:val="300"/>
        </w:trPr>
        <w:tc>
          <w:tcPr>
            <w:tcW w:w="668" w:type="dxa"/>
            <w:vAlign w:val="center"/>
            <w:hideMark/>
          </w:tcPr>
          <w:p w14:paraId="60CDFB9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w:t>
            </w:r>
          </w:p>
        </w:tc>
        <w:tc>
          <w:tcPr>
            <w:tcW w:w="3835" w:type="dxa"/>
            <w:vAlign w:val="center"/>
            <w:hideMark/>
          </w:tcPr>
          <w:p w14:paraId="59392359" w14:textId="77777777" w:rsidR="00EA38F6" w:rsidRPr="000864AE" w:rsidRDefault="00EA38F6" w:rsidP="000864AE">
            <w:pPr>
              <w:rPr>
                <w:rFonts w:ascii="Verdana" w:hAnsi="Verdana"/>
                <w:sz w:val="18"/>
                <w:szCs w:val="18"/>
              </w:rPr>
            </w:pPr>
            <w:r w:rsidRPr="000864AE">
              <w:rPr>
                <w:rFonts w:ascii="Verdana" w:hAnsi="Verdana"/>
                <w:sz w:val="18"/>
                <w:szCs w:val="18"/>
              </w:rPr>
              <w:t>Aguirre Utos Francisco</w:t>
            </w:r>
          </w:p>
        </w:tc>
      </w:tr>
      <w:tr w:rsidR="00EA38F6" w:rsidRPr="000864AE" w14:paraId="7E6A180B" w14:textId="77777777" w:rsidTr="00AC0C51">
        <w:trPr>
          <w:trHeight w:val="300"/>
        </w:trPr>
        <w:tc>
          <w:tcPr>
            <w:tcW w:w="668" w:type="dxa"/>
            <w:vAlign w:val="center"/>
            <w:hideMark/>
          </w:tcPr>
          <w:p w14:paraId="31058DA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w:t>
            </w:r>
          </w:p>
        </w:tc>
        <w:tc>
          <w:tcPr>
            <w:tcW w:w="3835" w:type="dxa"/>
            <w:vAlign w:val="center"/>
            <w:hideMark/>
          </w:tcPr>
          <w:p w14:paraId="3D18E085" w14:textId="77777777" w:rsidR="00EA38F6" w:rsidRPr="000864AE" w:rsidRDefault="00EA38F6" w:rsidP="000864AE">
            <w:pPr>
              <w:rPr>
                <w:rFonts w:ascii="Verdana" w:hAnsi="Verdana"/>
                <w:sz w:val="18"/>
                <w:szCs w:val="18"/>
              </w:rPr>
            </w:pPr>
            <w:r w:rsidRPr="000864AE">
              <w:rPr>
                <w:rFonts w:ascii="Verdana" w:hAnsi="Verdana"/>
                <w:sz w:val="18"/>
                <w:szCs w:val="18"/>
              </w:rPr>
              <w:t>Ajalcriña Cortez Herbig Victor</w:t>
            </w:r>
          </w:p>
        </w:tc>
      </w:tr>
      <w:tr w:rsidR="00EA38F6" w:rsidRPr="000864AE" w14:paraId="7182C8A8" w14:textId="77777777" w:rsidTr="00AC0C51">
        <w:trPr>
          <w:trHeight w:val="300"/>
        </w:trPr>
        <w:tc>
          <w:tcPr>
            <w:tcW w:w="668" w:type="dxa"/>
            <w:vAlign w:val="center"/>
            <w:hideMark/>
          </w:tcPr>
          <w:p w14:paraId="4729540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w:t>
            </w:r>
          </w:p>
        </w:tc>
        <w:tc>
          <w:tcPr>
            <w:tcW w:w="3835" w:type="dxa"/>
            <w:vAlign w:val="center"/>
            <w:hideMark/>
          </w:tcPr>
          <w:p w14:paraId="1788ADDD" w14:textId="77777777" w:rsidR="00EA38F6" w:rsidRPr="000864AE" w:rsidRDefault="00EA38F6" w:rsidP="000864AE">
            <w:pPr>
              <w:rPr>
                <w:rFonts w:ascii="Verdana" w:hAnsi="Verdana"/>
                <w:sz w:val="18"/>
                <w:szCs w:val="18"/>
              </w:rPr>
            </w:pPr>
            <w:r w:rsidRPr="000864AE">
              <w:rPr>
                <w:rFonts w:ascii="Verdana" w:hAnsi="Verdana"/>
                <w:sz w:val="18"/>
                <w:szCs w:val="18"/>
              </w:rPr>
              <w:t>Alarcón Urquizo Primitiva Bertha</w:t>
            </w:r>
          </w:p>
        </w:tc>
      </w:tr>
      <w:tr w:rsidR="00EA38F6" w:rsidRPr="000864AE" w14:paraId="29CFCA2F" w14:textId="77777777" w:rsidTr="00AC0C51">
        <w:trPr>
          <w:trHeight w:val="300"/>
        </w:trPr>
        <w:tc>
          <w:tcPr>
            <w:tcW w:w="668" w:type="dxa"/>
            <w:vAlign w:val="center"/>
            <w:hideMark/>
          </w:tcPr>
          <w:p w14:paraId="4158B8E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w:t>
            </w:r>
          </w:p>
        </w:tc>
        <w:tc>
          <w:tcPr>
            <w:tcW w:w="3835" w:type="dxa"/>
            <w:vAlign w:val="center"/>
            <w:hideMark/>
          </w:tcPr>
          <w:p w14:paraId="03BAA16F" w14:textId="77777777" w:rsidR="00EA38F6" w:rsidRPr="000864AE" w:rsidRDefault="00EA38F6" w:rsidP="000864AE">
            <w:pPr>
              <w:rPr>
                <w:rFonts w:ascii="Verdana" w:hAnsi="Verdana"/>
                <w:sz w:val="18"/>
                <w:szCs w:val="18"/>
              </w:rPr>
            </w:pPr>
            <w:r w:rsidRPr="000864AE">
              <w:rPr>
                <w:rFonts w:ascii="Verdana" w:hAnsi="Verdana"/>
                <w:sz w:val="18"/>
                <w:szCs w:val="18"/>
              </w:rPr>
              <w:t>Albites Izquierdo Cesar Orlando</w:t>
            </w:r>
          </w:p>
        </w:tc>
      </w:tr>
      <w:tr w:rsidR="00EA38F6" w:rsidRPr="000864AE" w14:paraId="639B7A49" w14:textId="77777777" w:rsidTr="00AC0C51">
        <w:trPr>
          <w:trHeight w:val="300"/>
        </w:trPr>
        <w:tc>
          <w:tcPr>
            <w:tcW w:w="668" w:type="dxa"/>
            <w:vAlign w:val="center"/>
            <w:hideMark/>
          </w:tcPr>
          <w:p w14:paraId="238C430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w:t>
            </w:r>
          </w:p>
        </w:tc>
        <w:tc>
          <w:tcPr>
            <w:tcW w:w="3835" w:type="dxa"/>
            <w:vAlign w:val="center"/>
            <w:hideMark/>
          </w:tcPr>
          <w:p w14:paraId="56F3D767" w14:textId="77777777" w:rsidR="00EA38F6" w:rsidRPr="000864AE" w:rsidRDefault="00EA38F6" w:rsidP="000864AE">
            <w:pPr>
              <w:rPr>
                <w:rFonts w:ascii="Verdana" w:hAnsi="Verdana"/>
                <w:sz w:val="18"/>
                <w:szCs w:val="18"/>
              </w:rPr>
            </w:pPr>
            <w:r w:rsidRPr="000864AE">
              <w:rPr>
                <w:rFonts w:ascii="Verdana" w:hAnsi="Verdana"/>
                <w:sz w:val="18"/>
                <w:szCs w:val="18"/>
              </w:rPr>
              <w:t>Alegre Sánchez Moisés</w:t>
            </w:r>
          </w:p>
        </w:tc>
      </w:tr>
      <w:tr w:rsidR="00EA38F6" w:rsidRPr="000864AE" w14:paraId="3293DC81" w14:textId="77777777" w:rsidTr="00AC0C51">
        <w:trPr>
          <w:trHeight w:val="300"/>
        </w:trPr>
        <w:tc>
          <w:tcPr>
            <w:tcW w:w="668" w:type="dxa"/>
            <w:vAlign w:val="center"/>
            <w:hideMark/>
          </w:tcPr>
          <w:p w14:paraId="5EAF23A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w:t>
            </w:r>
          </w:p>
        </w:tc>
        <w:tc>
          <w:tcPr>
            <w:tcW w:w="3835" w:type="dxa"/>
            <w:vAlign w:val="center"/>
            <w:hideMark/>
          </w:tcPr>
          <w:p w14:paraId="7FF69A8C" w14:textId="77777777" w:rsidR="00EA38F6" w:rsidRPr="000864AE" w:rsidRDefault="00EA38F6" w:rsidP="000864AE">
            <w:pPr>
              <w:rPr>
                <w:rFonts w:ascii="Verdana" w:hAnsi="Verdana"/>
                <w:sz w:val="18"/>
                <w:szCs w:val="18"/>
              </w:rPr>
            </w:pPr>
            <w:r w:rsidRPr="000864AE">
              <w:rPr>
                <w:rFonts w:ascii="Verdana" w:hAnsi="Verdana"/>
                <w:sz w:val="18"/>
                <w:szCs w:val="18"/>
              </w:rPr>
              <w:t>Alejos Torres Niceforo</w:t>
            </w:r>
          </w:p>
        </w:tc>
      </w:tr>
      <w:tr w:rsidR="00EA38F6" w:rsidRPr="000864AE" w14:paraId="0C20F409" w14:textId="77777777" w:rsidTr="00AC0C51">
        <w:trPr>
          <w:trHeight w:val="300"/>
        </w:trPr>
        <w:tc>
          <w:tcPr>
            <w:tcW w:w="668" w:type="dxa"/>
            <w:vAlign w:val="center"/>
            <w:hideMark/>
          </w:tcPr>
          <w:p w14:paraId="6D7F0D3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w:t>
            </w:r>
          </w:p>
        </w:tc>
        <w:tc>
          <w:tcPr>
            <w:tcW w:w="3835" w:type="dxa"/>
            <w:vAlign w:val="center"/>
            <w:hideMark/>
          </w:tcPr>
          <w:p w14:paraId="3E2AD457" w14:textId="77777777" w:rsidR="00EA38F6" w:rsidRPr="000864AE" w:rsidRDefault="00EA38F6" w:rsidP="000864AE">
            <w:pPr>
              <w:rPr>
                <w:rFonts w:ascii="Verdana" w:hAnsi="Verdana"/>
                <w:sz w:val="18"/>
                <w:szCs w:val="18"/>
              </w:rPr>
            </w:pPr>
            <w:r w:rsidRPr="000864AE">
              <w:rPr>
                <w:rFonts w:ascii="Verdana" w:hAnsi="Verdana"/>
                <w:sz w:val="18"/>
                <w:szCs w:val="18"/>
              </w:rPr>
              <w:t>Aliaga Ambukka Aurelio</w:t>
            </w:r>
          </w:p>
        </w:tc>
      </w:tr>
      <w:tr w:rsidR="00EA38F6" w:rsidRPr="000864AE" w14:paraId="0CAD72E5" w14:textId="77777777" w:rsidTr="00AC0C51">
        <w:trPr>
          <w:trHeight w:val="300"/>
        </w:trPr>
        <w:tc>
          <w:tcPr>
            <w:tcW w:w="668" w:type="dxa"/>
            <w:vAlign w:val="center"/>
            <w:hideMark/>
          </w:tcPr>
          <w:p w14:paraId="673EBC5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w:t>
            </w:r>
          </w:p>
        </w:tc>
        <w:tc>
          <w:tcPr>
            <w:tcW w:w="3835" w:type="dxa"/>
            <w:vAlign w:val="center"/>
            <w:hideMark/>
          </w:tcPr>
          <w:p w14:paraId="6CCCED03" w14:textId="77777777" w:rsidR="00EA38F6" w:rsidRPr="000864AE" w:rsidRDefault="00EA38F6" w:rsidP="000864AE">
            <w:pPr>
              <w:rPr>
                <w:rFonts w:ascii="Verdana" w:hAnsi="Verdana"/>
                <w:sz w:val="18"/>
                <w:szCs w:val="18"/>
              </w:rPr>
            </w:pPr>
            <w:r w:rsidRPr="000864AE">
              <w:rPr>
                <w:rFonts w:ascii="Verdana" w:hAnsi="Verdana"/>
                <w:sz w:val="18"/>
                <w:szCs w:val="18"/>
              </w:rPr>
              <w:t>Aliaga Lozano Jorge Horacio</w:t>
            </w:r>
          </w:p>
        </w:tc>
      </w:tr>
      <w:tr w:rsidR="00EA38F6" w:rsidRPr="000864AE" w14:paraId="72EE5C79" w14:textId="77777777" w:rsidTr="00AC0C51">
        <w:trPr>
          <w:trHeight w:val="300"/>
        </w:trPr>
        <w:tc>
          <w:tcPr>
            <w:tcW w:w="668" w:type="dxa"/>
            <w:vAlign w:val="center"/>
            <w:hideMark/>
          </w:tcPr>
          <w:p w14:paraId="751D76C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w:t>
            </w:r>
          </w:p>
        </w:tc>
        <w:tc>
          <w:tcPr>
            <w:tcW w:w="3835" w:type="dxa"/>
            <w:vAlign w:val="center"/>
            <w:hideMark/>
          </w:tcPr>
          <w:p w14:paraId="0661D9D4" w14:textId="77777777" w:rsidR="00EA38F6" w:rsidRPr="000864AE" w:rsidRDefault="00EA38F6" w:rsidP="000864AE">
            <w:pPr>
              <w:rPr>
                <w:rFonts w:ascii="Verdana" w:hAnsi="Verdana"/>
                <w:sz w:val="18"/>
                <w:szCs w:val="18"/>
              </w:rPr>
            </w:pPr>
            <w:r w:rsidRPr="000864AE">
              <w:rPr>
                <w:rFonts w:ascii="Verdana" w:hAnsi="Verdana"/>
                <w:sz w:val="18"/>
                <w:szCs w:val="18"/>
              </w:rPr>
              <w:t>Alonso Clemente Bertha</w:t>
            </w:r>
          </w:p>
        </w:tc>
      </w:tr>
      <w:tr w:rsidR="00EA38F6" w:rsidRPr="000864AE" w14:paraId="1BDD975C" w14:textId="77777777" w:rsidTr="00AC0C51">
        <w:trPr>
          <w:trHeight w:val="300"/>
        </w:trPr>
        <w:tc>
          <w:tcPr>
            <w:tcW w:w="668" w:type="dxa"/>
            <w:vAlign w:val="center"/>
            <w:hideMark/>
          </w:tcPr>
          <w:p w14:paraId="3D5E929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w:t>
            </w:r>
          </w:p>
        </w:tc>
        <w:tc>
          <w:tcPr>
            <w:tcW w:w="3835" w:type="dxa"/>
            <w:vAlign w:val="center"/>
            <w:hideMark/>
          </w:tcPr>
          <w:p w14:paraId="702A2515" w14:textId="77777777" w:rsidR="00EA38F6" w:rsidRPr="000864AE" w:rsidRDefault="00EA38F6" w:rsidP="000864AE">
            <w:pPr>
              <w:rPr>
                <w:rFonts w:ascii="Verdana" w:hAnsi="Verdana"/>
                <w:sz w:val="18"/>
                <w:szCs w:val="18"/>
              </w:rPr>
            </w:pPr>
            <w:r w:rsidRPr="000864AE">
              <w:rPr>
                <w:rFonts w:ascii="Verdana" w:hAnsi="Verdana"/>
                <w:sz w:val="18"/>
                <w:szCs w:val="18"/>
              </w:rPr>
              <w:t>Altuna Paredes Adrián Eginhardo</w:t>
            </w:r>
          </w:p>
        </w:tc>
      </w:tr>
      <w:tr w:rsidR="00EA38F6" w:rsidRPr="000864AE" w14:paraId="40899AF6" w14:textId="77777777" w:rsidTr="00AC0C51">
        <w:trPr>
          <w:trHeight w:val="300"/>
        </w:trPr>
        <w:tc>
          <w:tcPr>
            <w:tcW w:w="668" w:type="dxa"/>
            <w:vAlign w:val="center"/>
            <w:hideMark/>
          </w:tcPr>
          <w:p w14:paraId="1F045A4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w:t>
            </w:r>
          </w:p>
        </w:tc>
        <w:tc>
          <w:tcPr>
            <w:tcW w:w="3835" w:type="dxa"/>
            <w:vAlign w:val="center"/>
            <w:hideMark/>
          </w:tcPr>
          <w:p w14:paraId="0508E018" w14:textId="77777777" w:rsidR="00EA38F6" w:rsidRPr="000864AE" w:rsidRDefault="00EA38F6" w:rsidP="000864AE">
            <w:pPr>
              <w:rPr>
                <w:rFonts w:ascii="Verdana" w:hAnsi="Verdana"/>
                <w:sz w:val="18"/>
                <w:szCs w:val="18"/>
              </w:rPr>
            </w:pPr>
            <w:r w:rsidRPr="000864AE">
              <w:rPr>
                <w:rFonts w:ascii="Verdana" w:hAnsi="Verdana"/>
                <w:sz w:val="18"/>
                <w:szCs w:val="18"/>
              </w:rPr>
              <w:t>Alva Valderrama Alejandrina</w:t>
            </w:r>
          </w:p>
        </w:tc>
      </w:tr>
      <w:tr w:rsidR="00EA38F6" w:rsidRPr="000864AE" w14:paraId="760A9A03" w14:textId="77777777" w:rsidTr="00AC0C51">
        <w:trPr>
          <w:trHeight w:val="300"/>
        </w:trPr>
        <w:tc>
          <w:tcPr>
            <w:tcW w:w="668" w:type="dxa"/>
            <w:vAlign w:val="center"/>
            <w:hideMark/>
          </w:tcPr>
          <w:p w14:paraId="7A0AA99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w:t>
            </w:r>
          </w:p>
        </w:tc>
        <w:tc>
          <w:tcPr>
            <w:tcW w:w="3835" w:type="dxa"/>
            <w:vAlign w:val="center"/>
            <w:hideMark/>
          </w:tcPr>
          <w:p w14:paraId="06188748" w14:textId="77777777" w:rsidR="00EA38F6" w:rsidRPr="000864AE" w:rsidRDefault="00EA38F6" w:rsidP="000864AE">
            <w:pPr>
              <w:rPr>
                <w:rFonts w:ascii="Verdana" w:hAnsi="Verdana"/>
                <w:sz w:val="18"/>
                <w:szCs w:val="18"/>
              </w:rPr>
            </w:pPr>
            <w:r w:rsidRPr="000864AE">
              <w:rPr>
                <w:rFonts w:ascii="Verdana" w:hAnsi="Verdana"/>
                <w:sz w:val="18"/>
                <w:szCs w:val="18"/>
              </w:rPr>
              <w:t>Álvarez Flores Antonio</w:t>
            </w:r>
          </w:p>
        </w:tc>
      </w:tr>
      <w:tr w:rsidR="00EA38F6" w:rsidRPr="000864AE" w14:paraId="11D4E58D" w14:textId="77777777" w:rsidTr="00AC0C51">
        <w:trPr>
          <w:trHeight w:val="300"/>
        </w:trPr>
        <w:tc>
          <w:tcPr>
            <w:tcW w:w="668" w:type="dxa"/>
            <w:vAlign w:val="center"/>
            <w:hideMark/>
          </w:tcPr>
          <w:p w14:paraId="0FC3628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w:t>
            </w:r>
          </w:p>
        </w:tc>
        <w:tc>
          <w:tcPr>
            <w:tcW w:w="3835" w:type="dxa"/>
            <w:vAlign w:val="center"/>
            <w:hideMark/>
          </w:tcPr>
          <w:p w14:paraId="55A764DA" w14:textId="77777777" w:rsidR="00EA38F6" w:rsidRPr="000864AE" w:rsidRDefault="00EA38F6" w:rsidP="000864AE">
            <w:pPr>
              <w:rPr>
                <w:rFonts w:ascii="Verdana" w:hAnsi="Verdana"/>
                <w:sz w:val="18"/>
                <w:szCs w:val="18"/>
              </w:rPr>
            </w:pPr>
            <w:r w:rsidRPr="000864AE">
              <w:rPr>
                <w:rFonts w:ascii="Verdana" w:hAnsi="Verdana"/>
                <w:sz w:val="18"/>
                <w:szCs w:val="18"/>
              </w:rPr>
              <w:t>Álvarez Gonzáles Darma Maximina</w:t>
            </w:r>
          </w:p>
        </w:tc>
      </w:tr>
      <w:tr w:rsidR="00EA38F6" w:rsidRPr="000864AE" w14:paraId="6E17D2A3" w14:textId="77777777" w:rsidTr="00AC0C51">
        <w:trPr>
          <w:trHeight w:val="300"/>
        </w:trPr>
        <w:tc>
          <w:tcPr>
            <w:tcW w:w="668" w:type="dxa"/>
            <w:vAlign w:val="center"/>
            <w:hideMark/>
          </w:tcPr>
          <w:p w14:paraId="2F770A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w:t>
            </w:r>
          </w:p>
        </w:tc>
        <w:tc>
          <w:tcPr>
            <w:tcW w:w="3835" w:type="dxa"/>
            <w:vAlign w:val="center"/>
            <w:hideMark/>
          </w:tcPr>
          <w:p w14:paraId="04D4ADAF" w14:textId="77777777" w:rsidR="00EA38F6" w:rsidRPr="000864AE" w:rsidRDefault="00EA38F6" w:rsidP="000864AE">
            <w:pPr>
              <w:rPr>
                <w:rFonts w:ascii="Verdana" w:hAnsi="Verdana"/>
                <w:sz w:val="18"/>
                <w:szCs w:val="18"/>
              </w:rPr>
            </w:pPr>
            <w:r w:rsidRPr="000864AE">
              <w:rPr>
                <w:rFonts w:ascii="Verdana" w:hAnsi="Verdana"/>
                <w:sz w:val="18"/>
                <w:szCs w:val="18"/>
              </w:rPr>
              <w:t>Álvarez Pacheco Leocadia Valeria</w:t>
            </w:r>
          </w:p>
        </w:tc>
      </w:tr>
      <w:tr w:rsidR="00EA38F6" w:rsidRPr="000864AE" w14:paraId="122FA3AA" w14:textId="77777777" w:rsidTr="00AC0C51">
        <w:trPr>
          <w:trHeight w:val="300"/>
        </w:trPr>
        <w:tc>
          <w:tcPr>
            <w:tcW w:w="668" w:type="dxa"/>
            <w:vAlign w:val="center"/>
            <w:hideMark/>
          </w:tcPr>
          <w:p w14:paraId="22F89CA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w:t>
            </w:r>
          </w:p>
        </w:tc>
        <w:tc>
          <w:tcPr>
            <w:tcW w:w="3835" w:type="dxa"/>
            <w:vAlign w:val="center"/>
            <w:hideMark/>
          </w:tcPr>
          <w:p w14:paraId="369F23DD" w14:textId="77777777" w:rsidR="00EA38F6" w:rsidRPr="000864AE" w:rsidRDefault="00EA38F6" w:rsidP="000864AE">
            <w:pPr>
              <w:rPr>
                <w:rFonts w:ascii="Verdana" w:hAnsi="Verdana"/>
                <w:sz w:val="18"/>
                <w:szCs w:val="18"/>
              </w:rPr>
            </w:pPr>
            <w:r w:rsidRPr="000864AE">
              <w:rPr>
                <w:rFonts w:ascii="Verdana" w:hAnsi="Verdana"/>
                <w:sz w:val="18"/>
                <w:szCs w:val="18"/>
              </w:rPr>
              <w:t>Álvarez Ramírez Glicerio</w:t>
            </w:r>
          </w:p>
        </w:tc>
      </w:tr>
      <w:tr w:rsidR="00EA38F6" w:rsidRPr="000864AE" w14:paraId="50B0B834" w14:textId="77777777" w:rsidTr="00AC0C51">
        <w:trPr>
          <w:trHeight w:val="300"/>
        </w:trPr>
        <w:tc>
          <w:tcPr>
            <w:tcW w:w="668" w:type="dxa"/>
            <w:vAlign w:val="center"/>
            <w:hideMark/>
          </w:tcPr>
          <w:p w14:paraId="48A6641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w:t>
            </w:r>
          </w:p>
        </w:tc>
        <w:tc>
          <w:tcPr>
            <w:tcW w:w="3835" w:type="dxa"/>
            <w:vAlign w:val="center"/>
            <w:hideMark/>
          </w:tcPr>
          <w:p w14:paraId="325A63BB" w14:textId="77777777" w:rsidR="00EA38F6" w:rsidRPr="000864AE" w:rsidRDefault="00EA38F6" w:rsidP="000864AE">
            <w:pPr>
              <w:rPr>
                <w:rFonts w:ascii="Verdana" w:hAnsi="Verdana"/>
                <w:sz w:val="18"/>
                <w:szCs w:val="18"/>
              </w:rPr>
            </w:pPr>
            <w:r w:rsidRPr="000864AE">
              <w:rPr>
                <w:rFonts w:ascii="Verdana" w:hAnsi="Verdana"/>
                <w:sz w:val="18"/>
                <w:szCs w:val="18"/>
              </w:rPr>
              <w:t>Alzamora Mendoza Martha Soledad</w:t>
            </w:r>
          </w:p>
        </w:tc>
      </w:tr>
      <w:tr w:rsidR="00EA38F6" w:rsidRPr="000864AE" w14:paraId="1CFE4ABE" w14:textId="77777777" w:rsidTr="00AC0C51">
        <w:trPr>
          <w:trHeight w:val="300"/>
        </w:trPr>
        <w:tc>
          <w:tcPr>
            <w:tcW w:w="668" w:type="dxa"/>
            <w:vAlign w:val="center"/>
            <w:hideMark/>
          </w:tcPr>
          <w:p w14:paraId="2697705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w:t>
            </w:r>
          </w:p>
        </w:tc>
        <w:tc>
          <w:tcPr>
            <w:tcW w:w="3835" w:type="dxa"/>
            <w:vAlign w:val="center"/>
            <w:hideMark/>
          </w:tcPr>
          <w:p w14:paraId="1ABE98F2" w14:textId="77777777" w:rsidR="00EA38F6" w:rsidRPr="000864AE" w:rsidRDefault="00EA38F6" w:rsidP="000864AE">
            <w:pPr>
              <w:rPr>
                <w:rFonts w:ascii="Verdana" w:hAnsi="Verdana"/>
                <w:sz w:val="18"/>
                <w:szCs w:val="18"/>
              </w:rPr>
            </w:pPr>
            <w:r w:rsidRPr="000864AE">
              <w:rPr>
                <w:rFonts w:ascii="Verdana" w:hAnsi="Verdana"/>
                <w:sz w:val="18"/>
                <w:szCs w:val="18"/>
              </w:rPr>
              <w:t>Alzamora Soto Julia Mercedes</w:t>
            </w:r>
          </w:p>
        </w:tc>
      </w:tr>
      <w:tr w:rsidR="00EA38F6" w:rsidRPr="000864AE" w14:paraId="6F64A28F" w14:textId="77777777" w:rsidTr="00AC0C51">
        <w:trPr>
          <w:trHeight w:val="300"/>
        </w:trPr>
        <w:tc>
          <w:tcPr>
            <w:tcW w:w="668" w:type="dxa"/>
            <w:vAlign w:val="center"/>
            <w:hideMark/>
          </w:tcPr>
          <w:p w14:paraId="628611C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w:t>
            </w:r>
          </w:p>
        </w:tc>
        <w:tc>
          <w:tcPr>
            <w:tcW w:w="3835" w:type="dxa"/>
            <w:vAlign w:val="center"/>
            <w:hideMark/>
          </w:tcPr>
          <w:p w14:paraId="4C65907B" w14:textId="77777777" w:rsidR="00EA38F6" w:rsidRPr="000864AE" w:rsidRDefault="00EA38F6" w:rsidP="000864AE">
            <w:pPr>
              <w:rPr>
                <w:rFonts w:ascii="Verdana" w:hAnsi="Verdana"/>
                <w:sz w:val="18"/>
                <w:szCs w:val="18"/>
              </w:rPr>
            </w:pPr>
            <w:r w:rsidRPr="000864AE">
              <w:rPr>
                <w:rFonts w:ascii="Verdana" w:hAnsi="Verdana"/>
                <w:sz w:val="18"/>
                <w:szCs w:val="18"/>
              </w:rPr>
              <w:t>Amado Tarazona Jesús Wilde</w:t>
            </w:r>
          </w:p>
        </w:tc>
      </w:tr>
      <w:tr w:rsidR="00EA38F6" w:rsidRPr="000864AE" w14:paraId="52B0E164" w14:textId="77777777" w:rsidTr="00AC0C51">
        <w:trPr>
          <w:trHeight w:val="300"/>
        </w:trPr>
        <w:tc>
          <w:tcPr>
            <w:tcW w:w="668" w:type="dxa"/>
            <w:vAlign w:val="center"/>
            <w:hideMark/>
          </w:tcPr>
          <w:p w14:paraId="02BD4D0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w:t>
            </w:r>
          </w:p>
        </w:tc>
        <w:tc>
          <w:tcPr>
            <w:tcW w:w="3835" w:type="dxa"/>
            <w:vAlign w:val="center"/>
            <w:hideMark/>
          </w:tcPr>
          <w:p w14:paraId="3340A96F" w14:textId="77777777" w:rsidR="00EA38F6" w:rsidRPr="000864AE" w:rsidRDefault="00EA38F6" w:rsidP="000864AE">
            <w:pPr>
              <w:rPr>
                <w:rFonts w:ascii="Verdana" w:hAnsi="Verdana"/>
                <w:sz w:val="18"/>
                <w:szCs w:val="18"/>
              </w:rPr>
            </w:pPr>
            <w:r w:rsidRPr="000864AE">
              <w:rPr>
                <w:rFonts w:ascii="Verdana" w:hAnsi="Verdana"/>
                <w:sz w:val="18"/>
                <w:szCs w:val="18"/>
              </w:rPr>
              <w:t>Ancaya Cortez Emilio Agustín</w:t>
            </w:r>
          </w:p>
        </w:tc>
      </w:tr>
      <w:tr w:rsidR="00EA38F6" w:rsidRPr="000864AE" w14:paraId="797E5E76" w14:textId="77777777" w:rsidTr="00AC0C51">
        <w:trPr>
          <w:trHeight w:val="300"/>
        </w:trPr>
        <w:tc>
          <w:tcPr>
            <w:tcW w:w="668" w:type="dxa"/>
            <w:vAlign w:val="center"/>
            <w:hideMark/>
          </w:tcPr>
          <w:p w14:paraId="66C3908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w:t>
            </w:r>
          </w:p>
        </w:tc>
        <w:tc>
          <w:tcPr>
            <w:tcW w:w="3835" w:type="dxa"/>
            <w:vAlign w:val="center"/>
            <w:hideMark/>
          </w:tcPr>
          <w:p w14:paraId="778D0ED1" w14:textId="77777777" w:rsidR="00EA38F6" w:rsidRPr="000864AE" w:rsidRDefault="00EA38F6" w:rsidP="000864AE">
            <w:pPr>
              <w:rPr>
                <w:rFonts w:ascii="Verdana" w:hAnsi="Verdana"/>
                <w:sz w:val="18"/>
                <w:szCs w:val="18"/>
              </w:rPr>
            </w:pPr>
            <w:r w:rsidRPr="000864AE">
              <w:rPr>
                <w:rFonts w:ascii="Verdana" w:hAnsi="Verdana"/>
                <w:sz w:val="18"/>
                <w:szCs w:val="18"/>
              </w:rPr>
              <w:t>Antúnez Solís Eduardo Manuel</w:t>
            </w:r>
          </w:p>
        </w:tc>
      </w:tr>
      <w:tr w:rsidR="00EA38F6" w:rsidRPr="000864AE" w14:paraId="094D55D2" w14:textId="77777777" w:rsidTr="00AC0C51">
        <w:trPr>
          <w:trHeight w:val="300"/>
        </w:trPr>
        <w:tc>
          <w:tcPr>
            <w:tcW w:w="668" w:type="dxa"/>
            <w:vAlign w:val="center"/>
            <w:hideMark/>
          </w:tcPr>
          <w:p w14:paraId="7FFABC7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w:t>
            </w:r>
          </w:p>
        </w:tc>
        <w:tc>
          <w:tcPr>
            <w:tcW w:w="3835" w:type="dxa"/>
            <w:vAlign w:val="center"/>
            <w:hideMark/>
          </w:tcPr>
          <w:p w14:paraId="511E0FB4" w14:textId="77777777" w:rsidR="00EA38F6" w:rsidRPr="000864AE" w:rsidRDefault="00EA38F6" w:rsidP="000864AE">
            <w:pPr>
              <w:rPr>
                <w:rFonts w:ascii="Verdana" w:hAnsi="Verdana"/>
                <w:sz w:val="18"/>
                <w:szCs w:val="18"/>
              </w:rPr>
            </w:pPr>
            <w:r w:rsidRPr="000864AE">
              <w:rPr>
                <w:rFonts w:ascii="Verdana" w:hAnsi="Verdana"/>
                <w:sz w:val="18"/>
                <w:szCs w:val="18"/>
              </w:rPr>
              <w:t>Antúnez Solís Eva Isabel</w:t>
            </w:r>
          </w:p>
        </w:tc>
      </w:tr>
      <w:tr w:rsidR="00EA38F6" w:rsidRPr="000864AE" w14:paraId="382FDD01" w14:textId="77777777" w:rsidTr="00AC0C51">
        <w:trPr>
          <w:trHeight w:val="300"/>
        </w:trPr>
        <w:tc>
          <w:tcPr>
            <w:tcW w:w="668" w:type="dxa"/>
            <w:vAlign w:val="center"/>
            <w:hideMark/>
          </w:tcPr>
          <w:p w14:paraId="76E1FC3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w:t>
            </w:r>
          </w:p>
        </w:tc>
        <w:tc>
          <w:tcPr>
            <w:tcW w:w="3835" w:type="dxa"/>
            <w:vAlign w:val="center"/>
            <w:hideMark/>
          </w:tcPr>
          <w:p w14:paraId="56954974" w14:textId="77777777" w:rsidR="00EA38F6" w:rsidRPr="000864AE" w:rsidRDefault="00EA38F6" w:rsidP="000864AE">
            <w:pPr>
              <w:rPr>
                <w:rFonts w:ascii="Verdana" w:hAnsi="Verdana"/>
                <w:sz w:val="18"/>
                <w:szCs w:val="18"/>
              </w:rPr>
            </w:pPr>
            <w:r w:rsidRPr="000864AE">
              <w:rPr>
                <w:rFonts w:ascii="Verdana" w:hAnsi="Verdana"/>
                <w:sz w:val="18"/>
                <w:szCs w:val="18"/>
              </w:rPr>
              <w:t>Antúnez Solís Teofilo Miguel</w:t>
            </w:r>
          </w:p>
        </w:tc>
      </w:tr>
      <w:tr w:rsidR="00EA38F6" w:rsidRPr="000864AE" w14:paraId="623E4456" w14:textId="77777777" w:rsidTr="00AC0C51">
        <w:trPr>
          <w:trHeight w:val="300"/>
        </w:trPr>
        <w:tc>
          <w:tcPr>
            <w:tcW w:w="668" w:type="dxa"/>
            <w:vAlign w:val="center"/>
            <w:hideMark/>
          </w:tcPr>
          <w:p w14:paraId="1F3E3E7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w:t>
            </w:r>
          </w:p>
        </w:tc>
        <w:tc>
          <w:tcPr>
            <w:tcW w:w="3835" w:type="dxa"/>
            <w:vAlign w:val="center"/>
            <w:hideMark/>
          </w:tcPr>
          <w:p w14:paraId="31F0140F" w14:textId="77777777" w:rsidR="00EA38F6" w:rsidRPr="000864AE" w:rsidRDefault="00EA38F6" w:rsidP="000864AE">
            <w:pPr>
              <w:rPr>
                <w:rFonts w:ascii="Verdana" w:hAnsi="Verdana"/>
                <w:sz w:val="18"/>
                <w:szCs w:val="18"/>
              </w:rPr>
            </w:pPr>
            <w:r w:rsidRPr="000864AE">
              <w:rPr>
                <w:rFonts w:ascii="Verdana" w:hAnsi="Verdana"/>
                <w:sz w:val="18"/>
                <w:szCs w:val="18"/>
              </w:rPr>
              <w:t>Aquino Landa Gerónimo Víctor</w:t>
            </w:r>
          </w:p>
        </w:tc>
      </w:tr>
      <w:tr w:rsidR="00EA38F6" w:rsidRPr="000864AE" w14:paraId="0C008A87" w14:textId="77777777" w:rsidTr="00AC0C51">
        <w:trPr>
          <w:trHeight w:val="300"/>
        </w:trPr>
        <w:tc>
          <w:tcPr>
            <w:tcW w:w="668" w:type="dxa"/>
            <w:vAlign w:val="center"/>
            <w:hideMark/>
          </w:tcPr>
          <w:p w14:paraId="09D07CA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w:t>
            </w:r>
          </w:p>
        </w:tc>
        <w:tc>
          <w:tcPr>
            <w:tcW w:w="3835" w:type="dxa"/>
            <w:vAlign w:val="center"/>
            <w:hideMark/>
          </w:tcPr>
          <w:p w14:paraId="1E49B063" w14:textId="77777777" w:rsidR="00EA38F6" w:rsidRPr="000864AE" w:rsidRDefault="00EA38F6" w:rsidP="000864AE">
            <w:pPr>
              <w:rPr>
                <w:rFonts w:ascii="Verdana" w:hAnsi="Verdana"/>
                <w:sz w:val="18"/>
                <w:szCs w:val="18"/>
              </w:rPr>
            </w:pPr>
            <w:r w:rsidRPr="000864AE">
              <w:rPr>
                <w:rFonts w:ascii="Verdana" w:hAnsi="Verdana"/>
                <w:sz w:val="18"/>
                <w:szCs w:val="18"/>
              </w:rPr>
              <w:t>Arámbulo Castillo Carlos Enrique</w:t>
            </w:r>
          </w:p>
        </w:tc>
      </w:tr>
      <w:tr w:rsidR="00EA38F6" w:rsidRPr="000864AE" w14:paraId="452A510A" w14:textId="77777777" w:rsidTr="00AC0C51">
        <w:trPr>
          <w:trHeight w:val="300"/>
        </w:trPr>
        <w:tc>
          <w:tcPr>
            <w:tcW w:w="668" w:type="dxa"/>
            <w:vAlign w:val="center"/>
            <w:hideMark/>
          </w:tcPr>
          <w:p w14:paraId="0BCF183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w:t>
            </w:r>
          </w:p>
        </w:tc>
        <w:tc>
          <w:tcPr>
            <w:tcW w:w="3835" w:type="dxa"/>
            <w:vAlign w:val="center"/>
            <w:hideMark/>
          </w:tcPr>
          <w:p w14:paraId="22E1A2AB" w14:textId="77777777" w:rsidR="00EA38F6" w:rsidRPr="000864AE" w:rsidRDefault="00EA38F6" w:rsidP="000864AE">
            <w:pPr>
              <w:rPr>
                <w:rFonts w:ascii="Verdana" w:hAnsi="Verdana"/>
                <w:sz w:val="18"/>
                <w:szCs w:val="18"/>
              </w:rPr>
            </w:pPr>
            <w:r w:rsidRPr="000864AE">
              <w:rPr>
                <w:rFonts w:ascii="Verdana" w:hAnsi="Verdana"/>
                <w:sz w:val="18"/>
                <w:szCs w:val="18"/>
              </w:rPr>
              <w:t>Arana Arenas Elsa Betty</w:t>
            </w:r>
          </w:p>
        </w:tc>
      </w:tr>
      <w:tr w:rsidR="00EA38F6" w:rsidRPr="000864AE" w14:paraId="7CBAD77E" w14:textId="77777777" w:rsidTr="00AC0C51">
        <w:trPr>
          <w:trHeight w:val="300"/>
        </w:trPr>
        <w:tc>
          <w:tcPr>
            <w:tcW w:w="668" w:type="dxa"/>
            <w:vAlign w:val="center"/>
            <w:hideMark/>
          </w:tcPr>
          <w:p w14:paraId="0373BB1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w:t>
            </w:r>
          </w:p>
        </w:tc>
        <w:tc>
          <w:tcPr>
            <w:tcW w:w="3835" w:type="dxa"/>
            <w:vAlign w:val="center"/>
            <w:hideMark/>
          </w:tcPr>
          <w:p w14:paraId="09DCF54A" w14:textId="77777777" w:rsidR="00EA38F6" w:rsidRPr="000864AE" w:rsidRDefault="00EA38F6" w:rsidP="000864AE">
            <w:pPr>
              <w:rPr>
                <w:rFonts w:ascii="Verdana" w:hAnsi="Verdana"/>
                <w:sz w:val="18"/>
                <w:szCs w:val="18"/>
              </w:rPr>
            </w:pPr>
            <w:r w:rsidRPr="000864AE">
              <w:rPr>
                <w:rFonts w:ascii="Verdana" w:hAnsi="Verdana"/>
                <w:sz w:val="18"/>
                <w:szCs w:val="18"/>
              </w:rPr>
              <w:t>Arana Flores Pablo Eleazar</w:t>
            </w:r>
          </w:p>
        </w:tc>
      </w:tr>
      <w:tr w:rsidR="00EA38F6" w:rsidRPr="000864AE" w14:paraId="37D1D53F" w14:textId="77777777" w:rsidTr="00AC0C51">
        <w:trPr>
          <w:trHeight w:val="300"/>
        </w:trPr>
        <w:tc>
          <w:tcPr>
            <w:tcW w:w="668" w:type="dxa"/>
            <w:vAlign w:val="center"/>
            <w:hideMark/>
          </w:tcPr>
          <w:p w14:paraId="26EA052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w:t>
            </w:r>
          </w:p>
        </w:tc>
        <w:tc>
          <w:tcPr>
            <w:tcW w:w="3835" w:type="dxa"/>
            <w:vAlign w:val="center"/>
            <w:hideMark/>
          </w:tcPr>
          <w:p w14:paraId="7AD42664" w14:textId="77777777" w:rsidR="00EA38F6" w:rsidRPr="000864AE" w:rsidRDefault="00EA38F6" w:rsidP="000864AE">
            <w:pPr>
              <w:rPr>
                <w:rFonts w:ascii="Verdana" w:hAnsi="Verdana"/>
                <w:sz w:val="18"/>
                <w:szCs w:val="18"/>
              </w:rPr>
            </w:pPr>
            <w:r w:rsidRPr="000864AE">
              <w:rPr>
                <w:rFonts w:ascii="Verdana" w:hAnsi="Verdana"/>
                <w:sz w:val="18"/>
                <w:szCs w:val="18"/>
              </w:rPr>
              <w:t>Arana Solsol José Cecilio</w:t>
            </w:r>
          </w:p>
        </w:tc>
      </w:tr>
      <w:tr w:rsidR="00EA38F6" w:rsidRPr="000864AE" w14:paraId="55C61108" w14:textId="77777777" w:rsidTr="00AC0C51">
        <w:trPr>
          <w:trHeight w:val="300"/>
        </w:trPr>
        <w:tc>
          <w:tcPr>
            <w:tcW w:w="668" w:type="dxa"/>
            <w:vAlign w:val="center"/>
            <w:hideMark/>
          </w:tcPr>
          <w:p w14:paraId="07EEA2B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w:t>
            </w:r>
          </w:p>
        </w:tc>
        <w:tc>
          <w:tcPr>
            <w:tcW w:w="3835" w:type="dxa"/>
            <w:vAlign w:val="center"/>
            <w:hideMark/>
          </w:tcPr>
          <w:p w14:paraId="68E5DFC2" w14:textId="77777777" w:rsidR="00EA38F6" w:rsidRPr="000864AE" w:rsidRDefault="00EA38F6" w:rsidP="000864AE">
            <w:pPr>
              <w:rPr>
                <w:rFonts w:ascii="Verdana" w:hAnsi="Verdana"/>
                <w:sz w:val="18"/>
                <w:szCs w:val="18"/>
              </w:rPr>
            </w:pPr>
            <w:r w:rsidRPr="000864AE">
              <w:rPr>
                <w:rFonts w:ascii="Verdana" w:hAnsi="Verdana"/>
                <w:sz w:val="18"/>
                <w:szCs w:val="18"/>
              </w:rPr>
              <w:t>Arancibia Quintanilla Juan Andrés</w:t>
            </w:r>
          </w:p>
        </w:tc>
      </w:tr>
      <w:tr w:rsidR="00EA38F6" w:rsidRPr="000864AE" w14:paraId="7DEA2B6C" w14:textId="77777777" w:rsidTr="00AC0C51">
        <w:trPr>
          <w:trHeight w:val="300"/>
        </w:trPr>
        <w:tc>
          <w:tcPr>
            <w:tcW w:w="668" w:type="dxa"/>
            <w:vAlign w:val="center"/>
            <w:hideMark/>
          </w:tcPr>
          <w:p w14:paraId="2A884DE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w:t>
            </w:r>
          </w:p>
        </w:tc>
        <w:tc>
          <w:tcPr>
            <w:tcW w:w="3835" w:type="dxa"/>
            <w:vAlign w:val="center"/>
            <w:hideMark/>
          </w:tcPr>
          <w:p w14:paraId="4A216345" w14:textId="77777777" w:rsidR="00EA38F6" w:rsidRPr="000864AE" w:rsidRDefault="00EA38F6" w:rsidP="000864AE">
            <w:pPr>
              <w:rPr>
                <w:rFonts w:ascii="Verdana" w:hAnsi="Verdana"/>
                <w:sz w:val="18"/>
                <w:szCs w:val="18"/>
              </w:rPr>
            </w:pPr>
            <w:r w:rsidRPr="000864AE">
              <w:rPr>
                <w:rFonts w:ascii="Verdana" w:hAnsi="Verdana"/>
                <w:sz w:val="18"/>
                <w:szCs w:val="18"/>
              </w:rPr>
              <w:t>Araujo De La Cuba María Mercedes</w:t>
            </w:r>
          </w:p>
        </w:tc>
      </w:tr>
      <w:tr w:rsidR="00EA38F6" w:rsidRPr="000864AE" w14:paraId="1A2ADC89" w14:textId="77777777" w:rsidTr="00AC0C51">
        <w:trPr>
          <w:trHeight w:val="300"/>
        </w:trPr>
        <w:tc>
          <w:tcPr>
            <w:tcW w:w="668" w:type="dxa"/>
            <w:vAlign w:val="center"/>
            <w:hideMark/>
          </w:tcPr>
          <w:p w14:paraId="1B90DAE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w:t>
            </w:r>
          </w:p>
        </w:tc>
        <w:tc>
          <w:tcPr>
            <w:tcW w:w="3835" w:type="dxa"/>
            <w:vAlign w:val="center"/>
            <w:hideMark/>
          </w:tcPr>
          <w:p w14:paraId="1F299AF8" w14:textId="77777777" w:rsidR="00EA38F6" w:rsidRPr="000864AE" w:rsidRDefault="00EA38F6" w:rsidP="000864AE">
            <w:pPr>
              <w:rPr>
                <w:rFonts w:ascii="Verdana" w:hAnsi="Verdana"/>
                <w:sz w:val="18"/>
                <w:szCs w:val="18"/>
              </w:rPr>
            </w:pPr>
            <w:r w:rsidRPr="000864AE">
              <w:rPr>
                <w:rFonts w:ascii="Verdana" w:hAnsi="Verdana"/>
                <w:sz w:val="18"/>
                <w:szCs w:val="18"/>
              </w:rPr>
              <w:t>Arenas Arce Luis Enrique</w:t>
            </w:r>
          </w:p>
        </w:tc>
      </w:tr>
      <w:tr w:rsidR="00EA38F6" w:rsidRPr="000864AE" w14:paraId="73158CAD" w14:textId="77777777" w:rsidTr="00AC0C51">
        <w:trPr>
          <w:trHeight w:val="300"/>
        </w:trPr>
        <w:tc>
          <w:tcPr>
            <w:tcW w:w="668" w:type="dxa"/>
            <w:vAlign w:val="center"/>
            <w:hideMark/>
          </w:tcPr>
          <w:p w14:paraId="795B2F5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w:t>
            </w:r>
          </w:p>
        </w:tc>
        <w:tc>
          <w:tcPr>
            <w:tcW w:w="3835" w:type="dxa"/>
            <w:vAlign w:val="center"/>
            <w:hideMark/>
          </w:tcPr>
          <w:p w14:paraId="3A33DF98" w14:textId="77777777" w:rsidR="00EA38F6" w:rsidRPr="000864AE" w:rsidRDefault="00EA38F6" w:rsidP="000864AE">
            <w:pPr>
              <w:rPr>
                <w:rFonts w:ascii="Verdana" w:hAnsi="Verdana"/>
                <w:sz w:val="18"/>
                <w:szCs w:val="18"/>
              </w:rPr>
            </w:pPr>
            <w:r w:rsidRPr="000864AE">
              <w:rPr>
                <w:rFonts w:ascii="Verdana" w:hAnsi="Verdana"/>
                <w:sz w:val="18"/>
                <w:szCs w:val="18"/>
              </w:rPr>
              <w:t>Arenas Medina Luz Esperanza</w:t>
            </w:r>
          </w:p>
        </w:tc>
      </w:tr>
      <w:tr w:rsidR="00EA38F6" w:rsidRPr="000864AE" w14:paraId="6526285F" w14:textId="77777777" w:rsidTr="00AC0C51">
        <w:trPr>
          <w:trHeight w:val="300"/>
        </w:trPr>
        <w:tc>
          <w:tcPr>
            <w:tcW w:w="668" w:type="dxa"/>
            <w:vAlign w:val="center"/>
            <w:hideMark/>
          </w:tcPr>
          <w:p w14:paraId="1CC2CD7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w:t>
            </w:r>
          </w:p>
        </w:tc>
        <w:tc>
          <w:tcPr>
            <w:tcW w:w="3835" w:type="dxa"/>
            <w:vAlign w:val="center"/>
            <w:hideMark/>
          </w:tcPr>
          <w:p w14:paraId="785161E9" w14:textId="77777777" w:rsidR="00EA38F6" w:rsidRPr="000864AE" w:rsidRDefault="00EA38F6" w:rsidP="000864AE">
            <w:pPr>
              <w:rPr>
                <w:rFonts w:ascii="Verdana" w:hAnsi="Verdana"/>
                <w:sz w:val="18"/>
                <w:szCs w:val="18"/>
              </w:rPr>
            </w:pPr>
            <w:r w:rsidRPr="000864AE">
              <w:rPr>
                <w:rFonts w:ascii="Verdana" w:hAnsi="Verdana"/>
                <w:sz w:val="18"/>
                <w:szCs w:val="18"/>
              </w:rPr>
              <w:t>Arévalo Veramatos Rodrigo</w:t>
            </w:r>
          </w:p>
        </w:tc>
      </w:tr>
      <w:tr w:rsidR="00EA38F6" w:rsidRPr="000864AE" w14:paraId="168B900B" w14:textId="77777777" w:rsidTr="00AC0C51">
        <w:trPr>
          <w:trHeight w:val="300"/>
        </w:trPr>
        <w:tc>
          <w:tcPr>
            <w:tcW w:w="668" w:type="dxa"/>
            <w:vAlign w:val="center"/>
            <w:hideMark/>
          </w:tcPr>
          <w:p w14:paraId="03E7A0C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w:t>
            </w:r>
          </w:p>
        </w:tc>
        <w:tc>
          <w:tcPr>
            <w:tcW w:w="3835" w:type="dxa"/>
            <w:vAlign w:val="center"/>
            <w:hideMark/>
          </w:tcPr>
          <w:p w14:paraId="680EB03A" w14:textId="77777777" w:rsidR="00EA38F6" w:rsidRPr="000864AE" w:rsidRDefault="00EA38F6" w:rsidP="000864AE">
            <w:pPr>
              <w:rPr>
                <w:rFonts w:ascii="Verdana" w:hAnsi="Verdana"/>
                <w:sz w:val="18"/>
                <w:szCs w:val="18"/>
              </w:rPr>
            </w:pPr>
            <w:r w:rsidRPr="000864AE">
              <w:rPr>
                <w:rFonts w:ascii="Verdana" w:hAnsi="Verdana"/>
                <w:sz w:val="18"/>
                <w:szCs w:val="18"/>
              </w:rPr>
              <w:t>Armas Toro Priscila Eugenia</w:t>
            </w:r>
          </w:p>
        </w:tc>
      </w:tr>
      <w:tr w:rsidR="00EA38F6" w:rsidRPr="000864AE" w14:paraId="1B080356" w14:textId="77777777" w:rsidTr="00AC0C51">
        <w:trPr>
          <w:trHeight w:val="300"/>
        </w:trPr>
        <w:tc>
          <w:tcPr>
            <w:tcW w:w="668" w:type="dxa"/>
            <w:vAlign w:val="center"/>
            <w:hideMark/>
          </w:tcPr>
          <w:p w14:paraId="0321A9D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w:t>
            </w:r>
          </w:p>
        </w:tc>
        <w:tc>
          <w:tcPr>
            <w:tcW w:w="3835" w:type="dxa"/>
            <w:vAlign w:val="center"/>
            <w:hideMark/>
          </w:tcPr>
          <w:p w14:paraId="3D7DB7FC" w14:textId="77777777" w:rsidR="00EA38F6" w:rsidRPr="000864AE" w:rsidRDefault="00EA38F6" w:rsidP="000864AE">
            <w:pPr>
              <w:rPr>
                <w:rFonts w:ascii="Verdana" w:hAnsi="Verdana"/>
                <w:sz w:val="18"/>
                <w:szCs w:val="18"/>
              </w:rPr>
            </w:pPr>
            <w:r w:rsidRPr="000864AE">
              <w:rPr>
                <w:rFonts w:ascii="Verdana" w:hAnsi="Verdana"/>
                <w:sz w:val="18"/>
                <w:szCs w:val="18"/>
              </w:rPr>
              <w:t>Arrese Villalta Juan</w:t>
            </w:r>
          </w:p>
        </w:tc>
      </w:tr>
      <w:tr w:rsidR="00EA38F6" w:rsidRPr="000864AE" w14:paraId="0DA900FE" w14:textId="77777777" w:rsidTr="00AC0C51">
        <w:trPr>
          <w:trHeight w:val="300"/>
        </w:trPr>
        <w:tc>
          <w:tcPr>
            <w:tcW w:w="668" w:type="dxa"/>
            <w:vAlign w:val="center"/>
            <w:hideMark/>
          </w:tcPr>
          <w:p w14:paraId="1D74BAF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w:t>
            </w:r>
          </w:p>
        </w:tc>
        <w:tc>
          <w:tcPr>
            <w:tcW w:w="3835" w:type="dxa"/>
            <w:vAlign w:val="center"/>
            <w:hideMark/>
          </w:tcPr>
          <w:p w14:paraId="223606A1" w14:textId="77777777" w:rsidR="00EA38F6" w:rsidRPr="000864AE" w:rsidRDefault="00EA38F6" w:rsidP="000864AE">
            <w:pPr>
              <w:rPr>
                <w:rFonts w:ascii="Verdana" w:hAnsi="Verdana"/>
                <w:sz w:val="18"/>
                <w:szCs w:val="18"/>
              </w:rPr>
            </w:pPr>
            <w:r w:rsidRPr="000864AE">
              <w:rPr>
                <w:rFonts w:ascii="Verdana" w:hAnsi="Verdana"/>
                <w:sz w:val="18"/>
                <w:szCs w:val="18"/>
              </w:rPr>
              <w:t>Arriola Oliva Nelli Consuelo</w:t>
            </w:r>
          </w:p>
        </w:tc>
      </w:tr>
      <w:tr w:rsidR="00EA38F6" w:rsidRPr="000864AE" w14:paraId="2BB82ACA" w14:textId="77777777" w:rsidTr="00AC0C51">
        <w:trPr>
          <w:trHeight w:val="300"/>
        </w:trPr>
        <w:tc>
          <w:tcPr>
            <w:tcW w:w="668" w:type="dxa"/>
            <w:vAlign w:val="center"/>
            <w:hideMark/>
          </w:tcPr>
          <w:p w14:paraId="2797D41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w:t>
            </w:r>
          </w:p>
        </w:tc>
        <w:tc>
          <w:tcPr>
            <w:tcW w:w="3835" w:type="dxa"/>
            <w:vAlign w:val="center"/>
            <w:hideMark/>
          </w:tcPr>
          <w:p w14:paraId="06B0123C" w14:textId="77777777" w:rsidR="00EA38F6" w:rsidRPr="000864AE" w:rsidRDefault="00EA38F6" w:rsidP="000864AE">
            <w:pPr>
              <w:rPr>
                <w:rFonts w:ascii="Verdana" w:hAnsi="Verdana"/>
                <w:sz w:val="18"/>
                <w:szCs w:val="18"/>
              </w:rPr>
            </w:pPr>
            <w:r w:rsidRPr="000864AE">
              <w:rPr>
                <w:rFonts w:ascii="Verdana" w:hAnsi="Verdana"/>
                <w:sz w:val="18"/>
                <w:szCs w:val="18"/>
              </w:rPr>
              <w:t>Arteta Cornejo Aurora Manuela</w:t>
            </w:r>
          </w:p>
        </w:tc>
      </w:tr>
      <w:tr w:rsidR="00EA38F6" w:rsidRPr="000864AE" w14:paraId="6C32275B" w14:textId="77777777" w:rsidTr="00AC0C51">
        <w:trPr>
          <w:trHeight w:val="300"/>
        </w:trPr>
        <w:tc>
          <w:tcPr>
            <w:tcW w:w="668" w:type="dxa"/>
            <w:vAlign w:val="center"/>
            <w:hideMark/>
          </w:tcPr>
          <w:p w14:paraId="534E5A8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w:t>
            </w:r>
          </w:p>
        </w:tc>
        <w:tc>
          <w:tcPr>
            <w:tcW w:w="3835" w:type="dxa"/>
            <w:vAlign w:val="center"/>
            <w:hideMark/>
          </w:tcPr>
          <w:p w14:paraId="7FF4C4E3" w14:textId="77777777" w:rsidR="00EA38F6" w:rsidRPr="000864AE" w:rsidRDefault="00EA38F6" w:rsidP="000864AE">
            <w:pPr>
              <w:rPr>
                <w:rFonts w:ascii="Verdana" w:hAnsi="Verdana"/>
                <w:sz w:val="18"/>
                <w:szCs w:val="18"/>
              </w:rPr>
            </w:pPr>
            <w:r w:rsidRPr="000864AE">
              <w:rPr>
                <w:rFonts w:ascii="Verdana" w:hAnsi="Verdana"/>
                <w:sz w:val="18"/>
                <w:szCs w:val="18"/>
              </w:rPr>
              <w:t>Ascuña Cáceres Héctor Raúl</w:t>
            </w:r>
          </w:p>
        </w:tc>
      </w:tr>
      <w:tr w:rsidR="00EA38F6" w:rsidRPr="000864AE" w14:paraId="6E856FF8" w14:textId="77777777" w:rsidTr="00AC0C51">
        <w:trPr>
          <w:trHeight w:val="300"/>
        </w:trPr>
        <w:tc>
          <w:tcPr>
            <w:tcW w:w="668" w:type="dxa"/>
            <w:vAlign w:val="center"/>
            <w:hideMark/>
          </w:tcPr>
          <w:p w14:paraId="5B1CC7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w:t>
            </w:r>
          </w:p>
        </w:tc>
        <w:tc>
          <w:tcPr>
            <w:tcW w:w="3835" w:type="dxa"/>
            <w:vAlign w:val="center"/>
            <w:hideMark/>
          </w:tcPr>
          <w:p w14:paraId="7A24BD77" w14:textId="77777777" w:rsidR="00EA38F6" w:rsidRPr="000864AE" w:rsidRDefault="00EA38F6" w:rsidP="000864AE">
            <w:pPr>
              <w:rPr>
                <w:rFonts w:ascii="Verdana" w:hAnsi="Verdana"/>
                <w:sz w:val="18"/>
                <w:szCs w:val="18"/>
              </w:rPr>
            </w:pPr>
            <w:r w:rsidRPr="000864AE">
              <w:rPr>
                <w:rFonts w:ascii="Verdana" w:hAnsi="Verdana"/>
                <w:sz w:val="18"/>
                <w:szCs w:val="18"/>
              </w:rPr>
              <w:t>Asencio Martel Pedro Constantino</w:t>
            </w:r>
          </w:p>
        </w:tc>
      </w:tr>
      <w:tr w:rsidR="00EA38F6" w:rsidRPr="000864AE" w14:paraId="1313A84A" w14:textId="77777777" w:rsidTr="00AC0C51">
        <w:trPr>
          <w:trHeight w:val="300"/>
        </w:trPr>
        <w:tc>
          <w:tcPr>
            <w:tcW w:w="668" w:type="dxa"/>
            <w:vAlign w:val="center"/>
            <w:hideMark/>
          </w:tcPr>
          <w:p w14:paraId="1025731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w:t>
            </w:r>
          </w:p>
        </w:tc>
        <w:tc>
          <w:tcPr>
            <w:tcW w:w="3835" w:type="dxa"/>
            <w:vAlign w:val="center"/>
            <w:hideMark/>
          </w:tcPr>
          <w:p w14:paraId="07BDAFF3" w14:textId="77777777" w:rsidR="00EA38F6" w:rsidRPr="000864AE" w:rsidRDefault="00EA38F6" w:rsidP="000864AE">
            <w:pPr>
              <w:rPr>
                <w:rFonts w:ascii="Verdana" w:hAnsi="Verdana"/>
                <w:sz w:val="18"/>
                <w:szCs w:val="18"/>
              </w:rPr>
            </w:pPr>
            <w:r w:rsidRPr="000864AE">
              <w:rPr>
                <w:rFonts w:ascii="Verdana" w:hAnsi="Verdana"/>
                <w:sz w:val="18"/>
                <w:szCs w:val="18"/>
              </w:rPr>
              <w:t>Aspajo Tafur Max Julián</w:t>
            </w:r>
          </w:p>
        </w:tc>
      </w:tr>
      <w:tr w:rsidR="00EA38F6" w:rsidRPr="000864AE" w14:paraId="5E0A1075" w14:textId="77777777" w:rsidTr="00AC0C51">
        <w:trPr>
          <w:trHeight w:val="300"/>
        </w:trPr>
        <w:tc>
          <w:tcPr>
            <w:tcW w:w="668" w:type="dxa"/>
            <w:vAlign w:val="center"/>
            <w:hideMark/>
          </w:tcPr>
          <w:p w14:paraId="742BDC6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w:t>
            </w:r>
          </w:p>
        </w:tc>
        <w:tc>
          <w:tcPr>
            <w:tcW w:w="3835" w:type="dxa"/>
            <w:vAlign w:val="center"/>
            <w:hideMark/>
          </w:tcPr>
          <w:p w14:paraId="51B313C3" w14:textId="77777777" w:rsidR="00EA38F6" w:rsidRPr="000864AE" w:rsidRDefault="00EA38F6" w:rsidP="000864AE">
            <w:pPr>
              <w:rPr>
                <w:rFonts w:ascii="Verdana" w:hAnsi="Verdana"/>
                <w:sz w:val="18"/>
                <w:szCs w:val="18"/>
              </w:rPr>
            </w:pPr>
            <w:r w:rsidRPr="000864AE">
              <w:rPr>
                <w:rFonts w:ascii="Verdana" w:hAnsi="Verdana"/>
                <w:sz w:val="18"/>
                <w:szCs w:val="18"/>
              </w:rPr>
              <w:t>Astete Zamalloa Ruth Marina</w:t>
            </w:r>
          </w:p>
        </w:tc>
      </w:tr>
      <w:tr w:rsidR="00EA38F6" w:rsidRPr="000864AE" w14:paraId="547849A3" w14:textId="77777777" w:rsidTr="00AC0C51">
        <w:trPr>
          <w:trHeight w:val="300"/>
        </w:trPr>
        <w:tc>
          <w:tcPr>
            <w:tcW w:w="668" w:type="dxa"/>
            <w:vAlign w:val="center"/>
            <w:hideMark/>
          </w:tcPr>
          <w:p w14:paraId="4326329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w:t>
            </w:r>
          </w:p>
        </w:tc>
        <w:tc>
          <w:tcPr>
            <w:tcW w:w="3835" w:type="dxa"/>
            <w:vAlign w:val="center"/>
            <w:hideMark/>
          </w:tcPr>
          <w:p w14:paraId="2B6ECB41" w14:textId="77777777" w:rsidR="00EA38F6" w:rsidRPr="000864AE" w:rsidRDefault="00EA38F6" w:rsidP="000864AE">
            <w:pPr>
              <w:rPr>
                <w:rFonts w:ascii="Verdana" w:hAnsi="Verdana"/>
                <w:sz w:val="18"/>
                <w:szCs w:val="18"/>
              </w:rPr>
            </w:pPr>
            <w:r w:rsidRPr="000864AE">
              <w:rPr>
                <w:rFonts w:ascii="Verdana" w:hAnsi="Verdana"/>
                <w:sz w:val="18"/>
                <w:szCs w:val="18"/>
              </w:rPr>
              <w:t>Atarama Lonzoy César Augusto</w:t>
            </w:r>
          </w:p>
        </w:tc>
      </w:tr>
      <w:tr w:rsidR="00EA38F6" w:rsidRPr="000864AE" w14:paraId="7DB3F930" w14:textId="77777777" w:rsidTr="00AC0C51">
        <w:trPr>
          <w:trHeight w:val="300"/>
        </w:trPr>
        <w:tc>
          <w:tcPr>
            <w:tcW w:w="668" w:type="dxa"/>
            <w:vAlign w:val="center"/>
            <w:hideMark/>
          </w:tcPr>
          <w:p w14:paraId="25ADE7E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w:t>
            </w:r>
          </w:p>
        </w:tc>
        <w:tc>
          <w:tcPr>
            <w:tcW w:w="3835" w:type="dxa"/>
            <w:vAlign w:val="center"/>
            <w:hideMark/>
          </w:tcPr>
          <w:p w14:paraId="1BA756A7" w14:textId="77777777" w:rsidR="00EA38F6" w:rsidRPr="000864AE" w:rsidRDefault="00EA38F6" w:rsidP="000864AE">
            <w:pPr>
              <w:rPr>
                <w:rFonts w:ascii="Verdana" w:hAnsi="Verdana"/>
                <w:sz w:val="18"/>
                <w:szCs w:val="18"/>
              </w:rPr>
            </w:pPr>
            <w:r w:rsidRPr="000864AE">
              <w:rPr>
                <w:rFonts w:ascii="Verdana" w:hAnsi="Verdana"/>
                <w:sz w:val="18"/>
                <w:szCs w:val="18"/>
              </w:rPr>
              <w:t>Auqui Aguilar Celestino</w:t>
            </w:r>
          </w:p>
        </w:tc>
      </w:tr>
      <w:tr w:rsidR="00EA38F6" w:rsidRPr="000864AE" w14:paraId="55395F3C" w14:textId="77777777" w:rsidTr="00AC0C51">
        <w:trPr>
          <w:trHeight w:val="300"/>
        </w:trPr>
        <w:tc>
          <w:tcPr>
            <w:tcW w:w="668" w:type="dxa"/>
            <w:vAlign w:val="center"/>
            <w:hideMark/>
          </w:tcPr>
          <w:p w14:paraId="7C6BB34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w:t>
            </w:r>
          </w:p>
        </w:tc>
        <w:tc>
          <w:tcPr>
            <w:tcW w:w="3835" w:type="dxa"/>
            <w:vAlign w:val="center"/>
            <w:hideMark/>
          </w:tcPr>
          <w:p w14:paraId="4ACA7D65" w14:textId="77777777" w:rsidR="00EA38F6" w:rsidRPr="000864AE" w:rsidRDefault="00EA38F6" w:rsidP="000864AE">
            <w:pPr>
              <w:rPr>
                <w:rFonts w:ascii="Verdana" w:hAnsi="Verdana"/>
                <w:sz w:val="18"/>
                <w:szCs w:val="18"/>
              </w:rPr>
            </w:pPr>
            <w:r w:rsidRPr="000864AE">
              <w:rPr>
                <w:rFonts w:ascii="Verdana" w:hAnsi="Verdana"/>
                <w:sz w:val="18"/>
                <w:szCs w:val="18"/>
              </w:rPr>
              <w:t>Aybar Bravo Ezequiel Inmaculado</w:t>
            </w:r>
          </w:p>
        </w:tc>
      </w:tr>
      <w:tr w:rsidR="00EA38F6" w:rsidRPr="000864AE" w14:paraId="51AC2639" w14:textId="77777777" w:rsidTr="00AC0C51">
        <w:trPr>
          <w:trHeight w:val="300"/>
        </w:trPr>
        <w:tc>
          <w:tcPr>
            <w:tcW w:w="668" w:type="dxa"/>
            <w:vAlign w:val="center"/>
            <w:hideMark/>
          </w:tcPr>
          <w:p w14:paraId="15076EF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w:t>
            </w:r>
          </w:p>
        </w:tc>
        <w:tc>
          <w:tcPr>
            <w:tcW w:w="3835" w:type="dxa"/>
            <w:vAlign w:val="center"/>
            <w:hideMark/>
          </w:tcPr>
          <w:p w14:paraId="5937EDD7" w14:textId="77777777" w:rsidR="00EA38F6" w:rsidRPr="000864AE" w:rsidRDefault="00EA38F6" w:rsidP="000864AE">
            <w:pPr>
              <w:rPr>
                <w:rFonts w:ascii="Verdana" w:hAnsi="Verdana"/>
                <w:sz w:val="18"/>
                <w:szCs w:val="18"/>
              </w:rPr>
            </w:pPr>
            <w:r w:rsidRPr="000864AE">
              <w:rPr>
                <w:rFonts w:ascii="Verdana" w:hAnsi="Verdana"/>
                <w:sz w:val="18"/>
                <w:szCs w:val="18"/>
              </w:rPr>
              <w:t>Ayo Sarmiento Cesar Adrián</w:t>
            </w:r>
          </w:p>
        </w:tc>
      </w:tr>
      <w:tr w:rsidR="00EA38F6" w:rsidRPr="000864AE" w14:paraId="5DC5658D" w14:textId="77777777" w:rsidTr="00AC0C51">
        <w:trPr>
          <w:trHeight w:val="300"/>
        </w:trPr>
        <w:tc>
          <w:tcPr>
            <w:tcW w:w="668" w:type="dxa"/>
            <w:vAlign w:val="center"/>
            <w:hideMark/>
          </w:tcPr>
          <w:p w14:paraId="54433F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w:t>
            </w:r>
          </w:p>
        </w:tc>
        <w:tc>
          <w:tcPr>
            <w:tcW w:w="3835" w:type="dxa"/>
            <w:vAlign w:val="center"/>
            <w:hideMark/>
          </w:tcPr>
          <w:p w14:paraId="32F0DFC5" w14:textId="77777777" w:rsidR="00EA38F6" w:rsidRPr="000864AE" w:rsidRDefault="00EA38F6" w:rsidP="000864AE">
            <w:pPr>
              <w:rPr>
                <w:rFonts w:ascii="Verdana" w:hAnsi="Verdana"/>
                <w:sz w:val="18"/>
                <w:szCs w:val="18"/>
              </w:rPr>
            </w:pPr>
            <w:r w:rsidRPr="000864AE">
              <w:rPr>
                <w:rFonts w:ascii="Verdana" w:hAnsi="Verdana"/>
                <w:sz w:val="18"/>
                <w:szCs w:val="18"/>
              </w:rPr>
              <w:t>Baissel Tapia Carmen Rosa</w:t>
            </w:r>
          </w:p>
        </w:tc>
      </w:tr>
      <w:tr w:rsidR="00EA38F6" w:rsidRPr="000864AE" w14:paraId="66269038" w14:textId="77777777" w:rsidTr="00AC0C51">
        <w:trPr>
          <w:trHeight w:val="300"/>
        </w:trPr>
        <w:tc>
          <w:tcPr>
            <w:tcW w:w="668" w:type="dxa"/>
            <w:vAlign w:val="center"/>
            <w:hideMark/>
          </w:tcPr>
          <w:p w14:paraId="78D5BC0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w:t>
            </w:r>
          </w:p>
        </w:tc>
        <w:tc>
          <w:tcPr>
            <w:tcW w:w="3835" w:type="dxa"/>
            <w:vAlign w:val="center"/>
            <w:hideMark/>
          </w:tcPr>
          <w:p w14:paraId="3A9AF7F0" w14:textId="77777777" w:rsidR="00EA38F6" w:rsidRPr="000864AE" w:rsidRDefault="00EA38F6" w:rsidP="000864AE">
            <w:pPr>
              <w:rPr>
                <w:rFonts w:ascii="Verdana" w:hAnsi="Verdana"/>
                <w:sz w:val="18"/>
                <w:szCs w:val="18"/>
              </w:rPr>
            </w:pPr>
            <w:r w:rsidRPr="000864AE">
              <w:rPr>
                <w:rFonts w:ascii="Verdana" w:hAnsi="Verdana"/>
                <w:sz w:val="18"/>
                <w:szCs w:val="18"/>
              </w:rPr>
              <w:t>Bajonero Trujillo Fortunato</w:t>
            </w:r>
          </w:p>
        </w:tc>
      </w:tr>
      <w:tr w:rsidR="00EA38F6" w:rsidRPr="000864AE" w14:paraId="68C9FB2A" w14:textId="77777777" w:rsidTr="00AC0C51">
        <w:trPr>
          <w:trHeight w:val="300"/>
        </w:trPr>
        <w:tc>
          <w:tcPr>
            <w:tcW w:w="668" w:type="dxa"/>
            <w:vAlign w:val="center"/>
            <w:hideMark/>
          </w:tcPr>
          <w:p w14:paraId="7077B2F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w:t>
            </w:r>
          </w:p>
        </w:tc>
        <w:tc>
          <w:tcPr>
            <w:tcW w:w="3835" w:type="dxa"/>
            <w:vAlign w:val="center"/>
            <w:hideMark/>
          </w:tcPr>
          <w:p w14:paraId="3B19D33F" w14:textId="77777777" w:rsidR="00EA38F6" w:rsidRPr="000864AE" w:rsidRDefault="00EA38F6" w:rsidP="000864AE">
            <w:pPr>
              <w:rPr>
                <w:rFonts w:ascii="Verdana" w:hAnsi="Verdana"/>
                <w:sz w:val="18"/>
                <w:szCs w:val="18"/>
              </w:rPr>
            </w:pPr>
            <w:r w:rsidRPr="000864AE">
              <w:rPr>
                <w:rFonts w:ascii="Verdana" w:hAnsi="Verdana"/>
                <w:sz w:val="18"/>
                <w:szCs w:val="18"/>
              </w:rPr>
              <w:t>Balbín Calmet Víctor Raúl</w:t>
            </w:r>
          </w:p>
        </w:tc>
      </w:tr>
      <w:tr w:rsidR="00EA38F6" w:rsidRPr="000864AE" w14:paraId="3AD5BDC8" w14:textId="77777777" w:rsidTr="00AC0C51">
        <w:trPr>
          <w:trHeight w:val="300"/>
        </w:trPr>
        <w:tc>
          <w:tcPr>
            <w:tcW w:w="668" w:type="dxa"/>
            <w:vAlign w:val="center"/>
            <w:hideMark/>
          </w:tcPr>
          <w:p w14:paraId="27B56DF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w:t>
            </w:r>
          </w:p>
        </w:tc>
        <w:tc>
          <w:tcPr>
            <w:tcW w:w="3835" w:type="dxa"/>
            <w:vAlign w:val="center"/>
            <w:hideMark/>
          </w:tcPr>
          <w:p w14:paraId="7647C822" w14:textId="77777777" w:rsidR="00EA38F6" w:rsidRPr="000864AE" w:rsidRDefault="00EA38F6" w:rsidP="000864AE">
            <w:pPr>
              <w:rPr>
                <w:rFonts w:ascii="Verdana" w:hAnsi="Verdana"/>
                <w:sz w:val="18"/>
                <w:szCs w:val="18"/>
              </w:rPr>
            </w:pPr>
            <w:r w:rsidRPr="000864AE">
              <w:rPr>
                <w:rFonts w:ascii="Verdana" w:hAnsi="Verdana"/>
                <w:sz w:val="18"/>
                <w:szCs w:val="18"/>
              </w:rPr>
              <w:t>Baltodano Sinues Julio</w:t>
            </w:r>
          </w:p>
        </w:tc>
      </w:tr>
      <w:tr w:rsidR="00EA38F6" w:rsidRPr="000864AE" w14:paraId="3A582AA7" w14:textId="77777777" w:rsidTr="00AC0C51">
        <w:trPr>
          <w:trHeight w:val="300"/>
        </w:trPr>
        <w:tc>
          <w:tcPr>
            <w:tcW w:w="668" w:type="dxa"/>
            <w:vAlign w:val="center"/>
            <w:hideMark/>
          </w:tcPr>
          <w:p w14:paraId="34DE7E3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w:t>
            </w:r>
          </w:p>
        </w:tc>
        <w:tc>
          <w:tcPr>
            <w:tcW w:w="3835" w:type="dxa"/>
            <w:vAlign w:val="center"/>
            <w:hideMark/>
          </w:tcPr>
          <w:p w14:paraId="569C0427" w14:textId="77777777" w:rsidR="00EA38F6" w:rsidRPr="000864AE" w:rsidRDefault="00EA38F6" w:rsidP="000864AE">
            <w:pPr>
              <w:rPr>
                <w:rFonts w:ascii="Verdana" w:hAnsi="Verdana"/>
                <w:sz w:val="18"/>
                <w:szCs w:val="18"/>
              </w:rPr>
            </w:pPr>
            <w:r w:rsidRPr="000864AE">
              <w:rPr>
                <w:rFonts w:ascii="Verdana" w:hAnsi="Verdana"/>
                <w:sz w:val="18"/>
                <w:szCs w:val="18"/>
              </w:rPr>
              <w:t>Balvfn Limaymanta Marcos Rodolfo</w:t>
            </w:r>
          </w:p>
        </w:tc>
      </w:tr>
      <w:tr w:rsidR="00EA38F6" w:rsidRPr="000864AE" w14:paraId="0FB8F637" w14:textId="77777777" w:rsidTr="00AC0C51">
        <w:trPr>
          <w:trHeight w:val="300"/>
        </w:trPr>
        <w:tc>
          <w:tcPr>
            <w:tcW w:w="668" w:type="dxa"/>
            <w:vAlign w:val="center"/>
            <w:hideMark/>
          </w:tcPr>
          <w:p w14:paraId="6369246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w:t>
            </w:r>
          </w:p>
        </w:tc>
        <w:tc>
          <w:tcPr>
            <w:tcW w:w="3835" w:type="dxa"/>
            <w:vAlign w:val="center"/>
            <w:hideMark/>
          </w:tcPr>
          <w:p w14:paraId="53A583AA" w14:textId="77777777" w:rsidR="00EA38F6" w:rsidRPr="000864AE" w:rsidRDefault="00EA38F6" w:rsidP="000864AE">
            <w:pPr>
              <w:rPr>
                <w:rFonts w:ascii="Verdana" w:hAnsi="Verdana"/>
                <w:sz w:val="18"/>
                <w:szCs w:val="18"/>
              </w:rPr>
            </w:pPr>
            <w:r w:rsidRPr="000864AE">
              <w:rPr>
                <w:rFonts w:ascii="Verdana" w:hAnsi="Verdana"/>
                <w:sz w:val="18"/>
                <w:szCs w:val="18"/>
              </w:rPr>
              <w:t>Bances Gonzáles Nila Cristina</w:t>
            </w:r>
          </w:p>
        </w:tc>
      </w:tr>
      <w:tr w:rsidR="00EA38F6" w:rsidRPr="000864AE" w14:paraId="2360E805" w14:textId="77777777" w:rsidTr="00AC0C51">
        <w:trPr>
          <w:trHeight w:val="300"/>
        </w:trPr>
        <w:tc>
          <w:tcPr>
            <w:tcW w:w="668" w:type="dxa"/>
            <w:vAlign w:val="center"/>
            <w:hideMark/>
          </w:tcPr>
          <w:p w14:paraId="45CA4D3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w:t>
            </w:r>
          </w:p>
        </w:tc>
        <w:tc>
          <w:tcPr>
            <w:tcW w:w="3835" w:type="dxa"/>
            <w:vAlign w:val="center"/>
            <w:hideMark/>
          </w:tcPr>
          <w:p w14:paraId="7D00D10D" w14:textId="77777777" w:rsidR="00EA38F6" w:rsidRPr="000864AE" w:rsidRDefault="00EA38F6" w:rsidP="000864AE">
            <w:pPr>
              <w:rPr>
                <w:rFonts w:ascii="Verdana" w:hAnsi="Verdana"/>
                <w:sz w:val="18"/>
                <w:szCs w:val="18"/>
              </w:rPr>
            </w:pPr>
            <w:r w:rsidRPr="000864AE">
              <w:rPr>
                <w:rFonts w:ascii="Verdana" w:hAnsi="Verdana"/>
                <w:sz w:val="18"/>
                <w:szCs w:val="18"/>
              </w:rPr>
              <w:t>Barreda Quiroz Florentino Erasmo</w:t>
            </w:r>
          </w:p>
        </w:tc>
      </w:tr>
      <w:tr w:rsidR="00EA38F6" w:rsidRPr="000864AE" w14:paraId="34D20305" w14:textId="77777777" w:rsidTr="00AC0C51">
        <w:trPr>
          <w:trHeight w:val="300"/>
        </w:trPr>
        <w:tc>
          <w:tcPr>
            <w:tcW w:w="668" w:type="dxa"/>
            <w:vAlign w:val="center"/>
            <w:hideMark/>
          </w:tcPr>
          <w:p w14:paraId="57B1CAE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w:t>
            </w:r>
          </w:p>
        </w:tc>
        <w:tc>
          <w:tcPr>
            <w:tcW w:w="3835" w:type="dxa"/>
            <w:vAlign w:val="center"/>
            <w:hideMark/>
          </w:tcPr>
          <w:p w14:paraId="5AC0E304" w14:textId="77777777" w:rsidR="00EA38F6" w:rsidRPr="000864AE" w:rsidRDefault="00EA38F6" w:rsidP="000864AE">
            <w:pPr>
              <w:rPr>
                <w:rFonts w:ascii="Verdana" w:hAnsi="Verdana"/>
                <w:sz w:val="18"/>
                <w:szCs w:val="18"/>
              </w:rPr>
            </w:pPr>
            <w:r w:rsidRPr="000864AE">
              <w:rPr>
                <w:rFonts w:ascii="Verdana" w:hAnsi="Verdana"/>
                <w:sz w:val="18"/>
                <w:szCs w:val="18"/>
              </w:rPr>
              <w:t>Barrera Bedoya Augusto</w:t>
            </w:r>
          </w:p>
        </w:tc>
      </w:tr>
      <w:tr w:rsidR="00EA38F6" w:rsidRPr="000864AE" w14:paraId="3D81CA0E" w14:textId="77777777" w:rsidTr="00AC0C51">
        <w:trPr>
          <w:trHeight w:val="300"/>
        </w:trPr>
        <w:tc>
          <w:tcPr>
            <w:tcW w:w="668" w:type="dxa"/>
            <w:vAlign w:val="center"/>
            <w:hideMark/>
          </w:tcPr>
          <w:p w14:paraId="77CAA63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w:t>
            </w:r>
          </w:p>
        </w:tc>
        <w:tc>
          <w:tcPr>
            <w:tcW w:w="3835" w:type="dxa"/>
            <w:vAlign w:val="center"/>
            <w:hideMark/>
          </w:tcPr>
          <w:p w14:paraId="345860AE" w14:textId="77777777" w:rsidR="00EA38F6" w:rsidRPr="000864AE" w:rsidRDefault="00EA38F6" w:rsidP="000864AE">
            <w:pPr>
              <w:rPr>
                <w:rFonts w:ascii="Verdana" w:hAnsi="Verdana"/>
                <w:sz w:val="18"/>
                <w:szCs w:val="18"/>
              </w:rPr>
            </w:pPr>
            <w:r w:rsidRPr="000864AE">
              <w:rPr>
                <w:rFonts w:ascii="Verdana" w:hAnsi="Verdana"/>
                <w:sz w:val="18"/>
                <w:szCs w:val="18"/>
              </w:rPr>
              <w:t>Barrera Cárdenas Grimanesa</w:t>
            </w:r>
          </w:p>
        </w:tc>
      </w:tr>
      <w:tr w:rsidR="00EA38F6" w:rsidRPr="000864AE" w14:paraId="0BB2DCBF" w14:textId="77777777" w:rsidTr="00AC0C51">
        <w:trPr>
          <w:trHeight w:val="300"/>
        </w:trPr>
        <w:tc>
          <w:tcPr>
            <w:tcW w:w="668" w:type="dxa"/>
            <w:vAlign w:val="center"/>
            <w:hideMark/>
          </w:tcPr>
          <w:p w14:paraId="3731429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w:t>
            </w:r>
          </w:p>
        </w:tc>
        <w:tc>
          <w:tcPr>
            <w:tcW w:w="3835" w:type="dxa"/>
            <w:vAlign w:val="center"/>
            <w:hideMark/>
          </w:tcPr>
          <w:p w14:paraId="77D39974" w14:textId="77777777" w:rsidR="00EA38F6" w:rsidRPr="000864AE" w:rsidRDefault="00EA38F6" w:rsidP="000864AE">
            <w:pPr>
              <w:rPr>
                <w:rFonts w:ascii="Verdana" w:hAnsi="Verdana"/>
                <w:sz w:val="18"/>
                <w:szCs w:val="18"/>
              </w:rPr>
            </w:pPr>
            <w:r w:rsidRPr="000864AE">
              <w:rPr>
                <w:rFonts w:ascii="Verdana" w:hAnsi="Verdana"/>
                <w:sz w:val="18"/>
                <w:szCs w:val="18"/>
              </w:rPr>
              <w:t>Barrios Escobar Carlos Enrique</w:t>
            </w:r>
          </w:p>
        </w:tc>
      </w:tr>
      <w:tr w:rsidR="00EA38F6" w:rsidRPr="000864AE" w14:paraId="4C9D9856" w14:textId="77777777" w:rsidTr="00AC0C51">
        <w:trPr>
          <w:trHeight w:val="300"/>
        </w:trPr>
        <w:tc>
          <w:tcPr>
            <w:tcW w:w="668" w:type="dxa"/>
            <w:vAlign w:val="center"/>
            <w:hideMark/>
          </w:tcPr>
          <w:p w14:paraId="67CB4A8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w:t>
            </w:r>
          </w:p>
        </w:tc>
        <w:tc>
          <w:tcPr>
            <w:tcW w:w="3835" w:type="dxa"/>
            <w:vAlign w:val="center"/>
            <w:hideMark/>
          </w:tcPr>
          <w:p w14:paraId="7CF7E1C7" w14:textId="77777777" w:rsidR="00EA38F6" w:rsidRPr="000864AE" w:rsidRDefault="00EA38F6" w:rsidP="000864AE">
            <w:pPr>
              <w:rPr>
                <w:rFonts w:ascii="Verdana" w:hAnsi="Verdana"/>
                <w:sz w:val="18"/>
                <w:szCs w:val="18"/>
              </w:rPr>
            </w:pPr>
            <w:r w:rsidRPr="000864AE">
              <w:rPr>
                <w:rFonts w:ascii="Verdana" w:hAnsi="Verdana"/>
                <w:sz w:val="18"/>
                <w:szCs w:val="18"/>
              </w:rPr>
              <w:t>Basauri López Rita Mercedes</w:t>
            </w:r>
          </w:p>
        </w:tc>
      </w:tr>
      <w:tr w:rsidR="00EA38F6" w:rsidRPr="000864AE" w14:paraId="1A7CA2E6" w14:textId="77777777" w:rsidTr="00AC0C51">
        <w:trPr>
          <w:trHeight w:val="300"/>
        </w:trPr>
        <w:tc>
          <w:tcPr>
            <w:tcW w:w="668" w:type="dxa"/>
            <w:vAlign w:val="center"/>
            <w:hideMark/>
          </w:tcPr>
          <w:p w14:paraId="54E9FD9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w:t>
            </w:r>
          </w:p>
        </w:tc>
        <w:tc>
          <w:tcPr>
            <w:tcW w:w="3835" w:type="dxa"/>
            <w:vAlign w:val="center"/>
            <w:hideMark/>
          </w:tcPr>
          <w:p w14:paraId="2FB3A98F" w14:textId="77777777" w:rsidR="00EA38F6" w:rsidRPr="000864AE" w:rsidRDefault="00EA38F6" w:rsidP="000864AE">
            <w:pPr>
              <w:rPr>
                <w:rFonts w:ascii="Verdana" w:hAnsi="Verdana"/>
                <w:sz w:val="18"/>
                <w:szCs w:val="18"/>
              </w:rPr>
            </w:pPr>
            <w:r w:rsidRPr="000864AE">
              <w:rPr>
                <w:rFonts w:ascii="Verdana" w:hAnsi="Verdana"/>
                <w:sz w:val="18"/>
                <w:szCs w:val="18"/>
              </w:rPr>
              <w:t>Bazalar Longobardi Carlos</w:t>
            </w:r>
          </w:p>
        </w:tc>
      </w:tr>
      <w:tr w:rsidR="00EA38F6" w:rsidRPr="000864AE" w14:paraId="70BF10C7" w14:textId="77777777" w:rsidTr="00AC0C51">
        <w:trPr>
          <w:trHeight w:val="300"/>
        </w:trPr>
        <w:tc>
          <w:tcPr>
            <w:tcW w:w="668" w:type="dxa"/>
            <w:vAlign w:val="center"/>
            <w:hideMark/>
          </w:tcPr>
          <w:p w14:paraId="3A82242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w:t>
            </w:r>
          </w:p>
        </w:tc>
        <w:tc>
          <w:tcPr>
            <w:tcW w:w="3835" w:type="dxa"/>
            <w:vAlign w:val="center"/>
            <w:hideMark/>
          </w:tcPr>
          <w:p w14:paraId="2DB0BFE9" w14:textId="77777777" w:rsidR="00EA38F6" w:rsidRPr="000864AE" w:rsidRDefault="00EA38F6" w:rsidP="000864AE">
            <w:pPr>
              <w:rPr>
                <w:rFonts w:ascii="Verdana" w:hAnsi="Verdana"/>
                <w:sz w:val="18"/>
                <w:szCs w:val="18"/>
              </w:rPr>
            </w:pPr>
            <w:r w:rsidRPr="000864AE">
              <w:rPr>
                <w:rFonts w:ascii="Verdana" w:hAnsi="Verdana"/>
                <w:sz w:val="18"/>
                <w:szCs w:val="18"/>
              </w:rPr>
              <w:t>Becerra Chara José Ernesto</w:t>
            </w:r>
          </w:p>
        </w:tc>
      </w:tr>
      <w:tr w:rsidR="00EA38F6" w:rsidRPr="000864AE" w14:paraId="54A5D387" w14:textId="77777777" w:rsidTr="00AC0C51">
        <w:trPr>
          <w:trHeight w:val="300"/>
        </w:trPr>
        <w:tc>
          <w:tcPr>
            <w:tcW w:w="668" w:type="dxa"/>
            <w:vAlign w:val="center"/>
            <w:hideMark/>
          </w:tcPr>
          <w:p w14:paraId="6CF398E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w:t>
            </w:r>
          </w:p>
        </w:tc>
        <w:tc>
          <w:tcPr>
            <w:tcW w:w="3835" w:type="dxa"/>
            <w:vAlign w:val="center"/>
            <w:hideMark/>
          </w:tcPr>
          <w:p w14:paraId="583DC470" w14:textId="77777777" w:rsidR="00EA38F6" w:rsidRPr="000864AE" w:rsidRDefault="00EA38F6" w:rsidP="000864AE">
            <w:pPr>
              <w:rPr>
                <w:rFonts w:ascii="Verdana" w:hAnsi="Verdana"/>
                <w:sz w:val="18"/>
                <w:szCs w:val="18"/>
              </w:rPr>
            </w:pPr>
            <w:r w:rsidRPr="000864AE">
              <w:rPr>
                <w:rFonts w:ascii="Verdana" w:hAnsi="Verdana"/>
                <w:sz w:val="18"/>
                <w:szCs w:val="18"/>
              </w:rPr>
              <w:t>Bedoya Martínez Julia Alicia</w:t>
            </w:r>
          </w:p>
        </w:tc>
      </w:tr>
      <w:tr w:rsidR="00EA38F6" w:rsidRPr="000864AE" w14:paraId="2E5C5C34" w14:textId="77777777" w:rsidTr="00AC0C51">
        <w:trPr>
          <w:trHeight w:val="300"/>
        </w:trPr>
        <w:tc>
          <w:tcPr>
            <w:tcW w:w="668" w:type="dxa"/>
            <w:vAlign w:val="center"/>
            <w:hideMark/>
          </w:tcPr>
          <w:p w14:paraId="78B0CFE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70</w:t>
            </w:r>
          </w:p>
        </w:tc>
        <w:tc>
          <w:tcPr>
            <w:tcW w:w="3835" w:type="dxa"/>
            <w:vAlign w:val="center"/>
            <w:hideMark/>
          </w:tcPr>
          <w:p w14:paraId="32241C3F" w14:textId="77777777" w:rsidR="00EA38F6" w:rsidRPr="000864AE" w:rsidRDefault="00EA38F6" w:rsidP="000864AE">
            <w:pPr>
              <w:rPr>
                <w:rFonts w:ascii="Verdana" w:hAnsi="Verdana"/>
                <w:sz w:val="18"/>
                <w:szCs w:val="18"/>
              </w:rPr>
            </w:pPr>
            <w:r w:rsidRPr="000864AE">
              <w:rPr>
                <w:rFonts w:ascii="Verdana" w:hAnsi="Verdana"/>
                <w:sz w:val="18"/>
                <w:szCs w:val="18"/>
              </w:rPr>
              <w:t>Bejar Canaza Oscar</w:t>
            </w:r>
          </w:p>
        </w:tc>
      </w:tr>
      <w:tr w:rsidR="00EA38F6" w:rsidRPr="000864AE" w14:paraId="7E83F573" w14:textId="77777777" w:rsidTr="00AC0C51">
        <w:trPr>
          <w:trHeight w:val="300"/>
        </w:trPr>
        <w:tc>
          <w:tcPr>
            <w:tcW w:w="668" w:type="dxa"/>
            <w:vAlign w:val="center"/>
            <w:hideMark/>
          </w:tcPr>
          <w:p w14:paraId="2849FD0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71</w:t>
            </w:r>
          </w:p>
        </w:tc>
        <w:tc>
          <w:tcPr>
            <w:tcW w:w="3835" w:type="dxa"/>
            <w:vAlign w:val="center"/>
            <w:hideMark/>
          </w:tcPr>
          <w:p w14:paraId="397CA99E" w14:textId="77777777" w:rsidR="00EA38F6" w:rsidRPr="000864AE" w:rsidRDefault="00EA38F6" w:rsidP="000864AE">
            <w:pPr>
              <w:rPr>
                <w:rFonts w:ascii="Verdana" w:hAnsi="Verdana"/>
                <w:sz w:val="18"/>
                <w:szCs w:val="18"/>
              </w:rPr>
            </w:pPr>
            <w:r w:rsidRPr="000864AE">
              <w:rPr>
                <w:rFonts w:ascii="Verdana" w:hAnsi="Verdana"/>
                <w:sz w:val="18"/>
                <w:szCs w:val="18"/>
              </w:rPr>
              <w:t>Bello Zerpa Salvador</w:t>
            </w:r>
          </w:p>
        </w:tc>
      </w:tr>
      <w:tr w:rsidR="00EA38F6" w:rsidRPr="000864AE" w14:paraId="0744E99B" w14:textId="77777777" w:rsidTr="00AC0C51">
        <w:trPr>
          <w:trHeight w:val="300"/>
        </w:trPr>
        <w:tc>
          <w:tcPr>
            <w:tcW w:w="668" w:type="dxa"/>
            <w:vAlign w:val="center"/>
            <w:hideMark/>
          </w:tcPr>
          <w:p w14:paraId="276C41E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72</w:t>
            </w:r>
          </w:p>
        </w:tc>
        <w:tc>
          <w:tcPr>
            <w:tcW w:w="3835" w:type="dxa"/>
            <w:vAlign w:val="center"/>
            <w:hideMark/>
          </w:tcPr>
          <w:p w14:paraId="7F29F264" w14:textId="77777777" w:rsidR="00EA38F6" w:rsidRPr="000864AE" w:rsidRDefault="00EA38F6" w:rsidP="000864AE">
            <w:pPr>
              <w:rPr>
                <w:rFonts w:ascii="Verdana" w:hAnsi="Verdana"/>
                <w:sz w:val="18"/>
                <w:szCs w:val="18"/>
              </w:rPr>
            </w:pPr>
            <w:r w:rsidRPr="000864AE">
              <w:rPr>
                <w:rFonts w:ascii="Verdana" w:hAnsi="Verdana"/>
                <w:sz w:val="18"/>
                <w:szCs w:val="18"/>
              </w:rPr>
              <w:t>Benaducci Manrique José Francisco</w:t>
            </w:r>
          </w:p>
        </w:tc>
      </w:tr>
      <w:tr w:rsidR="00EA38F6" w:rsidRPr="000864AE" w14:paraId="37F0D4B8" w14:textId="77777777" w:rsidTr="00AC0C51">
        <w:trPr>
          <w:trHeight w:val="300"/>
        </w:trPr>
        <w:tc>
          <w:tcPr>
            <w:tcW w:w="668" w:type="dxa"/>
            <w:vAlign w:val="center"/>
            <w:hideMark/>
          </w:tcPr>
          <w:p w14:paraId="79C29B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73</w:t>
            </w:r>
          </w:p>
        </w:tc>
        <w:tc>
          <w:tcPr>
            <w:tcW w:w="3835" w:type="dxa"/>
            <w:vAlign w:val="center"/>
            <w:hideMark/>
          </w:tcPr>
          <w:p w14:paraId="39DEEB2C" w14:textId="77777777" w:rsidR="00EA38F6" w:rsidRPr="000864AE" w:rsidRDefault="00EA38F6" w:rsidP="000864AE">
            <w:pPr>
              <w:rPr>
                <w:rFonts w:ascii="Verdana" w:hAnsi="Verdana"/>
                <w:sz w:val="18"/>
                <w:szCs w:val="18"/>
              </w:rPr>
            </w:pPr>
            <w:r w:rsidRPr="000864AE">
              <w:rPr>
                <w:rFonts w:ascii="Verdana" w:hAnsi="Verdana"/>
                <w:sz w:val="18"/>
                <w:szCs w:val="18"/>
              </w:rPr>
              <w:t>Benavides Espinoza Fortunato Raúl</w:t>
            </w:r>
          </w:p>
        </w:tc>
      </w:tr>
      <w:tr w:rsidR="00EA38F6" w:rsidRPr="000864AE" w14:paraId="3E6F7244" w14:textId="77777777" w:rsidTr="00AC0C51">
        <w:trPr>
          <w:trHeight w:val="300"/>
        </w:trPr>
        <w:tc>
          <w:tcPr>
            <w:tcW w:w="668" w:type="dxa"/>
            <w:vAlign w:val="center"/>
            <w:hideMark/>
          </w:tcPr>
          <w:p w14:paraId="2D1D799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74</w:t>
            </w:r>
          </w:p>
        </w:tc>
        <w:tc>
          <w:tcPr>
            <w:tcW w:w="3835" w:type="dxa"/>
            <w:vAlign w:val="center"/>
            <w:hideMark/>
          </w:tcPr>
          <w:p w14:paraId="5ECECBDB" w14:textId="77777777" w:rsidR="00EA38F6" w:rsidRPr="000864AE" w:rsidRDefault="00EA38F6" w:rsidP="000864AE">
            <w:pPr>
              <w:rPr>
                <w:rFonts w:ascii="Verdana" w:hAnsi="Verdana"/>
                <w:sz w:val="18"/>
                <w:szCs w:val="18"/>
              </w:rPr>
            </w:pPr>
            <w:r w:rsidRPr="000864AE">
              <w:rPr>
                <w:rFonts w:ascii="Verdana" w:hAnsi="Verdana"/>
                <w:sz w:val="18"/>
                <w:szCs w:val="18"/>
              </w:rPr>
              <w:t>Bernal Bustamante José Luis</w:t>
            </w:r>
          </w:p>
        </w:tc>
      </w:tr>
      <w:tr w:rsidR="00EA38F6" w:rsidRPr="000864AE" w14:paraId="6DD8E4E1" w14:textId="77777777" w:rsidTr="00AC0C51">
        <w:trPr>
          <w:trHeight w:val="300"/>
        </w:trPr>
        <w:tc>
          <w:tcPr>
            <w:tcW w:w="668" w:type="dxa"/>
            <w:vAlign w:val="center"/>
            <w:hideMark/>
          </w:tcPr>
          <w:p w14:paraId="547F6F2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75</w:t>
            </w:r>
          </w:p>
        </w:tc>
        <w:tc>
          <w:tcPr>
            <w:tcW w:w="3835" w:type="dxa"/>
            <w:vAlign w:val="center"/>
            <w:hideMark/>
          </w:tcPr>
          <w:p w14:paraId="37D7D37B" w14:textId="77777777" w:rsidR="00EA38F6" w:rsidRPr="000864AE" w:rsidRDefault="00EA38F6" w:rsidP="000864AE">
            <w:pPr>
              <w:rPr>
                <w:rFonts w:ascii="Verdana" w:hAnsi="Verdana"/>
                <w:sz w:val="18"/>
                <w:szCs w:val="18"/>
              </w:rPr>
            </w:pPr>
            <w:r w:rsidRPr="000864AE">
              <w:rPr>
                <w:rFonts w:ascii="Verdana" w:hAnsi="Verdana"/>
                <w:sz w:val="18"/>
                <w:szCs w:val="18"/>
              </w:rPr>
              <w:t>Bernal Bustamante Juan Adriano</w:t>
            </w:r>
          </w:p>
        </w:tc>
      </w:tr>
      <w:tr w:rsidR="00EA38F6" w:rsidRPr="000864AE" w14:paraId="55A81C6C" w14:textId="77777777" w:rsidTr="00AC0C51">
        <w:trPr>
          <w:trHeight w:val="300"/>
        </w:trPr>
        <w:tc>
          <w:tcPr>
            <w:tcW w:w="668" w:type="dxa"/>
            <w:vAlign w:val="center"/>
            <w:hideMark/>
          </w:tcPr>
          <w:p w14:paraId="34D18BB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76</w:t>
            </w:r>
          </w:p>
        </w:tc>
        <w:tc>
          <w:tcPr>
            <w:tcW w:w="3835" w:type="dxa"/>
            <w:vAlign w:val="center"/>
            <w:hideMark/>
          </w:tcPr>
          <w:p w14:paraId="65E9CE9C" w14:textId="77777777" w:rsidR="00EA38F6" w:rsidRPr="000864AE" w:rsidRDefault="00EA38F6" w:rsidP="000864AE">
            <w:pPr>
              <w:rPr>
                <w:rFonts w:ascii="Verdana" w:hAnsi="Verdana"/>
                <w:sz w:val="18"/>
                <w:szCs w:val="18"/>
              </w:rPr>
            </w:pPr>
            <w:r w:rsidRPr="000864AE">
              <w:rPr>
                <w:rFonts w:ascii="Verdana" w:hAnsi="Verdana"/>
                <w:sz w:val="18"/>
                <w:szCs w:val="18"/>
              </w:rPr>
              <w:t>Bernardo Villanueva Dulia María</w:t>
            </w:r>
          </w:p>
        </w:tc>
      </w:tr>
      <w:tr w:rsidR="00EA38F6" w:rsidRPr="000864AE" w14:paraId="1BBAB667" w14:textId="77777777" w:rsidTr="00AC0C51">
        <w:trPr>
          <w:trHeight w:val="300"/>
        </w:trPr>
        <w:tc>
          <w:tcPr>
            <w:tcW w:w="668" w:type="dxa"/>
            <w:vAlign w:val="center"/>
            <w:hideMark/>
          </w:tcPr>
          <w:p w14:paraId="2D574EB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77</w:t>
            </w:r>
          </w:p>
        </w:tc>
        <w:tc>
          <w:tcPr>
            <w:tcW w:w="3835" w:type="dxa"/>
            <w:vAlign w:val="center"/>
            <w:hideMark/>
          </w:tcPr>
          <w:p w14:paraId="0972FF59" w14:textId="77777777" w:rsidR="00EA38F6" w:rsidRPr="000864AE" w:rsidRDefault="00EA38F6" w:rsidP="000864AE">
            <w:pPr>
              <w:rPr>
                <w:rFonts w:ascii="Verdana" w:hAnsi="Verdana"/>
                <w:sz w:val="18"/>
                <w:szCs w:val="18"/>
              </w:rPr>
            </w:pPr>
            <w:r w:rsidRPr="000864AE">
              <w:rPr>
                <w:rFonts w:ascii="Verdana" w:hAnsi="Verdana"/>
                <w:sz w:val="18"/>
                <w:szCs w:val="18"/>
              </w:rPr>
              <w:t>Bernuy Acosta Francisco Agelio</w:t>
            </w:r>
          </w:p>
        </w:tc>
      </w:tr>
      <w:tr w:rsidR="00EA38F6" w:rsidRPr="000864AE" w14:paraId="00996D9A" w14:textId="77777777" w:rsidTr="00AC0C51">
        <w:trPr>
          <w:trHeight w:val="300"/>
        </w:trPr>
        <w:tc>
          <w:tcPr>
            <w:tcW w:w="668" w:type="dxa"/>
            <w:vAlign w:val="center"/>
            <w:hideMark/>
          </w:tcPr>
          <w:p w14:paraId="64F4425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78</w:t>
            </w:r>
          </w:p>
        </w:tc>
        <w:tc>
          <w:tcPr>
            <w:tcW w:w="3835" w:type="dxa"/>
            <w:vAlign w:val="center"/>
            <w:hideMark/>
          </w:tcPr>
          <w:p w14:paraId="09A10069" w14:textId="77777777" w:rsidR="00EA38F6" w:rsidRPr="000864AE" w:rsidRDefault="00EA38F6" w:rsidP="000864AE">
            <w:pPr>
              <w:rPr>
                <w:rFonts w:ascii="Verdana" w:hAnsi="Verdana"/>
                <w:sz w:val="18"/>
                <w:szCs w:val="18"/>
              </w:rPr>
            </w:pPr>
            <w:r w:rsidRPr="000864AE">
              <w:rPr>
                <w:rFonts w:ascii="Verdana" w:hAnsi="Verdana"/>
                <w:sz w:val="18"/>
                <w:szCs w:val="18"/>
              </w:rPr>
              <w:t>Berrocal Barraza Nelly</w:t>
            </w:r>
          </w:p>
        </w:tc>
      </w:tr>
      <w:tr w:rsidR="00EA38F6" w:rsidRPr="000864AE" w14:paraId="536137BB" w14:textId="77777777" w:rsidTr="00AC0C51">
        <w:trPr>
          <w:trHeight w:val="300"/>
        </w:trPr>
        <w:tc>
          <w:tcPr>
            <w:tcW w:w="668" w:type="dxa"/>
            <w:vAlign w:val="center"/>
            <w:hideMark/>
          </w:tcPr>
          <w:p w14:paraId="190E5BE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79</w:t>
            </w:r>
          </w:p>
        </w:tc>
        <w:tc>
          <w:tcPr>
            <w:tcW w:w="3835" w:type="dxa"/>
            <w:vAlign w:val="center"/>
            <w:hideMark/>
          </w:tcPr>
          <w:p w14:paraId="56E968AA" w14:textId="77777777" w:rsidR="00EA38F6" w:rsidRPr="000864AE" w:rsidRDefault="00EA38F6" w:rsidP="000864AE">
            <w:pPr>
              <w:rPr>
                <w:rFonts w:ascii="Verdana" w:hAnsi="Verdana"/>
                <w:sz w:val="18"/>
                <w:szCs w:val="18"/>
              </w:rPr>
            </w:pPr>
            <w:r w:rsidRPr="000864AE">
              <w:rPr>
                <w:rFonts w:ascii="Verdana" w:hAnsi="Verdana"/>
                <w:sz w:val="18"/>
                <w:szCs w:val="18"/>
              </w:rPr>
              <w:t>Berrospi Trujillo José Santos</w:t>
            </w:r>
          </w:p>
        </w:tc>
      </w:tr>
      <w:tr w:rsidR="00EA38F6" w:rsidRPr="000864AE" w14:paraId="0D5026AD" w14:textId="77777777" w:rsidTr="00AC0C51">
        <w:trPr>
          <w:trHeight w:val="300"/>
        </w:trPr>
        <w:tc>
          <w:tcPr>
            <w:tcW w:w="668" w:type="dxa"/>
            <w:vAlign w:val="center"/>
            <w:hideMark/>
          </w:tcPr>
          <w:p w14:paraId="53A3EDB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80</w:t>
            </w:r>
          </w:p>
        </w:tc>
        <w:tc>
          <w:tcPr>
            <w:tcW w:w="3835" w:type="dxa"/>
            <w:vAlign w:val="center"/>
            <w:hideMark/>
          </w:tcPr>
          <w:p w14:paraId="52E3EEE2" w14:textId="77777777" w:rsidR="00EA38F6" w:rsidRPr="000864AE" w:rsidRDefault="00EA38F6" w:rsidP="000864AE">
            <w:pPr>
              <w:rPr>
                <w:rFonts w:ascii="Verdana" w:hAnsi="Verdana"/>
                <w:sz w:val="18"/>
                <w:szCs w:val="18"/>
              </w:rPr>
            </w:pPr>
            <w:r w:rsidRPr="000864AE">
              <w:rPr>
                <w:rFonts w:ascii="Verdana" w:hAnsi="Verdana"/>
                <w:sz w:val="18"/>
                <w:szCs w:val="18"/>
              </w:rPr>
              <w:t>Blas Navarro José Daniel</w:t>
            </w:r>
          </w:p>
        </w:tc>
      </w:tr>
      <w:tr w:rsidR="00EA38F6" w:rsidRPr="000864AE" w14:paraId="265B05A4" w14:textId="77777777" w:rsidTr="00AC0C51">
        <w:trPr>
          <w:trHeight w:val="300"/>
        </w:trPr>
        <w:tc>
          <w:tcPr>
            <w:tcW w:w="668" w:type="dxa"/>
            <w:vAlign w:val="center"/>
            <w:hideMark/>
          </w:tcPr>
          <w:p w14:paraId="56E874C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81</w:t>
            </w:r>
          </w:p>
        </w:tc>
        <w:tc>
          <w:tcPr>
            <w:tcW w:w="3835" w:type="dxa"/>
            <w:vAlign w:val="center"/>
            <w:hideMark/>
          </w:tcPr>
          <w:p w14:paraId="2ED46CB4" w14:textId="77777777" w:rsidR="00EA38F6" w:rsidRPr="000864AE" w:rsidRDefault="00EA38F6" w:rsidP="000864AE">
            <w:pPr>
              <w:rPr>
                <w:rFonts w:ascii="Verdana" w:hAnsi="Verdana"/>
                <w:sz w:val="18"/>
                <w:szCs w:val="18"/>
              </w:rPr>
            </w:pPr>
            <w:r w:rsidRPr="000864AE">
              <w:rPr>
                <w:rFonts w:ascii="Verdana" w:hAnsi="Verdana"/>
                <w:sz w:val="18"/>
                <w:szCs w:val="18"/>
              </w:rPr>
              <w:t>Bobadilla Rojas Nélida Zenaida</w:t>
            </w:r>
          </w:p>
        </w:tc>
      </w:tr>
      <w:tr w:rsidR="00EA38F6" w:rsidRPr="000864AE" w14:paraId="655385CC" w14:textId="77777777" w:rsidTr="00AC0C51">
        <w:trPr>
          <w:trHeight w:val="300"/>
        </w:trPr>
        <w:tc>
          <w:tcPr>
            <w:tcW w:w="668" w:type="dxa"/>
            <w:vAlign w:val="center"/>
            <w:hideMark/>
          </w:tcPr>
          <w:p w14:paraId="0CF42C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82</w:t>
            </w:r>
          </w:p>
        </w:tc>
        <w:tc>
          <w:tcPr>
            <w:tcW w:w="3835" w:type="dxa"/>
            <w:vAlign w:val="center"/>
            <w:hideMark/>
          </w:tcPr>
          <w:p w14:paraId="0E621F32" w14:textId="77777777" w:rsidR="00EA38F6" w:rsidRPr="000864AE" w:rsidRDefault="00EA38F6" w:rsidP="000864AE">
            <w:pPr>
              <w:rPr>
                <w:rFonts w:ascii="Verdana" w:hAnsi="Verdana"/>
                <w:sz w:val="18"/>
                <w:szCs w:val="18"/>
              </w:rPr>
            </w:pPr>
            <w:r w:rsidRPr="000864AE">
              <w:rPr>
                <w:rFonts w:ascii="Verdana" w:hAnsi="Verdana"/>
                <w:sz w:val="18"/>
                <w:szCs w:val="18"/>
              </w:rPr>
              <w:t>Bonilla Gavino Eudora</w:t>
            </w:r>
          </w:p>
        </w:tc>
      </w:tr>
      <w:tr w:rsidR="00EA38F6" w:rsidRPr="000864AE" w14:paraId="4A5E613D" w14:textId="77777777" w:rsidTr="00AC0C51">
        <w:trPr>
          <w:trHeight w:val="300"/>
        </w:trPr>
        <w:tc>
          <w:tcPr>
            <w:tcW w:w="668" w:type="dxa"/>
            <w:vAlign w:val="center"/>
            <w:hideMark/>
          </w:tcPr>
          <w:p w14:paraId="5040CBA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83</w:t>
            </w:r>
          </w:p>
        </w:tc>
        <w:tc>
          <w:tcPr>
            <w:tcW w:w="3835" w:type="dxa"/>
            <w:vAlign w:val="center"/>
            <w:hideMark/>
          </w:tcPr>
          <w:p w14:paraId="60D0EE9A" w14:textId="77777777" w:rsidR="00EA38F6" w:rsidRPr="000864AE" w:rsidRDefault="00EA38F6" w:rsidP="000864AE">
            <w:pPr>
              <w:rPr>
                <w:rFonts w:ascii="Verdana" w:hAnsi="Verdana"/>
                <w:sz w:val="18"/>
                <w:szCs w:val="18"/>
              </w:rPr>
            </w:pPr>
            <w:r w:rsidRPr="000864AE">
              <w:rPr>
                <w:rFonts w:ascii="Verdana" w:hAnsi="Verdana"/>
                <w:sz w:val="18"/>
                <w:szCs w:val="18"/>
              </w:rPr>
              <w:t>Bravo Falcón Patricio</w:t>
            </w:r>
          </w:p>
        </w:tc>
      </w:tr>
      <w:tr w:rsidR="00EA38F6" w:rsidRPr="000864AE" w14:paraId="42828FA2" w14:textId="77777777" w:rsidTr="00AC0C51">
        <w:trPr>
          <w:trHeight w:val="300"/>
        </w:trPr>
        <w:tc>
          <w:tcPr>
            <w:tcW w:w="668" w:type="dxa"/>
            <w:vAlign w:val="center"/>
            <w:hideMark/>
          </w:tcPr>
          <w:p w14:paraId="21C52C1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84</w:t>
            </w:r>
          </w:p>
        </w:tc>
        <w:tc>
          <w:tcPr>
            <w:tcW w:w="3835" w:type="dxa"/>
            <w:vAlign w:val="center"/>
            <w:hideMark/>
          </w:tcPr>
          <w:p w14:paraId="24393A69" w14:textId="77777777" w:rsidR="00EA38F6" w:rsidRPr="000864AE" w:rsidRDefault="00EA38F6" w:rsidP="000864AE">
            <w:pPr>
              <w:rPr>
                <w:rFonts w:ascii="Verdana" w:hAnsi="Verdana"/>
                <w:sz w:val="18"/>
                <w:szCs w:val="18"/>
              </w:rPr>
            </w:pPr>
            <w:r w:rsidRPr="000864AE">
              <w:rPr>
                <w:rFonts w:ascii="Verdana" w:hAnsi="Verdana"/>
                <w:sz w:val="18"/>
                <w:szCs w:val="18"/>
              </w:rPr>
              <w:t>Bravo Hermoza José Arnaldo</w:t>
            </w:r>
          </w:p>
        </w:tc>
      </w:tr>
      <w:tr w:rsidR="00EA38F6" w:rsidRPr="000864AE" w14:paraId="4AC9919F" w14:textId="77777777" w:rsidTr="00AC0C51">
        <w:trPr>
          <w:trHeight w:val="300"/>
        </w:trPr>
        <w:tc>
          <w:tcPr>
            <w:tcW w:w="668" w:type="dxa"/>
            <w:vAlign w:val="center"/>
            <w:hideMark/>
          </w:tcPr>
          <w:p w14:paraId="25CD0A4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85</w:t>
            </w:r>
          </w:p>
        </w:tc>
        <w:tc>
          <w:tcPr>
            <w:tcW w:w="3835" w:type="dxa"/>
            <w:vAlign w:val="center"/>
            <w:hideMark/>
          </w:tcPr>
          <w:p w14:paraId="460F0F45" w14:textId="77777777" w:rsidR="00EA38F6" w:rsidRPr="000864AE" w:rsidRDefault="00EA38F6" w:rsidP="000864AE">
            <w:pPr>
              <w:rPr>
                <w:rFonts w:ascii="Verdana" w:hAnsi="Verdana"/>
                <w:sz w:val="18"/>
                <w:szCs w:val="18"/>
              </w:rPr>
            </w:pPr>
            <w:r w:rsidRPr="000864AE">
              <w:rPr>
                <w:rFonts w:ascii="Verdana" w:hAnsi="Verdana"/>
                <w:sz w:val="18"/>
                <w:szCs w:val="18"/>
              </w:rPr>
              <w:t>Bringas Rodríguez Oscar Alberto</w:t>
            </w:r>
          </w:p>
        </w:tc>
      </w:tr>
      <w:tr w:rsidR="00EA38F6" w:rsidRPr="000864AE" w14:paraId="27A63DA8" w14:textId="77777777" w:rsidTr="00AC0C51">
        <w:trPr>
          <w:trHeight w:val="300"/>
        </w:trPr>
        <w:tc>
          <w:tcPr>
            <w:tcW w:w="668" w:type="dxa"/>
            <w:vAlign w:val="center"/>
            <w:hideMark/>
          </w:tcPr>
          <w:p w14:paraId="31E46C8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86</w:t>
            </w:r>
          </w:p>
        </w:tc>
        <w:tc>
          <w:tcPr>
            <w:tcW w:w="3835" w:type="dxa"/>
            <w:vAlign w:val="center"/>
            <w:hideMark/>
          </w:tcPr>
          <w:p w14:paraId="232398B6" w14:textId="77777777" w:rsidR="00EA38F6" w:rsidRPr="000864AE" w:rsidRDefault="00EA38F6" w:rsidP="000864AE">
            <w:pPr>
              <w:rPr>
                <w:rFonts w:ascii="Verdana" w:hAnsi="Verdana"/>
                <w:sz w:val="18"/>
                <w:szCs w:val="18"/>
              </w:rPr>
            </w:pPr>
            <w:r w:rsidRPr="000864AE">
              <w:rPr>
                <w:rFonts w:ascii="Verdana" w:hAnsi="Verdana"/>
                <w:sz w:val="18"/>
                <w:szCs w:val="18"/>
              </w:rPr>
              <w:t>Broncano Vega Pedro Hernán</w:t>
            </w:r>
          </w:p>
        </w:tc>
      </w:tr>
      <w:tr w:rsidR="00EA38F6" w:rsidRPr="000864AE" w14:paraId="06716438" w14:textId="77777777" w:rsidTr="00AC0C51">
        <w:trPr>
          <w:trHeight w:val="300"/>
        </w:trPr>
        <w:tc>
          <w:tcPr>
            <w:tcW w:w="668" w:type="dxa"/>
            <w:vAlign w:val="center"/>
            <w:hideMark/>
          </w:tcPr>
          <w:p w14:paraId="2F98311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87</w:t>
            </w:r>
          </w:p>
        </w:tc>
        <w:tc>
          <w:tcPr>
            <w:tcW w:w="3835" w:type="dxa"/>
            <w:vAlign w:val="center"/>
            <w:hideMark/>
          </w:tcPr>
          <w:p w14:paraId="7C9F4D9C" w14:textId="77777777" w:rsidR="00EA38F6" w:rsidRPr="000864AE" w:rsidRDefault="00EA38F6" w:rsidP="000864AE">
            <w:pPr>
              <w:rPr>
                <w:rFonts w:ascii="Verdana" w:hAnsi="Verdana"/>
                <w:sz w:val="18"/>
                <w:szCs w:val="18"/>
              </w:rPr>
            </w:pPr>
            <w:r w:rsidRPr="000864AE">
              <w:rPr>
                <w:rFonts w:ascii="Verdana" w:hAnsi="Verdana"/>
                <w:sz w:val="18"/>
                <w:szCs w:val="18"/>
              </w:rPr>
              <w:t>Bueno Bedregal Adrián Emigdio</w:t>
            </w:r>
          </w:p>
        </w:tc>
      </w:tr>
      <w:tr w:rsidR="00EA38F6" w:rsidRPr="000864AE" w14:paraId="4DA4A2D9" w14:textId="77777777" w:rsidTr="00AC0C51">
        <w:trPr>
          <w:trHeight w:val="300"/>
        </w:trPr>
        <w:tc>
          <w:tcPr>
            <w:tcW w:w="668" w:type="dxa"/>
            <w:vAlign w:val="center"/>
            <w:hideMark/>
          </w:tcPr>
          <w:p w14:paraId="471E664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88</w:t>
            </w:r>
          </w:p>
        </w:tc>
        <w:tc>
          <w:tcPr>
            <w:tcW w:w="3835" w:type="dxa"/>
            <w:vAlign w:val="center"/>
            <w:hideMark/>
          </w:tcPr>
          <w:p w14:paraId="74467287" w14:textId="77777777" w:rsidR="00EA38F6" w:rsidRPr="000864AE" w:rsidRDefault="00EA38F6" w:rsidP="000864AE">
            <w:pPr>
              <w:rPr>
                <w:rFonts w:ascii="Verdana" w:hAnsi="Verdana"/>
                <w:sz w:val="18"/>
                <w:szCs w:val="18"/>
              </w:rPr>
            </w:pPr>
            <w:r w:rsidRPr="000864AE">
              <w:rPr>
                <w:rFonts w:ascii="Verdana" w:hAnsi="Verdana"/>
                <w:sz w:val="18"/>
                <w:szCs w:val="18"/>
              </w:rPr>
              <w:t>Bustamante Fernández Ramón René</w:t>
            </w:r>
          </w:p>
        </w:tc>
      </w:tr>
      <w:tr w:rsidR="00EA38F6" w:rsidRPr="000864AE" w14:paraId="2727113C" w14:textId="77777777" w:rsidTr="00AC0C51">
        <w:trPr>
          <w:trHeight w:val="300"/>
        </w:trPr>
        <w:tc>
          <w:tcPr>
            <w:tcW w:w="668" w:type="dxa"/>
            <w:vAlign w:val="center"/>
            <w:hideMark/>
          </w:tcPr>
          <w:p w14:paraId="400837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89</w:t>
            </w:r>
          </w:p>
        </w:tc>
        <w:tc>
          <w:tcPr>
            <w:tcW w:w="3835" w:type="dxa"/>
            <w:vAlign w:val="center"/>
            <w:hideMark/>
          </w:tcPr>
          <w:p w14:paraId="165071B6" w14:textId="77777777" w:rsidR="00EA38F6" w:rsidRPr="000864AE" w:rsidRDefault="00EA38F6" w:rsidP="000864AE">
            <w:pPr>
              <w:rPr>
                <w:rFonts w:ascii="Verdana" w:hAnsi="Verdana"/>
                <w:sz w:val="18"/>
                <w:szCs w:val="18"/>
              </w:rPr>
            </w:pPr>
            <w:r w:rsidRPr="000864AE">
              <w:rPr>
                <w:rFonts w:ascii="Verdana" w:hAnsi="Verdana"/>
                <w:sz w:val="18"/>
                <w:szCs w:val="18"/>
              </w:rPr>
              <w:t>Cabrera Landeo María Consuelo</w:t>
            </w:r>
          </w:p>
        </w:tc>
      </w:tr>
      <w:tr w:rsidR="00EA38F6" w:rsidRPr="000864AE" w14:paraId="7AB3995C" w14:textId="77777777" w:rsidTr="00AC0C51">
        <w:trPr>
          <w:trHeight w:val="300"/>
        </w:trPr>
        <w:tc>
          <w:tcPr>
            <w:tcW w:w="668" w:type="dxa"/>
            <w:vAlign w:val="center"/>
            <w:hideMark/>
          </w:tcPr>
          <w:p w14:paraId="20CCF48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90</w:t>
            </w:r>
          </w:p>
        </w:tc>
        <w:tc>
          <w:tcPr>
            <w:tcW w:w="3835" w:type="dxa"/>
            <w:vAlign w:val="center"/>
            <w:hideMark/>
          </w:tcPr>
          <w:p w14:paraId="71CDAEB0" w14:textId="77777777" w:rsidR="00EA38F6" w:rsidRPr="000864AE" w:rsidRDefault="00EA38F6" w:rsidP="000864AE">
            <w:pPr>
              <w:rPr>
                <w:rFonts w:ascii="Verdana" w:hAnsi="Verdana"/>
                <w:sz w:val="18"/>
                <w:szCs w:val="18"/>
              </w:rPr>
            </w:pPr>
            <w:r w:rsidRPr="000864AE">
              <w:rPr>
                <w:rFonts w:ascii="Verdana" w:hAnsi="Verdana"/>
                <w:sz w:val="18"/>
                <w:szCs w:val="18"/>
              </w:rPr>
              <w:t>Cáceres Peláez Sonia Eva</w:t>
            </w:r>
          </w:p>
        </w:tc>
      </w:tr>
      <w:tr w:rsidR="00EA38F6" w:rsidRPr="000864AE" w14:paraId="630876AC" w14:textId="77777777" w:rsidTr="00AC0C51">
        <w:trPr>
          <w:trHeight w:val="300"/>
        </w:trPr>
        <w:tc>
          <w:tcPr>
            <w:tcW w:w="668" w:type="dxa"/>
            <w:vAlign w:val="center"/>
            <w:hideMark/>
          </w:tcPr>
          <w:p w14:paraId="570F4F5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91</w:t>
            </w:r>
          </w:p>
        </w:tc>
        <w:tc>
          <w:tcPr>
            <w:tcW w:w="3835" w:type="dxa"/>
            <w:vAlign w:val="center"/>
            <w:hideMark/>
          </w:tcPr>
          <w:p w14:paraId="01638C42" w14:textId="77777777" w:rsidR="00EA38F6" w:rsidRPr="000864AE" w:rsidRDefault="00EA38F6" w:rsidP="000864AE">
            <w:pPr>
              <w:rPr>
                <w:rFonts w:ascii="Verdana" w:hAnsi="Verdana"/>
                <w:sz w:val="18"/>
                <w:szCs w:val="18"/>
              </w:rPr>
            </w:pPr>
            <w:r w:rsidRPr="000864AE">
              <w:rPr>
                <w:rFonts w:ascii="Verdana" w:hAnsi="Verdana"/>
                <w:sz w:val="18"/>
                <w:szCs w:val="18"/>
              </w:rPr>
              <w:t>Cáceres Salazar Rosa Elvira</w:t>
            </w:r>
          </w:p>
        </w:tc>
      </w:tr>
      <w:tr w:rsidR="00EA38F6" w:rsidRPr="000864AE" w14:paraId="07AF61CD" w14:textId="77777777" w:rsidTr="00AC0C51">
        <w:trPr>
          <w:trHeight w:val="300"/>
        </w:trPr>
        <w:tc>
          <w:tcPr>
            <w:tcW w:w="668" w:type="dxa"/>
            <w:vAlign w:val="center"/>
            <w:hideMark/>
          </w:tcPr>
          <w:p w14:paraId="56BD954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92</w:t>
            </w:r>
          </w:p>
        </w:tc>
        <w:tc>
          <w:tcPr>
            <w:tcW w:w="3835" w:type="dxa"/>
            <w:vAlign w:val="center"/>
            <w:hideMark/>
          </w:tcPr>
          <w:p w14:paraId="4213ABB7" w14:textId="77777777" w:rsidR="00EA38F6" w:rsidRPr="000864AE" w:rsidRDefault="00EA38F6" w:rsidP="000864AE">
            <w:pPr>
              <w:rPr>
                <w:rFonts w:ascii="Verdana" w:hAnsi="Verdana"/>
                <w:sz w:val="18"/>
                <w:szCs w:val="18"/>
              </w:rPr>
            </w:pPr>
            <w:r w:rsidRPr="000864AE">
              <w:rPr>
                <w:rFonts w:ascii="Verdana" w:hAnsi="Verdana"/>
                <w:sz w:val="18"/>
                <w:szCs w:val="18"/>
              </w:rPr>
              <w:t>Calderón Matta Luisa Amelia</w:t>
            </w:r>
          </w:p>
        </w:tc>
      </w:tr>
      <w:tr w:rsidR="00EA38F6" w:rsidRPr="000864AE" w14:paraId="43558CD2" w14:textId="77777777" w:rsidTr="00AC0C51">
        <w:trPr>
          <w:trHeight w:val="300"/>
        </w:trPr>
        <w:tc>
          <w:tcPr>
            <w:tcW w:w="668" w:type="dxa"/>
            <w:vAlign w:val="center"/>
            <w:hideMark/>
          </w:tcPr>
          <w:p w14:paraId="6E47B28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93</w:t>
            </w:r>
          </w:p>
        </w:tc>
        <w:tc>
          <w:tcPr>
            <w:tcW w:w="3835" w:type="dxa"/>
            <w:vAlign w:val="center"/>
            <w:hideMark/>
          </w:tcPr>
          <w:p w14:paraId="4F993365" w14:textId="77777777" w:rsidR="00EA38F6" w:rsidRPr="000864AE" w:rsidRDefault="00EA38F6" w:rsidP="000864AE">
            <w:pPr>
              <w:rPr>
                <w:rFonts w:ascii="Verdana" w:hAnsi="Verdana"/>
                <w:sz w:val="18"/>
                <w:szCs w:val="18"/>
              </w:rPr>
            </w:pPr>
            <w:r w:rsidRPr="000864AE">
              <w:rPr>
                <w:rFonts w:ascii="Verdana" w:hAnsi="Verdana"/>
                <w:sz w:val="18"/>
                <w:szCs w:val="18"/>
              </w:rPr>
              <w:t>Camino Williams María Carlota</w:t>
            </w:r>
          </w:p>
        </w:tc>
      </w:tr>
      <w:tr w:rsidR="00EA38F6" w:rsidRPr="000864AE" w14:paraId="57A9E666" w14:textId="77777777" w:rsidTr="00AC0C51">
        <w:trPr>
          <w:trHeight w:val="300"/>
        </w:trPr>
        <w:tc>
          <w:tcPr>
            <w:tcW w:w="668" w:type="dxa"/>
            <w:vAlign w:val="center"/>
            <w:hideMark/>
          </w:tcPr>
          <w:p w14:paraId="44083A0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94</w:t>
            </w:r>
          </w:p>
        </w:tc>
        <w:tc>
          <w:tcPr>
            <w:tcW w:w="3835" w:type="dxa"/>
            <w:vAlign w:val="center"/>
            <w:hideMark/>
          </w:tcPr>
          <w:p w14:paraId="0AA7851A" w14:textId="77777777" w:rsidR="00EA38F6" w:rsidRPr="000864AE" w:rsidRDefault="00EA38F6" w:rsidP="000864AE">
            <w:pPr>
              <w:rPr>
                <w:rFonts w:ascii="Verdana" w:hAnsi="Verdana"/>
                <w:sz w:val="18"/>
                <w:szCs w:val="18"/>
              </w:rPr>
            </w:pPr>
            <w:r w:rsidRPr="000864AE">
              <w:rPr>
                <w:rFonts w:ascii="Verdana" w:hAnsi="Verdana"/>
                <w:sz w:val="18"/>
                <w:szCs w:val="18"/>
              </w:rPr>
              <w:t>Campos Serpa Oscar</w:t>
            </w:r>
          </w:p>
        </w:tc>
      </w:tr>
      <w:tr w:rsidR="00EA38F6" w:rsidRPr="000864AE" w14:paraId="0DC073AF" w14:textId="77777777" w:rsidTr="00AC0C51">
        <w:trPr>
          <w:trHeight w:val="300"/>
        </w:trPr>
        <w:tc>
          <w:tcPr>
            <w:tcW w:w="668" w:type="dxa"/>
            <w:vAlign w:val="center"/>
            <w:hideMark/>
          </w:tcPr>
          <w:p w14:paraId="2BF8BA7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95</w:t>
            </w:r>
          </w:p>
        </w:tc>
        <w:tc>
          <w:tcPr>
            <w:tcW w:w="3835" w:type="dxa"/>
            <w:vAlign w:val="center"/>
            <w:hideMark/>
          </w:tcPr>
          <w:p w14:paraId="00170250" w14:textId="77777777" w:rsidR="00EA38F6" w:rsidRPr="000864AE" w:rsidRDefault="00EA38F6" w:rsidP="000864AE">
            <w:pPr>
              <w:rPr>
                <w:rFonts w:ascii="Verdana" w:hAnsi="Verdana"/>
                <w:sz w:val="18"/>
                <w:szCs w:val="18"/>
              </w:rPr>
            </w:pPr>
            <w:r w:rsidRPr="000864AE">
              <w:rPr>
                <w:rFonts w:ascii="Verdana" w:hAnsi="Verdana"/>
                <w:sz w:val="18"/>
                <w:szCs w:val="18"/>
              </w:rPr>
              <w:t>Campos Tapia Aníbal</w:t>
            </w:r>
          </w:p>
        </w:tc>
      </w:tr>
      <w:tr w:rsidR="00EA38F6" w:rsidRPr="000864AE" w14:paraId="4A533972" w14:textId="77777777" w:rsidTr="00AC0C51">
        <w:trPr>
          <w:trHeight w:val="300"/>
        </w:trPr>
        <w:tc>
          <w:tcPr>
            <w:tcW w:w="668" w:type="dxa"/>
            <w:vAlign w:val="center"/>
            <w:hideMark/>
          </w:tcPr>
          <w:p w14:paraId="2B22B20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96</w:t>
            </w:r>
          </w:p>
        </w:tc>
        <w:tc>
          <w:tcPr>
            <w:tcW w:w="3835" w:type="dxa"/>
            <w:vAlign w:val="center"/>
            <w:hideMark/>
          </w:tcPr>
          <w:p w14:paraId="6D14998A" w14:textId="77777777" w:rsidR="00EA38F6" w:rsidRPr="000864AE" w:rsidRDefault="00EA38F6" w:rsidP="000864AE">
            <w:pPr>
              <w:rPr>
                <w:rFonts w:ascii="Verdana" w:hAnsi="Verdana"/>
                <w:sz w:val="18"/>
                <w:szCs w:val="18"/>
              </w:rPr>
            </w:pPr>
            <w:r w:rsidRPr="000864AE">
              <w:rPr>
                <w:rFonts w:ascii="Verdana" w:hAnsi="Verdana"/>
                <w:sz w:val="18"/>
                <w:szCs w:val="18"/>
              </w:rPr>
              <w:t>Canales Daños Rosa Mercedes</w:t>
            </w:r>
          </w:p>
        </w:tc>
      </w:tr>
      <w:tr w:rsidR="00EA38F6" w:rsidRPr="000864AE" w14:paraId="1937CB8F" w14:textId="77777777" w:rsidTr="00AC0C51">
        <w:trPr>
          <w:trHeight w:val="300"/>
        </w:trPr>
        <w:tc>
          <w:tcPr>
            <w:tcW w:w="668" w:type="dxa"/>
            <w:vAlign w:val="center"/>
            <w:hideMark/>
          </w:tcPr>
          <w:p w14:paraId="75CF9D0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97</w:t>
            </w:r>
          </w:p>
        </w:tc>
        <w:tc>
          <w:tcPr>
            <w:tcW w:w="3835" w:type="dxa"/>
            <w:vAlign w:val="center"/>
            <w:hideMark/>
          </w:tcPr>
          <w:p w14:paraId="38C92FB4" w14:textId="77777777" w:rsidR="00EA38F6" w:rsidRPr="000864AE" w:rsidRDefault="00EA38F6" w:rsidP="000864AE">
            <w:pPr>
              <w:rPr>
                <w:rFonts w:ascii="Verdana" w:hAnsi="Verdana"/>
                <w:sz w:val="18"/>
                <w:szCs w:val="18"/>
              </w:rPr>
            </w:pPr>
            <w:r w:rsidRPr="000864AE">
              <w:rPr>
                <w:rFonts w:ascii="Verdana" w:hAnsi="Verdana"/>
                <w:sz w:val="18"/>
                <w:szCs w:val="18"/>
              </w:rPr>
              <w:t>Canchaya Camacho Margarita</w:t>
            </w:r>
          </w:p>
        </w:tc>
      </w:tr>
      <w:tr w:rsidR="00EA38F6" w:rsidRPr="000864AE" w14:paraId="70A44A91" w14:textId="77777777" w:rsidTr="00AC0C51">
        <w:trPr>
          <w:trHeight w:val="300"/>
        </w:trPr>
        <w:tc>
          <w:tcPr>
            <w:tcW w:w="668" w:type="dxa"/>
            <w:vAlign w:val="center"/>
            <w:hideMark/>
          </w:tcPr>
          <w:p w14:paraId="0C88E52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98</w:t>
            </w:r>
          </w:p>
        </w:tc>
        <w:tc>
          <w:tcPr>
            <w:tcW w:w="3835" w:type="dxa"/>
            <w:vAlign w:val="center"/>
            <w:hideMark/>
          </w:tcPr>
          <w:p w14:paraId="7ACB9F1E" w14:textId="77777777" w:rsidR="00EA38F6" w:rsidRPr="000864AE" w:rsidRDefault="00EA38F6" w:rsidP="000864AE">
            <w:pPr>
              <w:rPr>
                <w:rFonts w:ascii="Verdana" w:hAnsi="Verdana"/>
                <w:sz w:val="18"/>
                <w:szCs w:val="18"/>
              </w:rPr>
            </w:pPr>
            <w:r w:rsidRPr="000864AE">
              <w:rPr>
                <w:rFonts w:ascii="Verdana" w:hAnsi="Verdana"/>
                <w:sz w:val="18"/>
                <w:szCs w:val="18"/>
              </w:rPr>
              <w:t>Canchaya Camacho Virgilio Raúl</w:t>
            </w:r>
          </w:p>
        </w:tc>
      </w:tr>
      <w:tr w:rsidR="00EA38F6" w:rsidRPr="000864AE" w14:paraId="05271CE5" w14:textId="77777777" w:rsidTr="00AC0C51">
        <w:trPr>
          <w:trHeight w:val="300"/>
        </w:trPr>
        <w:tc>
          <w:tcPr>
            <w:tcW w:w="668" w:type="dxa"/>
            <w:vAlign w:val="center"/>
            <w:hideMark/>
          </w:tcPr>
          <w:p w14:paraId="69CD828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99</w:t>
            </w:r>
          </w:p>
        </w:tc>
        <w:tc>
          <w:tcPr>
            <w:tcW w:w="3835" w:type="dxa"/>
            <w:vAlign w:val="center"/>
            <w:hideMark/>
          </w:tcPr>
          <w:p w14:paraId="0C146303" w14:textId="77777777" w:rsidR="00EA38F6" w:rsidRPr="000864AE" w:rsidRDefault="00EA38F6" w:rsidP="000864AE">
            <w:pPr>
              <w:rPr>
                <w:rFonts w:ascii="Verdana" w:hAnsi="Verdana"/>
                <w:sz w:val="18"/>
                <w:szCs w:val="18"/>
              </w:rPr>
            </w:pPr>
            <w:r w:rsidRPr="000864AE">
              <w:rPr>
                <w:rFonts w:ascii="Verdana" w:hAnsi="Verdana"/>
                <w:sz w:val="18"/>
                <w:szCs w:val="18"/>
              </w:rPr>
              <w:t>Candela Lévano Luisa Aurora</w:t>
            </w:r>
          </w:p>
        </w:tc>
      </w:tr>
      <w:tr w:rsidR="00EA38F6" w:rsidRPr="000864AE" w14:paraId="0BDE459C" w14:textId="77777777" w:rsidTr="00AC0C51">
        <w:trPr>
          <w:trHeight w:val="300"/>
        </w:trPr>
        <w:tc>
          <w:tcPr>
            <w:tcW w:w="668" w:type="dxa"/>
            <w:vAlign w:val="center"/>
            <w:hideMark/>
          </w:tcPr>
          <w:p w14:paraId="488C368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100</w:t>
            </w:r>
          </w:p>
        </w:tc>
        <w:tc>
          <w:tcPr>
            <w:tcW w:w="3835" w:type="dxa"/>
            <w:vAlign w:val="center"/>
            <w:hideMark/>
          </w:tcPr>
          <w:p w14:paraId="461417B5" w14:textId="77777777" w:rsidR="00EA38F6" w:rsidRPr="000864AE" w:rsidRDefault="00EA38F6" w:rsidP="000864AE">
            <w:pPr>
              <w:rPr>
                <w:rFonts w:ascii="Verdana" w:hAnsi="Verdana"/>
                <w:sz w:val="18"/>
                <w:szCs w:val="18"/>
              </w:rPr>
            </w:pPr>
            <w:r w:rsidRPr="000864AE">
              <w:rPr>
                <w:rFonts w:ascii="Verdana" w:hAnsi="Verdana"/>
                <w:sz w:val="18"/>
                <w:szCs w:val="18"/>
              </w:rPr>
              <w:t>Candela Lévano Víctor Alfredo</w:t>
            </w:r>
          </w:p>
        </w:tc>
      </w:tr>
      <w:tr w:rsidR="00EA38F6" w:rsidRPr="000864AE" w14:paraId="0944FA05" w14:textId="77777777" w:rsidTr="00AC0C51">
        <w:trPr>
          <w:trHeight w:val="300"/>
        </w:trPr>
        <w:tc>
          <w:tcPr>
            <w:tcW w:w="668" w:type="dxa"/>
            <w:vAlign w:val="center"/>
            <w:hideMark/>
          </w:tcPr>
          <w:p w14:paraId="692136C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101</w:t>
            </w:r>
          </w:p>
        </w:tc>
        <w:tc>
          <w:tcPr>
            <w:tcW w:w="3835" w:type="dxa"/>
            <w:vAlign w:val="center"/>
            <w:hideMark/>
          </w:tcPr>
          <w:p w14:paraId="3A3E7616" w14:textId="77777777" w:rsidR="00EA38F6" w:rsidRPr="000864AE" w:rsidRDefault="00EA38F6" w:rsidP="000864AE">
            <w:pPr>
              <w:rPr>
                <w:rFonts w:ascii="Verdana" w:hAnsi="Verdana"/>
                <w:sz w:val="18"/>
                <w:szCs w:val="18"/>
              </w:rPr>
            </w:pPr>
            <w:r w:rsidRPr="000864AE">
              <w:rPr>
                <w:rFonts w:ascii="Verdana" w:hAnsi="Verdana"/>
                <w:sz w:val="18"/>
                <w:szCs w:val="18"/>
              </w:rPr>
              <w:t>Capuñay Martínez Carlos</w:t>
            </w:r>
          </w:p>
        </w:tc>
      </w:tr>
      <w:tr w:rsidR="00EA38F6" w:rsidRPr="000864AE" w14:paraId="6406AC32" w14:textId="77777777" w:rsidTr="00AC0C51">
        <w:trPr>
          <w:trHeight w:val="300"/>
        </w:trPr>
        <w:tc>
          <w:tcPr>
            <w:tcW w:w="668" w:type="dxa"/>
            <w:vAlign w:val="center"/>
            <w:hideMark/>
          </w:tcPr>
          <w:p w14:paraId="363844F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102</w:t>
            </w:r>
          </w:p>
        </w:tc>
        <w:tc>
          <w:tcPr>
            <w:tcW w:w="3835" w:type="dxa"/>
            <w:vAlign w:val="center"/>
            <w:hideMark/>
          </w:tcPr>
          <w:p w14:paraId="27BBA070" w14:textId="77777777" w:rsidR="00EA38F6" w:rsidRPr="000864AE" w:rsidRDefault="00EA38F6" w:rsidP="000864AE">
            <w:pPr>
              <w:rPr>
                <w:rFonts w:ascii="Verdana" w:hAnsi="Verdana"/>
                <w:sz w:val="18"/>
                <w:szCs w:val="18"/>
              </w:rPr>
            </w:pPr>
            <w:r w:rsidRPr="000864AE">
              <w:rPr>
                <w:rFonts w:ascii="Verdana" w:hAnsi="Verdana"/>
                <w:sz w:val="18"/>
                <w:szCs w:val="18"/>
              </w:rPr>
              <w:t>Carmona Raez Cesar Teodoro</w:t>
            </w:r>
          </w:p>
        </w:tc>
      </w:tr>
      <w:tr w:rsidR="00EA38F6" w:rsidRPr="000864AE" w14:paraId="64B823E3" w14:textId="77777777" w:rsidTr="00AC0C51">
        <w:trPr>
          <w:trHeight w:val="300"/>
        </w:trPr>
        <w:tc>
          <w:tcPr>
            <w:tcW w:w="668" w:type="dxa"/>
            <w:vAlign w:val="center"/>
            <w:hideMark/>
          </w:tcPr>
          <w:p w14:paraId="6F08ED4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103</w:t>
            </w:r>
          </w:p>
        </w:tc>
        <w:tc>
          <w:tcPr>
            <w:tcW w:w="3835" w:type="dxa"/>
            <w:vAlign w:val="center"/>
            <w:hideMark/>
          </w:tcPr>
          <w:p w14:paraId="4482B074" w14:textId="77777777" w:rsidR="00EA38F6" w:rsidRPr="000864AE" w:rsidRDefault="00EA38F6" w:rsidP="000864AE">
            <w:pPr>
              <w:rPr>
                <w:rFonts w:ascii="Verdana" w:hAnsi="Verdana"/>
                <w:sz w:val="18"/>
                <w:szCs w:val="18"/>
              </w:rPr>
            </w:pPr>
            <w:r w:rsidRPr="000864AE">
              <w:rPr>
                <w:rFonts w:ascii="Verdana" w:hAnsi="Verdana"/>
                <w:sz w:val="18"/>
                <w:szCs w:val="18"/>
              </w:rPr>
              <w:t>Carpio Chicoma Ketty María</w:t>
            </w:r>
          </w:p>
        </w:tc>
      </w:tr>
      <w:tr w:rsidR="00EA38F6" w:rsidRPr="000864AE" w14:paraId="4FD1599A" w14:textId="77777777" w:rsidTr="00AC0C51">
        <w:trPr>
          <w:trHeight w:val="300"/>
        </w:trPr>
        <w:tc>
          <w:tcPr>
            <w:tcW w:w="668" w:type="dxa"/>
            <w:vAlign w:val="center"/>
            <w:hideMark/>
          </w:tcPr>
          <w:p w14:paraId="07459BD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104</w:t>
            </w:r>
          </w:p>
        </w:tc>
        <w:tc>
          <w:tcPr>
            <w:tcW w:w="3835" w:type="dxa"/>
            <w:vAlign w:val="center"/>
            <w:hideMark/>
          </w:tcPr>
          <w:p w14:paraId="1477B7C2" w14:textId="77777777" w:rsidR="00EA38F6" w:rsidRPr="000864AE" w:rsidRDefault="00EA38F6" w:rsidP="000864AE">
            <w:pPr>
              <w:rPr>
                <w:rFonts w:ascii="Verdana" w:hAnsi="Verdana"/>
                <w:sz w:val="18"/>
                <w:szCs w:val="18"/>
              </w:rPr>
            </w:pPr>
            <w:r w:rsidRPr="000864AE">
              <w:rPr>
                <w:rFonts w:ascii="Verdana" w:hAnsi="Verdana"/>
                <w:sz w:val="18"/>
                <w:szCs w:val="18"/>
              </w:rPr>
              <w:t>Carranza Alfaro Constantino Percy</w:t>
            </w:r>
          </w:p>
        </w:tc>
      </w:tr>
      <w:tr w:rsidR="00EA38F6" w:rsidRPr="000864AE" w14:paraId="16313314" w14:textId="77777777" w:rsidTr="00AC0C51">
        <w:trPr>
          <w:trHeight w:val="300"/>
        </w:trPr>
        <w:tc>
          <w:tcPr>
            <w:tcW w:w="668" w:type="dxa"/>
            <w:vAlign w:val="center"/>
            <w:hideMark/>
          </w:tcPr>
          <w:p w14:paraId="2D6757C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105</w:t>
            </w:r>
          </w:p>
        </w:tc>
        <w:tc>
          <w:tcPr>
            <w:tcW w:w="3835" w:type="dxa"/>
            <w:vAlign w:val="center"/>
            <w:hideMark/>
          </w:tcPr>
          <w:p w14:paraId="709EC67A" w14:textId="77777777" w:rsidR="00EA38F6" w:rsidRPr="000864AE" w:rsidRDefault="00EA38F6" w:rsidP="000864AE">
            <w:pPr>
              <w:rPr>
                <w:rFonts w:ascii="Verdana" w:hAnsi="Verdana"/>
                <w:sz w:val="18"/>
                <w:szCs w:val="18"/>
              </w:rPr>
            </w:pPr>
            <w:r w:rsidRPr="000864AE">
              <w:rPr>
                <w:rFonts w:ascii="Verdana" w:hAnsi="Verdana"/>
                <w:sz w:val="18"/>
                <w:szCs w:val="18"/>
              </w:rPr>
              <w:t>Carranza Alfaro Magno Alejandro</w:t>
            </w:r>
          </w:p>
        </w:tc>
      </w:tr>
      <w:tr w:rsidR="00EA38F6" w:rsidRPr="000864AE" w14:paraId="46BDFCC8" w14:textId="77777777" w:rsidTr="00AC0C51">
        <w:trPr>
          <w:trHeight w:val="300"/>
        </w:trPr>
        <w:tc>
          <w:tcPr>
            <w:tcW w:w="668" w:type="dxa"/>
            <w:vAlign w:val="center"/>
            <w:hideMark/>
          </w:tcPr>
          <w:p w14:paraId="78814A5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106</w:t>
            </w:r>
          </w:p>
        </w:tc>
        <w:tc>
          <w:tcPr>
            <w:tcW w:w="3835" w:type="dxa"/>
            <w:vAlign w:val="center"/>
            <w:hideMark/>
          </w:tcPr>
          <w:p w14:paraId="130F22FD" w14:textId="77777777" w:rsidR="00EA38F6" w:rsidRPr="000864AE" w:rsidRDefault="00EA38F6" w:rsidP="000864AE">
            <w:pPr>
              <w:rPr>
                <w:rFonts w:ascii="Verdana" w:hAnsi="Verdana"/>
                <w:sz w:val="18"/>
                <w:szCs w:val="18"/>
              </w:rPr>
            </w:pPr>
            <w:r w:rsidRPr="000864AE">
              <w:rPr>
                <w:rFonts w:ascii="Verdana" w:hAnsi="Verdana"/>
                <w:sz w:val="18"/>
                <w:szCs w:val="18"/>
              </w:rPr>
              <w:t>Carranza Martínez Victoria Estela</w:t>
            </w:r>
          </w:p>
        </w:tc>
      </w:tr>
      <w:tr w:rsidR="00EA38F6" w:rsidRPr="000864AE" w14:paraId="1937F723" w14:textId="77777777" w:rsidTr="00AC0C51">
        <w:trPr>
          <w:trHeight w:val="300"/>
        </w:trPr>
        <w:tc>
          <w:tcPr>
            <w:tcW w:w="668" w:type="dxa"/>
            <w:vAlign w:val="center"/>
            <w:hideMark/>
          </w:tcPr>
          <w:p w14:paraId="0197595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107</w:t>
            </w:r>
          </w:p>
        </w:tc>
        <w:tc>
          <w:tcPr>
            <w:tcW w:w="3835" w:type="dxa"/>
            <w:vAlign w:val="center"/>
            <w:hideMark/>
          </w:tcPr>
          <w:p w14:paraId="264AA8BC" w14:textId="77777777" w:rsidR="00EA38F6" w:rsidRPr="000864AE" w:rsidRDefault="00EA38F6" w:rsidP="000864AE">
            <w:pPr>
              <w:rPr>
                <w:rFonts w:ascii="Verdana" w:hAnsi="Verdana"/>
                <w:sz w:val="18"/>
                <w:szCs w:val="18"/>
              </w:rPr>
            </w:pPr>
            <w:r w:rsidRPr="000864AE">
              <w:rPr>
                <w:rFonts w:ascii="Verdana" w:hAnsi="Verdana"/>
                <w:sz w:val="18"/>
                <w:szCs w:val="18"/>
              </w:rPr>
              <w:t>Carranza Ulloa Javier Roberto</w:t>
            </w:r>
          </w:p>
        </w:tc>
      </w:tr>
      <w:tr w:rsidR="00EA38F6" w:rsidRPr="000864AE" w14:paraId="14DE2A41" w14:textId="77777777" w:rsidTr="00AC0C51">
        <w:trPr>
          <w:trHeight w:val="300"/>
        </w:trPr>
        <w:tc>
          <w:tcPr>
            <w:tcW w:w="668" w:type="dxa"/>
            <w:vAlign w:val="center"/>
            <w:hideMark/>
          </w:tcPr>
          <w:p w14:paraId="1310B99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108</w:t>
            </w:r>
          </w:p>
        </w:tc>
        <w:tc>
          <w:tcPr>
            <w:tcW w:w="3835" w:type="dxa"/>
            <w:vAlign w:val="center"/>
            <w:hideMark/>
          </w:tcPr>
          <w:p w14:paraId="03ACBD13" w14:textId="77777777" w:rsidR="00EA38F6" w:rsidRPr="000864AE" w:rsidRDefault="00EA38F6" w:rsidP="000864AE">
            <w:pPr>
              <w:rPr>
                <w:rFonts w:ascii="Verdana" w:hAnsi="Verdana"/>
                <w:sz w:val="18"/>
                <w:szCs w:val="18"/>
              </w:rPr>
            </w:pPr>
            <w:r w:rsidRPr="000864AE">
              <w:rPr>
                <w:rFonts w:ascii="Verdana" w:hAnsi="Verdana"/>
                <w:sz w:val="18"/>
                <w:szCs w:val="18"/>
              </w:rPr>
              <w:t>Carrasco Ferrel Eloy</w:t>
            </w:r>
          </w:p>
        </w:tc>
      </w:tr>
      <w:tr w:rsidR="00EA38F6" w:rsidRPr="000864AE" w14:paraId="39668862" w14:textId="77777777" w:rsidTr="00AC0C51">
        <w:trPr>
          <w:trHeight w:val="300"/>
        </w:trPr>
        <w:tc>
          <w:tcPr>
            <w:tcW w:w="668" w:type="dxa"/>
            <w:vAlign w:val="center"/>
            <w:hideMark/>
          </w:tcPr>
          <w:p w14:paraId="2A07BF1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109</w:t>
            </w:r>
          </w:p>
        </w:tc>
        <w:tc>
          <w:tcPr>
            <w:tcW w:w="3835" w:type="dxa"/>
            <w:vAlign w:val="center"/>
            <w:hideMark/>
          </w:tcPr>
          <w:p w14:paraId="063BA646" w14:textId="77777777" w:rsidR="00EA38F6" w:rsidRPr="000864AE" w:rsidRDefault="00EA38F6" w:rsidP="000864AE">
            <w:pPr>
              <w:rPr>
                <w:rFonts w:ascii="Verdana" w:hAnsi="Verdana"/>
                <w:sz w:val="18"/>
                <w:szCs w:val="18"/>
              </w:rPr>
            </w:pPr>
            <w:r w:rsidRPr="000864AE">
              <w:rPr>
                <w:rFonts w:ascii="Verdana" w:hAnsi="Verdana"/>
                <w:sz w:val="18"/>
                <w:szCs w:val="18"/>
              </w:rPr>
              <w:t>Carrasco Orosco Jamblico Vicente</w:t>
            </w:r>
          </w:p>
        </w:tc>
      </w:tr>
      <w:tr w:rsidR="00EA38F6" w:rsidRPr="000864AE" w14:paraId="62C207B7" w14:textId="77777777" w:rsidTr="00AC0C51">
        <w:trPr>
          <w:trHeight w:val="300"/>
        </w:trPr>
        <w:tc>
          <w:tcPr>
            <w:tcW w:w="668" w:type="dxa"/>
            <w:vAlign w:val="center"/>
            <w:hideMark/>
          </w:tcPr>
          <w:p w14:paraId="2D8AFB9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110</w:t>
            </w:r>
          </w:p>
        </w:tc>
        <w:tc>
          <w:tcPr>
            <w:tcW w:w="3835" w:type="dxa"/>
            <w:vAlign w:val="center"/>
            <w:hideMark/>
          </w:tcPr>
          <w:p w14:paraId="47E2CC3C" w14:textId="77777777" w:rsidR="00EA38F6" w:rsidRPr="000864AE" w:rsidRDefault="00EA38F6" w:rsidP="000864AE">
            <w:pPr>
              <w:rPr>
                <w:rFonts w:ascii="Verdana" w:hAnsi="Verdana"/>
                <w:sz w:val="18"/>
                <w:szCs w:val="18"/>
              </w:rPr>
            </w:pPr>
            <w:r w:rsidRPr="000864AE">
              <w:rPr>
                <w:rFonts w:ascii="Verdana" w:hAnsi="Verdana"/>
                <w:sz w:val="18"/>
                <w:szCs w:val="18"/>
              </w:rPr>
              <w:t>Carreño Llanos Judith Yolanda</w:t>
            </w:r>
          </w:p>
        </w:tc>
      </w:tr>
      <w:tr w:rsidR="00EA38F6" w:rsidRPr="000864AE" w14:paraId="318B4C20" w14:textId="77777777" w:rsidTr="00AC0C51">
        <w:trPr>
          <w:trHeight w:val="300"/>
        </w:trPr>
        <w:tc>
          <w:tcPr>
            <w:tcW w:w="668" w:type="dxa"/>
            <w:vAlign w:val="center"/>
            <w:hideMark/>
          </w:tcPr>
          <w:p w14:paraId="48AEE33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111</w:t>
            </w:r>
          </w:p>
        </w:tc>
        <w:tc>
          <w:tcPr>
            <w:tcW w:w="3835" w:type="dxa"/>
            <w:vAlign w:val="center"/>
            <w:hideMark/>
          </w:tcPr>
          <w:p w14:paraId="7850098D" w14:textId="77777777" w:rsidR="00EA38F6" w:rsidRPr="000864AE" w:rsidRDefault="00EA38F6" w:rsidP="000864AE">
            <w:pPr>
              <w:rPr>
                <w:rFonts w:ascii="Verdana" w:hAnsi="Verdana"/>
                <w:sz w:val="18"/>
                <w:szCs w:val="18"/>
              </w:rPr>
            </w:pPr>
            <w:r w:rsidRPr="000864AE">
              <w:rPr>
                <w:rFonts w:ascii="Verdana" w:hAnsi="Verdana"/>
                <w:sz w:val="18"/>
                <w:szCs w:val="18"/>
              </w:rPr>
              <w:t>Carreño Llanos Luisa Elizabeth</w:t>
            </w:r>
          </w:p>
        </w:tc>
      </w:tr>
      <w:tr w:rsidR="00EA38F6" w:rsidRPr="000864AE" w14:paraId="38206C8F" w14:textId="77777777" w:rsidTr="00AC0C51">
        <w:trPr>
          <w:trHeight w:val="300"/>
        </w:trPr>
        <w:tc>
          <w:tcPr>
            <w:tcW w:w="668" w:type="dxa"/>
            <w:vAlign w:val="center"/>
            <w:hideMark/>
          </w:tcPr>
          <w:p w14:paraId="47F442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112</w:t>
            </w:r>
          </w:p>
        </w:tc>
        <w:tc>
          <w:tcPr>
            <w:tcW w:w="3835" w:type="dxa"/>
            <w:vAlign w:val="center"/>
            <w:hideMark/>
          </w:tcPr>
          <w:p w14:paraId="00AE41D6" w14:textId="77777777" w:rsidR="00EA38F6" w:rsidRPr="000864AE" w:rsidRDefault="00EA38F6" w:rsidP="000864AE">
            <w:pPr>
              <w:rPr>
                <w:rFonts w:ascii="Verdana" w:hAnsi="Verdana"/>
                <w:sz w:val="18"/>
                <w:szCs w:val="18"/>
              </w:rPr>
            </w:pPr>
            <w:r w:rsidRPr="000864AE">
              <w:rPr>
                <w:rFonts w:ascii="Verdana" w:hAnsi="Verdana"/>
                <w:sz w:val="18"/>
                <w:szCs w:val="18"/>
              </w:rPr>
              <w:t>Carreño Mosquera José Carmen</w:t>
            </w:r>
          </w:p>
        </w:tc>
      </w:tr>
      <w:tr w:rsidR="00EA38F6" w:rsidRPr="000864AE" w14:paraId="188DEEE4" w14:textId="77777777" w:rsidTr="00AC0C51">
        <w:trPr>
          <w:trHeight w:val="300"/>
        </w:trPr>
        <w:tc>
          <w:tcPr>
            <w:tcW w:w="668" w:type="dxa"/>
            <w:vAlign w:val="center"/>
            <w:hideMark/>
          </w:tcPr>
          <w:p w14:paraId="4EF17E2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113</w:t>
            </w:r>
          </w:p>
        </w:tc>
        <w:tc>
          <w:tcPr>
            <w:tcW w:w="3835" w:type="dxa"/>
            <w:vAlign w:val="center"/>
            <w:hideMark/>
          </w:tcPr>
          <w:p w14:paraId="21822338" w14:textId="77777777" w:rsidR="00EA38F6" w:rsidRPr="000864AE" w:rsidRDefault="00EA38F6" w:rsidP="000864AE">
            <w:pPr>
              <w:rPr>
                <w:rFonts w:ascii="Verdana" w:hAnsi="Verdana"/>
                <w:sz w:val="18"/>
                <w:szCs w:val="18"/>
              </w:rPr>
            </w:pPr>
            <w:r w:rsidRPr="000864AE">
              <w:rPr>
                <w:rFonts w:ascii="Verdana" w:hAnsi="Verdana"/>
                <w:sz w:val="18"/>
                <w:szCs w:val="18"/>
              </w:rPr>
              <w:t>Carrera Sandoval Meisse Helvecia</w:t>
            </w:r>
          </w:p>
        </w:tc>
      </w:tr>
      <w:tr w:rsidR="00EA38F6" w:rsidRPr="000864AE" w14:paraId="6D326C7C" w14:textId="77777777" w:rsidTr="00AC0C51">
        <w:trPr>
          <w:trHeight w:val="300"/>
        </w:trPr>
        <w:tc>
          <w:tcPr>
            <w:tcW w:w="668" w:type="dxa"/>
            <w:vAlign w:val="center"/>
            <w:hideMark/>
          </w:tcPr>
          <w:p w14:paraId="1812689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114</w:t>
            </w:r>
          </w:p>
        </w:tc>
        <w:tc>
          <w:tcPr>
            <w:tcW w:w="3835" w:type="dxa"/>
            <w:vAlign w:val="center"/>
            <w:hideMark/>
          </w:tcPr>
          <w:p w14:paraId="154402F7" w14:textId="77777777" w:rsidR="00EA38F6" w:rsidRPr="000864AE" w:rsidRDefault="00EA38F6" w:rsidP="000864AE">
            <w:pPr>
              <w:rPr>
                <w:rFonts w:ascii="Verdana" w:hAnsi="Verdana"/>
                <w:sz w:val="18"/>
                <w:szCs w:val="18"/>
              </w:rPr>
            </w:pPr>
            <w:r w:rsidRPr="000864AE">
              <w:rPr>
                <w:rFonts w:ascii="Verdana" w:hAnsi="Verdana"/>
                <w:sz w:val="18"/>
                <w:szCs w:val="18"/>
              </w:rPr>
              <w:t>Carrillo Granda Sara Cleofe</w:t>
            </w:r>
          </w:p>
        </w:tc>
      </w:tr>
      <w:tr w:rsidR="00EA38F6" w:rsidRPr="000864AE" w14:paraId="5B84FCBB" w14:textId="77777777" w:rsidTr="00AC0C51">
        <w:trPr>
          <w:trHeight w:val="300"/>
        </w:trPr>
        <w:tc>
          <w:tcPr>
            <w:tcW w:w="668" w:type="dxa"/>
            <w:vAlign w:val="center"/>
            <w:hideMark/>
          </w:tcPr>
          <w:p w14:paraId="4278B81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115</w:t>
            </w:r>
          </w:p>
        </w:tc>
        <w:tc>
          <w:tcPr>
            <w:tcW w:w="3835" w:type="dxa"/>
            <w:vAlign w:val="center"/>
            <w:hideMark/>
          </w:tcPr>
          <w:p w14:paraId="2C3A8174" w14:textId="77777777" w:rsidR="00EA38F6" w:rsidRPr="000864AE" w:rsidRDefault="00EA38F6" w:rsidP="000864AE">
            <w:pPr>
              <w:rPr>
                <w:rFonts w:ascii="Verdana" w:hAnsi="Verdana"/>
                <w:sz w:val="18"/>
                <w:szCs w:val="18"/>
              </w:rPr>
            </w:pPr>
            <w:r w:rsidRPr="000864AE">
              <w:rPr>
                <w:rFonts w:ascii="Verdana" w:hAnsi="Verdana"/>
                <w:sz w:val="18"/>
                <w:szCs w:val="18"/>
              </w:rPr>
              <w:t>Casas Sandoval Emilio Leonardo</w:t>
            </w:r>
          </w:p>
        </w:tc>
      </w:tr>
      <w:tr w:rsidR="00EA38F6" w:rsidRPr="000864AE" w14:paraId="1AC9B410" w14:textId="77777777" w:rsidTr="00AC0C51">
        <w:trPr>
          <w:trHeight w:val="300"/>
        </w:trPr>
        <w:tc>
          <w:tcPr>
            <w:tcW w:w="668" w:type="dxa"/>
            <w:vAlign w:val="center"/>
            <w:hideMark/>
          </w:tcPr>
          <w:p w14:paraId="17E0779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116</w:t>
            </w:r>
          </w:p>
        </w:tc>
        <w:tc>
          <w:tcPr>
            <w:tcW w:w="3835" w:type="dxa"/>
            <w:vAlign w:val="center"/>
            <w:hideMark/>
          </w:tcPr>
          <w:p w14:paraId="1959882C" w14:textId="77777777" w:rsidR="00EA38F6" w:rsidRPr="000864AE" w:rsidRDefault="00EA38F6" w:rsidP="000864AE">
            <w:pPr>
              <w:rPr>
                <w:rFonts w:ascii="Verdana" w:hAnsi="Verdana"/>
                <w:sz w:val="18"/>
                <w:szCs w:val="18"/>
              </w:rPr>
            </w:pPr>
            <w:r w:rsidRPr="000864AE">
              <w:rPr>
                <w:rFonts w:ascii="Verdana" w:hAnsi="Verdana"/>
                <w:sz w:val="18"/>
                <w:szCs w:val="18"/>
              </w:rPr>
              <w:t>Cassana Bazán Mercedes Irma</w:t>
            </w:r>
          </w:p>
        </w:tc>
      </w:tr>
      <w:tr w:rsidR="00EA38F6" w:rsidRPr="000864AE" w14:paraId="7CF66E86" w14:textId="77777777" w:rsidTr="00AC0C51">
        <w:trPr>
          <w:trHeight w:val="300"/>
        </w:trPr>
        <w:tc>
          <w:tcPr>
            <w:tcW w:w="668" w:type="dxa"/>
            <w:vAlign w:val="center"/>
            <w:hideMark/>
          </w:tcPr>
          <w:p w14:paraId="470D868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117</w:t>
            </w:r>
          </w:p>
        </w:tc>
        <w:tc>
          <w:tcPr>
            <w:tcW w:w="3835" w:type="dxa"/>
            <w:vAlign w:val="center"/>
            <w:hideMark/>
          </w:tcPr>
          <w:p w14:paraId="6CEDE1A5" w14:textId="77777777" w:rsidR="00EA38F6" w:rsidRPr="000864AE" w:rsidRDefault="00EA38F6" w:rsidP="000864AE">
            <w:pPr>
              <w:rPr>
                <w:rFonts w:ascii="Verdana" w:hAnsi="Verdana"/>
                <w:sz w:val="18"/>
                <w:szCs w:val="18"/>
              </w:rPr>
            </w:pPr>
            <w:r w:rsidRPr="000864AE">
              <w:rPr>
                <w:rFonts w:ascii="Verdana" w:hAnsi="Verdana"/>
                <w:sz w:val="18"/>
                <w:szCs w:val="18"/>
              </w:rPr>
              <w:t>Castillo Deza Bertha Cecilia</w:t>
            </w:r>
          </w:p>
        </w:tc>
      </w:tr>
      <w:tr w:rsidR="00EA38F6" w:rsidRPr="000864AE" w14:paraId="484C4FE0" w14:textId="77777777" w:rsidTr="00AC0C51">
        <w:trPr>
          <w:trHeight w:val="300"/>
        </w:trPr>
        <w:tc>
          <w:tcPr>
            <w:tcW w:w="668" w:type="dxa"/>
            <w:vAlign w:val="center"/>
            <w:hideMark/>
          </w:tcPr>
          <w:p w14:paraId="14FB06F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118</w:t>
            </w:r>
          </w:p>
        </w:tc>
        <w:tc>
          <w:tcPr>
            <w:tcW w:w="3835" w:type="dxa"/>
            <w:vAlign w:val="center"/>
            <w:hideMark/>
          </w:tcPr>
          <w:p w14:paraId="7D47D892" w14:textId="77777777" w:rsidR="00EA38F6" w:rsidRPr="000864AE" w:rsidRDefault="00EA38F6" w:rsidP="000864AE">
            <w:pPr>
              <w:rPr>
                <w:rFonts w:ascii="Verdana" w:hAnsi="Verdana"/>
                <w:sz w:val="18"/>
                <w:szCs w:val="18"/>
              </w:rPr>
            </w:pPr>
            <w:r w:rsidRPr="000864AE">
              <w:rPr>
                <w:rFonts w:ascii="Verdana" w:hAnsi="Verdana"/>
                <w:sz w:val="18"/>
                <w:szCs w:val="18"/>
              </w:rPr>
              <w:t>Castillo Sánchez Julia Manuela</w:t>
            </w:r>
          </w:p>
        </w:tc>
      </w:tr>
      <w:tr w:rsidR="00EA38F6" w:rsidRPr="000864AE" w14:paraId="1BC71440" w14:textId="77777777" w:rsidTr="00AC0C51">
        <w:trPr>
          <w:trHeight w:val="300"/>
        </w:trPr>
        <w:tc>
          <w:tcPr>
            <w:tcW w:w="668" w:type="dxa"/>
            <w:vAlign w:val="center"/>
            <w:hideMark/>
          </w:tcPr>
          <w:p w14:paraId="32A1218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119</w:t>
            </w:r>
          </w:p>
        </w:tc>
        <w:tc>
          <w:tcPr>
            <w:tcW w:w="3835" w:type="dxa"/>
            <w:vAlign w:val="center"/>
            <w:hideMark/>
          </w:tcPr>
          <w:p w14:paraId="6A8F6FF6" w14:textId="77777777" w:rsidR="00EA38F6" w:rsidRPr="000864AE" w:rsidRDefault="00EA38F6" w:rsidP="000864AE">
            <w:pPr>
              <w:rPr>
                <w:rFonts w:ascii="Verdana" w:hAnsi="Verdana"/>
                <w:sz w:val="18"/>
                <w:szCs w:val="18"/>
              </w:rPr>
            </w:pPr>
            <w:r w:rsidRPr="000864AE">
              <w:rPr>
                <w:rFonts w:ascii="Verdana" w:hAnsi="Verdana"/>
                <w:sz w:val="18"/>
                <w:szCs w:val="18"/>
              </w:rPr>
              <w:t>Castro Bernales María Rosalinda</w:t>
            </w:r>
          </w:p>
        </w:tc>
      </w:tr>
      <w:tr w:rsidR="00EA38F6" w:rsidRPr="000864AE" w14:paraId="00AAD1CF" w14:textId="77777777" w:rsidTr="00AC0C51">
        <w:trPr>
          <w:trHeight w:val="300"/>
        </w:trPr>
        <w:tc>
          <w:tcPr>
            <w:tcW w:w="668" w:type="dxa"/>
            <w:vAlign w:val="center"/>
            <w:hideMark/>
          </w:tcPr>
          <w:p w14:paraId="3F60939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120</w:t>
            </w:r>
          </w:p>
        </w:tc>
        <w:tc>
          <w:tcPr>
            <w:tcW w:w="3835" w:type="dxa"/>
            <w:vAlign w:val="center"/>
            <w:hideMark/>
          </w:tcPr>
          <w:p w14:paraId="770B1ED5" w14:textId="77777777" w:rsidR="00EA38F6" w:rsidRPr="000864AE" w:rsidRDefault="00EA38F6" w:rsidP="000864AE">
            <w:pPr>
              <w:rPr>
                <w:rFonts w:ascii="Verdana" w:hAnsi="Verdana"/>
                <w:sz w:val="18"/>
                <w:szCs w:val="18"/>
              </w:rPr>
            </w:pPr>
            <w:r w:rsidRPr="000864AE">
              <w:rPr>
                <w:rFonts w:ascii="Verdana" w:hAnsi="Verdana"/>
                <w:sz w:val="18"/>
                <w:szCs w:val="18"/>
              </w:rPr>
              <w:t>Castro Buendía Fortunato Félix</w:t>
            </w:r>
          </w:p>
        </w:tc>
      </w:tr>
      <w:tr w:rsidR="00EA38F6" w:rsidRPr="000864AE" w14:paraId="6D808B66" w14:textId="77777777" w:rsidTr="00AC0C51">
        <w:trPr>
          <w:trHeight w:val="300"/>
        </w:trPr>
        <w:tc>
          <w:tcPr>
            <w:tcW w:w="668" w:type="dxa"/>
            <w:vAlign w:val="center"/>
            <w:hideMark/>
          </w:tcPr>
          <w:p w14:paraId="343FB29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121</w:t>
            </w:r>
          </w:p>
        </w:tc>
        <w:tc>
          <w:tcPr>
            <w:tcW w:w="3835" w:type="dxa"/>
            <w:vAlign w:val="center"/>
            <w:hideMark/>
          </w:tcPr>
          <w:p w14:paraId="0AB21948" w14:textId="77777777" w:rsidR="00EA38F6" w:rsidRPr="000864AE" w:rsidRDefault="00EA38F6" w:rsidP="000864AE">
            <w:pPr>
              <w:rPr>
                <w:rFonts w:ascii="Verdana" w:hAnsi="Verdana"/>
                <w:sz w:val="18"/>
                <w:szCs w:val="18"/>
              </w:rPr>
            </w:pPr>
            <w:r w:rsidRPr="000864AE">
              <w:rPr>
                <w:rFonts w:ascii="Verdana" w:hAnsi="Verdana"/>
                <w:sz w:val="18"/>
                <w:szCs w:val="18"/>
              </w:rPr>
              <w:t>Castro Cárdenas Hugo Heraclio</w:t>
            </w:r>
          </w:p>
        </w:tc>
      </w:tr>
      <w:tr w:rsidR="00EA38F6" w:rsidRPr="000864AE" w14:paraId="6181DD35" w14:textId="77777777" w:rsidTr="00AC0C51">
        <w:trPr>
          <w:trHeight w:val="300"/>
        </w:trPr>
        <w:tc>
          <w:tcPr>
            <w:tcW w:w="668" w:type="dxa"/>
            <w:vAlign w:val="center"/>
            <w:hideMark/>
          </w:tcPr>
          <w:p w14:paraId="7770BF0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122</w:t>
            </w:r>
          </w:p>
        </w:tc>
        <w:tc>
          <w:tcPr>
            <w:tcW w:w="3835" w:type="dxa"/>
            <w:vAlign w:val="center"/>
            <w:hideMark/>
          </w:tcPr>
          <w:p w14:paraId="3B5C5DA9" w14:textId="77777777" w:rsidR="00EA38F6" w:rsidRPr="000864AE" w:rsidRDefault="00EA38F6" w:rsidP="000864AE">
            <w:pPr>
              <w:rPr>
                <w:rFonts w:ascii="Verdana" w:hAnsi="Verdana"/>
                <w:sz w:val="18"/>
                <w:szCs w:val="18"/>
              </w:rPr>
            </w:pPr>
            <w:r w:rsidRPr="000864AE">
              <w:rPr>
                <w:rFonts w:ascii="Verdana" w:hAnsi="Verdana"/>
                <w:sz w:val="18"/>
                <w:szCs w:val="18"/>
              </w:rPr>
              <w:t>Castro Robles Zoila Rosa</w:t>
            </w:r>
          </w:p>
        </w:tc>
      </w:tr>
      <w:tr w:rsidR="00EA38F6" w:rsidRPr="000864AE" w14:paraId="3BF9470C" w14:textId="77777777" w:rsidTr="00AC0C51">
        <w:trPr>
          <w:trHeight w:val="300"/>
        </w:trPr>
        <w:tc>
          <w:tcPr>
            <w:tcW w:w="668" w:type="dxa"/>
            <w:vAlign w:val="center"/>
            <w:hideMark/>
          </w:tcPr>
          <w:p w14:paraId="4E1018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123</w:t>
            </w:r>
          </w:p>
        </w:tc>
        <w:tc>
          <w:tcPr>
            <w:tcW w:w="3835" w:type="dxa"/>
            <w:vAlign w:val="center"/>
            <w:hideMark/>
          </w:tcPr>
          <w:p w14:paraId="5A8F0680" w14:textId="77777777" w:rsidR="00EA38F6" w:rsidRPr="000864AE" w:rsidRDefault="00EA38F6" w:rsidP="000864AE">
            <w:pPr>
              <w:rPr>
                <w:rFonts w:ascii="Verdana" w:hAnsi="Verdana"/>
                <w:sz w:val="18"/>
                <w:szCs w:val="18"/>
              </w:rPr>
            </w:pPr>
            <w:r w:rsidRPr="000864AE">
              <w:rPr>
                <w:rFonts w:ascii="Verdana" w:hAnsi="Verdana"/>
                <w:sz w:val="18"/>
                <w:szCs w:val="18"/>
              </w:rPr>
              <w:t>Castro Vidal María Isabel</w:t>
            </w:r>
          </w:p>
        </w:tc>
      </w:tr>
      <w:tr w:rsidR="00EA38F6" w:rsidRPr="000864AE" w14:paraId="71AE2083" w14:textId="77777777" w:rsidTr="00AC0C51">
        <w:trPr>
          <w:trHeight w:val="300"/>
        </w:trPr>
        <w:tc>
          <w:tcPr>
            <w:tcW w:w="668" w:type="dxa"/>
            <w:vAlign w:val="center"/>
            <w:hideMark/>
          </w:tcPr>
          <w:p w14:paraId="65277C7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124</w:t>
            </w:r>
          </w:p>
        </w:tc>
        <w:tc>
          <w:tcPr>
            <w:tcW w:w="3835" w:type="dxa"/>
            <w:vAlign w:val="center"/>
            <w:hideMark/>
          </w:tcPr>
          <w:p w14:paraId="36DDAFCD" w14:textId="77777777" w:rsidR="00EA38F6" w:rsidRPr="000864AE" w:rsidRDefault="00EA38F6" w:rsidP="000864AE">
            <w:pPr>
              <w:rPr>
                <w:rFonts w:ascii="Verdana" w:hAnsi="Verdana"/>
                <w:sz w:val="18"/>
                <w:szCs w:val="18"/>
              </w:rPr>
            </w:pPr>
            <w:r w:rsidRPr="000864AE">
              <w:rPr>
                <w:rFonts w:ascii="Verdana" w:hAnsi="Verdana"/>
                <w:sz w:val="18"/>
                <w:szCs w:val="18"/>
              </w:rPr>
              <w:t>Castro Villalobos Santiago Neptalí</w:t>
            </w:r>
          </w:p>
        </w:tc>
      </w:tr>
      <w:tr w:rsidR="00EA38F6" w:rsidRPr="000864AE" w14:paraId="499C28ED" w14:textId="77777777" w:rsidTr="00AC0C51">
        <w:trPr>
          <w:trHeight w:val="300"/>
        </w:trPr>
        <w:tc>
          <w:tcPr>
            <w:tcW w:w="668" w:type="dxa"/>
            <w:vAlign w:val="center"/>
            <w:hideMark/>
          </w:tcPr>
          <w:p w14:paraId="4022480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125</w:t>
            </w:r>
          </w:p>
        </w:tc>
        <w:tc>
          <w:tcPr>
            <w:tcW w:w="3835" w:type="dxa"/>
            <w:vAlign w:val="center"/>
            <w:hideMark/>
          </w:tcPr>
          <w:p w14:paraId="7E316FD5" w14:textId="77777777" w:rsidR="00EA38F6" w:rsidRPr="000864AE" w:rsidRDefault="00EA38F6" w:rsidP="000864AE">
            <w:pPr>
              <w:rPr>
                <w:rFonts w:ascii="Verdana" w:hAnsi="Verdana"/>
                <w:sz w:val="18"/>
                <w:szCs w:val="18"/>
              </w:rPr>
            </w:pPr>
            <w:r w:rsidRPr="000864AE">
              <w:rPr>
                <w:rFonts w:ascii="Verdana" w:hAnsi="Verdana"/>
                <w:sz w:val="18"/>
                <w:szCs w:val="18"/>
              </w:rPr>
              <w:t>Castromonte Ramírez Artidoro</w:t>
            </w:r>
          </w:p>
        </w:tc>
      </w:tr>
      <w:tr w:rsidR="00EA38F6" w:rsidRPr="000864AE" w14:paraId="0B5425B2" w14:textId="77777777" w:rsidTr="00AC0C51">
        <w:trPr>
          <w:trHeight w:val="300"/>
        </w:trPr>
        <w:tc>
          <w:tcPr>
            <w:tcW w:w="668" w:type="dxa"/>
            <w:vAlign w:val="center"/>
            <w:hideMark/>
          </w:tcPr>
          <w:p w14:paraId="06DAF15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126</w:t>
            </w:r>
          </w:p>
        </w:tc>
        <w:tc>
          <w:tcPr>
            <w:tcW w:w="3835" w:type="dxa"/>
            <w:vAlign w:val="center"/>
            <w:hideMark/>
          </w:tcPr>
          <w:p w14:paraId="1868E634" w14:textId="77777777" w:rsidR="00EA38F6" w:rsidRPr="000864AE" w:rsidRDefault="00EA38F6" w:rsidP="000864AE">
            <w:pPr>
              <w:rPr>
                <w:rFonts w:ascii="Verdana" w:hAnsi="Verdana"/>
                <w:sz w:val="18"/>
                <w:szCs w:val="18"/>
              </w:rPr>
            </w:pPr>
            <w:r w:rsidRPr="000864AE">
              <w:rPr>
                <w:rFonts w:ascii="Verdana" w:hAnsi="Verdana"/>
                <w:sz w:val="18"/>
                <w:szCs w:val="18"/>
              </w:rPr>
              <w:t>Cavero Ramos Gilberto Víctor</w:t>
            </w:r>
          </w:p>
        </w:tc>
      </w:tr>
      <w:tr w:rsidR="00EA38F6" w:rsidRPr="000864AE" w14:paraId="2CB6CDF9" w14:textId="77777777" w:rsidTr="00AC0C51">
        <w:trPr>
          <w:trHeight w:val="300"/>
        </w:trPr>
        <w:tc>
          <w:tcPr>
            <w:tcW w:w="668" w:type="dxa"/>
            <w:vAlign w:val="center"/>
            <w:hideMark/>
          </w:tcPr>
          <w:p w14:paraId="3636D81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127</w:t>
            </w:r>
          </w:p>
        </w:tc>
        <w:tc>
          <w:tcPr>
            <w:tcW w:w="3835" w:type="dxa"/>
            <w:vAlign w:val="center"/>
            <w:hideMark/>
          </w:tcPr>
          <w:p w14:paraId="710D77B8" w14:textId="77777777" w:rsidR="00EA38F6" w:rsidRPr="000864AE" w:rsidRDefault="00EA38F6" w:rsidP="000864AE">
            <w:pPr>
              <w:rPr>
                <w:rFonts w:ascii="Verdana" w:hAnsi="Verdana"/>
                <w:sz w:val="18"/>
                <w:szCs w:val="18"/>
              </w:rPr>
            </w:pPr>
            <w:r w:rsidRPr="000864AE">
              <w:rPr>
                <w:rFonts w:ascii="Verdana" w:hAnsi="Verdana"/>
                <w:sz w:val="18"/>
                <w:szCs w:val="18"/>
              </w:rPr>
              <w:t>Ccalla Huañahui Antonio</w:t>
            </w:r>
          </w:p>
        </w:tc>
      </w:tr>
      <w:tr w:rsidR="00EA38F6" w:rsidRPr="000864AE" w14:paraId="43DD2590" w14:textId="77777777" w:rsidTr="00AC0C51">
        <w:trPr>
          <w:trHeight w:val="300"/>
        </w:trPr>
        <w:tc>
          <w:tcPr>
            <w:tcW w:w="668" w:type="dxa"/>
            <w:vAlign w:val="center"/>
            <w:hideMark/>
          </w:tcPr>
          <w:p w14:paraId="7C08944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128</w:t>
            </w:r>
          </w:p>
        </w:tc>
        <w:tc>
          <w:tcPr>
            <w:tcW w:w="3835" w:type="dxa"/>
            <w:vAlign w:val="center"/>
            <w:hideMark/>
          </w:tcPr>
          <w:p w14:paraId="702E8625" w14:textId="77777777" w:rsidR="00EA38F6" w:rsidRPr="000864AE" w:rsidRDefault="00EA38F6" w:rsidP="000864AE">
            <w:pPr>
              <w:rPr>
                <w:rFonts w:ascii="Verdana" w:hAnsi="Verdana"/>
                <w:sz w:val="18"/>
                <w:szCs w:val="18"/>
              </w:rPr>
            </w:pPr>
            <w:r w:rsidRPr="000864AE">
              <w:rPr>
                <w:rFonts w:ascii="Verdana" w:hAnsi="Verdana"/>
                <w:sz w:val="18"/>
                <w:szCs w:val="18"/>
              </w:rPr>
              <w:t>Centeno Zavala Eva Marina</w:t>
            </w:r>
          </w:p>
        </w:tc>
      </w:tr>
      <w:tr w:rsidR="00EA38F6" w:rsidRPr="000864AE" w14:paraId="37E9B75F" w14:textId="77777777" w:rsidTr="00AC0C51">
        <w:trPr>
          <w:trHeight w:val="300"/>
        </w:trPr>
        <w:tc>
          <w:tcPr>
            <w:tcW w:w="668" w:type="dxa"/>
            <w:vAlign w:val="center"/>
            <w:hideMark/>
          </w:tcPr>
          <w:p w14:paraId="15F6E35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129</w:t>
            </w:r>
          </w:p>
        </w:tc>
        <w:tc>
          <w:tcPr>
            <w:tcW w:w="3835" w:type="dxa"/>
            <w:vAlign w:val="center"/>
            <w:hideMark/>
          </w:tcPr>
          <w:p w14:paraId="3B7CA599" w14:textId="77777777" w:rsidR="00EA38F6" w:rsidRPr="000864AE" w:rsidRDefault="00EA38F6" w:rsidP="000864AE">
            <w:pPr>
              <w:rPr>
                <w:rFonts w:ascii="Verdana" w:hAnsi="Verdana"/>
                <w:sz w:val="18"/>
                <w:szCs w:val="18"/>
              </w:rPr>
            </w:pPr>
            <w:r w:rsidRPr="000864AE">
              <w:rPr>
                <w:rFonts w:ascii="Verdana" w:hAnsi="Verdana"/>
                <w:sz w:val="18"/>
                <w:szCs w:val="18"/>
              </w:rPr>
              <w:t>Cerna Palomino Manuel Marcial</w:t>
            </w:r>
          </w:p>
        </w:tc>
      </w:tr>
      <w:tr w:rsidR="00EA38F6" w:rsidRPr="000864AE" w14:paraId="68A9D2DE" w14:textId="77777777" w:rsidTr="00AC0C51">
        <w:trPr>
          <w:trHeight w:val="300"/>
        </w:trPr>
        <w:tc>
          <w:tcPr>
            <w:tcW w:w="668" w:type="dxa"/>
            <w:vAlign w:val="center"/>
            <w:hideMark/>
          </w:tcPr>
          <w:p w14:paraId="1C2C9AB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130</w:t>
            </w:r>
          </w:p>
        </w:tc>
        <w:tc>
          <w:tcPr>
            <w:tcW w:w="3835" w:type="dxa"/>
            <w:vAlign w:val="center"/>
            <w:hideMark/>
          </w:tcPr>
          <w:p w14:paraId="76384B33" w14:textId="77777777" w:rsidR="00EA38F6" w:rsidRPr="000864AE" w:rsidRDefault="00EA38F6" w:rsidP="000864AE">
            <w:pPr>
              <w:rPr>
                <w:rFonts w:ascii="Verdana" w:hAnsi="Verdana"/>
                <w:sz w:val="18"/>
                <w:szCs w:val="18"/>
              </w:rPr>
            </w:pPr>
            <w:r w:rsidRPr="000864AE">
              <w:rPr>
                <w:rFonts w:ascii="Verdana" w:hAnsi="Verdana"/>
                <w:sz w:val="18"/>
                <w:szCs w:val="18"/>
              </w:rPr>
              <w:t>Cerna Vásquez Cesar</w:t>
            </w:r>
          </w:p>
        </w:tc>
      </w:tr>
      <w:tr w:rsidR="00EA38F6" w:rsidRPr="000864AE" w14:paraId="09041C6A" w14:textId="77777777" w:rsidTr="00AC0C51">
        <w:trPr>
          <w:trHeight w:val="300"/>
        </w:trPr>
        <w:tc>
          <w:tcPr>
            <w:tcW w:w="668" w:type="dxa"/>
            <w:vAlign w:val="center"/>
            <w:hideMark/>
          </w:tcPr>
          <w:p w14:paraId="560B8BD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131</w:t>
            </w:r>
          </w:p>
        </w:tc>
        <w:tc>
          <w:tcPr>
            <w:tcW w:w="3835" w:type="dxa"/>
            <w:vAlign w:val="center"/>
            <w:hideMark/>
          </w:tcPr>
          <w:p w14:paraId="1401180B" w14:textId="77777777" w:rsidR="00EA38F6" w:rsidRPr="000864AE" w:rsidRDefault="00EA38F6" w:rsidP="000864AE">
            <w:pPr>
              <w:rPr>
                <w:rFonts w:ascii="Verdana" w:hAnsi="Verdana"/>
                <w:sz w:val="18"/>
                <w:szCs w:val="18"/>
              </w:rPr>
            </w:pPr>
            <w:r w:rsidRPr="000864AE">
              <w:rPr>
                <w:rFonts w:ascii="Verdana" w:hAnsi="Verdana"/>
                <w:sz w:val="18"/>
                <w:szCs w:val="18"/>
              </w:rPr>
              <w:t>Céspedes Vega Martín</w:t>
            </w:r>
          </w:p>
        </w:tc>
      </w:tr>
      <w:tr w:rsidR="00EA38F6" w:rsidRPr="000864AE" w14:paraId="2528D8A5" w14:textId="77777777" w:rsidTr="00AC0C51">
        <w:trPr>
          <w:trHeight w:val="300"/>
        </w:trPr>
        <w:tc>
          <w:tcPr>
            <w:tcW w:w="668" w:type="dxa"/>
            <w:vAlign w:val="center"/>
            <w:hideMark/>
          </w:tcPr>
          <w:p w14:paraId="7DC2CDB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132</w:t>
            </w:r>
          </w:p>
        </w:tc>
        <w:tc>
          <w:tcPr>
            <w:tcW w:w="3835" w:type="dxa"/>
            <w:vAlign w:val="center"/>
            <w:hideMark/>
          </w:tcPr>
          <w:p w14:paraId="355BFDEA" w14:textId="77777777" w:rsidR="00EA38F6" w:rsidRPr="000864AE" w:rsidRDefault="00EA38F6" w:rsidP="000864AE">
            <w:pPr>
              <w:rPr>
                <w:rFonts w:ascii="Verdana" w:hAnsi="Verdana"/>
                <w:sz w:val="18"/>
                <w:szCs w:val="18"/>
              </w:rPr>
            </w:pPr>
            <w:r w:rsidRPr="000864AE">
              <w:rPr>
                <w:rFonts w:ascii="Verdana" w:hAnsi="Verdana"/>
                <w:sz w:val="18"/>
                <w:szCs w:val="18"/>
              </w:rPr>
              <w:t>Chaina Fernández Ricardo Luis</w:t>
            </w:r>
          </w:p>
        </w:tc>
      </w:tr>
      <w:tr w:rsidR="00EA38F6" w:rsidRPr="000864AE" w14:paraId="1069F3D2" w14:textId="77777777" w:rsidTr="00AC0C51">
        <w:trPr>
          <w:trHeight w:val="300"/>
        </w:trPr>
        <w:tc>
          <w:tcPr>
            <w:tcW w:w="668" w:type="dxa"/>
            <w:vAlign w:val="center"/>
            <w:hideMark/>
          </w:tcPr>
          <w:p w14:paraId="2B0BF53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133</w:t>
            </w:r>
          </w:p>
        </w:tc>
        <w:tc>
          <w:tcPr>
            <w:tcW w:w="3835" w:type="dxa"/>
            <w:vAlign w:val="center"/>
            <w:hideMark/>
          </w:tcPr>
          <w:p w14:paraId="04CB9042" w14:textId="77777777" w:rsidR="00EA38F6" w:rsidRPr="000864AE" w:rsidRDefault="00EA38F6" w:rsidP="000864AE">
            <w:pPr>
              <w:rPr>
                <w:rFonts w:ascii="Verdana" w:hAnsi="Verdana"/>
                <w:sz w:val="18"/>
                <w:szCs w:val="18"/>
              </w:rPr>
            </w:pPr>
            <w:r w:rsidRPr="000864AE">
              <w:rPr>
                <w:rFonts w:ascii="Verdana" w:hAnsi="Verdana"/>
                <w:sz w:val="18"/>
                <w:szCs w:val="18"/>
              </w:rPr>
              <w:t>Chanduvi Ramírez Nelly Ana María</w:t>
            </w:r>
          </w:p>
        </w:tc>
      </w:tr>
      <w:tr w:rsidR="00EA38F6" w:rsidRPr="000864AE" w14:paraId="39DD1253" w14:textId="77777777" w:rsidTr="00AC0C51">
        <w:trPr>
          <w:trHeight w:val="300"/>
        </w:trPr>
        <w:tc>
          <w:tcPr>
            <w:tcW w:w="668" w:type="dxa"/>
            <w:vAlign w:val="center"/>
            <w:hideMark/>
          </w:tcPr>
          <w:p w14:paraId="4BBB697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134</w:t>
            </w:r>
          </w:p>
        </w:tc>
        <w:tc>
          <w:tcPr>
            <w:tcW w:w="3835" w:type="dxa"/>
            <w:vAlign w:val="center"/>
            <w:hideMark/>
          </w:tcPr>
          <w:p w14:paraId="6FCA2AE9" w14:textId="77777777" w:rsidR="00EA38F6" w:rsidRPr="000864AE" w:rsidRDefault="00EA38F6" w:rsidP="000864AE">
            <w:pPr>
              <w:rPr>
                <w:rFonts w:ascii="Verdana" w:hAnsi="Verdana"/>
                <w:sz w:val="18"/>
                <w:szCs w:val="18"/>
              </w:rPr>
            </w:pPr>
            <w:r w:rsidRPr="000864AE">
              <w:rPr>
                <w:rFonts w:ascii="Verdana" w:hAnsi="Verdana"/>
                <w:sz w:val="18"/>
                <w:szCs w:val="18"/>
              </w:rPr>
              <w:t>Charahua Flores Edilberto Guillermo</w:t>
            </w:r>
          </w:p>
        </w:tc>
      </w:tr>
      <w:tr w:rsidR="00EA38F6" w:rsidRPr="000864AE" w14:paraId="442325F3" w14:textId="77777777" w:rsidTr="00AC0C51">
        <w:trPr>
          <w:trHeight w:val="300"/>
        </w:trPr>
        <w:tc>
          <w:tcPr>
            <w:tcW w:w="668" w:type="dxa"/>
            <w:vAlign w:val="center"/>
            <w:hideMark/>
          </w:tcPr>
          <w:p w14:paraId="7114C05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135</w:t>
            </w:r>
          </w:p>
        </w:tc>
        <w:tc>
          <w:tcPr>
            <w:tcW w:w="3835" w:type="dxa"/>
            <w:vAlign w:val="center"/>
            <w:hideMark/>
          </w:tcPr>
          <w:p w14:paraId="44246AD4" w14:textId="77777777" w:rsidR="00EA38F6" w:rsidRPr="000864AE" w:rsidRDefault="00EA38F6" w:rsidP="000864AE">
            <w:pPr>
              <w:rPr>
                <w:rFonts w:ascii="Verdana" w:hAnsi="Verdana"/>
                <w:sz w:val="18"/>
                <w:szCs w:val="18"/>
              </w:rPr>
            </w:pPr>
            <w:r w:rsidRPr="000864AE">
              <w:rPr>
                <w:rFonts w:ascii="Verdana" w:hAnsi="Verdana"/>
                <w:sz w:val="18"/>
                <w:szCs w:val="18"/>
              </w:rPr>
              <w:t>Chávez Bernal Víctor Francisco</w:t>
            </w:r>
          </w:p>
        </w:tc>
      </w:tr>
      <w:tr w:rsidR="00EA38F6" w:rsidRPr="000864AE" w14:paraId="554E45AA" w14:textId="77777777" w:rsidTr="00AC0C51">
        <w:trPr>
          <w:trHeight w:val="300"/>
        </w:trPr>
        <w:tc>
          <w:tcPr>
            <w:tcW w:w="668" w:type="dxa"/>
            <w:vAlign w:val="center"/>
            <w:hideMark/>
          </w:tcPr>
          <w:p w14:paraId="1373BA7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136</w:t>
            </w:r>
          </w:p>
        </w:tc>
        <w:tc>
          <w:tcPr>
            <w:tcW w:w="3835" w:type="dxa"/>
            <w:vAlign w:val="center"/>
            <w:hideMark/>
          </w:tcPr>
          <w:p w14:paraId="59C42863" w14:textId="77777777" w:rsidR="00EA38F6" w:rsidRPr="000864AE" w:rsidRDefault="00EA38F6" w:rsidP="000864AE">
            <w:pPr>
              <w:rPr>
                <w:rFonts w:ascii="Verdana" w:hAnsi="Verdana"/>
                <w:sz w:val="18"/>
                <w:szCs w:val="18"/>
              </w:rPr>
            </w:pPr>
            <w:r w:rsidRPr="000864AE">
              <w:rPr>
                <w:rFonts w:ascii="Verdana" w:hAnsi="Verdana"/>
                <w:sz w:val="18"/>
                <w:szCs w:val="18"/>
              </w:rPr>
              <w:t>Chávez Centti Miguel Ángel</w:t>
            </w:r>
          </w:p>
        </w:tc>
      </w:tr>
      <w:tr w:rsidR="00EA38F6" w:rsidRPr="000864AE" w14:paraId="253D3823" w14:textId="77777777" w:rsidTr="00AC0C51">
        <w:trPr>
          <w:trHeight w:val="300"/>
        </w:trPr>
        <w:tc>
          <w:tcPr>
            <w:tcW w:w="668" w:type="dxa"/>
            <w:vAlign w:val="center"/>
            <w:hideMark/>
          </w:tcPr>
          <w:p w14:paraId="36D3739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137</w:t>
            </w:r>
          </w:p>
        </w:tc>
        <w:tc>
          <w:tcPr>
            <w:tcW w:w="3835" w:type="dxa"/>
            <w:vAlign w:val="center"/>
            <w:hideMark/>
          </w:tcPr>
          <w:p w14:paraId="6905F963" w14:textId="77777777" w:rsidR="00EA38F6" w:rsidRPr="000864AE" w:rsidRDefault="00EA38F6" w:rsidP="000864AE">
            <w:pPr>
              <w:rPr>
                <w:rFonts w:ascii="Verdana" w:hAnsi="Verdana"/>
                <w:sz w:val="18"/>
                <w:szCs w:val="18"/>
              </w:rPr>
            </w:pPr>
            <w:r w:rsidRPr="000864AE">
              <w:rPr>
                <w:rFonts w:ascii="Verdana" w:hAnsi="Verdana"/>
                <w:sz w:val="18"/>
                <w:szCs w:val="18"/>
              </w:rPr>
              <w:t>Chávez Díaz Ángel Rosendo</w:t>
            </w:r>
          </w:p>
        </w:tc>
      </w:tr>
      <w:tr w:rsidR="00EA38F6" w:rsidRPr="000864AE" w14:paraId="25D2B7F0" w14:textId="77777777" w:rsidTr="00AC0C51">
        <w:trPr>
          <w:trHeight w:val="300"/>
        </w:trPr>
        <w:tc>
          <w:tcPr>
            <w:tcW w:w="668" w:type="dxa"/>
            <w:vAlign w:val="center"/>
            <w:hideMark/>
          </w:tcPr>
          <w:p w14:paraId="389F632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138</w:t>
            </w:r>
          </w:p>
        </w:tc>
        <w:tc>
          <w:tcPr>
            <w:tcW w:w="3835" w:type="dxa"/>
            <w:vAlign w:val="center"/>
            <w:hideMark/>
          </w:tcPr>
          <w:p w14:paraId="55AB4068" w14:textId="77777777" w:rsidR="00EA38F6" w:rsidRPr="000864AE" w:rsidRDefault="00EA38F6" w:rsidP="000864AE">
            <w:pPr>
              <w:rPr>
                <w:rFonts w:ascii="Verdana" w:hAnsi="Verdana"/>
                <w:sz w:val="18"/>
                <w:szCs w:val="18"/>
              </w:rPr>
            </w:pPr>
            <w:r w:rsidRPr="000864AE">
              <w:rPr>
                <w:rFonts w:ascii="Verdana" w:hAnsi="Verdana"/>
                <w:sz w:val="18"/>
                <w:szCs w:val="18"/>
              </w:rPr>
              <w:t>Chicata Urquizo María Evangelina Salomé</w:t>
            </w:r>
          </w:p>
        </w:tc>
      </w:tr>
      <w:tr w:rsidR="00EA38F6" w:rsidRPr="000864AE" w14:paraId="4EA2A836" w14:textId="77777777" w:rsidTr="00AC0C51">
        <w:trPr>
          <w:trHeight w:val="300"/>
        </w:trPr>
        <w:tc>
          <w:tcPr>
            <w:tcW w:w="668" w:type="dxa"/>
            <w:vAlign w:val="center"/>
            <w:hideMark/>
          </w:tcPr>
          <w:p w14:paraId="1FE74A1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139</w:t>
            </w:r>
          </w:p>
        </w:tc>
        <w:tc>
          <w:tcPr>
            <w:tcW w:w="3835" w:type="dxa"/>
            <w:vAlign w:val="center"/>
            <w:hideMark/>
          </w:tcPr>
          <w:p w14:paraId="0711BD95" w14:textId="77777777" w:rsidR="00EA38F6" w:rsidRPr="000864AE" w:rsidRDefault="00EA38F6" w:rsidP="000864AE">
            <w:pPr>
              <w:rPr>
                <w:rFonts w:ascii="Verdana" w:hAnsi="Verdana"/>
                <w:sz w:val="18"/>
                <w:szCs w:val="18"/>
              </w:rPr>
            </w:pPr>
            <w:r w:rsidRPr="000864AE">
              <w:rPr>
                <w:rFonts w:ascii="Verdana" w:hAnsi="Verdana"/>
                <w:sz w:val="18"/>
                <w:szCs w:val="18"/>
              </w:rPr>
              <w:t>Chienda Bazo Víctor Nicolás</w:t>
            </w:r>
          </w:p>
        </w:tc>
      </w:tr>
      <w:tr w:rsidR="00EA38F6" w:rsidRPr="000864AE" w14:paraId="5BB1AFEB" w14:textId="77777777" w:rsidTr="00AC0C51">
        <w:trPr>
          <w:trHeight w:val="300"/>
        </w:trPr>
        <w:tc>
          <w:tcPr>
            <w:tcW w:w="668" w:type="dxa"/>
            <w:vAlign w:val="center"/>
            <w:hideMark/>
          </w:tcPr>
          <w:p w14:paraId="511C0A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140</w:t>
            </w:r>
          </w:p>
        </w:tc>
        <w:tc>
          <w:tcPr>
            <w:tcW w:w="3835" w:type="dxa"/>
            <w:vAlign w:val="center"/>
            <w:hideMark/>
          </w:tcPr>
          <w:p w14:paraId="3BCA51D2" w14:textId="77777777" w:rsidR="00EA38F6" w:rsidRPr="000864AE" w:rsidRDefault="00EA38F6" w:rsidP="000864AE">
            <w:pPr>
              <w:rPr>
                <w:rFonts w:ascii="Verdana" w:hAnsi="Verdana"/>
                <w:sz w:val="18"/>
                <w:szCs w:val="18"/>
              </w:rPr>
            </w:pPr>
            <w:r w:rsidRPr="000864AE">
              <w:rPr>
                <w:rFonts w:ascii="Verdana" w:hAnsi="Verdana"/>
                <w:sz w:val="18"/>
                <w:szCs w:val="18"/>
              </w:rPr>
              <w:t>Chiriboga Pardo Jesús Eduardo</w:t>
            </w:r>
          </w:p>
        </w:tc>
      </w:tr>
      <w:tr w:rsidR="00EA38F6" w:rsidRPr="000864AE" w14:paraId="74A72615" w14:textId="77777777" w:rsidTr="00AC0C51">
        <w:trPr>
          <w:trHeight w:val="300"/>
        </w:trPr>
        <w:tc>
          <w:tcPr>
            <w:tcW w:w="668" w:type="dxa"/>
            <w:vAlign w:val="center"/>
            <w:hideMark/>
          </w:tcPr>
          <w:p w14:paraId="4AB6A0E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141</w:t>
            </w:r>
          </w:p>
        </w:tc>
        <w:tc>
          <w:tcPr>
            <w:tcW w:w="3835" w:type="dxa"/>
            <w:vAlign w:val="center"/>
            <w:hideMark/>
          </w:tcPr>
          <w:p w14:paraId="5B4802FA" w14:textId="77777777" w:rsidR="00EA38F6" w:rsidRPr="000864AE" w:rsidRDefault="00EA38F6" w:rsidP="000864AE">
            <w:pPr>
              <w:rPr>
                <w:rFonts w:ascii="Verdana" w:hAnsi="Verdana"/>
                <w:sz w:val="18"/>
                <w:szCs w:val="18"/>
              </w:rPr>
            </w:pPr>
            <w:r w:rsidRPr="000864AE">
              <w:rPr>
                <w:rFonts w:ascii="Verdana" w:hAnsi="Verdana"/>
                <w:sz w:val="18"/>
                <w:szCs w:val="18"/>
              </w:rPr>
              <w:t>Chirinos Arredondo Nancy Jesús</w:t>
            </w:r>
          </w:p>
        </w:tc>
      </w:tr>
      <w:tr w:rsidR="00EA38F6" w:rsidRPr="000864AE" w14:paraId="0A2A231E" w14:textId="77777777" w:rsidTr="00AC0C51">
        <w:trPr>
          <w:trHeight w:val="300"/>
        </w:trPr>
        <w:tc>
          <w:tcPr>
            <w:tcW w:w="668" w:type="dxa"/>
            <w:vAlign w:val="center"/>
            <w:hideMark/>
          </w:tcPr>
          <w:p w14:paraId="4B6CD7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142</w:t>
            </w:r>
          </w:p>
        </w:tc>
        <w:tc>
          <w:tcPr>
            <w:tcW w:w="3835" w:type="dxa"/>
            <w:vAlign w:val="center"/>
            <w:hideMark/>
          </w:tcPr>
          <w:p w14:paraId="299D148D" w14:textId="77777777" w:rsidR="00EA38F6" w:rsidRPr="000864AE" w:rsidRDefault="00EA38F6" w:rsidP="000864AE">
            <w:pPr>
              <w:rPr>
                <w:rFonts w:ascii="Verdana" w:hAnsi="Verdana"/>
                <w:sz w:val="18"/>
                <w:szCs w:val="18"/>
              </w:rPr>
            </w:pPr>
            <w:r w:rsidRPr="000864AE">
              <w:rPr>
                <w:rFonts w:ascii="Verdana" w:hAnsi="Verdana"/>
                <w:sz w:val="18"/>
                <w:szCs w:val="18"/>
              </w:rPr>
              <w:t>Chois Málaga Armando Juan</w:t>
            </w:r>
          </w:p>
        </w:tc>
      </w:tr>
      <w:tr w:rsidR="00EA38F6" w:rsidRPr="000864AE" w14:paraId="76441B47" w14:textId="77777777" w:rsidTr="00AC0C51">
        <w:trPr>
          <w:trHeight w:val="300"/>
        </w:trPr>
        <w:tc>
          <w:tcPr>
            <w:tcW w:w="668" w:type="dxa"/>
            <w:vAlign w:val="center"/>
            <w:hideMark/>
          </w:tcPr>
          <w:p w14:paraId="0D91EAB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143</w:t>
            </w:r>
          </w:p>
        </w:tc>
        <w:tc>
          <w:tcPr>
            <w:tcW w:w="3835" w:type="dxa"/>
            <w:vAlign w:val="center"/>
            <w:hideMark/>
          </w:tcPr>
          <w:p w14:paraId="31E69738" w14:textId="77777777" w:rsidR="00EA38F6" w:rsidRPr="000864AE" w:rsidRDefault="00EA38F6" w:rsidP="000864AE">
            <w:pPr>
              <w:rPr>
                <w:rFonts w:ascii="Verdana" w:hAnsi="Verdana"/>
                <w:sz w:val="18"/>
                <w:szCs w:val="18"/>
              </w:rPr>
            </w:pPr>
            <w:r w:rsidRPr="000864AE">
              <w:rPr>
                <w:rFonts w:ascii="Verdana" w:hAnsi="Verdana"/>
                <w:sz w:val="18"/>
                <w:szCs w:val="18"/>
              </w:rPr>
              <w:t>Chuquillanqui Domínguez Judith Elizabeth</w:t>
            </w:r>
          </w:p>
        </w:tc>
      </w:tr>
      <w:tr w:rsidR="00EA38F6" w:rsidRPr="000864AE" w14:paraId="2B49F6F0" w14:textId="77777777" w:rsidTr="00AC0C51">
        <w:trPr>
          <w:trHeight w:val="300"/>
        </w:trPr>
        <w:tc>
          <w:tcPr>
            <w:tcW w:w="668" w:type="dxa"/>
            <w:vAlign w:val="center"/>
            <w:hideMark/>
          </w:tcPr>
          <w:p w14:paraId="2DD76E2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144</w:t>
            </w:r>
          </w:p>
        </w:tc>
        <w:tc>
          <w:tcPr>
            <w:tcW w:w="3835" w:type="dxa"/>
            <w:vAlign w:val="center"/>
            <w:hideMark/>
          </w:tcPr>
          <w:p w14:paraId="3CA89ADD" w14:textId="77777777" w:rsidR="00EA38F6" w:rsidRPr="000864AE" w:rsidRDefault="00EA38F6" w:rsidP="000864AE">
            <w:pPr>
              <w:rPr>
                <w:rFonts w:ascii="Verdana" w:hAnsi="Verdana"/>
                <w:sz w:val="18"/>
                <w:szCs w:val="18"/>
              </w:rPr>
            </w:pPr>
            <w:r w:rsidRPr="000864AE">
              <w:rPr>
                <w:rFonts w:ascii="Verdana" w:hAnsi="Verdana"/>
                <w:sz w:val="18"/>
                <w:szCs w:val="18"/>
              </w:rPr>
              <w:t>Chuquisengo Castillo Marianella</w:t>
            </w:r>
          </w:p>
        </w:tc>
      </w:tr>
      <w:tr w:rsidR="00EA38F6" w:rsidRPr="000864AE" w14:paraId="19E160E7" w14:textId="77777777" w:rsidTr="00AC0C51">
        <w:trPr>
          <w:trHeight w:val="300"/>
        </w:trPr>
        <w:tc>
          <w:tcPr>
            <w:tcW w:w="668" w:type="dxa"/>
            <w:vAlign w:val="center"/>
            <w:hideMark/>
          </w:tcPr>
          <w:p w14:paraId="4F93292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145</w:t>
            </w:r>
          </w:p>
        </w:tc>
        <w:tc>
          <w:tcPr>
            <w:tcW w:w="3835" w:type="dxa"/>
            <w:vAlign w:val="center"/>
            <w:hideMark/>
          </w:tcPr>
          <w:p w14:paraId="5B9FBB4D" w14:textId="77777777" w:rsidR="00EA38F6" w:rsidRPr="000864AE" w:rsidRDefault="00EA38F6" w:rsidP="000864AE">
            <w:pPr>
              <w:rPr>
                <w:rFonts w:ascii="Verdana" w:hAnsi="Verdana"/>
                <w:sz w:val="18"/>
                <w:szCs w:val="18"/>
              </w:rPr>
            </w:pPr>
            <w:r w:rsidRPr="000864AE">
              <w:rPr>
                <w:rFonts w:ascii="Verdana" w:hAnsi="Verdana"/>
                <w:sz w:val="18"/>
                <w:szCs w:val="18"/>
              </w:rPr>
              <w:t>Cipriani Rodríguez Jesús José</w:t>
            </w:r>
          </w:p>
        </w:tc>
      </w:tr>
      <w:tr w:rsidR="00EA38F6" w:rsidRPr="000864AE" w14:paraId="4DC13FDB" w14:textId="77777777" w:rsidTr="00AC0C51">
        <w:trPr>
          <w:trHeight w:val="300"/>
        </w:trPr>
        <w:tc>
          <w:tcPr>
            <w:tcW w:w="668" w:type="dxa"/>
            <w:vAlign w:val="center"/>
            <w:hideMark/>
          </w:tcPr>
          <w:p w14:paraId="764F2EE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146</w:t>
            </w:r>
          </w:p>
        </w:tc>
        <w:tc>
          <w:tcPr>
            <w:tcW w:w="3835" w:type="dxa"/>
            <w:vAlign w:val="center"/>
            <w:hideMark/>
          </w:tcPr>
          <w:p w14:paraId="56C7E5A1" w14:textId="77777777" w:rsidR="00EA38F6" w:rsidRPr="000864AE" w:rsidRDefault="00EA38F6" w:rsidP="000864AE">
            <w:pPr>
              <w:rPr>
                <w:rFonts w:ascii="Verdana" w:hAnsi="Verdana"/>
                <w:sz w:val="18"/>
                <w:szCs w:val="18"/>
              </w:rPr>
            </w:pPr>
            <w:r w:rsidRPr="000864AE">
              <w:rPr>
                <w:rFonts w:ascii="Verdana" w:hAnsi="Verdana"/>
                <w:sz w:val="18"/>
                <w:szCs w:val="18"/>
              </w:rPr>
              <w:t>Cipriani Rodríguez Pablo Eusebio</w:t>
            </w:r>
          </w:p>
        </w:tc>
      </w:tr>
      <w:tr w:rsidR="00EA38F6" w:rsidRPr="000864AE" w14:paraId="72B68BCC" w14:textId="77777777" w:rsidTr="00AC0C51">
        <w:trPr>
          <w:trHeight w:val="300"/>
        </w:trPr>
        <w:tc>
          <w:tcPr>
            <w:tcW w:w="668" w:type="dxa"/>
            <w:vAlign w:val="center"/>
            <w:hideMark/>
          </w:tcPr>
          <w:p w14:paraId="09BBA3C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147</w:t>
            </w:r>
          </w:p>
        </w:tc>
        <w:tc>
          <w:tcPr>
            <w:tcW w:w="3835" w:type="dxa"/>
            <w:vAlign w:val="center"/>
            <w:hideMark/>
          </w:tcPr>
          <w:p w14:paraId="7E85EBDD" w14:textId="77777777" w:rsidR="00EA38F6" w:rsidRPr="000864AE" w:rsidRDefault="00EA38F6" w:rsidP="000864AE">
            <w:pPr>
              <w:rPr>
                <w:rFonts w:ascii="Verdana" w:hAnsi="Verdana"/>
                <w:sz w:val="18"/>
                <w:szCs w:val="18"/>
              </w:rPr>
            </w:pPr>
            <w:r w:rsidRPr="000864AE">
              <w:rPr>
                <w:rFonts w:ascii="Verdana" w:hAnsi="Verdana"/>
                <w:sz w:val="18"/>
                <w:szCs w:val="18"/>
              </w:rPr>
              <w:t>Ciudad Amaya Francisco</w:t>
            </w:r>
          </w:p>
        </w:tc>
      </w:tr>
      <w:tr w:rsidR="00EA38F6" w:rsidRPr="0033532B" w14:paraId="424DE16C" w14:textId="77777777" w:rsidTr="00AC0C51">
        <w:trPr>
          <w:trHeight w:val="300"/>
        </w:trPr>
        <w:tc>
          <w:tcPr>
            <w:tcW w:w="668" w:type="dxa"/>
            <w:vAlign w:val="center"/>
            <w:hideMark/>
          </w:tcPr>
          <w:p w14:paraId="601DFD8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148</w:t>
            </w:r>
          </w:p>
        </w:tc>
        <w:tc>
          <w:tcPr>
            <w:tcW w:w="3835" w:type="dxa"/>
            <w:vAlign w:val="center"/>
            <w:hideMark/>
          </w:tcPr>
          <w:p w14:paraId="79941DF3" w14:textId="77777777" w:rsidR="00EA38F6" w:rsidRPr="000864AE" w:rsidRDefault="00EA38F6" w:rsidP="000864AE">
            <w:pPr>
              <w:rPr>
                <w:rFonts w:ascii="Verdana" w:hAnsi="Verdana"/>
                <w:sz w:val="18"/>
                <w:szCs w:val="18"/>
                <w:lang w:val="en-US"/>
              </w:rPr>
            </w:pPr>
            <w:r w:rsidRPr="000864AE">
              <w:rPr>
                <w:rFonts w:ascii="Verdana" w:hAnsi="Verdana"/>
                <w:sz w:val="18"/>
                <w:szCs w:val="18"/>
                <w:lang w:val="en-US"/>
              </w:rPr>
              <w:t>Claros Chavera Manuel Williams Isaías</w:t>
            </w:r>
          </w:p>
        </w:tc>
      </w:tr>
      <w:tr w:rsidR="00EA38F6" w:rsidRPr="000864AE" w14:paraId="3C0167EB" w14:textId="77777777" w:rsidTr="00AC0C51">
        <w:trPr>
          <w:trHeight w:val="300"/>
        </w:trPr>
        <w:tc>
          <w:tcPr>
            <w:tcW w:w="668" w:type="dxa"/>
            <w:vAlign w:val="center"/>
            <w:hideMark/>
          </w:tcPr>
          <w:p w14:paraId="40CDC6A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149</w:t>
            </w:r>
          </w:p>
        </w:tc>
        <w:tc>
          <w:tcPr>
            <w:tcW w:w="3835" w:type="dxa"/>
            <w:vAlign w:val="center"/>
            <w:hideMark/>
          </w:tcPr>
          <w:p w14:paraId="314B978A" w14:textId="77777777" w:rsidR="00EA38F6" w:rsidRPr="000864AE" w:rsidRDefault="00EA38F6" w:rsidP="000864AE">
            <w:pPr>
              <w:rPr>
                <w:rFonts w:ascii="Verdana" w:hAnsi="Verdana"/>
                <w:sz w:val="18"/>
                <w:szCs w:val="18"/>
              </w:rPr>
            </w:pPr>
            <w:r w:rsidRPr="000864AE">
              <w:rPr>
                <w:rFonts w:ascii="Verdana" w:hAnsi="Verdana"/>
                <w:sz w:val="18"/>
                <w:szCs w:val="18"/>
              </w:rPr>
              <w:t>Cochachi Aguilar Sebastian</w:t>
            </w:r>
          </w:p>
        </w:tc>
      </w:tr>
      <w:tr w:rsidR="00EA38F6" w:rsidRPr="000864AE" w14:paraId="306E5FD9" w14:textId="77777777" w:rsidTr="00AC0C51">
        <w:trPr>
          <w:trHeight w:val="300"/>
        </w:trPr>
        <w:tc>
          <w:tcPr>
            <w:tcW w:w="668" w:type="dxa"/>
            <w:vAlign w:val="center"/>
            <w:hideMark/>
          </w:tcPr>
          <w:p w14:paraId="1CFC739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150</w:t>
            </w:r>
          </w:p>
        </w:tc>
        <w:tc>
          <w:tcPr>
            <w:tcW w:w="3835" w:type="dxa"/>
            <w:vAlign w:val="center"/>
            <w:hideMark/>
          </w:tcPr>
          <w:p w14:paraId="1BEB642A" w14:textId="77777777" w:rsidR="00EA38F6" w:rsidRPr="000864AE" w:rsidRDefault="00EA38F6" w:rsidP="000864AE">
            <w:pPr>
              <w:rPr>
                <w:rFonts w:ascii="Verdana" w:hAnsi="Verdana"/>
                <w:sz w:val="18"/>
                <w:szCs w:val="18"/>
              </w:rPr>
            </w:pPr>
            <w:r w:rsidRPr="000864AE">
              <w:rPr>
                <w:rFonts w:ascii="Verdana" w:hAnsi="Verdana"/>
                <w:sz w:val="18"/>
                <w:szCs w:val="18"/>
              </w:rPr>
              <w:t>Collado Oré Jorge Percy</w:t>
            </w:r>
          </w:p>
        </w:tc>
      </w:tr>
      <w:tr w:rsidR="00EA38F6" w:rsidRPr="000864AE" w14:paraId="3B168CC2" w14:textId="77777777" w:rsidTr="00AC0C51">
        <w:trPr>
          <w:trHeight w:val="300"/>
        </w:trPr>
        <w:tc>
          <w:tcPr>
            <w:tcW w:w="668" w:type="dxa"/>
            <w:vAlign w:val="center"/>
            <w:hideMark/>
          </w:tcPr>
          <w:p w14:paraId="155FD15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151</w:t>
            </w:r>
          </w:p>
        </w:tc>
        <w:tc>
          <w:tcPr>
            <w:tcW w:w="3835" w:type="dxa"/>
            <w:vAlign w:val="center"/>
            <w:hideMark/>
          </w:tcPr>
          <w:p w14:paraId="17EEB15A" w14:textId="77777777" w:rsidR="00EA38F6" w:rsidRPr="000864AE" w:rsidRDefault="00EA38F6" w:rsidP="000864AE">
            <w:pPr>
              <w:rPr>
                <w:rFonts w:ascii="Verdana" w:hAnsi="Verdana"/>
                <w:sz w:val="18"/>
                <w:szCs w:val="18"/>
              </w:rPr>
            </w:pPr>
            <w:r w:rsidRPr="000864AE">
              <w:rPr>
                <w:rFonts w:ascii="Verdana" w:hAnsi="Verdana"/>
                <w:sz w:val="18"/>
                <w:szCs w:val="18"/>
              </w:rPr>
              <w:t>Concha Cervantes Luis Glider</w:t>
            </w:r>
          </w:p>
        </w:tc>
      </w:tr>
      <w:tr w:rsidR="00EA38F6" w:rsidRPr="000864AE" w14:paraId="78AD37B5" w14:textId="77777777" w:rsidTr="00AC0C51">
        <w:trPr>
          <w:trHeight w:val="300"/>
        </w:trPr>
        <w:tc>
          <w:tcPr>
            <w:tcW w:w="668" w:type="dxa"/>
            <w:vAlign w:val="center"/>
            <w:hideMark/>
          </w:tcPr>
          <w:p w14:paraId="6B22B7C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152</w:t>
            </w:r>
          </w:p>
        </w:tc>
        <w:tc>
          <w:tcPr>
            <w:tcW w:w="3835" w:type="dxa"/>
            <w:vAlign w:val="center"/>
            <w:hideMark/>
          </w:tcPr>
          <w:p w14:paraId="2DF059AE" w14:textId="77777777" w:rsidR="00EA38F6" w:rsidRPr="000864AE" w:rsidRDefault="00EA38F6" w:rsidP="000864AE">
            <w:pPr>
              <w:rPr>
                <w:rFonts w:ascii="Verdana" w:hAnsi="Verdana"/>
                <w:sz w:val="18"/>
                <w:szCs w:val="18"/>
              </w:rPr>
            </w:pPr>
            <w:r w:rsidRPr="000864AE">
              <w:rPr>
                <w:rFonts w:ascii="Verdana" w:hAnsi="Verdana"/>
                <w:sz w:val="18"/>
                <w:szCs w:val="18"/>
              </w:rPr>
              <w:t>Cóndor Quispe Rufina Teófila</w:t>
            </w:r>
          </w:p>
        </w:tc>
      </w:tr>
      <w:tr w:rsidR="00EA38F6" w:rsidRPr="000864AE" w14:paraId="52BD71DF" w14:textId="77777777" w:rsidTr="00AC0C51">
        <w:trPr>
          <w:trHeight w:val="300"/>
        </w:trPr>
        <w:tc>
          <w:tcPr>
            <w:tcW w:w="668" w:type="dxa"/>
            <w:vAlign w:val="center"/>
            <w:hideMark/>
          </w:tcPr>
          <w:p w14:paraId="283F103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153</w:t>
            </w:r>
          </w:p>
        </w:tc>
        <w:tc>
          <w:tcPr>
            <w:tcW w:w="3835" w:type="dxa"/>
            <w:vAlign w:val="center"/>
            <w:hideMark/>
          </w:tcPr>
          <w:p w14:paraId="165EED2C" w14:textId="77777777" w:rsidR="00EA38F6" w:rsidRPr="000864AE" w:rsidRDefault="00EA38F6" w:rsidP="000864AE">
            <w:pPr>
              <w:rPr>
                <w:rFonts w:ascii="Verdana" w:hAnsi="Verdana"/>
                <w:sz w:val="18"/>
                <w:szCs w:val="18"/>
              </w:rPr>
            </w:pPr>
            <w:r w:rsidRPr="000864AE">
              <w:rPr>
                <w:rFonts w:ascii="Verdana" w:hAnsi="Verdana"/>
                <w:sz w:val="18"/>
                <w:szCs w:val="18"/>
              </w:rPr>
              <w:t>Contreras Abanto Abdón Rufino</w:t>
            </w:r>
          </w:p>
        </w:tc>
      </w:tr>
      <w:tr w:rsidR="00EA38F6" w:rsidRPr="000864AE" w14:paraId="0DFA7634" w14:textId="77777777" w:rsidTr="00AC0C51">
        <w:trPr>
          <w:trHeight w:val="300"/>
        </w:trPr>
        <w:tc>
          <w:tcPr>
            <w:tcW w:w="668" w:type="dxa"/>
            <w:vAlign w:val="center"/>
            <w:hideMark/>
          </w:tcPr>
          <w:p w14:paraId="48C65D6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154</w:t>
            </w:r>
          </w:p>
        </w:tc>
        <w:tc>
          <w:tcPr>
            <w:tcW w:w="3835" w:type="dxa"/>
            <w:vAlign w:val="center"/>
            <w:hideMark/>
          </w:tcPr>
          <w:p w14:paraId="7CF995F3" w14:textId="77777777" w:rsidR="00EA38F6" w:rsidRPr="000864AE" w:rsidRDefault="00EA38F6" w:rsidP="000864AE">
            <w:pPr>
              <w:rPr>
                <w:rFonts w:ascii="Verdana" w:hAnsi="Verdana"/>
                <w:sz w:val="18"/>
                <w:szCs w:val="18"/>
              </w:rPr>
            </w:pPr>
            <w:r w:rsidRPr="000864AE">
              <w:rPr>
                <w:rFonts w:ascii="Verdana" w:hAnsi="Verdana"/>
                <w:sz w:val="18"/>
                <w:szCs w:val="18"/>
              </w:rPr>
              <w:t>Contreras Gutiérrez Jesús Héctor</w:t>
            </w:r>
          </w:p>
        </w:tc>
      </w:tr>
      <w:tr w:rsidR="00EA38F6" w:rsidRPr="000864AE" w14:paraId="59087D4E" w14:textId="77777777" w:rsidTr="00AC0C51">
        <w:trPr>
          <w:trHeight w:val="300"/>
        </w:trPr>
        <w:tc>
          <w:tcPr>
            <w:tcW w:w="668" w:type="dxa"/>
            <w:vAlign w:val="center"/>
            <w:hideMark/>
          </w:tcPr>
          <w:p w14:paraId="5C95642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155</w:t>
            </w:r>
          </w:p>
        </w:tc>
        <w:tc>
          <w:tcPr>
            <w:tcW w:w="3835" w:type="dxa"/>
            <w:vAlign w:val="center"/>
            <w:hideMark/>
          </w:tcPr>
          <w:p w14:paraId="6A30465E" w14:textId="77777777" w:rsidR="00EA38F6" w:rsidRPr="000864AE" w:rsidRDefault="00EA38F6" w:rsidP="000864AE">
            <w:pPr>
              <w:rPr>
                <w:rFonts w:ascii="Verdana" w:hAnsi="Verdana"/>
                <w:sz w:val="18"/>
                <w:szCs w:val="18"/>
              </w:rPr>
            </w:pPr>
            <w:r w:rsidRPr="000864AE">
              <w:rPr>
                <w:rFonts w:ascii="Verdana" w:hAnsi="Verdana"/>
                <w:sz w:val="18"/>
                <w:szCs w:val="18"/>
              </w:rPr>
              <w:t>Contreras Ordóñez Rigoberto</w:t>
            </w:r>
          </w:p>
        </w:tc>
      </w:tr>
      <w:tr w:rsidR="00EA38F6" w:rsidRPr="000864AE" w14:paraId="52E6AE4C" w14:textId="77777777" w:rsidTr="00AC0C51">
        <w:trPr>
          <w:trHeight w:val="300"/>
        </w:trPr>
        <w:tc>
          <w:tcPr>
            <w:tcW w:w="668" w:type="dxa"/>
            <w:vAlign w:val="center"/>
            <w:hideMark/>
          </w:tcPr>
          <w:p w14:paraId="35BC0E8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156</w:t>
            </w:r>
          </w:p>
        </w:tc>
        <w:tc>
          <w:tcPr>
            <w:tcW w:w="3835" w:type="dxa"/>
            <w:vAlign w:val="center"/>
            <w:hideMark/>
          </w:tcPr>
          <w:p w14:paraId="0A8607D2" w14:textId="77777777" w:rsidR="00EA38F6" w:rsidRPr="000864AE" w:rsidRDefault="00EA38F6" w:rsidP="000864AE">
            <w:pPr>
              <w:rPr>
                <w:rFonts w:ascii="Verdana" w:hAnsi="Verdana"/>
                <w:sz w:val="18"/>
                <w:szCs w:val="18"/>
              </w:rPr>
            </w:pPr>
            <w:r w:rsidRPr="000864AE">
              <w:rPr>
                <w:rFonts w:ascii="Verdana" w:hAnsi="Verdana"/>
                <w:sz w:val="18"/>
                <w:szCs w:val="18"/>
              </w:rPr>
              <w:t>Córdova Córdova Ismael Vicente</w:t>
            </w:r>
          </w:p>
        </w:tc>
      </w:tr>
      <w:tr w:rsidR="00EA38F6" w:rsidRPr="000864AE" w14:paraId="12548685" w14:textId="77777777" w:rsidTr="00AC0C51">
        <w:trPr>
          <w:trHeight w:val="300"/>
        </w:trPr>
        <w:tc>
          <w:tcPr>
            <w:tcW w:w="668" w:type="dxa"/>
            <w:vAlign w:val="center"/>
            <w:hideMark/>
          </w:tcPr>
          <w:p w14:paraId="76B97D7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157</w:t>
            </w:r>
          </w:p>
        </w:tc>
        <w:tc>
          <w:tcPr>
            <w:tcW w:w="3835" w:type="dxa"/>
            <w:vAlign w:val="center"/>
            <w:hideMark/>
          </w:tcPr>
          <w:p w14:paraId="4510031F" w14:textId="77777777" w:rsidR="00EA38F6" w:rsidRPr="000864AE" w:rsidRDefault="00EA38F6" w:rsidP="000864AE">
            <w:pPr>
              <w:rPr>
                <w:rFonts w:ascii="Verdana" w:hAnsi="Verdana"/>
                <w:sz w:val="18"/>
                <w:szCs w:val="18"/>
              </w:rPr>
            </w:pPr>
            <w:r w:rsidRPr="000864AE">
              <w:rPr>
                <w:rFonts w:ascii="Verdana" w:hAnsi="Verdana"/>
                <w:sz w:val="18"/>
                <w:szCs w:val="18"/>
              </w:rPr>
              <w:t>Córdova De La Cuba Víctor Enrique</w:t>
            </w:r>
          </w:p>
        </w:tc>
      </w:tr>
      <w:tr w:rsidR="00EA38F6" w:rsidRPr="000864AE" w14:paraId="08854FF0" w14:textId="77777777" w:rsidTr="00AC0C51">
        <w:trPr>
          <w:trHeight w:val="300"/>
        </w:trPr>
        <w:tc>
          <w:tcPr>
            <w:tcW w:w="668" w:type="dxa"/>
            <w:vAlign w:val="center"/>
            <w:hideMark/>
          </w:tcPr>
          <w:p w14:paraId="4FB9500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158</w:t>
            </w:r>
          </w:p>
        </w:tc>
        <w:tc>
          <w:tcPr>
            <w:tcW w:w="3835" w:type="dxa"/>
            <w:vAlign w:val="center"/>
            <w:hideMark/>
          </w:tcPr>
          <w:p w14:paraId="133F9008" w14:textId="77777777" w:rsidR="00EA38F6" w:rsidRPr="000864AE" w:rsidRDefault="00EA38F6" w:rsidP="000864AE">
            <w:pPr>
              <w:rPr>
                <w:rFonts w:ascii="Verdana" w:hAnsi="Verdana"/>
                <w:sz w:val="18"/>
                <w:szCs w:val="18"/>
              </w:rPr>
            </w:pPr>
            <w:r w:rsidRPr="000864AE">
              <w:rPr>
                <w:rFonts w:ascii="Verdana" w:hAnsi="Verdana"/>
                <w:sz w:val="18"/>
                <w:szCs w:val="18"/>
              </w:rPr>
              <w:t>Córdova Díaz Marco Amador</w:t>
            </w:r>
          </w:p>
        </w:tc>
      </w:tr>
      <w:tr w:rsidR="00EA38F6" w:rsidRPr="000864AE" w14:paraId="62B0B0CE" w14:textId="77777777" w:rsidTr="00AC0C51">
        <w:trPr>
          <w:trHeight w:val="300"/>
        </w:trPr>
        <w:tc>
          <w:tcPr>
            <w:tcW w:w="668" w:type="dxa"/>
            <w:vAlign w:val="center"/>
            <w:hideMark/>
          </w:tcPr>
          <w:p w14:paraId="7D58532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159</w:t>
            </w:r>
          </w:p>
        </w:tc>
        <w:tc>
          <w:tcPr>
            <w:tcW w:w="3835" w:type="dxa"/>
            <w:vAlign w:val="center"/>
            <w:hideMark/>
          </w:tcPr>
          <w:p w14:paraId="407BA689" w14:textId="77777777" w:rsidR="00EA38F6" w:rsidRPr="000864AE" w:rsidRDefault="00EA38F6" w:rsidP="000864AE">
            <w:pPr>
              <w:rPr>
                <w:rFonts w:ascii="Verdana" w:hAnsi="Verdana"/>
                <w:sz w:val="18"/>
                <w:szCs w:val="18"/>
              </w:rPr>
            </w:pPr>
            <w:r w:rsidRPr="000864AE">
              <w:rPr>
                <w:rFonts w:ascii="Verdana" w:hAnsi="Verdana"/>
                <w:sz w:val="18"/>
                <w:szCs w:val="18"/>
              </w:rPr>
              <w:t>Cori Borja Saturnino</w:t>
            </w:r>
          </w:p>
        </w:tc>
      </w:tr>
      <w:tr w:rsidR="00EA38F6" w:rsidRPr="000864AE" w14:paraId="0F2B8CE5" w14:textId="77777777" w:rsidTr="00AC0C51">
        <w:trPr>
          <w:trHeight w:val="300"/>
        </w:trPr>
        <w:tc>
          <w:tcPr>
            <w:tcW w:w="668" w:type="dxa"/>
            <w:vAlign w:val="center"/>
            <w:hideMark/>
          </w:tcPr>
          <w:p w14:paraId="2F7BC34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160</w:t>
            </w:r>
          </w:p>
        </w:tc>
        <w:tc>
          <w:tcPr>
            <w:tcW w:w="3835" w:type="dxa"/>
            <w:vAlign w:val="center"/>
            <w:hideMark/>
          </w:tcPr>
          <w:p w14:paraId="39FF389C" w14:textId="77777777" w:rsidR="00EA38F6" w:rsidRPr="000864AE" w:rsidRDefault="00EA38F6" w:rsidP="000864AE">
            <w:pPr>
              <w:rPr>
                <w:rFonts w:ascii="Verdana" w:hAnsi="Verdana"/>
                <w:sz w:val="18"/>
                <w:szCs w:val="18"/>
              </w:rPr>
            </w:pPr>
            <w:r w:rsidRPr="000864AE">
              <w:rPr>
                <w:rFonts w:ascii="Verdana" w:hAnsi="Verdana"/>
                <w:sz w:val="18"/>
                <w:szCs w:val="18"/>
              </w:rPr>
              <w:t>Cornejo Calsina Marcos Delfín</w:t>
            </w:r>
          </w:p>
        </w:tc>
      </w:tr>
      <w:tr w:rsidR="00EA38F6" w:rsidRPr="000864AE" w14:paraId="1B1AF0F4" w14:textId="77777777" w:rsidTr="00AC0C51">
        <w:trPr>
          <w:trHeight w:val="300"/>
        </w:trPr>
        <w:tc>
          <w:tcPr>
            <w:tcW w:w="668" w:type="dxa"/>
            <w:vAlign w:val="center"/>
            <w:hideMark/>
          </w:tcPr>
          <w:p w14:paraId="14C8E6F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161</w:t>
            </w:r>
          </w:p>
        </w:tc>
        <w:tc>
          <w:tcPr>
            <w:tcW w:w="3835" w:type="dxa"/>
            <w:vAlign w:val="center"/>
            <w:hideMark/>
          </w:tcPr>
          <w:p w14:paraId="7A5146ED" w14:textId="77777777" w:rsidR="00EA38F6" w:rsidRPr="000864AE" w:rsidRDefault="00EA38F6" w:rsidP="000864AE">
            <w:pPr>
              <w:rPr>
                <w:rFonts w:ascii="Verdana" w:hAnsi="Verdana"/>
                <w:sz w:val="18"/>
                <w:szCs w:val="18"/>
              </w:rPr>
            </w:pPr>
            <w:r w:rsidRPr="000864AE">
              <w:rPr>
                <w:rFonts w:ascii="Verdana" w:hAnsi="Verdana"/>
                <w:sz w:val="18"/>
                <w:szCs w:val="18"/>
              </w:rPr>
              <w:t>Correa Meza Dalila</w:t>
            </w:r>
          </w:p>
        </w:tc>
      </w:tr>
      <w:tr w:rsidR="00EA38F6" w:rsidRPr="000864AE" w14:paraId="6F5FE558" w14:textId="77777777" w:rsidTr="00AC0C51">
        <w:trPr>
          <w:trHeight w:val="300"/>
        </w:trPr>
        <w:tc>
          <w:tcPr>
            <w:tcW w:w="668" w:type="dxa"/>
            <w:vAlign w:val="center"/>
            <w:hideMark/>
          </w:tcPr>
          <w:p w14:paraId="739A880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162</w:t>
            </w:r>
          </w:p>
        </w:tc>
        <w:tc>
          <w:tcPr>
            <w:tcW w:w="3835" w:type="dxa"/>
            <w:vAlign w:val="center"/>
            <w:hideMark/>
          </w:tcPr>
          <w:p w14:paraId="0A62122C" w14:textId="77777777" w:rsidR="00EA38F6" w:rsidRPr="000864AE" w:rsidRDefault="00EA38F6" w:rsidP="000864AE">
            <w:pPr>
              <w:rPr>
                <w:rFonts w:ascii="Verdana" w:hAnsi="Verdana"/>
                <w:sz w:val="18"/>
                <w:szCs w:val="18"/>
              </w:rPr>
            </w:pPr>
            <w:r w:rsidRPr="000864AE">
              <w:rPr>
                <w:rFonts w:ascii="Verdana" w:hAnsi="Verdana"/>
                <w:sz w:val="18"/>
                <w:szCs w:val="18"/>
              </w:rPr>
              <w:t>Corzo Morón Juan Alejandro</w:t>
            </w:r>
          </w:p>
        </w:tc>
      </w:tr>
      <w:tr w:rsidR="00EA38F6" w:rsidRPr="000864AE" w14:paraId="154AC1A3" w14:textId="77777777" w:rsidTr="00AC0C51">
        <w:trPr>
          <w:trHeight w:val="300"/>
        </w:trPr>
        <w:tc>
          <w:tcPr>
            <w:tcW w:w="668" w:type="dxa"/>
            <w:vAlign w:val="center"/>
            <w:hideMark/>
          </w:tcPr>
          <w:p w14:paraId="4CEE461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163</w:t>
            </w:r>
          </w:p>
        </w:tc>
        <w:tc>
          <w:tcPr>
            <w:tcW w:w="3835" w:type="dxa"/>
            <w:vAlign w:val="center"/>
            <w:hideMark/>
          </w:tcPr>
          <w:p w14:paraId="6C04F57E" w14:textId="77777777" w:rsidR="00EA38F6" w:rsidRPr="000864AE" w:rsidRDefault="00EA38F6" w:rsidP="000864AE">
            <w:pPr>
              <w:rPr>
                <w:rFonts w:ascii="Verdana" w:hAnsi="Verdana"/>
                <w:sz w:val="18"/>
                <w:szCs w:val="18"/>
              </w:rPr>
            </w:pPr>
            <w:r w:rsidRPr="000864AE">
              <w:rPr>
                <w:rFonts w:ascii="Verdana" w:hAnsi="Verdana"/>
                <w:sz w:val="18"/>
                <w:szCs w:val="18"/>
              </w:rPr>
              <w:t>Costa Morales Rosina</w:t>
            </w:r>
          </w:p>
        </w:tc>
      </w:tr>
      <w:tr w:rsidR="00EA38F6" w:rsidRPr="000864AE" w14:paraId="2EEA642F" w14:textId="77777777" w:rsidTr="00AC0C51">
        <w:trPr>
          <w:trHeight w:val="300"/>
        </w:trPr>
        <w:tc>
          <w:tcPr>
            <w:tcW w:w="668" w:type="dxa"/>
            <w:vAlign w:val="center"/>
            <w:hideMark/>
          </w:tcPr>
          <w:p w14:paraId="6FF33C3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164</w:t>
            </w:r>
          </w:p>
        </w:tc>
        <w:tc>
          <w:tcPr>
            <w:tcW w:w="3835" w:type="dxa"/>
            <w:vAlign w:val="center"/>
            <w:hideMark/>
          </w:tcPr>
          <w:p w14:paraId="6159038F" w14:textId="77777777" w:rsidR="00EA38F6" w:rsidRPr="000864AE" w:rsidRDefault="00EA38F6" w:rsidP="000864AE">
            <w:pPr>
              <w:rPr>
                <w:rFonts w:ascii="Verdana" w:hAnsi="Verdana"/>
                <w:sz w:val="18"/>
                <w:szCs w:val="18"/>
              </w:rPr>
            </w:pPr>
            <w:r w:rsidRPr="000864AE">
              <w:rPr>
                <w:rFonts w:ascii="Verdana" w:hAnsi="Verdana"/>
                <w:sz w:val="18"/>
                <w:szCs w:val="18"/>
              </w:rPr>
              <w:t xml:space="preserve">Cruz Mac Lean Dante Salomón </w:t>
            </w:r>
          </w:p>
        </w:tc>
      </w:tr>
      <w:tr w:rsidR="00EA38F6" w:rsidRPr="000864AE" w14:paraId="60C37438" w14:textId="77777777" w:rsidTr="00AC0C51">
        <w:trPr>
          <w:trHeight w:val="285"/>
        </w:trPr>
        <w:tc>
          <w:tcPr>
            <w:tcW w:w="668" w:type="dxa"/>
            <w:vAlign w:val="center"/>
            <w:hideMark/>
          </w:tcPr>
          <w:p w14:paraId="711233B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165</w:t>
            </w:r>
          </w:p>
        </w:tc>
        <w:tc>
          <w:tcPr>
            <w:tcW w:w="3835" w:type="dxa"/>
            <w:vAlign w:val="center"/>
            <w:hideMark/>
          </w:tcPr>
          <w:p w14:paraId="6257E39A" w14:textId="77777777" w:rsidR="00EA38F6" w:rsidRPr="000864AE" w:rsidRDefault="00EA38F6" w:rsidP="000864AE">
            <w:pPr>
              <w:rPr>
                <w:rFonts w:ascii="Verdana" w:hAnsi="Verdana"/>
                <w:sz w:val="18"/>
                <w:szCs w:val="18"/>
              </w:rPr>
            </w:pPr>
            <w:r w:rsidRPr="000864AE">
              <w:rPr>
                <w:rFonts w:ascii="Verdana" w:hAnsi="Verdana"/>
                <w:sz w:val="18"/>
                <w:szCs w:val="18"/>
              </w:rPr>
              <w:t>Cuba Torres José Luis</w:t>
            </w:r>
          </w:p>
        </w:tc>
      </w:tr>
      <w:tr w:rsidR="00EA38F6" w:rsidRPr="000864AE" w14:paraId="05CEC54D" w14:textId="77777777" w:rsidTr="00AC0C51">
        <w:trPr>
          <w:trHeight w:val="300"/>
        </w:trPr>
        <w:tc>
          <w:tcPr>
            <w:tcW w:w="668" w:type="dxa"/>
            <w:vAlign w:val="center"/>
            <w:hideMark/>
          </w:tcPr>
          <w:p w14:paraId="454E6A0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166</w:t>
            </w:r>
          </w:p>
        </w:tc>
        <w:tc>
          <w:tcPr>
            <w:tcW w:w="3835" w:type="dxa"/>
            <w:vAlign w:val="center"/>
            <w:hideMark/>
          </w:tcPr>
          <w:p w14:paraId="6C47492A" w14:textId="77777777" w:rsidR="00EA38F6" w:rsidRPr="000864AE" w:rsidRDefault="00EA38F6" w:rsidP="000864AE">
            <w:pPr>
              <w:rPr>
                <w:rFonts w:ascii="Verdana" w:hAnsi="Verdana"/>
                <w:sz w:val="18"/>
                <w:szCs w:val="18"/>
              </w:rPr>
            </w:pPr>
            <w:r w:rsidRPr="000864AE">
              <w:rPr>
                <w:rFonts w:ascii="Verdana" w:hAnsi="Verdana"/>
                <w:sz w:val="18"/>
                <w:szCs w:val="18"/>
              </w:rPr>
              <w:t>Cuervo Larrea Mario Antonio</w:t>
            </w:r>
          </w:p>
        </w:tc>
      </w:tr>
      <w:tr w:rsidR="00EA38F6" w:rsidRPr="000864AE" w14:paraId="5077A379" w14:textId="77777777" w:rsidTr="00AC0C51">
        <w:trPr>
          <w:trHeight w:val="300"/>
        </w:trPr>
        <w:tc>
          <w:tcPr>
            <w:tcW w:w="668" w:type="dxa"/>
            <w:vAlign w:val="center"/>
            <w:hideMark/>
          </w:tcPr>
          <w:p w14:paraId="6873C3F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167</w:t>
            </w:r>
          </w:p>
        </w:tc>
        <w:tc>
          <w:tcPr>
            <w:tcW w:w="3835" w:type="dxa"/>
            <w:vAlign w:val="center"/>
            <w:hideMark/>
          </w:tcPr>
          <w:p w14:paraId="3C31758E" w14:textId="77777777" w:rsidR="00EA38F6" w:rsidRPr="000864AE" w:rsidRDefault="00EA38F6" w:rsidP="000864AE">
            <w:pPr>
              <w:rPr>
                <w:rFonts w:ascii="Verdana" w:hAnsi="Verdana"/>
                <w:sz w:val="18"/>
                <w:szCs w:val="18"/>
              </w:rPr>
            </w:pPr>
            <w:r w:rsidRPr="000864AE">
              <w:rPr>
                <w:rFonts w:ascii="Verdana" w:hAnsi="Verdana"/>
                <w:sz w:val="18"/>
                <w:szCs w:val="18"/>
              </w:rPr>
              <w:t>Cueva Lluncor José Francisco</w:t>
            </w:r>
          </w:p>
        </w:tc>
      </w:tr>
      <w:tr w:rsidR="00EA38F6" w:rsidRPr="000864AE" w14:paraId="096BF292" w14:textId="77777777" w:rsidTr="00AC0C51">
        <w:trPr>
          <w:trHeight w:val="300"/>
        </w:trPr>
        <w:tc>
          <w:tcPr>
            <w:tcW w:w="668" w:type="dxa"/>
            <w:vAlign w:val="center"/>
            <w:hideMark/>
          </w:tcPr>
          <w:p w14:paraId="18C73F7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168</w:t>
            </w:r>
          </w:p>
        </w:tc>
        <w:tc>
          <w:tcPr>
            <w:tcW w:w="3835" w:type="dxa"/>
            <w:vAlign w:val="center"/>
            <w:hideMark/>
          </w:tcPr>
          <w:p w14:paraId="2EDA57ED" w14:textId="77777777" w:rsidR="00EA38F6" w:rsidRPr="000864AE" w:rsidRDefault="00EA38F6" w:rsidP="000864AE">
            <w:pPr>
              <w:rPr>
                <w:rFonts w:ascii="Verdana" w:hAnsi="Verdana"/>
                <w:sz w:val="18"/>
                <w:szCs w:val="18"/>
              </w:rPr>
            </w:pPr>
            <w:r w:rsidRPr="000864AE">
              <w:rPr>
                <w:rFonts w:ascii="Verdana" w:hAnsi="Verdana"/>
                <w:sz w:val="18"/>
                <w:szCs w:val="18"/>
              </w:rPr>
              <w:t>Cunti Bardales Nancy Ruth</w:t>
            </w:r>
          </w:p>
        </w:tc>
      </w:tr>
      <w:tr w:rsidR="00EA38F6" w:rsidRPr="000864AE" w14:paraId="353DF70E" w14:textId="77777777" w:rsidTr="00AC0C51">
        <w:trPr>
          <w:trHeight w:val="300"/>
        </w:trPr>
        <w:tc>
          <w:tcPr>
            <w:tcW w:w="668" w:type="dxa"/>
            <w:vAlign w:val="center"/>
            <w:hideMark/>
          </w:tcPr>
          <w:p w14:paraId="0D458BD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169</w:t>
            </w:r>
          </w:p>
        </w:tc>
        <w:tc>
          <w:tcPr>
            <w:tcW w:w="3835" w:type="dxa"/>
            <w:vAlign w:val="center"/>
            <w:hideMark/>
          </w:tcPr>
          <w:p w14:paraId="4013089B" w14:textId="77777777" w:rsidR="00EA38F6" w:rsidRPr="000864AE" w:rsidRDefault="00EA38F6" w:rsidP="000864AE">
            <w:pPr>
              <w:rPr>
                <w:rFonts w:ascii="Verdana" w:hAnsi="Verdana"/>
                <w:sz w:val="18"/>
                <w:szCs w:val="18"/>
              </w:rPr>
            </w:pPr>
            <w:r w:rsidRPr="000864AE">
              <w:rPr>
                <w:rFonts w:ascii="Verdana" w:hAnsi="Verdana"/>
                <w:sz w:val="18"/>
                <w:szCs w:val="18"/>
              </w:rPr>
              <w:t>Cunyas Pino Luis Antonio</w:t>
            </w:r>
          </w:p>
        </w:tc>
      </w:tr>
      <w:tr w:rsidR="00EA38F6" w:rsidRPr="000864AE" w14:paraId="086D8A8F" w14:textId="77777777" w:rsidTr="00AC0C51">
        <w:trPr>
          <w:trHeight w:val="300"/>
        </w:trPr>
        <w:tc>
          <w:tcPr>
            <w:tcW w:w="668" w:type="dxa"/>
            <w:vAlign w:val="center"/>
            <w:hideMark/>
          </w:tcPr>
          <w:p w14:paraId="253B984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170</w:t>
            </w:r>
          </w:p>
        </w:tc>
        <w:tc>
          <w:tcPr>
            <w:tcW w:w="3835" w:type="dxa"/>
            <w:vAlign w:val="center"/>
            <w:hideMark/>
          </w:tcPr>
          <w:p w14:paraId="7A4D7424" w14:textId="77777777" w:rsidR="00EA38F6" w:rsidRPr="000864AE" w:rsidRDefault="00EA38F6" w:rsidP="000864AE">
            <w:pPr>
              <w:rPr>
                <w:rFonts w:ascii="Verdana" w:hAnsi="Verdana"/>
                <w:sz w:val="18"/>
                <w:szCs w:val="18"/>
              </w:rPr>
            </w:pPr>
            <w:r w:rsidRPr="000864AE">
              <w:rPr>
                <w:rFonts w:ascii="Verdana" w:hAnsi="Verdana"/>
                <w:sz w:val="18"/>
                <w:szCs w:val="18"/>
              </w:rPr>
              <w:t>Curse Montoya Jorge</w:t>
            </w:r>
          </w:p>
        </w:tc>
      </w:tr>
      <w:tr w:rsidR="00EA38F6" w:rsidRPr="000864AE" w14:paraId="51FA7D9A" w14:textId="77777777" w:rsidTr="00AC0C51">
        <w:trPr>
          <w:trHeight w:val="300"/>
        </w:trPr>
        <w:tc>
          <w:tcPr>
            <w:tcW w:w="668" w:type="dxa"/>
            <w:vAlign w:val="center"/>
            <w:hideMark/>
          </w:tcPr>
          <w:p w14:paraId="6D693EA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171</w:t>
            </w:r>
          </w:p>
        </w:tc>
        <w:tc>
          <w:tcPr>
            <w:tcW w:w="3835" w:type="dxa"/>
            <w:vAlign w:val="center"/>
            <w:hideMark/>
          </w:tcPr>
          <w:p w14:paraId="7994868B" w14:textId="77777777" w:rsidR="00EA38F6" w:rsidRPr="000864AE" w:rsidRDefault="00EA38F6" w:rsidP="000864AE">
            <w:pPr>
              <w:rPr>
                <w:rFonts w:ascii="Verdana" w:hAnsi="Verdana"/>
                <w:sz w:val="18"/>
                <w:szCs w:val="18"/>
              </w:rPr>
            </w:pPr>
            <w:r w:rsidRPr="000864AE">
              <w:rPr>
                <w:rFonts w:ascii="Verdana" w:hAnsi="Verdana"/>
                <w:sz w:val="18"/>
                <w:szCs w:val="18"/>
              </w:rPr>
              <w:t>Daga Soto Máximo</w:t>
            </w:r>
          </w:p>
        </w:tc>
      </w:tr>
      <w:tr w:rsidR="00EA38F6" w:rsidRPr="000864AE" w14:paraId="51B7BD33" w14:textId="77777777" w:rsidTr="00AC0C51">
        <w:trPr>
          <w:trHeight w:val="300"/>
        </w:trPr>
        <w:tc>
          <w:tcPr>
            <w:tcW w:w="668" w:type="dxa"/>
            <w:vAlign w:val="center"/>
            <w:hideMark/>
          </w:tcPr>
          <w:p w14:paraId="11B1679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172</w:t>
            </w:r>
          </w:p>
        </w:tc>
        <w:tc>
          <w:tcPr>
            <w:tcW w:w="3835" w:type="dxa"/>
            <w:vAlign w:val="center"/>
            <w:hideMark/>
          </w:tcPr>
          <w:p w14:paraId="5DDF11B9" w14:textId="77777777" w:rsidR="00EA38F6" w:rsidRPr="000864AE" w:rsidRDefault="00EA38F6" w:rsidP="000864AE">
            <w:pPr>
              <w:rPr>
                <w:rFonts w:ascii="Verdana" w:hAnsi="Verdana"/>
                <w:sz w:val="18"/>
                <w:szCs w:val="18"/>
              </w:rPr>
            </w:pPr>
            <w:r w:rsidRPr="000864AE">
              <w:rPr>
                <w:rFonts w:ascii="Verdana" w:hAnsi="Verdana"/>
                <w:sz w:val="18"/>
                <w:szCs w:val="18"/>
              </w:rPr>
              <w:t>Dávila Avellaneda Demetrio</w:t>
            </w:r>
          </w:p>
        </w:tc>
      </w:tr>
      <w:tr w:rsidR="00EA38F6" w:rsidRPr="000864AE" w14:paraId="595D7421" w14:textId="77777777" w:rsidTr="00AC0C51">
        <w:trPr>
          <w:trHeight w:val="300"/>
        </w:trPr>
        <w:tc>
          <w:tcPr>
            <w:tcW w:w="668" w:type="dxa"/>
            <w:vAlign w:val="center"/>
            <w:hideMark/>
          </w:tcPr>
          <w:p w14:paraId="10E222F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173</w:t>
            </w:r>
          </w:p>
        </w:tc>
        <w:tc>
          <w:tcPr>
            <w:tcW w:w="3835" w:type="dxa"/>
            <w:vAlign w:val="center"/>
            <w:hideMark/>
          </w:tcPr>
          <w:p w14:paraId="4E637A73" w14:textId="77777777" w:rsidR="00EA38F6" w:rsidRPr="000864AE" w:rsidRDefault="00EA38F6" w:rsidP="000864AE">
            <w:pPr>
              <w:rPr>
                <w:rFonts w:ascii="Verdana" w:hAnsi="Verdana"/>
                <w:sz w:val="18"/>
                <w:szCs w:val="18"/>
              </w:rPr>
            </w:pPr>
            <w:r w:rsidRPr="000864AE">
              <w:rPr>
                <w:rFonts w:ascii="Verdana" w:hAnsi="Verdana"/>
                <w:sz w:val="18"/>
                <w:szCs w:val="18"/>
              </w:rPr>
              <w:t>Dávila Mango Nemo Andrés</w:t>
            </w:r>
          </w:p>
        </w:tc>
      </w:tr>
      <w:tr w:rsidR="00EA38F6" w:rsidRPr="000864AE" w14:paraId="03F6038D" w14:textId="77777777" w:rsidTr="00AC0C51">
        <w:trPr>
          <w:trHeight w:val="300"/>
        </w:trPr>
        <w:tc>
          <w:tcPr>
            <w:tcW w:w="668" w:type="dxa"/>
            <w:vAlign w:val="center"/>
            <w:hideMark/>
          </w:tcPr>
          <w:p w14:paraId="713CF47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174</w:t>
            </w:r>
          </w:p>
        </w:tc>
        <w:tc>
          <w:tcPr>
            <w:tcW w:w="3835" w:type="dxa"/>
            <w:vAlign w:val="center"/>
            <w:hideMark/>
          </w:tcPr>
          <w:p w14:paraId="4A7BA1AB" w14:textId="77777777" w:rsidR="00EA38F6" w:rsidRPr="000864AE" w:rsidRDefault="00EA38F6" w:rsidP="000864AE">
            <w:pPr>
              <w:rPr>
                <w:rFonts w:ascii="Verdana" w:hAnsi="Verdana"/>
                <w:sz w:val="18"/>
                <w:szCs w:val="18"/>
              </w:rPr>
            </w:pPr>
            <w:r w:rsidRPr="000864AE">
              <w:rPr>
                <w:rFonts w:ascii="Verdana" w:hAnsi="Verdana"/>
                <w:sz w:val="18"/>
                <w:szCs w:val="18"/>
              </w:rPr>
              <w:t>Dávila Ramírez Segundo Diómedes</w:t>
            </w:r>
          </w:p>
        </w:tc>
      </w:tr>
      <w:tr w:rsidR="00EA38F6" w:rsidRPr="000864AE" w14:paraId="51C1E078" w14:textId="77777777" w:rsidTr="00AC0C51">
        <w:trPr>
          <w:trHeight w:val="300"/>
        </w:trPr>
        <w:tc>
          <w:tcPr>
            <w:tcW w:w="668" w:type="dxa"/>
            <w:vAlign w:val="center"/>
            <w:hideMark/>
          </w:tcPr>
          <w:p w14:paraId="0FF2F75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175</w:t>
            </w:r>
          </w:p>
        </w:tc>
        <w:tc>
          <w:tcPr>
            <w:tcW w:w="3835" w:type="dxa"/>
            <w:vAlign w:val="center"/>
            <w:hideMark/>
          </w:tcPr>
          <w:p w14:paraId="77068FA7" w14:textId="77777777" w:rsidR="00EA38F6" w:rsidRPr="000864AE" w:rsidRDefault="00EA38F6" w:rsidP="000864AE">
            <w:pPr>
              <w:rPr>
                <w:rFonts w:ascii="Verdana" w:hAnsi="Verdana"/>
                <w:sz w:val="18"/>
                <w:szCs w:val="18"/>
              </w:rPr>
            </w:pPr>
            <w:r w:rsidRPr="000864AE">
              <w:rPr>
                <w:rFonts w:ascii="Verdana" w:hAnsi="Verdana"/>
                <w:sz w:val="18"/>
                <w:szCs w:val="18"/>
              </w:rPr>
              <w:t>Dávila Reátegui Jorge Alberto</w:t>
            </w:r>
          </w:p>
        </w:tc>
      </w:tr>
      <w:tr w:rsidR="00EA38F6" w:rsidRPr="000864AE" w14:paraId="02EC2039" w14:textId="77777777" w:rsidTr="00AC0C51">
        <w:trPr>
          <w:trHeight w:val="300"/>
        </w:trPr>
        <w:tc>
          <w:tcPr>
            <w:tcW w:w="668" w:type="dxa"/>
            <w:vAlign w:val="center"/>
            <w:hideMark/>
          </w:tcPr>
          <w:p w14:paraId="15CD3D8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176</w:t>
            </w:r>
          </w:p>
        </w:tc>
        <w:tc>
          <w:tcPr>
            <w:tcW w:w="3835" w:type="dxa"/>
            <w:vAlign w:val="center"/>
            <w:hideMark/>
          </w:tcPr>
          <w:p w14:paraId="7DBE2707" w14:textId="77777777" w:rsidR="00EA38F6" w:rsidRPr="000864AE" w:rsidRDefault="00EA38F6" w:rsidP="000864AE">
            <w:pPr>
              <w:rPr>
                <w:rFonts w:ascii="Verdana" w:hAnsi="Verdana"/>
                <w:sz w:val="18"/>
                <w:szCs w:val="18"/>
              </w:rPr>
            </w:pPr>
            <w:r w:rsidRPr="000864AE">
              <w:rPr>
                <w:rFonts w:ascii="Verdana" w:hAnsi="Verdana"/>
                <w:sz w:val="18"/>
                <w:szCs w:val="18"/>
              </w:rPr>
              <w:t>De La Cruz Casos Oswaldo</w:t>
            </w:r>
          </w:p>
        </w:tc>
      </w:tr>
      <w:tr w:rsidR="00EA38F6" w:rsidRPr="000864AE" w14:paraId="3970AB8E" w14:textId="77777777" w:rsidTr="00AC0C51">
        <w:trPr>
          <w:trHeight w:val="300"/>
        </w:trPr>
        <w:tc>
          <w:tcPr>
            <w:tcW w:w="668" w:type="dxa"/>
            <w:vAlign w:val="center"/>
            <w:hideMark/>
          </w:tcPr>
          <w:p w14:paraId="379CD4B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177</w:t>
            </w:r>
          </w:p>
        </w:tc>
        <w:tc>
          <w:tcPr>
            <w:tcW w:w="3835" w:type="dxa"/>
            <w:vAlign w:val="center"/>
            <w:hideMark/>
          </w:tcPr>
          <w:p w14:paraId="169A530C" w14:textId="77777777" w:rsidR="00EA38F6" w:rsidRPr="000864AE" w:rsidRDefault="00EA38F6" w:rsidP="000864AE">
            <w:pPr>
              <w:rPr>
                <w:rFonts w:ascii="Verdana" w:hAnsi="Verdana"/>
                <w:sz w:val="18"/>
                <w:szCs w:val="18"/>
              </w:rPr>
            </w:pPr>
            <w:r w:rsidRPr="000864AE">
              <w:rPr>
                <w:rFonts w:ascii="Verdana" w:hAnsi="Verdana"/>
                <w:sz w:val="18"/>
                <w:szCs w:val="18"/>
              </w:rPr>
              <w:t>De La Cruz López Juan</w:t>
            </w:r>
          </w:p>
        </w:tc>
      </w:tr>
      <w:tr w:rsidR="00EA38F6" w:rsidRPr="000864AE" w14:paraId="51E16A8E" w14:textId="77777777" w:rsidTr="00AC0C51">
        <w:trPr>
          <w:trHeight w:val="300"/>
        </w:trPr>
        <w:tc>
          <w:tcPr>
            <w:tcW w:w="668" w:type="dxa"/>
            <w:vAlign w:val="center"/>
            <w:hideMark/>
          </w:tcPr>
          <w:p w14:paraId="3272494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178</w:t>
            </w:r>
          </w:p>
        </w:tc>
        <w:tc>
          <w:tcPr>
            <w:tcW w:w="3835" w:type="dxa"/>
            <w:vAlign w:val="center"/>
            <w:hideMark/>
          </w:tcPr>
          <w:p w14:paraId="65719802" w14:textId="77777777" w:rsidR="00EA38F6" w:rsidRPr="000864AE" w:rsidRDefault="00EA38F6" w:rsidP="000864AE">
            <w:pPr>
              <w:rPr>
                <w:rFonts w:ascii="Verdana" w:hAnsi="Verdana"/>
                <w:sz w:val="18"/>
                <w:szCs w:val="18"/>
              </w:rPr>
            </w:pPr>
            <w:r w:rsidRPr="000864AE">
              <w:rPr>
                <w:rFonts w:ascii="Verdana" w:hAnsi="Verdana"/>
                <w:sz w:val="18"/>
                <w:szCs w:val="18"/>
              </w:rPr>
              <w:t>De La Fuente Guzmán María Adelina</w:t>
            </w:r>
          </w:p>
        </w:tc>
      </w:tr>
      <w:tr w:rsidR="00EA38F6" w:rsidRPr="000864AE" w14:paraId="4EAA7CE0" w14:textId="77777777" w:rsidTr="00AC0C51">
        <w:trPr>
          <w:trHeight w:val="300"/>
        </w:trPr>
        <w:tc>
          <w:tcPr>
            <w:tcW w:w="668" w:type="dxa"/>
            <w:vAlign w:val="center"/>
            <w:hideMark/>
          </w:tcPr>
          <w:p w14:paraId="4FC19DA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179</w:t>
            </w:r>
          </w:p>
        </w:tc>
        <w:tc>
          <w:tcPr>
            <w:tcW w:w="3835" w:type="dxa"/>
            <w:vAlign w:val="center"/>
            <w:hideMark/>
          </w:tcPr>
          <w:p w14:paraId="51CA083A" w14:textId="77777777" w:rsidR="00EA38F6" w:rsidRPr="000864AE" w:rsidRDefault="00EA38F6" w:rsidP="000864AE">
            <w:pPr>
              <w:rPr>
                <w:rFonts w:ascii="Verdana" w:hAnsi="Verdana"/>
                <w:sz w:val="18"/>
                <w:szCs w:val="18"/>
              </w:rPr>
            </w:pPr>
            <w:r w:rsidRPr="000864AE">
              <w:rPr>
                <w:rFonts w:ascii="Verdana" w:hAnsi="Verdana"/>
                <w:sz w:val="18"/>
                <w:szCs w:val="18"/>
              </w:rPr>
              <w:t>Del Carmen Sánchez Martha</w:t>
            </w:r>
          </w:p>
        </w:tc>
      </w:tr>
      <w:tr w:rsidR="00EA38F6" w:rsidRPr="000864AE" w14:paraId="61F82D44" w14:textId="77777777" w:rsidTr="00AC0C51">
        <w:trPr>
          <w:trHeight w:val="300"/>
        </w:trPr>
        <w:tc>
          <w:tcPr>
            <w:tcW w:w="668" w:type="dxa"/>
            <w:vAlign w:val="center"/>
            <w:hideMark/>
          </w:tcPr>
          <w:p w14:paraId="7D85751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180</w:t>
            </w:r>
          </w:p>
        </w:tc>
        <w:tc>
          <w:tcPr>
            <w:tcW w:w="3835" w:type="dxa"/>
            <w:vAlign w:val="center"/>
            <w:hideMark/>
          </w:tcPr>
          <w:p w14:paraId="03EACE47" w14:textId="77777777" w:rsidR="00EA38F6" w:rsidRPr="000864AE" w:rsidRDefault="00EA38F6" w:rsidP="000864AE">
            <w:pPr>
              <w:rPr>
                <w:rFonts w:ascii="Verdana" w:hAnsi="Verdana"/>
                <w:sz w:val="18"/>
                <w:szCs w:val="18"/>
              </w:rPr>
            </w:pPr>
            <w:r w:rsidRPr="000864AE">
              <w:rPr>
                <w:rFonts w:ascii="Verdana" w:hAnsi="Verdana"/>
                <w:sz w:val="18"/>
                <w:szCs w:val="18"/>
              </w:rPr>
              <w:t>Del Pino Martínez Carmen Ofelia</w:t>
            </w:r>
          </w:p>
        </w:tc>
      </w:tr>
      <w:tr w:rsidR="00EA38F6" w:rsidRPr="000864AE" w14:paraId="2F4305F3" w14:textId="77777777" w:rsidTr="00AC0C51">
        <w:trPr>
          <w:trHeight w:val="300"/>
        </w:trPr>
        <w:tc>
          <w:tcPr>
            <w:tcW w:w="668" w:type="dxa"/>
            <w:vAlign w:val="center"/>
            <w:hideMark/>
          </w:tcPr>
          <w:p w14:paraId="08ED81B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181</w:t>
            </w:r>
          </w:p>
        </w:tc>
        <w:tc>
          <w:tcPr>
            <w:tcW w:w="3835" w:type="dxa"/>
            <w:vAlign w:val="center"/>
            <w:hideMark/>
          </w:tcPr>
          <w:p w14:paraId="1A97090D" w14:textId="77777777" w:rsidR="00EA38F6" w:rsidRPr="000864AE" w:rsidRDefault="00EA38F6" w:rsidP="000864AE">
            <w:pPr>
              <w:rPr>
                <w:rFonts w:ascii="Verdana" w:hAnsi="Verdana"/>
                <w:sz w:val="18"/>
                <w:szCs w:val="18"/>
              </w:rPr>
            </w:pPr>
            <w:r w:rsidRPr="000864AE">
              <w:rPr>
                <w:rFonts w:ascii="Verdana" w:hAnsi="Verdana"/>
                <w:sz w:val="18"/>
                <w:szCs w:val="18"/>
              </w:rPr>
              <w:t>Del Valle Gonzáles Jorge Atilio</w:t>
            </w:r>
          </w:p>
        </w:tc>
      </w:tr>
      <w:tr w:rsidR="00EA38F6" w:rsidRPr="000864AE" w14:paraId="62B083FB" w14:textId="77777777" w:rsidTr="00AC0C51">
        <w:trPr>
          <w:trHeight w:val="300"/>
        </w:trPr>
        <w:tc>
          <w:tcPr>
            <w:tcW w:w="668" w:type="dxa"/>
            <w:vAlign w:val="center"/>
            <w:hideMark/>
          </w:tcPr>
          <w:p w14:paraId="3948070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182</w:t>
            </w:r>
          </w:p>
        </w:tc>
        <w:tc>
          <w:tcPr>
            <w:tcW w:w="3835" w:type="dxa"/>
            <w:vAlign w:val="center"/>
            <w:hideMark/>
          </w:tcPr>
          <w:p w14:paraId="1B4289E3" w14:textId="77777777" w:rsidR="00EA38F6" w:rsidRPr="000864AE" w:rsidRDefault="00EA38F6" w:rsidP="000864AE">
            <w:pPr>
              <w:rPr>
                <w:rFonts w:ascii="Verdana" w:hAnsi="Verdana"/>
                <w:sz w:val="18"/>
                <w:szCs w:val="18"/>
              </w:rPr>
            </w:pPr>
            <w:r w:rsidRPr="000864AE">
              <w:rPr>
                <w:rFonts w:ascii="Verdana" w:hAnsi="Verdana"/>
                <w:sz w:val="18"/>
                <w:szCs w:val="18"/>
              </w:rPr>
              <w:t>Delgado Coronado Rosalie</w:t>
            </w:r>
          </w:p>
        </w:tc>
      </w:tr>
      <w:tr w:rsidR="00EA38F6" w:rsidRPr="000864AE" w14:paraId="21E4675F" w14:textId="77777777" w:rsidTr="00AC0C51">
        <w:trPr>
          <w:trHeight w:val="300"/>
        </w:trPr>
        <w:tc>
          <w:tcPr>
            <w:tcW w:w="668" w:type="dxa"/>
            <w:vAlign w:val="center"/>
            <w:hideMark/>
          </w:tcPr>
          <w:p w14:paraId="28C42F1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183</w:t>
            </w:r>
          </w:p>
        </w:tc>
        <w:tc>
          <w:tcPr>
            <w:tcW w:w="3835" w:type="dxa"/>
            <w:vAlign w:val="center"/>
            <w:hideMark/>
          </w:tcPr>
          <w:p w14:paraId="094E74D3" w14:textId="77777777" w:rsidR="00EA38F6" w:rsidRPr="000864AE" w:rsidRDefault="00EA38F6" w:rsidP="000864AE">
            <w:pPr>
              <w:rPr>
                <w:rFonts w:ascii="Verdana" w:hAnsi="Verdana"/>
                <w:sz w:val="18"/>
                <w:szCs w:val="18"/>
              </w:rPr>
            </w:pPr>
            <w:r w:rsidRPr="000864AE">
              <w:rPr>
                <w:rFonts w:ascii="Verdana" w:hAnsi="Verdana"/>
                <w:sz w:val="18"/>
                <w:szCs w:val="18"/>
              </w:rPr>
              <w:t>Delgado Pedrozo Samuel Daniel</w:t>
            </w:r>
          </w:p>
        </w:tc>
      </w:tr>
      <w:tr w:rsidR="00EA38F6" w:rsidRPr="000864AE" w14:paraId="5B669A4C" w14:textId="77777777" w:rsidTr="00AC0C51">
        <w:trPr>
          <w:trHeight w:val="300"/>
        </w:trPr>
        <w:tc>
          <w:tcPr>
            <w:tcW w:w="668" w:type="dxa"/>
            <w:vAlign w:val="center"/>
            <w:hideMark/>
          </w:tcPr>
          <w:p w14:paraId="525E5B2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184</w:t>
            </w:r>
          </w:p>
        </w:tc>
        <w:tc>
          <w:tcPr>
            <w:tcW w:w="3835" w:type="dxa"/>
            <w:vAlign w:val="center"/>
            <w:hideMark/>
          </w:tcPr>
          <w:p w14:paraId="08DB2D54" w14:textId="77777777" w:rsidR="00EA38F6" w:rsidRPr="000864AE" w:rsidRDefault="00EA38F6" w:rsidP="000864AE">
            <w:pPr>
              <w:rPr>
                <w:rFonts w:ascii="Verdana" w:hAnsi="Verdana"/>
                <w:sz w:val="18"/>
                <w:szCs w:val="18"/>
              </w:rPr>
            </w:pPr>
            <w:r w:rsidRPr="000864AE">
              <w:rPr>
                <w:rFonts w:ascii="Verdana" w:hAnsi="Verdana"/>
                <w:sz w:val="18"/>
                <w:szCs w:val="18"/>
              </w:rPr>
              <w:t>Delgado Rojas Ledy Bessy</w:t>
            </w:r>
          </w:p>
        </w:tc>
      </w:tr>
      <w:tr w:rsidR="00EA38F6" w:rsidRPr="000864AE" w14:paraId="0F4A830B" w14:textId="77777777" w:rsidTr="00AC0C51">
        <w:trPr>
          <w:trHeight w:val="300"/>
        </w:trPr>
        <w:tc>
          <w:tcPr>
            <w:tcW w:w="668" w:type="dxa"/>
            <w:vAlign w:val="center"/>
            <w:hideMark/>
          </w:tcPr>
          <w:p w14:paraId="0A3A4AF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185</w:t>
            </w:r>
          </w:p>
        </w:tc>
        <w:tc>
          <w:tcPr>
            <w:tcW w:w="3835" w:type="dxa"/>
            <w:vAlign w:val="center"/>
            <w:hideMark/>
          </w:tcPr>
          <w:p w14:paraId="795A10FC" w14:textId="77777777" w:rsidR="00EA38F6" w:rsidRPr="000864AE" w:rsidRDefault="00EA38F6" w:rsidP="000864AE">
            <w:pPr>
              <w:rPr>
                <w:rFonts w:ascii="Verdana" w:hAnsi="Verdana"/>
                <w:sz w:val="18"/>
                <w:szCs w:val="18"/>
              </w:rPr>
            </w:pPr>
            <w:r w:rsidRPr="000864AE">
              <w:rPr>
                <w:rFonts w:ascii="Verdana" w:hAnsi="Verdana"/>
                <w:sz w:val="18"/>
                <w:szCs w:val="18"/>
              </w:rPr>
              <w:t>Díaz Calderón Sixto Wenceslao</w:t>
            </w:r>
          </w:p>
        </w:tc>
      </w:tr>
      <w:tr w:rsidR="00EA38F6" w:rsidRPr="000864AE" w14:paraId="4DD64122" w14:textId="77777777" w:rsidTr="00AC0C51">
        <w:trPr>
          <w:trHeight w:val="300"/>
        </w:trPr>
        <w:tc>
          <w:tcPr>
            <w:tcW w:w="668" w:type="dxa"/>
            <w:vAlign w:val="center"/>
            <w:hideMark/>
          </w:tcPr>
          <w:p w14:paraId="3891FB4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186</w:t>
            </w:r>
          </w:p>
        </w:tc>
        <w:tc>
          <w:tcPr>
            <w:tcW w:w="3835" w:type="dxa"/>
            <w:vAlign w:val="center"/>
            <w:hideMark/>
          </w:tcPr>
          <w:p w14:paraId="53611101" w14:textId="77777777" w:rsidR="00EA38F6" w:rsidRPr="000864AE" w:rsidRDefault="00EA38F6" w:rsidP="000864AE">
            <w:pPr>
              <w:rPr>
                <w:rFonts w:ascii="Verdana" w:hAnsi="Verdana"/>
                <w:sz w:val="18"/>
                <w:szCs w:val="18"/>
              </w:rPr>
            </w:pPr>
            <w:r w:rsidRPr="000864AE">
              <w:rPr>
                <w:rFonts w:ascii="Verdana" w:hAnsi="Verdana"/>
                <w:sz w:val="18"/>
                <w:szCs w:val="18"/>
              </w:rPr>
              <w:t>Díaz Campoblanco Gladys Clorinda</w:t>
            </w:r>
          </w:p>
        </w:tc>
      </w:tr>
      <w:tr w:rsidR="00EA38F6" w:rsidRPr="000864AE" w14:paraId="4DD4138D" w14:textId="77777777" w:rsidTr="00AC0C51">
        <w:trPr>
          <w:trHeight w:val="300"/>
        </w:trPr>
        <w:tc>
          <w:tcPr>
            <w:tcW w:w="668" w:type="dxa"/>
            <w:vAlign w:val="center"/>
            <w:hideMark/>
          </w:tcPr>
          <w:p w14:paraId="2F8D932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187</w:t>
            </w:r>
          </w:p>
        </w:tc>
        <w:tc>
          <w:tcPr>
            <w:tcW w:w="3835" w:type="dxa"/>
            <w:vAlign w:val="center"/>
            <w:hideMark/>
          </w:tcPr>
          <w:p w14:paraId="6553759E" w14:textId="77777777" w:rsidR="00EA38F6" w:rsidRPr="000864AE" w:rsidRDefault="00EA38F6" w:rsidP="000864AE">
            <w:pPr>
              <w:rPr>
                <w:rFonts w:ascii="Verdana" w:hAnsi="Verdana"/>
                <w:sz w:val="18"/>
                <w:szCs w:val="18"/>
              </w:rPr>
            </w:pPr>
            <w:r w:rsidRPr="000864AE">
              <w:rPr>
                <w:rFonts w:ascii="Verdana" w:hAnsi="Verdana"/>
                <w:sz w:val="18"/>
                <w:szCs w:val="18"/>
              </w:rPr>
              <w:t>Díaz Cornejo Gladys Isolina</w:t>
            </w:r>
          </w:p>
        </w:tc>
      </w:tr>
      <w:tr w:rsidR="00EA38F6" w:rsidRPr="000864AE" w14:paraId="1A0B5B69" w14:textId="77777777" w:rsidTr="00AC0C51">
        <w:trPr>
          <w:trHeight w:val="300"/>
        </w:trPr>
        <w:tc>
          <w:tcPr>
            <w:tcW w:w="668" w:type="dxa"/>
            <w:vAlign w:val="center"/>
            <w:hideMark/>
          </w:tcPr>
          <w:p w14:paraId="5BFEEA4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188</w:t>
            </w:r>
          </w:p>
        </w:tc>
        <w:tc>
          <w:tcPr>
            <w:tcW w:w="3835" w:type="dxa"/>
            <w:vAlign w:val="center"/>
            <w:hideMark/>
          </w:tcPr>
          <w:p w14:paraId="5D6F8342" w14:textId="77777777" w:rsidR="00EA38F6" w:rsidRPr="000864AE" w:rsidRDefault="00EA38F6" w:rsidP="000864AE">
            <w:pPr>
              <w:rPr>
                <w:rFonts w:ascii="Verdana" w:hAnsi="Verdana"/>
                <w:sz w:val="18"/>
                <w:szCs w:val="18"/>
              </w:rPr>
            </w:pPr>
            <w:r w:rsidRPr="000864AE">
              <w:rPr>
                <w:rFonts w:ascii="Verdana" w:hAnsi="Verdana"/>
                <w:sz w:val="18"/>
                <w:szCs w:val="18"/>
              </w:rPr>
              <w:t>Díaz Delgado Gloria Lucero</w:t>
            </w:r>
          </w:p>
        </w:tc>
      </w:tr>
      <w:tr w:rsidR="00EA38F6" w:rsidRPr="000864AE" w14:paraId="0927BD87" w14:textId="77777777" w:rsidTr="00AC0C51">
        <w:trPr>
          <w:trHeight w:val="300"/>
        </w:trPr>
        <w:tc>
          <w:tcPr>
            <w:tcW w:w="668" w:type="dxa"/>
            <w:vAlign w:val="center"/>
            <w:hideMark/>
          </w:tcPr>
          <w:p w14:paraId="40BE9C3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189</w:t>
            </w:r>
          </w:p>
        </w:tc>
        <w:tc>
          <w:tcPr>
            <w:tcW w:w="3835" w:type="dxa"/>
            <w:vAlign w:val="center"/>
            <w:hideMark/>
          </w:tcPr>
          <w:p w14:paraId="6B7BD859" w14:textId="77777777" w:rsidR="00EA38F6" w:rsidRPr="000864AE" w:rsidRDefault="00EA38F6" w:rsidP="000864AE">
            <w:pPr>
              <w:rPr>
                <w:rFonts w:ascii="Verdana" w:hAnsi="Verdana"/>
                <w:sz w:val="18"/>
                <w:szCs w:val="18"/>
              </w:rPr>
            </w:pPr>
            <w:r w:rsidRPr="000864AE">
              <w:rPr>
                <w:rFonts w:ascii="Verdana" w:hAnsi="Verdana"/>
                <w:sz w:val="18"/>
                <w:szCs w:val="18"/>
              </w:rPr>
              <w:t>Díaz Reátegui De Mayor Ángela</w:t>
            </w:r>
          </w:p>
        </w:tc>
      </w:tr>
      <w:tr w:rsidR="00EA38F6" w:rsidRPr="000864AE" w14:paraId="578F2E3F" w14:textId="77777777" w:rsidTr="00AC0C51">
        <w:trPr>
          <w:trHeight w:val="300"/>
        </w:trPr>
        <w:tc>
          <w:tcPr>
            <w:tcW w:w="668" w:type="dxa"/>
            <w:vAlign w:val="center"/>
            <w:hideMark/>
          </w:tcPr>
          <w:p w14:paraId="549EACC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190</w:t>
            </w:r>
          </w:p>
        </w:tc>
        <w:tc>
          <w:tcPr>
            <w:tcW w:w="3835" w:type="dxa"/>
            <w:vAlign w:val="center"/>
            <w:hideMark/>
          </w:tcPr>
          <w:p w14:paraId="6657F642" w14:textId="77777777" w:rsidR="00EA38F6" w:rsidRPr="000864AE" w:rsidRDefault="00EA38F6" w:rsidP="000864AE">
            <w:pPr>
              <w:rPr>
                <w:rFonts w:ascii="Verdana" w:hAnsi="Verdana"/>
                <w:sz w:val="18"/>
                <w:szCs w:val="18"/>
              </w:rPr>
            </w:pPr>
            <w:r w:rsidRPr="000864AE">
              <w:rPr>
                <w:rFonts w:ascii="Verdana" w:hAnsi="Verdana"/>
                <w:sz w:val="18"/>
                <w:szCs w:val="18"/>
              </w:rPr>
              <w:t>Díaz Silva Judith Juana</w:t>
            </w:r>
          </w:p>
        </w:tc>
      </w:tr>
      <w:tr w:rsidR="00EA38F6" w:rsidRPr="000864AE" w14:paraId="3E4C2090" w14:textId="77777777" w:rsidTr="00AC0C51">
        <w:trPr>
          <w:trHeight w:val="300"/>
        </w:trPr>
        <w:tc>
          <w:tcPr>
            <w:tcW w:w="668" w:type="dxa"/>
            <w:vAlign w:val="center"/>
            <w:hideMark/>
          </w:tcPr>
          <w:p w14:paraId="2AEE12C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191</w:t>
            </w:r>
          </w:p>
        </w:tc>
        <w:tc>
          <w:tcPr>
            <w:tcW w:w="3835" w:type="dxa"/>
            <w:vAlign w:val="center"/>
            <w:hideMark/>
          </w:tcPr>
          <w:p w14:paraId="0A537214" w14:textId="77777777" w:rsidR="00EA38F6" w:rsidRPr="000864AE" w:rsidRDefault="00EA38F6" w:rsidP="000864AE">
            <w:pPr>
              <w:rPr>
                <w:rFonts w:ascii="Verdana" w:hAnsi="Verdana"/>
                <w:sz w:val="18"/>
                <w:szCs w:val="18"/>
              </w:rPr>
            </w:pPr>
            <w:r w:rsidRPr="000864AE">
              <w:rPr>
                <w:rFonts w:ascii="Verdana" w:hAnsi="Verdana"/>
                <w:sz w:val="18"/>
                <w:szCs w:val="18"/>
              </w:rPr>
              <w:t>Díaz Villavicencio Víctor Augusto</w:t>
            </w:r>
          </w:p>
        </w:tc>
      </w:tr>
      <w:tr w:rsidR="00EA38F6" w:rsidRPr="000864AE" w14:paraId="44EC35A7" w14:textId="77777777" w:rsidTr="00AC0C51">
        <w:trPr>
          <w:trHeight w:val="300"/>
        </w:trPr>
        <w:tc>
          <w:tcPr>
            <w:tcW w:w="668" w:type="dxa"/>
            <w:vAlign w:val="center"/>
            <w:hideMark/>
          </w:tcPr>
          <w:p w14:paraId="098A101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192</w:t>
            </w:r>
          </w:p>
        </w:tc>
        <w:tc>
          <w:tcPr>
            <w:tcW w:w="3835" w:type="dxa"/>
            <w:vAlign w:val="center"/>
            <w:hideMark/>
          </w:tcPr>
          <w:p w14:paraId="10987C7B" w14:textId="77777777" w:rsidR="00EA38F6" w:rsidRPr="000864AE" w:rsidRDefault="00EA38F6" w:rsidP="000864AE">
            <w:pPr>
              <w:rPr>
                <w:rFonts w:ascii="Verdana" w:hAnsi="Verdana"/>
                <w:sz w:val="18"/>
                <w:szCs w:val="18"/>
              </w:rPr>
            </w:pPr>
            <w:r w:rsidRPr="000864AE">
              <w:rPr>
                <w:rFonts w:ascii="Verdana" w:hAnsi="Verdana"/>
                <w:sz w:val="18"/>
                <w:szCs w:val="18"/>
              </w:rPr>
              <w:t>Diez Cerruti Isabel Constanza</w:t>
            </w:r>
          </w:p>
        </w:tc>
      </w:tr>
      <w:tr w:rsidR="00EA38F6" w:rsidRPr="000864AE" w14:paraId="74747EAD" w14:textId="77777777" w:rsidTr="00AC0C51">
        <w:trPr>
          <w:trHeight w:val="300"/>
        </w:trPr>
        <w:tc>
          <w:tcPr>
            <w:tcW w:w="668" w:type="dxa"/>
            <w:vAlign w:val="center"/>
            <w:hideMark/>
          </w:tcPr>
          <w:p w14:paraId="34D31FA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193</w:t>
            </w:r>
          </w:p>
        </w:tc>
        <w:tc>
          <w:tcPr>
            <w:tcW w:w="3835" w:type="dxa"/>
            <w:vAlign w:val="center"/>
            <w:hideMark/>
          </w:tcPr>
          <w:p w14:paraId="22716D22" w14:textId="77777777" w:rsidR="00EA38F6" w:rsidRPr="000864AE" w:rsidRDefault="00EA38F6" w:rsidP="000864AE">
            <w:pPr>
              <w:rPr>
                <w:rFonts w:ascii="Verdana" w:hAnsi="Verdana"/>
                <w:sz w:val="18"/>
                <w:szCs w:val="18"/>
              </w:rPr>
            </w:pPr>
            <w:r w:rsidRPr="000864AE">
              <w:rPr>
                <w:rFonts w:ascii="Verdana" w:hAnsi="Verdana"/>
                <w:sz w:val="18"/>
                <w:szCs w:val="18"/>
              </w:rPr>
              <w:t>Domínguez Pando Santos</w:t>
            </w:r>
          </w:p>
        </w:tc>
      </w:tr>
      <w:tr w:rsidR="00EA38F6" w:rsidRPr="000864AE" w14:paraId="07CFC992" w14:textId="77777777" w:rsidTr="00AC0C51">
        <w:trPr>
          <w:trHeight w:val="300"/>
        </w:trPr>
        <w:tc>
          <w:tcPr>
            <w:tcW w:w="668" w:type="dxa"/>
            <w:vAlign w:val="center"/>
            <w:hideMark/>
          </w:tcPr>
          <w:p w14:paraId="342C9E1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194</w:t>
            </w:r>
          </w:p>
        </w:tc>
        <w:tc>
          <w:tcPr>
            <w:tcW w:w="3835" w:type="dxa"/>
            <w:vAlign w:val="center"/>
            <w:hideMark/>
          </w:tcPr>
          <w:p w14:paraId="2EB8EFAF" w14:textId="77777777" w:rsidR="00EA38F6" w:rsidRPr="000864AE" w:rsidRDefault="00EA38F6" w:rsidP="000864AE">
            <w:pPr>
              <w:rPr>
                <w:rFonts w:ascii="Verdana" w:hAnsi="Verdana"/>
                <w:sz w:val="18"/>
                <w:szCs w:val="18"/>
              </w:rPr>
            </w:pPr>
            <w:r w:rsidRPr="000864AE">
              <w:rPr>
                <w:rFonts w:ascii="Verdana" w:hAnsi="Verdana"/>
                <w:sz w:val="18"/>
                <w:szCs w:val="18"/>
              </w:rPr>
              <w:t>Domínguez Zabaleta Zene</w:t>
            </w:r>
          </w:p>
        </w:tc>
      </w:tr>
      <w:tr w:rsidR="00EA38F6" w:rsidRPr="000864AE" w14:paraId="54D8ED9B" w14:textId="77777777" w:rsidTr="00AC0C51">
        <w:trPr>
          <w:trHeight w:val="300"/>
        </w:trPr>
        <w:tc>
          <w:tcPr>
            <w:tcW w:w="668" w:type="dxa"/>
            <w:vAlign w:val="center"/>
            <w:hideMark/>
          </w:tcPr>
          <w:p w14:paraId="497493F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195</w:t>
            </w:r>
          </w:p>
        </w:tc>
        <w:tc>
          <w:tcPr>
            <w:tcW w:w="3835" w:type="dxa"/>
            <w:vAlign w:val="center"/>
            <w:hideMark/>
          </w:tcPr>
          <w:p w14:paraId="185D7833" w14:textId="77777777" w:rsidR="00EA38F6" w:rsidRPr="000864AE" w:rsidRDefault="00EA38F6" w:rsidP="000864AE">
            <w:pPr>
              <w:rPr>
                <w:rFonts w:ascii="Verdana" w:hAnsi="Verdana"/>
                <w:sz w:val="18"/>
                <w:szCs w:val="18"/>
              </w:rPr>
            </w:pPr>
            <w:r w:rsidRPr="000864AE">
              <w:rPr>
                <w:rFonts w:ascii="Verdana" w:hAnsi="Verdana"/>
                <w:sz w:val="18"/>
                <w:szCs w:val="18"/>
              </w:rPr>
              <w:t>Donayre Barrios José Carlos</w:t>
            </w:r>
          </w:p>
        </w:tc>
      </w:tr>
      <w:tr w:rsidR="00EA38F6" w:rsidRPr="000864AE" w14:paraId="6D33AD21" w14:textId="77777777" w:rsidTr="00AC0C51">
        <w:trPr>
          <w:trHeight w:val="300"/>
        </w:trPr>
        <w:tc>
          <w:tcPr>
            <w:tcW w:w="668" w:type="dxa"/>
            <w:vAlign w:val="center"/>
            <w:hideMark/>
          </w:tcPr>
          <w:p w14:paraId="21202C2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196</w:t>
            </w:r>
          </w:p>
        </w:tc>
        <w:tc>
          <w:tcPr>
            <w:tcW w:w="3835" w:type="dxa"/>
            <w:vAlign w:val="center"/>
            <w:hideMark/>
          </w:tcPr>
          <w:p w14:paraId="6A4B7E28" w14:textId="77777777" w:rsidR="00EA38F6" w:rsidRPr="000864AE" w:rsidRDefault="00EA38F6" w:rsidP="000864AE">
            <w:pPr>
              <w:rPr>
                <w:rFonts w:ascii="Verdana" w:hAnsi="Verdana"/>
                <w:sz w:val="18"/>
                <w:szCs w:val="18"/>
              </w:rPr>
            </w:pPr>
            <w:r w:rsidRPr="000864AE">
              <w:rPr>
                <w:rFonts w:ascii="Verdana" w:hAnsi="Verdana"/>
                <w:sz w:val="18"/>
                <w:szCs w:val="18"/>
              </w:rPr>
              <w:t>Dugard Marquina Plutarco Julio</w:t>
            </w:r>
          </w:p>
        </w:tc>
      </w:tr>
      <w:tr w:rsidR="00EA38F6" w:rsidRPr="000864AE" w14:paraId="51F32358" w14:textId="77777777" w:rsidTr="00AC0C51">
        <w:trPr>
          <w:trHeight w:val="300"/>
        </w:trPr>
        <w:tc>
          <w:tcPr>
            <w:tcW w:w="668" w:type="dxa"/>
            <w:vAlign w:val="center"/>
            <w:hideMark/>
          </w:tcPr>
          <w:p w14:paraId="7285BAB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197</w:t>
            </w:r>
          </w:p>
        </w:tc>
        <w:tc>
          <w:tcPr>
            <w:tcW w:w="3835" w:type="dxa"/>
            <w:vAlign w:val="center"/>
            <w:hideMark/>
          </w:tcPr>
          <w:p w14:paraId="0F588501" w14:textId="77777777" w:rsidR="00EA38F6" w:rsidRPr="000864AE" w:rsidRDefault="00EA38F6" w:rsidP="000864AE">
            <w:pPr>
              <w:rPr>
                <w:rFonts w:ascii="Verdana" w:hAnsi="Verdana"/>
                <w:sz w:val="18"/>
                <w:szCs w:val="18"/>
              </w:rPr>
            </w:pPr>
            <w:r w:rsidRPr="000864AE">
              <w:rPr>
                <w:rFonts w:ascii="Verdana" w:hAnsi="Verdana"/>
                <w:sz w:val="18"/>
                <w:szCs w:val="18"/>
              </w:rPr>
              <w:t>Dulanto Carrillo De Albornoz Enrique</w:t>
            </w:r>
          </w:p>
        </w:tc>
      </w:tr>
      <w:tr w:rsidR="00EA38F6" w:rsidRPr="000864AE" w14:paraId="02CAB59A" w14:textId="77777777" w:rsidTr="00AC0C51">
        <w:trPr>
          <w:trHeight w:val="300"/>
        </w:trPr>
        <w:tc>
          <w:tcPr>
            <w:tcW w:w="668" w:type="dxa"/>
            <w:vAlign w:val="center"/>
            <w:hideMark/>
          </w:tcPr>
          <w:p w14:paraId="779FD8B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198</w:t>
            </w:r>
          </w:p>
        </w:tc>
        <w:tc>
          <w:tcPr>
            <w:tcW w:w="3835" w:type="dxa"/>
            <w:vAlign w:val="center"/>
            <w:hideMark/>
          </w:tcPr>
          <w:p w14:paraId="4A498D9E" w14:textId="77777777" w:rsidR="00EA38F6" w:rsidRPr="000864AE" w:rsidRDefault="00EA38F6" w:rsidP="000864AE">
            <w:pPr>
              <w:rPr>
                <w:rFonts w:ascii="Verdana" w:hAnsi="Verdana"/>
                <w:sz w:val="18"/>
                <w:szCs w:val="18"/>
              </w:rPr>
            </w:pPr>
            <w:r w:rsidRPr="000864AE">
              <w:rPr>
                <w:rFonts w:ascii="Verdana" w:hAnsi="Verdana"/>
                <w:sz w:val="18"/>
                <w:szCs w:val="18"/>
              </w:rPr>
              <w:t>Durán Picho Antonio Félix</w:t>
            </w:r>
          </w:p>
        </w:tc>
      </w:tr>
      <w:tr w:rsidR="00EA38F6" w:rsidRPr="000864AE" w14:paraId="44453F00" w14:textId="77777777" w:rsidTr="00AC0C51">
        <w:trPr>
          <w:trHeight w:val="300"/>
        </w:trPr>
        <w:tc>
          <w:tcPr>
            <w:tcW w:w="668" w:type="dxa"/>
            <w:vAlign w:val="center"/>
            <w:hideMark/>
          </w:tcPr>
          <w:p w14:paraId="35A5883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199</w:t>
            </w:r>
          </w:p>
        </w:tc>
        <w:tc>
          <w:tcPr>
            <w:tcW w:w="3835" w:type="dxa"/>
            <w:vAlign w:val="center"/>
            <w:hideMark/>
          </w:tcPr>
          <w:p w14:paraId="2A66C94C" w14:textId="77777777" w:rsidR="00EA38F6" w:rsidRPr="000864AE" w:rsidRDefault="00EA38F6" w:rsidP="000864AE">
            <w:pPr>
              <w:rPr>
                <w:rFonts w:ascii="Verdana" w:hAnsi="Verdana"/>
                <w:sz w:val="18"/>
                <w:szCs w:val="18"/>
              </w:rPr>
            </w:pPr>
            <w:r w:rsidRPr="000864AE">
              <w:rPr>
                <w:rFonts w:ascii="Verdana" w:hAnsi="Verdana"/>
                <w:sz w:val="18"/>
                <w:szCs w:val="18"/>
              </w:rPr>
              <w:t>Durán Ríos Jorge Eleazar</w:t>
            </w:r>
          </w:p>
        </w:tc>
      </w:tr>
      <w:tr w:rsidR="00EA38F6" w:rsidRPr="000864AE" w14:paraId="5883F685" w14:textId="77777777" w:rsidTr="00AC0C51">
        <w:trPr>
          <w:trHeight w:val="300"/>
        </w:trPr>
        <w:tc>
          <w:tcPr>
            <w:tcW w:w="668" w:type="dxa"/>
            <w:vAlign w:val="center"/>
            <w:hideMark/>
          </w:tcPr>
          <w:p w14:paraId="2F8ECD6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200</w:t>
            </w:r>
          </w:p>
        </w:tc>
        <w:tc>
          <w:tcPr>
            <w:tcW w:w="3835" w:type="dxa"/>
            <w:vAlign w:val="center"/>
            <w:hideMark/>
          </w:tcPr>
          <w:p w14:paraId="146A9933" w14:textId="77777777" w:rsidR="00EA38F6" w:rsidRPr="000864AE" w:rsidRDefault="00EA38F6" w:rsidP="000864AE">
            <w:pPr>
              <w:rPr>
                <w:rFonts w:ascii="Verdana" w:hAnsi="Verdana"/>
                <w:sz w:val="18"/>
                <w:szCs w:val="18"/>
              </w:rPr>
            </w:pPr>
            <w:r w:rsidRPr="000864AE">
              <w:rPr>
                <w:rFonts w:ascii="Verdana" w:hAnsi="Verdana"/>
                <w:sz w:val="18"/>
                <w:szCs w:val="18"/>
              </w:rPr>
              <w:t>Echecopar Dávila Alberto Alejandro</w:t>
            </w:r>
          </w:p>
        </w:tc>
      </w:tr>
      <w:tr w:rsidR="00EA38F6" w:rsidRPr="000864AE" w14:paraId="28986E5F" w14:textId="77777777" w:rsidTr="00AC0C51">
        <w:trPr>
          <w:trHeight w:val="300"/>
        </w:trPr>
        <w:tc>
          <w:tcPr>
            <w:tcW w:w="668" w:type="dxa"/>
            <w:vAlign w:val="center"/>
            <w:hideMark/>
          </w:tcPr>
          <w:p w14:paraId="5995209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201</w:t>
            </w:r>
          </w:p>
        </w:tc>
        <w:tc>
          <w:tcPr>
            <w:tcW w:w="3835" w:type="dxa"/>
            <w:vAlign w:val="center"/>
            <w:hideMark/>
          </w:tcPr>
          <w:p w14:paraId="4910E7C6" w14:textId="77777777" w:rsidR="00EA38F6" w:rsidRPr="000864AE" w:rsidRDefault="00EA38F6" w:rsidP="000864AE">
            <w:pPr>
              <w:rPr>
                <w:rFonts w:ascii="Verdana" w:hAnsi="Verdana"/>
                <w:sz w:val="18"/>
                <w:szCs w:val="18"/>
              </w:rPr>
            </w:pPr>
            <w:r w:rsidRPr="000864AE">
              <w:rPr>
                <w:rFonts w:ascii="Verdana" w:hAnsi="Verdana"/>
                <w:sz w:val="18"/>
                <w:szCs w:val="18"/>
              </w:rPr>
              <w:t>Egocheaga Aguilar Prudencio</w:t>
            </w:r>
          </w:p>
        </w:tc>
      </w:tr>
      <w:tr w:rsidR="00EA38F6" w:rsidRPr="000864AE" w14:paraId="7E165108" w14:textId="77777777" w:rsidTr="00AC0C51">
        <w:trPr>
          <w:trHeight w:val="300"/>
        </w:trPr>
        <w:tc>
          <w:tcPr>
            <w:tcW w:w="668" w:type="dxa"/>
            <w:vAlign w:val="center"/>
            <w:hideMark/>
          </w:tcPr>
          <w:p w14:paraId="7ACF0B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202</w:t>
            </w:r>
          </w:p>
        </w:tc>
        <w:tc>
          <w:tcPr>
            <w:tcW w:w="3835" w:type="dxa"/>
            <w:vAlign w:val="center"/>
            <w:hideMark/>
          </w:tcPr>
          <w:p w14:paraId="73F44C0C" w14:textId="77777777" w:rsidR="00EA38F6" w:rsidRPr="000864AE" w:rsidRDefault="00EA38F6" w:rsidP="000864AE">
            <w:pPr>
              <w:rPr>
                <w:rFonts w:ascii="Verdana" w:hAnsi="Verdana"/>
                <w:sz w:val="18"/>
                <w:szCs w:val="18"/>
              </w:rPr>
            </w:pPr>
            <w:r w:rsidRPr="000864AE">
              <w:rPr>
                <w:rFonts w:ascii="Verdana" w:hAnsi="Verdana"/>
                <w:sz w:val="18"/>
                <w:szCs w:val="18"/>
              </w:rPr>
              <w:t>Eguiluz Mazuelos Efraín Sabino</w:t>
            </w:r>
          </w:p>
        </w:tc>
      </w:tr>
      <w:tr w:rsidR="00EA38F6" w:rsidRPr="000864AE" w14:paraId="1FACB082" w14:textId="77777777" w:rsidTr="00AC0C51">
        <w:trPr>
          <w:trHeight w:val="300"/>
        </w:trPr>
        <w:tc>
          <w:tcPr>
            <w:tcW w:w="668" w:type="dxa"/>
            <w:vAlign w:val="center"/>
            <w:hideMark/>
          </w:tcPr>
          <w:p w14:paraId="392F96A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203</w:t>
            </w:r>
          </w:p>
        </w:tc>
        <w:tc>
          <w:tcPr>
            <w:tcW w:w="3835" w:type="dxa"/>
            <w:vAlign w:val="center"/>
            <w:hideMark/>
          </w:tcPr>
          <w:p w14:paraId="71B3F436" w14:textId="77777777" w:rsidR="00EA38F6" w:rsidRPr="000864AE" w:rsidRDefault="00EA38F6" w:rsidP="000864AE">
            <w:pPr>
              <w:rPr>
                <w:rFonts w:ascii="Verdana" w:hAnsi="Verdana"/>
                <w:sz w:val="18"/>
                <w:szCs w:val="18"/>
              </w:rPr>
            </w:pPr>
            <w:r w:rsidRPr="000864AE">
              <w:rPr>
                <w:rFonts w:ascii="Verdana" w:hAnsi="Verdana"/>
                <w:sz w:val="18"/>
                <w:szCs w:val="18"/>
              </w:rPr>
              <w:t>Elguera Coronel Carlos Javier</w:t>
            </w:r>
          </w:p>
        </w:tc>
      </w:tr>
      <w:tr w:rsidR="00EA38F6" w:rsidRPr="000864AE" w14:paraId="1B5BA816" w14:textId="77777777" w:rsidTr="00AC0C51">
        <w:trPr>
          <w:trHeight w:val="300"/>
        </w:trPr>
        <w:tc>
          <w:tcPr>
            <w:tcW w:w="668" w:type="dxa"/>
            <w:vAlign w:val="center"/>
            <w:hideMark/>
          </w:tcPr>
          <w:p w14:paraId="3EFC2C7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204</w:t>
            </w:r>
          </w:p>
        </w:tc>
        <w:tc>
          <w:tcPr>
            <w:tcW w:w="3835" w:type="dxa"/>
            <w:vAlign w:val="center"/>
            <w:hideMark/>
          </w:tcPr>
          <w:p w14:paraId="6B439944" w14:textId="77777777" w:rsidR="00EA38F6" w:rsidRPr="000864AE" w:rsidRDefault="00EA38F6" w:rsidP="000864AE">
            <w:pPr>
              <w:rPr>
                <w:rFonts w:ascii="Verdana" w:hAnsi="Verdana"/>
                <w:sz w:val="18"/>
                <w:szCs w:val="18"/>
              </w:rPr>
            </w:pPr>
            <w:r w:rsidRPr="000864AE">
              <w:rPr>
                <w:rFonts w:ascii="Verdana" w:hAnsi="Verdana"/>
                <w:sz w:val="18"/>
                <w:szCs w:val="18"/>
              </w:rPr>
              <w:t>Elías Cajo Reynaldo</w:t>
            </w:r>
          </w:p>
        </w:tc>
      </w:tr>
      <w:tr w:rsidR="00EA38F6" w:rsidRPr="000864AE" w14:paraId="5D6F1252" w14:textId="77777777" w:rsidTr="00AC0C51">
        <w:trPr>
          <w:trHeight w:val="300"/>
        </w:trPr>
        <w:tc>
          <w:tcPr>
            <w:tcW w:w="668" w:type="dxa"/>
            <w:vAlign w:val="center"/>
            <w:hideMark/>
          </w:tcPr>
          <w:p w14:paraId="264C1A8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205</w:t>
            </w:r>
          </w:p>
        </w:tc>
        <w:tc>
          <w:tcPr>
            <w:tcW w:w="3835" w:type="dxa"/>
            <w:vAlign w:val="center"/>
            <w:hideMark/>
          </w:tcPr>
          <w:p w14:paraId="50A1776B" w14:textId="77777777" w:rsidR="00EA38F6" w:rsidRPr="000864AE" w:rsidRDefault="00EA38F6" w:rsidP="000864AE">
            <w:pPr>
              <w:rPr>
                <w:rFonts w:ascii="Verdana" w:hAnsi="Verdana"/>
                <w:sz w:val="18"/>
                <w:szCs w:val="18"/>
              </w:rPr>
            </w:pPr>
            <w:r w:rsidRPr="000864AE">
              <w:rPr>
                <w:rFonts w:ascii="Verdana" w:hAnsi="Verdana"/>
                <w:sz w:val="18"/>
                <w:szCs w:val="18"/>
              </w:rPr>
              <w:t>Elías Herrera Luis Dictino</w:t>
            </w:r>
          </w:p>
        </w:tc>
      </w:tr>
      <w:tr w:rsidR="00EA38F6" w:rsidRPr="000864AE" w14:paraId="08416157" w14:textId="77777777" w:rsidTr="00AC0C51">
        <w:trPr>
          <w:trHeight w:val="300"/>
        </w:trPr>
        <w:tc>
          <w:tcPr>
            <w:tcW w:w="668" w:type="dxa"/>
            <w:vAlign w:val="center"/>
            <w:hideMark/>
          </w:tcPr>
          <w:p w14:paraId="091EB47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206</w:t>
            </w:r>
          </w:p>
        </w:tc>
        <w:tc>
          <w:tcPr>
            <w:tcW w:w="3835" w:type="dxa"/>
            <w:vAlign w:val="center"/>
            <w:hideMark/>
          </w:tcPr>
          <w:p w14:paraId="79FD5F63" w14:textId="77777777" w:rsidR="00EA38F6" w:rsidRPr="000864AE" w:rsidRDefault="00EA38F6" w:rsidP="000864AE">
            <w:pPr>
              <w:rPr>
                <w:rFonts w:ascii="Verdana" w:hAnsi="Verdana"/>
                <w:sz w:val="18"/>
                <w:szCs w:val="18"/>
              </w:rPr>
            </w:pPr>
            <w:r w:rsidRPr="000864AE">
              <w:rPr>
                <w:rFonts w:ascii="Verdana" w:hAnsi="Verdana"/>
                <w:sz w:val="18"/>
                <w:szCs w:val="18"/>
              </w:rPr>
              <w:t>Enriquez Hilary Pedro Marcial</w:t>
            </w:r>
          </w:p>
        </w:tc>
      </w:tr>
      <w:tr w:rsidR="00EA38F6" w:rsidRPr="000864AE" w14:paraId="770CB78A" w14:textId="77777777" w:rsidTr="00AC0C51">
        <w:trPr>
          <w:trHeight w:val="300"/>
        </w:trPr>
        <w:tc>
          <w:tcPr>
            <w:tcW w:w="668" w:type="dxa"/>
            <w:vAlign w:val="center"/>
            <w:hideMark/>
          </w:tcPr>
          <w:p w14:paraId="4F3FEA3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207</w:t>
            </w:r>
          </w:p>
        </w:tc>
        <w:tc>
          <w:tcPr>
            <w:tcW w:w="3835" w:type="dxa"/>
            <w:vAlign w:val="center"/>
            <w:hideMark/>
          </w:tcPr>
          <w:p w14:paraId="620864B7" w14:textId="77777777" w:rsidR="00EA38F6" w:rsidRPr="000864AE" w:rsidRDefault="00EA38F6" w:rsidP="000864AE">
            <w:pPr>
              <w:rPr>
                <w:rFonts w:ascii="Verdana" w:hAnsi="Verdana"/>
                <w:sz w:val="18"/>
                <w:szCs w:val="18"/>
              </w:rPr>
            </w:pPr>
            <w:r w:rsidRPr="000864AE">
              <w:rPr>
                <w:rFonts w:ascii="Verdana" w:hAnsi="Verdana"/>
                <w:sz w:val="18"/>
                <w:szCs w:val="18"/>
              </w:rPr>
              <w:t>Enriquez Maguiña Orestes Constantino</w:t>
            </w:r>
          </w:p>
        </w:tc>
      </w:tr>
      <w:tr w:rsidR="00EA38F6" w:rsidRPr="000864AE" w14:paraId="11D47E49" w14:textId="77777777" w:rsidTr="00AC0C51">
        <w:trPr>
          <w:trHeight w:val="300"/>
        </w:trPr>
        <w:tc>
          <w:tcPr>
            <w:tcW w:w="668" w:type="dxa"/>
            <w:vAlign w:val="center"/>
            <w:hideMark/>
          </w:tcPr>
          <w:p w14:paraId="3DEA1B0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208</w:t>
            </w:r>
          </w:p>
        </w:tc>
        <w:tc>
          <w:tcPr>
            <w:tcW w:w="3835" w:type="dxa"/>
            <w:vAlign w:val="center"/>
            <w:hideMark/>
          </w:tcPr>
          <w:p w14:paraId="591B929D" w14:textId="77777777" w:rsidR="00EA38F6" w:rsidRPr="000864AE" w:rsidRDefault="00EA38F6" w:rsidP="000864AE">
            <w:pPr>
              <w:rPr>
                <w:rFonts w:ascii="Verdana" w:hAnsi="Verdana"/>
                <w:sz w:val="18"/>
                <w:szCs w:val="18"/>
              </w:rPr>
            </w:pPr>
            <w:r w:rsidRPr="000864AE">
              <w:rPr>
                <w:rFonts w:ascii="Verdana" w:hAnsi="Verdana"/>
                <w:sz w:val="18"/>
                <w:szCs w:val="18"/>
              </w:rPr>
              <w:t>Erazo Ramírez José María</w:t>
            </w:r>
          </w:p>
        </w:tc>
      </w:tr>
      <w:tr w:rsidR="00EA38F6" w:rsidRPr="000864AE" w14:paraId="0FA7767F" w14:textId="77777777" w:rsidTr="00AC0C51">
        <w:trPr>
          <w:trHeight w:val="300"/>
        </w:trPr>
        <w:tc>
          <w:tcPr>
            <w:tcW w:w="668" w:type="dxa"/>
            <w:vAlign w:val="center"/>
            <w:hideMark/>
          </w:tcPr>
          <w:p w14:paraId="1FFD638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209</w:t>
            </w:r>
          </w:p>
        </w:tc>
        <w:tc>
          <w:tcPr>
            <w:tcW w:w="3835" w:type="dxa"/>
            <w:vAlign w:val="center"/>
            <w:hideMark/>
          </w:tcPr>
          <w:p w14:paraId="56E0F86E" w14:textId="77777777" w:rsidR="00EA38F6" w:rsidRPr="000864AE" w:rsidRDefault="00EA38F6" w:rsidP="000864AE">
            <w:pPr>
              <w:rPr>
                <w:rFonts w:ascii="Verdana" w:hAnsi="Verdana"/>
                <w:sz w:val="18"/>
                <w:szCs w:val="18"/>
              </w:rPr>
            </w:pPr>
            <w:r w:rsidRPr="000864AE">
              <w:rPr>
                <w:rFonts w:ascii="Verdana" w:hAnsi="Verdana"/>
                <w:sz w:val="18"/>
                <w:szCs w:val="18"/>
              </w:rPr>
              <w:t>Escobedo Juárez Celso</w:t>
            </w:r>
          </w:p>
        </w:tc>
      </w:tr>
      <w:tr w:rsidR="00EA38F6" w:rsidRPr="000864AE" w14:paraId="0CC5E021" w14:textId="77777777" w:rsidTr="00AC0C51">
        <w:trPr>
          <w:trHeight w:val="300"/>
        </w:trPr>
        <w:tc>
          <w:tcPr>
            <w:tcW w:w="668" w:type="dxa"/>
            <w:vAlign w:val="center"/>
            <w:hideMark/>
          </w:tcPr>
          <w:p w14:paraId="2679942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210</w:t>
            </w:r>
          </w:p>
        </w:tc>
        <w:tc>
          <w:tcPr>
            <w:tcW w:w="3835" w:type="dxa"/>
            <w:vAlign w:val="center"/>
            <w:hideMark/>
          </w:tcPr>
          <w:p w14:paraId="21351726" w14:textId="77777777" w:rsidR="00EA38F6" w:rsidRPr="000864AE" w:rsidRDefault="00EA38F6" w:rsidP="000864AE">
            <w:pPr>
              <w:rPr>
                <w:rFonts w:ascii="Verdana" w:hAnsi="Verdana"/>
                <w:sz w:val="18"/>
                <w:szCs w:val="18"/>
              </w:rPr>
            </w:pPr>
            <w:r w:rsidRPr="000864AE">
              <w:rPr>
                <w:rFonts w:ascii="Verdana" w:hAnsi="Verdana"/>
                <w:sz w:val="18"/>
                <w:szCs w:val="18"/>
              </w:rPr>
              <w:t>Espejo Aquije Delfin Fortunato</w:t>
            </w:r>
          </w:p>
        </w:tc>
      </w:tr>
      <w:tr w:rsidR="00EA38F6" w:rsidRPr="000864AE" w14:paraId="694B632E" w14:textId="77777777" w:rsidTr="00AC0C51">
        <w:trPr>
          <w:trHeight w:val="300"/>
        </w:trPr>
        <w:tc>
          <w:tcPr>
            <w:tcW w:w="668" w:type="dxa"/>
            <w:vAlign w:val="center"/>
            <w:hideMark/>
          </w:tcPr>
          <w:p w14:paraId="1E3404D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211</w:t>
            </w:r>
          </w:p>
        </w:tc>
        <w:tc>
          <w:tcPr>
            <w:tcW w:w="3835" w:type="dxa"/>
            <w:vAlign w:val="center"/>
            <w:hideMark/>
          </w:tcPr>
          <w:p w14:paraId="4CAB78F0" w14:textId="77777777" w:rsidR="00EA38F6" w:rsidRPr="000864AE" w:rsidRDefault="00EA38F6" w:rsidP="000864AE">
            <w:pPr>
              <w:rPr>
                <w:rFonts w:ascii="Verdana" w:hAnsi="Verdana"/>
                <w:sz w:val="18"/>
                <w:szCs w:val="18"/>
              </w:rPr>
            </w:pPr>
            <w:r w:rsidRPr="000864AE">
              <w:rPr>
                <w:rFonts w:ascii="Verdana" w:hAnsi="Verdana"/>
                <w:sz w:val="18"/>
                <w:szCs w:val="18"/>
              </w:rPr>
              <w:t>Espinoza Alvarado Armando Jorge</w:t>
            </w:r>
          </w:p>
        </w:tc>
      </w:tr>
      <w:tr w:rsidR="00EA38F6" w:rsidRPr="000864AE" w14:paraId="323850EC" w14:textId="77777777" w:rsidTr="00AC0C51">
        <w:trPr>
          <w:trHeight w:val="300"/>
        </w:trPr>
        <w:tc>
          <w:tcPr>
            <w:tcW w:w="668" w:type="dxa"/>
            <w:vAlign w:val="center"/>
            <w:hideMark/>
          </w:tcPr>
          <w:p w14:paraId="0C28CD4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212</w:t>
            </w:r>
          </w:p>
        </w:tc>
        <w:tc>
          <w:tcPr>
            <w:tcW w:w="3835" w:type="dxa"/>
            <w:vAlign w:val="center"/>
            <w:hideMark/>
          </w:tcPr>
          <w:p w14:paraId="1458EAE7" w14:textId="77777777" w:rsidR="00EA38F6" w:rsidRPr="000864AE" w:rsidRDefault="00EA38F6" w:rsidP="000864AE">
            <w:pPr>
              <w:rPr>
                <w:rFonts w:ascii="Verdana" w:hAnsi="Verdana"/>
                <w:sz w:val="18"/>
                <w:szCs w:val="18"/>
              </w:rPr>
            </w:pPr>
            <w:r w:rsidRPr="000864AE">
              <w:rPr>
                <w:rFonts w:ascii="Verdana" w:hAnsi="Verdana"/>
                <w:sz w:val="18"/>
                <w:szCs w:val="18"/>
              </w:rPr>
              <w:t>Espinoza Alzamora Manuel Antenor</w:t>
            </w:r>
          </w:p>
        </w:tc>
      </w:tr>
      <w:tr w:rsidR="00EA38F6" w:rsidRPr="000864AE" w14:paraId="5DD66DE1" w14:textId="77777777" w:rsidTr="00AC0C51">
        <w:trPr>
          <w:trHeight w:val="300"/>
        </w:trPr>
        <w:tc>
          <w:tcPr>
            <w:tcW w:w="668" w:type="dxa"/>
            <w:vAlign w:val="center"/>
            <w:hideMark/>
          </w:tcPr>
          <w:p w14:paraId="35853FA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213</w:t>
            </w:r>
          </w:p>
        </w:tc>
        <w:tc>
          <w:tcPr>
            <w:tcW w:w="3835" w:type="dxa"/>
            <w:vAlign w:val="center"/>
            <w:hideMark/>
          </w:tcPr>
          <w:p w14:paraId="53E6F1C8" w14:textId="77777777" w:rsidR="00EA38F6" w:rsidRPr="000864AE" w:rsidRDefault="00EA38F6" w:rsidP="000864AE">
            <w:pPr>
              <w:rPr>
                <w:rFonts w:ascii="Verdana" w:hAnsi="Verdana"/>
                <w:sz w:val="18"/>
                <w:szCs w:val="18"/>
              </w:rPr>
            </w:pPr>
            <w:r w:rsidRPr="000864AE">
              <w:rPr>
                <w:rFonts w:ascii="Verdana" w:hAnsi="Verdana"/>
                <w:sz w:val="18"/>
                <w:szCs w:val="18"/>
              </w:rPr>
              <w:t>Espinoza Chávarry Humberto Saúl</w:t>
            </w:r>
          </w:p>
        </w:tc>
      </w:tr>
      <w:tr w:rsidR="00EA38F6" w:rsidRPr="000864AE" w14:paraId="48E17803" w14:textId="77777777" w:rsidTr="00AC0C51">
        <w:trPr>
          <w:trHeight w:val="300"/>
        </w:trPr>
        <w:tc>
          <w:tcPr>
            <w:tcW w:w="668" w:type="dxa"/>
            <w:vAlign w:val="center"/>
            <w:hideMark/>
          </w:tcPr>
          <w:p w14:paraId="064243F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214</w:t>
            </w:r>
          </w:p>
        </w:tc>
        <w:tc>
          <w:tcPr>
            <w:tcW w:w="3835" w:type="dxa"/>
            <w:vAlign w:val="center"/>
            <w:hideMark/>
          </w:tcPr>
          <w:p w14:paraId="3736B599" w14:textId="77777777" w:rsidR="00EA38F6" w:rsidRPr="000864AE" w:rsidRDefault="00EA38F6" w:rsidP="000864AE">
            <w:pPr>
              <w:rPr>
                <w:rFonts w:ascii="Verdana" w:hAnsi="Verdana"/>
                <w:sz w:val="18"/>
                <w:szCs w:val="18"/>
              </w:rPr>
            </w:pPr>
            <w:r w:rsidRPr="000864AE">
              <w:rPr>
                <w:rFonts w:ascii="Verdana" w:hAnsi="Verdana"/>
                <w:sz w:val="18"/>
                <w:szCs w:val="18"/>
              </w:rPr>
              <w:t>Espinoza Eyzaguirre María Del Carmen</w:t>
            </w:r>
          </w:p>
        </w:tc>
      </w:tr>
      <w:tr w:rsidR="00EA38F6" w:rsidRPr="000864AE" w14:paraId="23E4A94E" w14:textId="77777777" w:rsidTr="00AC0C51">
        <w:trPr>
          <w:trHeight w:val="300"/>
        </w:trPr>
        <w:tc>
          <w:tcPr>
            <w:tcW w:w="668" w:type="dxa"/>
            <w:vAlign w:val="center"/>
            <w:hideMark/>
          </w:tcPr>
          <w:p w14:paraId="0CC5E53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215</w:t>
            </w:r>
          </w:p>
        </w:tc>
        <w:tc>
          <w:tcPr>
            <w:tcW w:w="3835" w:type="dxa"/>
            <w:vAlign w:val="center"/>
            <w:hideMark/>
          </w:tcPr>
          <w:p w14:paraId="1EF7CF9E" w14:textId="77777777" w:rsidR="00EA38F6" w:rsidRPr="000864AE" w:rsidRDefault="00EA38F6" w:rsidP="000864AE">
            <w:pPr>
              <w:rPr>
                <w:rFonts w:ascii="Verdana" w:hAnsi="Verdana"/>
                <w:sz w:val="18"/>
                <w:szCs w:val="18"/>
              </w:rPr>
            </w:pPr>
            <w:r w:rsidRPr="000864AE">
              <w:rPr>
                <w:rFonts w:ascii="Verdana" w:hAnsi="Verdana"/>
                <w:sz w:val="18"/>
                <w:szCs w:val="18"/>
              </w:rPr>
              <w:t>Espinoza Guanilo Héctor Enrique</w:t>
            </w:r>
          </w:p>
        </w:tc>
      </w:tr>
      <w:tr w:rsidR="00EA38F6" w:rsidRPr="000864AE" w14:paraId="2E0CB8F8" w14:textId="77777777" w:rsidTr="00AC0C51">
        <w:trPr>
          <w:trHeight w:val="300"/>
        </w:trPr>
        <w:tc>
          <w:tcPr>
            <w:tcW w:w="668" w:type="dxa"/>
            <w:vAlign w:val="center"/>
            <w:hideMark/>
          </w:tcPr>
          <w:p w14:paraId="163FE51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216</w:t>
            </w:r>
          </w:p>
        </w:tc>
        <w:tc>
          <w:tcPr>
            <w:tcW w:w="3835" w:type="dxa"/>
            <w:vAlign w:val="center"/>
            <w:hideMark/>
          </w:tcPr>
          <w:p w14:paraId="2C43547B" w14:textId="77777777" w:rsidR="00EA38F6" w:rsidRPr="000864AE" w:rsidRDefault="00EA38F6" w:rsidP="000864AE">
            <w:pPr>
              <w:rPr>
                <w:rFonts w:ascii="Verdana" w:hAnsi="Verdana"/>
                <w:sz w:val="18"/>
                <w:szCs w:val="18"/>
              </w:rPr>
            </w:pPr>
            <w:r w:rsidRPr="000864AE">
              <w:rPr>
                <w:rFonts w:ascii="Verdana" w:hAnsi="Verdana"/>
                <w:sz w:val="18"/>
                <w:szCs w:val="18"/>
              </w:rPr>
              <w:t>Espinoza Ramirez Manuel Demetrio</w:t>
            </w:r>
          </w:p>
        </w:tc>
      </w:tr>
      <w:tr w:rsidR="00EA38F6" w:rsidRPr="000864AE" w14:paraId="39DA254C" w14:textId="77777777" w:rsidTr="00AC0C51">
        <w:trPr>
          <w:trHeight w:val="270"/>
        </w:trPr>
        <w:tc>
          <w:tcPr>
            <w:tcW w:w="668" w:type="dxa"/>
            <w:vAlign w:val="center"/>
            <w:hideMark/>
          </w:tcPr>
          <w:p w14:paraId="3920C41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217</w:t>
            </w:r>
          </w:p>
        </w:tc>
        <w:tc>
          <w:tcPr>
            <w:tcW w:w="3835" w:type="dxa"/>
            <w:vAlign w:val="center"/>
            <w:hideMark/>
          </w:tcPr>
          <w:p w14:paraId="39101A9F" w14:textId="77777777" w:rsidR="00EA38F6" w:rsidRPr="000864AE" w:rsidRDefault="00EA38F6" w:rsidP="000864AE">
            <w:pPr>
              <w:rPr>
                <w:rFonts w:ascii="Verdana" w:hAnsi="Verdana"/>
                <w:sz w:val="18"/>
                <w:szCs w:val="18"/>
              </w:rPr>
            </w:pPr>
            <w:r w:rsidRPr="000864AE">
              <w:rPr>
                <w:rFonts w:ascii="Verdana" w:hAnsi="Verdana"/>
                <w:sz w:val="18"/>
                <w:szCs w:val="18"/>
              </w:rPr>
              <w:t>Estela Bravo Corina Elda</w:t>
            </w:r>
          </w:p>
        </w:tc>
      </w:tr>
      <w:tr w:rsidR="00EA38F6" w:rsidRPr="000864AE" w14:paraId="1EB5F906" w14:textId="77777777" w:rsidTr="00AC0C51">
        <w:trPr>
          <w:trHeight w:val="300"/>
        </w:trPr>
        <w:tc>
          <w:tcPr>
            <w:tcW w:w="668" w:type="dxa"/>
            <w:vAlign w:val="center"/>
            <w:hideMark/>
          </w:tcPr>
          <w:p w14:paraId="00D59EC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218</w:t>
            </w:r>
          </w:p>
        </w:tc>
        <w:tc>
          <w:tcPr>
            <w:tcW w:w="3835" w:type="dxa"/>
            <w:vAlign w:val="center"/>
            <w:hideMark/>
          </w:tcPr>
          <w:p w14:paraId="1E397E7B" w14:textId="77777777" w:rsidR="00EA38F6" w:rsidRPr="000864AE" w:rsidRDefault="00EA38F6" w:rsidP="000864AE">
            <w:pPr>
              <w:rPr>
                <w:rFonts w:ascii="Verdana" w:hAnsi="Verdana"/>
                <w:sz w:val="18"/>
                <w:szCs w:val="18"/>
              </w:rPr>
            </w:pPr>
            <w:r w:rsidRPr="000864AE">
              <w:rPr>
                <w:rFonts w:ascii="Verdana" w:hAnsi="Verdana"/>
                <w:sz w:val="18"/>
                <w:szCs w:val="18"/>
              </w:rPr>
              <w:t>Esterripa Angeles Rolando Abdias</w:t>
            </w:r>
          </w:p>
        </w:tc>
      </w:tr>
      <w:tr w:rsidR="00EA38F6" w:rsidRPr="000864AE" w14:paraId="5830C834" w14:textId="77777777" w:rsidTr="00AC0C51">
        <w:trPr>
          <w:trHeight w:val="300"/>
        </w:trPr>
        <w:tc>
          <w:tcPr>
            <w:tcW w:w="668" w:type="dxa"/>
            <w:vAlign w:val="center"/>
            <w:hideMark/>
          </w:tcPr>
          <w:p w14:paraId="461F0CF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219</w:t>
            </w:r>
          </w:p>
        </w:tc>
        <w:tc>
          <w:tcPr>
            <w:tcW w:w="3835" w:type="dxa"/>
            <w:vAlign w:val="center"/>
            <w:hideMark/>
          </w:tcPr>
          <w:p w14:paraId="3041679D" w14:textId="77777777" w:rsidR="00EA38F6" w:rsidRPr="000864AE" w:rsidRDefault="00EA38F6" w:rsidP="000864AE">
            <w:pPr>
              <w:rPr>
                <w:rFonts w:ascii="Verdana" w:hAnsi="Verdana"/>
                <w:sz w:val="18"/>
                <w:szCs w:val="18"/>
              </w:rPr>
            </w:pPr>
            <w:r w:rsidRPr="000864AE">
              <w:rPr>
                <w:rFonts w:ascii="Verdana" w:hAnsi="Verdana"/>
                <w:sz w:val="18"/>
                <w:szCs w:val="18"/>
              </w:rPr>
              <w:t>Estupiñán Ortiz Juan Alberto</w:t>
            </w:r>
          </w:p>
        </w:tc>
      </w:tr>
      <w:tr w:rsidR="00EA38F6" w:rsidRPr="000864AE" w14:paraId="166CDD0B" w14:textId="77777777" w:rsidTr="00AC0C51">
        <w:trPr>
          <w:trHeight w:val="300"/>
        </w:trPr>
        <w:tc>
          <w:tcPr>
            <w:tcW w:w="668" w:type="dxa"/>
            <w:vAlign w:val="center"/>
            <w:hideMark/>
          </w:tcPr>
          <w:p w14:paraId="627D486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220</w:t>
            </w:r>
          </w:p>
        </w:tc>
        <w:tc>
          <w:tcPr>
            <w:tcW w:w="3835" w:type="dxa"/>
            <w:vAlign w:val="center"/>
            <w:hideMark/>
          </w:tcPr>
          <w:p w14:paraId="7B4EBB1A" w14:textId="77777777" w:rsidR="00EA38F6" w:rsidRPr="000864AE" w:rsidRDefault="00EA38F6" w:rsidP="000864AE">
            <w:pPr>
              <w:rPr>
                <w:rFonts w:ascii="Verdana" w:hAnsi="Verdana"/>
                <w:sz w:val="18"/>
                <w:szCs w:val="18"/>
              </w:rPr>
            </w:pPr>
            <w:r w:rsidRPr="000864AE">
              <w:rPr>
                <w:rFonts w:ascii="Verdana" w:hAnsi="Verdana"/>
                <w:sz w:val="18"/>
                <w:szCs w:val="18"/>
              </w:rPr>
              <w:t>Felipa Grimaldo Eduardo Donato</w:t>
            </w:r>
          </w:p>
        </w:tc>
      </w:tr>
      <w:tr w:rsidR="00EA38F6" w:rsidRPr="000864AE" w14:paraId="38EA9372" w14:textId="77777777" w:rsidTr="00AC0C51">
        <w:trPr>
          <w:trHeight w:val="300"/>
        </w:trPr>
        <w:tc>
          <w:tcPr>
            <w:tcW w:w="668" w:type="dxa"/>
            <w:vAlign w:val="center"/>
            <w:hideMark/>
          </w:tcPr>
          <w:p w14:paraId="6968A79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221</w:t>
            </w:r>
          </w:p>
        </w:tc>
        <w:tc>
          <w:tcPr>
            <w:tcW w:w="3835" w:type="dxa"/>
            <w:vAlign w:val="center"/>
            <w:hideMark/>
          </w:tcPr>
          <w:p w14:paraId="6EF144D5" w14:textId="77777777" w:rsidR="00EA38F6" w:rsidRPr="000864AE" w:rsidRDefault="00EA38F6" w:rsidP="000864AE">
            <w:pPr>
              <w:rPr>
                <w:rFonts w:ascii="Verdana" w:hAnsi="Verdana"/>
                <w:sz w:val="18"/>
                <w:szCs w:val="18"/>
              </w:rPr>
            </w:pPr>
            <w:r w:rsidRPr="000864AE">
              <w:rPr>
                <w:rFonts w:ascii="Verdana" w:hAnsi="Verdana"/>
                <w:sz w:val="18"/>
                <w:szCs w:val="18"/>
              </w:rPr>
              <w:t>Fernández Lara María Soledad</w:t>
            </w:r>
          </w:p>
        </w:tc>
      </w:tr>
      <w:tr w:rsidR="00EA38F6" w:rsidRPr="000864AE" w14:paraId="1B396A8E" w14:textId="77777777" w:rsidTr="00AC0C51">
        <w:trPr>
          <w:trHeight w:val="300"/>
        </w:trPr>
        <w:tc>
          <w:tcPr>
            <w:tcW w:w="668" w:type="dxa"/>
            <w:vAlign w:val="center"/>
            <w:hideMark/>
          </w:tcPr>
          <w:p w14:paraId="1A273DD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222</w:t>
            </w:r>
          </w:p>
        </w:tc>
        <w:tc>
          <w:tcPr>
            <w:tcW w:w="3835" w:type="dxa"/>
            <w:vAlign w:val="center"/>
            <w:hideMark/>
          </w:tcPr>
          <w:p w14:paraId="6E7BB771" w14:textId="77777777" w:rsidR="00EA38F6" w:rsidRPr="000864AE" w:rsidRDefault="00EA38F6" w:rsidP="000864AE">
            <w:pPr>
              <w:rPr>
                <w:rFonts w:ascii="Verdana" w:hAnsi="Verdana"/>
                <w:sz w:val="18"/>
                <w:szCs w:val="18"/>
              </w:rPr>
            </w:pPr>
            <w:r w:rsidRPr="000864AE">
              <w:rPr>
                <w:rFonts w:ascii="Verdana" w:hAnsi="Verdana"/>
                <w:sz w:val="18"/>
                <w:szCs w:val="18"/>
              </w:rPr>
              <w:t>Fernández Marrero Vicenta Elvira</w:t>
            </w:r>
          </w:p>
        </w:tc>
      </w:tr>
      <w:tr w:rsidR="00EA38F6" w:rsidRPr="000864AE" w14:paraId="5459C192" w14:textId="77777777" w:rsidTr="00AC0C51">
        <w:trPr>
          <w:trHeight w:val="300"/>
        </w:trPr>
        <w:tc>
          <w:tcPr>
            <w:tcW w:w="668" w:type="dxa"/>
            <w:vAlign w:val="center"/>
            <w:hideMark/>
          </w:tcPr>
          <w:p w14:paraId="04B990D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223</w:t>
            </w:r>
          </w:p>
        </w:tc>
        <w:tc>
          <w:tcPr>
            <w:tcW w:w="3835" w:type="dxa"/>
            <w:vAlign w:val="center"/>
            <w:hideMark/>
          </w:tcPr>
          <w:p w14:paraId="5DF67E57" w14:textId="77777777" w:rsidR="00EA38F6" w:rsidRPr="000864AE" w:rsidRDefault="00EA38F6" w:rsidP="000864AE">
            <w:pPr>
              <w:rPr>
                <w:rFonts w:ascii="Verdana" w:hAnsi="Verdana"/>
                <w:sz w:val="18"/>
                <w:szCs w:val="18"/>
              </w:rPr>
            </w:pPr>
            <w:r w:rsidRPr="000864AE">
              <w:rPr>
                <w:rFonts w:ascii="Verdana" w:hAnsi="Verdana"/>
                <w:sz w:val="18"/>
                <w:szCs w:val="18"/>
              </w:rPr>
              <w:t>Fernández Salazar Jorge Isabel</w:t>
            </w:r>
          </w:p>
        </w:tc>
      </w:tr>
      <w:tr w:rsidR="00EA38F6" w:rsidRPr="000864AE" w14:paraId="2F417C1E" w14:textId="77777777" w:rsidTr="00AC0C51">
        <w:trPr>
          <w:trHeight w:val="300"/>
        </w:trPr>
        <w:tc>
          <w:tcPr>
            <w:tcW w:w="668" w:type="dxa"/>
            <w:vAlign w:val="center"/>
            <w:hideMark/>
          </w:tcPr>
          <w:p w14:paraId="1263E27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224</w:t>
            </w:r>
          </w:p>
        </w:tc>
        <w:tc>
          <w:tcPr>
            <w:tcW w:w="3835" w:type="dxa"/>
            <w:vAlign w:val="center"/>
            <w:hideMark/>
          </w:tcPr>
          <w:p w14:paraId="1CF2F22D" w14:textId="77777777" w:rsidR="00EA38F6" w:rsidRPr="000864AE" w:rsidRDefault="00EA38F6" w:rsidP="000864AE">
            <w:pPr>
              <w:rPr>
                <w:rFonts w:ascii="Verdana" w:hAnsi="Verdana"/>
                <w:sz w:val="18"/>
                <w:szCs w:val="18"/>
              </w:rPr>
            </w:pPr>
            <w:r w:rsidRPr="000864AE">
              <w:rPr>
                <w:rFonts w:ascii="Verdana" w:hAnsi="Verdana"/>
                <w:sz w:val="18"/>
                <w:szCs w:val="18"/>
              </w:rPr>
              <w:t>Figueroa Herbas Enrique Moisés</w:t>
            </w:r>
          </w:p>
        </w:tc>
      </w:tr>
      <w:tr w:rsidR="00EA38F6" w:rsidRPr="000864AE" w14:paraId="7294E61C" w14:textId="77777777" w:rsidTr="00AC0C51">
        <w:trPr>
          <w:trHeight w:val="300"/>
        </w:trPr>
        <w:tc>
          <w:tcPr>
            <w:tcW w:w="668" w:type="dxa"/>
            <w:vAlign w:val="center"/>
            <w:hideMark/>
          </w:tcPr>
          <w:p w14:paraId="7E43679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225</w:t>
            </w:r>
          </w:p>
        </w:tc>
        <w:tc>
          <w:tcPr>
            <w:tcW w:w="3835" w:type="dxa"/>
            <w:vAlign w:val="center"/>
            <w:hideMark/>
          </w:tcPr>
          <w:p w14:paraId="7AE9B36A" w14:textId="77777777" w:rsidR="00EA38F6" w:rsidRPr="000864AE" w:rsidRDefault="00EA38F6" w:rsidP="000864AE">
            <w:pPr>
              <w:rPr>
                <w:rFonts w:ascii="Verdana" w:hAnsi="Verdana"/>
                <w:sz w:val="18"/>
                <w:szCs w:val="18"/>
              </w:rPr>
            </w:pPr>
            <w:r w:rsidRPr="000864AE">
              <w:rPr>
                <w:rFonts w:ascii="Verdana" w:hAnsi="Verdana"/>
                <w:sz w:val="18"/>
                <w:szCs w:val="18"/>
              </w:rPr>
              <w:t>Figueroa Herbas Jorge Roberto</w:t>
            </w:r>
          </w:p>
        </w:tc>
      </w:tr>
      <w:tr w:rsidR="00EA38F6" w:rsidRPr="000864AE" w14:paraId="62A83C2E" w14:textId="77777777" w:rsidTr="00AC0C51">
        <w:trPr>
          <w:trHeight w:val="300"/>
        </w:trPr>
        <w:tc>
          <w:tcPr>
            <w:tcW w:w="668" w:type="dxa"/>
            <w:vAlign w:val="center"/>
            <w:hideMark/>
          </w:tcPr>
          <w:p w14:paraId="554CC31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226</w:t>
            </w:r>
          </w:p>
        </w:tc>
        <w:tc>
          <w:tcPr>
            <w:tcW w:w="3835" w:type="dxa"/>
            <w:vAlign w:val="center"/>
            <w:hideMark/>
          </w:tcPr>
          <w:p w14:paraId="7CE46FF6" w14:textId="77777777" w:rsidR="00EA38F6" w:rsidRPr="000864AE" w:rsidRDefault="00EA38F6" w:rsidP="000864AE">
            <w:pPr>
              <w:rPr>
                <w:rFonts w:ascii="Verdana" w:hAnsi="Verdana"/>
                <w:sz w:val="18"/>
                <w:szCs w:val="18"/>
              </w:rPr>
            </w:pPr>
            <w:r w:rsidRPr="000864AE">
              <w:rPr>
                <w:rFonts w:ascii="Verdana" w:hAnsi="Verdana"/>
                <w:sz w:val="18"/>
                <w:szCs w:val="18"/>
              </w:rPr>
              <w:t>Filomeno Landivar Jorge Nicolás</w:t>
            </w:r>
          </w:p>
        </w:tc>
      </w:tr>
      <w:tr w:rsidR="00EA38F6" w:rsidRPr="000864AE" w14:paraId="657FA1CF" w14:textId="77777777" w:rsidTr="00AC0C51">
        <w:trPr>
          <w:trHeight w:val="300"/>
        </w:trPr>
        <w:tc>
          <w:tcPr>
            <w:tcW w:w="668" w:type="dxa"/>
            <w:vAlign w:val="center"/>
            <w:hideMark/>
          </w:tcPr>
          <w:p w14:paraId="6B19AED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227</w:t>
            </w:r>
          </w:p>
        </w:tc>
        <w:tc>
          <w:tcPr>
            <w:tcW w:w="3835" w:type="dxa"/>
            <w:vAlign w:val="center"/>
            <w:hideMark/>
          </w:tcPr>
          <w:p w14:paraId="5354564D" w14:textId="77777777" w:rsidR="00EA38F6" w:rsidRPr="000864AE" w:rsidRDefault="00EA38F6" w:rsidP="000864AE">
            <w:pPr>
              <w:rPr>
                <w:rFonts w:ascii="Verdana" w:hAnsi="Verdana"/>
                <w:sz w:val="18"/>
                <w:szCs w:val="18"/>
              </w:rPr>
            </w:pPr>
            <w:r w:rsidRPr="000864AE">
              <w:rPr>
                <w:rFonts w:ascii="Verdana" w:hAnsi="Verdana"/>
                <w:sz w:val="18"/>
                <w:szCs w:val="18"/>
              </w:rPr>
              <w:t>Flores Almeza Wilma Consuelo Juana</w:t>
            </w:r>
          </w:p>
        </w:tc>
      </w:tr>
      <w:tr w:rsidR="00EA38F6" w:rsidRPr="000864AE" w14:paraId="2685E4BD" w14:textId="77777777" w:rsidTr="00AC0C51">
        <w:trPr>
          <w:trHeight w:val="300"/>
        </w:trPr>
        <w:tc>
          <w:tcPr>
            <w:tcW w:w="668" w:type="dxa"/>
            <w:vAlign w:val="center"/>
            <w:hideMark/>
          </w:tcPr>
          <w:p w14:paraId="6C6F7A3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228</w:t>
            </w:r>
          </w:p>
        </w:tc>
        <w:tc>
          <w:tcPr>
            <w:tcW w:w="3835" w:type="dxa"/>
            <w:vAlign w:val="center"/>
            <w:hideMark/>
          </w:tcPr>
          <w:p w14:paraId="0BB12931" w14:textId="77777777" w:rsidR="00EA38F6" w:rsidRPr="000864AE" w:rsidRDefault="00EA38F6" w:rsidP="000864AE">
            <w:pPr>
              <w:rPr>
                <w:rFonts w:ascii="Verdana" w:hAnsi="Verdana"/>
                <w:sz w:val="18"/>
                <w:szCs w:val="18"/>
              </w:rPr>
            </w:pPr>
            <w:r w:rsidRPr="000864AE">
              <w:rPr>
                <w:rFonts w:ascii="Verdana" w:hAnsi="Verdana"/>
                <w:sz w:val="18"/>
                <w:szCs w:val="18"/>
              </w:rPr>
              <w:t>Flores Bermúdez Magno Melecio</w:t>
            </w:r>
          </w:p>
        </w:tc>
      </w:tr>
      <w:tr w:rsidR="00EA38F6" w:rsidRPr="000864AE" w14:paraId="1D1F25D7" w14:textId="77777777" w:rsidTr="00AC0C51">
        <w:trPr>
          <w:trHeight w:val="300"/>
        </w:trPr>
        <w:tc>
          <w:tcPr>
            <w:tcW w:w="668" w:type="dxa"/>
            <w:vAlign w:val="center"/>
            <w:hideMark/>
          </w:tcPr>
          <w:p w14:paraId="79A4F96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229</w:t>
            </w:r>
          </w:p>
        </w:tc>
        <w:tc>
          <w:tcPr>
            <w:tcW w:w="3835" w:type="dxa"/>
            <w:vAlign w:val="center"/>
            <w:hideMark/>
          </w:tcPr>
          <w:p w14:paraId="48FFEC75" w14:textId="77777777" w:rsidR="00EA38F6" w:rsidRPr="000864AE" w:rsidRDefault="00EA38F6" w:rsidP="000864AE">
            <w:pPr>
              <w:rPr>
                <w:rFonts w:ascii="Verdana" w:hAnsi="Verdana"/>
                <w:sz w:val="18"/>
                <w:szCs w:val="18"/>
              </w:rPr>
            </w:pPr>
            <w:r w:rsidRPr="000864AE">
              <w:rPr>
                <w:rFonts w:ascii="Verdana" w:hAnsi="Verdana"/>
                <w:sz w:val="18"/>
                <w:szCs w:val="18"/>
              </w:rPr>
              <w:t>Flores Ferreyra Elmer</w:t>
            </w:r>
          </w:p>
        </w:tc>
      </w:tr>
      <w:tr w:rsidR="00EA38F6" w:rsidRPr="000864AE" w14:paraId="23D4E799" w14:textId="77777777" w:rsidTr="00AC0C51">
        <w:trPr>
          <w:trHeight w:val="300"/>
        </w:trPr>
        <w:tc>
          <w:tcPr>
            <w:tcW w:w="668" w:type="dxa"/>
            <w:vAlign w:val="center"/>
            <w:hideMark/>
          </w:tcPr>
          <w:p w14:paraId="4EFB5AB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230</w:t>
            </w:r>
          </w:p>
        </w:tc>
        <w:tc>
          <w:tcPr>
            <w:tcW w:w="3835" w:type="dxa"/>
            <w:vAlign w:val="center"/>
            <w:hideMark/>
          </w:tcPr>
          <w:p w14:paraId="1BD3B509" w14:textId="77777777" w:rsidR="00EA38F6" w:rsidRPr="000864AE" w:rsidRDefault="00EA38F6" w:rsidP="000864AE">
            <w:pPr>
              <w:rPr>
                <w:rFonts w:ascii="Verdana" w:hAnsi="Verdana"/>
                <w:sz w:val="18"/>
                <w:szCs w:val="18"/>
              </w:rPr>
            </w:pPr>
            <w:r w:rsidRPr="000864AE">
              <w:rPr>
                <w:rFonts w:ascii="Verdana" w:hAnsi="Verdana"/>
                <w:sz w:val="18"/>
                <w:szCs w:val="18"/>
              </w:rPr>
              <w:t>Flores Pastor Luis Manuel</w:t>
            </w:r>
          </w:p>
        </w:tc>
      </w:tr>
      <w:tr w:rsidR="00EA38F6" w:rsidRPr="000864AE" w14:paraId="44578E49" w14:textId="77777777" w:rsidTr="00AC0C51">
        <w:trPr>
          <w:trHeight w:val="300"/>
        </w:trPr>
        <w:tc>
          <w:tcPr>
            <w:tcW w:w="668" w:type="dxa"/>
            <w:vAlign w:val="center"/>
            <w:hideMark/>
          </w:tcPr>
          <w:p w14:paraId="39C59D7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231</w:t>
            </w:r>
          </w:p>
        </w:tc>
        <w:tc>
          <w:tcPr>
            <w:tcW w:w="3835" w:type="dxa"/>
            <w:vAlign w:val="center"/>
            <w:hideMark/>
          </w:tcPr>
          <w:p w14:paraId="6D35CF1D" w14:textId="77777777" w:rsidR="00EA38F6" w:rsidRPr="000864AE" w:rsidRDefault="00EA38F6" w:rsidP="000864AE">
            <w:pPr>
              <w:rPr>
                <w:rFonts w:ascii="Verdana" w:hAnsi="Verdana"/>
                <w:sz w:val="18"/>
                <w:szCs w:val="18"/>
              </w:rPr>
            </w:pPr>
            <w:r w:rsidRPr="000864AE">
              <w:rPr>
                <w:rFonts w:ascii="Verdana" w:hAnsi="Verdana"/>
                <w:sz w:val="18"/>
                <w:szCs w:val="18"/>
              </w:rPr>
              <w:t>Flores Plata Clemente Roberto</w:t>
            </w:r>
          </w:p>
        </w:tc>
      </w:tr>
      <w:tr w:rsidR="00EA38F6" w:rsidRPr="000864AE" w14:paraId="783EAF13" w14:textId="77777777" w:rsidTr="00AC0C51">
        <w:trPr>
          <w:trHeight w:val="300"/>
        </w:trPr>
        <w:tc>
          <w:tcPr>
            <w:tcW w:w="668" w:type="dxa"/>
            <w:vAlign w:val="center"/>
            <w:hideMark/>
          </w:tcPr>
          <w:p w14:paraId="6DFA5F0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232</w:t>
            </w:r>
          </w:p>
        </w:tc>
        <w:tc>
          <w:tcPr>
            <w:tcW w:w="3835" w:type="dxa"/>
            <w:vAlign w:val="center"/>
            <w:hideMark/>
          </w:tcPr>
          <w:p w14:paraId="391BBD6C" w14:textId="77777777" w:rsidR="00EA38F6" w:rsidRPr="000864AE" w:rsidRDefault="00EA38F6" w:rsidP="000864AE">
            <w:pPr>
              <w:rPr>
                <w:rFonts w:ascii="Verdana" w:hAnsi="Verdana"/>
                <w:sz w:val="18"/>
                <w:szCs w:val="18"/>
              </w:rPr>
            </w:pPr>
            <w:r w:rsidRPr="000864AE">
              <w:rPr>
                <w:rFonts w:ascii="Verdana" w:hAnsi="Verdana"/>
                <w:sz w:val="18"/>
                <w:szCs w:val="18"/>
              </w:rPr>
              <w:t>Flores Sandoval Víctor Marcos</w:t>
            </w:r>
          </w:p>
        </w:tc>
      </w:tr>
      <w:tr w:rsidR="00EA38F6" w:rsidRPr="000864AE" w14:paraId="5047C59A" w14:textId="77777777" w:rsidTr="00AC0C51">
        <w:trPr>
          <w:trHeight w:val="300"/>
        </w:trPr>
        <w:tc>
          <w:tcPr>
            <w:tcW w:w="668" w:type="dxa"/>
            <w:vAlign w:val="center"/>
            <w:hideMark/>
          </w:tcPr>
          <w:p w14:paraId="17CF59C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233</w:t>
            </w:r>
          </w:p>
        </w:tc>
        <w:tc>
          <w:tcPr>
            <w:tcW w:w="3835" w:type="dxa"/>
            <w:vAlign w:val="center"/>
            <w:hideMark/>
          </w:tcPr>
          <w:p w14:paraId="08B2D952" w14:textId="77777777" w:rsidR="00EA38F6" w:rsidRPr="000864AE" w:rsidRDefault="00EA38F6" w:rsidP="000864AE">
            <w:pPr>
              <w:rPr>
                <w:rFonts w:ascii="Verdana" w:hAnsi="Verdana"/>
                <w:sz w:val="18"/>
                <w:szCs w:val="18"/>
              </w:rPr>
            </w:pPr>
            <w:r w:rsidRPr="000864AE">
              <w:rPr>
                <w:rFonts w:ascii="Verdana" w:hAnsi="Verdana"/>
                <w:sz w:val="18"/>
                <w:szCs w:val="18"/>
              </w:rPr>
              <w:t>Fonseca Bernuy Enrique Manuel</w:t>
            </w:r>
          </w:p>
        </w:tc>
      </w:tr>
      <w:tr w:rsidR="00EA38F6" w:rsidRPr="000864AE" w14:paraId="548484A9" w14:textId="77777777" w:rsidTr="00AC0C51">
        <w:trPr>
          <w:trHeight w:val="300"/>
        </w:trPr>
        <w:tc>
          <w:tcPr>
            <w:tcW w:w="668" w:type="dxa"/>
            <w:vAlign w:val="center"/>
            <w:hideMark/>
          </w:tcPr>
          <w:p w14:paraId="6C74823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234</w:t>
            </w:r>
          </w:p>
        </w:tc>
        <w:tc>
          <w:tcPr>
            <w:tcW w:w="3835" w:type="dxa"/>
            <w:vAlign w:val="center"/>
            <w:hideMark/>
          </w:tcPr>
          <w:p w14:paraId="4CB4F0BE"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Franco De Manrique Olga Leonidas</w:t>
            </w:r>
          </w:p>
        </w:tc>
      </w:tr>
      <w:tr w:rsidR="00EA38F6" w:rsidRPr="000864AE" w14:paraId="0A4EF6DD" w14:textId="77777777" w:rsidTr="00AC0C51">
        <w:trPr>
          <w:trHeight w:val="300"/>
        </w:trPr>
        <w:tc>
          <w:tcPr>
            <w:tcW w:w="668" w:type="dxa"/>
            <w:vAlign w:val="center"/>
            <w:hideMark/>
          </w:tcPr>
          <w:p w14:paraId="7AE226D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235</w:t>
            </w:r>
          </w:p>
        </w:tc>
        <w:tc>
          <w:tcPr>
            <w:tcW w:w="3835" w:type="dxa"/>
            <w:vAlign w:val="center"/>
            <w:hideMark/>
          </w:tcPr>
          <w:p w14:paraId="50F962C5" w14:textId="77777777" w:rsidR="00EA38F6" w:rsidRPr="000864AE" w:rsidRDefault="00EA38F6" w:rsidP="000864AE">
            <w:pPr>
              <w:rPr>
                <w:rFonts w:ascii="Verdana" w:hAnsi="Verdana"/>
                <w:sz w:val="18"/>
                <w:szCs w:val="18"/>
              </w:rPr>
            </w:pPr>
            <w:r w:rsidRPr="000864AE">
              <w:rPr>
                <w:rFonts w:ascii="Verdana" w:hAnsi="Verdana"/>
                <w:sz w:val="18"/>
                <w:szCs w:val="18"/>
              </w:rPr>
              <w:t>Fry Montoya Enrique Antonio</w:t>
            </w:r>
          </w:p>
        </w:tc>
      </w:tr>
      <w:tr w:rsidR="00EA38F6" w:rsidRPr="000864AE" w14:paraId="3D26B3BD" w14:textId="77777777" w:rsidTr="00AC0C51">
        <w:trPr>
          <w:trHeight w:val="300"/>
        </w:trPr>
        <w:tc>
          <w:tcPr>
            <w:tcW w:w="668" w:type="dxa"/>
            <w:vAlign w:val="center"/>
            <w:hideMark/>
          </w:tcPr>
          <w:p w14:paraId="126120D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236</w:t>
            </w:r>
          </w:p>
        </w:tc>
        <w:tc>
          <w:tcPr>
            <w:tcW w:w="3835" w:type="dxa"/>
            <w:vAlign w:val="center"/>
            <w:hideMark/>
          </w:tcPr>
          <w:p w14:paraId="33361740" w14:textId="77777777" w:rsidR="00EA38F6" w:rsidRPr="000864AE" w:rsidRDefault="00EA38F6" w:rsidP="000864AE">
            <w:pPr>
              <w:rPr>
                <w:rFonts w:ascii="Verdana" w:hAnsi="Verdana"/>
                <w:sz w:val="18"/>
                <w:szCs w:val="18"/>
              </w:rPr>
            </w:pPr>
            <w:r w:rsidRPr="000864AE">
              <w:rPr>
                <w:rFonts w:ascii="Verdana" w:hAnsi="Verdana"/>
                <w:sz w:val="18"/>
                <w:szCs w:val="18"/>
              </w:rPr>
              <w:t>Galarza Fernández Pablo Humberto</w:t>
            </w:r>
          </w:p>
        </w:tc>
      </w:tr>
      <w:tr w:rsidR="00EA38F6" w:rsidRPr="000864AE" w14:paraId="72745E26" w14:textId="77777777" w:rsidTr="00AC0C51">
        <w:trPr>
          <w:trHeight w:val="300"/>
        </w:trPr>
        <w:tc>
          <w:tcPr>
            <w:tcW w:w="668" w:type="dxa"/>
            <w:vAlign w:val="center"/>
            <w:hideMark/>
          </w:tcPr>
          <w:p w14:paraId="10CA2A1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237</w:t>
            </w:r>
          </w:p>
        </w:tc>
        <w:tc>
          <w:tcPr>
            <w:tcW w:w="3835" w:type="dxa"/>
            <w:vAlign w:val="center"/>
            <w:hideMark/>
          </w:tcPr>
          <w:p w14:paraId="36BC5778"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Galindo Espinoza Teresa De Jesús</w:t>
            </w:r>
          </w:p>
        </w:tc>
      </w:tr>
      <w:tr w:rsidR="00EA38F6" w:rsidRPr="000864AE" w14:paraId="4510741C" w14:textId="77777777" w:rsidTr="00AC0C51">
        <w:trPr>
          <w:trHeight w:val="300"/>
        </w:trPr>
        <w:tc>
          <w:tcPr>
            <w:tcW w:w="668" w:type="dxa"/>
            <w:vAlign w:val="center"/>
            <w:hideMark/>
          </w:tcPr>
          <w:p w14:paraId="754CC38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238</w:t>
            </w:r>
          </w:p>
        </w:tc>
        <w:tc>
          <w:tcPr>
            <w:tcW w:w="3835" w:type="dxa"/>
            <w:vAlign w:val="center"/>
            <w:hideMark/>
          </w:tcPr>
          <w:p w14:paraId="1CF6D9DB" w14:textId="77777777" w:rsidR="00EA38F6" w:rsidRPr="000864AE" w:rsidRDefault="00EA38F6" w:rsidP="000864AE">
            <w:pPr>
              <w:rPr>
                <w:rFonts w:ascii="Verdana" w:hAnsi="Verdana"/>
                <w:sz w:val="18"/>
                <w:szCs w:val="18"/>
              </w:rPr>
            </w:pPr>
            <w:r w:rsidRPr="000864AE">
              <w:rPr>
                <w:rFonts w:ascii="Verdana" w:hAnsi="Verdana"/>
                <w:sz w:val="18"/>
                <w:szCs w:val="18"/>
              </w:rPr>
              <w:t>Gallardo Flores Cesar Augusto</w:t>
            </w:r>
          </w:p>
        </w:tc>
      </w:tr>
      <w:tr w:rsidR="00EA38F6" w:rsidRPr="000864AE" w14:paraId="12FE0C57" w14:textId="77777777" w:rsidTr="00AC0C51">
        <w:trPr>
          <w:trHeight w:val="300"/>
        </w:trPr>
        <w:tc>
          <w:tcPr>
            <w:tcW w:w="668" w:type="dxa"/>
            <w:vAlign w:val="center"/>
            <w:hideMark/>
          </w:tcPr>
          <w:p w14:paraId="23432FF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239</w:t>
            </w:r>
          </w:p>
        </w:tc>
        <w:tc>
          <w:tcPr>
            <w:tcW w:w="3835" w:type="dxa"/>
            <w:vAlign w:val="center"/>
            <w:hideMark/>
          </w:tcPr>
          <w:p w14:paraId="6392D4E4" w14:textId="77777777" w:rsidR="00EA38F6" w:rsidRPr="000864AE" w:rsidRDefault="00EA38F6" w:rsidP="000864AE">
            <w:pPr>
              <w:rPr>
                <w:rFonts w:ascii="Verdana" w:hAnsi="Verdana"/>
                <w:sz w:val="18"/>
                <w:szCs w:val="18"/>
              </w:rPr>
            </w:pPr>
            <w:r w:rsidRPr="000864AE">
              <w:rPr>
                <w:rFonts w:ascii="Verdana" w:hAnsi="Verdana"/>
                <w:sz w:val="18"/>
                <w:szCs w:val="18"/>
              </w:rPr>
              <w:t>Gallegos Pérez Norberto</w:t>
            </w:r>
          </w:p>
        </w:tc>
      </w:tr>
      <w:tr w:rsidR="00EA38F6" w:rsidRPr="000864AE" w14:paraId="767558DF" w14:textId="77777777" w:rsidTr="00AC0C51">
        <w:trPr>
          <w:trHeight w:val="300"/>
        </w:trPr>
        <w:tc>
          <w:tcPr>
            <w:tcW w:w="668" w:type="dxa"/>
            <w:vAlign w:val="center"/>
            <w:hideMark/>
          </w:tcPr>
          <w:p w14:paraId="372C337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240</w:t>
            </w:r>
          </w:p>
        </w:tc>
        <w:tc>
          <w:tcPr>
            <w:tcW w:w="3835" w:type="dxa"/>
            <w:vAlign w:val="center"/>
            <w:hideMark/>
          </w:tcPr>
          <w:p w14:paraId="35BEDEC7" w14:textId="77777777" w:rsidR="00EA38F6" w:rsidRPr="000864AE" w:rsidRDefault="00EA38F6" w:rsidP="000864AE">
            <w:pPr>
              <w:rPr>
                <w:rFonts w:ascii="Verdana" w:hAnsi="Verdana"/>
                <w:sz w:val="18"/>
                <w:szCs w:val="18"/>
              </w:rPr>
            </w:pPr>
            <w:r w:rsidRPr="000864AE">
              <w:rPr>
                <w:rFonts w:ascii="Verdana" w:hAnsi="Verdana"/>
                <w:sz w:val="18"/>
                <w:szCs w:val="18"/>
              </w:rPr>
              <w:t>Gallo Agurto Cesar Augusto</w:t>
            </w:r>
          </w:p>
        </w:tc>
      </w:tr>
      <w:tr w:rsidR="00EA38F6" w:rsidRPr="000864AE" w14:paraId="417C9883" w14:textId="77777777" w:rsidTr="00AC0C51">
        <w:trPr>
          <w:trHeight w:val="300"/>
        </w:trPr>
        <w:tc>
          <w:tcPr>
            <w:tcW w:w="668" w:type="dxa"/>
            <w:vAlign w:val="center"/>
            <w:hideMark/>
          </w:tcPr>
          <w:p w14:paraId="0EDF686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241</w:t>
            </w:r>
          </w:p>
        </w:tc>
        <w:tc>
          <w:tcPr>
            <w:tcW w:w="3835" w:type="dxa"/>
            <w:vAlign w:val="center"/>
            <w:hideMark/>
          </w:tcPr>
          <w:p w14:paraId="2BB45DBB" w14:textId="77777777" w:rsidR="00EA38F6" w:rsidRPr="000864AE" w:rsidRDefault="00EA38F6" w:rsidP="000864AE">
            <w:pPr>
              <w:rPr>
                <w:rFonts w:ascii="Verdana" w:hAnsi="Verdana"/>
                <w:sz w:val="18"/>
                <w:szCs w:val="18"/>
              </w:rPr>
            </w:pPr>
            <w:r w:rsidRPr="000864AE">
              <w:rPr>
                <w:rFonts w:ascii="Verdana" w:hAnsi="Verdana"/>
                <w:sz w:val="18"/>
                <w:szCs w:val="18"/>
              </w:rPr>
              <w:t>Gálvez Mendoza Hernán Antonio</w:t>
            </w:r>
          </w:p>
        </w:tc>
      </w:tr>
      <w:tr w:rsidR="00EA38F6" w:rsidRPr="000864AE" w14:paraId="18F93B78" w14:textId="77777777" w:rsidTr="00AC0C51">
        <w:trPr>
          <w:trHeight w:val="300"/>
        </w:trPr>
        <w:tc>
          <w:tcPr>
            <w:tcW w:w="668" w:type="dxa"/>
            <w:vAlign w:val="center"/>
            <w:hideMark/>
          </w:tcPr>
          <w:p w14:paraId="63F3C1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242</w:t>
            </w:r>
          </w:p>
        </w:tc>
        <w:tc>
          <w:tcPr>
            <w:tcW w:w="3835" w:type="dxa"/>
            <w:vAlign w:val="center"/>
            <w:hideMark/>
          </w:tcPr>
          <w:p w14:paraId="19597C10" w14:textId="77777777" w:rsidR="00EA38F6" w:rsidRPr="000864AE" w:rsidRDefault="00EA38F6" w:rsidP="000864AE">
            <w:pPr>
              <w:rPr>
                <w:rFonts w:ascii="Verdana" w:hAnsi="Verdana"/>
                <w:sz w:val="18"/>
                <w:szCs w:val="18"/>
              </w:rPr>
            </w:pPr>
            <w:r w:rsidRPr="000864AE">
              <w:rPr>
                <w:rFonts w:ascii="Verdana" w:hAnsi="Verdana"/>
                <w:sz w:val="18"/>
                <w:szCs w:val="18"/>
              </w:rPr>
              <w:t>Gamarra Buendía Miguel Abilio</w:t>
            </w:r>
          </w:p>
        </w:tc>
      </w:tr>
      <w:tr w:rsidR="00EA38F6" w:rsidRPr="000864AE" w14:paraId="7C678210" w14:textId="77777777" w:rsidTr="00AC0C51">
        <w:trPr>
          <w:trHeight w:val="300"/>
        </w:trPr>
        <w:tc>
          <w:tcPr>
            <w:tcW w:w="668" w:type="dxa"/>
            <w:vAlign w:val="center"/>
            <w:hideMark/>
          </w:tcPr>
          <w:p w14:paraId="2C6B334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243</w:t>
            </w:r>
          </w:p>
        </w:tc>
        <w:tc>
          <w:tcPr>
            <w:tcW w:w="3835" w:type="dxa"/>
            <w:vAlign w:val="center"/>
            <w:hideMark/>
          </w:tcPr>
          <w:p w14:paraId="279AE59D" w14:textId="77777777" w:rsidR="00EA38F6" w:rsidRPr="000864AE" w:rsidRDefault="00EA38F6" w:rsidP="000864AE">
            <w:pPr>
              <w:rPr>
                <w:rFonts w:ascii="Verdana" w:hAnsi="Verdana"/>
                <w:sz w:val="18"/>
                <w:szCs w:val="18"/>
              </w:rPr>
            </w:pPr>
            <w:r w:rsidRPr="000864AE">
              <w:rPr>
                <w:rFonts w:ascii="Verdana" w:hAnsi="Verdana"/>
                <w:sz w:val="18"/>
                <w:szCs w:val="18"/>
              </w:rPr>
              <w:t>Gamarra Romero Simon Gustavo</w:t>
            </w:r>
          </w:p>
        </w:tc>
      </w:tr>
      <w:tr w:rsidR="00EA38F6" w:rsidRPr="000864AE" w14:paraId="31E6DA10" w14:textId="77777777" w:rsidTr="00AC0C51">
        <w:trPr>
          <w:trHeight w:val="300"/>
        </w:trPr>
        <w:tc>
          <w:tcPr>
            <w:tcW w:w="668" w:type="dxa"/>
            <w:vAlign w:val="center"/>
            <w:hideMark/>
          </w:tcPr>
          <w:p w14:paraId="29F58B5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244</w:t>
            </w:r>
          </w:p>
        </w:tc>
        <w:tc>
          <w:tcPr>
            <w:tcW w:w="3835" w:type="dxa"/>
            <w:vAlign w:val="center"/>
            <w:hideMark/>
          </w:tcPr>
          <w:p w14:paraId="4BEF2EE5" w14:textId="77777777" w:rsidR="00EA38F6" w:rsidRPr="000864AE" w:rsidRDefault="00EA38F6" w:rsidP="000864AE">
            <w:pPr>
              <w:rPr>
                <w:rFonts w:ascii="Verdana" w:hAnsi="Verdana"/>
                <w:sz w:val="18"/>
                <w:szCs w:val="18"/>
              </w:rPr>
            </w:pPr>
            <w:r w:rsidRPr="000864AE">
              <w:rPr>
                <w:rFonts w:ascii="Verdana" w:hAnsi="Verdana"/>
                <w:sz w:val="18"/>
                <w:szCs w:val="18"/>
              </w:rPr>
              <w:t>García Caballero Rafael Cristóbal</w:t>
            </w:r>
          </w:p>
        </w:tc>
      </w:tr>
      <w:tr w:rsidR="00EA38F6" w:rsidRPr="000864AE" w14:paraId="565CBDE6" w14:textId="77777777" w:rsidTr="00AC0C51">
        <w:trPr>
          <w:trHeight w:val="300"/>
        </w:trPr>
        <w:tc>
          <w:tcPr>
            <w:tcW w:w="668" w:type="dxa"/>
            <w:vAlign w:val="center"/>
            <w:hideMark/>
          </w:tcPr>
          <w:p w14:paraId="00486D9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245</w:t>
            </w:r>
          </w:p>
        </w:tc>
        <w:tc>
          <w:tcPr>
            <w:tcW w:w="3835" w:type="dxa"/>
            <w:vAlign w:val="center"/>
            <w:hideMark/>
          </w:tcPr>
          <w:p w14:paraId="75A1AC52" w14:textId="77777777" w:rsidR="00EA38F6" w:rsidRPr="000864AE" w:rsidRDefault="00EA38F6" w:rsidP="000864AE">
            <w:pPr>
              <w:rPr>
                <w:rFonts w:ascii="Verdana" w:hAnsi="Verdana"/>
                <w:sz w:val="18"/>
                <w:szCs w:val="18"/>
              </w:rPr>
            </w:pPr>
            <w:r w:rsidRPr="000864AE">
              <w:rPr>
                <w:rFonts w:ascii="Verdana" w:hAnsi="Verdana"/>
                <w:sz w:val="18"/>
                <w:szCs w:val="18"/>
              </w:rPr>
              <w:t>García Hermoza Isidro Juvenal</w:t>
            </w:r>
          </w:p>
        </w:tc>
      </w:tr>
      <w:tr w:rsidR="00EA38F6" w:rsidRPr="000864AE" w14:paraId="57E9888F" w14:textId="77777777" w:rsidTr="00AC0C51">
        <w:trPr>
          <w:trHeight w:val="300"/>
        </w:trPr>
        <w:tc>
          <w:tcPr>
            <w:tcW w:w="668" w:type="dxa"/>
            <w:vAlign w:val="center"/>
            <w:hideMark/>
          </w:tcPr>
          <w:p w14:paraId="3EEE0F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246</w:t>
            </w:r>
          </w:p>
        </w:tc>
        <w:tc>
          <w:tcPr>
            <w:tcW w:w="3835" w:type="dxa"/>
            <w:vAlign w:val="center"/>
            <w:hideMark/>
          </w:tcPr>
          <w:p w14:paraId="4DD0A227" w14:textId="77777777" w:rsidR="00EA38F6" w:rsidRPr="000864AE" w:rsidRDefault="00EA38F6" w:rsidP="000864AE">
            <w:pPr>
              <w:rPr>
                <w:rFonts w:ascii="Verdana" w:hAnsi="Verdana"/>
                <w:sz w:val="18"/>
                <w:szCs w:val="18"/>
              </w:rPr>
            </w:pPr>
            <w:r w:rsidRPr="000864AE">
              <w:rPr>
                <w:rFonts w:ascii="Verdana" w:hAnsi="Verdana"/>
                <w:sz w:val="18"/>
                <w:szCs w:val="18"/>
              </w:rPr>
              <w:t>García Muñoz Luisa Guadalupe</w:t>
            </w:r>
          </w:p>
        </w:tc>
      </w:tr>
      <w:tr w:rsidR="00EA38F6" w:rsidRPr="000864AE" w14:paraId="690E1E4F" w14:textId="77777777" w:rsidTr="00AC0C51">
        <w:trPr>
          <w:trHeight w:val="300"/>
        </w:trPr>
        <w:tc>
          <w:tcPr>
            <w:tcW w:w="668" w:type="dxa"/>
            <w:vAlign w:val="center"/>
            <w:hideMark/>
          </w:tcPr>
          <w:p w14:paraId="3528C05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247</w:t>
            </w:r>
          </w:p>
        </w:tc>
        <w:tc>
          <w:tcPr>
            <w:tcW w:w="3835" w:type="dxa"/>
            <w:vAlign w:val="center"/>
            <w:hideMark/>
          </w:tcPr>
          <w:p w14:paraId="7767ED78" w14:textId="77777777" w:rsidR="00EA38F6" w:rsidRPr="000864AE" w:rsidRDefault="00EA38F6" w:rsidP="000864AE">
            <w:pPr>
              <w:rPr>
                <w:rFonts w:ascii="Verdana" w:hAnsi="Verdana"/>
                <w:sz w:val="18"/>
                <w:szCs w:val="18"/>
              </w:rPr>
            </w:pPr>
            <w:r w:rsidRPr="000864AE">
              <w:rPr>
                <w:rFonts w:ascii="Verdana" w:hAnsi="Verdana"/>
                <w:sz w:val="18"/>
                <w:szCs w:val="18"/>
              </w:rPr>
              <w:t>García Tamariz Carlos Arturo</w:t>
            </w:r>
          </w:p>
        </w:tc>
      </w:tr>
      <w:tr w:rsidR="00EA38F6" w:rsidRPr="000864AE" w14:paraId="173FA11F" w14:textId="77777777" w:rsidTr="00AC0C51">
        <w:trPr>
          <w:trHeight w:val="300"/>
        </w:trPr>
        <w:tc>
          <w:tcPr>
            <w:tcW w:w="668" w:type="dxa"/>
            <w:vAlign w:val="center"/>
            <w:hideMark/>
          </w:tcPr>
          <w:p w14:paraId="5DADB78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248</w:t>
            </w:r>
          </w:p>
        </w:tc>
        <w:tc>
          <w:tcPr>
            <w:tcW w:w="3835" w:type="dxa"/>
            <w:vAlign w:val="center"/>
            <w:hideMark/>
          </w:tcPr>
          <w:p w14:paraId="6C65C4E6" w14:textId="77777777" w:rsidR="00EA38F6" w:rsidRPr="000864AE" w:rsidRDefault="00EA38F6" w:rsidP="000864AE">
            <w:pPr>
              <w:rPr>
                <w:rFonts w:ascii="Verdana" w:hAnsi="Verdana"/>
                <w:sz w:val="18"/>
                <w:szCs w:val="18"/>
              </w:rPr>
            </w:pPr>
            <w:r w:rsidRPr="000864AE">
              <w:rPr>
                <w:rFonts w:ascii="Verdana" w:hAnsi="Verdana"/>
                <w:sz w:val="18"/>
                <w:szCs w:val="18"/>
              </w:rPr>
              <w:t>García Valdizán Dora</w:t>
            </w:r>
          </w:p>
        </w:tc>
      </w:tr>
      <w:tr w:rsidR="00EA38F6" w:rsidRPr="000864AE" w14:paraId="4B73137D" w14:textId="77777777" w:rsidTr="00AC0C51">
        <w:trPr>
          <w:trHeight w:val="300"/>
        </w:trPr>
        <w:tc>
          <w:tcPr>
            <w:tcW w:w="668" w:type="dxa"/>
            <w:vAlign w:val="center"/>
            <w:hideMark/>
          </w:tcPr>
          <w:p w14:paraId="7F14D59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249</w:t>
            </w:r>
          </w:p>
        </w:tc>
        <w:tc>
          <w:tcPr>
            <w:tcW w:w="3835" w:type="dxa"/>
            <w:vAlign w:val="center"/>
            <w:hideMark/>
          </w:tcPr>
          <w:p w14:paraId="5D52C597" w14:textId="77777777" w:rsidR="00EA38F6" w:rsidRPr="000864AE" w:rsidRDefault="00EA38F6" w:rsidP="000864AE">
            <w:pPr>
              <w:rPr>
                <w:rFonts w:ascii="Verdana" w:hAnsi="Verdana"/>
                <w:sz w:val="18"/>
                <w:szCs w:val="18"/>
              </w:rPr>
            </w:pPr>
            <w:r w:rsidRPr="000864AE">
              <w:rPr>
                <w:rFonts w:ascii="Verdana" w:hAnsi="Verdana"/>
                <w:sz w:val="18"/>
                <w:szCs w:val="18"/>
              </w:rPr>
              <w:t>Gavilano Mendoza Gertrudis Idilia</w:t>
            </w:r>
          </w:p>
        </w:tc>
      </w:tr>
      <w:tr w:rsidR="00EA38F6" w:rsidRPr="000864AE" w14:paraId="03461B2B" w14:textId="77777777" w:rsidTr="00AC0C51">
        <w:trPr>
          <w:trHeight w:val="300"/>
        </w:trPr>
        <w:tc>
          <w:tcPr>
            <w:tcW w:w="668" w:type="dxa"/>
            <w:vAlign w:val="center"/>
            <w:hideMark/>
          </w:tcPr>
          <w:p w14:paraId="18BF6F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250</w:t>
            </w:r>
          </w:p>
        </w:tc>
        <w:tc>
          <w:tcPr>
            <w:tcW w:w="3835" w:type="dxa"/>
            <w:vAlign w:val="center"/>
            <w:hideMark/>
          </w:tcPr>
          <w:p w14:paraId="03342A44" w14:textId="77777777" w:rsidR="00EA38F6" w:rsidRPr="000864AE" w:rsidRDefault="00EA38F6" w:rsidP="000864AE">
            <w:pPr>
              <w:rPr>
                <w:rFonts w:ascii="Verdana" w:hAnsi="Verdana"/>
                <w:sz w:val="18"/>
                <w:szCs w:val="18"/>
              </w:rPr>
            </w:pPr>
            <w:r w:rsidRPr="000864AE">
              <w:rPr>
                <w:rFonts w:ascii="Verdana" w:hAnsi="Verdana"/>
                <w:sz w:val="18"/>
                <w:szCs w:val="18"/>
              </w:rPr>
              <w:t xml:space="preserve">Geldres Salamanca Elizabeth Victoria </w:t>
            </w:r>
          </w:p>
        </w:tc>
      </w:tr>
      <w:tr w:rsidR="00EA38F6" w:rsidRPr="000864AE" w14:paraId="72EA26FB" w14:textId="77777777" w:rsidTr="00AC0C51">
        <w:trPr>
          <w:trHeight w:val="300"/>
        </w:trPr>
        <w:tc>
          <w:tcPr>
            <w:tcW w:w="668" w:type="dxa"/>
            <w:vAlign w:val="center"/>
            <w:hideMark/>
          </w:tcPr>
          <w:p w14:paraId="338CF76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251</w:t>
            </w:r>
          </w:p>
        </w:tc>
        <w:tc>
          <w:tcPr>
            <w:tcW w:w="3835" w:type="dxa"/>
            <w:vAlign w:val="center"/>
            <w:hideMark/>
          </w:tcPr>
          <w:p w14:paraId="41FBC610" w14:textId="77777777" w:rsidR="00EA38F6" w:rsidRPr="000864AE" w:rsidRDefault="00EA38F6" w:rsidP="000864AE">
            <w:pPr>
              <w:rPr>
                <w:rFonts w:ascii="Verdana" w:hAnsi="Verdana"/>
                <w:sz w:val="18"/>
                <w:szCs w:val="18"/>
              </w:rPr>
            </w:pPr>
            <w:r w:rsidRPr="000864AE">
              <w:rPr>
                <w:rFonts w:ascii="Verdana" w:hAnsi="Verdana"/>
                <w:sz w:val="18"/>
                <w:szCs w:val="18"/>
              </w:rPr>
              <w:t>Gómez Castañeda Marcos</w:t>
            </w:r>
          </w:p>
        </w:tc>
      </w:tr>
      <w:tr w:rsidR="00EA38F6" w:rsidRPr="000864AE" w14:paraId="578A95AF" w14:textId="77777777" w:rsidTr="00AC0C51">
        <w:trPr>
          <w:trHeight w:val="300"/>
        </w:trPr>
        <w:tc>
          <w:tcPr>
            <w:tcW w:w="668" w:type="dxa"/>
            <w:vAlign w:val="center"/>
            <w:hideMark/>
          </w:tcPr>
          <w:p w14:paraId="1BE65CD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252</w:t>
            </w:r>
          </w:p>
        </w:tc>
        <w:tc>
          <w:tcPr>
            <w:tcW w:w="3835" w:type="dxa"/>
            <w:vAlign w:val="center"/>
            <w:hideMark/>
          </w:tcPr>
          <w:p w14:paraId="6F84DFCC" w14:textId="77777777" w:rsidR="00EA38F6" w:rsidRPr="000864AE" w:rsidRDefault="00EA38F6" w:rsidP="000864AE">
            <w:pPr>
              <w:rPr>
                <w:rFonts w:ascii="Verdana" w:hAnsi="Verdana"/>
                <w:sz w:val="18"/>
                <w:szCs w:val="18"/>
              </w:rPr>
            </w:pPr>
            <w:r w:rsidRPr="000864AE">
              <w:rPr>
                <w:rFonts w:ascii="Verdana" w:hAnsi="Verdana"/>
                <w:sz w:val="18"/>
                <w:szCs w:val="18"/>
              </w:rPr>
              <w:t>Gómez Lafaix Irene Violeta</w:t>
            </w:r>
          </w:p>
        </w:tc>
      </w:tr>
      <w:tr w:rsidR="00EA38F6" w:rsidRPr="000864AE" w14:paraId="31F63754" w14:textId="77777777" w:rsidTr="00AC0C51">
        <w:trPr>
          <w:trHeight w:val="300"/>
        </w:trPr>
        <w:tc>
          <w:tcPr>
            <w:tcW w:w="668" w:type="dxa"/>
            <w:vAlign w:val="center"/>
            <w:hideMark/>
          </w:tcPr>
          <w:p w14:paraId="7A9D4F1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253</w:t>
            </w:r>
          </w:p>
        </w:tc>
        <w:tc>
          <w:tcPr>
            <w:tcW w:w="3835" w:type="dxa"/>
            <w:vAlign w:val="center"/>
            <w:hideMark/>
          </w:tcPr>
          <w:p w14:paraId="7FEFEA23" w14:textId="77777777" w:rsidR="00EA38F6" w:rsidRPr="000864AE" w:rsidRDefault="00EA38F6" w:rsidP="000864AE">
            <w:pPr>
              <w:rPr>
                <w:rFonts w:ascii="Verdana" w:hAnsi="Verdana"/>
                <w:sz w:val="18"/>
                <w:szCs w:val="18"/>
              </w:rPr>
            </w:pPr>
            <w:r w:rsidRPr="000864AE">
              <w:rPr>
                <w:rFonts w:ascii="Verdana" w:hAnsi="Verdana"/>
                <w:sz w:val="18"/>
                <w:szCs w:val="18"/>
              </w:rPr>
              <w:t>Gómez Suárez Elsa Beatriz</w:t>
            </w:r>
          </w:p>
        </w:tc>
      </w:tr>
      <w:tr w:rsidR="00EA38F6" w:rsidRPr="000864AE" w14:paraId="00836821" w14:textId="77777777" w:rsidTr="00AC0C51">
        <w:trPr>
          <w:trHeight w:val="300"/>
        </w:trPr>
        <w:tc>
          <w:tcPr>
            <w:tcW w:w="668" w:type="dxa"/>
            <w:vAlign w:val="center"/>
            <w:hideMark/>
          </w:tcPr>
          <w:p w14:paraId="4DB559A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254</w:t>
            </w:r>
          </w:p>
        </w:tc>
        <w:tc>
          <w:tcPr>
            <w:tcW w:w="3835" w:type="dxa"/>
            <w:vAlign w:val="center"/>
            <w:hideMark/>
          </w:tcPr>
          <w:p w14:paraId="413DF240" w14:textId="77777777" w:rsidR="00EA38F6" w:rsidRPr="000864AE" w:rsidRDefault="00EA38F6" w:rsidP="000864AE">
            <w:pPr>
              <w:rPr>
                <w:rFonts w:ascii="Verdana" w:hAnsi="Verdana"/>
                <w:sz w:val="18"/>
                <w:szCs w:val="18"/>
              </w:rPr>
            </w:pPr>
            <w:r w:rsidRPr="000864AE">
              <w:rPr>
                <w:rFonts w:ascii="Verdana" w:hAnsi="Verdana"/>
                <w:sz w:val="18"/>
                <w:szCs w:val="18"/>
              </w:rPr>
              <w:t>Gonzáles Grados Manuel Mariano</w:t>
            </w:r>
          </w:p>
        </w:tc>
      </w:tr>
      <w:tr w:rsidR="00EA38F6" w:rsidRPr="000864AE" w14:paraId="5DBB89CB" w14:textId="77777777" w:rsidTr="00AC0C51">
        <w:trPr>
          <w:trHeight w:val="300"/>
        </w:trPr>
        <w:tc>
          <w:tcPr>
            <w:tcW w:w="668" w:type="dxa"/>
            <w:vAlign w:val="center"/>
            <w:hideMark/>
          </w:tcPr>
          <w:p w14:paraId="4C3E7C8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255</w:t>
            </w:r>
          </w:p>
        </w:tc>
        <w:tc>
          <w:tcPr>
            <w:tcW w:w="3835" w:type="dxa"/>
            <w:vAlign w:val="center"/>
            <w:hideMark/>
          </w:tcPr>
          <w:p w14:paraId="143C05E9" w14:textId="77777777" w:rsidR="00EA38F6" w:rsidRPr="000864AE" w:rsidRDefault="00EA38F6" w:rsidP="000864AE">
            <w:pPr>
              <w:rPr>
                <w:rFonts w:ascii="Verdana" w:hAnsi="Verdana"/>
                <w:sz w:val="18"/>
                <w:szCs w:val="18"/>
              </w:rPr>
            </w:pPr>
            <w:r w:rsidRPr="000864AE">
              <w:rPr>
                <w:rFonts w:ascii="Verdana" w:hAnsi="Verdana"/>
                <w:sz w:val="18"/>
                <w:szCs w:val="18"/>
              </w:rPr>
              <w:t>Gonzáles Lombard Abrill Raúl</w:t>
            </w:r>
          </w:p>
        </w:tc>
      </w:tr>
      <w:tr w:rsidR="00EA38F6" w:rsidRPr="000864AE" w14:paraId="3A532777" w14:textId="77777777" w:rsidTr="00AC0C51">
        <w:trPr>
          <w:trHeight w:val="300"/>
        </w:trPr>
        <w:tc>
          <w:tcPr>
            <w:tcW w:w="668" w:type="dxa"/>
            <w:vAlign w:val="center"/>
            <w:hideMark/>
          </w:tcPr>
          <w:p w14:paraId="7EA21B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256</w:t>
            </w:r>
          </w:p>
        </w:tc>
        <w:tc>
          <w:tcPr>
            <w:tcW w:w="3835" w:type="dxa"/>
            <w:vAlign w:val="center"/>
            <w:hideMark/>
          </w:tcPr>
          <w:p w14:paraId="2C14F04B" w14:textId="77777777" w:rsidR="00EA38F6" w:rsidRPr="000864AE" w:rsidRDefault="00EA38F6" w:rsidP="000864AE">
            <w:pPr>
              <w:rPr>
                <w:rFonts w:ascii="Verdana" w:hAnsi="Verdana"/>
                <w:sz w:val="18"/>
                <w:szCs w:val="18"/>
              </w:rPr>
            </w:pPr>
            <w:r w:rsidRPr="000864AE">
              <w:rPr>
                <w:rFonts w:ascii="Verdana" w:hAnsi="Verdana"/>
                <w:sz w:val="18"/>
                <w:szCs w:val="18"/>
              </w:rPr>
              <w:t>Gonzáles Rodríguez Fidel</w:t>
            </w:r>
          </w:p>
        </w:tc>
      </w:tr>
      <w:tr w:rsidR="00EA38F6" w:rsidRPr="000864AE" w14:paraId="38AC9977" w14:textId="77777777" w:rsidTr="00AC0C51">
        <w:trPr>
          <w:trHeight w:val="300"/>
        </w:trPr>
        <w:tc>
          <w:tcPr>
            <w:tcW w:w="668" w:type="dxa"/>
            <w:vAlign w:val="center"/>
            <w:hideMark/>
          </w:tcPr>
          <w:p w14:paraId="231DDF3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257</w:t>
            </w:r>
          </w:p>
        </w:tc>
        <w:tc>
          <w:tcPr>
            <w:tcW w:w="3835" w:type="dxa"/>
            <w:vAlign w:val="center"/>
            <w:hideMark/>
          </w:tcPr>
          <w:p w14:paraId="4C0A0D49" w14:textId="77777777" w:rsidR="00EA38F6" w:rsidRPr="000864AE" w:rsidRDefault="00EA38F6" w:rsidP="000864AE">
            <w:pPr>
              <w:rPr>
                <w:rFonts w:ascii="Verdana" w:hAnsi="Verdana"/>
                <w:sz w:val="18"/>
                <w:szCs w:val="18"/>
              </w:rPr>
            </w:pPr>
            <w:r w:rsidRPr="000864AE">
              <w:rPr>
                <w:rFonts w:ascii="Verdana" w:hAnsi="Verdana"/>
                <w:sz w:val="18"/>
                <w:szCs w:val="18"/>
              </w:rPr>
              <w:t>Gonzáles Rodríguez Leopoldo</w:t>
            </w:r>
          </w:p>
        </w:tc>
      </w:tr>
      <w:tr w:rsidR="00EA38F6" w:rsidRPr="000864AE" w14:paraId="19F01837" w14:textId="77777777" w:rsidTr="00AC0C51">
        <w:trPr>
          <w:trHeight w:val="300"/>
        </w:trPr>
        <w:tc>
          <w:tcPr>
            <w:tcW w:w="668" w:type="dxa"/>
            <w:vAlign w:val="center"/>
            <w:hideMark/>
          </w:tcPr>
          <w:p w14:paraId="50882BF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258</w:t>
            </w:r>
          </w:p>
        </w:tc>
        <w:tc>
          <w:tcPr>
            <w:tcW w:w="3835" w:type="dxa"/>
            <w:vAlign w:val="center"/>
            <w:hideMark/>
          </w:tcPr>
          <w:p w14:paraId="130AA1DB" w14:textId="77777777" w:rsidR="00EA38F6" w:rsidRPr="000864AE" w:rsidRDefault="00EA38F6" w:rsidP="000864AE">
            <w:pPr>
              <w:rPr>
                <w:rFonts w:ascii="Verdana" w:hAnsi="Verdana"/>
                <w:sz w:val="18"/>
                <w:szCs w:val="18"/>
              </w:rPr>
            </w:pPr>
            <w:r w:rsidRPr="000864AE">
              <w:rPr>
                <w:rFonts w:ascii="Verdana" w:hAnsi="Verdana"/>
                <w:sz w:val="18"/>
                <w:szCs w:val="18"/>
              </w:rPr>
              <w:t>Gotelli Lugo Rubén</w:t>
            </w:r>
          </w:p>
        </w:tc>
      </w:tr>
      <w:tr w:rsidR="00EA38F6" w:rsidRPr="000864AE" w14:paraId="431C09CB" w14:textId="77777777" w:rsidTr="00AC0C51">
        <w:trPr>
          <w:trHeight w:val="300"/>
        </w:trPr>
        <w:tc>
          <w:tcPr>
            <w:tcW w:w="668" w:type="dxa"/>
            <w:vAlign w:val="center"/>
            <w:hideMark/>
          </w:tcPr>
          <w:p w14:paraId="2ADDBE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259</w:t>
            </w:r>
          </w:p>
        </w:tc>
        <w:tc>
          <w:tcPr>
            <w:tcW w:w="3835" w:type="dxa"/>
            <w:vAlign w:val="center"/>
            <w:hideMark/>
          </w:tcPr>
          <w:p w14:paraId="17E83A94" w14:textId="77777777" w:rsidR="00EA38F6" w:rsidRPr="000864AE" w:rsidRDefault="00EA38F6" w:rsidP="000864AE">
            <w:pPr>
              <w:rPr>
                <w:rFonts w:ascii="Verdana" w:hAnsi="Verdana"/>
                <w:sz w:val="18"/>
                <w:szCs w:val="18"/>
              </w:rPr>
            </w:pPr>
            <w:r w:rsidRPr="000864AE">
              <w:rPr>
                <w:rFonts w:ascii="Verdana" w:hAnsi="Verdana"/>
                <w:sz w:val="18"/>
                <w:szCs w:val="18"/>
              </w:rPr>
              <w:t>Grande Bolívar Norma Estela</w:t>
            </w:r>
          </w:p>
        </w:tc>
      </w:tr>
      <w:tr w:rsidR="00EA38F6" w:rsidRPr="000864AE" w14:paraId="4095B8D8" w14:textId="77777777" w:rsidTr="00AC0C51">
        <w:trPr>
          <w:trHeight w:val="300"/>
        </w:trPr>
        <w:tc>
          <w:tcPr>
            <w:tcW w:w="668" w:type="dxa"/>
            <w:vAlign w:val="center"/>
            <w:hideMark/>
          </w:tcPr>
          <w:p w14:paraId="25B09C4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260</w:t>
            </w:r>
          </w:p>
        </w:tc>
        <w:tc>
          <w:tcPr>
            <w:tcW w:w="3835" w:type="dxa"/>
            <w:vAlign w:val="center"/>
            <w:hideMark/>
          </w:tcPr>
          <w:p w14:paraId="0367CFA6" w14:textId="77777777" w:rsidR="00EA38F6" w:rsidRPr="000864AE" w:rsidRDefault="00EA38F6" w:rsidP="000864AE">
            <w:pPr>
              <w:rPr>
                <w:rFonts w:ascii="Verdana" w:hAnsi="Verdana"/>
                <w:sz w:val="18"/>
                <w:szCs w:val="18"/>
              </w:rPr>
            </w:pPr>
            <w:r w:rsidRPr="000864AE">
              <w:rPr>
                <w:rFonts w:ascii="Verdana" w:hAnsi="Verdana"/>
                <w:sz w:val="18"/>
                <w:szCs w:val="18"/>
              </w:rPr>
              <w:t>Grande Cangahuala Gladys Dora</w:t>
            </w:r>
          </w:p>
        </w:tc>
      </w:tr>
      <w:tr w:rsidR="00EA38F6" w:rsidRPr="000864AE" w14:paraId="6DCC17CA" w14:textId="77777777" w:rsidTr="00AC0C51">
        <w:trPr>
          <w:trHeight w:val="300"/>
        </w:trPr>
        <w:tc>
          <w:tcPr>
            <w:tcW w:w="668" w:type="dxa"/>
            <w:vAlign w:val="center"/>
            <w:hideMark/>
          </w:tcPr>
          <w:p w14:paraId="4AE1106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261</w:t>
            </w:r>
          </w:p>
        </w:tc>
        <w:tc>
          <w:tcPr>
            <w:tcW w:w="3835" w:type="dxa"/>
            <w:vAlign w:val="center"/>
            <w:hideMark/>
          </w:tcPr>
          <w:p w14:paraId="373E583E" w14:textId="77777777" w:rsidR="00EA38F6" w:rsidRPr="000864AE" w:rsidRDefault="00EA38F6" w:rsidP="000864AE">
            <w:pPr>
              <w:rPr>
                <w:rFonts w:ascii="Verdana" w:hAnsi="Verdana"/>
                <w:sz w:val="18"/>
                <w:szCs w:val="18"/>
              </w:rPr>
            </w:pPr>
            <w:r w:rsidRPr="000864AE">
              <w:rPr>
                <w:rFonts w:ascii="Verdana" w:hAnsi="Verdana"/>
                <w:sz w:val="18"/>
                <w:szCs w:val="18"/>
              </w:rPr>
              <w:t>Guerra La Torre Félix Fausto</w:t>
            </w:r>
          </w:p>
        </w:tc>
      </w:tr>
      <w:tr w:rsidR="00EA38F6" w:rsidRPr="000864AE" w14:paraId="64CD34EB" w14:textId="77777777" w:rsidTr="00AC0C51">
        <w:trPr>
          <w:trHeight w:val="300"/>
        </w:trPr>
        <w:tc>
          <w:tcPr>
            <w:tcW w:w="668" w:type="dxa"/>
            <w:vAlign w:val="center"/>
            <w:hideMark/>
          </w:tcPr>
          <w:p w14:paraId="49B995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262</w:t>
            </w:r>
          </w:p>
        </w:tc>
        <w:tc>
          <w:tcPr>
            <w:tcW w:w="3835" w:type="dxa"/>
            <w:vAlign w:val="center"/>
            <w:hideMark/>
          </w:tcPr>
          <w:p w14:paraId="6FA33FA3" w14:textId="77777777" w:rsidR="00EA38F6" w:rsidRPr="000864AE" w:rsidRDefault="00EA38F6" w:rsidP="000864AE">
            <w:pPr>
              <w:rPr>
                <w:rFonts w:ascii="Verdana" w:hAnsi="Verdana"/>
                <w:sz w:val="18"/>
                <w:szCs w:val="18"/>
              </w:rPr>
            </w:pPr>
            <w:r w:rsidRPr="000864AE">
              <w:rPr>
                <w:rFonts w:ascii="Verdana" w:hAnsi="Verdana"/>
                <w:sz w:val="18"/>
                <w:szCs w:val="18"/>
              </w:rPr>
              <w:t>Guerrero Díaz César Lucio</w:t>
            </w:r>
          </w:p>
        </w:tc>
      </w:tr>
      <w:tr w:rsidR="00EA38F6" w:rsidRPr="000864AE" w14:paraId="46CD6B46" w14:textId="77777777" w:rsidTr="00AC0C51">
        <w:trPr>
          <w:trHeight w:val="255"/>
        </w:trPr>
        <w:tc>
          <w:tcPr>
            <w:tcW w:w="668" w:type="dxa"/>
            <w:vAlign w:val="center"/>
            <w:hideMark/>
          </w:tcPr>
          <w:p w14:paraId="2F73FA0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263</w:t>
            </w:r>
          </w:p>
        </w:tc>
        <w:tc>
          <w:tcPr>
            <w:tcW w:w="3835" w:type="dxa"/>
            <w:vAlign w:val="center"/>
            <w:hideMark/>
          </w:tcPr>
          <w:p w14:paraId="0F4AE204" w14:textId="77777777" w:rsidR="00EA38F6" w:rsidRPr="000864AE" w:rsidRDefault="00EA38F6" w:rsidP="000864AE">
            <w:pPr>
              <w:rPr>
                <w:rFonts w:ascii="Verdana" w:hAnsi="Verdana"/>
                <w:sz w:val="18"/>
                <w:szCs w:val="18"/>
              </w:rPr>
            </w:pPr>
            <w:r w:rsidRPr="000864AE">
              <w:rPr>
                <w:rFonts w:ascii="Verdana" w:hAnsi="Verdana"/>
                <w:sz w:val="18"/>
                <w:szCs w:val="18"/>
              </w:rPr>
              <w:t>Guerrero Lucas Humberto</w:t>
            </w:r>
          </w:p>
        </w:tc>
      </w:tr>
      <w:tr w:rsidR="00EA38F6" w:rsidRPr="000864AE" w14:paraId="6E0E5A02" w14:textId="77777777" w:rsidTr="00AC0C51">
        <w:trPr>
          <w:trHeight w:val="300"/>
        </w:trPr>
        <w:tc>
          <w:tcPr>
            <w:tcW w:w="668" w:type="dxa"/>
            <w:vAlign w:val="center"/>
            <w:hideMark/>
          </w:tcPr>
          <w:p w14:paraId="519942A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264</w:t>
            </w:r>
          </w:p>
        </w:tc>
        <w:tc>
          <w:tcPr>
            <w:tcW w:w="3835" w:type="dxa"/>
            <w:vAlign w:val="center"/>
            <w:hideMark/>
          </w:tcPr>
          <w:p w14:paraId="7F9E1165" w14:textId="77777777" w:rsidR="00EA38F6" w:rsidRPr="000864AE" w:rsidRDefault="00EA38F6" w:rsidP="000864AE">
            <w:pPr>
              <w:rPr>
                <w:rFonts w:ascii="Verdana" w:hAnsi="Verdana"/>
                <w:sz w:val="18"/>
                <w:szCs w:val="18"/>
              </w:rPr>
            </w:pPr>
            <w:r w:rsidRPr="000864AE">
              <w:rPr>
                <w:rFonts w:ascii="Verdana" w:hAnsi="Verdana"/>
                <w:sz w:val="18"/>
                <w:szCs w:val="18"/>
              </w:rPr>
              <w:t>Guevara Mucha Víctor Luis</w:t>
            </w:r>
          </w:p>
        </w:tc>
      </w:tr>
      <w:tr w:rsidR="00EA38F6" w:rsidRPr="000864AE" w14:paraId="5A6CB219" w14:textId="77777777" w:rsidTr="00AC0C51">
        <w:trPr>
          <w:trHeight w:val="300"/>
        </w:trPr>
        <w:tc>
          <w:tcPr>
            <w:tcW w:w="668" w:type="dxa"/>
            <w:vAlign w:val="center"/>
            <w:hideMark/>
          </w:tcPr>
          <w:p w14:paraId="379FE48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265</w:t>
            </w:r>
          </w:p>
        </w:tc>
        <w:tc>
          <w:tcPr>
            <w:tcW w:w="3835" w:type="dxa"/>
            <w:vAlign w:val="center"/>
            <w:hideMark/>
          </w:tcPr>
          <w:p w14:paraId="0C0FEFBC" w14:textId="77777777" w:rsidR="00EA38F6" w:rsidRPr="000864AE" w:rsidRDefault="00EA38F6" w:rsidP="000864AE">
            <w:pPr>
              <w:rPr>
                <w:rFonts w:ascii="Verdana" w:hAnsi="Verdana"/>
                <w:sz w:val="18"/>
                <w:szCs w:val="18"/>
              </w:rPr>
            </w:pPr>
            <w:r w:rsidRPr="000864AE">
              <w:rPr>
                <w:rFonts w:ascii="Verdana" w:hAnsi="Verdana"/>
                <w:sz w:val="18"/>
                <w:szCs w:val="18"/>
              </w:rPr>
              <w:t>Guillén Zarzosa Raymundo Manuel</w:t>
            </w:r>
          </w:p>
        </w:tc>
      </w:tr>
      <w:tr w:rsidR="00EA38F6" w:rsidRPr="000864AE" w14:paraId="097A97A5" w14:textId="77777777" w:rsidTr="00AC0C51">
        <w:trPr>
          <w:trHeight w:val="300"/>
        </w:trPr>
        <w:tc>
          <w:tcPr>
            <w:tcW w:w="668" w:type="dxa"/>
            <w:vAlign w:val="center"/>
            <w:hideMark/>
          </w:tcPr>
          <w:p w14:paraId="16F948C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266</w:t>
            </w:r>
          </w:p>
        </w:tc>
        <w:tc>
          <w:tcPr>
            <w:tcW w:w="3835" w:type="dxa"/>
            <w:vAlign w:val="center"/>
            <w:hideMark/>
          </w:tcPr>
          <w:p w14:paraId="74695F51" w14:textId="77777777" w:rsidR="00EA38F6" w:rsidRPr="000864AE" w:rsidRDefault="00EA38F6" w:rsidP="000864AE">
            <w:pPr>
              <w:rPr>
                <w:rFonts w:ascii="Verdana" w:hAnsi="Verdana"/>
                <w:sz w:val="18"/>
                <w:szCs w:val="18"/>
              </w:rPr>
            </w:pPr>
            <w:r w:rsidRPr="000864AE">
              <w:rPr>
                <w:rFonts w:ascii="Verdana" w:hAnsi="Verdana"/>
                <w:sz w:val="18"/>
                <w:szCs w:val="18"/>
              </w:rPr>
              <w:t>Guimet Garro Germán</w:t>
            </w:r>
          </w:p>
        </w:tc>
      </w:tr>
      <w:tr w:rsidR="00EA38F6" w:rsidRPr="000864AE" w14:paraId="151B0616" w14:textId="77777777" w:rsidTr="00AC0C51">
        <w:trPr>
          <w:trHeight w:val="300"/>
        </w:trPr>
        <w:tc>
          <w:tcPr>
            <w:tcW w:w="668" w:type="dxa"/>
            <w:vAlign w:val="center"/>
            <w:hideMark/>
          </w:tcPr>
          <w:p w14:paraId="3F185A1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267</w:t>
            </w:r>
          </w:p>
        </w:tc>
        <w:tc>
          <w:tcPr>
            <w:tcW w:w="3835" w:type="dxa"/>
            <w:vAlign w:val="center"/>
            <w:hideMark/>
          </w:tcPr>
          <w:p w14:paraId="24456406" w14:textId="77777777" w:rsidR="00EA38F6" w:rsidRPr="000864AE" w:rsidRDefault="00EA38F6" w:rsidP="000864AE">
            <w:pPr>
              <w:rPr>
                <w:rFonts w:ascii="Verdana" w:hAnsi="Verdana"/>
                <w:sz w:val="18"/>
                <w:szCs w:val="18"/>
              </w:rPr>
            </w:pPr>
            <w:r w:rsidRPr="000864AE">
              <w:rPr>
                <w:rFonts w:ascii="Verdana" w:hAnsi="Verdana"/>
                <w:sz w:val="18"/>
                <w:szCs w:val="18"/>
              </w:rPr>
              <w:t>Guinassi Paz Edgard Román</w:t>
            </w:r>
          </w:p>
        </w:tc>
      </w:tr>
      <w:tr w:rsidR="00EA38F6" w:rsidRPr="000864AE" w14:paraId="3E0541FC" w14:textId="77777777" w:rsidTr="00AC0C51">
        <w:trPr>
          <w:trHeight w:val="300"/>
        </w:trPr>
        <w:tc>
          <w:tcPr>
            <w:tcW w:w="668" w:type="dxa"/>
            <w:vAlign w:val="center"/>
            <w:hideMark/>
          </w:tcPr>
          <w:p w14:paraId="48C52D8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268</w:t>
            </w:r>
          </w:p>
        </w:tc>
        <w:tc>
          <w:tcPr>
            <w:tcW w:w="3835" w:type="dxa"/>
            <w:vAlign w:val="center"/>
            <w:hideMark/>
          </w:tcPr>
          <w:p w14:paraId="4F710623" w14:textId="77777777" w:rsidR="00EA38F6" w:rsidRPr="000864AE" w:rsidRDefault="00EA38F6" w:rsidP="000864AE">
            <w:pPr>
              <w:rPr>
                <w:rFonts w:ascii="Verdana" w:hAnsi="Verdana"/>
                <w:sz w:val="18"/>
                <w:szCs w:val="18"/>
              </w:rPr>
            </w:pPr>
            <w:r w:rsidRPr="000864AE">
              <w:rPr>
                <w:rFonts w:ascii="Verdana" w:hAnsi="Verdana"/>
                <w:sz w:val="18"/>
                <w:szCs w:val="18"/>
              </w:rPr>
              <w:t>Guiulfo Castillo Olga Isabel</w:t>
            </w:r>
          </w:p>
        </w:tc>
      </w:tr>
      <w:tr w:rsidR="00EA38F6" w:rsidRPr="000864AE" w14:paraId="31417002" w14:textId="77777777" w:rsidTr="00AC0C51">
        <w:trPr>
          <w:trHeight w:val="300"/>
        </w:trPr>
        <w:tc>
          <w:tcPr>
            <w:tcW w:w="668" w:type="dxa"/>
            <w:vAlign w:val="center"/>
            <w:hideMark/>
          </w:tcPr>
          <w:p w14:paraId="6AC12F2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269</w:t>
            </w:r>
          </w:p>
        </w:tc>
        <w:tc>
          <w:tcPr>
            <w:tcW w:w="3835" w:type="dxa"/>
            <w:vAlign w:val="center"/>
            <w:hideMark/>
          </w:tcPr>
          <w:p w14:paraId="103A8D0A" w14:textId="77777777" w:rsidR="00EA38F6" w:rsidRPr="000864AE" w:rsidRDefault="00EA38F6" w:rsidP="000864AE">
            <w:pPr>
              <w:rPr>
                <w:rFonts w:ascii="Verdana" w:hAnsi="Verdana"/>
                <w:sz w:val="18"/>
                <w:szCs w:val="18"/>
              </w:rPr>
            </w:pPr>
            <w:r w:rsidRPr="000864AE">
              <w:rPr>
                <w:rFonts w:ascii="Verdana" w:hAnsi="Verdana"/>
                <w:sz w:val="18"/>
                <w:szCs w:val="18"/>
              </w:rPr>
              <w:t>Gutiérrez Martínez Guillermo</w:t>
            </w:r>
          </w:p>
        </w:tc>
      </w:tr>
      <w:tr w:rsidR="00EA38F6" w:rsidRPr="000864AE" w14:paraId="7F7E82B0" w14:textId="77777777" w:rsidTr="00AC0C51">
        <w:trPr>
          <w:trHeight w:val="300"/>
        </w:trPr>
        <w:tc>
          <w:tcPr>
            <w:tcW w:w="668" w:type="dxa"/>
            <w:vAlign w:val="center"/>
            <w:hideMark/>
          </w:tcPr>
          <w:p w14:paraId="3672B91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270</w:t>
            </w:r>
          </w:p>
        </w:tc>
        <w:tc>
          <w:tcPr>
            <w:tcW w:w="3835" w:type="dxa"/>
            <w:vAlign w:val="center"/>
            <w:hideMark/>
          </w:tcPr>
          <w:p w14:paraId="6A349D2C" w14:textId="77777777" w:rsidR="00EA38F6" w:rsidRPr="000864AE" w:rsidRDefault="00EA38F6" w:rsidP="000864AE">
            <w:pPr>
              <w:rPr>
                <w:rFonts w:ascii="Verdana" w:hAnsi="Verdana"/>
                <w:sz w:val="18"/>
                <w:szCs w:val="18"/>
              </w:rPr>
            </w:pPr>
            <w:r w:rsidRPr="000864AE">
              <w:rPr>
                <w:rFonts w:ascii="Verdana" w:hAnsi="Verdana"/>
                <w:sz w:val="18"/>
                <w:szCs w:val="18"/>
              </w:rPr>
              <w:t>Gutiérrez Castro Armandina Viviana</w:t>
            </w:r>
          </w:p>
        </w:tc>
      </w:tr>
      <w:tr w:rsidR="00EA38F6" w:rsidRPr="000864AE" w14:paraId="1DD33EE3" w14:textId="77777777" w:rsidTr="00AC0C51">
        <w:trPr>
          <w:trHeight w:val="300"/>
        </w:trPr>
        <w:tc>
          <w:tcPr>
            <w:tcW w:w="668" w:type="dxa"/>
            <w:vAlign w:val="center"/>
            <w:hideMark/>
          </w:tcPr>
          <w:p w14:paraId="336894B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271</w:t>
            </w:r>
          </w:p>
        </w:tc>
        <w:tc>
          <w:tcPr>
            <w:tcW w:w="3835" w:type="dxa"/>
            <w:vAlign w:val="center"/>
            <w:hideMark/>
          </w:tcPr>
          <w:p w14:paraId="4E1F3223" w14:textId="77777777" w:rsidR="00EA38F6" w:rsidRPr="000864AE" w:rsidRDefault="00EA38F6" w:rsidP="000864AE">
            <w:pPr>
              <w:rPr>
                <w:rFonts w:ascii="Verdana" w:hAnsi="Verdana"/>
                <w:sz w:val="18"/>
                <w:szCs w:val="18"/>
              </w:rPr>
            </w:pPr>
            <w:r w:rsidRPr="000864AE">
              <w:rPr>
                <w:rFonts w:ascii="Verdana" w:hAnsi="Verdana"/>
                <w:sz w:val="18"/>
                <w:szCs w:val="18"/>
              </w:rPr>
              <w:t>Gutiérrez Cerna Álvaro Augusto</w:t>
            </w:r>
          </w:p>
        </w:tc>
      </w:tr>
      <w:tr w:rsidR="00EA38F6" w:rsidRPr="000864AE" w14:paraId="58BB1E70" w14:textId="77777777" w:rsidTr="00AC0C51">
        <w:trPr>
          <w:trHeight w:val="300"/>
        </w:trPr>
        <w:tc>
          <w:tcPr>
            <w:tcW w:w="668" w:type="dxa"/>
            <w:vAlign w:val="center"/>
            <w:hideMark/>
          </w:tcPr>
          <w:p w14:paraId="4C20399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272</w:t>
            </w:r>
          </w:p>
        </w:tc>
        <w:tc>
          <w:tcPr>
            <w:tcW w:w="3835" w:type="dxa"/>
            <w:vAlign w:val="center"/>
            <w:hideMark/>
          </w:tcPr>
          <w:p w14:paraId="0B4E5FBA" w14:textId="77777777" w:rsidR="00EA38F6" w:rsidRPr="000864AE" w:rsidRDefault="00EA38F6" w:rsidP="000864AE">
            <w:pPr>
              <w:rPr>
                <w:rFonts w:ascii="Verdana" w:hAnsi="Verdana"/>
                <w:sz w:val="18"/>
                <w:szCs w:val="18"/>
              </w:rPr>
            </w:pPr>
            <w:r w:rsidRPr="000864AE">
              <w:rPr>
                <w:rFonts w:ascii="Verdana" w:hAnsi="Verdana"/>
                <w:sz w:val="18"/>
                <w:szCs w:val="18"/>
              </w:rPr>
              <w:t>Gutiérrez Gálvez Oscar</w:t>
            </w:r>
          </w:p>
        </w:tc>
      </w:tr>
      <w:tr w:rsidR="00EA38F6" w:rsidRPr="000864AE" w14:paraId="6855208B" w14:textId="77777777" w:rsidTr="00AC0C51">
        <w:trPr>
          <w:trHeight w:val="300"/>
        </w:trPr>
        <w:tc>
          <w:tcPr>
            <w:tcW w:w="668" w:type="dxa"/>
            <w:vAlign w:val="center"/>
            <w:hideMark/>
          </w:tcPr>
          <w:p w14:paraId="1D8B8D8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273</w:t>
            </w:r>
          </w:p>
        </w:tc>
        <w:tc>
          <w:tcPr>
            <w:tcW w:w="3835" w:type="dxa"/>
            <w:vAlign w:val="center"/>
            <w:hideMark/>
          </w:tcPr>
          <w:p w14:paraId="0DC20C0E" w14:textId="77777777" w:rsidR="00EA38F6" w:rsidRPr="000864AE" w:rsidRDefault="00EA38F6" w:rsidP="000864AE">
            <w:pPr>
              <w:rPr>
                <w:rFonts w:ascii="Verdana" w:hAnsi="Verdana"/>
                <w:sz w:val="18"/>
                <w:szCs w:val="18"/>
              </w:rPr>
            </w:pPr>
            <w:r w:rsidRPr="000864AE">
              <w:rPr>
                <w:rFonts w:ascii="Verdana" w:hAnsi="Verdana"/>
                <w:sz w:val="18"/>
                <w:szCs w:val="18"/>
              </w:rPr>
              <w:t>Gutiérrez Tapia Tomas Wilbert</w:t>
            </w:r>
          </w:p>
        </w:tc>
      </w:tr>
      <w:tr w:rsidR="00EA38F6" w:rsidRPr="000864AE" w14:paraId="355200B8" w14:textId="77777777" w:rsidTr="00AC0C51">
        <w:trPr>
          <w:trHeight w:val="300"/>
        </w:trPr>
        <w:tc>
          <w:tcPr>
            <w:tcW w:w="668" w:type="dxa"/>
            <w:vAlign w:val="center"/>
            <w:hideMark/>
          </w:tcPr>
          <w:p w14:paraId="24CE5BD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274</w:t>
            </w:r>
          </w:p>
        </w:tc>
        <w:tc>
          <w:tcPr>
            <w:tcW w:w="3835" w:type="dxa"/>
            <w:vAlign w:val="center"/>
            <w:hideMark/>
          </w:tcPr>
          <w:p w14:paraId="1BA573A3" w14:textId="77777777" w:rsidR="00EA38F6" w:rsidRPr="000864AE" w:rsidRDefault="00EA38F6" w:rsidP="000864AE">
            <w:pPr>
              <w:rPr>
                <w:rFonts w:ascii="Verdana" w:hAnsi="Verdana"/>
                <w:sz w:val="18"/>
                <w:szCs w:val="18"/>
              </w:rPr>
            </w:pPr>
            <w:r w:rsidRPr="000864AE">
              <w:rPr>
                <w:rFonts w:ascii="Verdana" w:hAnsi="Verdana"/>
                <w:sz w:val="18"/>
                <w:szCs w:val="18"/>
              </w:rPr>
              <w:t>Guzmán Reyes Carmen Victoria</w:t>
            </w:r>
          </w:p>
        </w:tc>
      </w:tr>
      <w:tr w:rsidR="00EA38F6" w:rsidRPr="000864AE" w14:paraId="6E3CADC7" w14:textId="77777777" w:rsidTr="00AC0C51">
        <w:trPr>
          <w:trHeight w:val="300"/>
        </w:trPr>
        <w:tc>
          <w:tcPr>
            <w:tcW w:w="668" w:type="dxa"/>
            <w:vAlign w:val="center"/>
            <w:hideMark/>
          </w:tcPr>
          <w:p w14:paraId="25F257C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275</w:t>
            </w:r>
          </w:p>
        </w:tc>
        <w:tc>
          <w:tcPr>
            <w:tcW w:w="3835" w:type="dxa"/>
            <w:vAlign w:val="center"/>
            <w:hideMark/>
          </w:tcPr>
          <w:p w14:paraId="5D1E4B54" w14:textId="77777777" w:rsidR="00EA38F6" w:rsidRPr="000864AE" w:rsidRDefault="00EA38F6" w:rsidP="000864AE">
            <w:pPr>
              <w:rPr>
                <w:rFonts w:ascii="Verdana" w:hAnsi="Verdana"/>
                <w:sz w:val="18"/>
                <w:szCs w:val="18"/>
              </w:rPr>
            </w:pPr>
            <w:r w:rsidRPr="000864AE">
              <w:rPr>
                <w:rFonts w:ascii="Verdana" w:hAnsi="Verdana"/>
                <w:sz w:val="18"/>
                <w:szCs w:val="18"/>
              </w:rPr>
              <w:t>Haro Suárez Gladys Marietta</w:t>
            </w:r>
          </w:p>
        </w:tc>
      </w:tr>
      <w:tr w:rsidR="00EA38F6" w:rsidRPr="000864AE" w14:paraId="6D1D0BFD" w14:textId="77777777" w:rsidTr="00AC0C51">
        <w:trPr>
          <w:trHeight w:val="300"/>
        </w:trPr>
        <w:tc>
          <w:tcPr>
            <w:tcW w:w="668" w:type="dxa"/>
            <w:vAlign w:val="center"/>
            <w:hideMark/>
          </w:tcPr>
          <w:p w14:paraId="28E3AA7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276</w:t>
            </w:r>
          </w:p>
        </w:tc>
        <w:tc>
          <w:tcPr>
            <w:tcW w:w="3835" w:type="dxa"/>
            <w:vAlign w:val="center"/>
            <w:hideMark/>
          </w:tcPr>
          <w:p w14:paraId="410EBAB2" w14:textId="77777777" w:rsidR="00EA38F6" w:rsidRPr="000864AE" w:rsidRDefault="00EA38F6" w:rsidP="000864AE">
            <w:pPr>
              <w:rPr>
                <w:rFonts w:ascii="Verdana" w:hAnsi="Verdana"/>
                <w:sz w:val="18"/>
                <w:szCs w:val="18"/>
              </w:rPr>
            </w:pPr>
            <w:r w:rsidRPr="000864AE">
              <w:rPr>
                <w:rFonts w:ascii="Verdana" w:hAnsi="Verdana"/>
                <w:sz w:val="18"/>
                <w:szCs w:val="18"/>
              </w:rPr>
              <w:t>Heredia Solís Miguel Eugenio</w:t>
            </w:r>
          </w:p>
        </w:tc>
      </w:tr>
      <w:tr w:rsidR="00EA38F6" w:rsidRPr="000864AE" w14:paraId="4A710C21" w14:textId="77777777" w:rsidTr="00AC0C51">
        <w:trPr>
          <w:trHeight w:val="300"/>
        </w:trPr>
        <w:tc>
          <w:tcPr>
            <w:tcW w:w="668" w:type="dxa"/>
            <w:vAlign w:val="center"/>
            <w:hideMark/>
          </w:tcPr>
          <w:p w14:paraId="0E61D42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277</w:t>
            </w:r>
          </w:p>
        </w:tc>
        <w:tc>
          <w:tcPr>
            <w:tcW w:w="3835" w:type="dxa"/>
            <w:vAlign w:val="center"/>
            <w:hideMark/>
          </w:tcPr>
          <w:p w14:paraId="5A13F37E" w14:textId="77777777" w:rsidR="00EA38F6" w:rsidRPr="000864AE" w:rsidRDefault="00EA38F6" w:rsidP="000864AE">
            <w:pPr>
              <w:rPr>
                <w:rFonts w:ascii="Verdana" w:hAnsi="Verdana"/>
                <w:sz w:val="18"/>
                <w:szCs w:val="18"/>
              </w:rPr>
            </w:pPr>
            <w:r w:rsidRPr="000864AE">
              <w:rPr>
                <w:rFonts w:ascii="Verdana" w:hAnsi="Verdana"/>
                <w:sz w:val="18"/>
                <w:szCs w:val="18"/>
              </w:rPr>
              <w:t>Hernández La Fuente Abraham</w:t>
            </w:r>
          </w:p>
        </w:tc>
      </w:tr>
      <w:tr w:rsidR="00EA38F6" w:rsidRPr="000864AE" w14:paraId="3AAFBA6B" w14:textId="77777777" w:rsidTr="00AC0C51">
        <w:trPr>
          <w:trHeight w:val="300"/>
        </w:trPr>
        <w:tc>
          <w:tcPr>
            <w:tcW w:w="668" w:type="dxa"/>
            <w:vAlign w:val="center"/>
            <w:hideMark/>
          </w:tcPr>
          <w:p w14:paraId="6DEB224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278</w:t>
            </w:r>
          </w:p>
        </w:tc>
        <w:tc>
          <w:tcPr>
            <w:tcW w:w="3835" w:type="dxa"/>
            <w:vAlign w:val="center"/>
            <w:hideMark/>
          </w:tcPr>
          <w:p w14:paraId="708F0B41" w14:textId="77777777" w:rsidR="00EA38F6" w:rsidRPr="000864AE" w:rsidRDefault="00EA38F6" w:rsidP="000864AE">
            <w:pPr>
              <w:rPr>
                <w:rFonts w:ascii="Verdana" w:hAnsi="Verdana"/>
                <w:sz w:val="18"/>
                <w:szCs w:val="18"/>
              </w:rPr>
            </w:pPr>
            <w:r w:rsidRPr="000864AE">
              <w:rPr>
                <w:rFonts w:ascii="Verdana" w:hAnsi="Verdana"/>
                <w:sz w:val="18"/>
                <w:szCs w:val="18"/>
              </w:rPr>
              <w:t>Hernández Miranda Ofelia</w:t>
            </w:r>
          </w:p>
        </w:tc>
      </w:tr>
      <w:tr w:rsidR="00EA38F6" w:rsidRPr="000864AE" w14:paraId="381E9716" w14:textId="77777777" w:rsidTr="00AC0C51">
        <w:trPr>
          <w:trHeight w:val="300"/>
        </w:trPr>
        <w:tc>
          <w:tcPr>
            <w:tcW w:w="668" w:type="dxa"/>
            <w:vAlign w:val="center"/>
            <w:hideMark/>
          </w:tcPr>
          <w:p w14:paraId="028F73D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279</w:t>
            </w:r>
          </w:p>
        </w:tc>
        <w:tc>
          <w:tcPr>
            <w:tcW w:w="3835" w:type="dxa"/>
            <w:vAlign w:val="center"/>
            <w:hideMark/>
          </w:tcPr>
          <w:p w14:paraId="545ABD57" w14:textId="77777777" w:rsidR="00EA38F6" w:rsidRPr="000864AE" w:rsidRDefault="00EA38F6" w:rsidP="000864AE">
            <w:pPr>
              <w:rPr>
                <w:rFonts w:ascii="Verdana" w:hAnsi="Verdana"/>
                <w:sz w:val="18"/>
                <w:szCs w:val="18"/>
              </w:rPr>
            </w:pPr>
            <w:r w:rsidRPr="000864AE">
              <w:rPr>
                <w:rFonts w:ascii="Verdana" w:hAnsi="Verdana"/>
                <w:sz w:val="18"/>
                <w:szCs w:val="18"/>
              </w:rPr>
              <w:t>Herrera Centurión Carlos Manuel</w:t>
            </w:r>
          </w:p>
        </w:tc>
      </w:tr>
      <w:tr w:rsidR="00EA38F6" w:rsidRPr="000864AE" w14:paraId="793A830D" w14:textId="77777777" w:rsidTr="00AC0C51">
        <w:trPr>
          <w:trHeight w:val="300"/>
        </w:trPr>
        <w:tc>
          <w:tcPr>
            <w:tcW w:w="668" w:type="dxa"/>
            <w:vAlign w:val="center"/>
            <w:hideMark/>
          </w:tcPr>
          <w:p w14:paraId="089707B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280</w:t>
            </w:r>
          </w:p>
        </w:tc>
        <w:tc>
          <w:tcPr>
            <w:tcW w:w="3835" w:type="dxa"/>
            <w:vAlign w:val="center"/>
            <w:hideMark/>
          </w:tcPr>
          <w:p w14:paraId="25103128" w14:textId="77777777" w:rsidR="00EA38F6" w:rsidRPr="000864AE" w:rsidRDefault="00EA38F6" w:rsidP="000864AE">
            <w:pPr>
              <w:rPr>
                <w:rFonts w:ascii="Verdana" w:hAnsi="Verdana"/>
                <w:sz w:val="18"/>
                <w:szCs w:val="18"/>
              </w:rPr>
            </w:pPr>
            <w:r w:rsidRPr="000864AE">
              <w:rPr>
                <w:rFonts w:ascii="Verdana" w:hAnsi="Verdana"/>
                <w:sz w:val="18"/>
                <w:szCs w:val="18"/>
              </w:rPr>
              <w:t>Hidalgo Guevara Silvio Raúl</w:t>
            </w:r>
          </w:p>
        </w:tc>
      </w:tr>
      <w:tr w:rsidR="00EA38F6" w:rsidRPr="000864AE" w14:paraId="604A3196" w14:textId="77777777" w:rsidTr="00AC0C51">
        <w:trPr>
          <w:trHeight w:val="300"/>
        </w:trPr>
        <w:tc>
          <w:tcPr>
            <w:tcW w:w="668" w:type="dxa"/>
            <w:vAlign w:val="center"/>
            <w:hideMark/>
          </w:tcPr>
          <w:p w14:paraId="54C27A6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281</w:t>
            </w:r>
          </w:p>
        </w:tc>
        <w:tc>
          <w:tcPr>
            <w:tcW w:w="3835" w:type="dxa"/>
            <w:vAlign w:val="center"/>
            <w:hideMark/>
          </w:tcPr>
          <w:p w14:paraId="43DF158A" w14:textId="77777777" w:rsidR="00EA38F6" w:rsidRPr="000864AE" w:rsidRDefault="00EA38F6" w:rsidP="000864AE">
            <w:pPr>
              <w:rPr>
                <w:rFonts w:ascii="Verdana" w:hAnsi="Verdana"/>
                <w:sz w:val="18"/>
                <w:szCs w:val="18"/>
              </w:rPr>
            </w:pPr>
            <w:r w:rsidRPr="000864AE">
              <w:rPr>
                <w:rFonts w:ascii="Verdana" w:hAnsi="Verdana"/>
                <w:sz w:val="18"/>
                <w:szCs w:val="18"/>
              </w:rPr>
              <w:t>Hinojosa Aybar Víctor Hugo</w:t>
            </w:r>
          </w:p>
        </w:tc>
      </w:tr>
      <w:tr w:rsidR="00EA38F6" w:rsidRPr="000864AE" w14:paraId="142597C9" w14:textId="77777777" w:rsidTr="00AC0C51">
        <w:trPr>
          <w:trHeight w:val="300"/>
        </w:trPr>
        <w:tc>
          <w:tcPr>
            <w:tcW w:w="668" w:type="dxa"/>
            <w:vAlign w:val="center"/>
            <w:hideMark/>
          </w:tcPr>
          <w:p w14:paraId="195D3B4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282</w:t>
            </w:r>
          </w:p>
        </w:tc>
        <w:tc>
          <w:tcPr>
            <w:tcW w:w="3835" w:type="dxa"/>
            <w:vAlign w:val="center"/>
            <w:hideMark/>
          </w:tcPr>
          <w:p w14:paraId="28B71ECE" w14:textId="77777777" w:rsidR="00EA38F6" w:rsidRPr="000864AE" w:rsidRDefault="00EA38F6" w:rsidP="000864AE">
            <w:pPr>
              <w:rPr>
                <w:rFonts w:ascii="Verdana" w:hAnsi="Verdana"/>
                <w:sz w:val="18"/>
                <w:szCs w:val="18"/>
              </w:rPr>
            </w:pPr>
            <w:r w:rsidRPr="000864AE">
              <w:rPr>
                <w:rFonts w:ascii="Verdana" w:hAnsi="Verdana"/>
                <w:sz w:val="18"/>
                <w:szCs w:val="18"/>
              </w:rPr>
              <w:t>Hopkins Cangalaya José Edwing</w:t>
            </w:r>
          </w:p>
        </w:tc>
      </w:tr>
      <w:tr w:rsidR="00EA38F6" w:rsidRPr="000864AE" w14:paraId="540AAA53" w14:textId="77777777" w:rsidTr="00AC0C51">
        <w:trPr>
          <w:trHeight w:val="300"/>
        </w:trPr>
        <w:tc>
          <w:tcPr>
            <w:tcW w:w="668" w:type="dxa"/>
            <w:vAlign w:val="center"/>
            <w:hideMark/>
          </w:tcPr>
          <w:p w14:paraId="013CB06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283</w:t>
            </w:r>
          </w:p>
        </w:tc>
        <w:tc>
          <w:tcPr>
            <w:tcW w:w="3835" w:type="dxa"/>
            <w:vAlign w:val="center"/>
            <w:hideMark/>
          </w:tcPr>
          <w:p w14:paraId="1048CDC5" w14:textId="77777777" w:rsidR="00EA38F6" w:rsidRPr="000864AE" w:rsidRDefault="00EA38F6" w:rsidP="000864AE">
            <w:pPr>
              <w:rPr>
                <w:rFonts w:ascii="Verdana" w:hAnsi="Verdana"/>
                <w:sz w:val="18"/>
                <w:szCs w:val="18"/>
              </w:rPr>
            </w:pPr>
            <w:r w:rsidRPr="000864AE">
              <w:rPr>
                <w:rFonts w:ascii="Verdana" w:hAnsi="Verdana"/>
                <w:sz w:val="18"/>
                <w:szCs w:val="18"/>
              </w:rPr>
              <w:t>Horna Arnao Enrique</w:t>
            </w:r>
          </w:p>
        </w:tc>
      </w:tr>
      <w:tr w:rsidR="00EA38F6" w:rsidRPr="000864AE" w14:paraId="6411F715" w14:textId="77777777" w:rsidTr="00AC0C51">
        <w:trPr>
          <w:trHeight w:val="300"/>
        </w:trPr>
        <w:tc>
          <w:tcPr>
            <w:tcW w:w="668" w:type="dxa"/>
            <w:vAlign w:val="center"/>
            <w:hideMark/>
          </w:tcPr>
          <w:p w14:paraId="38351A7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284</w:t>
            </w:r>
          </w:p>
        </w:tc>
        <w:tc>
          <w:tcPr>
            <w:tcW w:w="3835" w:type="dxa"/>
            <w:vAlign w:val="center"/>
            <w:hideMark/>
          </w:tcPr>
          <w:p w14:paraId="684617F5" w14:textId="77777777" w:rsidR="00EA38F6" w:rsidRPr="000864AE" w:rsidRDefault="00EA38F6" w:rsidP="000864AE">
            <w:pPr>
              <w:rPr>
                <w:rFonts w:ascii="Verdana" w:hAnsi="Verdana"/>
                <w:sz w:val="18"/>
                <w:szCs w:val="18"/>
              </w:rPr>
            </w:pPr>
            <w:r w:rsidRPr="000864AE">
              <w:rPr>
                <w:rFonts w:ascii="Verdana" w:hAnsi="Verdana"/>
                <w:sz w:val="18"/>
                <w:szCs w:val="18"/>
              </w:rPr>
              <w:t>Hoyos Díaz Humberto Javier</w:t>
            </w:r>
          </w:p>
        </w:tc>
      </w:tr>
      <w:tr w:rsidR="00EA38F6" w:rsidRPr="000864AE" w14:paraId="3C86953C" w14:textId="77777777" w:rsidTr="00AC0C51">
        <w:trPr>
          <w:trHeight w:val="300"/>
        </w:trPr>
        <w:tc>
          <w:tcPr>
            <w:tcW w:w="668" w:type="dxa"/>
            <w:vAlign w:val="center"/>
            <w:hideMark/>
          </w:tcPr>
          <w:p w14:paraId="2040BBB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285</w:t>
            </w:r>
          </w:p>
        </w:tc>
        <w:tc>
          <w:tcPr>
            <w:tcW w:w="3835" w:type="dxa"/>
            <w:vAlign w:val="center"/>
            <w:hideMark/>
          </w:tcPr>
          <w:p w14:paraId="6E6F3D11" w14:textId="77777777" w:rsidR="00EA38F6" w:rsidRPr="000864AE" w:rsidRDefault="00EA38F6" w:rsidP="000864AE">
            <w:pPr>
              <w:rPr>
                <w:rFonts w:ascii="Verdana" w:hAnsi="Verdana"/>
                <w:sz w:val="18"/>
                <w:szCs w:val="18"/>
              </w:rPr>
            </w:pPr>
            <w:r w:rsidRPr="000864AE">
              <w:rPr>
                <w:rFonts w:ascii="Verdana" w:hAnsi="Verdana"/>
                <w:sz w:val="18"/>
                <w:szCs w:val="18"/>
              </w:rPr>
              <w:t>Huamán Lozano Constanza</w:t>
            </w:r>
          </w:p>
        </w:tc>
      </w:tr>
      <w:tr w:rsidR="00EA38F6" w:rsidRPr="000864AE" w14:paraId="231FFB4B" w14:textId="77777777" w:rsidTr="00AC0C51">
        <w:trPr>
          <w:trHeight w:val="300"/>
        </w:trPr>
        <w:tc>
          <w:tcPr>
            <w:tcW w:w="668" w:type="dxa"/>
            <w:vAlign w:val="center"/>
            <w:hideMark/>
          </w:tcPr>
          <w:p w14:paraId="1217F38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286</w:t>
            </w:r>
          </w:p>
        </w:tc>
        <w:tc>
          <w:tcPr>
            <w:tcW w:w="3835" w:type="dxa"/>
            <w:vAlign w:val="center"/>
            <w:hideMark/>
          </w:tcPr>
          <w:p w14:paraId="3BE6DFAE" w14:textId="77777777" w:rsidR="00EA38F6" w:rsidRPr="000864AE" w:rsidRDefault="00EA38F6" w:rsidP="000864AE">
            <w:pPr>
              <w:rPr>
                <w:rFonts w:ascii="Verdana" w:hAnsi="Verdana"/>
                <w:sz w:val="18"/>
                <w:szCs w:val="18"/>
              </w:rPr>
            </w:pPr>
            <w:r w:rsidRPr="000864AE">
              <w:rPr>
                <w:rFonts w:ascii="Verdana" w:hAnsi="Verdana"/>
                <w:sz w:val="18"/>
                <w:szCs w:val="18"/>
              </w:rPr>
              <w:t>Huamán Torres Fermín</w:t>
            </w:r>
          </w:p>
        </w:tc>
      </w:tr>
      <w:tr w:rsidR="00EA38F6" w:rsidRPr="000864AE" w14:paraId="5EC51244" w14:textId="77777777" w:rsidTr="00AC0C51">
        <w:trPr>
          <w:trHeight w:val="300"/>
        </w:trPr>
        <w:tc>
          <w:tcPr>
            <w:tcW w:w="668" w:type="dxa"/>
            <w:vAlign w:val="center"/>
            <w:hideMark/>
          </w:tcPr>
          <w:p w14:paraId="1CF8210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287</w:t>
            </w:r>
          </w:p>
        </w:tc>
        <w:tc>
          <w:tcPr>
            <w:tcW w:w="3835" w:type="dxa"/>
            <w:vAlign w:val="center"/>
            <w:hideMark/>
          </w:tcPr>
          <w:p w14:paraId="7616ABAD" w14:textId="77777777" w:rsidR="00EA38F6" w:rsidRPr="000864AE" w:rsidRDefault="00EA38F6" w:rsidP="000864AE">
            <w:pPr>
              <w:rPr>
                <w:rFonts w:ascii="Verdana" w:hAnsi="Verdana"/>
                <w:sz w:val="18"/>
                <w:szCs w:val="18"/>
              </w:rPr>
            </w:pPr>
            <w:r w:rsidRPr="000864AE">
              <w:rPr>
                <w:rFonts w:ascii="Verdana" w:hAnsi="Verdana"/>
                <w:sz w:val="18"/>
                <w:szCs w:val="18"/>
              </w:rPr>
              <w:t>Huamaní Serrano Asterio</w:t>
            </w:r>
          </w:p>
        </w:tc>
      </w:tr>
      <w:tr w:rsidR="00EA38F6" w:rsidRPr="000864AE" w14:paraId="1A727478" w14:textId="77777777" w:rsidTr="00AC0C51">
        <w:trPr>
          <w:trHeight w:val="300"/>
        </w:trPr>
        <w:tc>
          <w:tcPr>
            <w:tcW w:w="668" w:type="dxa"/>
            <w:vAlign w:val="center"/>
            <w:hideMark/>
          </w:tcPr>
          <w:p w14:paraId="495AB5C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288</w:t>
            </w:r>
          </w:p>
        </w:tc>
        <w:tc>
          <w:tcPr>
            <w:tcW w:w="3835" w:type="dxa"/>
            <w:vAlign w:val="center"/>
            <w:hideMark/>
          </w:tcPr>
          <w:p w14:paraId="37FDB0C0" w14:textId="77777777" w:rsidR="00EA38F6" w:rsidRPr="000864AE" w:rsidRDefault="00EA38F6" w:rsidP="000864AE">
            <w:pPr>
              <w:rPr>
                <w:rFonts w:ascii="Verdana" w:hAnsi="Verdana"/>
                <w:sz w:val="18"/>
                <w:szCs w:val="18"/>
              </w:rPr>
            </w:pPr>
            <w:r w:rsidRPr="000864AE">
              <w:rPr>
                <w:rFonts w:ascii="Verdana" w:hAnsi="Verdana"/>
                <w:sz w:val="18"/>
                <w:szCs w:val="18"/>
              </w:rPr>
              <w:t>Huambachano Antón Hugo Bernardo</w:t>
            </w:r>
          </w:p>
        </w:tc>
      </w:tr>
      <w:tr w:rsidR="00EA38F6" w:rsidRPr="000864AE" w14:paraId="1E239826" w14:textId="77777777" w:rsidTr="00AC0C51">
        <w:trPr>
          <w:trHeight w:val="300"/>
        </w:trPr>
        <w:tc>
          <w:tcPr>
            <w:tcW w:w="668" w:type="dxa"/>
            <w:vAlign w:val="center"/>
            <w:hideMark/>
          </w:tcPr>
          <w:p w14:paraId="33EAD4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289</w:t>
            </w:r>
          </w:p>
        </w:tc>
        <w:tc>
          <w:tcPr>
            <w:tcW w:w="3835" w:type="dxa"/>
            <w:vAlign w:val="center"/>
            <w:hideMark/>
          </w:tcPr>
          <w:p w14:paraId="52E10903" w14:textId="77777777" w:rsidR="00EA38F6" w:rsidRPr="000864AE" w:rsidRDefault="00EA38F6" w:rsidP="000864AE">
            <w:pPr>
              <w:rPr>
                <w:rFonts w:ascii="Verdana" w:hAnsi="Verdana"/>
                <w:sz w:val="18"/>
                <w:szCs w:val="18"/>
              </w:rPr>
            </w:pPr>
            <w:r w:rsidRPr="000864AE">
              <w:rPr>
                <w:rFonts w:ascii="Verdana" w:hAnsi="Verdana"/>
                <w:sz w:val="18"/>
                <w:szCs w:val="18"/>
              </w:rPr>
              <w:t>Huapaya Mejía Julia Luz</w:t>
            </w:r>
          </w:p>
        </w:tc>
      </w:tr>
      <w:tr w:rsidR="00EA38F6" w:rsidRPr="000864AE" w14:paraId="37C90614" w14:textId="77777777" w:rsidTr="00AC0C51">
        <w:trPr>
          <w:trHeight w:val="300"/>
        </w:trPr>
        <w:tc>
          <w:tcPr>
            <w:tcW w:w="668" w:type="dxa"/>
            <w:vAlign w:val="center"/>
            <w:hideMark/>
          </w:tcPr>
          <w:p w14:paraId="5690BE6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290</w:t>
            </w:r>
          </w:p>
        </w:tc>
        <w:tc>
          <w:tcPr>
            <w:tcW w:w="3835" w:type="dxa"/>
            <w:vAlign w:val="center"/>
            <w:hideMark/>
          </w:tcPr>
          <w:p w14:paraId="09E52BAB" w14:textId="77777777" w:rsidR="00EA38F6" w:rsidRPr="000864AE" w:rsidRDefault="00EA38F6" w:rsidP="000864AE">
            <w:pPr>
              <w:rPr>
                <w:rFonts w:ascii="Verdana" w:hAnsi="Verdana"/>
                <w:sz w:val="18"/>
                <w:szCs w:val="18"/>
              </w:rPr>
            </w:pPr>
            <w:r w:rsidRPr="000864AE">
              <w:rPr>
                <w:rFonts w:ascii="Verdana" w:hAnsi="Verdana"/>
                <w:sz w:val="18"/>
                <w:szCs w:val="18"/>
              </w:rPr>
              <w:t>Huaricancha Martínez José Luis</w:t>
            </w:r>
          </w:p>
        </w:tc>
      </w:tr>
      <w:tr w:rsidR="00EA38F6" w:rsidRPr="000864AE" w14:paraId="643DF54E" w14:textId="77777777" w:rsidTr="00AC0C51">
        <w:trPr>
          <w:trHeight w:val="300"/>
        </w:trPr>
        <w:tc>
          <w:tcPr>
            <w:tcW w:w="668" w:type="dxa"/>
            <w:vAlign w:val="center"/>
            <w:hideMark/>
          </w:tcPr>
          <w:p w14:paraId="35FB07A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291</w:t>
            </w:r>
          </w:p>
        </w:tc>
        <w:tc>
          <w:tcPr>
            <w:tcW w:w="3835" w:type="dxa"/>
            <w:vAlign w:val="center"/>
            <w:hideMark/>
          </w:tcPr>
          <w:p w14:paraId="7A608792" w14:textId="77777777" w:rsidR="00EA38F6" w:rsidRPr="000864AE" w:rsidRDefault="00EA38F6" w:rsidP="000864AE">
            <w:pPr>
              <w:rPr>
                <w:rFonts w:ascii="Verdana" w:hAnsi="Verdana"/>
                <w:sz w:val="18"/>
                <w:szCs w:val="18"/>
              </w:rPr>
            </w:pPr>
            <w:r w:rsidRPr="000864AE">
              <w:rPr>
                <w:rFonts w:ascii="Verdana" w:hAnsi="Verdana"/>
                <w:sz w:val="18"/>
                <w:szCs w:val="18"/>
              </w:rPr>
              <w:t>Huaygua Velásquez Lizardo</w:t>
            </w:r>
          </w:p>
        </w:tc>
      </w:tr>
      <w:tr w:rsidR="00EA38F6" w:rsidRPr="000864AE" w14:paraId="5A1F3158" w14:textId="77777777" w:rsidTr="00AC0C51">
        <w:trPr>
          <w:trHeight w:val="300"/>
        </w:trPr>
        <w:tc>
          <w:tcPr>
            <w:tcW w:w="668" w:type="dxa"/>
            <w:vAlign w:val="center"/>
            <w:hideMark/>
          </w:tcPr>
          <w:p w14:paraId="37F8A88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292</w:t>
            </w:r>
          </w:p>
        </w:tc>
        <w:tc>
          <w:tcPr>
            <w:tcW w:w="3835" w:type="dxa"/>
            <w:vAlign w:val="center"/>
            <w:hideMark/>
          </w:tcPr>
          <w:p w14:paraId="5966DC53" w14:textId="77777777" w:rsidR="00EA38F6" w:rsidRPr="000864AE" w:rsidRDefault="00EA38F6" w:rsidP="000864AE">
            <w:pPr>
              <w:rPr>
                <w:rFonts w:ascii="Verdana" w:hAnsi="Verdana"/>
                <w:sz w:val="18"/>
                <w:szCs w:val="18"/>
              </w:rPr>
            </w:pPr>
            <w:r w:rsidRPr="000864AE">
              <w:rPr>
                <w:rFonts w:ascii="Verdana" w:hAnsi="Verdana"/>
                <w:sz w:val="18"/>
                <w:szCs w:val="18"/>
              </w:rPr>
              <w:t>Huerta Pérez Juan</w:t>
            </w:r>
          </w:p>
        </w:tc>
      </w:tr>
      <w:tr w:rsidR="00EA38F6" w:rsidRPr="000864AE" w14:paraId="16D64D11" w14:textId="77777777" w:rsidTr="00AC0C51">
        <w:trPr>
          <w:trHeight w:val="300"/>
        </w:trPr>
        <w:tc>
          <w:tcPr>
            <w:tcW w:w="668" w:type="dxa"/>
            <w:vAlign w:val="center"/>
            <w:hideMark/>
          </w:tcPr>
          <w:p w14:paraId="79B4EAF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293</w:t>
            </w:r>
          </w:p>
        </w:tc>
        <w:tc>
          <w:tcPr>
            <w:tcW w:w="3835" w:type="dxa"/>
            <w:vAlign w:val="center"/>
            <w:hideMark/>
          </w:tcPr>
          <w:p w14:paraId="2CA6D215" w14:textId="77777777" w:rsidR="00EA38F6" w:rsidRPr="000864AE" w:rsidRDefault="00EA38F6" w:rsidP="000864AE">
            <w:pPr>
              <w:rPr>
                <w:rFonts w:ascii="Verdana" w:hAnsi="Verdana"/>
                <w:sz w:val="18"/>
                <w:szCs w:val="18"/>
              </w:rPr>
            </w:pPr>
            <w:r w:rsidRPr="000864AE">
              <w:rPr>
                <w:rFonts w:ascii="Verdana" w:hAnsi="Verdana"/>
                <w:sz w:val="18"/>
                <w:szCs w:val="18"/>
              </w:rPr>
              <w:t>Huilca Chipana Juan De Dios</w:t>
            </w:r>
          </w:p>
        </w:tc>
      </w:tr>
      <w:tr w:rsidR="00EA38F6" w:rsidRPr="000864AE" w14:paraId="7DF974AC" w14:textId="77777777" w:rsidTr="00AC0C51">
        <w:trPr>
          <w:trHeight w:val="300"/>
        </w:trPr>
        <w:tc>
          <w:tcPr>
            <w:tcW w:w="668" w:type="dxa"/>
            <w:vAlign w:val="center"/>
            <w:hideMark/>
          </w:tcPr>
          <w:p w14:paraId="36574C0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294</w:t>
            </w:r>
          </w:p>
        </w:tc>
        <w:tc>
          <w:tcPr>
            <w:tcW w:w="3835" w:type="dxa"/>
            <w:vAlign w:val="center"/>
            <w:hideMark/>
          </w:tcPr>
          <w:p w14:paraId="4E0DAED8" w14:textId="77777777" w:rsidR="00EA38F6" w:rsidRPr="000864AE" w:rsidRDefault="00EA38F6" w:rsidP="000864AE">
            <w:pPr>
              <w:rPr>
                <w:rFonts w:ascii="Verdana" w:hAnsi="Verdana"/>
                <w:sz w:val="18"/>
                <w:szCs w:val="18"/>
              </w:rPr>
            </w:pPr>
            <w:r w:rsidRPr="000864AE">
              <w:rPr>
                <w:rFonts w:ascii="Verdana" w:hAnsi="Verdana"/>
                <w:sz w:val="18"/>
                <w:szCs w:val="18"/>
              </w:rPr>
              <w:t>Hunder Perlacios Bernabé Gene</w:t>
            </w:r>
          </w:p>
        </w:tc>
      </w:tr>
      <w:tr w:rsidR="00EA38F6" w:rsidRPr="000864AE" w14:paraId="61B09C3F" w14:textId="77777777" w:rsidTr="00AC0C51">
        <w:trPr>
          <w:trHeight w:val="300"/>
        </w:trPr>
        <w:tc>
          <w:tcPr>
            <w:tcW w:w="668" w:type="dxa"/>
            <w:vAlign w:val="center"/>
            <w:hideMark/>
          </w:tcPr>
          <w:p w14:paraId="65FDF3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295</w:t>
            </w:r>
          </w:p>
        </w:tc>
        <w:tc>
          <w:tcPr>
            <w:tcW w:w="3835" w:type="dxa"/>
            <w:vAlign w:val="center"/>
            <w:hideMark/>
          </w:tcPr>
          <w:p w14:paraId="5A6EA4AE" w14:textId="77777777" w:rsidR="00EA38F6" w:rsidRPr="000864AE" w:rsidRDefault="00EA38F6" w:rsidP="000864AE">
            <w:pPr>
              <w:rPr>
                <w:rFonts w:ascii="Verdana" w:hAnsi="Verdana"/>
                <w:sz w:val="18"/>
                <w:szCs w:val="18"/>
              </w:rPr>
            </w:pPr>
            <w:r w:rsidRPr="000864AE">
              <w:rPr>
                <w:rFonts w:ascii="Verdana" w:hAnsi="Verdana"/>
                <w:sz w:val="18"/>
                <w:szCs w:val="18"/>
              </w:rPr>
              <w:t>Ibazett Villacorta Germán</w:t>
            </w:r>
          </w:p>
        </w:tc>
      </w:tr>
      <w:tr w:rsidR="00EA38F6" w:rsidRPr="000864AE" w14:paraId="4A5EA275" w14:textId="77777777" w:rsidTr="00AC0C51">
        <w:trPr>
          <w:trHeight w:val="300"/>
        </w:trPr>
        <w:tc>
          <w:tcPr>
            <w:tcW w:w="668" w:type="dxa"/>
            <w:vAlign w:val="center"/>
            <w:hideMark/>
          </w:tcPr>
          <w:p w14:paraId="4F67127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296</w:t>
            </w:r>
          </w:p>
        </w:tc>
        <w:tc>
          <w:tcPr>
            <w:tcW w:w="3835" w:type="dxa"/>
            <w:vAlign w:val="center"/>
            <w:hideMark/>
          </w:tcPr>
          <w:p w14:paraId="403B9F64" w14:textId="77777777" w:rsidR="00EA38F6" w:rsidRPr="000864AE" w:rsidRDefault="00EA38F6" w:rsidP="000864AE">
            <w:pPr>
              <w:rPr>
                <w:rFonts w:ascii="Verdana" w:hAnsi="Verdana"/>
                <w:sz w:val="18"/>
                <w:szCs w:val="18"/>
              </w:rPr>
            </w:pPr>
            <w:r w:rsidRPr="000864AE">
              <w:rPr>
                <w:rFonts w:ascii="Verdana" w:hAnsi="Verdana"/>
                <w:sz w:val="18"/>
                <w:szCs w:val="18"/>
              </w:rPr>
              <w:t>Iberico Ventocilla Angélica Mercedes</w:t>
            </w:r>
          </w:p>
        </w:tc>
      </w:tr>
      <w:tr w:rsidR="00EA38F6" w:rsidRPr="000864AE" w14:paraId="0D17AA96" w14:textId="77777777" w:rsidTr="00AC0C51">
        <w:trPr>
          <w:trHeight w:val="300"/>
        </w:trPr>
        <w:tc>
          <w:tcPr>
            <w:tcW w:w="668" w:type="dxa"/>
            <w:vAlign w:val="center"/>
            <w:hideMark/>
          </w:tcPr>
          <w:p w14:paraId="2B8B484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297</w:t>
            </w:r>
          </w:p>
        </w:tc>
        <w:tc>
          <w:tcPr>
            <w:tcW w:w="3835" w:type="dxa"/>
            <w:vAlign w:val="center"/>
            <w:hideMark/>
          </w:tcPr>
          <w:p w14:paraId="195FD915" w14:textId="77777777" w:rsidR="00EA38F6" w:rsidRPr="000864AE" w:rsidRDefault="00EA38F6" w:rsidP="000864AE">
            <w:pPr>
              <w:rPr>
                <w:rFonts w:ascii="Verdana" w:hAnsi="Verdana"/>
                <w:sz w:val="18"/>
                <w:szCs w:val="18"/>
              </w:rPr>
            </w:pPr>
            <w:r w:rsidRPr="000864AE">
              <w:rPr>
                <w:rFonts w:ascii="Verdana" w:hAnsi="Verdana"/>
                <w:sz w:val="18"/>
                <w:szCs w:val="18"/>
              </w:rPr>
              <w:t>Infantas Lovatón Américo</w:t>
            </w:r>
          </w:p>
        </w:tc>
      </w:tr>
      <w:tr w:rsidR="00EA38F6" w:rsidRPr="000864AE" w14:paraId="40E70099" w14:textId="77777777" w:rsidTr="00AC0C51">
        <w:trPr>
          <w:trHeight w:val="300"/>
        </w:trPr>
        <w:tc>
          <w:tcPr>
            <w:tcW w:w="668" w:type="dxa"/>
            <w:vAlign w:val="center"/>
            <w:hideMark/>
          </w:tcPr>
          <w:p w14:paraId="5FF7F98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298</w:t>
            </w:r>
          </w:p>
        </w:tc>
        <w:tc>
          <w:tcPr>
            <w:tcW w:w="3835" w:type="dxa"/>
            <w:vAlign w:val="center"/>
            <w:hideMark/>
          </w:tcPr>
          <w:p w14:paraId="472DBE36" w14:textId="77777777" w:rsidR="00EA38F6" w:rsidRPr="000864AE" w:rsidRDefault="00EA38F6" w:rsidP="000864AE">
            <w:pPr>
              <w:rPr>
                <w:rFonts w:ascii="Verdana" w:hAnsi="Verdana"/>
                <w:sz w:val="18"/>
                <w:szCs w:val="18"/>
              </w:rPr>
            </w:pPr>
            <w:r w:rsidRPr="000864AE">
              <w:rPr>
                <w:rFonts w:ascii="Verdana" w:hAnsi="Verdana"/>
                <w:sz w:val="18"/>
                <w:szCs w:val="18"/>
              </w:rPr>
              <w:t>Infante Vargas Dulio</w:t>
            </w:r>
          </w:p>
        </w:tc>
      </w:tr>
      <w:tr w:rsidR="00EA38F6" w:rsidRPr="000864AE" w14:paraId="0FD0B1B3" w14:textId="77777777" w:rsidTr="00E5193C">
        <w:trPr>
          <w:trHeight w:val="300"/>
        </w:trPr>
        <w:tc>
          <w:tcPr>
            <w:tcW w:w="668" w:type="dxa"/>
            <w:shd w:val="clear" w:color="auto" w:fill="auto"/>
            <w:vAlign w:val="center"/>
            <w:hideMark/>
          </w:tcPr>
          <w:p w14:paraId="790EC565" w14:textId="77777777" w:rsidR="00EA38F6" w:rsidRPr="00E5193C" w:rsidRDefault="00EA38F6" w:rsidP="000864AE">
            <w:pPr>
              <w:jc w:val="right"/>
              <w:rPr>
                <w:rFonts w:ascii="Verdana" w:hAnsi="Verdana"/>
                <w:b/>
                <w:bCs/>
                <w:sz w:val="18"/>
                <w:szCs w:val="18"/>
              </w:rPr>
            </w:pPr>
            <w:r w:rsidRPr="00E5193C">
              <w:rPr>
                <w:rFonts w:ascii="Verdana" w:hAnsi="Verdana"/>
                <w:b/>
                <w:bCs/>
                <w:sz w:val="18"/>
                <w:szCs w:val="18"/>
              </w:rPr>
              <w:t>299</w:t>
            </w:r>
          </w:p>
        </w:tc>
        <w:tc>
          <w:tcPr>
            <w:tcW w:w="3835" w:type="dxa"/>
            <w:shd w:val="clear" w:color="auto" w:fill="auto"/>
            <w:vAlign w:val="center"/>
            <w:hideMark/>
          </w:tcPr>
          <w:p w14:paraId="46B7AF66" w14:textId="77777777" w:rsidR="00EA38F6" w:rsidRPr="00E5193C" w:rsidRDefault="00EA38F6" w:rsidP="000864AE">
            <w:pPr>
              <w:rPr>
                <w:rFonts w:ascii="Verdana" w:hAnsi="Verdana"/>
                <w:sz w:val="18"/>
                <w:szCs w:val="18"/>
              </w:rPr>
            </w:pPr>
            <w:r w:rsidRPr="00E5193C">
              <w:rPr>
                <w:rFonts w:ascii="Verdana" w:hAnsi="Verdana"/>
                <w:sz w:val="18"/>
                <w:szCs w:val="18"/>
              </w:rPr>
              <w:t>Ipanaque Centeno Rafael</w:t>
            </w:r>
          </w:p>
        </w:tc>
      </w:tr>
      <w:tr w:rsidR="00EA38F6" w:rsidRPr="000864AE" w14:paraId="226925B8" w14:textId="77777777" w:rsidTr="00AC0C51">
        <w:trPr>
          <w:trHeight w:val="300"/>
        </w:trPr>
        <w:tc>
          <w:tcPr>
            <w:tcW w:w="668" w:type="dxa"/>
            <w:vAlign w:val="center"/>
            <w:hideMark/>
          </w:tcPr>
          <w:p w14:paraId="543DEB1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300</w:t>
            </w:r>
          </w:p>
        </w:tc>
        <w:tc>
          <w:tcPr>
            <w:tcW w:w="3835" w:type="dxa"/>
            <w:vAlign w:val="center"/>
            <w:hideMark/>
          </w:tcPr>
          <w:p w14:paraId="667144CC" w14:textId="77777777" w:rsidR="00EA38F6" w:rsidRPr="000864AE" w:rsidRDefault="00EA38F6" w:rsidP="000864AE">
            <w:pPr>
              <w:rPr>
                <w:rFonts w:ascii="Verdana" w:hAnsi="Verdana"/>
                <w:sz w:val="18"/>
                <w:szCs w:val="18"/>
              </w:rPr>
            </w:pPr>
            <w:r w:rsidRPr="000864AE">
              <w:rPr>
                <w:rFonts w:ascii="Verdana" w:hAnsi="Verdana"/>
                <w:sz w:val="18"/>
                <w:szCs w:val="18"/>
              </w:rPr>
              <w:t>Isla Zevallos Dora Elisa</w:t>
            </w:r>
          </w:p>
        </w:tc>
      </w:tr>
      <w:tr w:rsidR="00EA38F6" w:rsidRPr="000864AE" w14:paraId="5A6DD2F5" w14:textId="77777777" w:rsidTr="00AC0C51">
        <w:trPr>
          <w:trHeight w:val="300"/>
        </w:trPr>
        <w:tc>
          <w:tcPr>
            <w:tcW w:w="668" w:type="dxa"/>
            <w:vAlign w:val="center"/>
            <w:hideMark/>
          </w:tcPr>
          <w:p w14:paraId="36D8D4F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301</w:t>
            </w:r>
          </w:p>
        </w:tc>
        <w:tc>
          <w:tcPr>
            <w:tcW w:w="3835" w:type="dxa"/>
            <w:vAlign w:val="center"/>
            <w:hideMark/>
          </w:tcPr>
          <w:p w14:paraId="376FE340" w14:textId="77777777" w:rsidR="00EA38F6" w:rsidRPr="000864AE" w:rsidRDefault="00EA38F6" w:rsidP="000864AE">
            <w:pPr>
              <w:rPr>
                <w:rFonts w:ascii="Verdana" w:hAnsi="Verdana"/>
                <w:sz w:val="18"/>
                <w:szCs w:val="18"/>
              </w:rPr>
            </w:pPr>
            <w:r w:rsidRPr="000864AE">
              <w:rPr>
                <w:rFonts w:ascii="Verdana" w:hAnsi="Verdana"/>
                <w:sz w:val="18"/>
                <w:szCs w:val="18"/>
              </w:rPr>
              <w:t>Jara Loayza José Bernardo</w:t>
            </w:r>
          </w:p>
        </w:tc>
      </w:tr>
      <w:tr w:rsidR="00EA38F6" w:rsidRPr="000864AE" w14:paraId="348962DF" w14:textId="77777777" w:rsidTr="00AC0C51">
        <w:trPr>
          <w:trHeight w:val="300"/>
        </w:trPr>
        <w:tc>
          <w:tcPr>
            <w:tcW w:w="668" w:type="dxa"/>
            <w:vAlign w:val="center"/>
            <w:hideMark/>
          </w:tcPr>
          <w:p w14:paraId="4242F07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302</w:t>
            </w:r>
          </w:p>
        </w:tc>
        <w:tc>
          <w:tcPr>
            <w:tcW w:w="3835" w:type="dxa"/>
            <w:vAlign w:val="center"/>
            <w:hideMark/>
          </w:tcPr>
          <w:p w14:paraId="1D111CC5" w14:textId="77777777" w:rsidR="00EA38F6" w:rsidRPr="000864AE" w:rsidRDefault="00EA38F6" w:rsidP="000864AE">
            <w:pPr>
              <w:rPr>
                <w:rFonts w:ascii="Verdana" w:hAnsi="Verdana"/>
                <w:sz w:val="18"/>
                <w:szCs w:val="18"/>
              </w:rPr>
            </w:pPr>
            <w:r w:rsidRPr="000864AE">
              <w:rPr>
                <w:rFonts w:ascii="Verdana" w:hAnsi="Verdana"/>
                <w:sz w:val="18"/>
                <w:szCs w:val="18"/>
              </w:rPr>
              <w:t>Jara Salcedo Julia Constantina</w:t>
            </w:r>
          </w:p>
        </w:tc>
      </w:tr>
      <w:tr w:rsidR="00EA38F6" w:rsidRPr="000864AE" w14:paraId="2038B6F0" w14:textId="77777777" w:rsidTr="00AC0C51">
        <w:trPr>
          <w:trHeight w:val="300"/>
        </w:trPr>
        <w:tc>
          <w:tcPr>
            <w:tcW w:w="668" w:type="dxa"/>
            <w:vAlign w:val="center"/>
            <w:hideMark/>
          </w:tcPr>
          <w:p w14:paraId="15A2CC6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303</w:t>
            </w:r>
          </w:p>
        </w:tc>
        <w:tc>
          <w:tcPr>
            <w:tcW w:w="3835" w:type="dxa"/>
            <w:vAlign w:val="center"/>
            <w:hideMark/>
          </w:tcPr>
          <w:p w14:paraId="218902AF" w14:textId="77777777" w:rsidR="00EA38F6" w:rsidRPr="000864AE" w:rsidRDefault="00EA38F6" w:rsidP="000864AE">
            <w:pPr>
              <w:rPr>
                <w:rFonts w:ascii="Verdana" w:hAnsi="Verdana"/>
                <w:sz w:val="18"/>
                <w:szCs w:val="18"/>
              </w:rPr>
            </w:pPr>
            <w:r w:rsidRPr="000864AE">
              <w:rPr>
                <w:rFonts w:ascii="Verdana" w:hAnsi="Verdana"/>
                <w:sz w:val="18"/>
                <w:szCs w:val="18"/>
              </w:rPr>
              <w:t>Javier Mamani Wenceslao</w:t>
            </w:r>
          </w:p>
        </w:tc>
      </w:tr>
      <w:tr w:rsidR="00EA38F6" w:rsidRPr="000864AE" w14:paraId="40B411D7" w14:textId="77777777" w:rsidTr="00AC0C51">
        <w:trPr>
          <w:trHeight w:val="300"/>
        </w:trPr>
        <w:tc>
          <w:tcPr>
            <w:tcW w:w="668" w:type="dxa"/>
            <w:vAlign w:val="center"/>
            <w:hideMark/>
          </w:tcPr>
          <w:p w14:paraId="3ACED3F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304</w:t>
            </w:r>
          </w:p>
        </w:tc>
        <w:tc>
          <w:tcPr>
            <w:tcW w:w="3835" w:type="dxa"/>
            <w:vAlign w:val="center"/>
            <w:hideMark/>
          </w:tcPr>
          <w:p w14:paraId="2BA6FFE7" w14:textId="77777777" w:rsidR="00EA38F6" w:rsidRPr="000864AE" w:rsidRDefault="00EA38F6" w:rsidP="000864AE">
            <w:pPr>
              <w:rPr>
                <w:rFonts w:ascii="Verdana" w:hAnsi="Verdana"/>
                <w:sz w:val="18"/>
                <w:szCs w:val="18"/>
              </w:rPr>
            </w:pPr>
            <w:r w:rsidRPr="000864AE">
              <w:rPr>
                <w:rFonts w:ascii="Verdana" w:hAnsi="Verdana"/>
                <w:sz w:val="18"/>
                <w:szCs w:val="18"/>
              </w:rPr>
              <w:t>Jiménez Bravo Ygnacio</w:t>
            </w:r>
          </w:p>
        </w:tc>
      </w:tr>
      <w:tr w:rsidR="00EA38F6" w:rsidRPr="000864AE" w14:paraId="6C060942" w14:textId="77777777" w:rsidTr="00AC0C51">
        <w:trPr>
          <w:trHeight w:val="300"/>
        </w:trPr>
        <w:tc>
          <w:tcPr>
            <w:tcW w:w="668" w:type="dxa"/>
            <w:vAlign w:val="center"/>
            <w:hideMark/>
          </w:tcPr>
          <w:p w14:paraId="571D458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305</w:t>
            </w:r>
          </w:p>
        </w:tc>
        <w:tc>
          <w:tcPr>
            <w:tcW w:w="3835" w:type="dxa"/>
            <w:vAlign w:val="center"/>
            <w:hideMark/>
          </w:tcPr>
          <w:p w14:paraId="19019035" w14:textId="77777777" w:rsidR="00EA38F6" w:rsidRPr="000864AE" w:rsidRDefault="00EA38F6" w:rsidP="000864AE">
            <w:pPr>
              <w:rPr>
                <w:rFonts w:ascii="Verdana" w:hAnsi="Verdana"/>
                <w:sz w:val="18"/>
                <w:szCs w:val="18"/>
              </w:rPr>
            </w:pPr>
            <w:r w:rsidRPr="000864AE">
              <w:rPr>
                <w:rFonts w:ascii="Verdana" w:hAnsi="Verdana"/>
                <w:sz w:val="18"/>
                <w:szCs w:val="18"/>
              </w:rPr>
              <w:t>Jiménez Cedano Cesar Enrique</w:t>
            </w:r>
          </w:p>
        </w:tc>
      </w:tr>
      <w:tr w:rsidR="00EA38F6" w:rsidRPr="000864AE" w14:paraId="1B4BF2D0" w14:textId="77777777" w:rsidTr="00AC0C51">
        <w:trPr>
          <w:trHeight w:val="300"/>
        </w:trPr>
        <w:tc>
          <w:tcPr>
            <w:tcW w:w="668" w:type="dxa"/>
            <w:vAlign w:val="center"/>
            <w:hideMark/>
          </w:tcPr>
          <w:p w14:paraId="3E9E182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306</w:t>
            </w:r>
          </w:p>
        </w:tc>
        <w:tc>
          <w:tcPr>
            <w:tcW w:w="3835" w:type="dxa"/>
            <w:vAlign w:val="center"/>
            <w:hideMark/>
          </w:tcPr>
          <w:p w14:paraId="521218BD" w14:textId="77777777" w:rsidR="00EA38F6" w:rsidRPr="000864AE" w:rsidRDefault="00EA38F6" w:rsidP="000864AE">
            <w:pPr>
              <w:rPr>
                <w:rFonts w:ascii="Verdana" w:hAnsi="Verdana"/>
                <w:sz w:val="18"/>
                <w:szCs w:val="18"/>
              </w:rPr>
            </w:pPr>
            <w:r w:rsidRPr="000864AE">
              <w:rPr>
                <w:rFonts w:ascii="Verdana" w:hAnsi="Verdana"/>
                <w:sz w:val="18"/>
                <w:szCs w:val="18"/>
              </w:rPr>
              <w:t>Jo Wong Luis Alberto</w:t>
            </w:r>
          </w:p>
        </w:tc>
      </w:tr>
      <w:tr w:rsidR="00EA38F6" w:rsidRPr="000864AE" w14:paraId="749C88D3" w14:textId="77777777" w:rsidTr="00AC0C51">
        <w:trPr>
          <w:trHeight w:val="300"/>
        </w:trPr>
        <w:tc>
          <w:tcPr>
            <w:tcW w:w="668" w:type="dxa"/>
            <w:vAlign w:val="center"/>
            <w:hideMark/>
          </w:tcPr>
          <w:p w14:paraId="4BAEDB7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307</w:t>
            </w:r>
          </w:p>
        </w:tc>
        <w:tc>
          <w:tcPr>
            <w:tcW w:w="3835" w:type="dxa"/>
            <w:vAlign w:val="center"/>
            <w:hideMark/>
          </w:tcPr>
          <w:p w14:paraId="0E26767E" w14:textId="77777777" w:rsidR="00EA38F6" w:rsidRPr="000864AE" w:rsidRDefault="00EA38F6" w:rsidP="000864AE">
            <w:pPr>
              <w:rPr>
                <w:rFonts w:ascii="Verdana" w:hAnsi="Verdana"/>
                <w:sz w:val="18"/>
                <w:szCs w:val="18"/>
              </w:rPr>
            </w:pPr>
            <w:r w:rsidRPr="000864AE">
              <w:rPr>
                <w:rFonts w:ascii="Verdana" w:hAnsi="Verdana"/>
                <w:sz w:val="18"/>
                <w:szCs w:val="18"/>
              </w:rPr>
              <w:t>Jordán Ortiz Elsa</w:t>
            </w:r>
          </w:p>
        </w:tc>
      </w:tr>
      <w:tr w:rsidR="00EA38F6" w:rsidRPr="000864AE" w14:paraId="0AE575FE" w14:textId="77777777" w:rsidTr="00AC0C51">
        <w:trPr>
          <w:trHeight w:val="300"/>
        </w:trPr>
        <w:tc>
          <w:tcPr>
            <w:tcW w:w="668" w:type="dxa"/>
            <w:vAlign w:val="center"/>
            <w:hideMark/>
          </w:tcPr>
          <w:p w14:paraId="343A0AA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308</w:t>
            </w:r>
          </w:p>
        </w:tc>
        <w:tc>
          <w:tcPr>
            <w:tcW w:w="3835" w:type="dxa"/>
            <w:vAlign w:val="center"/>
            <w:hideMark/>
          </w:tcPr>
          <w:p w14:paraId="31B86AC9" w14:textId="77777777" w:rsidR="00EA38F6" w:rsidRPr="000864AE" w:rsidRDefault="00EA38F6" w:rsidP="000864AE">
            <w:pPr>
              <w:rPr>
                <w:rFonts w:ascii="Verdana" w:hAnsi="Verdana"/>
                <w:sz w:val="18"/>
                <w:szCs w:val="18"/>
              </w:rPr>
            </w:pPr>
            <w:r w:rsidRPr="000864AE">
              <w:rPr>
                <w:rFonts w:ascii="Verdana" w:hAnsi="Verdana"/>
                <w:sz w:val="18"/>
                <w:szCs w:val="18"/>
              </w:rPr>
              <w:t>Joy García Norma María</w:t>
            </w:r>
          </w:p>
        </w:tc>
      </w:tr>
      <w:tr w:rsidR="00EA38F6" w:rsidRPr="000864AE" w14:paraId="119824B8" w14:textId="77777777" w:rsidTr="00AC0C51">
        <w:trPr>
          <w:trHeight w:val="300"/>
        </w:trPr>
        <w:tc>
          <w:tcPr>
            <w:tcW w:w="668" w:type="dxa"/>
            <w:vAlign w:val="center"/>
            <w:hideMark/>
          </w:tcPr>
          <w:p w14:paraId="1FEC440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309</w:t>
            </w:r>
          </w:p>
        </w:tc>
        <w:tc>
          <w:tcPr>
            <w:tcW w:w="3835" w:type="dxa"/>
            <w:vAlign w:val="center"/>
            <w:hideMark/>
          </w:tcPr>
          <w:p w14:paraId="45F98CB7" w14:textId="77777777" w:rsidR="00EA38F6" w:rsidRPr="000864AE" w:rsidRDefault="00EA38F6" w:rsidP="000864AE">
            <w:pPr>
              <w:rPr>
                <w:rFonts w:ascii="Verdana" w:hAnsi="Verdana"/>
                <w:sz w:val="18"/>
                <w:szCs w:val="18"/>
              </w:rPr>
            </w:pPr>
            <w:r w:rsidRPr="000864AE">
              <w:rPr>
                <w:rFonts w:ascii="Verdana" w:hAnsi="Verdana"/>
                <w:sz w:val="18"/>
                <w:szCs w:val="18"/>
              </w:rPr>
              <w:t>Julca Herrera Alejandro Tiburcio</w:t>
            </w:r>
          </w:p>
        </w:tc>
      </w:tr>
      <w:tr w:rsidR="00EA38F6" w:rsidRPr="000864AE" w14:paraId="1415FDB1" w14:textId="77777777" w:rsidTr="00AC0C51">
        <w:trPr>
          <w:trHeight w:val="300"/>
        </w:trPr>
        <w:tc>
          <w:tcPr>
            <w:tcW w:w="668" w:type="dxa"/>
            <w:vAlign w:val="center"/>
            <w:hideMark/>
          </w:tcPr>
          <w:p w14:paraId="14C5715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310</w:t>
            </w:r>
          </w:p>
        </w:tc>
        <w:tc>
          <w:tcPr>
            <w:tcW w:w="3835" w:type="dxa"/>
            <w:vAlign w:val="center"/>
            <w:hideMark/>
          </w:tcPr>
          <w:p w14:paraId="759945C1" w14:textId="77777777" w:rsidR="00EA38F6" w:rsidRPr="000864AE" w:rsidRDefault="00EA38F6" w:rsidP="000864AE">
            <w:pPr>
              <w:rPr>
                <w:rFonts w:ascii="Verdana" w:hAnsi="Verdana"/>
                <w:sz w:val="18"/>
                <w:szCs w:val="18"/>
              </w:rPr>
            </w:pPr>
            <w:r w:rsidRPr="000864AE">
              <w:rPr>
                <w:rFonts w:ascii="Verdana" w:hAnsi="Verdana"/>
                <w:sz w:val="18"/>
                <w:szCs w:val="18"/>
              </w:rPr>
              <w:t>Koc Chavera Flossy Dolores</w:t>
            </w:r>
          </w:p>
        </w:tc>
      </w:tr>
      <w:tr w:rsidR="00EA38F6" w:rsidRPr="000864AE" w14:paraId="0EC30733" w14:textId="77777777" w:rsidTr="00AC0C51">
        <w:trPr>
          <w:trHeight w:val="300"/>
        </w:trPr>
        <w:tc>
          <w:tcPr>
            <w:tcW w:w="668" w:type="dxa"/>
            <w:vAlign w:val="center"/>
            <w:hideMark/>
          </w:tcPr>
          <w:p w14:paraId="2AB23D7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311</w:t>
            </w:r>
          </w:p>
        </w:tc>
        <w:tc>
          <w:tcPr>
            <w:tcW w:w="3835" w:type="dxa"/>
            <w:vAlign w:val="center"/>
            <w:hideMark/>
          </w:tcPr>
          <w:p w14:paraId="12EC4FEE" w14:textId="77777777" w:rsidR="00EA38F6" w:rsidRPr="000864AE" w:rsidRDefault="00EA38F6" w:rsidP="000864AE">
            <w:pPr>
              <w:rPr>
                <w:rFonts w:ascii="Verdana" w:hAnsi="Verdana"/>
                <w:sz w:val="18"/>
                <w:szCs w:val="18"/>
              </w:rPr>
            </w:pPr>
            <w:r w:rsidRPr="000864AE">
              <w:rPr>
                <w:rFonts w:ascii="Verdana" w:hAnsi="Verdana"/>
                <w:sz w:val="18"/>
                <w:szCs w:val="18"/>
              </w:rPr>
              <w:t>Kuramoto Huamán María Cruz</w:t>
            </w:r>
          </w:p>
        </w:tc>
      </w:tr>
      <w:tr w:rsidR="00EA38F6" w:rsidRPr="000864AE" w14:paraId="0E475602" w14:textId="77777777" w:rsidTr="00AC0C51">
        <w:trPr>
          <w:trHeight w:val="300"/>
        </w:trPr>
        <w:tc>
          <w:tcPr>
            <w:tcW w:w="668" w:type="dxa"/>
            <w:vAlign w:val="center"/>
            <w:hideMark/>
          </w:tcPr>
          <w:p w14:paraId="6AF7E9A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312</w:t>
            </w:r>
          </w:p>
        </w:tc>
        <w:tc>
          <w:tcPr>
            <w:tcW w:w="3835" w:type="dxa"/>
            <w:vAlign w:val="center"/>
            <w:hideMark/>
          </w:tcPr>
          <w:p w14:paraId="43CC4386" w14:textId="77777777" w:rsidR="00EA38F6" w:rsidRPr="000864AE" w:rsidRDefault="00EA38F6" w:rsidP="000864AE">
            <w:pPr>
              <w:rPr>
                <w:rFonts w:ascii="Verdana" w:hAnsi="Verdana"/>
                <w:sz w:val="18"/>
                <w:szCs w:val="18"/>
              </w:rPr>
            </w:pPr>
            <w:r w:rsidRPr="000864AE">
              <w:rPr>
                <w:rFonts w:ascii="Verdana" w:hAnsi="Verdana"/>
                <w:sz w:val="18"/>
                <w:szCs w:val="18"/>
              </w:rPr>
              <w:t>La Rosa Bardales César Antonio</w:t>
            </w:r>
          </w:p>
        </w:tc>
      </w:tr>
      <w:tr w:rsidR="00EA38F6" w:rsidRPr="000864AE" w14:paraId="2A156BCF" w14:textId="77777777" w:rsidTr="00AC0C51">
        <w:trPr>
          <w:trHeight w:val="300"/>
        </w:trPr>
        <w:tc>
          <w:tcPr>
            <w:tcW w:w="668" w:type="dxa"/>
            <w:vAlign w:val="center"/>
            <w:hideMark/>
          </w:tcPr>
          <w:p w14:paraId="61BB348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313</w:t>
            </w:r>
          </w:p>
        </w:tc>
        <w:tc>
          <w:tcPr>
            <w:tcW w:w="3835" w:type="dxa"/>
            <w:vAlign w:val="center"/>
            <w:hideMark/>
          </w:tcPr>
          <w:p w14:paraId="65DB533E" w14:textId="77777777" w:rsidR="00EA38F6" w:rsidRPr="000864AE" w:rsidRDefault="00EA38F6" w:rsidP="000864AE">
            <w:pPr>
              <w:rPr>
                <w:rFonts w:ascii="Verdana" w:hAnsi="Verdana"/>
                <w:sz w:val="18"/>
                <w:szCs w:val="18"/>
              </w:rPr>
            </w:pPr>
            <w:r w:rsidRPr="000864AE">
              <w:rPr>
                <w:rFonts w:ascii="Verdana" w:hAnsi="Verdana"/>
                <w:sz w:val="18"/>
                <w:szCs w:val="18"/>
              </w:rPr>
              <w:t>La Rosa Chagaray Clara</w:t>
            </w:r>
          </w:p>
        </w:tc>
      </w:tr>
      <w:tr w:rsidR="00EA38F6" w:rsidRPr="000864AE" w14:paraId="59330437" w14:textId="77777777" w:rsidTr="00AC0C51">
        <w:trPr>
          <w:trHeight w:val="300"/>
        </w:trPr>
        <w:tc>
          <w:tcPr>
            <w:tcW w:w="668" w:type="dxa"/>
            <w:vAlign w:val="center"/>
            <w:hideMark/>
          </w:tcPr>
          <w:p w14:paraId="12D5A87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314</w:t>
            </w:r>
          </w:p>
        </w:tc>
        <w:tc>
          <w:tcPr>
            <w:tcW w:w="3835" w:type="dxa"/>
            <w:vAlign w:val="center"/>
            <w:hideMark/>
          </w:tcPr>
          <w:p w14:paraId="29AC7C8D" w14:textId="77777777" w:rsidR="00EA38F6" w:rsidRPr="000864AE" w:rsidRDefault="00EA38F6" w:rsidP="000864AE">
            <w:pPr>
              <w:rPr>
                <w:rFonts w:ascii="Verdana" w:hAnsi="Verdana"/>
                <w:sz w:val="18"/>
                <w:szCs w:val="18"/>
              </w:rPr>
            </w:pPr>
            <w:r w:rsidRPr="000864AE">
              <w:rPr>
                <w:rFonts w:ascii="Verdana" w:hAnsi="Verdana"/>
                <w:sz w:val="18"/>
                <w:szCs w:val="18"/>
              </w:rPr>
              <w:t>La Rosa Sanssoni Juan Francisco</w:t>
            </w:r>
          </w:p>
        </w:tc>
      </w:tr>
      <w:tr w:rsidR="00EA38F6" w:rsidRPr="000864AE" w14:paraId="068CF736" w14:textId="77777777" w:rsidTr="00AC0C51">
        <w:trPr>
          <w:trHeight w:val="300"/>
        </w:trPr>
        <w:tc>
          <w:tcPr>
            <w:tcW w:w="668" w:type="dxa"/>
            <w:vAlign w:val="center"/>
            <w:hideMark/>
          </w:tcPr>
          <w:p w14:paraId="1535876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315</w:t>
            </w:r>
          </w:p>
        </w:tc>
        <w:tc>
          <w:tcPr>
            <w:tcW w:w="3835" w:type="dxa"/>
            <w:vAlign w:val="center"/>
            <w:hideMark/>
          </w:tcPr>
          <w:p w14:paraId="41983097" w14:textId="77777777" w:rsidR="00EA38F6" w:rsidRPr="000864AE" w:rsidRDefault="00EA38F6" w:rsidP="000864AE">
            <w:pPr>
              <w:rPr>
                <w:rFonts w:ascii="Verdana" w:hAnsi="Verdana"/>
                <w:sz w:val="18"/>
                <w:szCs w:val="18"/>
              </w:rPr>
            </w:pPr>
            <w:r w:rsidRPr="000864AE">
              <w:rPr>
                <w:rFonts w:ascii="Verdana" w:hAnsi="Verdana"/>
                <w:sz w:val="18"/>
                <w:szCs w:val="18"/>
              </w:rPr>
              <w:t>La Torre Díaz Clara Gemina</w:t>
            </w:r>
          </w:p>
        </w:tc>
      </w:tr>
      <w:tr w:rsidR="00EA38F6" w:rsidRPr="000864AE" w14:paraId="7DC732EF" w14:textId="77777777" w:rsidTr="00AC0C51">
        <w:trPr>
          <w:trHeight w:val="300"/>
        </w:trPr>
        <w:tc>
          <w:tcPr>
            <w:tcW w:w="668" w:type="dxa"/>
            <w:vAlign w:val="center"/>
            <w:hideMark/>
          </w:tcPr>
          <w:p w14:paraId="68F48A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316</w:t>
            </w:r>
          </w:p>
        </w:tc>
        <w:tc>
          <w:tcPr>
            <w:tcW w:w="3835" w:type="dxa"/>
            <w:vAlign w:val="center"/>
            <w:hideMark/>
          </w:tcPr>
          <w:p w14:paraId="087B5060" w14:textId="77777777" w:rsidR="00EA38F6" w:rsidRPr="000864AE" w:rsidRDefault="00EA38F6" w:rsidP="000864AE">
            <w:pPr>
              <w:rPr>
                <w:rFonts w:ascii="Verdana" w:hAnsi="Verdana"/>
                <w:sz w:val="18"/>
                <w:szCs w:val="18"/>
              </w:rPr>
            </w:pPr>
            <w:r w:rsidRPr="000864AE">
              <w:rPr>
                <w:rFonts w:ascii="Verdana" w:hAnsi="Verdana"/>
                <w:sz w:val="18"/>
                <w:szCs w:val="18"/>
              </w:rPr>
              <w:t>Lara Flores Enrique Sixto</w:t>
            </w:r>
          </w:p>
        </w:tc>
      </w:tr>
      <w:tr w:rsidR="00EA38F6" w:rsidRPr="000864AE" w14:paraId="5F4FAD2A" w14:textId="77777777" w:rsidTr="00AC0C51">
        <w:trPr>
          <w:trHeight w:val="300"/>
        </w:trPr>
        <w:tc>
          <w:tcPr>
            <w:tcW w:w="668" w:type="dxa"/>
            <w:vAlign w:val="center"/>
            <w:hideMark/>
          </w:tcPr>
          <w:p w14:paraId="5DFA06A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317</w:t>
            </w:r>
          </w:p>
        </w:tc>
        <w:tc>
          <w:tcPr>
            <w:tcW w:w="3835" w:type="dxa"/>
            <w:vAlign w:val="center"/>
            <w:hideMark/>
          </w:tcPr>
          <w:p w14:paraId="5BDD9951" w14:textId="77777777" w:rsidR="00EA38F6" w:rsidRPr="000864AE" w:rsidRDefault="00EA38F6" w:rsidP="000864AE">
            <w:pPr>
              <w:rPr>
                <w:rFonts w:ascii="Verdana" w:hAnsi="Verdana"/>
                <w:sz w:val="18"/>
                <w:szCs w:val="18"/>
              </w:rPr>
            </w:pPr>
            <w:r w:rsidRPr="000864AE">
              <w:rPr>
                <w:rFonts w:ascii="Verdana" w:hAnsi="Verdana"/>
                <w:sz w:val="18"/>
                <w:szCs w:val="18"/>
              </w:rPr>
              <w:t>Larru Salazar Angélica Dina</w:t>
            </w:r>
          </w:p>
        </w:tc>
      </w:tr>
      <w:tr w:rsidR="00EA38F6" w:rsidRPr="000864AE" w14:paraId="3B10AFB9" w14:textId="77777777" w:rsidTr="00AC0C51">
        <w:trPr>
          <w:trHeight w:val="300"/>
        </w:trPr>
        <w:tc>
          <w:tcPr>
            <w:tcW w:w="668" w:type="dxa"/>
            <w:vAlign w:val="center"/>
            <w:hideMark/>
          </w:tcPr>
          <w:p w14:paraId="0EB2FDF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318</w:t>
            </w:r>
          </w:p>
        </w:tc>
        <w:tc>
          <w:tcPr>
            <w:tcW w:w="3835" w:type="dxa"/>
            <w:vAlign w:val="center"/>
            <w:hideMark/>
          </w:tcPr>
          <w:p w14:paraId="03C51704" w14:textId="77777777" w:rsidR="00EA38F6" w:rsidRPr="000864AE" w:rsidRDefault="00EA38F6" w:rsidP="000864AE">
            <w:pPr>
              <w:rPr>
                <w:rFonts w:ascii="Verdana" w:hAnsi="Verdana"/>
                <w:sz w:val="18"/>
                <w:szCs w:val="18"/>
              </w:rPr>
            </w:pPr>
            <w:r w:rsidRPr="000864AE">
              <w:rPr>
                <w:rFonts w:ascii="Verdana" w:hAnsi="Verdana"/>
                <w:sz w:val="18"/>
                <w:szCs w:val="18"/>
              </w:rPr>
              <w:t>Lau Li Justa Virginia</w:t>
            </w:r>
          </w:p>
        </w:tc>
      </w:tr>
      <w:tr w:rsidR="00EA38F6" w:rsidRPr="000864AE" w14:paraId="68DD0856" w14:textId="77777777" w:rsidTr="00AC0C51">
        <w:trPr>
          <w:trHeight w:val="300"/>
        </w:trPr>
        <w:tc>
          <w:tcPr>
            <w:tcW w:w="668" w:type="dxa"/>
            <w:vAlign w:val="center"/>
            <w:hideMark/>
          </w:tcPr>
          <w:p w14:paraId="0A3219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319</w:t>
            </w:r>
          </w:p>
        </w:tc>
        <w:tc>
          <w:tcPr>
            <w:tcW w:w="3835" w:type="dxa"/>
            <w:vAlign w:val="center"/>
            <w:hideMark/>
          </w:tcPr>
          <w:p w14:paraId="3F10215F" w14:textId="77777777" w:rsidR="00EA38F6" w:rsidRPr="000864AE" w:rsidRDefault="00EA38F6" w:rsidP="000864AE">
            <w:pPr>
              <w:rPr>
                <w:rFonts w:ascii="Verdana" w:hAnsi="Verdana"/>
                <w:sz w:val="18"/>
                <w:szCs w:val="18"/>
              </w:rPr>
            </w:pPr>
            <w:r w:rsidRPr="000864AE">
              <w:rPr>
                <w:rFonts w:ascii="Verdana" w:hAnsi="Verdana"/>
                <w:sz w:val="18"/>
                <w:szCs w:val="18"/>
              </w:rPr>
              <w:t>Lau Quintana José</w:t>
            </w:r>
          </w:p>
        </w:tc>
      </w:tr>
      <w:tr w:rsidR="00EA38F6" w:rsidRPr="000864AE" w14:paraId="5FF8DE8D" w14:textId="77777777" w:rsidTr="00AC0C51">
        <w:trPr>
          <w:trHeight w:val="300"/>
        </w:trPr>
        <w:tc>
          <w:tcPr>
            <w:tcW w:w="668" w:type="dxa"/>
            <w:vAlign w:val="center"/>
            <w:hideMark/>
          </w:tcPr>
          <w:p w14:paraId="0295A86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320</w:t>
            </w:r>
          </w:p>
        </w:tc>
        <w:tc>
          <w:tcPr>
            <w:tcW w:w="3835" w:type="dxa"/>
            <w:vAlign w:val="center"/>
            <w:hideMark/>
          </w:tcPr>
          <w:p w14:paraId="4269629C" w14:textId="77777777" w:rsidR="00EA38F6" w:rsidRPr="000864AE" w:rsidRDefault="00EA38F6" w:rsidP="000864AE">
            <w:pPr>
              <w:rPr>
                <w:rFonts w:ascii="Verdana" w:hAnsi="Verdana"/>
                <w:sz w:val="18"/>
                <w:szCs w:val="18"/>
              </w:rPr>
            </w:pPr>
            <w:r w:rsidRPr="000864AE">
              <w:rPr>
                <w:rFonts w:ascii="Verdana" w:hAnsi="Verdana"/>
                <w:sz w:val="18"/>
                <w:szCs w:val="18"/>
              </w:rPr>
              <w:t>Lazarte Santos Clavio Honorato</w:t>
            </w:r>
          </w:p>
        </w:tc>
      </w:tr>
      <w:tr w:rsidR="00EA38F6" w:rsidRPr="000864AE" w14:paraId="606BB1C3" w14:textId="77777777" w:rsidTr="00AC0C51">
        <w:trPr>
          <w:trHeight w:val="300"/>
        </w:trPr>
        <w:tc>
          <w:tcPr>
            <w:tcW w:w="668" w:type="dxa"/>
            <w:vAlign w:val="center"/>
            <w:hideMark/>
          </w:tcPr>
          <w:p w14:paraId="697EBCE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321</w:t>
            </w:r>
          </w:p>
        </w:tc>
        <w:tc>
          <w:tcPr>
            <w:tcW w:w="3835" w:type="dxa"/>
            <w:vAlign w:val="center"/>
            <w:hideMark/>
          </w:tcPr>
          <w:p w14:paraId="3E230460" w14:textId="77777777" w:rsidR="00EA38F6" w:rsidRPr="000864AE" w:rsidRDefault="00EA38F6" w:rsidP="000864AE">
            <w:pPr>
              <w:rPr>
                <w:rFonts w:ascii="Verdana" w:hAnsi="Verdana"/>
                <w:sz w:val="18"/>
                <w:szCs w:val="18"/>
              </w:rPr>
            </w:pPr>
            <w:r w:rsidRPr="000864AE">
              <w:rPr>
                <w:rFonts w:ascii="Verdana" w:hAnsi="Verdana"/>
                <w:sz w:val="18"/>
                <w:szCs w:val="18"/>
              </w:rPr>
              <w:t xml:space="preserve">Lazarte Villanueva Graciela Carmen </w:t>
            </w:r>
          </w:p>
        </w:tc>
      </w:tr>
      <w:tr w:rsidR="00EA38F6" w:rsidRPr="000864AE" w14:paraId="43580A03" w14:textId="77777777" w:rsidTr="00AC0C51">
        <w:trPr>
          <w:trHeight w:val="300"/>
        </w:trPr>
        <w:tc>
          <w:tcPr>
            <w:tcW w:w="668" w:type="dxa"/>
            <w:vAlign w:val="center"/>
            <w:hideMark/>
          </w:tcPr>
          <w:p w14:paraId="1E8F6C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322</w:t>
            </w:r>
          </w:p>
        </w:tc>
        <w:tc>
          <w:tcPr>
            <w:tcW w:w="3835" w:type="dxa"/>
            <w:vAlign w:val="center"/>
            <w:hideMark/>
          </w:tcPr>
          <w:p w14:paraId="7F3C3206" w14:textId="77777777" w:rsidR="00EA38F6" w:rsidRPr="000864AE" w:rsidRDefault="00EA38F6" w:rsidP="000864AE">
            <w:pPr>
              <w:rPr>
                <w:rFonts w:ascii="Verdana" w:hAnsi="Verdana"/>
                <w:sz w:val="18"/>
                <w:szCs w:val="18"/>
              </w:rPr>
            </w:pPr>
            <w:r w:rsidRPr="000864AE">
              <w:rPr>
                <w:rFonts w:ascii="Verdana" w:hAnsi="Verdana"/>
                <w:sz w:val="18"/>
                <w:szCs w:val="18"/>
              </w:rPr>
              <w:t>Lazo Bullón Carmen Nelly</w:t>
            </w:r>
          </w:p>
        </w:tc>
      </w:tr>
      <w:tr w:rsidR="00EA38F6" w:rsidRPr="000864AE" w14:paraId="50AE500F" w14:textId="77777777" w:rsidTr="00AC0C51">
        <w:trPr>
          <w:trHeight w:val="300"/>
        </w:trPr>
        <w:tc>
          <w:tcPr>
            <w:tcW w:w="668" w:type="dxa"/>
            <w:vAlign w:val="center"/>
            <w:hideMark/>
          </w:tcPr>
          <w:p w14:paraId="2384FC6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323</w:t>
            </w:r>
          </w:p>
        </w:tc>
        <w:tc>
          <w:tcPr>
            <w:tcW w:w="3835" w:type="dxa"/>
            <w:vAlign w:val="center"/>
            <w:hideMark/>
          </w:tcPr>
          <w:p w14:paraId="3FD45ADB" w14:textId="77777777" w:rsidR="00EA38F6" w:rsidRPr="000864AE" w:rsidRDefault="00EA38F6" w:rsidP="000864AE">
            <w:pPr>
              <w:rPr>
                <w:rFonts w:ascii="Verdana" w:hAnsi="Verdana"/>
                <w:sz w:val="18"/>
                <w:szCs w:val="18"/>
              </w:rPr>
            </w:pPr>
            <w:r w:rsidRPr="000864AE">
              <w:rPr>
                <w:rFonts w:ascii="Verdana" w:hAnsi="Verdana"/>
                <w:sz w:val="18"/>
                <w:szCs w:val="18"/>
              </w:rPr>
              <w:t>Lazo García Ezequiel Horacio</w:t>
            </w:r>
          </w:p>
        </w:tc>
      </w:tr>
      <w:tr w:rsidR="00EA38F6" w:rsidRPr="000864AE" w14:paraId="1A8EFA81" w14:textId="77777777" w:rsidTr="00AC0C51">
        <w:trPr>
          <w:trHeight w:val="300"/>
        </w:trPr>
        <w:tc>
          <w:tcPr>
            <w:tcW w:w="668" w:type="dxa"/>
            <w:vAlign w:val="center"/>
            <w:hideMark/>
          </w:tcPr>
          <w:p w14:paraId="4A423AB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324</w:t>
            </w:r>
          </w:p>
        </w:tc>
        <w:tc>
          <w:tcPr>
            <w:tcW w:w="3835" w:type="dxa"/>
            <w:vAlign w:val="center"/>
            <w:hideMark/>
          </w:tcPr>
          <w:p w14:paraId="69D48F6B" w14:textId="77777777" w:rsidR="00EA38F6" w:rsidRPr="000864AE" w:rsidRDefault="00EA38F6" w:rsidP="000864AE">
            <w:pPr>
              <w:rPr>
                <w:rFonts w:ascii="Verdana" w:hAnsi="Verdana"/>
                <w:sz w:val="18"/>
                <w:szCs w:val="18"/>
              </w:rPr>
            </w:pPr>
            <w:r w:rsidRPr="000864AE">
              <w:rPr>
                <w:rFonts w:ascii="Verdana" w:hAnsi="Verdana"/>
                <w:sz w:val="18"/>
                <w:szCs w:val="18"/>
              </w:rPr>
              <w:t>León Ángeles Nelly Teodora</w:t>
            </w:r>
          </w:p>
        </w:tc>
      </w:tr>
      <w:tr w:rsidR="00EA38F6" w:rsidRPr="000864AE" w14:paraId="724D6BB6" w14:textId="77777777" w:rsidTr="00AC0C51">
        <w:trPr>
          <w:trHeight w:val="300"/>
        </w:trPr>
        <w:tc>
          <w:tcPr>
            <w:tcW w:w="668" w:type="dxa"/>
            <w:vAlign w:val="center"/>
            <w:hideMark/>
          </w:tcPr>
          <w:p w14:paraId="7A2CD94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325</w:t>
            </w:r>
          </w:p>
        </w:tc>
        <w:tc>
          <w:tcPr>
            <w:tcW w:w="3835" w:type="dxa"/>
            <w:vAlign w:val="center"/>
            <w:hideMark/>
          </w:tcPr>
          <w:p w14:paraId="2598CF17" w14:textId="77777777" w:rsidR="00EA38F6" w:rsidRPr="000864AE" w:rsidRDefault="00EA38F6" w:rsidP="000864AE">
            <w:pPr>
              <w:rPr>
                <w:rFonts w:ascii="Verdana" w:hAnsi="Verdana"/>
                <w:sz w:val="18"/>
                <w:szCs w:val="18"/>
              </w:rPr>
            </w:pPr>
            <w:r w:rsidRPr="000864AE">
              <w:rPr>
                <w:rFonts w:ascii="Verdana" w:hAnsi="Verdana"/>
                <w:sz w:val="18"/>
                <w:szCs w:val="18"/>
              </w:rPr>
              <w:t>Leturia Romero José Néstor</w:t>
            </w:r>
          </w:p>
        </w:tc>
      </w:tr>
      <w:tr w:rsidR="00EA38F6" w:rsidRPr="000864AE" w14:paraId="71CA1299" w14:textId="77777777" w:rsidTr="00AC0C51">
        <w:trPr>
          <w:trHeight w:val="300"/>
        </w:trPr>
        <w:tc>
          <w:tcPr>
            <w:tcW w:w="668" w:type="dxa"/>
            <w:vAlign w:val="center"/>
            <w:hideMark/>
          </w:tcPr>
          <w:p w14:paraId="1F2A14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326</w:t>
            </w:r>
          </w:p>
        </w:tc>
        <w:tc>
          <w:tcPr>
            <w:tcW w:w="3835" w:type="dxa"/>
            <w:vAlign w:val="center"/>
            <w:hideMark/>
          </w:tcPr>
          <w:p w14:paraId="2C5FC9B6" w14:textId="77777777" w:rsidR="00EA38F6" w:rsidRPr="000864AE" w:rsidRDefault="00EA38F6" w:rsidP="000864AE">
            <w:pPr>
              <w:rPr>
                <w:rFonts w:ascii="Verdana" w:hAnsi="Verdana"/>
                <w:sz w:val="18"/>
                <w:szCs w:val="18"/>
              </w:rPr>
            </w:pPr>
            <w:r w:rsidRPr="000864AE">
              <w:rPr>
                <w:rFonts w:ascii="Verdana" w:hAnsi="Verdana"/>
                <w:sz w:val="18"/>
                <w:szCs w:val="18"/>
              </w:rPr>
              <w:t>Lévano Salhuana Luis Alberto</w:t>
            </w:r>
          </w:p>
        </w:tc>
      </w:tr>
      <w:tr w:rsidR="00EA38F6" w:rsidRPr="000864AE" w14:paraId="45E87AA7" w14:textId="77777777" w:rsidTr="00AC0C51">
        <w:trPr>
          <w:trHeight w:val="300"/>
        </w:trPr>
        <w:tc>
          <w:tcPr>
            <w:tcW w:w="668" w:type="dxa"/>
            <w:vAlign w:val="center"/>
            <w:hideMark/>
          </w:tcPr>
          <w:p w14:paraId="70385C5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327</w:t>
            </w:r>
          </w:p>
        </w:tc>
        <w:tc>
          <w:tcPr>
            <w:tcW w:w="3835" w:type="dxa"/>
            <w:vAlign w:val="center"/>
            <w:hideMark/>
          </w:tcPr>
          <w:p w14:paraId="3D3C1B1A" w14:textId="77777777" w:rsidR="00EA38F6" w:rsidRPr="000864AE" w:rsidRDefault="00EA38F6" w:rsidP="000864AE">
            <w:pPr>
              <w:rPr>
                <w:rFonts w:ascii="Verdana" w:hAnsi="Verdana"/>
                <w:sz w:val="18"/>
                <w:szCs w:val="18"/>
              </w:rPr>
            </w:pPr>
            <w:r w:rsidRPr="000864AE">
              <w:rPr>
                <w:rFonts w:ascii="Verdana" w:hAnsi="Verdana"/>
                <w:sz w:val="18"/>
                <w:szCs w:val="18"/>
              </w:rPr>
              <w:t>Liberato Martínez Victoria Gladys</w:t>
            </w:r>
          </w:p>
        </w:tc>
      </w:tr>
      <w:tr w:rsidR="00EA38F6" w:rsidRPr="000864AE" w14:paraId="34F1F5E8" w14:textId="77777777" w:rsidTr="00AC0C51">
        <w:trPr>
          <w:trHeight w:val="300"/>
        </w:trPr>
        <w:tc>
          <w:tcPr>
            <w:tcW w:w="668" w:type="dxa"/>
            <w:vAlign w:val="center"/>
            <w:hideMark/>
          </w:tcPr>
          <w:p w14:paraId="02B63A1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328</w:t>
            </w:r>
          </w:p>
        </w:tc>
        <w:tc>
          <w:tcPr>
            <w:tcW w:w="3835" w:type="dxa"/>
            <w:vAlign w:val="center"/>
            <w:hideMark/>
          </w:tcPr>
          <w:p w14:paraId="23DEC9D7" w14:textId="77777777" w:rsidR="00EA38F6" w:rsidRPr="000864AE" w:rsidRDefault="00EA38F6" w:rsidP="000864AE">
            <w:pPr>
              <w:rPr>
                <w:rFonts w:ascii="Verdana" w:hAnsi="Verdana"/>
                <w:sz w:val="18"/>
                <w:szCs w:val="18"/>
              </w:rPr>
            </w:pPr>
            <w:r w:rsidRPr="000864AE">
              <w:rPr>
                <w:rFonts w:ascii="Verdana" w:hAnsi="Verdana"/>
                <w:sz w:val="18"/>
                <w:szCs w:val="18"/>
              </w:rPr>
              <w:t>Liendo Sánchez Eliana María</w:t>
            </w:r>
          </w:p>
        </w:tc>
      </w:tr>
      <w:tr w:rsidR="00EA38F6" w:rsidRPr="000864AE" w14:paraId="52459157" w14:textId="77777777" w:rsidTr="00AC0C51">
        <w:trPr>
          <w:trHeight w:val="300"/>
        </w:trPr>
        <w:tc>
          <w:tcPr>
            <w:tcW w:w="668" w:type="dxa"/>
            <w:vAlign w:val="center"/>
            <w:hideMark/>
          </w:tcPr>
          <w:p w14:paraId="4173839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329</w:t>
            </w:r>
          </w:p>
        </w:tc>
        <w:tc>
          <w:tcPr>
            <w:tcW w:w="3835" w:type="dxa"/>
            <w:vAlign w:val="center"/>
            <w:hideMark/>
          </w:tcPr>
          <w:p w14:paraId="078D4966" w14:textId="77777777" w:rsidR="00EA38F6" w:rsidRPr="000864AE" w:rsidRDefault="00EA38F6" w:rsidP="000864AE">
            <w:pPr>
              <w:rPr>
                <w:rFonts w:ascii="Verdana" w:hAnsi="Verdana"/>
                <w:sz w:val="18"/>
                <w:szCs w:val="18"/>
              </w:rPr>
            </w:pPr>
            <w:r w:rsidRPr="000864AE">
              <w:rPr>
                <w:rFonts w:ascii="Verdana" w:hAnsi="Verdana"/>
                <w:sz w:val="18"/>
                <w:szCs w:val="18"/>
              </w:rPr>
              <w:t>Lituma Agüero Cesar Humberto</w:t>
            </w:r>
          </w:p>
        </w:tc>
      </w:tr>
      <w:tr w:rsidR="00EA38F6" w:rsidRPr="000864AE" w14:paraId="19B91E0B" w14:textId="77777777" w:rsidTr="00AC0C51">
        <w:trPr>
          <w:trHeight w:val="300"/>
        </w:trPr>
        <w:tc>
          <w:tcPr>
            <w:tcW w:w="668" w:type="dxa"/>
            <w:vAlign w:val="center"/>
            <w:hideMark/>
          </w:tcPr>
          <w:p w14:paraId="51E594C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330</w:t>
            </w:r>
          </w:p>
        </w:tc>
        <w:tc>
          <w:tcPr>
            <w:tcW w:w="3835" w:type="dxa"/>
            <w:vAlign w:val="center"/>
            <w:hideMark/>
          </w:tcPr>
          <w:p w14:paraId="6F89EF95" w14:textId="77777777" w:rsidR="00EA38F6" w:rsidRPr="000864AE" w:rsidRDefault="00EA38F6" w:rsidP="000864AE">
            <w:pPr>
              <w:rPr>
                <w:rFonts w:ascii="Verdana" w:hAnsi="Verdana"/>
                <w:sz w:val="18"/>
                <w:szCs w:val="18"/>
              </w:rPr>
            </w:pPr>
            <w:r w:rsidRPr="000864AE">
              <w:rPr>
                <w:rFonts w:ascii="Verdana" w:hAnsi="Verdana"/>
                <w:sz w:val="18"/>
                <w:szCs w:val="18"/>
              </w:rPr>
              <w:t>Llamas Ordaya Emma Raquel</w:t>
            </w:r>
          </w:p>
        </w:tc>
      </w:tr>
      <w:tr w:rsidR="00EA38F6" w:rsidRPr="000864AE" w14:paraId="39E3F929" w14:textId="77777777" w:rsidTr="00AC0C51">
        <w:trPr>
          <w:trHeight w:val="300"/>
        </w:trPr>
        <w:tc>
          <w:tcPr>
            <w:tcW w:w="668" w:type="dxa"/>
            <w:vAlign w:val="center"/>
            <w:hideMark/>
          </w:tcPr>
          <w:p w14:paraId="6DC249A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331</w:t>
            </w:r>
          </w:p>
        </w:tc>
        <w:tc>
          <w:tcPr>
            <w:tcW w:w="3835" w:type="dxa"/>
            <w:vAlign w:val="center"/>
            <w:hideMark/>
          </w:tcPr>
          <w:p w14:paraId="5190C50A" w14:textId="77777777" w:rsidR="00EA38F6" w:rsidRPr="000864AE" w:rsidRDefault="00EA38F6" w:rsidP="000864AE">
            <w:pPr>
              <w:rPr>
                <w:rFonts w:ascii="Verdana" w:hAnsi="Verdana"/>
                <w:sz w:val="18"/>
                <w:szCs w:val="18"/>
              </w:rPr>
            </w:pPr>
            <w:r w:rsidRPr="000864AE">
              <w:rPr>
                <w:rFonts w:ascii="Verdana" w:hAnsi="Verdana"/>
                <w:sz w:val="18"/>
                <w:szCs w:val="18"/>
              </w:rPr>
              <w:t>Llontop Braco Cristina Del Pilar</w:t>
            </w:r>
          </w:p>
        </w:tc>
      </w:tr>
      <w:tr w:rsidR="00EA38F6" w:rsidRPr="000864AE" w14:paraId="7AF7BFC7" w14:textId="77777777" w:rsidTr="00AC0C51">
        <w:trPr>
          <w:trHeight w:val="300"/>
        </w:trPr>
        <w:tc>
          <w:tcPr>
            <w:tcW w:w="668" w:type="dxa"/>
            <w:vAlign w:val="center"/>
            <w:hideMark/>
          </w:tcPr>
          <w:p w14:paraId="79DA5C4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332</w:t>
            </w:r>
          </w:p>
        </w:tc>
        <w:tc>
          <w:tcPr>
            <w:tcW w:w="3835" w:type="dxa"/>
            <w:vAlign w:val="center"/>
            <w:hideMark/>
          </w:tcPr>
          <w:p w14:paraId="49130D73" w14:textId="77777777" w:rsidR="00EA38F6" w:rsidRPr="000864AE" w:rsidRDefault="00EA38F6" w:rsidP="000864AE">
            <w:pPr>
              <w:rPr>
                <w:rFonts w:ascii="Verdana" w:hAnsi="Verdana"/>
                <w:sz w:val="18"/>
                <w:szCs w:val="18"/>
              </w:rPr>
            </w:pPr>
            <w:r w:rsidRPr="000864AE">
              <w:rPr>
                <w:rFonts w:ascii="Verdana" w:hAnsi="Verdana"/>
                <w:sz w:val="18"/>
                <w:szCs w:val="18"/>
              </w:rPr>
              <w:t>Llontop Effio Juana Mercedes</w:t>
            </w:r>
          </w:p>
        </w:tc>
      </w:tr>
      <w:tr w:rsidR="00EA38F6" w:rsidRPr="000864AE" w14:paraId="7DA3AC89" w14:textId="77777777" w:rsidTr="00AC0C51">
        <w:trPr>
          <w:trHeight w:val="300"/>
        </w:trPr>
        <w:tc>
          <w:tcPr>
            <w:tcW w:w="668" w:type="dxa"/>
            <w:vAlign w:val="center"/>
            <w:hideMark/>
          </w:tcPr>
          <w:p w14:paraId="0D852EA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333</w:t>
            </w:r>
          </w:p>
        </w:tc>
        <w:tc>
          <w:tcPr>
            <w:tcW w:w="3835" w:type="dxa"/>
            <w:vAlign w:val="center"/>
            <w:hideMark/>
          </w:tcPr>
          <w:p w14:paraId="495C8694" w14:textId="77777777" w:rsidR="00EA38F6" w:rsidRPr="000864AE" w:rsidRDefault="00EA38F6" w:rsidP="000864AE">
            <w:pPr>
              <w:rPr>
                <w:rFonts w:ascii="Verdana" w:hAnsi="Verdana"/>
                <w:sz w:val="18"/>
                <w:szCs w:val="18"/>
              </w:rPr>
            </w:pPr>
            <w:r w:rsidRPr="000864AE">
              <w:rPr>
                <w:rFonts w:ascii="Verdana" w:hAnsi="Verdana"/>
                <w:sz w:val="18"/>
                <w:szCs w:val="18"/>
              </w:rPr>
              <w:t>Loayza Paucar Feliciano</w:t>
            </w:r>
          </w:p>
        </w:tc>
      </w:tr>
      <w:tr w:rsidR="00EA38F6" w:rsidRPr="000864AE" w14:paraId="13F2D6F7" w14:textId="77777777" w:rsidTr="00AC0C51">
        <w:trPr>
          <w:trHeight w:val="300"/>
        </w:trPr>
        <w:tc>
          <w:tcPr>
            <w:tcW w:w="668" w:type="dxa"/>
            <w:vAlign w:val="center"/>
            <w:hideMark/>
          </w:tcPr>
          <w:p w14:paraId="0B1EFCA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334</w:t>
            </w:r>
          </w:p>
        </w:tc>
        <w:tc>
          <w:tcPr>
            <w:tcW w:w="3835" w:type="dxa"/>
            <w:vAlign w:val="center"/>
            <w:hideMark/>
          </w:tcPr>
          <w:p w14:paraId="3ECE85E1" w14:textId="77777777" w:rsidR="00EA38F6" w:rsidRPr="000864AE" w:rsidRDefault="00EA38F6" w:rsidP="000864AE">
            <w:pPr>
              <w:rPr>
                <w:rFonts w:ascii="Verdana" w:hAnsi="Verdana"/>
                <w:sz w:val="18"/>
                <w:szCs w:val="18"/>
              </w:rPr>
            </w:pPr>
            <w:r w:rsidRPr="000864AE">
              <w:rPr>
                <w:rFonts w:ascii="Verdana" w:hAnsi="Verdana"/>
                <w:sz w:val="18"/>
                <w:szCs w:val="18"/>
              </w:rPr>
              <w:t>Loayza Portilla Graciela</w:t>
            </w:r>
          </w:p>
        </w:tc>
      </w:tr>
      <w:tr w:rsidR="00EA38F6" w:rsidRPr="000864AE" w14:paraId="2BB6B910" w14:textId="77777777" w:rsidTr="00AC0C51">
        <w:trPr>
          <w:trHeight w:val="300"/>
        </w:trPr>
        <w:tc>
          <w:tcPr>
            <w:tcW w:w="668" w:type="dxa"/>
            <w:vAlign w:val="center"/>
            <w:hideMark/>
          </w:tcPr>
          <w:p w14:paraId="662D8D7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335</w:t>
            </w:r>
          </w:p>
        </w:tc>
        <w:tc>
          <w:tcPr>
            <w:tcW w:w="3835" w:type="dxa"/>
            <w:vAlign w:val="center"/>
            <w:hideMark/>
          </w:tcPr>
          <w:p w14:paraId="7C999A05" w14:textId="77777777" w:rsidR="00EA38F6" w:rsidRPr="000864AE" w:rsidRDefault="00EA38F6" w:rsidP="000864AE">
            <w:pPr>
              <w:rPr>
                <w:rFonts w:ascii="Verdana" w:hAnsi="Verdana"/>
                <w:sz w:val="18"/>
                <w:szCs w:val="18"/>
              </w:rPr>
            </w:pPr>
            <w:r w:rsidRPr="000864AE">
              <w:rPr>
                <w:rFonts w:ascii="Verdana" w:hAnsi="Verdana"/>
                <w:sz w:val="18"/>
                <w:szCs w:val="18"/>
              </w:rPr>
              <w:t>Lombardo Gonzáles Francisco Gregorio</w:t>
            </w:r>
          </w:p>
        </w:tc>
      </w:tr>
      <w:tr w:rsidR="00EA38F6" w:rsidRPr="000864AE" w14:paraId="063D7AA7" w14:textId="77777777" w:rsidTr="00AC0C51">
        <w:trPr>
          <w:trHeight w:val="300"/>
        </w:trPr>
        <w:tc>
          <w:tcPr>
            <w:tcW w:w="668" w:type="dxa"/>
            <w:vAlign w:val="center"/>
            <w:hideMark/>
          </w:tcPr>
          <w:p w14:paraId="1BE66F6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336</w:t>
            </w:r>
          </w:p>
        </w:tc>
        <w:tc>
          <w:tcPr>
            <w:tcW w:w="3835" w:type="dxa"/>
            <w:vAlign w:val="center"/>
            <w:hideMark/>
          </w:tcPr>
          <w:p w14:paraId="724CC564" w14:textId="77777777" w:rsidR="00EA38F6" w:rsidRPr="000864AE" w:rsidRDefault="00EA38F6" w:rsidP="000864AE">
            <w:pPr>
              <w:rPr>
                <w:rFonts w:ascii="Verdana" w:hAnsi="Verdana"/>
                <w:sz w:val="18"/>
                <w:szCs w:val="18"/>
              </w:rPr>
            </w:pPr>
            <w:r w:rsidRPr="000864AE">
              <w:rPr>
                <w:rFonts w:ascii="Verdana" w:hAnsi="Verdana"/>
                <w:sz w:val="18"/>
                <w:szCs w:val="18"/>
              </w:rPr>
              <w:t>Loo Reyes Carmen Rosa</w:t>
            </w:r>
          </w:p>
        </w:tc>
      </w:tr>
      <w:tr w:rsidR="00EA38F6" w:rsidRPr="000864AE" w14:paraId="4232B633" w14:textId="77777777" w:rsidTr="00AC0C51">
        <w:trPr>
          <w:trHeight w:val="300"/>
        </w:trPr>
        <w:tc>
          <w:tcPr>
            <w:tcW w:w="668" w:type="dxa"/>
            <w:vAlign w:val="center"/>
            <w:hideMark/>
          </w:tcPr>
          <w:p w14:paraId="7F970CB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337</w:t>
            </w:r>
          </w:p>
        </w:tc>
        <w:tc>
          <w:tcPr>
            <w:tcW w:w="3835" w:type="dxa"/>
            <w:vAlign w:val="center"/>
            <w:hideMark/>
          </w:tcPr>
          <w:p w14:paraId="60D0B814" w14:textId="77777777" w:rsidR="00EA38F6" w:rsidRPr="000864AE" w:rsidRDefault="00EA38F6" w:rsidP="000864AE">
            <w:pPr>
              <w:rPr>
                <w:rFonts w:ascii="Verdana" w:hAnsi="Verdana"/>
                <w:sz w:val="18"/>
                <w:szCs w:val="18"/>
              </w:rPr>
            </w:pPr>
            <w:r w:rsidRPr="000864AE">
              <w:rPr>
                <w:rFonts w:ascii="Verdana" w:hAnsi="Verdana"/>
                <w:sz w:val="18"/>
                <w:szCs w:val="18"/>
              </w:rPr>
              <w:t>López Céspedes Alejandro Rubén</w:t>
            </w:r>
          </w:p>
        </w:tc>
      </w:tr>
      <w:tr w:rsidR="00EA38F6" w:rsidRPr="000864AE" w14:paraId="590E16EA" w14:textId="77777777" w:rsidTr="00AC0C51">
        <w:trPr>
          <w:trHeight w:val="300"/>
        </w:trPr>
        <w:tc>
          <w:tcPr>
            <w:tcW w:w="668" w:type="dxa"/>
            <w:vAlign w:val="center"/>
            <w:hideMark/>
          </w:tcPr>
          <w:p w14:paraId="2E84A1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338</w:t>
            </w:r>
          </w:p>
        </w:tc>
        <w:tc>
          <w:tcPr>
            <w:tcW w:w="3835" w:type="dxa"/>
            <w:vAlign w:val="center"/>
            <w:hideMark/>
          </w:tcPr>
          <w:p w14:paraId="313BAAA4" w14:textId="77777777" w:rsidR="00EA38F6" w:rsidRPr="000864AE" w:rsidRDefault="00EA38F6" w:rsidP="000864AE">
            <w:pPr>
              <w:rPr>
                <w:rFonts w:ascii="Verdana" w:hAnsi="Verdana"/>
                <w:sz w:val="18"/>
                <w:szCs w:val="18"/>
              </w:rPr>
            </w:pPr>
            <w:r w:rsidRPr="000864AE">
              <w:rPr>
                <w:rFonts w:ascii="Verdana" w:hAnsi="Verdana"/>
                <w:sz w:val="18"/>
                <w:szCs w:val="18"/>
              </w:rPr>
              <w:t>López Chu Tomas Emilio</w:t>
            </w:r>
          </w:p>
        </w:tc>
      </w:tr>
      <w:tr w:rsidR="00EA38F6" w:rsidRPr="000864AE" w14:paraId="0B364E64" w14:textId="77777777" w:rsidTr="00AC0C51">
        <w:trPr>
          <w:trHeight w:val="300"/>
        </w:trPr>
        <w:tc>
          <w:tcPr>
            <w:tcW w:w="668" w:type="dxa"/>
            <w:vAlign w:val="center"/>
            <w:hideMark/>
          </w:tcPr>
          <w:p w14:paraId="0C91F7D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339</w:t>
            </w:r>
          </w:p>
        </w:tc>
        <w:tc>
          <w:tcPr>
            <w:tcW w:w="3835" w:type="dxa"/>
            <w:vAlign w:val="center"/>
            <w:hideMark/>
          </w:tcPr>
          <w:p w14:paraId="56DD84A3" w14:textId="77777777" w:rsidR="00EA38F6" w:rsidRPr="000864AE" w:rsidRDefault="00EA38F6" w:rsidP="000864AE">
            <w:pPr>
              <w:rPr>
                <w:rFonts w:ascii="Verdana" w:hAnsi="Verdana"/>
                <w:sz w:val="18"/>
                <w:szCs w:val="18"/>
              </w:rPr>
            </w:pPr>
            <w:r w:rsidRPr="000864AE">
              <w:rPr>
                <w:rFonts w:ascii="Verdana" w:hAnsi="Verdana"/>
                <w:sz w:val="18"/>
                <w:szCs w:val="18"/>
              </w:rPr>
              <w:t>López Guerrero Dante A.</w:t>
            </w:r>
          </w:p>
        </w:tc>
      </w:tr>
      <w:tr w:rsidR="00EA38F6" w:rsidRPr="000864AE" w14:paraId="13D22731" w14:textId="77777777" w:rsidTr="00AC0C51">
        <w:trPr>
          <w:trHeight w:val="300"/>
        </w:trPr>
        <w:tc>
          <w:tcPr>
            <w:tcW w:w="668" w:type="dxa"/>
            <w:vAlign w:val="center"/>
            <w:hideMark/>
          </w:tcPr>
          <w:p w14:paraId="3D69F86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340</w:t>
            </w:r>
          </w:p>
        </w:tc>
        <w:tc>
          <w:tcPr>
            <w:tcW w:w="3835" w:type="dxa"/>
            <w:vAlign w:val="center"/>
            <w:hideMark/>
          </w:tcPr>
          <w:p w14:paraId="256AF8A9" w14:textId="77777777" w:rsidR="00EA38F6" w:rsidRPr="000864AE" w:rsidRDefault="00EA38F6" w:rsidP="000864AE">
            <w:pPr>
              <w:rPr>
                <w:rFonts w:ascii="Verdana" w:hAnsi="Verdana"/>
                <w:sz w:val="18"/>
                <w:szCs w:val="18"/>
              </w:rPr>
            </w:pPr>
            <w:r w:rsidRPr="000864AE">
              <w:rPr>
                <w:rFonts w:ascii="Verdana" w:hAnsi="Verdana"/>
                <w:sz w:val="18"/>
                <w:szCs w:val="18"/>
              </w:rPr>
              <w:t>López Paredes Mauricio</w:t>
            </w:r>
          </w:p>
        </w:tc>
      </w:tr>
      <w:tr w:rsidR="00EA38F6" w:rsidRPr="000864AE" w14:paraId="3549D477" w14:textId="77777777" w:rsidTr="00AC0C51">
        <w:trPr>
          <w:trHeight w:val="300"/>
        </w:trPr>
        <w:tc>
          <w:tcPr>
            <w:tcW w:w="668" w:type="dxa"/>
            <w:vAlign w:val="center"/>
            <w:hideMark/>
          </w:tcPr>
          <w:p w14:paraId="0036345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341</w:t>
            </w:r>
          </w:p>
        </w:tc>
        <w:tc>
          <w:tcPr>
            <w:tcW w:w="3835" w:type="dxa"/>
            <w:vAlign w:val="center"/>
            <w:hideMark/>
          </w:tcPr>
          <w:p w14:paraId="3A8256D4" w14:textId="77777777" w:rsidR="00EA38F6" w:rsidRPr="000864AE" w:rsidRDefault="00EA38F6" w:rsidP="000864AE">
            <w:pPr>
              <w:rPr>
                <w:rFonts w:ascii="Verdana" w:hAnsi="Verdana"/>
                <w:sz w:val="18"/>
                <w:szCs w:val="18"/>
              </w:rPr>
            </w:pPr>
            <w:r w:rsidRPr="000864AE">
              <w:rPr>
                <w:rFonts w:ascii="Verdana" w:hAnsi="Verdana"/>
                <w:sz w:val="18"/>
                <w:szCs w:val="18"/>
              </w:rPr>
              <w:t>López Vera Gladys Lucila</w:t>
            </w:r>
          </w:p>
        </w:tc>
      </w:tr>
      <w:tr w:rsidR="00EA38F6" w:rsidRPr="000864AE" w14:paraId="2516F840" w14:textId="77777777" w:rsidTr="00AC0C51">
        <w:trPr>
          <w:trHeight w:val="300"/>
        </w:trPr>
        <w:tc>
          <w:tcPr>
            <w:tcW w:w="668" w:type="dxa"/>
            <w:vAlign w:val="center"/>
            <w:hideMark/>
          </w:tcPr>
          <w:p w14:paraId="6C68AC1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342</w:t>
            </w:r>
          </w:p>
        </w:tc>
        <w:tc>
          <w:tcPr>
            <w:tcW w:w="3835" w:type="dxa"/>
            <w:vAlign w:val="center"/>
            <w:hideMark/>
          </w:tcPr>
          <w:p w14:paraId="069F373E" w14:textId="77777777" w:rsidR="00EA38F6" w:rsidRPr="000864AE" w:rsidRDefault="00EA38F6" w:rsidP="000864AE">
            <w:pPr>
              <w:rPr>
                <w:rFonts w:ascii="Verdana" w:hAnsi="Verdana"/>
                <w:sz w:val="18"/>
                <w:szCs w:val="18"/>
              </w:rPr>
            </w:pPr>
            <w:r w:rsidRPr="000864AE">
              <w:rPr>
                <w:rFonts w:ascii="Verdana" w:hAnsi="Verdana"/>
                <w:sz w:val="18"/>
                <w:szCs w:val="18"/>
              </w:rPr>
              <w:t>Lora Reyes Wilfredo Absalon</w:t>
            </w:r>
          </w:p>
        </w:tc>
      </w:tr>
      <w:tr w:rsidR="00EA38F6" w:rsidRPr="000864AE" w14:paraId="1C2CF6A6" w14:textId="77777777" w:rsidTr="00AC0C51">
        <w:trPr>
          <w:trHeight w:val="300"/>
        </w:trPr>
        <w:tc>
          <w:tcPr>
            <w:tcW w:w="668" w:type="dxa"/>
            <w:vAlign w:val="center"/>
            <w:hideMark/>
          </w:tcPr>
          <w:p w14:paraId="7D3E87F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343</w:t>
            </w:r>
          </w:p>
        </w:tc>
        <w:tc>
          <w:tcPr>
            <w:tcW w:w="3835" w:type="dxa"/>
            <w:vAlign w:val="center"/>
            <w:hideMark/>
          </w:tcPr>
          <w:p w14:paraId="62F2EAF7" w14:textId="77777777" w:rsidR="00EA38F6" w:rsidRPr="000864AE" w:rsidRDefault="00EA38F6" w:rsidP="000864AE">
            <w:pPr>
              <w:rPr>
                <w:rFonts w:ascii="Verdana" w:hAnsi="Verdana"/>
                <w:sz w:val="18"/>
                <w:szCs w:val="18"/>
              </w:rPr>
            </w:pPr>
            <w:r w:rsidRPr="000864AE">
              <w:rPr>
                <w:rFonts w:ascii="Verdana" w:hAnsi="Verdana"/>
                <w:sz w:val="18"/>
                <w:szCs w:val="18"/>
              </w:rPr>
              <w:t>Loyola Tordoya Nydia Liliana</w:t>
            </w:r>
          </w:p>
        </w:tc>
      </w:tr>
      <w:tr w:rsidR="00EA38F6" w:rsidRPr="000864AE" w14:paraId="06DE27E8" w14:textId="77777777" w:rsidTr="00AC0C51">
        <w:trPr>
          <w:trHeight w:val="300"/>
        </w:trPr>
        <w:tc>
          <w:tcPr>
            <w:tcW w:w="668" w:type="dxa"/>
            <w:vAlign w:val="center"/>
            <w:hideMark/>
          </w:tcPr>
          <w:p w14:paraId="03FF0DE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344</w:t>
            </w:r>
          </w:p>
        </w:tc>
        <w:tc>
          <w:tcPr>
            <w:tcW w:w="3835" w:type="dxa"/>
            <w:vAlign w:val="center"/>
            <w:hideMark/>
          </w:tcPr>
          <w:p w14:paraId="6AC446D4" w14:textId="77777777" w:rsidR="00EA38F6" w:rsidRPr="000864AE" w:rsidRDefault="00EA38F6" w:rsidP="000864AE">
            <w:pPr>
              <w:rPr>
                <w:rFonts w:ascii="Verdana" w:hAnsi="Verdana"/>
                <w:sz w:val="18"/>
                <w:szCs w:val="18"/>
              </w:rPr>
            </w:pPr>
            <w:r w:rsidRPr="000864AE">
              <w:rPr>
                <w:rFonts w:ascii="Verdana" w:hAnsi="Verdana"/>
                <w:sz w:val="18"/>
                <w:szCs w:val="18"/>
              </w:rPr>
              <w:t>Lucar Alba Lisandro Ernesto</w:t>
            </w:r>
          </w:p>
        </w:tc>
      </w:tr>
      <w:tr w:rsidR="00EA38F6" w:rsidRPr="000864AE" w14:paraId="75ACAD13" w14:textId="77777777" w:rsidTr="00AC0C51">
        <w:trPr>
          <w:trHeight w:val="300"/>
        </w:trPr>
        <w:tc>
          <w:tcPr>
            <w:tcW w:w="668" w:type="dxa"/>
            <w:vAlign w:val="center"/>
            <w:hideMark/>
          </w:tcPr>
          <w:p w14:paraId="13ADB08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345</w:t>
            </w:r>
          </w:p>
        </w:tc>
        <w:tc>
          <w:tcPr>
            <w:tcW w:w="3835" w:type="dxa"/>
            <w:vAlign w:val="center"/>
            <w:hideMark/>
          </w:tcPr>
          <w:p w14:paraId="095AA65B" w14:textId="77777777" w:rsidR="00EA38F6" w:rsidRPr="000864AE" w:rsidRDefault="00EA38F6" w:rsidP="000864AE">
            <w:pPr>
              <w:rPr>
                <w:rFonts w:ascii="Verdana" w:hAnsi="Verdana"/>
                <w:sz w:val="18"/>
                <w:szCs w:val="18"/>
              </w:rPr>
            </w:pPr>
            <w:r w:rsidRPr="000864AE">
              <w:rPr>
                <w:rFonts w:ascii="Verdana" w:hAnsi="Verdana"/>
                <w:sz w:val="18"/>
                <w:szCs w:val="18"/>
              </w:rPr>
              <w:t>Ludeña Cárdenas Fausto</w:t>
            </w:r>
          </w:p>
        </w:tc>
      </w:tr>
      <w:tr w:rsidR="00EA38F6" w:rsidRPr="000864AE" w14:paraId="03FE3178" w14:textId="77777777" w:rsidTr="00AC0C51">
        <w:trPr>
          <w:trHeight w:val="300"/>
        </w:trPr>
        <w:tc>
          <w:tcPr>
            <w:tcW w:w="668" w:type="dxa"/>
            <w:vAlign w:val="center"/>
            <w:hideMark/>
          </w:tcPr>
          <w:p w14:paraId="7C789EB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346</w:t>
            </w:r>
          </w:p>
        </w:tc>
        <w:tc>
          <w:tcPr>
            <w:tcW w:w="3835" w:type="dxa"/>
            <w:vAlign w:val="center"/>
            <w:hideMark/>
          </w:tcPr>
          <w:p w14:paraId="3A6D08FA" w14:textId="77777777" w:rsidR="00EA38F6" w:rsidRPr="000864AE" w:rsidRDefault="00EA38F6" w:rsidP="000864AE">
            <w:pPr>
              <w:rPr>
                <w:rFonts w:ascii="Verdana" w:hAnsi="Verdana"/>
                <w:sz w:val="18"/>
                <w:szCs w:val="18"/>
              </w:rPr>
            </w:pPr>
            <w:r w:rsidRPr="000864AE">
              <w:rPr>
                <w:rFonts w:ascii="Verdana" w:hAnsi="Verdana"/>
                <w:sz w:val="18"/>
                <w:szCs w:val="18"/>
              </w:rPr>
              <w:t>Luglio Mar Edgar Américo</w:t>
            </w:r>
          </w:p>
        </w:tc>
      </w:tr>
      <w:tr w:rsidR="00EA38F6" w:rsidRPr="000864AE" w14:paraId="69154B6F" w14:textId="77777777" w:rsidTr="00AC0C51">
        <w:trPr>
          <w:trHeight w:val="300"/>
        </w:trPr>
        <w:tc>
          <w:tcPr>
            <w:tcW w:w="668" w:type="dxa"/>
            <w:vAlign w:val="center"/>
            <w:hideMark/>
          </w:tcPr>
          <w:p w14:paraId="49BC897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347</w:t>
            </w:r>
          </w:p>
        </w:tc>
        <w:tc>
          <w:tcPr>
            <w:tcW w:w="3835" w:type="dxa"/>
            <w:vAlign w:val="center"/>
            <w:hideMark/>
          </w:tcPr>
          <w:p w14:paraId="60F3190F" w14:textId="77777777" w:rsidR="00EA38F6" w:rsidRPr="000864AE" w:rsidRDefault="00EA38F6" w:rsidP="000864AE">
            <w:pPr>
              <w:rPr>
                <w:rFonts w:ascii="Verdana" w:hAnsi="Verdana"/>
                <w:sz w:val="18"/>
                <w:szCs w:val="18"/>
              </w:rPr>
            </w:pPr>
            <w:r w:rsidRPr="000864AE">
              <w:rPr>
                <w:rFonts w:ascii="Verdana" w:hAnsi="Verdana"/>
                <w:sz w:val="18"/>
                <w:szCs w:val="18"/>
              </w:rPr>
              <w:t>Lujan Burgos Gregorio Higinio</w:t>
            </w:r>
          </w:p>
        </w:tc>
      </w:tr>
      <w:tr w:rsidR="00EA38F6" w:rsidRPr="000864AE" w14:paraId="11B4D213" w14:textId="77777777" w:rsidTr="00AC0C51">
        <w:trPr>
          <w:trHeight w:val="300"/>
        </w:trPr>
        <w:tc>
          <w:tcPr>
            <w:tcW w:w="668" w:type="dxa"/>
            <w:vAlign w:val="center"/>
            <w:hideMark/>
          </w:tcPr>
          <w:p w14:paraId="70FBCC3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348</w:t>
            </w:r>
          </w:p>
        </w:tc>
        <w:tc>
          <w:tcPr>
            <w:tcW w:w="3835" w:type="dxa"/>
            <w:vAlign w:val="center"/>
            <w:hideMark/>
          </w:tcPr>
          <w:p w14:paraId="06D76E72" w14:textId="77777777" w:rsidR="00EA38F6" w:rsidRPr="000864AE" w:rsidRDefault="00EA38F6" w:rsidP="000864AE">
            <w:pPr>
              <w:rPr>
                <w:rFonts w:ascii="Verdana" w:hAnsi="Verdana"/>
                <w:sz w:val="18"/>
                <w:szCs w:val="18"/>
              </w:rPr>
            </w:pPr>
            <w:r w:rsidRPr="000864AE">
              <w:rPr>
                <w:rFonts w:ascii="Verdana" w:hAnsi="Verdana"/>
                <w:sz w:val="18"/>
                <w:szCs w:val="18"/>
              </w:rPr>
              <w:t>Luna Rojas Jesús Nora</w:t>
            </w:r>
          </w:p>
        </w:tc>
      </w:tr>
      <w:tr w:rsidR="00EA38F6" w:rsidRPr="000864AE" w14:paraId="361349F6" w14:textId="77777777" w:rsidTr="00AC0C51">
        <w:trPr>
          <w:trHeight w:val="300"/>
        </w:trPr>
        <w:tc>
          <w:tcPr>
            <w:tcW w:w="668" w:type="dxa"/>
            <w:vAlign w:val="center"/>
            <w:hideMark/>
          </w:tcPr>
          <w:p w14:paraId="60EBE16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349</w:t>
            </w:r>
          </w:p>
        </w:tc>
        <w:tc>
          <w:tcPr>
            <w:tcW w:w="3835" w:type="dxa"/>
            <w:vAlign w:val="center"/>
            <w:hideMark/>
          </w:tcPr>
          <w:p w14:paraId="5432A5E6" w14:textId="77777777" w:rsidR="00EA38F6" w:rsidRPr="000864AE" w:rsidRDefault="00EA38F6" w:rsidP="000864AE">
            <w:pPr>
              <w:rPr>
                <w:rFonts w:ascii="Verdana" w:hAnsi="Verdana"/>
                <w:sz w:val="18"/>
                <w:szCs w:val="18"/>
              </w:rPr>
            </w:pPr>
            <w:r w:rsidRPr="000864AE">
              <w:rPr>
                <w:rFonts w:ascii="Verdana" w:hAnsi="Verdana"/>
                <w:sz w:val="18"/>
                <w:szCs w:val="18"/>
              </w:rPr>
              <w:t>Macedo Granda Víctor José</w:t>
            </w:r>
          </w:p>
        </w:tc>
      </w:tr>
      <w:tr w:rsidR="00EA38F6" w:rsidRPr="000864AE" w14:paraId="32C7140E" w14:textId="77777777" w:rsidTr="00AC0C51">
        <w:trPr>
          <w:trHeight w:val="300"/>
        </w:trPr>
        <w:tc>
          <w:tcPr>
            <w:tcW w:w="668" w:type="dxa"/>
            <w:vAlign w:val="center"/>
            <w:hideMark/>
          </w:tcPr>
          <w:p w14:paraId="1D09414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350</w:t>
            </w:r>
          </w:p>
        </w:tc>
        <w:tc>
          <w:tcPr>
            <w:tcW w:w="3835" w:type="dxa"/>
            <w:vAlign w:val="center"/>
            <w:hideMark/>
          </w:tcPr>
          <w:p w14:paraId="071B0623" w14:textId="77777777" w:rsidR="00EA38F6" w:rsidRPr="000864AE" w:rsidRDefault="00EA38F6" w:rsidP="000864AE">
            <w:pPr>
              <w:rPr>
                <w:rFonts w:ascii="Verdana" w:hAnsi="Verdana"/>
                <w:sz w:val="18"/>
                <w:szCs w:val="18"/>
              </w:rPr>
            </w:pPr>
            <w:r w:rsidRPr="000864AE">
              <w:rPr>
                <w:rFonts w:ascii="Verdana" w:hAnsi="Verdana"/>
                <w:sz w:val="18"/>
                <w:szCs w:val="18"/>
              </w:rPr>
              <w:t>Macedo Medina Dora Emilia</w:t>
            </w:r>
          </w:p>
        </w:tc>
      </w:tr>
      <w:tr w:rsidR="00EA38F6" w:rsidRPr="000864AE" w14:paraId="234F63B6" w14:textId="77777777" w:rsidTr="00AC0C51">
        <w:trPr>
          <w:trHeight w:val="300"/>
        </w:trPr>
        <w:tc>
          <w:tcPr>
            <w:tcW w:w="668" w:type="dxa"/>
            <w:vAlign w:val="center"/>
            <w:hideMark/>
          </w:tcPr>
          <w:p w14:paraId="1A591E6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351</w:t>
            </w:r>
          </w:p>
        </w:tc>
        <w:tc>
          <w:tcPr>
            <w:tcW w:w="3835" w:type="dxa"/>
            <w:vAlign w:val="center"/>
            <w:hideMark/>
          </w:tcPr>
          <w:p w14:paraId="67F0FE0F" w14:textId="77777777" w:rsidR="00EA38F6" w:rsidRPr="000864AE" w:rsidRDefault="00EA38F6" w:rsidP="000864AE">
            <w:pPr>
              <w:rPr>
                <w:rFonts w:ascii="Verdana" w:hAnsi="Verdana"/>
                <w:sz w:val="18"/>
                <w:szCs w:val="18"/>
              </w:rPr>
            </w:pPr>
            <w:r w:rsidRPr="000864AE">
              <w:rPr>
                <w:rFonts w:ascii="Verdana" w:hAnsi="Verdana"/>
                <w:sz w:val="18"/>
                <w:szCs w:val="18"/>
              </w:rPr>
              <w:t xml:space="preserve">Machicao Pereyra Jorge Guillermo </w:t>
            </w:r>
          </w:p>
        </w:tc>
      </w:tr>
      <w:tr w:rsidR="00EA38F6" w:rsidRPr="000864AE" w14:paraId="4DC06402" w14:textId="77777777" w:rsidTr="00AC0C51">
        <w:trPr>
          <w:trHeight w:val="300"/>
        </w:trPr>
        <w:tc>
          <w:tcPr>
            <w:tcW w:w="668" w:type="dxa"/>
            <w:vAlign w:val="center"/>
            <w:hideMark/>
          </w:tcPr>
          <w:p w14:paraId="37B103E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352</w:t>
            </w:r>
          </w:p>
        </w:tc>
        <w:tc>
          <w:tcPr>
            <w:tcW w:w="3835" w:type="dxa"/>
            <w:vAlign w:val="center"/>
            <w:hideMark/>
          </w:tcPr>
          <w:p w14:paraId="1CF06787" w14:textId="77777777" w:rsidR="00EA38F6" w:rsidRPr="000864AE" w:rsidRDefault="00EA38F6" w:rsidP="000864AE">
            <w:pPr>
              <w:rPr>
                <w:rFonts w:ascii="Verdana" w:hAnsi="Verdana"/>
                <w:sz w:val="18"/>
                <w:szCs w:val="18"/>
              </w:rPr>
            </w:pPr>
            <w:r w:rsidRPr="000864AE">
              <w:rPr>
                <w:rFonts w:ascii="Verdana" w:hAnsi="Verdana"/>
                <w:sz w:val="18"/>
                <w:szCs w:val="18"/>
              </w:rPr>
              <w:t>Makishi Inafuku Vicente</w:t>
            </w:r>
          </w:p>
        </w:tc>
      </w:tr>
      <w:tr w:rsidR="00EA38F6" w:rsidRPr="000864AE" w14:paraId="7339BF95" w14:textId="77777777" w:rsidTr="00AC0C51">
        <w:trPr>
          <w:trHeight w:val="300"/>
        </w:trPr>
        <w:tc>
          <w:tcPr>
            <w:tcW w:w="668" w:type="dxa"/>
            <w:vAlign w:val="center"/>
            <w:hideMark/>
          </w:tcPr>
          <w:p w14:paraId="68C982E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353</w:t>
            </w:r>
          </w:p>
        </w:tc>
        <w:tc>
          <w:tcPr>
            <w:tcW w:w="3835" w:type="dxa"/>
            <w:vAlign w:val="center"/>
            <w:hideMark/>
          </w:tcPr>
          <w:p w14:paraId="15AEEFFF" w14:textId="77777777" w:rsidR="00EA38F6" w:rsidRPr="000864AE" w:rsidRDefault="00EA38F6" w:rsidP="000864AE">
            <w:pPr>
              <w:rPr>
                <w:rFonts w:ascii="Verdana" w:hAnsi="Verdana"/>
                <w:sz w:val="18"/>
                <w:szCs w:val="18"/>
              </w:rPr>
            </w:pPr>
            <w:r w:rsidRPr="000864AE">
              <w:rPr>
                <w:rFonts w:ascii="Verdana" w:hAnsi="Verdana"/>
                <w:sz w:val="18"/>
                <w:szCs w:val="18"/>
              </w:rPr>
              <w:t>Manrique Alvarado Jorge Noe</w:t>
            </w:r>
          </w:p>
        </w:tc>
      </w:tr>
      <w:tr w:rsidR="00EA38F6" w:rsidRPr="000864AE" w14:paraId="59CCCBBA" w14:textId="77777777" w:rsidTr="00AC0C51">
        <w:trPr>
          <w:trHeight w:val="300"/>
        </w:trPr>
        <w:tc>
          <w:tcPr>
            <w:tcW w:w="668" w:type="dxa"/>
            <w:vAlign w:val="center"/>
            <w:hideMark/>
          </w:tcPr>
          <w:p w14:paraId="0977AEF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354</w:t>
            </w:r>
          </w:p>
        </w:tc>
        <w:tc>
          <w:tcPr>
            <w:tcW w:w="3835" w:type="dxa"/>
            <w:vAlign w:val="center"/>
            <w:hideMark/>
          </w:tcPr>
          <w:p w14:paraId="4F7F181C" w14:textId="77777777" w:rsidR="00EA38F6" w:rsidRPr="000864AE" w:rsidRDefault="00EA38F6" w:rsidP="000864AE">
            <w:pPr>
              <w:rPr>
                <w:rFonts w:ascii="Verdana" w:hAnsi="Verdana"/>
                <w:sz w:val="18"/>
                <w:szCs w:val="18"/>
              </w:rPr>
            </w:pPr>
            <w:r w:rsidRPr="000864AE">
              <w:rPr>
                <w:rFonts w:ascii="Verdana" w:hAnsi="Verdana"/>
                <w:sz w:val="18"/>
                <w:szCs w:val="18"/>
              </w:rPr>
              <w:t>Manrique Sánchez Lea Olga</w:t>
            </w:r>
          </w:p>
        </w:tc>
      </w:tr>
      <w:tr w:rsidR="00EA38F6" w:rsidRPr="000864AE" w14:paraId="167CAC8C" w14:textId="77777777" w:rsidTr="00AC0C51">
        <w:trPr>
          <w:trHeight w:val="300"/>
        </w:trPr>
        <w:tc>
          <w:tcPr>
            <w:tcW w:w="668" w:type="dxa"/>
            <w:vAlign w:val="center"/>
            <w:hideMark/>
          </w:tcPr>
          <w:p w14:paraId="20B08B7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355</w:t>
            </w:r>
          </w:p>
        </w:tc>
        <w:tc>
          <w:tcPr>
            <w:tcW w:w="3835" w:type="dxa"/>
            <w:vAlign w:val="center"/>
            <w:hideMark/>
          </w:tcPr>
          <w:p w14:paraId="2FE244F8" w14:textId="77777777" w:rsidR="00EA38F6" w:rsidRPr="000864AE" w:rsidRDefault="00EA38F6" w:rsidP="000864AE">
            <w:pPr>
              <w:rPr>
                <w:rFonts w:ascii="Verdana" w:hAnsi="Verdana"/>
                <w:sz w:val="18"/>
                <w:szCs w:val="18"/>
              </w:rPr>
            </w:pPr>
            <w:r w:rsidRPr="000864AE">
              <w:rPr>
                <w:rFonts w:ascii="Verdana" w:hAnsi="Verdana"/>
                <w:sz w:val="18"/>
                <w:szCs w:val="18"/>
              </w:rPr>
              <w:t>Marin Carrera Clodomiro</w:t>
            </w:r>
          </w:p>
        </w:tc>
      </w:tr>
      <w:tr w:rsidR="00EA38F6" w:rsidRPr="000864AE" w14:paraId="0EFCEC73" w14:textId="77777777" w:rsidTr="00AC0C51">
        <w:trPr>
          <w:trHeight w:val="300"/>
        </w:trPr>
        <w:tc>
          <w:tcPr>
            <w:tcW w:w="668" w:type="dxa"/>
            <w:vAlign w:val="center"/>
            <w:hideMark/>
          </w:tcPr>
          <w:p w14:paraId="47F4312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356</w:t>
            </w:r>
          </w:p>
        </w:tc>
        <w:tc>
          <w:tcPr>
            <w:tcW w:w="3835" w:type="dxa"/>
            <w:vAlign w:val="center"/>
            <w:hideMark/>
          </w:tcPr>
          <w:p w14:paraId="7E0E8B24" w14:textId="77777777" w:rsidR="00EA38F6" w:rsidRPr="000864AE" w:rsidRDefault="00EA38F6" w:rsidP="000864AE">
            <w:pPr>
              <w:rPr>
                <w:rFonts w:ascii="Verdana" w:hAnsi="Verdana"/>
                <w:sz w:val="18"/>
                <w:szCs w:val="18"/>
              </w:rPr>
            </w:pPr>
            <w:r w:rsidRPr="000864AE">
              <w:rPr>
                <w:rFonts w:ascii="Verdana" w:hAnsi="Verdana"/>
                <w:sz w:val="18"/>
                <w:szCs w:val="18"/>
              </w:rPr>
              <w:t>Marmanillo Castro Walter</w:t>
            </w:r>
          </w:p>
        </w:tc>
      </w:tr>
      <w:tr w:rsidR="00EA38F6" w:rsidRPr="000864AE" w14:paraId="224C171C" w14:textId="77777777" w:rsidTr="00AC0C51">
        <w:trPr>
          <w:trHeight w:val="300"/>
        </w:trPr>
        <w:tc>
          <w:tcPr>
            <w:tcW w:w="668" w:type="dxa"/>
            <w:vAlign w:val="center"/>
            <w:hideMark/>
          </w:tcPr>
          <w:p w14:paraId="1807C1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357</w:t>
            </w:r>
          </w:p>
        </w:tc>
        <w:tc>
          <w:tcPr>
            <w:tcW w:w="3835" w:type="dxa"/>
            <w:vAlign w:val="center"/>
            <w:hideMark/>
          </w:tcPr>
          <w:p w14:paraId="7CA0077C" w14:textId="77777777" w:rsidR="00EA38F6" w:rsidRPr="000864AE" w:rsidRDefault="00EA38F6" w:rsidP="000864AE">
            <w:pPr>
              <w:rPr>
                <w:rFonts w:ascii="Verdana" w:hAnsi="Verdana"/>
                <w:sz w:val="18"/>
                <w:szCs w:val="18"/>
              </w:rPr>
            </w:pPr>
            <w:r w:rsidRPr="000864AE">
              <w:rPr>
                <w:rFonts w:ascii="Verdana" w:hAnsi="Verdana"/>
                <w:sz w:val="18"/>
                <w:szCs w:val="18"/>
              </w:rPr>
              <w:t>Márquez Morante María Delia</w:t>
            </w:r>
          </w:p>
        </w:tc>
      </w:tr>
      <w:tr w:rsidR="00EA38F6" w:rsidRPr="000864AE" w14:paraId="6B840E00" w14:textId="77777777" w:rsidTr="00AC0C51">
        <w:trPr>
          <w:trHeight w:val="300"/>
        </w:trPr>
        <w:tc>
          <w:tcPr>
            <w:tcW w:w="668" w:type="dxa"/>
            <w:vAlign w:val="center"/>
            <w:hideMark/>
          </w:tcPr>
          <w:p w14:paraId="5C1F58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358</w:t>
            </w:r>
          </w:p>
        </w:tc>
        <w:tc>
          <w:tcPr>
            <w:tcW w:w="3835" w:type="dxa"/>
            <w:vAlign w:val="center"/>
            <w:hideMark/>
          </w:tcPr>
          <w:p w14:paraId="399D8856" w14:textId="77777777" w:rsidR="00EA38F6" w:rsidRPr="000864AE" w:rsidRDefault="00EA38F6" w:rsidP="000864AE">
            <w:pPr>
              <w:rPr>
                <w:rFonts w:ascii="Verdana" w:hAnsi="Verdana"/>
                <w:sz w:val="18"/>
                <w:szCs w:val="18"/>
              </w:rPr>
            </w:pPr>
            <w:r w:rsidRPr="000864AE">
              <w:rPr>
                <w:rFonts w:ascii="Verdana" w:hAnsi="Verdana"/>
                <w:sz w:val="18"/>
                <w:szCs w:val="18"/>
              </w:rPr>
              <w:t>Márquez Vergara Jesús Antonio</w:t>
            </w:r>
          </w:p>
        </w:tc>
      </w:tr>
      <w:tr w:rsidR="00EA38F6" w:rsidRPr="000864AE" w14:paraId="413E9E4D" w14:textId="77777777" w:rsidTr="00AC0C51">
        <w:trPr>
          <w:trHeight w:val="300"/>
        </w:trPr>
        <w:tc>
          <w:tcPr>
            <w:tcW w:w="668" w:type="dxa"/>
            <w:vAlign w:val="center"/>
            <w:hideMark/>
          </w:tcPr>
          <w:p w14:paraId="441A102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359</w:t>
            </w:r>
          </w:p>
        </w:tc>
        <w:tc>
          <w:tcPr>
            <w:tcW w:w="3835" w:type="dxa"/>
            <w:vAlign w:val="center"/>
            <w:hideMark/>
          </w:tcPr>
          <w:p w14:paraId="36E9C530" w14:textId="77777777" w:rsidR="00EA38F6" w:rsidRPr="000864AE" w:rsidRDefault="00EA38F6" w:rsidP="000864AE">
            <w:pPr>
              <w:rPr>
                <w:rFonts w:ascii="Verdana" w:hAnsi="Verdana"/>
                <w:sz w:val="18"/>
                <w:szCs w:val="18"/>
              </w:rPr>
            </w:pPr>
            <w:r w:rsidRPr="000864AE">
              <w:rPr>
                <w:rFonts w:ascii="Verdana" w:hAnsi="Verdana"/>
                <w:sz w:val="18"/>
                <w:szCs w:val="18"/>
              </w:rPr>
              <w:t>Marro Ibarra Luis Ernesto Francisco</w:t>
            </w:r>
          </w:p>
        </w:tc>
      </w:tr>
      <w:tr w:rsidR="00EA38F6" w:rsidRPr="000864AE" w14:paraId="020F3677" w14:textId="77777777" w:rsidTr="00AC0C51">
        <w:trPr>
          <w:trHeight w:val="300"/>
        </w:trPr>
        <w:tc>
          <w:tcPr>
            <w:tcW w:w="668" w:type="dxa"/>
            <w:vAlign w:val="center"/>
            <w:hideMark/>
          </w:tcPr>
          <w:p w14:paraId="1A4BBDF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360</w:t>
            </w:r>
          </w:p>
        </w:tc>
        <w:tc>
          <w:tcPr>
            <w:tcW w:w="3835" w:type="dxa"/>
            <w:vAlign w:val="center"/>
            <w:hideMark/>
          </w:tcPr>
          <w:p w14:paraId="66C3D6AA" w14:textId="77777777" w:rsidR="00EA38F6" w:rsidRPr="000864AE" w:rsidRDefault="00EA38F6" w:rsidP="000864AE">
            <w:pPr>
              <w:rPr>
                <w:rFonts w:ascii="Verdana" w:hAnsi="Verdana"/>
                <w:sz w:val="18"/>
                <w:szCs w:val="18"/>
              </w:rPr>
            </w:pPr>
            <w:r w:rsidRPr="000864AE">
              <w:rPr>
                <w:rFonts w:ascii="Verdana" w:hAnsi="Verdana"/>
                <w:sz w:val="18"/>
                <w:szCs w:val="18"/>
              </w:rPr>
              <w:t>Martel López Carlos Orlando</w:t>
            </w:r>
          </w:p>
        </w:tc>
      </w:tr>
      <w:tr w:rsidR="00EA38F6" w:rsidRPr="000864AE" w14:paraId="29FD565B" w14:textId="77777777" w:rsidTr="00AC0C51">
        <w:trPr>
          <w:trHeight w:val="300"/>
        </w:trPr>
        <w:tc>
          <w:tcPr>
            <w:tcW w:w="668" w:type="dxa"/>
            <w:vAlign w:val="center"/>
            <w:hideMark/>
          </w:tcPr>
          <w:p w14:paraId="1CA92CA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361</w:t>
            </w:r>
          </w:p>
        </w:tc>
        <w:tc>
          <w:tcPr>
            <w:tcW w:w="3835" w:type="dxa"/>
            <w:vAlign w:val="center"/>
            <w:hideMark/>
          </w:tcPr>
          <w:p w14:paraId="2121D537" w14:textId="77777777" w:rsidR="00EA38F6" w:rsidRPr="000864AE" w:rsidRDefault="00EA38F6" w:rsidP="000864AE">
            <w:pPr>
              <w:rPr>
                <w:rFonts w:ascii="Verdana" w:hAnsi="Verdana"/>
                <w:sz w:val="18"/>
                <w:szCs w:val="18"/>
              </w:rPr>
            </w:pPr>
            <w:r w:rsidRPr="000864AE">
              <w:rPr>
                <w:rFonts w:ascii="Verdana" w:hAnsi="Verdana"/>
                <w:sz w:val="18"/>
                <w:szCs w:val="18"/>
              </w:rPr>
              <w:t>Martínez Luyo Pedro</w:t>
            </w:r>
          </w:p>
        </w:tc>
      </w:tr>
      <w:tr w:rsidR="00EA38F6" w:rsidRPr="000864AE" w14:paraId="2E7A8A81" w14:textId="77777777" w:rsidTr="00AC0C51">
        <w:trPr>
          <w:trHeight w:val="300"/>
        </w:trPr>
        <w:tc>
          <w:tcPr>
            <w:tcW w:w="668" w:type="dxa"/>
            <w:vAlign w:val="center"/>
            <w:hideMark/>
          </w:tcPr>
          <w:p w14:paraId="76E69D7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362</w:t>
            </w:r>
          </w:p>
        </w:tc>
        <w:tc>
          <w:tcPr>
            <w:tcW w:w="3835" w:type="dxa"/>
            <w:vAlign w:val="center"/>
            <w:hideMark/>
          </w:tcPr>
          <w:p w14:paraId="08332E0E" w14:textId="77777777" w:rsidR="00EA38F6" w:rsidRPr="000864AE" w:rsidRDefault="00EA38F6" w:rsidP="000864AE">
            <w:pPr>
              <w:rPr>
                <w:rFonts w:ascii="Verdana" w:hAnsi="Verdana"/>
                <w:sz w:val="18"/>
                <w:szCs w:val="18"/>
              </w:rPr>
            </w:pPr>
            <w:r w:rsidRPr="000864AE">
              <w:rPr>
                <w:rFonts w:ascii="Verdana" w:hAnsi="Verdana"/>
                <w:sz w:val="18"/>
                <w:szCs w:val="18"/>
              </w:rPr>
              <w:t>Martínez Poblete Ercilia</w:t>
            </w:r>
          </w:p>
        </w:tc>
      </w:tr>
      <w:tr w:rsidR="00EA38F6" w:rsidRPr="000864AE" w14:paraId="2EDB7DE8" w14:textId="77777777" w:rsidTr="00AC0C51">
        <w:trPr>
          <w:trHeight w:val="300"/>
        </w:trPr>
        <w:tc>
          <w:tcPr>
            <w:tcW w:w="668" w:type="dxa"/>
            <w:vAlign w:val="center"/>
            <w:hideMark/>
          </w:tcPr>
          <w:p w14:paraId="2E20524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363</w:t>
            </w:r>
          </w:p>
        </w:tc>
        <w:tc>
          <w:tcPr>
            <w:tcW w:w="3835" w:type="dxa"/>
            <w:vAlign w:val="center"/>
            <w:hideMark/>
          </w:tcPr>
          <w:p w14:paraId="29013859" w14:textId="77777777" w:rsidR="00EA38F6" w:rsidRPr="000864AE" w:rsidRDefault="00EA38F6" w:rsidP="000864AE">
            <w:pPr>
              <w:rPr>
                <w:rFonts w:ascii="Verdana" w:hAnsi="Verdana"/>
                <w:sz w:val="18"/>
                <w:szCs w:val="18"/>
              </w:rPr>
            </w:pPr>
            <w:r w:rsidRPr="000864AE">
              <w:rPr>
                <w:rFonts w:ascii="Verdana" w:hAnsi="Verdana"/>
                <w:sz w:val="18"/>
                <w:szCs w:val="18"/>
              </w:rPr>
              <w:t>Masías Yarleque Víctor</w:t>
            </w:r>
          </w:p>
        </w:tc>
      </w:tr>
      <w:tr w:rsidR="00EA38F6" w:rsidRPr="000864AE" w14:paraId="4B4658AE" w14:textId="77777777" w:rsidTr="00AC0C51">
        <w:trPr>
          <w:trHeight w:val="300"/>
        </w:trPr>
        <w:tc>
          <w:tcPr>
            <w:tcW w:w="668" w:type="dxa"/>
            <w:vAlign w:val="center"/>
            <w:hideMark/>
          </w:tcPr>
          <w:p w14:paraId="357A03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364</w:t>
            </w:r>
          </w:p>
        </w:tc>
        <w:tc>
          <w:tcPr>
            <w:tcW w:w="3835" w:type="dxa"/>
            <w:vAlign w:val="center"/>
            <w:hideMark/>
          </w:tcPr>
          <w:p w14:paraId="24E04867" w14:textId="77777777" w:rsidR="00EA38F6" w:rsidRPr="000864AE" w:rsidRDefault="00EA38F6" w:rsidP="000864AE">
            <w:pPr>
              <w:rPr>
                <w:rFonts w:ascii="Verdana" w:hAnsi="Verdana"/>
                <w:sz w:val="18"/>
                <w:szCs w:val="18"/>
              </w:rPr>
            </w:pPr>
            <w:r w:rsidRPr="000864AE">
              <w:rPr>
                <w:rFonts w:ascii="Verdana" w:hAnsi="Verdana"/>
                <w:sz w:val="18"/>
                <w:szCs w:val="18"/>
              </w:rPr>
              <w:t>Matías Aguirre Mario</w:t>
            </w:r>
          </w:p>
        </w:tc>
      </w:tr>
      <w:tr w:rsidR="00EA38F6" w:rsidRPr="000864AE" w14:paraId="0EA83F63" w14:textId="77777777" w:rsidTr="00AC0C51">
        <w:trPr>
          <w:trHeight w:val="300"/>
        </w:trPr>
        <w:tc>
          <w:tcPr>
            <w:tcW w:w="668" w:type="dxa"/>
            <w:vAlign w:val="center"/>
            <w:hideMark/>
          </w:tcPr>
          <w:p w14:paraId="64C4ED1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365</w:t>
            </w:r>
          </w:p>
        </w:tc>
        <w:tc>
          <w:tcPr>
            <w:tcW w:w="3835" w:type="dxa"/>
            <w:vAlign w:val="center"/>
            <w:hideMark/>
          </w:tcPr>
          <w:p w14:paraId="71C7878E" w14:textId="77777777" w:rsidR="00EA38F6" w:rsidRPr="000864AE" w:rsidRDefault="00EA38F6" w:rsidP="000864AE">
            <w:pPr>
              <w:rPr>
                <w:rFonts w:ascii="Verdana" w:hAnsi="Verdana"/>
                <w:sz w:val="18"/>
                <w:szCs w:val="18"/>
              </w:rPr>
            </w:pPr>
            <w:r w:rsidRPr="000864AE">
              <w:rPr>
                <w:rFonts w:ascii="Verdana" w:hAnsi="Verdana"/>
                <w:sz w:val="18"/>
                <w:szCs w:val="18"/>
              </w:rPr>
              <w:t>Matysek Icochea Vladimir</w:t>
            </w:r>
          </w:p>
        </w:tc>
      </w:tr>
      <w:tr w:rsidR="00EA38F6" w:rsidRPr="000864AE" w14:paraId="7E6D8507" w14:textId="77777777" w:rsidTr="00AC0C51">
        <w:trPr>
          <w:trHeight w:val="300"/>
        </w:trPr>
        <w:tc>
          <w:tcPr>
            <w:tcW w:w="668" w:type="dxa"/>
            <w:vAlign w:val="center"/>
            <w:hideMark/>
          </w:tcPr>
          <w:p w14:paraId="6794628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366</w:t>
            </w:r>
          </w:p>
        </w:tc>
        <w:tc>
          <w:tcPr>
            <w:tcW w:w="3835" w:type="dxa"/>
            <w:vAlign w:val="center"/>
            <w:hideMark/>
          </w:tcPr>
          <w:p w14:paraId="42958DCB" w14:textId="77777777" w:rsidR="00EA38F6" w:rsidRPr="000864AE" w:rsidRDefault="00EA38F6" w:rsidP="000864AE">
            <w:pPr>
              <w:rPr>
                <w:rFonts w:ascii="Verdana" w:hAnsi="Verdana"/>
                <w:sz w:val="18"/>
                <w:szCs w:val="18"/>
              </w:rPr>
            </w:pPr>
            <w:r w:rsidRPr="000864AE">
              <w:rPr>
                <w:rFonts w:ascii="Verdana" w:hAnsi="Verdana"/>
                <w:sz w:val="18"/>
                <w:szCs w:val="18"/>
              </w:rPr>
              <w:t>Mayhua Vía Gregorio</w:t>
            </w:r>
          </w:p>
        </w:tc>
      </w:tr>
      <w:tr w:rsidR="00EA38F6" w:rsidRPr="000864AE" w14:paraId="527AD5F8" w14:textId="77777777" w:rsidTr="00AC0C51">
        <w:trPr>
          <w:trHeight w:val="300"/>
        </w:trPr>
        <w:tc>
          <w:tcPr>
            <w:tcW w:w="668" w:type="dxa"/>
            <w:vAlign w:val="center"/>
            <w:hideMark/>
          </w:tcPr>
          <w:p w14:paraId="4A95470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367</w:t>
            </w:r>
          </w:p>
        </w:tc>
        <w:tc>
          <w:tcPr>
            <w:tcW w:w="3835" w:type="dxa"/>
            <w:vAlign w:val="center"/>
            <w:hideMark/>
          </w:tcPr>
          <w:p w14:paraId="5BD3413E" w14:textId="77777777" w:rsidR="00EA38F6" w:rsidRPr="000864AE" w:rsidRDefault="00EA38F6" w:rsidP="000864AE">
            <w:pPr>
              <w:rPr>
                <w:rFonts w:ascii="Verdana" w:hAnsi="Verdana"/>
                <w:sz w:val="18"/>
                <w:szCs w:val="18"/>
              </w:rPr>
            </w:pPr>
            <w:r w:rsidRPr="000864AE">
              <w:rPr>
                <w:rFonts w:ascii="Verdana" w:hAnsi="Verdana"/>
                <w:sz w:val="18"/>
                <w:szCs w:val="18"/>
              </w:rPr>
              <w:t>Mayorca Poma Pedro Manuel</w:t>
            </w:r>
          </w:p>
        </w:tc>
      </w:tr>
      <w:tr w:rsidR="00EA38F6" w:rsidRPr="000864AE" w14:paraId="2044D22E" w14:textId="77777777" w:rsidTr="00AC0C51">
        <w:trPr>
          <w:trHeight w:val="300"/>
        </w:trPr>
        <w:tc>
          <w:tcPr>
            <w:tcW w:w="668" w:type="dxa"/>
            <w:vAlign w:val="center"/>
            <w:hideMark/>
          </w:tcPr>
          <w:p w14:paraId="4D6F5A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368</w:t>
            </w:r>
          </w:p>
        </w:tc>
        <w:tc>
          <w:tcPr>
            <w:tcW w:w="3835" w:type="dxa"/>
            <w:vAlign w:val="center"/>
            <w:hideMark/>
          </w:tcPr>
          <w:p w14:paraId="43FEC7D3" w14:textId="77777777" w:rsidR="00EA38F6" w:rsidRPr="000864AE" w:rsidRDefault="00EA38F6" w:rsidP="000864AE">
            <w:pPr>
              <w:rPr>
                <w:rFonts w:ascii="Verdana" w:hAnsi="Verdana"/>
                <w:sz w:val="18"/>
                <w:szCs w:val="18"/>
              </w:rPr>
            </w:pPr>
            <w:r w:rsidRPr="000864AE">
              <w:rPr>
                <w:rFonts w:ascii="Verdana" w:hAnsi="Verdana"/>
                <w:sz w:val="18"/>
                <w:szCs w:val="18"/>
              </w:rPr>
              <w:t>Medina Aguirre Alberto Alejandro</w:t>
            </w:r>
          </w:p>
        </w:tc>
      </w:tr>
      <w:tr w:rsidR="00EA38F6" w:rsidRPr="000864AE" w14:paraId="3F86E4CE" w14:textId="77777777" w:rsidTr="00AC0C51">
        <w:trPr>
          <w:trHeight w:val="300"/>
        </w:trPr>
        <w:tc>
          <w:tcPr>
            <w:tcW w:w="668" w:type="dxa"/>
            <w:vAlign w:val="center"/>
            <w:hideMark/>
          </w:tcPr>
          <w:p w14:paraId="0B3FF11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369</w:t>
            </w:r>
          </w:p>
        </w:tc>
        <w:tc>
          <w:tcPr>
            <w:tcW w:w="3835" w:type="dxa"/>
            <w:vAlign w:val="center"/>
            <w:hideMark/>
          </w:tcPr>
          <w:p w14:paraId="2F112360" w14:textId="77777777" w:rsidR="00EA38F6" w:rsidRPr="000864AE" w:rsidRDefault="00EA38F6" w:rsidP="000864AE">
            <w:pPr>
              <w:rPr>
                <w:rFonts w:ascii="Verdana" w:hAnsi="Verdana"/>
                <w:sz w:val="18"/>
                <w:szCs w:val="18"/>
              </w:rPr>
            </w:pPr>
            <w:r w:rsidRPr="000864AE">
              <w:rPr>
                <w:rFonts w:ascii="Verdana" w:hAnsi="Verdana"/>
                <w:sz w:val="18"/>
                <w:szCs w:val="18"/>
              </w:rPr>
              <w:t>Medina Ayala Andrés</w:t>
            </w:r>
          </w:p>
        </w:tc>
      </w:tr>
      <w:tr w:rsidR="00EA38F6" w:rsidRPr="000864AE" w14:paraId="65B99DD2" w14:textId="77777777" w:rsidTr="00AC0C51">
        <w:trPr>
          <w:trHeight w:val="300"/>
        </w:trPr>
        <w:tc>
          <w:tcPr>
            <w:tcW w:w="668" w:type="dxa"/>
            <w:vAlign w:val="center"/>
            <w:hideMark/>
          </w:tcPr>
          <w:p w14:paraId="35047E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370</w:t>
            </w:r>
          </w:p>
        </w:tc>
        <w:tc>
          <w:tcPr>
            <w:tcW w:w="3835" w:type="dxa"/>
            <w:vAlign w:val="center"/>
            <w:hideMark/>
          </w:tcPr>
          <w:p w14:paraId="0884B252" w14:textId="77777777" w:rsidR="00EA38F6" w:rsidRPr="000864AE" w:rsidRDefault="00EA38F6" w:rsidP="000864AE">
            <w:pPr>
              <w:rPr>
                <w:rFonts w:ascii="Verdana" w:hAnsi="Verdana"/>
                <w:sz w:val="18"/>
                <w:szCs w:val="18"/>
              </w:rPr>
            </w:pPr>
            <w:r w:rsidRPr="000864AE">
              <w:rPr>
                <w:rFonts w:ascii="Verdana" w:hAnsi="Verdana"/>
                <w:sz w:val="18"/>
                <w:szCs w:val="18"/>
              </w:rPr>
              <w:t>Medina Chávez Bertha</w:t>
            </w:r>
          </w:p>
        </w:tc>
      </w:tr>
      <w:tr w:rsidR="00EA38F6" w:rsidRPr="000864AE" w14:paraId="4AF72661" w14:textId="77777777" w:rsidTr="00AC0C51">
        <w:trPr>
          <w:trHeight w:val="300"/>
        </w:trPr>
        <w:tc>
          <w:tcPr>
            <w:tcW w:w="668" w:type="dxa"/>
            <w:vAlign w:val="center"/>
            <w:hideMark/>
          </w:tcPr>
          <w:p w14:paraId="1CE87DA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371</w:t>
            </w:r>
          </w:p>
        </w:tc>
        <w:tc>
          <w:tcPr>
            <w:tcW w:w="3835" w:type="dxa"/>
            <w:vAlign w:val="center"/>
            <w:hideMark/>
          </w:tcPr>
          <w:p w14:paraId="1E29F70B" w14:textId="77777777" w:rsidR="00EA38F6" w:rsidRPr="000864AE" w:rsidRDefault="00EA38F6" w:rsidP="000864AE">
            <w:pPr>
              <w:rPr>
                <w:rFonts w:ascii="Verdana" w:hAnsi="Verdana"/>
                <w:sz w:val="18"/>
                <w:szCs w:val="18"/>
              </w:rPr>
            </w:pPr>
            <w:r w:rsidRPr="000864AE">
              <w:rPr>
                <w:rFonts w:ascii="Verdana" w:hAnsi="Verdana"/>
                <w:sz w:val="18"/>
                <w:szCs w:val="18"/>
              </w:rPr>
              <w:t>Medina De La Roca José</w:t>
            </w:r>
          </w:p>
        </w:tc>
      </w:tr>
      <w:tr w:rsidR="00EA38F6" w:rsidRPr="000864AE" w14:paraId="74F90A6C" w14:textId="77777777" w:rsidTr="00AC0C51">
        <w:trPr>
          <w:trHeight w:val="300"/>
        </w:trPr>
        <w:tc>
          <w:tcPr>
            <w:tcW w:w="668" w:type="dxa"/>
            <w:vAlign w:val="center"/>
            <w:hideMark/>
          </w:tcPr>
          <w:p w14:paraId="068838B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372</w:t>
            </w:r>
          </w:p>
        </w:tc>
        <w:tc>
          <w:tcPr>
            <w:tcW w:w="3835" w:type="dxa"/>
            <w:vAlign w:val="center"/>
            <w:hideMark/>
          </w:tcPr>
          <w:p w14:paraId="32F4D0BF" w14:textId="77777777" w:rsidR="00EA38F6" w:rsidRPr="000864AE" w:rsidRDefault="00EA38F6" w:rsidP="000864AE">
            <w:pPr>
              <w:rPr>
                <w:rFonts w:ascii="Verdana" w:hAnsi="Verdana"/>
                <w:sz w:val="18"/>
                <w:szCs w:val="18"/>
              </w:rPr>
            </w:pPr>
            <w:r w:rsidRPr="000864AE">
              <w:rPr>
                <w:rFonts w:ascii="Verdana" w:hAnsi="Verdana"/>
                <w:sz w:val="18"/>
                <w:szCs w:val="18"/>
              </w:rPr>
              <w:t>Medina Del Río Evorcio Claver</w:t>
            </w:r>
          </w:p>
        </w:tc>
      </w:tr>
      <w:tr w:rsidR="00EA38F6" w:rsidRPr="000864AE" w14:paraId="35D87CB8" w14:textId="77777777" w:rsidTr="00AC0C51">
        <w:trPr>
          <w:trHeight w:val="300"/>
        </w:trPr>
        <w:tc>
          <w:tcPr>
            <w:tcW w:w="668" w:type="dxa"/>
            <w:vAlign w:val="center"/>
            <w:hideMark/>
          </w:tcPr>
          <w:p w14:paraId="1111C5A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373</w:t>
            </w:r>
          </w:p>
        </w:tc>
        <w:tc>
          <w:tcPr>
            <w:tcW w:w="3835" w:type="dxa"/>
            <w:vAlign w:val="center"/>
            <w:hideMark/>
          </w:tcPr>
          <w:p w14:paraId="71D93BD0" w14:textId="77777777" w:rsidR="00EA38F6" w:rsidRPr="000864AE" w:rsidRDefault="00EA38F6" w:rsidP="000864AE">
            <w:pPr>
              <w:rPr>
                <w:rFonts w:ascii="Verdana" w:hAnsi="Verdana"/>
                <w:sz w:val="18"/>
                <w:szCs w:val="18"/>
              </w:rPr>
            </w:pPr>
            <w:r w:rsidRPr="000864AE">
              <w:rPr>
                <w:rFonts w:ascii="Verdana" w:hAnsi="Verdana"/>
                <w:sz w:val="18"/>
                <w:szCs w:val="18"/>
              </w:rPr>
              <w:t>Medrano Tito Evangelina</w:t>
            </w:r>
          </w:p>
        </w:tc>
      </w:tr>
      <w:tr w:rsidR="00EA38F6" w:rsidRPr="000864AE" w14:paraId="0DE093E7" w14:textId="77777777" w:rsidTr="00AC0C51">
        <w:trPr>
          <w:trHeight w:val="300"/>
        </w:trPr>
        <w:tc>
          <w:tcPr>
            <w:tcW w:w="668" w:type="dxa"/>
            <w:vAlign w:val="center"/>
            <w:hideMark/>
          </w:tcPr>
          <w:p w14:paraId="4D3576E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374</w:t>
            </w:r>
          </w:p>
        </w:tc>
        <w:tc>
          <w:tcPr>
            <w:tcW w:w="3835" w:type="dxa"/>
            <w:vAlign w:val="center"/>
            <w:hideMark/>
          </w:tcPr>
          <w:p w14:paraId="171EA65A" w14:textId="77777777" w:rsidR="00EA38F6" w:rsidRPr="000864AE" w:rsidRDefault="00EA38F6" w:rsidP="000864AE">
            <w:pPr>
              <w:rPr>
                <w:rFonts w:ascii="Verdana" w:hAnsi="Verdana"/>
                <w:sz w:val="18"/>
                <w:szCs w:val="18"/>
              </w:rPr>
            </w:pPr>
            <w:r w:rsidRPr="000864AE">
              <w:rPr>
                <w:rFonts w:ascii="Verdana" w:hAnsi="Verdana"/>
                <w:sz w:val="18"/>
                <w:szCs w:val="18"/>
              </w:rPr>
              <w:t>Melgar Medina Gil Francisco</w:t>
            </w:r>
          </w:p>
        </w:tc>
      </w:tr>
      <w:tr w:rsidR="00EA38F6" w:rsidRPr="000864AE" w14:paraId="48D8ED56" w14:textId="77777777" w:rsidTr="00AC0C51">
        <w:trPr>
          <w:trHeight w:val="300"/>
        </w:trPr>
        <w:tc>
          <w:tcPr>
            <w:tcW w:w="668" w:type="dxa"/>
            <w:vAlign w:val="center"/>
            <w:hideMark/>
          </w:tcPr>
          <w:p w14:paraId="7B96CA2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375</w:t>
            </w:r>
          </w:p>
        </w:tc>
        <w:tc>
          <w:tcPr>
            <w:tcW w:w="3835" w:type="dxa"/>
            <w:vAlign w:val="center"/>
            <w:hideMark/>
          </w:tcPr>
          <w:p w14:paraId="62D60DB6" w14:textId="77777777" w:rsidR="00EA38F6" w:rsidRPr="000864AE" w:rsidRDefault="00EA38F6" w:rsidP="000864AE">
            <w:pPr>
              <w:rPr>
                <w:rFonts w:ascii="Verdana" w:hAnsi="Verdana"/>
                <w:sz w:val="18"/>
                <w:szCs w:val="18"/>
              </w:rPr>
            </w:pPr>
            <w:r w:rsidRPr="000864AE">
              <w:rPr>
                <w:rFonts w:ascii="Verdana" w:hAnsi="Verdana"/>
                <w:sz w:val="18"/>
                <w:szCs w:val="18"/>
              </w:rPr>
              <w:t>Mendoza Linares Luis Enrique</w:t>
            </w:r>
          </w:p>
        </w:tc>
      </w:tr>
      <w:tr w:rsidR="00EA38F6" w:rsidRPr="000864AE" w14:paraId="7AED1789" w14:textId="77777777" w:rsidTr="00AC0C51">
        <w:trPr>
          <w:trHeight w:val="300"/>
        </w:trPr>
        <w:tc>
          <w:tcPr>
            <w:tcW w:w="668" w:type="dxa"/>
            <w:vAlign w:val="center"/>
            <w:hideMark/>
          </w:tcPr>
          <w:p w14:paraId="4515DD8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376</w:t>
            </w:r>
          </w:p>
        </w:tc>
        <w:tc>
          <w:tcPr>
            <w:tcW w:w="3835" w:type="dxa"/>
            <w:vAlign w:val="center"/>
            <w:hideMark/>
          </w:tcPr>
          <w:p w14:paraId="72DF487F" w14:textId="77777777" w:rsidR="00EA38F6" w:rsidRPr="000864AE" w:rsidRDefault="00EA38F6" w:rsidP="000864AE">
            <w:pPr>
              <w:rPr>
                <w:rFonts w:ascii="Verdana" w:hAnsi="Verdana"/>
                <w:sz w:val="18"/>
                <w:szCs w:val="18"/>
              </w:rPr>
            </w:pPr>
            <w:r w:rsidRPr="000864AE">
              <w:rPr>
                <w:rFonts w:ascii="Verdana" w:hAnsi="Verdana"/>
                <w:sz w:val="18"/>
                <w:szCs w:val="18"/>
              </w:rPr>
              <w:t>Mendoza Puppi Julia Josefina</w:t>
            </w:r>
          </w:p>
        </w:tc>
      </w:tr>
      <w:tr w:rsidR="00EA38F6" w:rsidRPr="000864AE" w14:paraId="329F5221" w14:textId="77777777" w:rsidTr="00AC0C51">
        <w:trPr>
          <w:trHeight w:val="300"/>
        </w:trPr>
        <w:tc>
          <w:tcPr>
            <w:tcW w:w="668" w:type="dxa"/>
            <w:vAlign w:val="center"/>
            <w:hideMark/>
          </w:tcPr>
          <w:p w14:paraId="74ACD61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377</w:t>
            </w:r>
          </w:p>
        </w:tc>
        <w:tc>
          <w:tcPr>
            <w:tcW w:w="3835" w:type="dxa"/>
            <w:vAlign w:val="center"/>
            <w:hideMark/>
          </w:tcPr>
          <w:p w14:paraId="259DD273" w14:textId="77777777" w:rsidR="00EA38F6" w:rsidRPr="000864AE" w:rsidRDefault="00EA38F6" w:rsidP="000864AE">
            <w:pPr>
              <w:rPr>
                <w:rFonts w:ascii="Verdana" w:hAnsi="Verdana"/>
                <w:sz w:val="18"/>
                <w:szCs w:val="18"/>
              </w:rPr>
            </w:pPr>
            <w:r w:rsidRPr="000864AE">
              <w:rPr>
                <w:rFonts w:ascii="Verdana" w:hAnsi="Verdana"/>
                <w:sz w:val="18"/>
                <w:szCs w:val="18"/>
              </w:rPr>
              <w:t>Mendoza Puppi Rosa Amelia</w:t>
            </w:r>
          </w:p>
        </w:tc>
      </w:tr>
      <w:tr w:rsidR="00EA38F6" w:rsidRPr="000864AE" w14:paraId="3B8F2530" w14:textId="77777777" w:rsidTr="00AC0C51">
        <w:trPr>
          <w:trHeight w:val="300"/>
        </w:trPr>
        <w:tc>
          <w:tcPr>
            <w:tcW w:w="668" w:type="dxa"/>
            <w:vAlign w:val="center"/>
            <w:hideMark/>
          </w:tcPr>
          <w:p w14:paraId="251E995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378</w:t>
            </w:r>
          </w:p>
        </w:tc>
        <w:tc>
          <w:tcPr>
            <w:tcW w:w="3835" w:type="dxa"/>
            <w:vAlign w:val="center"/>
            <w:hideMark/>
          </w:tcPr>
          <w:p w14:paraId="21EDD19C" w14:textId="77777777" w:rsidR="00EA38F6" w:rsidRPr="000864AE" w:rsidRDefault="00EA38F6" w:rsidP="000864AE">
            <w:pPr>
              <w:rPr>
                <w:rFonts w:ascii="Verdana" w:hAnsi="Verdana"/>
                <w:sz w:val="18"/>
                <w:szCs w:val="18"/>
              </w:rPr>
            </w:pPr>
            <w:r w:rsidRPr="000864AE">
              <w:rPr>
                <w:rFonts w:ascii="Verdana" w:hAnsi="Verdana"/>
                <w:sz w:val="18"/>
                <w:szCs w:val="18"/>
              </w:rPr>
              <w:t>Mendoza Yareta Andrés Jesús</w:t>
            </w:r>
          </w:p>
        </w:tc>
      </w:tr>
      <w:tr w:rsidR="00EA38F6" w:rsidRPr="000864AE" w14:paraId="2592A306" w14:textId="77777777" w:rsidTr="00AC0C51">
        <w:trPr>
          <w:trHeight w:val="300"/>
        </w:trPr>
        <w:tc>
          <w:tcPr>
            <w:tcW w:w="668" w:type="dxa"/>
            <w:vAlign w:val="center"/>
            <w:hideMark/>
          </w:tcPr>
          <w:p w14:paraId="7D92824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379</w:t>
            </w:r>
          </w:p>
        </w:tc>
        <w:tc>
          <w:tcPr>
            <w:tcW w:w="3835" w:type="dxa"/>
            <w:vAlign w:val="center"/>
            <w:hideMark/>
          </w:tcPr>
          <w:p w14:paraId="789C771E" w14:textId="77777777" w:rsidR="00EA38F6" w:rsidRPr="000864AE" w:rsidRDefault="00EA38F6" w:rsidP="000864AE">
            <w:pPr>
              <w:rPr>
                <w:rFonts w:ascii="Verdana" w:hAnsi="Verdana"/>
                <w:sz w:val="18"/>
                <w:szCs w:val="18"/>
              </w:rPr>
            </w:pPr>
            <w:r w:rsidRPr="000864AE">
              <w:rPr>
                <w:rFonts w:ascii="Verdana" w:hAnsi="Verdana"/>
                <w:sz w:val="18"/>
                <w:szCs w:val="18"/>
              </w:rPr>
              <w:t>Mera Zavaleta José Francisco</w:t>
            </w:r>
          </w:p>
        </w:tc>
      </w:tr>
      <w:tr w:rsidR="00EA38F6" w:rsidRPr="000864AE" w14:paraId="4553198C" w14:textId="77777777" w:rsidTr="00AC0C51">
        <w:trPr>
          <w:trHeight w:val="300"/>
        </w:trPr>
        <w:tc>
          <w:tcPr>
            <w:tcW w:w="668" w:type="dxa"/>
            <w:vAlign w:val="center"/>
            <w:hideMark/>
          </w:tcPr>
          <w:p w14:paraId="0584F10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380</w:t>
            </w:r>
          </w:p>
        </w:tc>
        <w:tc>
          <w:tcPr>
            <w:tcW w:w="3835" w:type="dxa"/>
            <w:vAlign w:val="center"/>
            <w:hideMark/>
          </w:tcPr>
          <w:p w14:paraId="581F56D5" w14:textId="77777777" w:rsidR="00EA38F6" w:rsidRPr="000864AE" w:rsidRDefault="00EA38F6" w:rsidP="000864AE">
            <w:pPr>
              <w:rPr>
                <w:rFonts w:ascii="Verdana" w:hAnsi="Verdana"/>
                <w:sz w:val="18"/>
                <w:szCs w:val="18"/>
              </w:rPr>
            </w:pPr>
            <w:r w:rsidRPr="000864AE">
              <w:rPr>
                <w:rFonts w:ascii="Verdana" w:hAnsi="Verdana"/>
                <w:sz w:val="18"/>
                <w:szCs w:val="18"/>
              </w:rPr>
              <w:t>Mescua Bonifacio Esther Primitiva</w:t>
            </w:r>
          </w:p>
        </w:tc>
      </w:tr>
      <w:tr w:rsidR="00EA38F6" w:rsidRPr="000864AE" w14:paraId="294D681F" w14:textId="77777777" w:rsidTr="00AC0C51">
        <w:trPr>
          <w:trHeight w:val="270"/>
        </w:trPr>
        <w:tc>
          <w:tcPr>
            <w:tcW w:w="668" w:type="dxa"/>
            <w:vAlign w:val="center"/>
            <w:hideMark/>
          </w:tcPr>
          <w:p w14:paraId="2007E67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381</w:t>
            </w:r>
          </w:p>
        </w:tc>
        <w:tc>
          <w:tcPr>
            <w:tcW w:w="3835" w:type="dxa"/>
            <w:vAlign w:val="center"/>
            <w:hideMark/>
          </w:tcPr>
          <w:p w14:paraId="6A21AF42" w14:textId="77777777" w:rsidR="00EA38F6" w:rsidRPr="000864AE" w:rsidRDefault="00EA38F6" w:rsidP="000864AE">
            <w:pPr>
              <w:rPr>
                <w:rFonts w:ascii="Verdana" w:hAnsi="Verdana"/>
                <w:sz w:val="18"/>
                <w:szCs w:val="18"/>
              </w:rPr>
            </w:pPr>
            <w:r w:rsidRPr="000864AE">
              <w:rPr>
                <w:rFonts w:ascii="Verdana" w:hAnsi="Verdana"/>
                <w:sz w:val="18"/>
                <w:szCs w:val="18"/>
              </w:rPr>
              <w:t xml:space="preserve">Mesones Carmona Virginia Victoria </w:t>
            </w:r>
          </w:p>
        </w:tc>
      </w:tr>
      <w:tr w:rsidR="00EA38F6" w:rsidRPr="000864AE" w14:paraId="75CB86BD" w14:textId="77777777" w:rsidTr="00AC0C51">
        <w:trPr>
          <w:trHeight w:val="300"/>
        </w:trPr>
        <w:tc>
          <w:tcPr>
            <w:tcW w:w="668" w:type="dxa"/>
            <w:vAlign w:val="center"/>
            <w:hideMark/>
          </w:tcPr>
          <w:p w14:paraId="19A02B6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382</w:t>
            </w:r>
          </w:p>
        </w:tc>
        <w:tc>
          <w:tcPr>
            <w:tcW w:w="3835" w:type="dxa"/>
            <w:vAlign w:val="center"/>
            <w:hideMark/>
          </w:tcPr>
          <w:p w14:paraId="30ACF1F8" w14:textId="77777777" w:rsidR="00EA38F6" w:rsidRPr="000864AE" w:rsidRDefault="00EA38F6" w:rsidP="000864AE">
            <w:pPr>
              <w:rPr>
                <w:rFonts w:ascii="Verdana" w:hAnsi="Verdana"/>
                <w:sz w:val="18"/>
                <w:szCs w:val="18"/>
              </w:rPr>
            </w:pPr>
            <w:r w:rsidRPr="000864AE">
              <w:rPr>
                <w:rFonts w:ascii="Verdana" w:hAnsi="Verdana"/>
                <w:sz w:val="18"/>
                <w:szCs w:val="18"/>
              </w:rPr>
              <w:t>Mesones Núñez Ana Emperatriz</w:t>
            </w:r>
          </w:p>
        </w:tc>
      </w:tr>
      <w:tr w:rsidR="00EA38F6" w:rsidRPr="000864AE" w14:paraId="14D9EC70" w14:textId="77777777" w:rsidTr="00AC0C51">
        <w:trPr>
          <w:trHeight w:val="300"/>
        </w:trPr>
        <w:tc>
          <w:tcPr>
            <w:tcW w:w="668" w:type="dxa"/>
            <w:vAlign w:val="center"/>
            <w:hideMark/>
          </w:tcPr>
          <w:p w14:paraId="1BFD041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383</w:t>
            </w:r>
          </w:p>
        </w:tc>
        <w:tc>
          <w:tcPr>
            <w:tcW w:w="3835" w:type="dxa"/>
            <w:vAlign w:val="center"/>
            <w:hideMark/>
          </w:tcPr>
          <w:p w14:paraId="54928A8B" w14:textId="77777777" w:rsidR="00EA38F6" w:rsidRPr="000864AE" w:rsidRDefault="00EA38F6" w:rsidP="000864AE">
            <w:pPr>
              <w:rPr>
                <w:rFonts w:ascii="Verdana" w:hAnsi="Verdana"/>
                <w:sz w:val="18"/>
                <w:szCs w:val="18"/>
              </w:rPr>
            </w:pPr>
            <w:r w:rsidRPr="000864AE">
              <w:rPr>
                <w:rFonts w:ascii="Verdana" w:hAnsi="Verdana"/>
                <w:sz w:val="18"/>
                <w:szCs w:val="18"/>
              </w:rPr>
              <w:t>Meza Suárez Beltrán Abraham</w:t>
            </w:r>
          </w:p>
        </w:tc>
      </w:tr>
      <w:tr w:rsidR="00EA38F6" w:rsidRPr="000864AE" w14:paraId="7CDCF950" w14:textId="77777777" w:rsidTr="00AC0C51">
        <w:trPr>
          <w:trHeight w:val="300"/>
        </w:trPr>
        <w:tc>
          <w:tcPr>
            <w:tcW w:w="668" w:type="dxa"/>
            <w:vAlign w:val="center"/>
            <w:hideMark/>
          </w:tcPr>
          <w:p w14:paraId="0750346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384</w:t>
            </w:r>
          </w:p>
        </w:tc>
        <w:tc>
          <w:tcPr>
            <w:tcW w:w="3835" w:type="dxa"/>
            <w:vAlign w:val="center"/>
            <w:hideMark/>
          </w:tcPr>
          <w:p w14:paraId="2AF7BB66" w14:textId="77777777" w:rsidR="00EA38F6" w:rsidRPr="000864AE" w:rsidRDefault="00EA38F6" w:rsidP="000864AE">
            <w:pPr>
              <w:rPr>
                <w:rFonts w:ascii="Verdana" w:hAnsi="Verdana"/>
                <w:sz w:val="18"/>
                <w:szCs w:val="18"/>
              </w:rPr>
            </w:pPr>
            <w:r w:rsidRPr="000864AE">
              <w:rPr>
                <w:rFonts w:ascii="Verdana" w:hAnsi="Verdana"/>
                <w:sz w:val="18"/>
                <w:szCs w:val="18"/>
              </w:rPr>
              <w:t>Milla Figueroa Eduardo Gamaniel</w:t>
            </w:r>
          </w:p>
        </w:tc>
      </w:tr>
      <w:tr w:rsidR="00EA38F6" w:rsidRPr="000864AE" w14:paraId="3E777A4F" w14:textId="77777777" w:rsidTr="00AC0C51">
        <w:trPr>
          <w:trHeight w:val="285"/>
        </w:trPr>
        <w:tc>
          <w:tcPr>
            <w:tcW w:w="668" w:type="dxa"/>
            <w:vAlign w:val="center"/>
            <w:hideMark/>
          </w:tcPr>
          <w:p w14:paraId="44557A4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385</w:t>
            </w:r>
          </w:p>
        </w:tc>
        <w:tc>
          <w:tcPr>
            <w:tcW w:w="3835" w:type="dxa"/>
            <w:vAlign w:val="center"/>
            <w:hideMark/>
          </w:tcPr>
          <w:p w14:paraId="1E40FEB0" w14:textId="77777777" w:rsidR="00EA38F6" w:rsidRPr="000864AE" w:rsidRDefault="00EA38F6" w:rsidP="000864AE">
            <w:pPr>
              <w:rPr>
                <w:rFonts w:ascii="Verdana" w:hAnsi="Verdana"/>
                <w:sz w:val="18"/>
                <w:szCs w:val="18"/>
              </w:rPr>
            </w:pPr>
            <w:r w:rsidRPr="000864AE">
              <w:rPr>
                <w:rFonts w:ascii="Verdana" w:hAnsi="Verdana"/>
                <w:sz w:val="18"/>
                <w:szCs w:val="18"/>
              </w:rPr>
              <w:t>Millones Mateo Luis Antonio Pedro</w:t>
            </w:r>
          </w:p>
        </w:tc>
      </w:tr>
      <w:tr w:rsidR="00EA38F6" w:rsidRPr="000864AE" w14:paraId="1E9853B0" w14:textId="77777777" w:rsidTr="00AC0C51">
        <w:trPr>
          <w:trHeight w:val="300"/>
        </w:trPr>
        <w:tc>
          <w:tcPr>
            <w:tcW w:w="668" w:type="dxa"/>
            <w:vAlign w:val="center"/>
            <w:hideMark/>
          </w:tcPr>
          <w:p w14:paraId="089BF06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386</w:t>
            </w:r>
          </w:p>
        </w:tc>
        <w:tc>
          <w:tcPr>
            <w:tcW w:w="3835" w:type="dxa"/>
            <w:vAlign w:val="center"/>
            <w:hideMark/>
          </w:tcPr>
          <w:p w14:paraId="6162991A" w14:textId="77777777" w:rsidR="00EA38F6" w:rsidRPr="000864AE" w:rsidRDefault="00EA38F6" w:rsidP="000864AE">
            <w:pPr>
              <w:rPr>
                <w:rFonts w:ascii="Verdana" w:hAnsi="Verdana"/>
                <w:sz w:val="18"/>
                <w:szCs w:val="18"/>
              </w:rPr>
            </w:pPr>
            <w:r w:rsidRPr="000864AE">
              <w:rPr>
                <w:rFonts w:ascii="Verdana" w:hAnsi="Verdana"/>
                <w:sz w:val="18"/>
                <w:szCs w:val="18"/>
              </w:rPr>
              <w:t>Miranda Coronel Weissen</w:t>
            </w:r>
          </w:p>
        </w:tc>
      </w:tr>
      <w:tr w:rsidR="00EA38F6" w:rsidRPr="000864AE" w14:paraId="3AC86768" w14:textId="77777777" w:rsidTr="00AC0C51">
        <w:trPr>
          <w:trHeight w:val="300"/>
        </w:trPr>
        <w:tc>
          <w:tcPr>
            <w:tcW w:w="668" w:type="dxa"/>
            <w:vAlign w:val="center"/>
            <w:hideMark/>
          </w:tcPr>
          <w:p w14:paraId="54CF473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387</w:t>
            </w:r>
          </w:p>
        </w:tc>
        <w:tc>
          <w:tcPr>
            <w:tcW w:w="3835" w:type="dxa"/>
            <w:vAlign w:val="center"/>
            <w:hideMark/>
          </w:tcPr>
          <w:p w14:paraId="2EEC5011" w14:textId="77777777" w:rsidR="00EA38F6" w:rsidRPr="000864AE" w:rsidRDefault="00EA38F6" w:rsidP="000864AE">
            <w:pPr>
              <w:rPr>
                <w:rFonts w:ascii="Verdana" w:hAnsi="Verdana"/>
                <w:sz w:val="18"/>
                <w:szCs w:val="18"/>
              </w:rPr>
            </w:pPr>
            <w:r w:rsidRPr="000864AE">
              <w:rPr>
                <w:rFonts w:ascii="Verdana" w:hAnsi="Verdana"/>
                <w:sz w:val="18"/>
                <w:szCs w:val="18"/>
              </w:rPr>
              <w:t xml:space="preserve">Miranda Fontana Manuel Jesús </w:t>
            </w:r>
          </w:p>
        </w:tc>
      </w:tr>
      <w:tr w:rsidR="00EA38F6" w:rsidRPr="000864AE" w14:paraId="0A759224" w14:textId="77777777" w:rsidTr="00AC0C51">
        <w:trPr>
          <w:trHeight w:val="300"/>
        </w:trPr>
        <w:tc>
          <w:tcPr>
            <w:tcW w:w="668" w:type="dxa"/>
            <w:vAlign w:val="center"/>
            <w:hideMark/>
          </w:tcPr>
          <w:p w14:paraId="3533C2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388</w:t>
            </w:r>
          </w:p>
        </w:tc>
        <w:tc>
          <w:tcPr>
            <w:tcW w:w="3835" w:type="dxa"/>
            <w:vAlign w:val="center"/>
            <w:hideMark/>
          </w:tcPr>
          <w:p w14:paraId="1DB38156" w14:textId="77777777" w:rsidR="00EA38F6" w:rsidRPr="000864AE" w:rsidRDefault="00EA38F6" w:rsidP="000864AE">
            <w:pPr>
              <w:rPr>
                <w:rFonts w:ascii="Verdana" w:hAnsi="Verdana"/>
                <w:sz w:val="18"/>
                <w:szCs w:val="18"/>
              </w:rPr>
            </w:pPr>
            <w:r w:rsidRPr="000864AE">
              <w:rPr>
                <w:rFonts w:ascii="Verdana" w:hAnsi="Verdana"/>
                <w:sz w:val="18"/>
                <w:szCs w:val="18"/>
              </w:rPr>
              <w:t>Miranda Sánchez Gloria Isabel</w:t>
            </w:r>
          </w:p>
        </w:tc>
      </w:tr>
      <w:tr w:rsidR="00EA38F6" w:rsidRPr="000864AE" w14:paraId="088F7085" w14:textId="77777777" w:rsidTr="00AC0C51">
        <w:trPr>
          <w:trHeight w:val="300"/>
        </w:trPr>
        <w:tc>
          <w:tcPr>
            <w:tcW w:w="668" w:type="dxa"/>
            <w:vAlign w:val="center"/>
            <w:hideMark/>
          </w:tcPr>
          <w:p w14:paraId="5B74370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389</w:t>
            </w:r>
          </w:p>
        </w:tc>
        <w:tc>
          <w:tcPr>
            <w:tcW w:w="3835" w:type="dxa"/>
            <w:vAlign w:val="center"/>
            <w:hideMark/>
          </w:tcPr>
          <w:p w14:paraId="146F2FF4" w14:textId="77777777" w:rsidR="00EA38F6" w:rsidRPr="000864AE" w:rsidRDefault="00EA38F6" w:rsidP="000864AE">
            <w:pPr>
              <w:rPr>
                <w:rFonts w:ascii="Verdana" w:hAnsi="Verdana"/>
                <w:sz w:val="18"/>
                <w:szCs w:val="18"/>
              </w:rPr>
            </w:pPr>
            <w:r w:rsidRPr="000864AE">
              <w:rPr>
                <w:rFonts w:ascii="Verdana" w:hAnsi="Verdana"/>
                <w:sz w:val="18"/>
                <w:szCs w:val="18"/>
              </w:rPr>
              <w:t>Misajel Yupanqui Jesús Bacilio</w:t>
            </w:r>
          </w:p>
        </w:tc>
      </w:tr>
      <w:tr w:rsidR="00EA38F6" w:rsidRPr="000864AE" w14:paraId="10D193EE" w14:textId="77777777" w:rsidTr="00AC0C51">
        <w:trPr>
          <w:trHeight w:val="300"/>
        </w:trPr>
        <w:tc>
          <w:tcPr>
            <w:tcW w:w="668" w:type="dxa"/>
            <w:vAlign w:val="center"/>
            <w:hideMark/>
          </w:tcPr>
          <w:p w14:paraId="01DC5F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390</w:t>
            </w:r>
          </w:p>
        </w:tc>
        <w:tc>
          <w:tcPr>
            <w:tcW w:w="3835" w:type="dxa"/>
            <w:vAlign w:val="center"/>
            <w:hideMark/>
          </w:tcPr>
          <w:p w14:paraId="7E51525C" w14:textId="77777777" w:rsidR="00EA38F6" w:rsidRPr="000864AE" w:rsidRDefault="00EA38F6" w:rsidP="000864AE">
            <w:pPr>
              <w:rPr>
                <w:rFonts w:ascii="Verdana" w:hAnsi="Verdana"/>
                <w:sz w:val="18"/>
                <w:szCs w:val="18"/>
              </w:rPr>
            </w:pPr>
            <w:r w:rsidRPr="000864AE">
              <w:rPr>
                <w:rFonts w:ascii="Verdana" w:hAnsi="Verdana"/>
                <w:sz w:val="18"/>
                <w:szCs w:val="18"/>
              </w:rPr>
              <w:t>Mogollón Pérez Wilfredo</w:t>
            </w:r>
          </w:p>
        </w:tc>
      </w:tr>
      <w:tr w:rsidR="00EA38F6" w:rsidRPr="000864AE" w14:paraId="5E1C5AF8" w14:textId="77777777" w:rsidTr="00AC0C51">
        <w:trPr>
          <w:trHeight w:val="300"/>
        </w:trPr>
        <w:tc>
          <w:tcPr>
            <w:tcW w:w="668" w:type="dxa"/>
            <w:vAlign w:val="center"/>
            <w:hideMark/>
          </w:tcPr>
          <w:p w14:paraId="5324C94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391</w:t>
            </w:r>
          </w:p>
        </w:tc>
        <w:tc>
          <w:tcPr>
            <w:tcW w:w="3835" w:type="dxa"/>
            <w:vAlign w:val="center"/>
            <w:hideMark/>
          </w:tcPr>
          <w:p w14:paraId="454AB55C" w14:textId="77777777" w:rsidR="00EA38F6" w:rsidRPr="000864AE" w:rsidRDefault="00EA38F6" w:rsidP="000864AE">
            <w:pPr>
              <w:rPr>
                <w:rFonts w:ascii="Verdana" w:hAnsi="Verdana"/>
                <w:sz w:val="18"/>
                <w:szCs w:val="18"/>
              </w:rPr>
            </w:pPr>
            <w:r w:rsidRPr="000864AE">
              <w:rPr>
                <w:rFonts w:ascii="Verdana" w:hAnsi="Verdana"/>
                <w:sz w:val="18"/>
                <w:szCs w:val="18"/>
              </w:rPr>
              <w:t>Mondoñedo Valle Rosa María Jesús</w:t>
            </w:r>
          </w:p>
        </w:tc>
      </w:tr>
      <w:tr w:rsidR="00EA38F6" w:rsidRPr="000864AE" w14:paraId="0951AFC5" w14:textId="77777777" w:rsidTr="00AC0C51">
        <w:trPr>
          <w:trHeight w:val="300"/>
        </w:trPr>
        <w:tc>
          <w:tcPr>
            <w:tcW w:w="668" w:type="dxa"/>
            <w:vAlign w:val="center"/>
            <w:hideMark/>
          </w:tcPr>
          <w:p w14:paraId="00DAC00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392</w:t>
            </w:r>
          </w:p>
        </w:tc>
        <w:tc>
          <w:tcPr>
            <w:tcW w:w="3835" w:type="dxa"/>
            <w:vAlign w:val="center"/>
            <w:hideMark/>
          </w:tcPr>
          <w:p w14:paraId="63067209" w14:textId="77777777" w:rsidR="00EA38F6" w:rsidRPr="000864AE" w:rsidRDefault="00EA38F6" w:rsidP="000864AE">
            <w:pPr>
              <w:rPr>
                <w:rFonts w:ascii="Verdana" w:hAnsi="Verdana"/>
                <w:sz w:val="18"/>
                <w:szCs w:val="18"/>
              </w:rPr>
            </w:pPr>
            <w:r w:rsidRPr="000864AE">
              <w:rPr>
                <w:rFonts w:ascii="Verdana" w:hAnsi="Verdana"/>
                <w:sz w:val="18"/>
                <w:szCs w:val="18"/>
              </w:rPr>
              <w:t>Mondragon Meléndez Anselmo Pedro</w:t>
            </w:r>
          </w:p>
        </w:tc>
      </w:tr>
      <w:tr w:rsidR="00EA38F6" w:rsidRPr="000864AE" w14:paraId="32E678E9" w14:textId="77777777" w:rsidTr="00AC0C51">
        <w:trPr>
          <w:trHeight w:val="300"/>
        </w:trPr>
        <w:tc>
          <w:tcPr>
            <w:tcW w:w="668" w:type="dxa"/>
            <w:vAlign w:val="center"/>
            <w:hideMark/>
          </w:tcPr>
          <w:p w14:paraId="1DD0D81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393</w:t>
            </w:r>
          </w:p>
        </w:tc>
        <w:tc>
          <w:tcPr>
            <w:tcW w:w="3835" w:type="dxa"/>
            <w:vAlign w:val="center"/>
            <w:hideMark/>
          </w:tcPr>
          <w:p w14:paraId="6FFF5ED8" w14:textId="77777777" w:rsidR="00EA38F6" w:rsidRPr="000864AE" w:rsidRDefault="00EA38F6" w:rsidP="000864AE">
            <w:pPr>
              <w:rPr>
                <w:rFonts w:ascii="Verdana" w:hAnsi="Verdana"/>
                <w:sz w:val="18"/>
                <w:szCs w:val="18"/>
              </w:rPr>
            </w:pPr>
            <w:r w:rsidRPr="000864AE">
              <w:rPr>
                <w:rFonts w:ascii="Verdana" w:hAnsi="Verdana"/>
                <w:sz w:val="18"/>
                <w:szCs w:val="18"/>
              </w:rPr>
              <w:t>Mondragón Orrego Teodoro</w:t>
            </w:r>
          </w:p>
        </w:tc>
      </w:tr>
      <w:tr w:rsidR="00EA38F6" w:rsidRPr="000864AE" w14:paraId="2CD7D6E8" w14:textId="77777777" w:rsidTr="00AC0C51">
        <w:trPr>
          <w:trHeight w:val="300"/>
        </w:trPr>
        <w:tc>
          <w:tcPr>
            <w:tcW w:w="668" w:type="dxa"/>
            <w:vAlign w:val="center"/>
            <w:hideMark/>
          </w:tcPr>
          <w:p w14:paraId="4EB9409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394</w:t>
            </w:r>
          </w:p>
        </w:tc>
        <w:tc>
          <w:tcPr>
            <w:tcW w:w="3835" w:type="dxa"/>
            <w:vAlign w:val="center"/>
            <w:hideMark/>
          </w:tcPr>
          <w:p w14:paraId="33F082D4" w14:textId="77777777" w:rsidR="00EA38F6" w:rsidRPr="000864AE" w:rsidRDefault="00EA38F6" w:rsidP="000864AE">
            <w:pPr>
              <w:rPr>
                <w:rFonts w:ascii="Verdana" w:hAnsi="Verdana"/>
                <w:sz w:val="18"/>
                <w:szCs w:val="18"/>
              </w:rPr>
            </w:pPr>
            <w:r w:rsidRPr="000864AE">
              <w:rPr>
                <w:rFonts w:ascii="Verdana" w:hAnsi="Verdana"/>
                <w:sz w:val="18"/>
                <w:szCs w:val="18"/>
              </w:rPr>
              <w:t>Mondragón Vásquez Segundo Avelino</w:t>
            </w:r>
          </w:p>
        </w:tc>
      </w:tr>
      <w:tr w:rsidR="00EA38F6" w:rsidRPr="000864AE" w14:paraId="02906AAF" w14:textId="77777777" w:rsidTr="00AC0C51">
        <w:trPr>
          <w:trHeight w:val="300"/>
        </w:trPr>
        <w:tc>
          <w:tcPr>
            <w:tcW w:w="668" w:type="dxa"/>
            <w:vAlign w:val="center"/>
            <w:hideMark/>
          </w:tcPr>
          <w:p w14:paraId="6F5C5E9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395</w:t>
            </w:r>
          </w:p>
        </w:tc>
        <w:tc>
          <w:tcPr>
            <w:tcW w:w="3835" w:type="dxa"/>
            <w:vAlign w:val="center"/>
            <w:hideMark/>
          </w:tcPr>
          <w:p w14:paraId="45A5BEAA" w14:textId="77777777" w:rsidR="00EA38F6" w:rsidRPr="000864AE" w:rsidRDefault="00EA38F6" w:rsidP="000864AE">
            <w:pPr>
              <w:rPr>
                <w:rFonts w:ascii="Verdana" w:hAnsi="Verdana"/>
                <w:sz w:val="18"/>
                <w:szCs w:val="18"/>
              </w:rPr>
            </w:pPr>
            <w:r w:rsidRPr="000864AE">
              <w:rPr>
                <w:rFonts w:ascii="Verdana" w:hAnsi="Verdana"/>
                <w:sz w:val="18"/>
                <w:szCs w:val="18"/>
              </w:rPr>
              <w:t>Mongrut Fuentes Antero Alfonzo</w:t>
            </w:r>
          </w:p>
        </w:tc>
      </w:tr>
      <w:tr w:rsidR="00EA38F6" w:rsidRPr="000864AE" w14:paraId="1E1108D3" w14:textId="77777777" w:rsidTr="00AC0C51">
        <w:trPr>
          <w:trHeight w:val="300"/>
        </w:trPr>
        <w:tc>
          <w:tcPr>
            <w:tcW w:w="668" w:type="dxa"/>
            <w:vAlign w:val="center"/>
            <w:hideMark/>
          </w:tcPr>
          <w:p w14:paraId="795976C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396</w:t>
            </w:r>
          </w:p>
        </w:tc>
        <w:tc>
          <w:tcPr>
            <w:tcW w:w="3835" w:type="dxa"/>
            <w:vAlign w:val="center"/>
            <w:hideMark/>
          </w:tcPr>
          <w:p w14:paraId="782E2A13" w14:textId="77777777" w:rsidR="00EA38F6" w:rsidRPr="000864AE" w:rsidRDefault="00EA38F6" w:rsidP="000864AE">
            <w:pPr>
              <w:rPr>
                <w:rFonts w:ascii="Verdana" w:hAnsi="Verdana"/>
                <w:sz w:val="18"/>
                <w:szCs w:val="18"/>
              </w:rPr>
            </w:pPr>
            <w:r w:rsidRPr="000864AE">
              <w:rPr>
                <w:rFonts w:ascii="Verdana" w:hAnsi="Verdana"/>
                <w:sz w:val="18"/>
                <w:szCs w:val="18"/>
              </w:rPr>
              <w:t>Montes Ballón Sofía Edelmira</w:t>
            </w:r>
          </w:p>
        </w:tc>
      </w:tr>
      <w:tr w:rsidR="00EA38F6" w:rsidRPr="000864AE" w14:paraId="2E7AD38B" w14:textId="77777777" w:rsidTr="00AC0C51">
        <w:trPr>
          <w:trHeight w:val="300"/>
        </w:trPr>
        <w:tc>
          <w:tcPr>
            <w:tcW w:w="668" w:type="dxa"/>
            <w:vAlign w:val="center"/>
            <w:hideMark/>
          </w:tcPr>
          <w:p w14:paraId="0E8C4C1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397</w:t>
            </w:r>
          </w:p>
        </w:tc>
        <w:tc>
          <w:tcPr>
            <w:tcW w:w="3835" w:type="dxa"/>
            <w:vAlign w:val="center"/>
            <w:hideMark/>
          </w:tcPr>
          <w:p w14:paraId="3750B69F" w14:textId="77777777" w:rsidR="00EA38F6" w:rsidRPr="000864AE" w:rsidRDefault="00EA38F6" w:rsidP="000864AE">
            <w:pPr>
              <w:rPr>
                <w:rFonts w:ascii="Verdana" w:hAnsi="Verdana"/>
                <w:sz w:val="18"/>
                <w:szCs w:val="18"/>
              </w:rPr>
            </w:pPr>
            <w:r w:rsidRPr="000864AE">
              <w:rPr>
                <w:rFonts w:ascii="Verdana" w:hAnsi="Verdana"/>
                <w:sz w:val="18"/>
                <w:szCs w:val="18"/>
              </w:rPr>
              <w:t>Monteza Saavedra Segundo Miguel</w:t>
            </w:r>
          </w:p>
        </w:tc>
      </w:tr>
      <w:tr w:rsidR="00EA38F6" w:rsidRPr="000864AE" w14:paraId="132ABB1B" w14:textId="77777777" w:rsidTr="00AC0C51">
        <w:trPr>
          <w:trHeight w:val="300"/>
        </w:trPr>
        <w:tc>
          <w:tcPr>
            <w:tcW w:w="668" w:type="dxa"/>
            <w:vAlign w:val="center"/>
            <w:hideMark/>
          </w:tcPr>
          <w:p w14:paraId="391256E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398</w:t>
            </w:r>
          </w:p>
        </w:tc>
        <w:tc>
          <w:tcPr>
            <w:tcW w:w="3835" w:type="dxa"/>
            <w:vAlign w:val="center"/>
            <w:hideMark/>
          </w:tcPr>
          <w:p w14:paraId="0F9CF334" w14:textId="77777777" w:rsidR="00EA38F6" w:rsidRPr="000864AE" w:rsidRDefault="00EA38F6" w:rsidP="000864AE">
            <w:pPr>
              <w:rPr>
                <w:rFonts w:ascii="Verdana" w:hAnsi="Verdana"/>
                <w:sz w:val="18"/>
                <w:szCs w:val="18"/>
              </w:rPr>
            </w:pPr>
            <w:r w:rsidRPr="000864AE">
              <w:rPr>
                <w:rFonts w:ascii="Verdana" w:hAnsi="Verdana"/>
                <w:sz w:val="18"/>
                <w:szCs w:val="18"/>
              </w:rPr>
              <w:t>Montoro Bejarano Julio</w:t>
            </w:r>
          </w:p>
        </w:tc>
      </w:tr>
      <w:tr w:rsidR="00EA38F6" w:rsidRPr="000864AE" w14:paraId="70D79AA8" w14:textId="77777777" w:rsidTr="00AC0C51">
        <w:trPr>
          <w:trHeight w:val="300"/>
        </w:trPr>
        <w:tc>
          <w:tcPr>
            <w:tcW w:w="668" w:type="dxa"/>
            <w:vAlign w:val="center"/>
            <w:hideMark/>
          </w:tcPr>
          <w:p w14:paraId="6958AA8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399</w:t>
            </w:r>
          </w:p>
        </w:tc>
        <w:tc>
          <w:tcPr>
            <w:tcW w:w="3835" w:type="dxa"/>
            <w:vAlign w:val="center"/>
            <w:hideMark/>
          </w:tcPr>
          <w:p w14:paraId="09933EA9" w14:textId="77777777" w:rsidR="00EA38F6" w:rsidRPr="000864AE" w:rsidRDefault="00EA38F6" w:rsidP="000864AE">
            <w:pPr>
              <w:rPr>
                <w:rFonts w:ascii="Verdana" w:hAnsi="Verdana"/>
                <w:sz w:val="18"/>
                <w:szCs w:val="18"/>
              </w:rPr>
            </w:pPr>
            <w:r w:rsidRPr="000864AE">
              <w:rPr>
                <w:rFonts w:ascii="Verdana" w:hAnsi="Verdana"/>
                <w:sz w:val="18"/>
                <w:szCs w:val="18"/>
              </w:rPr>
              <w:t>Morales Cruzatti Luis Oswaldo</w:t>
            </w:r>
          </w:p>
        </w:tc>
      </w:tr>
      <w:tr w:rsidR="00EA38F6" w:rsidRPr="000864AE" w14:paraId="5F1D9901" w14:textId="77777777" w:rsidTr="00AC0C51">
        <w:trPr>
          <w:trHeight w:val="300"/>
        </w:trPr>
        <w:tc>
          <w:tcPr>
            <w:tcW w:w="668" w:type="dxa"/>
            <w:vAlign w:val="center"/>
            <w:hideMark/>
          </w:tcPr>
          <w:p w14:paraId="1A5500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400</w:t>
            </w:r>
          </w:p>
        </w:tc>
        <w:tc>
          <w:tcPr>
            <w:tcW w:w="3835" w:type="dxa"/>
            <w:vAlign w:val="center"/>
            <w:hideMark/>
          </w:tcPr>
          <w:p w14:paraId="4A0FE6FF" w14:textId="77777777" w:rsidR="00EA38F6" w:rsidRPr="000864AE" w:rsidRDefault="00EA38F6" w:rsidP="000864AE">
            <w:pPr>
              <w:rPr>
                <w:rFonts w:ascii="Verdana" w:hAnsi="Verdana"/>
                <w:sz w:val="18"/>
                <w:szCs w:val="18"/>
              </w:rPr>
            </w:pPr>
            <w:r w:rsidRPr="000864AE">
              <w:rPr>
                <w:rFonts w:ascii="Verdana" w:hAnsi="Verdana"/>
                <w:sz w:val="18"/>
                <w:szCs w:val="18"/>
              </w:rPr>
              <w:t>Morales Vargas Héctor Álvaro</w:t>
            </w:r>
          </w:p>
        </w:tc>
      </w:tr>
      <w:tr w:rsidR="00EA38F6" w:rsidRPr="000864AE" w14:paraId="3B5BC52E" w14:textId="77777777" w:rsidTr="00AC0C51">
        <w:trPr>
          <w:trHeight w:val="300"/>
        </w:trPr>
        <w:tc>
          <w:tcPr>
            <w:tcW w:w="668" w:type="dxa"/>
            <w:vAlign w:val="center"/>
            <w:hideMark/>
          </w:tcPr>
          <w:p w14:paraId="0D83A97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401</w:t>
            </w:r>
          </w:p>
        </w:tc>
        <w:tc>
          <w:tcPr>
            <w:tcW w:w="3835" w:type="dxa"/>
            <w:vAlign w:val="center"/>
            <w:hideMark/>
          </w:tcPr>
          <w:p w14:paraId="0F07DAA6" w14:textId="77777777" w:rsidR="00EA38F6" w:rsidRPr="000864AE" w:rsidRDefault="00EA38F6" w:rsidP="000864AE">
            <w:pPr>
              <w:rPr>
                <w:rFonts w:ascii="Verdana" w:hAnsi="Verdana"/>
                <w:sz w:val="18"/>
                <w:szCs w:val="18"/>
              </w:rPr>
            </w:pPr>
            <w:r w:rsidRPr="000864AE">
              <w:rPr>
                <w:rFonts w:ascii="Verdana" w:hAnsi="Verdana"/>
                <w:sz w:val="18"/>
                <w:szCs w:val="18"/>
              </w:rPr>
              <w:t>Moran Ascama Jorge Rufino</w:t>
            </w:r>
          </w:p>
        </w:tc>
      </w:tr>
      <w:tr w:rsidR="00EA38F6" w:rsidRPr="000864AE" w14:paraId="7AF1D6E2" w14:textId="77777777" w:rsidTr="00AC0C51">
        <w:trPr>
          <w:trHeight w:val="300"/>
        </w:trPr>
        <w:tc>
          <w:tcPr>
            <w:tcW w:w="668" w:type="dxa"/>
            <w:vAlign w:val="center"/>
            <w:hideMark/>
          </w:tcPr>
          <w:p w14:paraId="4AA85C5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402</w:t>
            </w:r>
          </w:p>
        </w:tc>
        <w:tc>
          <w:tcPr>
            <w:tcW w:w="3835" w:type="dxa"/>
            <w:vAlign w:val="center"/>
            <w:hideMark/>
          </w:tcPr>
          <w:p w14:paraId="37EC2FC8" w14:textId="77777777" w:rsidR="00EA38F6" w:rsidRPr="000864AE" w:rsidRDefault="00EA38F6" w:rsidP="000864AE">
            <w:pPr>
              <w:rPr>
                <w:rFonts w:ascii="Verdana" w:hAnsi="Verdana"/>
                <w:sz w:val="18"/>
                <w:szCs w:val="18"/>
              </w:rPr>
            </w:pPr>
            <w:r w:rsidRPr="000864AE">
              <w:rPr>
                <w:rFonts w:ascii="Verdana" w:hAnsi="Verdana"/>
                <w:sz w:val="18"/>
                <w:szCs w:val="18"/>
              </w:rPr>
              <w:t>Moreano Casquino Carmen Bernardina</w:t>
            </w:r>
          </w:p>
        </w:tc>
      </w:tr>
      <w:tr w:rsidR="00EA38F6" w:rsidRPr="000864AE" w14:paraId="50C0B769" w14:textId="77777777" w:rsidTr="00AC0C51">
        <w:trPr>
          <w:trHeight w:val="300"/>
        </w:trPr>
        <w:tc>
          <w:tcPr>
            <w:tcW w:w="668" w:type="dxa"/>
            <w:vAlign w:val="center"/>
            <w:hideMark/>
          </w:tcPr>
          <w:p w14:paraId="2ACD840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403</w:t>
            </w:r>
          </w:p>
        </w:tc>
        <w:tc>
          <w:tcPr>
            <w:tcW w:w="3835" w:type="dxa"/>
            <w:vAlign w:val="center"/>
            <w:hideMark/>
          </w:tcPr>
          <w:p w14:paraId="294ED7FC" w14:textId="77777777" w:rsidR="00EA38F6" w:rsidRPr="000864AE" w:rsidRDefault="00EA38F6" w:rsidP="000864AE">
            <w:pPr>
              <w:rPr>
                <w:rFonts w:ascii="Verdana" w:hAnsi="Verdana"/>
                <w:sz w:val="18"/>
                <w:szCs w:val="18"/>
              </w:rPr>
            </w:pPr>
            <w:r w:rsidRPr="000864AE">
              <w:rPr>
                <w:rFonts w:ascii="Verdana" w:hAnsi="Verdana"/>
                <w:sz w:val="18"/>
                <w:szCs w:val="18"/>
              </w:rPr>
              <w:t>Moreno Araujo Eva María</w:t>
            </w:r>
          </w:p>
        </w:tc>
      </w:tr>
      <w:tr w:rsidR="00EA38F6" w:rsidRPr="000864AE" w14:paraId="6CB71AE5" w14:textId="77777777" w:rsidTr="00AC0C51">
        <w:trPr>
          <w:trHeight w:val="300"/>
        </w:trPr>
        <w:tc>
          <w:tcPr>
            <w:tcW w:w="668" w:type="dxa"/>
            <w:vAlign w:val="center"/>
            <w:hideMark/>
          </w:tcPr>
          <w:p w14:paraId="0C49215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404</w:t>
            </w:r>
          </w:p>
        </w:tc>
        <w:tc>
          <w:tcPr>
            <w:tcW w:w="3835" w:type="dxa"/>
            <w:vAlign w:val="center"/>
            <w:hideMark/>
          </w:tcPr>
          <w:p w14:paraId="6C900906" w14:textId="77777777" w:rsidR="00EA38F6" w:rsidRPr="000864AE" w:rsidRDefault="00EA38F6" w:rsidP="000864AE">
            <w:pPr>
              <w:rPr>
                <w:rFonts w:ascii="Verdana" w:hAnsi="Verdana"/>
                <w:sz w:val="18"/>
                <w:szCs w:val="18"/>
              </w:rPr>
            </w:pPr>
            <w:r w:rsidRPr="000864AE">
              <w:rPr>
                <w:rFonts w:ascii="Verdana" w:hAnsi="Verdana"/>
                <w:sz w:val="18"/>
                <w:szCs w:val="18"/>
              </w:rPr>
              <w:t>Morillo Rojas Sara</w:t>
            </w:r>
          </w:p>
        </w:tc>
      </w:tr>
      <w:tr w:rsidR="00EA38F6" w:rsidRPr="000864AE" w14:paraId="022001AC" w14:textId="77777777" w:rsidTr="00AC0C51">
        <w:trPr>
          <w:trHeight w:val="300"/>
        </w:trPr>
        <w:tc>
          <w:tcPr>
            <w:tcW w:w="668" w:type="dxa"/>
            <w:vAlign w:val="center"/>
            <w:hideMark/>
          </w:tcPr>
          <w:p w14:paraId="478FBCC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405</w:t>
            </w:r>
          </w:p>
        </w:tc>
        <w:tc>
          <w:tcPr>
            <w:tcW w:w="3835" w:type="dxa"/>
            <w:vAlign w:val="center"/>
            <w:hideMark/>
          </w:tcPr>
          <w:p w14:paraId="704AD6D1" w14:textId="77777777" w:rsidR="00EA38F6" w:rsidRPr="000864AE" w:rsidRDefault="00EA38F6" w:rsidP="000864AE">
            <w:pPr>
              <w:rPr>
                <w:rFonts w:ascii="Verdana" w:hAnsi="Verdana"/>
                <w:sz w:val="18"/>
                <w:szCs w:val="18"/>
              </w:rPr>
            </w:pPr>
            <w:r w:rsidRPr="000864AE">
              <w:rPr>
                <w:rFonts w:ascii="Verdana" w:hAnsi="Verdana"/>
                <w:sz w:val="18"/>
                <w:szCs w:val="18"/>
              </w:rPr>
              <w:t>Morocho Vásquez Rosa Adelguisa</w:t>
            </w:r>
          </w:p>
        </w:tc>
      </w:tr>
      <w:tr w:rsidR="00EA38F6" w:rsidRPr="000864AE" w14:paraId="249EC7E6" w14:textId="77777777" w:rsidTr="00AC0C51">
        <w:trPr>
          <w:trHeight w:val="300"/>
        </w:trPr>
        <w:tc>
          <w:tcPr>
            <w:tcW w:w="668" w:type="dxa"/>
            <w:vAlign w:val="center"/>
            <w:hideMark/>
          </w:tcPr>
          <w:p w14:paraId="20ECCC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406</w:t>
            </w:r>
          </w:p>
        </w:tc>
        <w:tc>
          <w:tcPr>
            <w:tcW w:w="3835" w:type="dxa"/>
            <w:vAlign w:val="center"/>
            <w:hideMark/>
          </w:tcPr>
          <w:p w14:paraId="37787EA1" w14:textId="77777777" w:rsidR="00EA38F6" w:rsidRPr="000864AE" w:rsidRDefault="00EA38F6" w:rsidP="000864AE">
            <w:pPr>
              <w:rPr>
                <w:rFonts w:ascii="Verdana" w:hAnsi="Verdana"/>
                <w:sz w:val="18"/>
                <w:szCs w:val="18"/>
              </w:rPr>
            </w:pPr>
            <w:r w:rsidRPr="000864AE">
              <w:rPr>
                <w:rFonts w:ascii="Verdana" w:hAnsi="Verdana"/>
                <w:sz w:val="18"/>
                <w:szCs w:val="18"/>
              </w:rPr>
              <w:t>Mostajo Pinazo Carmen Beatriz</w:t>
            </w:r>
          </w:p>
        </w:tc>
      </w:tr>
      <w:tr w:rsidR="00EA38F6" w:rsidRPr="000864AE" w14:paraId="55E041DE" w14:textId="77777777" w:rsidTr="00AC0C51">
        <w:trPr>
          <w:trHeight w:val="300"/>
        </w:trPr>
        <w:tc>
          <w:tcPr>
            <w:tcW w:w="668" w:type="dxa"/>
            <w:vAlign w:val="center"/>
            <w:hideMark/>
          </w:tcPr>
          <w:p w14:paraId="7A677B1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407</w:t>
            </w:r>
          </w:p>
        </w:tc>
        <w:tc>
          <w:tcPr>
            <w:tcW w:w="3835" w:type="dxa"/>
            <w:vAlign w:val="center"/>
            <w:hideMark/>
          </w:tcPr>
          <w:p w14:paraId="6EEB59C8" w14:textId="77777777" w:rsidR="00EA38F6" w:rsidRPr="000864AE" w:rsidRDefault="00EA38F6" w:rsidP="000864AE">
            <w:pPr>
              <w:rPr>
                <w:rFonts w:ascii="Verdana" w:hAnsi="Verdana"/>
                <w:sz w:val="18"/>
                <w:szCs w:val="18"/>
              </w:rPr>
            </w:pPr>
            <w:r w:rsidRPr="000864AE">
              <w:rPr>
                <w:rFonts w:ascii="Verdana" w:hAnsi="Verdana"/>
                <w:sz w:val="18"/>
                <w:szCs w:val="18"/>
              </w:rPr>
              <w:t>Moy Pacora Alejandro José</w:t>
            </w:r>
          </w:p>
        </w:tc>
      </w:tr>
      <w:tr w:rsidR="00EA38F6" w:rsidRPr="000864AE" w14:paraId="1B4AEA59" w14:textId="77777777" w:rsidTr="00AC0C51">
        <w:trPr>
          <w:trHeight w:val="300"/>
        </w:trPr>
        <w:tc>
          <w:tcPr>
            <w:tcW w:w="668" w:type="dxa"/>
            <w:vAlign w:val="center"/>
            <w:hideMark/>
          </w:tcPr>
          <w:p w14:paraId="174BD75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408</w:t>
            </w:r>
          </w:p>
        </w:tc>
        <w:tc>
          <w:tcPr>
            <w:tcW w:w="3835" w:type="dxa"/>
            <w:vAlign w:val="center"/>
            <w:hideMark/>
          </w:tcPr>
          <w:p w14:paraId="5391CBF9" w14:textId="77777777" w:rsidR="00EA38F6" w:rsidRPr="000864AE" w:rsidRDefault="00EA38F6" w:rsidP="000864AE">
            <w:pPr>
              <w:rPr>
                <w:rFonts w:ascii="Verdana" w:hAnsi="Verdana"/>
                <w:sz w:val="18"/>
                <w:szCs w:val="18"/>
              </w:rPr>
            </w:pPr>
            <w:r w:rsidRPr="000864AE">
              <w:rPr>
                <w:rFonts w:ascii="Verdana" w:hAnsi="Verdana"/>
                <w:sz w:val="18"/>
                <w:szCs w:val="18"/>
              </w:rPr>
              <w:t>Mozo Rivas Agustín</w:t>
            </w:r>
          </w:p>
        </w:tc>
      </w:tr>
      <w:tr w:rsidR="00EA38F6" w:rsidRPr="000864AE" w14:paraId="6CB78CEC" w14:textId="77777777" w:rsidTr="00AC0C51">
        <w:trPr>
          <w:trHeight w:val="300"/>
        </w:trPr>
        <w:tc>
          <w:tcPr>
            <w:tcW w:w="668" w:type="dxa"/>
            <w:vAlign w:val="center"/>
            <w:hideMark/>
          </w:tcPr>
          <w:p w14:paraId="240D187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409</w:t>
            </w:r>
          </w:p>
        </w:tc>
        <w:tc>
          <w:tcPr>
            <w:tcW w:w="3835" w:type="dxa"/>
            <w:vAlign w:val="center"/>
            <w:hideMark/>
          </w:tcPr>
          <w:p w14:paraId="2570A004" w14:textId="77777777" w:rsidR="00EA38F6" w:rsidRPr="000864AE" w:rsidRDefault="00EA38F6" w:rsidP="000864AE">
            <w:pPr>
              <w:rPr>
                <w:rFonts w:ascii="Verdana" w:hAnsi="Verdana"/>
                <w:sz w:val="18"/>
                <w:szCs w:val="18"/>
              </w:rPr>
            </w:pPr>
            <w:r w:rsidRPr="000864AE">
              <w:rPr>
                <w:rFonts w:ascii="Verdana" w:hAnsi="Verdana"/>
                <w:sz w:val="18"/>
                <w:szCs w:val="18"/>
              </w:rPr>
              <w:t>Muñoz Campos Ode Raúl</w:t>
            </w:r>
          </w:p>
        </w:tc>
      </w:tr>
      <w:tr w:rsidR="00EA38F6" w:rsidRPr="000864AE" w14:paraId="3352F2B4" w14:textId="77777777" w:rsidTr="00AC0C51">
        <w:trPr>
          <w:trHeight w:val="300"/>
        </w:trPr>
        <w:tc>
          <w:tcPr>
            <w:tcW w:w="668" w:type="dxa"/>
            <w:vAlign w:val="center"/>
            <w:hideMark/>
          </w:tcPr>
          <w:p w14:paraId="58A620E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410</w:t>
            </w:r>
          </w:p>
        </w:tc>
        <w:tc>
          <w:tcPr>
            <w:tcW w:w="3835" w:type="dxa"/>
            <w:vAlign w:val="center"/>
            <w:hideMark/>
          </w:tcPr>
          <w:p w14:paraId="78496920" w14:textId="77777777" w:rsidR="00EA38F6" w:rsidRPr="000864AE" w:rsidRDefault="00EA38F6" w:rsidP="000864AE">
            <w:pPr>
              <w:rPr>
                <w:rFonts w:ascii="Verdana" w:hAnsi="Verdana"/>
                <w:sz w:val="18"/>
                <w:szCs w:val="18"/>
              </w:rPr>
            </w:pPr>
            <w:r w:rsidRPr="000864AE">
              <w:rPr>
                <w:rFonts w:ascii="Verdana" w:hAnsi="Verdana"/>
                <w:sz w:val="18"/>
                <w:szCs w:val="18"/>
              </w:rPr>
              <w:t>Muñoz Chávez Ángel</w:t>
            </w:r>
          </w:p>
        </w:tc>
      </w:tr>
      <w:tr w:rsidR="00EA38F6" w:rsidRPr="000864AE" w14:paraId="642164CF" w14:textId="77777777" w:rsidTr="00AC0C51">
        <w:trPr>
          <w:trHeight w:val="300"/>
        </w:trPr>
        <w:tc>
          <w:tcPr>
            <w:tcW w:w="668" w:type="dxa"/>
            <w:vAlign w:val="center"/>
            <w:hideMark/>
          </w:tcPr>
          <w:p w14:paraId="1035A37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411</w:t>
            </w:r>
          </w:p>
        </w:tc>
        <w:tc>
          <w:tcPr>
            <w:tcW w:w="3835" w:type="dxa"/>
            <w:vAlign w:val="center"/>
            <w:hideMark/>
          </w:tcPr>
          <w:p w14:paraId="74CC7E97" w14:textId="77777777" w:rsidR="00EA38F6" w:rsidRPr="000864AE" w:rsidRDefault="00EA38F6" w:rsidP="000864AE">
            <w:pPr>
              <w:rPr>
                <w:rFonts w:ascii="Verdana" w:hAnsi="Verdana"/>
                <w:sz w:val="18"/>
                <w:szCs w:val="18"/>
              </w:rPr>
            </w:pPr>
            <w:r w:rsidRPr="000864AE">
              <w:rPr>
                <w:rFonts w:ascii="Verdana" w:hAnsi="Verdana"/>
                <w:sz w:val="18"/>
                <w:szCs w:val="18"/>
              </w:rPr>
              <w:t>Muñoz Leguía María Rosa</w:t>
            </w:r>
          </w:p>
        </w:tc>
      </w:tr>
      <w:tr w:rsidR="00EA38F6" w:rsidRPr="000864AE" w14:paraId="1409FAB4" w14:textId="77777777" w:rsidTr="00AC0C51">
        <w:trPr>
          <w:trHeight w:val="300"/>
        </w:trPr>
        <w:tc>
          <w:tcPr>
            <w:tcW w:w="668" w:type="dxa"/>
            <w:vAlign w:val="center"/>
            <w:hideMark/>
          </w:tcPr>
          <w:p w14:paraId="7025401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412</w:t>
            </w:r>
          </w:p>
        </w:tc>
        <w:tc>
          <w:tcPr>
            <w:tcW w:w="3835" w:type="dxa"/>
            <w:vAlign w:val="center"/>
            <w:hideMark/>
          </w:tcPr>
          <w:p w14:paraId="601801CD" w14:textId="77777777" w:rsidR="00EA38F6" w:rsidRPr="000864AE" w:rsidRDefault="00EA38F6" w:rsidP="000864AE">
            <w:pPr>
              <w:rPr>
                <w:rFonts w:ascii="Verdana" w:hAnsi="Verdana"/>
                <w:sz w:val="18"/>
                <w:szCs w:val="18"/>
              </w:rPr>
            </w:pPr>
            <w:r w:rsidRPr="000864AE">
              <w:rPr>
                <w:rFonts w:ascii="Verdana" w:hAnsi="Verdana"/>
                <w:sz w:val="18"/>
                <w:szCs w:val="18"/>
              </w:rPr>
              <w:t>Muñoz Zambrano Carlos</w:t>
            </w:r>
          </w:p>
        </w:tc>
      </w:tr>
      <w:tr w:rsidR="00EA38F6" w:rsidRPr="000864AE" w14:paraId="719506FB" w14:textId="77777777" w:rsidTr="00AC0C51">
        <w:trPr>
          <w:trHeight w:val="300"/>
        </w:trPr>
        <w:tc>
          <w:tcPr>
            <w:tcW w:w="668" w:type="dxa"/>
            <w:vAlign w:val="center"/>
            <w:hideMark/>
          </w:tcPr>
          <w:p w14:paraId="5DE38E1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413</w:t>
            </w:r>
          </w:p>
        </w:tc>
        <w:tc>
          <w:tcPr>
            <w:tcW w:w="3835" w:type="dxa"/>
            <w:vAlign w:val="center"/>
            <w:hideMark/>
          </w:tcPr>
          <w:p w14:paraId="7DCE6210" w14:textId="77777777" w:rsidR="00EA38F6" w:rsidRPr="000864AE" w:rsidRDefault="00EA38F6" w:rsidP="000864AE">
            <w:pPr>
              <w:rPr>
                <w:rFonts w:ascii="Verdana" w:hAnsi="Verdana"/>
                <w:sz w:val="18"/>
                <w:szCs w:val="18"/>
              </w:rPr>
            </w:pPr>
            <w:r w:rsidRPr="000864AE">
              <w:rPr>
                <w:rFonts w:ascii="Verdana" w:hAnsi="Verdana"/>
                <w:sz w:val="18"/>
                <w:szCs w:val="18"/>
              </w:rPr>
              <w:t>Napuri Rondoy Jorge Alberto</w:t>
            </w:r>
          </w:p>
        </w:tc>
      </w:tr>
      <w:tr w:rsidR="00EA38F6" w:rsidRPr="000864AE" w14:paraId="5C215E7B" w14:textId="77777777" w:rsidTr="00AC0C51">
        <w:trPr>
          <w:trHeight w:val="300"/>
        </w:trPr>
        <w:tc>
          <w:tcPr>
            <w:tcW w:w="668" w:type="dxa"/>
            <w:vAlign w:val="center"/>
            <w:hideMark/>
          </w:tcPr>
          <w:p w14:paraId="7D39BF1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414</w:t>
            </w:r>
          </w:p>
        </w:tc>
        <w:tc>
          <w:tcPr>
            <w:tcW w:w="3835" w:type="dxa"/>
            <w:vAlign w:val="center"/>
            <w:hideMark/>
          </w:tcPr>
          <w:p w14:paraId="2B64FBEC" w14:textId="77777777" w:rsidR="00EA38F6" w:rsidRPr="000864AE" w:rsidRDefault="00EA38F6" w:rsidP="000864AE">
            <w:pPr>
              <w:rPr>
                <w:rFonts w:ascii="Verdana" w:hAnsi="Verdana"/>
                <w:sz w:val="18"/>
                <w:szCs w:val="18"/>
              </w:rPr>
            </w:pPr>
            <w:r w:rsidRPr="000864AE">
              <w:rPr>
                <w:rFonts w:ascii="Verdana" w:hAnsi="Verdana"/>
                <w:sz w:val="18"/>
                <w:szCs w:val="18"/>
              </w:rPr>
              <w:t>Navarro Aramburu Silvino Augusto</w:t>
            </w:r>
          </w:p>
        </w:tc>
      </w:tr>
      <w:tr w:rsidR="00EA38F6" w:rsidRPr="000864AE" w14:paraId="45EE3E93" w14:textId="77777777" w:rsidTr="00AC0C51">
        <w:trPr>
          <w:trHeight w:val="300"/>
        </w:trPr>
        <w:tc>
          <w:tcPr>
            <w:tcW w:w="668" w:type="dxa"/>
            <w:vAlign w:val="center"/>
            <w:hideMark/>
          </w:tcPr>
          <w:p w14:paraId="0732750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415</w:t>
            </w:r>
          </w:p>
        </w:tc>
        <w:tc>
          <w:tcPr>
            <w:tcW w:w="3835" w:type="dxa"/>
            <w:vAlign w:val="center"/>
            <w:hideMark/>
          </w:tcPr>
          <w:p w14:paraId="35C0F11A" w14:textId="77777777" w:rsidR="00EA38F6" w:rsidRPr="000864AE" w:rsidRDefault="00EA38F6" w:rsidP="000864AE">
            <w:pPr>
              <w:rPr>
                <w:rFonts w:ascii="Verdana" w:hAnsi="Verdana"/>
                <w:sz w:val="18"/>
                <w:szCs w:val="18"/>
              </w:rPr>
            </w:pPr>
            <w:r w:rsidRPr="000864AE">
              <w:rPr>
                <w:rFonts w:ascii="Verdana" w:hAnsi="Verdana"/>
                <w:sz w:val="18"/>
                <w:szCs w:val="18"/>
              </w:rPr>
              <w:t>Navarro Ayaucan Raúl Andrés</w:t>
            </w:r>
          </w:p>
        </w:tc>
      </w:tr>
      <w:tr w:rsidR="00EA38F6" w:rsidRPr="000864AE" w14:paraId="500B6BEB" w14:textId="77777777" w:rsidTr="00AC0C51">
        <w:trPr>
          <w:trHeight w:val="300"/>
        </w:trPr>
        <w:tc>
          <w:tcPr>
            <w:tcW w:w="668" w:type="dxa"/>
            <w:vAlign w:val="center"/>
            <w:hideMark/>
          </w:tcPr>
          <w:p w14:paraId="5FE355D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416</w:t>
            </w:r>
          </w:p>
        </w:tc>
        <w:tc>
          <w:tcPr>
            <w:tcW w:w="3835" w:type="dxa"/>
            <w:vAlign w:val="center"/>
            <w:hideMark/>
          </w:tcPr>
          <w:p w14:paraId="2F61A533" w14:textId="77777777" w:rsidR="00EA38F6" w:rsidRPr="000864AE" w:rsidRDefault="00EA38F6" w:rsidP="000864AE">
            <w:pPr>
              <w:rPr>
                <w:rFonts w:ascii="Verdana" w:hAnsi="Verdana"/>
                <w:sz w:val="18"/>
                <w:szCs w:val="18"/>
              </w:rPr>
            </w:pPr>
            <w:r w:rsidRPr="000864AE">
              <w:rPr>
                <w:rFonts w:ascii="Verdana" w:hAnsi="Verdana"/>
                <w:sz w:val="18"/>
                <w:szCs w:val="18"/>
              </w:rPr>
              <w:t>Neyra Salas Luz Bari Miria</w:t>
            </w:r>
          </w:p>
        </w:tc>
      </w:tr>
      <w:tr w:rsidR="00EA38F6" w:rsidRPr="000864AE" w14:paraId="702B6F1B" w14:textId="77777777" w:rsidTr="00AC0C51">
        <w:trPr>
          <w:trHeight w:val="300"/>
        </w:trPr>
        <w:tc>
          <w:tcPr>
            <w:tcW w:w="668" w:type="dxa"/>
            <w:vAlign w:val="center"/>
            <w:hideMark/>
          </w:tcPr>
          <w:p w14:paraId="613800C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417</w:t>
            </w:r>
          </w:p>
        </w:tc>
        <w:tc>
          <w:tcPr>
            <w:tcW w:w="3835" w:type="dxa"/>
            <w:vAlign w:val="center"/>
            <w:hideMark/>
          </w:tcPr>
          <w:p w14:paraId="3C825CB5" w14:textId="77777777" w:rsidR="00EA38F6" w:rsidRPr="000864AE" w:rsidRDefault="00EA38F6" w:rsidP="000864AE">
            <w:pPr>
              <w:rPr>
                <w:rFonts w:ascii="Verdana" w:hAnsi="Verdana"/>
                <w:sz w:val="18"/>
                <w:szCs w:val="18"/>
              </w:rPr>
            </w:pPr>
            <w:r w:rsidRPr="000864AE">
              <w:rPr>
                <w:rFonts w:ascii="Verdana" w:hAnsi="Verdana"/>
                <w:sz w:val="18"/>
                <w:szCs w:val="18"/>
              </w:rPr>
              <w:t>Noel Urbina Gilberto</w:t>
            </w:r>
          </w:p>
        </w:tc>
      </w:tr>
      <w:tr w:rsidR="00EA38F6" w:rsidRPr="000864AE" w14:paraId="6D8BA130" w14:textId="77777777" w:rsidTr="00AC0C51">
        <w:trPr>
          <w:trHeight w:val="300"/>
        </w:trPr>
        <w:tc>
          <w:tcPr>
            <w:tcW w:w="668" w:type="dxa"/>
            <w:vAlign w:val="center"/>
            <w:hideMark/>
          </w:tcPr>
          <w:p w14:paraId="4D5259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418</w:t>
            </w:r>
          </w:p>
        </w:tc>
        <w:tc>
          <w:tcPr>
            <w:tcW w:w="3835" w:type="dxa"/>
            <w:vAlign w:val="center"/>
            <w:hideMark/>
          </w:tcPr>
          <w:p w14:paraId="6B3F1168" w14:textId="77777777" w:rsidR="00EA38F6" w:rsidRPr="000864AE" w:rsidRDefault="00EA38F6" w:rsidP="000864AE">
            <w:pPr>
              <w:rPr>
                <w:rFonts w:ascii="Verdana" w:hAnsi="Verdana"/>
                <w:sz w:val="18"/>
                <w:szCs w:val="18"/>
              </w:rPr>
            </w:pPr>
            <w:r w:rsidRPr="000864AE">
              <w:rPr>
                <w:rFonts w:ascii="Verdana" w:hAnsi="Verdana"/>
                <w:sz w:val="18"/>
                <w:szCs w:val="18"/>
              </w:rPr>
              <w:t>Noriega Cossío Oscar</w:t>
            </w:r>
          </w:p>
        </w:tc>
      </w:tr>
      <w:tr w:rsidR="00EA38F6" w:rsidRPr="000864AE" w14:paraId="60827EF2" w14:textId="77777777" w:rsidTr="00AC0C51">
        <w:trPr>
          <w:trHeight w:val="300"/>
        </w:trPr>
        <w:tc>
          <w:tcPr>
            <w:tcW w:w="668" w:type="dxa"/>
            <w:vAlign w:val="center"/>
            <w:hideMark/>
          </w:tcPr>
          <w:p w14:paraId="20B3A98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419</w:t>
            </w:r>
          </w:p>
        </w:tc>
        <w:tc>
          <w:tcPr>
            <w:tcW w:w="3835" w:type="dxa"/>
            <w:vAlign w:val="center"/>
            <w:hideMark/>
          </w:tcPr>
          <w:p w14:paraId="277C241F" w14:textId="77777777" w:rsidR="00EA38F6" w:rsidRPr="000864AE" w:rsidRDefault="00EA38F6" w:rsidP="000864AE">
            <w:pPr>
              <w:rPr>
                <w:rFonts w:ascii="Verdana" w:hAnsi="Verdana"/>
                <w:sz w:val="18"/>
                <w:szCs w:val="18"/>
              </w:rPr>
            </w:pPr>
            <w:r w:rsidRPr="000864AE">
              <w:rPr>
                <w:rFonts w:ascii="Verdana" w:hAnsi="Verdana"/>
                <w:sz w:val="18"/>
                <w:szCs w:val="18"/>
              </w:rPr>
              <w:t>Núñez Alatrista Gloria Ruth</w:t>
            </w:r>
          </w:p>
        </w:tc>
      </w:tr>
      <w:tr w:rsidR="00EA38F6" w:rsidRPr="000864AE" w14:paraId="3AE42490" w14:textId="77777777" w:rsidTr="00AC0C51">
        <w:trPr>
          <w:trHeight w:val="300"/>
        </w:trPr>
        <w:tc>
          <w:tcPr>
            <w:tcW w:w="668" w:type="dxa"/>
            <w:vAlign w:val="center"/>
            <w:hideMark/>
          </w:tcPr>
          <w:p w14:paraId="094CE0E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420</w:t>
            </w:r>
          </w:p>
        </w:tc>
        <w:tc>
          <w:tcPr>
            <w:tcW w:w="3835" w:type="dxa"/>
            <w:vAlign w:val="center"/>
            <w:hideMark/>
          </w:tcPr>
          <w:p w14:paraId="655CF9B3" w14:textId="77777777" w:rsidR="00EA38F6" w:rsidRPr="000864AE" w:rsidRDefault="00EA38F6" w:rsidP="000864AE">
            <w:pPr>
              <w:rPr>
                <w:rFonts w:ascii="Verdana" w:hAnsi="Verdana"/>
                <w:sz w:val="18"/>
                <w:szCs w:val="18"/>
              </w:rPr>
            </w:pPr>
            <w:r w:rsidRPr="000864AE">
              <w:rPr>
                <w:rFonts w:ascii="Verdana" w:hAnsi="Verdana"/>
                <w:sz w:val="18"/>
                <w:szCs w:val="18"/>
              </w:rPr>
              <w:t>Núñez Barriga Juan Rolando</w:t>
            </w:r>
          </w:p>
        </w:tc>
      </w:tr>
      <w:tr w:rsidR="00EA38F6" w:rsidRPr="000864AE" w14:paraId="7FCC9C3B" w14:textId="77777777" w:rsidTr="00AC0C51">
        <w:trPr>
          <w:trHeight w:val="300"/>
        </w:trPr>
        <w:tc>
          <w:tcPr>
            <w:tcW w:w="668" w:type="dxa"/>
            <w:vAlign w:val="center"/>
            <w:hideMark/>
          </w:tcPr>
          <w:p w14:paraId="5D5B8E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421</w:t>
            </w:r>
          </w:p>
        </w:tc>
        <w:tc>
          <w:tcPr>
            <w:tcW w:w="3835" w:type="dxa"/>
            <w:vAlign w:val="center"/>
            <w:hideMark/>
          </w:tcPr>
          <w:p w14:paraId="1C7CEE3F" w14:textId="77777777" w:rsidR="00EA38F6" w:rsidRPr="000864AE" w:rsidRDefault="00EA38F6" w:rsidP="000864AE">
            <w:pPr>
              <w:rPr>
                <w:rFonts w:ascii="Verdana" w:hAnsi="Verdana"/>
                <w:sz w:val="18"/>
                <w:szCs w:val="18"/>
              </w:rPr>
            </w:pPr>
            <w:r w:rsidRPr="000864AE">
              <w:rPr>
                <w:rFonts w:ascii="Verdana" w:hAnsi="Verdana"/>
                <w:sz w:val="18"/>
                <w:szCs w:val="18"/>
              </w:rPr>
              <w:t>Núñez Gonzáles Yolanda</w:t>
            </w:r>
          </w:p>
        </w:tc>
      </w:tr>
      <w:tr w:rsidR="00EA38F6" w:rsidRPr="000864AE" w14:paraId="16E29C5C" w14:textId="77777777" w:rsidTr="00AC0C51">
        <w:trPr>
          <w:trHeight w:val="300"/>
        </w:trPr>
        <w:tc>
          <w:tcPr>
            <w:tcW w:w="668" w:type="dxa"/>
            <w:vAlign w:val="center"/>
            <w:hideMark/>
          </w:tcPr>
          <w:p w14:paraId="6792903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422</w:t>
            </w:r>
          </w:p>
        </w:tc>
        <w:tc>
          <w:tcPr>
            <w:tcW w:w="3835" w:type="dxa"/>
            <w:vAlign w:val="center"/>
            <w:hideMark/>
          </w:tcPr>
          <w:p w14:paraId="7CB3C03B" w14:textId="77777777" w:rsidR="00EA38F6" w:rsidRPr="000864AE" w:rsidRDefault="00EA38F6" w:rsidP="000864AE">
            <w:pPr>
              <w:rPr>
                <w:rFonts w:ascii="Verdana" w:hAnsi="Verdana"/>
                <w:sz w:val="18"/>
                <w:szCs w:val="18"/>
              </w:rPr>
            </w:pPr>
            <w:r w:rsidRPr="000864AE">
              <w:rPr>
                <w:rFonts w:ascii="Verdana" w:hAnsi="Verdana"/>
                <w:sz w:val="18"/>
                <w:szCs w:val="18"/>
              </w:rPr>
              <w:t>Núñez Quispe Gregorio</w:t>
            </w:r>
          </w:p>
        </w:tc>
      </w:tr>
      <w:tr w:rsidR="00EA38F6" w:rsidRPr="000864AE" w14:paraId="1ABF1A58" w14:textId="77777777" w:rsidTr="00AC0C51">
        <w:trPr>
          <w:trHeight w:val="300"/>
        </w:trPr>
        <w:tc>
          <w:tcPr>
            <w:tcW w:w="668" w:type="dxa"/>
            <w:vAlign w:val="center"/>
            <w:hideMark/>
          </w:tcPr>
          <w:p w14:paraId="0E9531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423</w:t>
            </w:r>
          </w:p>
        </w:tc>
        <w:tc>
          <w:tcPr>
            <w:tcW w:w="3835" w:type="dxa"/>
            <w:vAlign w:val="center"/>
            <w:hideMark/>
          </w:tcPr>
          <w:p w14:paraId="0CA7C1B6" w14:textId="77777777" w:rsidR="00EA38F6" w:rsidRPr="000864AE" w:rsidRDefault="00EA38F6" w:rsidP="000864AE">
            <w:pPr>
              <w:rPr>
                <w:rFonts w:ascii="Verdana" w:hAnsi="Verdana"/>
                <w:sz w:val="18"/>
                <w:szCs w:val="18"/>
              </w:rPr>
            </w:pPr>
            <w:r w:rsidRPr="000864AE">
              <w:rPr>
                <w:rFonts w:ascii="Verdana" w:hAnsi="Verdana"/>
                <w:sz w:val="18"/>
                <w:szCs w:val="18"/>
              </w:rPr>
              <w:t>Núñez Talavera Gabriela Gladys</w:t>
            </w:r>
          </w:p>
        </w:tc>
      </w:tr>
      <w:tr w:rsidR="00EA38F6" w:rsidRPr="000864AE" w14:paraId="09BF16B6" w14:textId="77777777" w:rsidTr="00AC0C51">
        <w:trPr>
          <w:trHeight w:val="300"/>
        </w:trPr>
        <w:tc>
          <w:tcPr>
            <w:tcW w:w="668" w:type="dxa"/>
            <w:vAlign w:val="center"/>
            <w:hideMark/>
          </w:tcPr>
          <w:p w14:paraId="3062506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424</w:t>
            </w:r>
          </w:p>
        </w:tc>
        <w:tc>
          <w:tcPr>
            <w:tcW w:w="3835" w:type="dxa"/>
            <w:vAlign w:val="center"/>
            <w:hideMark/>
          </w:tcPr>
          <w:p w14:paraId="46B430C0" w14:textId="77777777" w:rsidR="00EA38F6" w:rsidRPr="000864AE" w:rsidRDefault="00EA38F6" w:rsidP="000864AE">
            <w:pPr>
              <w:rPr>
                <w:rFonts w:ascii="Verdana" w:hAnsi="Verdana"/>
                <w:sz w:val="18"/>
                <w:szCs w:val="18"/>
              </w:rPr>
            </w:pPr>
            <w:r w:rsidRPr="000864AE">
              <w:rPr>
                <w:rFonts w:ascii="Verdana" w:hAnsi="Verdana"/>
                <w:sz w:val="18"/>
                <w:szCs w:val="18"/>
              </w:rPr>
              <w:t>Oblitas Carrión Dina Augusta</w:t>
            </w:r>
          </w:p>
        </w:tc>
      </w:tr>
      <w:tr w:rsidR="00EA38F6" w:rsidRPr="000864AE" w14:paraId="71DD44D0" w14:textId="77777777" w:rsidTr="00AC0C51">
        <w:trPr>
          <w:trHeight w:val="300"/>
        </w:trPr>
        <w:tc>
          <w:tcPr>
            <w:tcW w:w="668" w:type="dxa"/>
            <w:vAlign w:val="center"/>
            <w:hideMark/>
          </w:tcPr>
          <w:p w14:paraId="02D6F93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425</w:t>
            </w:r>
          </w:p>
        </w:tc>
        <w:tc>
          <w:tcPr>
            <w:tcW w:w="3835" w:type="dxa"/>
            <w:vAlign w:val="center"/>
            <w:hideMark/>
          </w:tcPr>
          <w:p w14:paraId="0C24910D" w14:textId="77777777" w:rsidR="00EA38F6" w:rsidRPr="000864AE" w:rsidRDefault="00EA38F6" w:rsidP="000864AE">
            <w:pPr>
              <w:rPr>
                <w:rFonts w:ascii="Verdana" w:hAnsi="Verdana"/>
                <w:sz w:val="18"/>
                <w:szCs w:val="18"/>
              </w:rPr>
            </w:pPr>
            <w:r w:rsidRPr="000864AE">
              <w:rPr>
                <w:rFonts w:ascii="Verdana" w:hAnsi="Verdana"/>
                <w:sz w:val="18"/>
                <w:szCs w:val="18"/>
              </w:rPr>
              <w:t>Obregón Tello Erlinda</w:t>
            </w:r>
          </w:p>
        </w:tc>
      </w:tr>
      <w:tr w:rsidR="00EA38F6" w:rsidRPr="000864AE" w14:paraId="26F687C9" w14:textId="77777777" w:rsidTr="00AC0C51">
        <w:trPr>
          <w:trHeight w:val="300"/>
        </w:trPr>
        <w:tc>
          <w:tcPr>
            <w:tcW w:w="668" w:type="dxa"/>
            <w:vAlign w:val="center"/>
            <w:hideMark/>
          </w:tcPr>
          <w:p w14:paraId="50A5CD0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426</w:t>
            </w:r>
          </w:p>
        </w:tc>
        <w:tc>
          <w:tcPr>
            <w:tcW w:w="3835" w:type="dxa"/>
            <w:vAlign w:val="center"/>
            <w:hideMark/>
          </w:tcPr>
          <w:p w14:paraId="03B73846" w14:textId="77777777" w:rsidR="00EA38F6" w:rsidRPr="000864AE" w:rsidRDefault="00EA38F6" w:rsidP="000864AE">
            <w:pPr>
              <w:rPr>
                <w:rFonts w:ascii="Verdana" w:hAnsi="Verdana"/>
                <w:sz w:val="18"/>
                <w:szCs w:val="18"/>
              </w:rPr>
            </w:pPr>
            <w:r w:rsidRPr="000864AE">
              <w:rPr>
                <w:rFonts w:ascii="Verdana" w:hAnsi="Verdana"/>
                <w:sz w:val="18"/>
                <w:szCs w:val="18"/>
              </w:rPr>
              <w:t>Ocrospoma Valdez Fermín Claudio</w:t>
            </w:r>
          </w:p>
        </w:tc>
      </w:tr>
      <w:tr w:rsidR="00EA38F6" w:rsidRPr="000864AE" w14:paraId="39B27517" w14:textId="77777777" w:rsidTr="00AC0C51">
        <w:trPr>
          <w:trHeight w:val="300"/>
        </w:trPr>
        <w:tc>
          <w:tcPr>
            <w:tcW w:w="668" w:type="dxa"/>
            <w:vAlign w:val="center"/>
            <w:hideMark/>
          </w:tcPr>
          <w:p w14:paraId="5AC3DFE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427</w:t>
            </w:r>
          </w:p>
        </w:tc>
        <w:tc>
          <w:tcPr>
            <w:tcW w:w="3835" w:type="dxa"/>
            <w:vAlign w:val="center"/>
            <w:hideMark/>
          </w:tcPr>
          <w:p w14:paraId="27711EAC" w14:textId="77777777" w:rsidR="00EA38F6" w:rsidRPr="000864AE" w:rsidRDefault="00EA38F6" w:rsidP="000864AE">
            <w:pPr>
              <w:rPr>
                <w:rFonts w:ascii="Verdana" w:hAnsi="Verdana"/>
                <w:sz w:val="18"/>
                <w:szCs w:val="18"/>
              </w:rPr>
            </w:pPr>
            <w:r w:rsidRPr="000864AE">
              <w:rPr>
                <w:rFonts w:ascii="Verdana" w:hAnsi="Verdana"/>
                <w:sz w:val="18"/>
                <w:szCs w:val="18"/>
              </w:rPr>
              <w:t>Ojeda Macedo Arturo</w:t>
            </w:r>
          </w:p>
        </w:tc>
      </w:tr>
      <w:tr w:rsidR="00EA38F6" w:rsidRPr="000864AE" w14:paraId="1373A497" w14:textId="77777777" w:rsidTr="00AC0C51">
        <w:trPr>
          <w:trHeight w:val="300"/>
        </w:trPr>
        <w:tc>
          <w:tcPr>
            <w:tcW w:w="668" w:type="dxa"/>
            <w:vAlign w:val="center"/>
            <w:hideMark/>
          </w:tcPr>
          <w:p w14:paraId="0E42CD9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428</w:t>
            </w:r>
          </w:p>
        </w:tc>
        <w:tc>
          <w:tcPr>
            <w:tcW w:w="3835" w:type="dxa"/>
            <w:vAlign w:val="center"/>
            <w:hideMark/>
          </w:tcPr>
          <w:p w14:paraId="33D52831" w14:textId="77777777" w:rsidR="00EA38F6" w:rsidRPr="000864AE" w:rsidRDefault="00EA38F6" w:rsidP="000864AE">
            <w:pPr>
              <w:rPr>
                <w:rFonts w:ascii="Verdana" w:hAnsi="Verdana"/>
                <w:sz w:val="18"/>
                <w:szCs w:val="18"/>
              </w:rPr>
            </w:pPr>
            <w:r w:rsidRPr="000864AE">
              <w:rPr>
                <w:rFonts w:ascii="Verdana" w:hAnsi="Verdana"/>
                <w:sz w:val="18"/>
                <w:szCs w:val="18"/>
              </w:rPr>
              <w:t>Ojeda Ovalle Joaquín Jacinto</w:t>
            </w:r>
          </w:p>
        </w:tc>
      </w:tr>
      <w:tr w:rsidR="00EA38F6" w:rsidRPr="000864AE" w14:paraId="33DFF2D4" w14:textId="77777777" w:rsidTr="00AC0C51">
        <w:trPr>
          <w:trHeight w:val="300"/>
        </w:trPr>
        <w:tc>
          <w:tcPr>
            <w:tcW w:w="668" w:type="dxa"/>
            <w:vAlign w:val="center"/>
            <w:hideMark/>
          </w:tcPr>
          <w:p w14:paraId="567DDE9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429</w:t>
            </w:r>
          </w:p>
        </w:tc>
        <w:tc>
          <w:tcPr>
            <w:tcW w:w="3835" w:type="dxa"/>
            <w:vAlign w:val="center"/>
            <w:hideMark/>
          </w:tcPr>
          <w:p w14:paraId="35D1275D" w14:textId="77777777" w:rsidR="00EA38F6" w:rsidRPr="000864AE" w:rsidRDefault="00EA38F6" w:rsidP="000864AE">
            <w:pPr>
              <w:rPr>
                <w:rFonts w:ascii="Verdana" w:hAnsi="Verdana"/>
                <w:sz w:val="18"/>
                <w:szCs w:val="18"/>
              </w:rPr>
            </w:pPr>
            <w:r w:rsidRPr="000864AE">
              <w:rPr>
                <w:rFonts w:ascii="Verdana" w:hAnsi="Verdana"/>
                <w:sz w:val="18"/>
                <w:szCs w:val="18"/>
              </w:rPr>
              <w:t>Ojeda Y Lazo Luz Ysolina Juliana</w:t>
            </w:r>
          </w:p>
        </w:tc>
      </w:tr>
      <w:tr w:rsidR="00EA38F6" w:rsidRPr="000864AE" w14:paraId="21627DDC" w14:textId="77777777" w:rsidTr="00AC0C51">
        <w:trPr>
          <w:trHeight w:val="300"/>
        </w:trPr>
        <w:tc>
          <w:tcPr>
            <w:tcW w:w="668" w:type="dxa"/>
            <w:vAlign w:val="center"/>
            <w:hideMark/>
          </w:tcPr>
          <w:p w14:paraId="317372E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430</w:t>
            </w:r>
          </w:p>
        </w:tc>
        <w:tc>
          <w:tcPr>
            <w:tcW w:w="3835" w:type="dxa"/>
            <w:vAlign w:val="center"/>
            <w:hideMark/>
          </w:tcPr>
          <w:p w14:paraId="350BD120" w14:textId="77777777" w:rsidR="00EA38F6" w:rsidRPr="000864AE" w:rsidRDefault="00EA38F6" w:rsidP="000864AE">
            <w:pPr>
              <w:rPr>
                <w:rFonts w:ascii="Verdana" w:hAnsi="Verdana"/>
                <w:sz w:val="18"/>
                <w:szCs w:val="18"/>
              </w:rPr>
            </w:pPr>
            <w:r w:rsidRPr="000864AE">
              <w:rPr>
                <w:rFonts w:ascii="Verdana" w:hAnsi="Verdana"/>
                <w:sz w:val="18"/>
                <w:szCs w:val="18"/>
              </w:rPr>
              <w:t>Olivera Torres Iris Mabel</w:t>
            </w:r>
          </w:p>
        </w:tc>
      </w:tr>
      <w:tr w:rsidR="00EA38F6" w:rsidRPr="000864AE" w14:paraId="40A1E82A" w14:textId="77777777" w:rsidTr="00AC0C51">
        <w:trPr>
          <w:trHeight w:val="300"/>
        </w:trPr>
        <w:tc>
          <w:tcPr>
            <w:tcW w:w="668" w:type="dxa"/>
            <w:vAlign w:val="center"/>
            <w:hideMark/>
          </w:tcPr>
          <w:p w14:paraId="5A8334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431</w:t>
            </w:r>
          </w:p>
        </w:tc>
        <w:tc>
          <w:tcPr>
            <w:tcW w:w="3835" w:type="dxa"/>
            <w:vAlign w:val="center"/>
            <w:hideMark/>
          </w:tcPr>
          <w:p w14:paraId="7680A75F"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Olivera Torres Judith Manuela Victoria</w:t>
            </w:r>
          </w:p>
        </w:tc>
      </w:tr>
      <w:tr w:rsidR="00EA38F6" w:rsidRPr="000864AE" w14:paraId="28430549" w14:textId="77777777" w:rsidTr="00AC0C51">
        <w:trPr>
          <w:trHeight w:val="300"/>
        </w:trPr>
        <w:tc>
          <w:tcPr>
            <w:tcW w:w="668" w:type="dxa"/>
            <w:vAlign w:val="center"/>
            <w:hideMark/>
          </w:tcPr>
          <w:p w14:paraId="1E54687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432</w:t>
            </w:r>
          </w:p>
        </w:tc>
        <w:tc>
          <w:tcPr>
            <w:tcW w:w="3835" w:type="dxa"/>
            <w:vAlign w:val="center"/>
            <w:hideMark/>
          </w:tcPr>
          <w:p w14:paraId="2737F1C6" w14:textId="7F899CEA" w:rsidR="00EA38F6" w:rsidRPr="000864AE" w:rsidRDefault="001F62BD" w:rsidP="000864AE">
            <w:pPr>
              <w:rPr>
                <w:rFonts w:ascii="Verdana" w:hAnsi="Verdana"/>
                <w:sz w:val="18"/>
                <w:szCs w:val="18"/>
              </w:rPr>
            </w:pPr>
            <w:r w:rsidRPr="000864AE">
              <w:rPr>
                <w:rFonts w:ascii="Verdana" w:hAnsi="Verdana"/>
                <w:sz w:val="18"/>
                <w:szCs w:val="18"/>
              </w:rPr>
              <w:t>Olórtegui Ángeles Cristi</w:t>
            </w:r>
            <w:r w:rsidR="00EA38F6" w:rsidRPr="000864AE">
              <w:rPr>
                <w:rFonts w:ascii="Verdana" w:hAnsi="Verdana"/>
                <w:sz w:val="18"/>
                <w:szCs w:val="18"/>
              </w:rPr>
              <w:t>n Rodrigo</w:t>
            </w:r>
          </w:p>
        </w:tc>
      </w:tr>
      <w:tr w:rsidR="00EA38F6" w:rsidRPr="000864AE" w14:paraId="68DD1CF3" w14:textId="77777777" w:rsidTr="00AC0C51">
        <w:trPr>
          <w:trHeight w:val="300"/>
        </w:trPr>
        <w:tc>
          <w:tcPr>
            <w:tcW w:w="668" w:type="dxa"/>
            <w:vAlign w:val="center"/>
            <w:hideMark/>
          </w:tcPr>
          <w:p w14:paraId="2E2E788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433</w:t>
            </w:r>
          </w:p>
        </w:tc>
        <w:tc>
          <w:tcPr>
            <w:tcW w:w="3835" w:type="dxa"/>
            <w:vAlign w:val="center"/>
            <w:hideMark/>
          </w:tcPr>
          <w:p w14:paraId="47D2463B" w14:textId="77777777" w:rsidR="00EA38F6" w:rsidRPr="000864AE" w:rsidRDefault="00EA38F6" w:rsidP="000864AE">
            <w:pPr>
              <w:rPr>
                <w:rFonts w:ascii="Verdana" w:hAnsi="Verdana"/>
                <w:sz w:val="18"/>
                <w:szCs w:val="18"/>
              </w:rPr>
            </w:pPr>
            <w:r w:rsidRPr="000864AE">
              <w:rPr>
                <w:rFonts w:ascii="Verdana" w:hAnsi="Verdana"/>
                <w:sz w:val="18"/>
                <w:szCs w:val="18"/>
              </w:rPr>
              <w:t>Ordeano Villanueva Demetrio</w:t>
            </w:r>
          </w:p>
        </w:tc>
      </w:tr>
      <w:tr w:rsidR="00EA38F6" w:rsidRPr="000864AE" w14:paraId="4B61D1AE" w14:textId="77777777" w:rsidTr="00AC0C51">
        <w:trPr>
          <w:trHeight w:val="300"/>
        </w:trPr>
        <w:tc>
          <w:tcPr>
            <w:tcW w:w="668" w:type="dxa"/>
            <w:vAlign w:val="center"/>
            <w:hideMark/>
          </w:tcPr>
          <w:p w14:paraId="05AC761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434</w:t>
            </w:r>
          </w:p>
        </w:tc>
        <w:tc>
          <w:tcPr>
            <w:tcW w:w="3835" w:type="dxa"/>
            <w:vAlign w:val="center"/>
            <w:hideMark/>
          </w:tcPr>
          <w:p w14:paraId="443BF639" w14:textId="77777777" w:rsidR="00EA38F6" w:rsidRPr="000864AE" w:rsidRDefault="00EA38F6" w:rsidP="000864AE">
            <w:pPr>
              <w:rPr>
                <w:rFonts w:ascii="Verdana" w:hAnsi="Verdana"/>
                <w:sz w:val="18"/>
                <w:szCs w:val="18"/>
              </w:rPr>
            </w:pPr>
            <w:r w:rsidRPr="000864AE">
              <w:rPr>
                <w:rFonts w:ascii="Verdana" w:hAnsi="Verdana"/>
                <w:sz w:val="18"/>
                <w:szCs w:val="18"/>
              </w:rPr>
              <w:t>Orihuela Herrera Luis Mariano</w:t>
            </w:r>
          </w:p>
        </w:tc>
      </w:tr>
      <w:tr w:rsidR="00EA38F6" w:rsidRPr="000864AE" w14:paraId="32AEB14C" w14:textId="77777777" w:rsidTr="00AC0C51">
        <w:trPr>
          <w:trHeight w:val="300"/>
        </w:trPr>
        <w:tc>
          <w:tcPr>
            <w:tcW w:w="668" w:type="dxa"/>
            <w:vAlign w:val="center"/>
            <w:hideMark/>
          </w:tcPr>
          <w:p w14:paraId="02B5EC6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435</w:t>
            </w:r>
          </w:p>
        </w:tc>
        <w:tc>
          <w:tcPr>
            <w:tcW w:w="3835" w:type="dxa"/>
            <w:vAlign w:val="center"/>
            <w:hideMark/>
          </w:tcPr>
          <w:p w14:paraId="183B36B6" w14:textId="77777777" w:rsidR="00EA38F6" w:rsidRPr="000864AE" w:rsidRDefault="00EA38F6" w:rsidP="000864AE">
            <w:pPr>
              <w:rPr>
                <w:rFonts w:ascii="Verdana" w:hAnsi="Verdana"/>
                <w:sz w:val="18"/>
                <w:szCs w:val="18"/>
              </w:rPr>
            </w:pPr>
            <w:r w:rsidRPr="000864AE">
              <w:rPr>
                <w:rFonts w:ascii="Verdana" w:hAnsi="Verdana"/>
                <w:sz w:val="18"/>
                <w:szCs w:val="18"/>
              </w:rPr>
              <w:t>Orrala Farfán Manuel Jacinto</w:t>
            </w:r>
          </w:p>
        </w:tc>
      </w:tr>
      <w:tr w:rsidR="00EA38F6" w:rsidRPr="000864AE" w14:paraId="75FD63A0" w14:textId="77777777" w:rsidTr="00AC0C51">
        <w:trPr>
          <w:trHeight w:val="300"/>
        </w:trPr>
        <w:tc>
          <w:tcPr>
            <w:tcW w:w="668" w:type="dxa"/>
            <w:vAlign w:val="center"/>
            <w:hideMark/>
          </w:tcPr>
          <w:p w14:paraId="72D47E8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436</w:t>
            </w:r>
          </w:p>
        </w:tc>
        <w:tc>
          <w:tcPr>
            <w:tcW w:w="3835" w:type="dxa"/>
            <w:vAlign w:val="center"/>
            <w:hideMark/>
          </w:tcPr>
          <w:p w14:paraId="5D072403" w14:textId="77777777" w:rsidR="00EA38F6" w:rsidRPr="000864AE" w:rsidRDefault="00EA38F6" w:rsidP="000864AE">
            <w:pPr>
              <w:rPr>
                <w:rFonts w:ascii="Verdana" w:hAnsi="Verdana"/>
                <w:sz w:val="18"/>
                <w:szCs w:val="18"/>
              </w:rPr>
            </w:pPr>
            <w:r w:rsidRPr="000864AE">
              <w:rPr>
                <w:rFonts w:ascii="Verdana" w:hAnsi="Verdana"/>
                <w:sz w:val="18"/>
                <w:szCs w:val="18"/>
              </w:rPr>
              <w:t>Orrillo Chávez Esau</w:t>
            </w:r>
          </w:p>
        </w:tc>
      </w:tr>
      <w:tr w:rsidR="00EA38F6" w:rsidRPr="000864AE" w14:paraId="1AC5174B" w14:textId="77777777" w:rsidTr="00AC0C51">
        <w:trPr>
          <w:trHeight w:val="300"/>
        </w:trPr>
        <w:tc>
          <w:tcPr>
            <w:tcW w:w="668" w:type="dxa"/>
            <w:vAlign w:val="center"/>
            <w:hideMark/>
          </w:tcPr>
          <w:p w14:paraId="14E3D77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437</w:t>
            </w:r>
          </w:p>
        </w:tc>
        <w:tc>
          <w:tcPr>
            <w:tcW w:w="3835" w:type="dxa"/>
            <w:vAlign w:val="center"/>
            <w:hideMark/>
          </w:tcPr>
          <w:p w14:paraId="03CE41F5" w14:textId="77777777" w:rsidR="00EA38F6" w:rsidRPr="000864AE" w:rsidRDefault="00EA38F6" w:rsidP="000864AE">
            <w:pPr>
              <w:rPr>
                <w:rFonts w:ascii="Verdana" w:hAnsi="Verdana"/>
                <w:sz w:val="18"/>
                <w:szCs w:val="18"/>
              </w:rPr>
            </w:pPr>
            <w:r w:rsidRPr="000864AE">
              <w:rPr>
                <w:rFonts w:ascii="Verdana" w:hAnsi="Verdana"/>
                <w:sz w:val="18"/>
                <w:szCs w:val="18"/>
              </w:rPr>
              <w:t>Ortega Ponce Oda Judith</w:t>
            </w:r>
          </w:p>
        </w:tc>
      </w:tr>
      <w:tr w:rsidR="00EA38F6" w:rsidRPr="000864AE" w14:paraId="702593C9" w14:textId="77777777" w:rsidTr="00AC0C51">
        <w:trPr>
          <w:trHeight w:val="300"/>
        </w:trPr>
        <w:tc>
          <w:tcPr>
            <w:tcW w:w="668" w:type="dxa"/>
            <w:vAlign w:val="center"/>
            <w:hideMark/>
          </w:tcPr>
          <w:p w14:paraId="161B501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438</w:t>
            </w:r>
          </w:p>
        </w:tc>
        <w:tc>
          <w:tcPr>
            <w:tcW w:w="3835" w:type="dxa"/>
            <w:vAlign w:val="center"/>
            <w:hideMark/>
          </w:tcPr>
          <w:p w14:paraId="30DB8261" w14:textId="77777777" w:rsidR="00EA38F6" w:rsidRPr="000864AE" w:rsidRDefault="00EA38F6" w:rsidP="000864AE">
            <w:pPr>
              <w:rPr>
                <w:rFonts w:ascii="Verdana" w:hAnsi="Verdana"/>
                <w:sz w:val="18"/>
                <w:szCs w:val="18"/>
              </w:rPr>
            </w:pPr>
            <w:r w:rsidRPr="000864AE">
              <w:rPr>
                <w:rFonts w:ascii="Verdana" w:hAnsi="Verdana"/>
                <w:sz w:val="18"/>
                <w:szCs w:val="18"/>
              </w:rPr>
              <w:t>Ortiz Basauri Carmen Eufemia</w:t>
            </w:r>
          </w:p>
        </w:tc>
      </w:tr>
      <w:tr w:rsidR="00EA38F6" w:rsidRPr="000864AE" w14:paraId="382BD3AA" w14:textId="77777777" w:rsidTr="00AC0C51">
        <w:trPr>
          <w:trHeight w:val="300"/>
        </w:trPr>
        <w:tc>
          <w:tcPr>
            <w:tcW w:w="668" w:type="dxa"/>
            <w:vAlign w:val="center"/>
            <w:hideMark/>
          </w:tcPr>
          <w:p w14:paraId="6CA369F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439</w:t>
            </w:r>
          </w:p>
        </w:tc>
        <w:tc>
          <w:tcPr>
            <w:tcW w:w="3835" w:type="dxa"/>
            <w:vAlign w:val="center"/>
            <w:hideMark/>
          </w:tcPr>
          <w:p w14:paraId="54255B49" w14:textId="77777777" w:rsidR="00EA38F6" w:rsidRPr="000864AE" w:rsidRDefault="00EA38F6" w:rsidP="000864AE">
            <w:pPr>
              <w:rPr>
                <w:rFonts w:ascii="Verdana" w:hAnsi="Verdana"/>
                <w:sz w:val="18"/>
                <w:szCs w:val="18"/>
              </w:rPr>
            </w:pPr>
            <w:r w:rsidRPr="000864AE">
              <w:rPr>
                <w:rFonts w:ascii="Verdana" w:hAnsi="Verdana"/>
                <w:sz w:val="18"/>
                <w:szCs w:val="18"/>
              </w:rPr>
              <w:t>Ortiz León Mabel Noemf</w:t>
            </w:r>
          </w:p>
        </w:tc>
      </w:tr>
      <w:tr w:rsidR="00EA38F6" w:rsidRPr="000864AE" w14:paraId="2D048AFD" w14:textId="77777777" w:rsidTr="00AC0C51">
        <w:trPr>
          <w:trHeight w:val="300"/>
        </w:trPr>
        <w:tc>
          <w:tcPr>
            <w:tcW w:w="668" w:type="dxa"/>
            <w:vAlign w:val="center"/>
            <w:hideMark/>
          </w:tcPr>
          <w:p w14:paraId="0463F9E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440</w:t>
            </w:r>
          </w:p>
        </w:tc>
        <w:tc>
          <w:tcPr>
            <w:tcW w:w="3835" w:type="dxa"/>
            <w:vAlign w:val="center"/>
            <w:hideMark/>
          </w:tcPr>
          <w:p w14:paraId="0A77B26C" w14:textId="77777777" w:rsidR="00EA38F6" w:rsidRPr="000864AE" w:rsidRDefault="00EA38F6" w:rsidP="000864AE">
            <w:pPr>
              <w:rPr>
                <w:rFonts w:ascii="Verdana" w:hAnsi="Verdana"/>
                <w:sz w:val="18"/>
                <w:szCs w:val="18"/>
              </w:rPr>
            </w:pPr>
            <w:r w:rsidRPr="000864AE">
              <w:rPr>
                <w:rFonts w:ascii="Verdana" w:hAnsi="Verdana"/>
                <w:sz w:val="18"/>
                <w:szCs w:val="18"/>
              </w:rPr>
              <w:t>Oshiro Oshiro Rosa Yosiko</w:t>
            </w:r>
          </w:p>
        </w:tc>
      </w:tr>
      <w:tr w:rsidR="00EA38F6" w:rsidRPr="000864AE" w14:paraId="7B58F67D" w14:textId="77777777" w:rsidTr="00AC0C51">
        <w:trPr>
          <w:trHeight w:val="300"/>
        </w:trPr>
        <w:tc>
          <w:tcPr>
            <w:tcW w:w="668" w:type="dxa"/>
            <w:vAlign w:val="center"/>
            <w:hideMark/>
          </w:tcPr>
          <w:p w14:paraId="2254D6C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441</w:t>
            </w:r>
          </w:p>
        </w:tc>
        <w:tc>
          <w:tcPr>
            <w:tcW w:w="3835" w:type="dxa"/>
            <w:vAlign w:val="center"/>
            <w:hideMark/>
          </w:tcPr>
          <w:p w14:paraId="2BBFE24A" w14:textId="77777777" w:rsidR="00EA38F6" w:rsidRPr="000864AE" w:rsidRDefault="00EA38F6" w:rsidP="000864AE">
            <w:pPr>
              <w:rPr>
                <w:rFonts w:ascii="Verdana" w:hAnsi="Verdana"/>
                <w:sz w:val="18"/>
                <w:szCs w:val="18"/>
              </w:rPr>
            </w:pPr>
            <w:r w:rsidRPr="000864AE">
              <w:rPr>
                <w:rFonts w:ascii="Verdana" w:hAnsi="Verdana"/>
                <w:sz w:val="18"/>
                <w:szCs w:val="18"/>
              </w:rPr>
              <w:t>Osiro Matusaki Lilian Lucy</w:t>
            </w:r>
          </w:p>
        </w:tc>
      </w:tr>
      <w:tr w:rsidR="00EA38F6" w:rsidRPr="000864AE" w14:paraId="57496277" w14:textId="77777777" w:rsidTr="00AC0C51">
        <w:trPr>
          <w:trHeight w:val="300"/>
        </w:trPr>
        <w:tc>
          <w:tcPr>
            <w:tcW w:w="668" w:type="dxa"/>
            <w:vAlign w:val="center"/>
            <w:hideMark/>
          </w:tcPr>
          <w:p w14:paraId="1EF50FC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442</w:t>
            </w:r>
          </w:p>
        </w:tc>
        <w:tc>
          <w:tcPr>
            <w:tcW w:w="3835" w:type="dxa"/>
            <w:vAlign w:val="center"/>
            <w:hideMark/>
          </w:tcPr>
          <w:p w14:paraId="3A6BDEA6" w14:textId="77777777" w:rsidR="00EA38F6" w:rsidRPr="000864AE" w:rsidRDefault="00EA38F6" w:rsidP="000864AE">
            <w:pPr>
              <w:rPr>
                <w:rFonts w:ascii="Verdana" w:hAnsi="Verdana"/>
                <w:sz w:val="18"/>
                <w:szCs w:val="18"/>
              </w:rPr>
            </w:pPr>
            <w:r w:rsidRPr="000864AE">
              <w:rPr>
                <w:rFonts w:ascii="Verdana" w:hAnsi="Verdana"/>
                <w:sz w:val="18"/>
                <w:szCs w:val="18"/>
              </w:rPr>
              <w:t>Otoya Torres María Gusmara</w:t>
            </w:r>
          </w:p>
        </w:tc>
      </w:tr>
      <w:tr w:rsidR="00EA38F6" w:rsidRPr="000864AE" w14:paraId="3E75BA9C" w14:textId="77777777" w:rsidTr="00AC0C51">
        <w:trPr>
          <w:trHeight w:val="300"/>
        </w:trPr>
        <w:tc>
          <w:tcPr>
            <w:tcW w:w="668" w:type="dxa"/>
            <w:vAlign w:val="center"/>
            <w:hideMark/>
          </w:tcPr>
          <w:p w14:paraId="3553591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443</w:t>
            </w:r>
          </w:p>
        </w:tc>
        <w:tc>
          <w:tcPr>
            <w:tcW w:w="3835" w:type="dxa"/>
            <w:vAlign w:val="center"/>
            <w:hideMark/>
          </w:tcPr>
          <w:p w14:paraId="598E2D89" w14:textId="77777777" w:rsidR="00EA38F6" w:rsidRPr="000864AE" w:rsidRDefault="00EA38F6" w:rsidP="000864AE">
            <w:pPr>
              <w:rPr>
                <w:rFonts w:ascii="Verdana" w:hAnsi="Verdana"/>
                <w:sz w:val="18"/>
                <w:szCs w:val="18"/>
              </w:rPr>
            </w:pPr>
            <w:r w:rsidRPr="000864AE">
              <w:rPr>
                <w:rFonts w:ascii="Verdana" w:hAnsi="Verdana"/>
                <w:sz w:val="18"/>
                <w:szCs w:val="18"/>
              </w:rPr>
              <w:t>Otoya Velezmoro Miguel Antonio</w:t>
            </w:r>
          </w:p>
        </w:tc>
      </w:tr>
      <w:tr w:rsidR="00EA38F6" w:rsidRPr="000864AE" w14:paraId="26D7C0A6" w14:textId="77777777" w:rsidTr="00AC0C51">
        <w:trPr>
          <w:trHeight w:val="300"/>
        </w:trPr>
        <w:tc>
          <w:tcPr>
            <w:tcW w:w="668" w:type="dxa"/>
            <w:vAlign w:val="center"/>
            <w:hideMark/>
          </w:tcPr>
          <w:p w14:paraId="4584C4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444</w:t>
            </w:r>
          </w:p>
        </w:tc>
        <w:tc>
          <w:tcPr>
            <w:tcW w:w="3835" w:type="dxa"/>
            <w:vAlign w:val="center"/>
            <w:hideMark/>
          </w:tcPr>
          <w:p w14:paraId="116D3D5D" w14:textId="77777777" w:rsidR="00EA38F6" w:rsidRPr="000864AE" w:rsidRDefault="00EA38F6" w:rsidP="000864AE">
            <w:pPr>
              <w:rPr>
                <w:rFonts w:ascii="Verdana" w:hAnsi="Verdana"/>
                <w:sz w:val="18"/>
                <w:szCs w:val="18"/>
              </w:rPr>
            </w:pPr>
            <w:r w:rsidRPr="000864AE">
              <w:rPr>
                <w:rFonts w:ascii="Verdana" w:hAnsi="Verdana"/>
                <w:sz w:val="18"/>
                <w:szCs w:val="18"/>
              </w:rPr>
              <w:t>Oviedo Gómez Carlos Humberto</w:t>
            </w:r>
          </w:p>
        </w:tc>
      </w:tr>
      <w:tr w:rsidR="00EA38F6" w:rsidRPr="000864AE" w14:paraId="2FFD017B" w14:textId="77777777" w:rsidTr="00AC0C51">
        <w:trPr>
          <w:trHeight w:val="300"/>
        </w:trPr>
        <w:tc>
          <w:tcPr>
            <w:tcW w:w="668" w:type="dxa"/>
            <w:vAlign w:val="center"/>
            <w:hideMark/>
          </w:tcPr>
          <w:p w14:paraId="3E066C0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445</w:t>
            </w:r>
          </w:p>
        </w:tc>
        <w:tc>
          <w:tcPr>
            <w:tcW w:w="3835" w:type="dxa"/>
            <w:vAlign w:val="center"/>
            <w:hideMark/>
          </w:tcPr>
          <w:p w14:paraId="176C476E" w14:textId="77777777" w:rsidR="00EA38F6" w:rsidRPr="000864AE" w:rsidRDefault="00EA38F6" w:rsidP="000864AE">
            <w:pPr>
              <w:rPr>
                <w:rFonts w:ascii="Verdana" w:hAnsi="Verdana"/>
                <w:sz w:val="18"/>
                <w:szCs w:val="18"/>
              </w:rPr>
            </w:pPr>
            <w:r w:rsidRPr="000864AE">
              <w:rPr>
                <w:rFonts w:ascii="Verdana" w:hAnsi="Verdana"/>
                <w:sz w:val="18"/>
                <w:szCs w:val="18"/>
              </w:rPr>
              <w:t>Pacheco Camargo Juan</w:t>
            </w:r>
          </w:p>
        </w:tc>
      </w:tr>
      <w:tr w:rsidR="00EA38F6" w:rsidRPr="000864AE" w14:paraId="4A1B12D9" w14:textId="77777777" w:rsidTr="00AC0C51">
        <w:trPr>
          <w:trHeight w:val="300"/>
        </w:trPr>
        <w:tc>
          <w:tcPr>
            <w:tcW w:w="668" w:type="dxa"/>
            <w:vAlign w:val="center"/>
            <w:hideMark/>
          </w:tcPr>
          <w:p w14:paraId="182EA03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446</w:t>
            </w:r>
          </w:p>
        </w:tc>
        <w:tc>
          <w:tcPr>
            <w:tcW w:w="3835" w:type="dxa"/>
            <w:vAlign w:val="center"/>
            <w:hideMark/>
          </w:tcPr>
          <w:p w14:paraId="4FC4C088" w14:textId="77777777" w:rsidR="00EA38F6" w:rsidRPr="000864AE" w:rsidRDefault="00EA38F6" w:rsidP="000864AE">
            <w:pPr>
              <w:rPr>
                <w:rFonts w:ascii="Verdana" w:hAnsi="Verdana"/>
                <w:sz w:val="18"/>
                <w:szCs w:val="18"/>
              </w:rPr>
            </w:pPr>
            <w:r w:rsidRPr="000864AE">
              <w:rPr>
                <w:rFonts w:ascii="Verdana" w:hAnsi="Verdana"/>
                <w:sz w:val="18"/>
                <w:szCs w:val="18"/>
              </w:rPr>
              <w:t>Pacheco Leyva Leonidas Flavio</w:t>
            </w:r>
          </w:p>
        </w:tc>
      </w:tr>
      <w:tr w:rsidR="00EA38F6" w:rsidRPr="000864AE" w14:paraId="74D10BB3" w14:textId="77777777" w:rsidTr="00AC0C51">
        <w:trPr>
          <w:trHeight w:val="300"/>
        </w:trPr>
        <w:tc>
          <w:tcPr>
            <w:tcW w:w="668" w:type="dxa"/>
            <w:vAlign w:val="center"/>
            <w:hideMark/>
          </w:tcPr>
          <w:p w14:paraId="0BAEE8D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447</w:t>
            </w:r>
          </w:p>
        </w:tc>
        <w:tc>
          <w:tcPr>
            <w:tcW w:w="3835" w:type="dxa"/>
            <w:vAlign w:val="center"/>
            <w:hideMark/>
          </w:tcPr>
          <w:p w14:paraId="50269FE6" w14:textId="77777777" w:rsidR="00EA38F6" w:rsidRPr="000864AE" w:rsidRDefault="00EA38F6" w:rsidP="000864AE">
            <w:pPr>
              <w:rPr>
                <w:rFonts w:ascii="Verdana" w:hAnsi="Verdana"/>
                <w:sz w:val="18"/>
                <w:szCs w:val="18"/>
              </w:rPr>
            </w:pPr>
            <w:r w:rsidRPr="000864AE">
              <w:rPr>
                <w:rFonts w:ascii="Verdana" w:hAnsi="Verdana"/>
                <w:sz w:val="18"/>
                <w:szCs w:val="18"/>
              </w:rPr>
              <w:t>Pacheco Tueros Luis Enrique</w:t>
            </w:r>
          </w:p>
        </w:tc>
      </w:tr>
      <w:tr w:rsidR="00EA38F6" w:rsidRPr="000864AE" w14:paraId="02E1F1CC" w14:textId="77777777" w:rsidTr="00AC0C51">
        <w:trPr>
          <w:trHeight w:val="300"/>
        </w:trPr>
        <w:tc>
          <w:tcPr>
            <w:tcW w:w="668" w:type="dxa"/>
            <w:vAlign w:val="center"/>
            <w:hideMark/>
          </w:tcPr>
          <w:p w14:paraId="12BAC75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448</w:t>
            </w:r>
          </w:p>
        </w:tc>
        <w:tc>
          <w:tcPr>
            <w:tcW w:w="3835" w:type="dxa"/>
            <w:vAlign w:val="center"/>
            <w:hideMark/>
          </w:tcPr>
          <w:p w14:paraId="227F2602" w14:textId="77777777" w:rsidR="00EA38F6" w:rsidRPr="000864AE" w:rsidRDefault="00EA38F6" w:rsidP="000864AE">
            <w:pPr>
              <w:rPr>
                <w:rFonts w:ascii="Verdana" w:hAnsi="Verdana"/>
                <w:sz w:val="18"/>
                <w:szCs w:val="18"/>
              </w:rPr>
            </w:pPr>
            <w:r w:rsidRPr="000864AE">
              <w:rPr>
                <w:rFonts w:ascii="Verdana" w:hAnsi="Verdana"/>
                <w:sz w:val="18"/>
                <w:szCs w:val="18"/>
              </w:rPr>
              <w:t>Paco Contreras Teodoro Ninfo</w:t>
            </w:r>
          </w:p>
        </w:tc>
      </w:tr>
      <w:tr w:rsidR="00EA38F6" w:rsidRPr="000864AE" w14:paraId="5123C9EF" w14:textId="77777777" w:rsidTr="00AC0C51">
        <w:trPr>
          <w:trHeight w:val="300"/>
        </w:trPr>
        <w:tc>
          <w:tcPr>
            <w:tcW w:w="668" w:type="dxa"/>
            <w:vAlign w:val="center"/>
            <w:hideMark/>
          </w:tcPr>
          <w:p w14:paraId="3105D52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449</w:t>
            </w:r>
          </w:p>
        </w:tc>
        <w:tc>
          <w:tcPr>
            <w:tcW w:w="3835" w:type="dxa"/>
            <w:vAlign w:val="center"/>
            <w:hideMark/>
          </w:tcPr>
          <w:p w14:paraId="47CE51C5" w14:textId="77777777" w:rsidR="00EA38F6" w:rsidRPr="000864AE" w:rsidRDefault="00EA38F6" w:rsidP="000864AE">
            <w:pPr>
              <w:rPr>
                <w:rFonts w:ascii="Verdana" w:hAnsi="Verdana"/>
                <w:sz w:val="18"/>
                <w:szCs w:val="18"/>
              </w:rPr>
            </w:pPr>
            <w:r w:rsidRPr="000864AE">
              <w:rPr>
                <w:rFonts w:ascii="Verdana" w:hAnsi="Verdana"/>
                <w:sz w:val="18"/>
                <w:szCs w:val="18"/>
              </w:rPr>
              <w:t>Pajuelo Villegas Elsa Haydee</w:t>
            </w:r>
          </w:p>
        </w:tc>
      </w:tr>
      <w:tr w:rsidR="00EA38F6" w:rsidRPr="000864AE" w14:paraId="507322F0" w14:textId="77777777" w:rsidTr="00AC0C51">
        <w:trPr>
          <w:trHeight w:val="300"/>
        </w:trPr>
        <w:tc>
          <w:tcPr>
            <w:tcW w:w="668" w:type="dxa"/>
            <w:vAlign w:val="center"/>
            <w:hideMark/>
          </w:tcPr>
          <w:p w14:paraId="6506A7B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450</w:t>
            </w:r>
          </w:p>
        </w:tc>
        <w:tc>
          <w:tcPr>
            <w:tcW w:w="3835" w:type="dxa"/>
            <w:vAlign w:val="center"/>
            <w:hideMark/>
          </w:tcPr>
          <w:p w14:paraId="4B5D2C23" w14:textId="77777777" w:rsidR="00EA38F6" w:rsidRPr="000864AE" w:rsidRDefault="00EA38F6" w:rsidP="000864AE">
            <w:pPr>
              <w:rPr>
                <w:rFonts w:ascii="Verdana" w:hAnsi="Verdana"/>
                <w:sz w:val="18"/>
                <w:szCs w:val="18"/>
              </w:rPr>
            </w:pPr>
            <w:r w:rsidRPr="000864AE">
              <w:rPr>
                <w:rFonts w:ascii="Verdana" w:hAnsi="Verdana"/>
                <w:sz w:val="18"/>
                <w:szCs w:val="18"/>
              </w:rPr>
              <w:t>Palma Flores Ricardo Enrique</w:t>
            </w:r>
          </w:p>
        </w:tc>
      </w:tr>
      <w:tr w:rsidR="00EA38F6" w:rsidRPr="000864AE" w14:paraId="62C1B961" w14:textId="77777777" w:rsidTr="00AC0C51">
        <w:trPr>
          <w:trHeight w:val="300"/>
        </w:trPr>
        <w:tc>
          <w:tcPr>
            <w:tcW w:w="668" w:type="dxa"/>
            <w:vAlign w:val="center"/>
            <w:hideMark/>
          </w:tcPr>
          <w:p w14:paraId="6C10446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451</w:t>
            </w:r>
          </w:p>
        </w:tc>
        <w:tc>
          <w:tcPr>
            <w:tcW w:w="3835" w:type="dxa"/>
            <w:vAlign w:val="center"/>
            <w:hideMark/>
          </w:tcPr>
          <w:p w14:paraId="471DF160" w14:textId="77777777" w:rsidR="00EA38F6" w:rsidRPr="000864AE" w:rsidRDefault="00EA38F6" w:rsidP="000864AE">
            <w:pPr>
              <w:rPr>
                <w:rFonts w:ascii="Verdana" w:hAnsi="Verdana"/>
                <w:sz w:val="18"/>
                <w:szCs w:val="18"/>
              </w:rPr>
            </w:pPr>
            <w:r w:rsidRPr="000864AE">
              <w:rPr>
                <w:rFonts w:ascii="Verdana" w:hAnsi="Verdana"/>
                <w:sz w:val="18"/>
                <w:szCs w:val="18"/>
              </w:rPr>
              <w:t>Palma Flores Rosa Elvira</w:t>
            </w:r>
          </w:p>
        </w:tc>
      </w:tr>
      <w:tr w:rsidR="00EA38F6" w:rsidRPr="000864AE" w14:paraId="3065D7F9" w14:textId="77777777" w:rsidTr="00AC0C51">
        <w:trPr>
          <w:trHeight w:val="300"/>
        </w:trPr>
        <w:tc>
          <w:tcPr>
            <w:tcW w:w="668" w:type="dxa"/>
            <w:vAlign w:val="center"/>
            <w:hideMark/>
          </w:tcPr>
          <w:p w14:paraId="3CF19F5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452</w:t>
            </w:r>
          </w:p>
        </w:tc>
        <w:tc>
          <w:tcPr>
            <w:tcW w:w="3835" w:type="dxa"/>
            <w:vAlign w:val="center"/>
            <w:hideMark/>
          </w:tcPr>
          <w:p w14:paraId="1C7ADC65" w14:textId="77777777" w:rsidR="00EA38F6" w:rsidRPr="000864AE" w:rsidRDefault="00EA38F6" w:rsidP="000864AE">
            <w:pPr>
              <w:rPr>
                <w:rFonts w:ascii="Verdana" w:hAnsi="Verdana"/>
                <w:sz w:val="18"/>
                <w:szCs w:val="18"/>
              </w:rPr>
            </w:pPr>
            <w:r w:rsidRPr="000864AE">
              <w:rPr>
                <w:rFonts w:ascii="Verdana" w:hAnsi="Verdana"/>
                <w:sz w:val="18"/>
                <w:szCs w:val="18"/>
              </w:rPr>
              <w:t>Pantoja Marroquín Hilda Teresa</w:t>
            </w:r>
          </w:p>
        </w:tc>
      </w:tr>
      <w:tr w:rsidR="00EA38F6" w:rsidRPr="000864AE" w14:paraId="150BC973" w14:textId="77777777" w:rsidTr="00AC0C51">
        <w:trPr>
          <w:trHeight w:val="300"/>
        </w:trPr>
        <w:tc>
          <w:tcPr>
            <w:tcW w:w="668" w:type="dxa"/>
            <w:vAlign w:val="center"/>
            <w:hideMark/>
          </w:tcPr>
          <w:p w14:paraId="4E1B37A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453</w:t>
            </w:r>
          </w:p>
        </w:tc>
        <w:tc>
          <w:tcPr>
            <w:tcW w:w="3835" w:type="dxa"/>
            <w:vAlign w:val="center"/>
            <w:hideMark/>
          </w:tcPr>
          <w:p w14:paraId="05331DD3" w14:textId="77777777" w:rsidR="00EA38F6" w:rsidRPr="000864AE" w:rsidRDefault="00EA38F6" w:rsidP="000864AE">
            <w:pPr>
              <w:rPr>
                <w:rFonts w:ascii="Verdana" w:hAnsi="Verdana"/>
                <w:sz w:val="18"/>
                <w:szCs w:val="18"/>
              </w:rPr>
            </w:pPr>
            <w:r w:rsidRPr="000864AE">
              <w:rPr>
                <w:rFonts w:ascii="Verdana" w:hAnsi="Verdana"/>
                <w:sz w:val="18"/>
                <w:szCs w:val="18"/>
              </w:rPr>
              <w:t>Pardo Heredia Alejandro</w:t>
            </w:r>
          </w:p>
        </w:tc>
      </w:tr>
      <w:tr w:rsidR="00EA38F6" w:rsidRPr="000864AE" w14:paraId="20735B65" w14:textId="77777777" w:rsidTr="00AC0C51">
        <w:trPr>
          <w:trHeight w:val="300"/>
        </w:trPr>
        <w:tc>
          <w:tcPr>
            <w:tcW w:w="668" w:type="dxa"/>
            <w:vAlign w:val="center"/>
            <w:hideMark/>
          </w:tcPr>
          <w:p w14:paraId="003BF12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454</w:t>
            </w:r>
          </w:p>
        </w:tc>
        <w:tc>
          <w:tcPr>
            <w:tcW w:w="3835" w:type="dxa"/>
            <w:vAlign w:val="center"/>
            <w:hideMark/>
          </w:tcPr>
          <w:p w14:paraId="16A05897" w14:textId="77777777" w:rsidR="00EA38F6" w:rsidRPr="000864AE" w:rsidRDefault="00EA38F6" w:rsidP="000864AE">
            <w:pPr>
              <w:rPr>
                <w:rFonts w:ascii="Verdana" w:hAnsi="Verdana"/>
                <w:sz w:val="18"/>
                <w:szCs w:val="18"/>
              </w:rPr>
            </w:pPr>
            <w:r w:rsidRPr="000864AE">
              <w:rPr>
                <w:rFonts w:ascii="Verdana" w:hAnsi="Verdana"/>
                <w:sz w:val="18"/>
                <w:szCs w:val="18"/>
              </w:rPr>
              <w:t>Pardo Vega José Armando</w:t>
            </w:r>
          </w:p>
        </w:tc>
      </w:tr>
      <w:tr w:rsidR="00EA38F6" w:rsidRPr="000864AE" w14:paraId="2248A285" w14:textId="77777777" w:rsidTr="00AC0C51">
        <w:trPr>
          <w:trHeight w:val="300"/>
        </w:trPr>
        <w:tc>
          <w:tcPr>
            <w:tcW w:w="668" w:type="dxa"/>
            <w:vAlign w:val="center"/>
            <w:hideMark/>
          </w:tcPr>
          <w:p w14:paraId="0485FEE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455</w:t>
            </w:r>
          </w:p>
        </w:tc>
        <w:tc>
          <w:tcPr>
            <w:tcW w:w="3835" w:type="dxa"/>
            <w:vAlign w:val="center"/>
            <w:hideMark/>
          </w:tcPr>
          <w:p w14:paraId="23918FDC" w14:textId="77777777" w:rsidR="00EA38F6" w:rsidRPr="000864AE" w:rsidRDefault="00EA38F6" w:rsidP="000864AE">
            <w:pPr>
              <w:rPr>
                <w:rFonts w:ascii="Verdana" w:hAnsi="Verdana"/>
                <w:sz w:val="18"/>
                <w:szCs w:val="18"/>
              </w:rPr>
            </w:pPr>
            <w:r w:rsidRPr="000864AE">
              <w:rPr>
                <w:rFonts w:ascii="Verdana" w:hAnsi="Verdana"/>
                <w:sz w:val="18"/>
                <w:szCs w:val="18"/>
              </w:rPr>
              <w:t>Paredes Meléndez Teresa Elizabeth</w:t>
            </w:r>
          </w:p>
        </w:tc>
      </w:tr>
      <w:tr w:rsidR="00EA38F6" w:rsidRPr="000864AE" w14:paraId="48CF3EBF" w14:textId="77777777" w:rsidTr="00AC0C51">
        <w:trPr>
          <w:trHeight w:val="300"/>
        </w:trPr>
        <w:tc>
          <w:tcPr>
            <w:tcW w:w="668" w:type="dxa"/>
            <w:vAlign w:val="center"/>
            <w:hideMark/>
          </w:tcPr>
          <w:p w14:paraId="578F999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456</w:t>
            </w:r>
          </w:p>
        </w:tc>
        <w:tc>
          <w:tcPr>
            <w:tcW w:w="3835" w:type="dxa"/>
            <w:vAlign w:val="center"/>
            <w:hideMark/>
          </w:tcPr>
          <w:p w14:paraId="3B04F8F2" w14:textId="77777777" w:rsidR="00EA38F6" w:rsidRPr="000864AE" w:rsidRDefault="00EA38F6" w:rsidP="000864AE">
            <w:pPr>
              <w:rPr>
                <w:rFonts w:ascii="Verdana" w:hAnsi="Verdana"/>
                <w:sz w:val="18"/>
                <w:szCs w:val="18"/>
              </w:rPr>
            </w:pPr>
            <w:r w:rsidRPr="000864AE">
              <w:rPr>
                <w:rFonts w:ascii="Verdana" w:hAnsi="Verdana"/>
                <w:sz w:val="18"/>
                <w:szCs w:val="18"/>
              </w:rPr>
              <w:t>Paredes Panduro Luis</w:t>
            </w:r>
          </w:p>
        </w:tc>
      </w:tr>
      <w:tr w:rsidR="00EA38F6" w:rsidRPr="000864AE" w14:paraId="0A10A8B5" w14:textId="77777777" w:rsidTr="00AC0C51">
        <w:trPr>
          <w:trHeight w:val="300"/>
        </w:trPr>
        <w:tc>
          <w:tcPr>
            <w:tcW w:w="668" w:type="dxa"/>
            <w:vAlign w:val="center"/>
            <w:hideMark/>
          </w:tcPr>
          <w:p w14:paraId="51A6EF4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457</w:t>
            </w:r>
          </w:p>
        </w:tc>
        <w:tc>
          <w:tcPr>
            <w:tcW w:w="3835" w:type="dxa"/>
            <w:vAlign w:val="center"/>
            <w:hideMark/>
          </w:tcPr>
          <w:p w14:paraId="0C35E14B" w14:textId="77777777" w:rsidR="00EA38F6" w:rsidRPr="000864AE" w:rsidRDefault="00EA38F6" w:rsidP="000864AE">
            <w:pPr>
              <w:rPr>
                <w:rFonts w:ascii="Verdana" w:hAnsi="Verdana"/>
                <w:sz w:val="18"/>
                <w:szCs w:val="18"/>
              </w:rPr>
            </w:pPr>
            <w:r w:rsidRPr="000864AE">
              <w:rPr>
                <w:rFonts w:ascii="Verdana" w:hAnsi="Verdana"/>
                <w:sz w:val="18"/>
                <w:szCs w:val="18"/>
              </w:rPr>
              <w:t>Parker Pacheco Estrella Luz</w:t>
            </w:r>
          </w:p>
        </w:tc>
      </w:tr>
      <w:tr w:rsidR="00EA38F6" w:rsidRPr="000864AE" w14:paraId="0EBB2AA2" w14:textId="77777777" w:rsidTr="00AC0C51">
        <w:trPr>
          <w:trHeight w:val="300"/>
        </w:trPr>
        <w:tc>
          <w:tcPr>
            <w:tcW w:w="668" w:type="dxa"/>
            <w:vAlign w:val="center"/>
            <w:hideMark/>
          </w:tcPr>
          <w:p w14:paraId="3C24CC8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458</w:t>
            </w:r>
          </w:p>
        </w:tc>
        <w:tc>
          <w:tcPr>
            <w:tcW w:w="3835" w:type="dxa"/>
            <w:vAlign w:val="center"/>
            <w:hideMark/>
          </w:tcPr>
          <w:p w14:paraId="6AC7D173" w14:textId="77777777" w:rsidR="00EA38F6" w:rsidRPr="000864AE" w:rsidRDefault="00EA38F6" w:rsidP="000864AE">
            <w:pPr>
              <w:rPr>
                <w:rFonts w:ascii="Verdana" w:hAnsi="Verdana"/>
                <w:sz w:val="18"/>
                <w:szCs w:val="18"/>
              </w:rPr>
            </w:pPr>
            <w:r w:rsidRPr="000864AE">
              <w:rPr>
                <w:rFonts w:ascii="Verdana" w:hAnsi="Verdana"/>
                <w:sz w:val="18"/>
                <w:szCs w:val="18"/>
              </w:rPr>
              <w:t>Parra Loli Wladimiro Hugo</w:t>
            </w:r>
          </w:p>
        </w:tc>
      </w:tr>
      <w:tr w:rsidR="00EA38F6" w:rsidRPr="000864AE" w14:paraId="198F6EDB" w14:textId="77777777" w:rsidTr="00AC0C51">
        <w:trPr>
          <w:trHeight w:val="300"/>
        </w:trPr>
        <w:tc>
          <w:tcPr>
            <w:tcW w:w="668" w:type="dxa"/>
            <w:vAlign w:val="center"/>
            <w:hideMark/>
          </w:tcPr>
          <w:p w14:paraId="3D5F341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459</w:t>
            </w:r>
          </w:p>
        </w:tc>
        <w:tc>
          <w:tcPr>
            <w:tcW w:w="3835" w:type="dxa"/>
            <w:vAlign w:val="center"/>
            <w:hideMark/>
          </w:tcPr>
          <w:p w14:paraId="085E026B" w14:textId="77777777" w:rsidR="00EA38F6" w:rsidRPr="000864AE" w:rsidRDefault="00EA38F6" w:rsidP="000864AE">
            <w:pPr>
              <w:rPr>
                <w:rFonts w:ascii="Verdana" w:hAnsi="Verdana"/>
                <w:sz w:val="18"/>
                <w:szCs w:val="18"/>
              </w:rPr>
            </w:pPr>
            <w:r w:rsidRPr="000864AE">
              <w:rPr>
                <w:rFonts w:ascii="Verdana" w:hAnsi="Verdana"/>
                <w:sz w:val="18"/>
                <w:szCs w:val="18"/>
              </w:rPr>
              <w:t>Parra Sánchez José Santos</w:t>
            </w:r>
          </w:p>
        </w:tc>
      </w:tr>
      <w:tr w:rsidR="00EA38F6" w:rsidRPr="000864AE" w14:paraId="57FBBF10" w14:textId="77777777" w:rsidTr="00AC0C51">
        <w:trPr>
          <w:trHeight w:val="300"/>
        </w:trPr>
        <w:tc>
          <w:tcPr>
            <w:tcW w:w="668" w:type="dxa"/>
            <w:vAlign w:val="center"/>
            <w:hideMark/>
          </w:tcPr>
          <w:p w14:paraId="2E9C92F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460</w:t>
            </w:r>
          </w:p>
        </w:tc>
        <w:tc>
          <w:tcPr>
            <w:tcW w:w="3835" w:type="dxa"/>
            <w:vAlign w:val="center"/>
            <w:hideMark/>
          </w:tcPr>
          <w:p w14:paraId="47BDD0B0" w14:textId="77777777" w:rsidR="00EA38F6" w:rsidRPr="000864AE" w:rsidRDefault="00EA38F6" w:rsidP="000864AE">
            <w:pPr>
              <w:rPr>
                <w:rFonts w:ascii="Verdana" w:hAnsi="Verdana"/>
                <w:sz w:val="18"/>
                <w:szCs w:val="18"/>
              </w:rPr>
            </w:pPr>
            <w:r w:rsidRPr="000864AE">
              <w:rPr>
                <w:rFonts w:ascii="Verdana" w:hAnsi="Verdana"/>
                <w:sz w:val="18"/>
                <w:szCs w:val="18"/>
              </w:rPr>
              <w:t>Pasco Fitzgerald Elva Hercilia</w:t>
            </w:r>
          </w:p>
        </w:tc>
      </w:tr>
      <w:tr w:rsidR="00EA38F6" w:rsidRPr="000864AE" w14:paraId="0F1FD7A5" w14:textId="77777777" w:rsidTr="00AC0C51">
        <w:trPr>
          <w:trHeight w:val="300"/>
        </w:trPr>
        <w:tc>
          <w:tcPr>
            <w:tcW w:w="668" w:type="dxa"/>
            <w:vAlign w:val="center"/>
            <w:hideMark/>
          </w:tcPr>
          <w:p w14:paraId="6FDD9B7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461</w:t>
            </w:r>
          </w:p>
        </w:tc>
        <w:tc>
          <w:tcPr>
            <w:tcW w:w="3835" w:type="dxa"/>
            <w:vAlign w:val="center"/>
            <w:hideMark/>
          </w:tcPr>
          <w:p w14:paraId="23A1BEC2" w14:textId="77777777" w:rsidR="00EA38F6" w:rsidRPr="000864AE" w:rsidRDefault="00EA38F6" w:rsidP="000864AE">
            <w:pPr>
              <w:rPr>
                <w:rFonts w:ascii="Verdana" w:hAnsi="Verdana"/>
                <w:sz w:val="18"/>
                <w:szCs w:val="18"/>
              </w:rPr>
            </w:pPr>
            <w:r w:rsidRPr="000864AE">
              <w:rPr>
                <w:rFonts w:ascii="Verdana" w:hAnsi="Verdana"/>
                <w:sz w:val="18"/>
                <w:szCs w:val="18"/>
              </w:rPr>
              <w:t>Pasquel Ormaza Francisco</w:t>
            </w:r>
          </w:p>
        </w:tc>
      </w:tr>
      <w:tr w:rsidR="00EA38F6" w:rsidRPr="000864AE" w14:paraId="05BFB700" w14:textId="77777777" w:rsidTr="00AC0C51">
        <w:trPr>
          <w:trHeight w:val="300"/>
        </w:trPr>
        <w:tc>
          <w:tcPr>
            <w:tcW w:w="668" w:type="dxa"/>
            <w:vAlign w:val="center"/>
            <w:hideMark/>
          </w:tcPr>
          <w:p w14:paraId="53A08D2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462</w:t>
            </w:r>
          </w:p>
        </w:tc>
        <w:tc>
          <w:tcPr>
            <w:tcW w:w="3835" w:type="dxa"/>
            <w:vAlign w:val="center"/>
            <w:hideMark/>
          </w:tcPr>
          <w:p w14:paraId="51535A65" w14:textId="77777777" w:rsidR="00EA38F6" w:rsidRPr="000864AE" w:rsidRDefault="00EA38F6" w:rsidP="000864AE">
            <w:pPr>
              <w:rPr>
                <w:rFonts w:ascii="Verdana" w:hAnsi="Verdana"/>
                <w:sz w:val="18"/>
                <w:szCs w:val="18"/>
              </w:rPr>
            </w:pPr>
            <w:r w:rsidRPr="000864AE">
              <w:rPr>
                <w:rFonts w:ascii="Verdana" w:hAnsi="Verdana"/>
                <w:sz w:val="18"/>
                <w:szCs w:val="18"/>
              </w:rPr>
              <w:t>Paulini Efio Elia Nora</w:t>
            </w:r>
          </w:p>
        </w:tc>
      </w:tr>
      <w:tr w:rsidR="00EA38F6" w:rsidRPr="000864AE" w14:paraId="620D4B2B" w14:textId="77777777" w:rsidTr="00AC0C51">
        <w:trPr>
          <w:trHeight w:val="300"/>
        </w:trPr>
        <w:tc>
          <w:tcPr>
            <w:tcW w:w="668" w:type="dxa"/>
            <w:vAlign w:val="center"/>
            <w:hideMark/>
          </w:tcPr>
          <w:p w14:paraId="26DC3A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463</w:t>
            </w:r>
          </w:p>
        </w:tc>
        <w:tc>
          <w:tcPr>
            <w:tcW w:w="3835" w:type="dxa"/>
            <w:vAlign w:val="center"/>
            <w:hideMark/>
          </w:tcPr>
          <w:p w14:paraId="69BBBB4C" w14:textId="77777777" w:rsidR="00EA38F6" w:rsidRPr="000864AE" w:rsidRDefault="00EA38F6" w:rsidP="000864AE">
            <w:pPr>
              <w:rPr>
                <w:rFonts w:ascii="Verdana" w:hAnsi="Verdana"/>
                <w:sz w:val="18"/>
                <w:szCs w:val="18"/>
              </w:rPr>
            </w:pPr>
            <w:r w:rsidRPr="000864AE">
              <w:rPr>
                <w:rFonts w:ascii="Verdana" w:hAnsi="Verdana"/>
                <w:sz w:val="18"/>
                <w:szCs w:val="18"/>
              </w:rPr>
              <w:t>Peña Flores Irma</w:t>
            </w:r>
          </w:p>
        </w:tc>
      </w:tr>
      <w:tr w:rsidR="00EA38F6" w:rsidRPr="000864AE" w14:paraId="5A2A64FB" w14:textId="77777777" w:rsidTr="00AC0C51">
        <w:trPr>
          <w:trHeight w:val="300"/>
        </w:trPr>
        <w:tc>
          <w:tcPr>
            <w:tcW w:w="668" w:type="dxa"/>
            <w:vAlign w:val="center"/>
            <w:hideMark/>
          </w:tcPr>
          <w:p w14:paraId="3309946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464</w:t>
            </w:r>
          </w:p>
        </w:tc>
        <w:tc>
          <w:tcPr>
            <w:tcW w:w="3835" w:type="dxa"/>
            <w:vAlign w:val="center"/>
            <w:hideMark/>
          </w:tcPr>
          <w:p w14:paraId="118FF158" w14:textId="77777777" w:rsidR="00EA38F6" w:rsidRPr="000864AE" w:rsidRDefault="00EA38F6" w:rsidP="000864AE">
            <w:pPr>
              <w:rPr>
                <w:rFonts w:ascii="Verdana" w:hAnsi="Verdana"/>
                <w:sz w:val="18"/>
                <w:szCs w:val="18"/>
              </w:rPr>
            </w:pPr>
            <w:r w:rsidRPr="000864AE">
              <w:rPr>
                <w:rFonts w:ascii="Verdana" w:hAnsi="Verdana"/>
                <w:sz w:val="18"/>
                <w:szCs w:val="18"/>
              </w:rPr>
              <w:t>Peppe Riega Nicolás</w:t>
            </w:r>
          </w:p>
        </w:tc>
      </w:tr>
      <w:tr w:rsidR="00EA38F6" w:rsidRPr="000864AE" w14:paraId="4E348ECE" w14:textId="77777777" w:rsidTr="00AC0C51">
        <w:trPr>
          <w:trHeight w:val="300"/>
        </w:trPr>
        <w:tc>
          <w:tcPr>
            <w:tcW w:w="668" w:type="dxa"/>
            <w:vAlign w:val="center"/>
            <w:hideMark/>
          </w:tcPr>
          <w:p w14:paraId="2770CAE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465</w:t>
            </w:r>
          </w:p>
        </w:tc>
        <w:tc>
          <w:tcPr>
            <w:tcW w:w="3835" w:type="dxa"/>
            <w:vAlign w:val="center"/>
            <w:hideMark/>
          </w:tcPr>
          <w:p w14:paraId="2D23B71D" w14:textId="77777777" w:rsidR="00EA38F6" w:rsidRPr="000864AE" w:rsidRDefault="00EA38F6" w:rsidP="000864AE">
            <w:pPr>
              <w:rPr>
                <w:rFonts w:ascii="Verdana" w:hAnsi="Verdana"/>
                <w:sz w:val="18"/>
                <w:szCs w:val="18"/>
              </w:rPr>
            </w:pPr>
            <w:r w:rsidRPr="000864AE">
              <w:rPr>
                <w:rFonts w:ascii="Verdana" w:hAnsi="Verdana"/>
                <w:sz w:val="18"/>
                <w:szCs w:val="18"/>
              </w:rPr>
              <w:t>Peralta Zegarra Zoila Aurora</w:t>
            </w:r>
          </w:p>
        </w:tc>
      </w:tr>
      <w:tr w:rsidR="00EA38F6" w:rsidRPr="000864AE" w14:paraId="2927CBC0" w14:textId="77777777" w:rsidTr="00AC0C51">
        <w:trPr>
          <w:trHeight w:val="300"/>
        </w:trPr>
        <w:tc>
          <w:tcPr>
            <w:tcW w:w="668" w:type="dxa"/>
            <w:vAlign w:val="center"/>
            <w:hideMark/>
          </w:tcPr>
          <w:p w14:paraId="5157425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466</w:t>
            </w:r>
          </w:p>
        </w:tc>
        <w:tc>
          <w:tcPr>
            <w:tcW w:w="3835" w:type="dxa"/>
            <w:vAlign w:val="center"/>
            <w:hideMark/>
          </w:tcPr>
          <w:p w14:paraId="1B97C9DC" w14:textId="77777777" w:rsidR="00EA38F6" w:rsidRPr="000864AE" w:rsidRDefault="00EA38F6" w:rsidP="000864AE">
            <w:pPr>
              <w:rPr>
                <w:rFonts w:ascii="Verdana" w:hAnsi="Verdana"/>
                <w:sz w:val="18"/>
                <w:szCs w:val="18"/>
              </w:rPr>
            </w:pPr>
            <w:r w:rsidRPr="000864AE">
              <w:rPr>
                <w:rFonts w:ascii="Verdana" w:hAnsi="Verdana"/>
                <w:sz w:val="18"/>
                <w:szCs w:val="18"/>
              </w:rPr>
              <w:t>Pereyra Echegaray Elsa Rosario</w:t>
            </w:r>
          </w:p>
        </w:tc>
      </w:tr>
      <w:tr w:rsidR="00EA38F6" w:rsidRPr="000864AE" w14:paraId="05A3B7C1" w14:textId="77777777" w:rsidTr="00AC0C51">
        <w:trPr>
          <w:trHeight w:val="300"/>
        </w:trPr>
        <w:tc>
          <w:tcPr>
            <w:tcW w:w="668" w:type="dxa"/>
            <w:vAlign w:val="center"/>
            <w:hideMark/>
          </w:tcPr>
          <w:p w14:paraId="76C03B8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467</w:t>
            </w:r>
          </w:p>
        </w:tc>
        <w:tc>
          <w:tcPr>
            <w:tcW w:w="3835" w:type="dxa"/>
            <w:vAlign w:val="center"/>
            <w:hideMark/>
          </w:tcPr>
          <w:p w14:paraId="47B8550D" w14:textId="77777777" w:rsidR="00EA38F6" w:rsidRPr="000864AE" w:rsidRDefault="00EA38F6" w:rsidP="000864AE">
            <w:pPr>
              <w:rPr>
                <w:rFonts w:ascii="Verdana" w:hAnsi="Verdana"/>
                <w:sz w:val="18"/>
                <w:szCs w:val="18"/>
              </w:rPr>
            </w:pPr>
            <w:r w:rsidRPr="000864AE">
              <w:rPr>
                <w:rFonts w:ascii="Verdana" w:hAnsi="Verdana"/>
                <w:sz w:val="18"/>
                <w:szCs w:val="18"/>
              </w:rPr>
              <w:t>Pérez Alejos Vicente Wilson</w:t>
            </w:r>
          </w:p>
        </w:tc>
      </w:tr>
      <w:tr w:rsidR="00EA38F6" w:rsidRPr="000864AE" w14:paraId="6032BB10" w14:textId="77777777" w:rsidTr="00AC0C51">
        <w:trPr>
          <w:trHeight w:val="300"/>
        </w:trPr>
        <w:tc>
          <w:tcPr>
            <w:tcW w:w="668" w:type="dxa"/>
            <w:vAlign w:val="center"/>
            <w:hideMark/>
          </w:tcPr>
          <w:p w14:paraId="74CD2D6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468</w:t>
            </w:r>
          </w:p>
        </w:tc>
        <w:tc>
          <w:tcPr>
            <w:tcW w:w="3835" w:type="dxa"/>
            <w:vAlign w:val="center"/>
            <w:hideMark/>
          </w:tcPr>
          <w:p w14:paraId="7E536410" w14:textId="77777777" w:rsidR="00EA38F6" w:rsidRPr="000864AE" w:rsidRDefault="00EA38F6" w:rsidP="000864AE">
            <w:pPr>
              <w:rPr>
                <w:rFonts w:ascii="Verdana" w:hAnsi="Verdana"/>
                <w:sz w:val="18"/>
                <w:szCs w:val="18"/>
              </w:rPr>
            </w:pPr>
            <w:r w:rsidRPr="000864AE">
              <w:rPr>
                <w:rFonts w:ascii="Verdana" w:hAnsi="Verdana"/>
                <w:sz w:val="18"/>
                <w:szCs w:val="18"/>
              </w:rPr>
              <w:t>Pérez Castro Julián</w:t>
            </w:r>
          </w:p>
        </w:tc>
      </w:tr>
      <w:tr w:rsidR="00EA38F6" w:rsidRPr="000864AE" w14:paraId="763CCA68" w14:textId="77777777" w:rsidTr="00AC0C51">
        <w:trPr>
          <w:trHeight w:val="300"/>
        </w:trPr>
        <w:tc>
          <w:tcPr>
            <w:tcW w:w="668" w:type="dxa"/>
            <w:vAlign w:val="center"/>
            <w:hideMark/>
          </w:tcPr>
          <w:p w14:paraId="153F3B6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469</w:t>
            </w:r>
          </w:p>
        </w:tc>
        <w:tc>
          <w:tcPr>
            <w:tcW w:w="3835" w:type="dxa"/>
            <w:vAlign w:val="center"/>
            <w:hideMark/>
          </w:tcPr>
          <w:p w14:paraId="35D6385B" w14:textId="77777777" w:rsidR="00EA38F6" w:rsidRPr="000864AE" w:rsidRDefault="00EA38F6" w:rsidP="000864AE">
            <w:pPr>
              <w:rPr>
                <w:rFonts w:ascii="Verdana" w:hAnsi="Verdana"/>
                <w:sz w:val="18"/>
                <w:szCs w:val="18"/>
              </w:rPr>
            </w:pPr>
            <w:r w:rsidRPr="000864AE">
              <w:rPr>
                <w:rFonts w:ascii="Verdana" w:hAnsi="Verdana"/>
                <w:sz w:val="18"/>
                <w:szCs w:val="18"/>
              </w:rPr>
              <w:t>Pérez Choque María Victoria</w:t>
            </w:r>
          </w:p>
        </w:tc>
      </w:tr>
      <w:tr w:rsidR="00EA38F6" w:rsidRPr="000864AE" w14:paraId="1F8CF773" w14:textId="77777777" w:rsidTr="00AC0C51">
        <w:trPr>
          <w:trHeight w:val="300"/>
        </w:trPr>
        <w:tc>
          <w:tcPr>
            <w:tcW w:w="668" w:type="dxa"/>
            <w:vAlign w:val="center"/>
            <w:hideMark/>
          </w:tcPr>
          <w:p w14:paraId="152DDF5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470</w:t>
            </w:r>
          </w:p>
        </w:tc>
        <w:tc>
          <w:tcPr>
            <w:tcW w:w="3835" w:type="dxa"/>
            <w:vAlign w:val="center"/>
            <w:hideMark/>
          </w:tcPr>
          <w:p w14:paraId="1BDD9AEB" w14:textId="77777777" w:rsidR="00EA38F6" w:rsidRPr="000864AE" w:rsidRDefault="00EA38F6" w:rsidP="000864AE">
            <w:pPr>
              <w:rPr>
                <w:rFonts w:ascii="Verdana" w:hAnsi="Verdana"/>
                <w:sz w:val="18"/>
                <w:szCs w:val="18"/>
              </w:rPr>
            </w:pPr>
            <w:r w:rsidRPr="000864AE">
              <w:rPr>
                <w:rFonts w:ascii="Verdana" w:hAnsi="Verdana"/>
                <w:sz w:val="18"/>
                <w:szCs w:val="18"/>
              </w:rPr>
              <w:t>Pérez Frazer María De Lourdes</w:t>
            </w:r>
          </w:p>
        </w:tc>
      </w:tr>
      <w:tr w:rsidR="00EA38F6" w:rsidRPr="000864AE" w14:paraId="46254BD2" w14:textId="77777777" w:rsidTr="00AC0C51">
        <w:trPr>
          <w:trHeight w:val="300"/>
        </w:trPr>
        <w:tc>
          <w:tcPr>
            <w:tcW w:w="668" w:type="dxa"/>
            <w:vAlign w:val="center"/>
            <w:hideMark/>
          </w:tcPr>
          <w:p w14:paraId="7DFDB49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471</w:t>
            </w:r>
          </w:p>
        </w:tc>
        <w:tc>
          <w:tcPr>
            <w:tcW w:w="3835" w:type="dxa"/>
            <w:vAlign w:val="center"/>
            <w:hideMark/>
          </w:tcPr>
          <w:p w14:paraId="0905FF71" w14:textId="77777777" w:rsidR="00EA38F6" w:rsidRPr="000864AE" w:rsidRDefault="00EA38F6" w:rsidP="000864AE">
            <w:pPr>
              <w:rPr>
                <w:rFonts w:ascii="Verdana" w:hAnsi="Verdana"/>
                <w:sz w:val="18"/>
                <w:szCs w:val="18"/>
              </w:rPr>
            </w:pPr>
            <w:r w:rsidRPr="000864AE">
              <w:rPr>
                <w:rFonts w:ascii="Verdana" w:hAnsi="Verdana"/>
                <w:sz w:val="18"/>
                <w:szCs w:val="18"/>
              </w:rPr>
              <w:t>Pérez Minaya Luis Mariano</w:t>
            </w:r>
          </w:p>
        </w:tc>
      </w:tr>
      <w:tr w:rsidR="00EA38F6" w:rsidRPr="000864AE" w14:paraId="0A886046" w14:textId="77777777" w:rsidTr="00AC0C51">
        <w:trPr>
          <w:trHeight w:val="300"/>
        </w:trPr>
        <w:tc>
          <w:tcPr>
            <w:tcW w:w="668" w:type="dxa"/>
            <w:vAlign w:val="center"/>
            <w:hideMark/>
          </w:tcPr>
          <w:p w14:paraId="1FDA92D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472</w:t>
            </w:r>
          </w:p>
        </w:tc>
        <w:tc>
          <w:tcPr>
            <w:tcW w:w="3835" w:type="dxa"/>
            <w:vAlign w:val="center"/>
            <w:hideMark/>
          </w:tcPr>
          <w:p w14:paraId="1F408DB0" w14:textId="77777777" w:rsidR="00EA38F6" w:rsidRPr="000864AE" w:rsidRDefault="00EA38F6" w:rsidP="000864AE">
            <w:pPr>
              <w:rPr>
                <w:rFonts w:ascii="Verdana" w:hAnsi="Verdana"/>
                <w:sz w:val="18"/>
                <w:szCs w:val="18"/>
              </w:rPr>
            </w:pPr>
            <w:r w:rsidRPr="000864AE">
              <w:rPr>
                <w:rFonts w:ascii="Verdana" w:hAnsi="Verdana"/>
                <w:sz w:val="18"/>
                <w:szCs w:val="18"/>
              </w:rPr>
              <w:t>Pérez Salas Víctor Raúl</w:t>
            </w:r>
          </w:p>
        </w:tc>
      </w:tr>
      <w:tr w:rsidR="00EA38F6" w:rsidRPr="000864AE" w14:paraId="63E68F67" w14:textId="77777777" w:rsidTr="00AC0C51">
        <w:trPr>
          <w:trHeight w:val="300"/>
        </w:trPr>
        <w:tc>
          <w:tcPr>
            <w:tcW w:w="668" w:type="dxa"/>
            <w:vAlign w:val="center"/>
            <w:hideMark/>
          </w:tcPr>
          <w:p w14:paraId="2CE20DE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473</w:t>
            </w:r>
          </w:p>
        </w:tc>
        <w:tc>
          <w:tcPr>
            <w:tcW w:w="3835" w:type="dxa"/>
            <w:vAlign w:val="center"/>
            <w:hideMark/>
          </w:tcPr>
          <w:p w14:paraId="773C6B20" w14:textId="77777777" w:rsidR="00EA38F6" w:rsidRPr="000864AE" w:rsidRDefault="00EA38F6" w:rsidP="000864AE">
            <w:pPr>
              <w:rPr>
                <w:rFonts w:ascii="Verdana" w:hAnsi="Verdana"/>
                <w:sz w:val="18"/>
                <w:szCs w:val="18"/>
              </w:rPr>
            </w:pPr>
            <w:r w:rsidRPr="000864AE">
              <w:rPr>
                <w:rFonts w:ascii="Verdana" w:hAnsi="Verdana"/>
                <w:sz w:val="18"/>
                <w:szCs w:val="18"/>
              </w:rPr>
              <w:t>Pérez Vergara Marina Herminia</w:t>
            </w:r>
          </w:p>
        </w:tc>
      </w:tr>
      <w:tr w:rsidR="00EA38F6" w:rsidRPr="000864AE" w14:paraId="730BF16B" w14:textId="77777777" w:rsidTr="00AC0C51">
        <w:trPr>
          <w:trHeight w:val="300"/>
        </w:trPr>
        <w:tc>
          <w:tcPr>
            <w:tcW w:w="668" w:type="dxa"/>
            <w:vAlign w:val="center"/>
            <w:hideMark/>
          </w:tcPr>
          <w:p w14:paraId="1F18481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474</w:t>
            </w:r>
          </w:p>
        </w:tc>
        <w:tc>
          <w:tcPr>
            <w:tcW w:w="3835" w:type="dxa"/>
            <w:vAlign w:val="center"/>
            <w:hideMark/>
          </w:tcPr>
          <w:p w14:paraId="0192AD38" w14:textId="77777777" w:rsidR="00EA38F6" w:rsidRPr="000864AE" w:rsidRDefault="00EA38F6" w:rsidP="000864AE">
            <w:pPr>
              <w:rPr>
                <w:rFonts w:ascii="Verdana" w:hAnsi="Verdana"/>
                <w:sz w:val="18"/>
                <w:szCs w:val="18"/>
              </w:rPr>
            </w:pPr>
            <w:r w:rsidRPr="000864AE">
              <w:rPr>
                <w:rFonts w:ascii="Verdana" w:hAnsi="Verdana"/>
                <w:sz w:val="18"/>
                <w:szCs w:val="18"/>
              </w:rPr>
              <w:t>Perleche Moncayo Pablo</w:t>
            </w:r>
          </w:p>
        </w:tc>
      </w:tr>
      <w:tr w:rsidR="00EA38F6" w:rsidRPr="000864AE" w14:paraId="5AC02D68" w14:textId="77777777" w:rsidTr="00AC0C51">
        <w:trPr>
          <w:trHeight w:val="300"/>
        </w:trPr>
        <w:tc>
          <w:tcPr>
            <w:tcW w:w="668" w:type="dxa"/>
            <w:vAlign w:val="center"/>
            <w:hideMark/>
          </w:tcPr>
          <w:p w14:paraId="2C3978E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475</w:t>
            </w:r>
          </w:p>
        </w:tc>
        <w:tc>
          <w:tcPr>
            <w:tcW w:w="3835" w:type="dxa"/>
            <w:vAlign w:val="center"/>
            <w:hideMark/>
          </w:tcPr>
          <w:p w14:paraId="33E1066C" w14:textId="77777777" w:rsidR="00EA38F6" w:rsidRPr="000864AE" w:rsidRDefault="00EA38F6" w:rsidP="000864AE">
            <w:pPr>
              <w:rPr>
                <w:rFonts w:ascii="Verdana" w:hAnsi="Verdana"/>
                <w:sz w:val="18"/>
                <w:szCs w:val="18"/>
              </w:rPr>
            </w:pPr>
            <w:r w:rsidRPr="000864AE">
              <w:rPr>
                <w:rFonts w:ascii="Verdana" w:hAnsi="Verdana"/>
                <w:sz w:val="18"/>
                <w:szCs w:val="18"/>
              </w:rPr>
              <w:t>Pinedo López Lady</w:t>
            </w:r>
          </w:p>
        </w:tc>
      </w:tr>
      <w:tr w:rsidR="00EA38F6" w:rsidRPr="000864AE" w14:paraId="6629BCD0" w14:textId="77777777" w:rsidTr="00AC0C51">
        <w:trPr>
          <w:trHeight w:val="300"/>
        </w:trPr>
        <w:tc>
          <w:tcPr>
            <w:tcW w:w="668" w:type="dxa"/>
            <w:vAlign w:val="center"/>
            <w:hideMark/>
          </w:tcPr>
          <w:p w14:paraId="199AD64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476</w:t>
            </w:r>
          </w:p>
        </w:tc>
        <w:tc>
          <w:tcPr>
            <w:tcW w:w="3835" w:type="dxa"/>
            <w:vAlign w:val="center"/>
            <w:hideMark/>
          </w:tcPr>
          <w:p w14:paraId="641A75E5" w14:textId="77777777" w:rsidR="00EA38F6" w:rsidRPr="000864AE" w:rsidRDefault="00EA38F6" w:rsidP="000864AE">
            <w:pPr>
              <w:rPr>
                <w:rFonts w:ascii="Verdana" w:hAnsi="Verdana"/>
                <w:sz w:val="18"/>
                <w:szCs w:val="18"/>
              </w:rPr>
            </w:pPr>
            <w:r w:rsidRPr="000864AE">
              <w:rPr>
                <w:rFonts w:ascii="Verdana" w:hAnsi="Verdana"/>
                <w:sz w:val="18"/>
                <w:szCs w:val="18"/>
              </w:rPr>
              <w:t>Placencia Carranza Hugo Alberto</w:t>
            </w:r>
          </w:p>
        </w:tc>
      </w:tr>
      <w:tr w:rsidR="00EA38F6" w:rsidRPr="000864AE" w14:paraId="70C2052C" w14:textId="77777777" w:rsidTr="00AC0C51">
        <w:trPr>
          <w:trHeight w:val="300"/>
        </w:trPr>
        <w:tc>
          <w:tcPr>
            <w:tcW w:w="668" w:type="dxa"/>
            <w:vAlign w:val="center"/>
            <w:hideMark/>
          </w:tcPr>
          <w:p w14:paraId="6A3D639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477</w:t>
            </w:r>
          </w:p>
        </w:tc>
        <w:tc>
          <w:tcPr>
            <w:tcW w:w="3835" w:type="dxa"/>
            <w:vAlign w:val="center"/>
            <w:hideMark/>
          </w:tcPr>
          <w:p w14:paraId="50232EAA" w14:textId="77777777" w:rsidR="00EA38F6" w:rsidRPr="000864AE" w:rsidRDefault="00EA38F6" w:rsidP="000864AE">
            <w:pPr>
              <w:rPr>
                <w:rFonts w:ascii="Verdana" w:hAnsi="Verdana"/>
                <w:sz w:val="18"/>
                <w:szCs w:val="18"/>
              </w:rPr>
            </w:pPr>
            <w:r w:rsidRPr="000864AE">
              <w:rPr>
                <w:rFonts w:ascii="Verdana" w:hAnsi="Verdana"/>
                <w:sz w:val="18"/>
                <w:szCs w:val="18"/>
              </w:rPr>
              <w:t>Plasencia Torres Jorge Guillermo</w:t>
            </w:r>
          </w:p>
        </w:tc>
      </w:tr>
      <w:tr w:rsidR="00EA38F6" w:rsidRPr="000864AE" w14:paraId="73FE577E" w14:textId="77777777" w:rsidTr="00AC0C51">
        <w:trPr>
          <w:trHeight w:val="300"/>
        </w:trPr>
        <w:tc>
          <w:tcPr>
            <w:tcW w:w="668" w:type="dxa"/>
            <w:vAlign w:val="center"/>
            <w:hideMark/>
          </w:tcPr>
          <w:p w14:paraId="5E4D6BE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478</w:t>
            </w:r>
          </w:p>
        </w:tc>
        <w:tc>
          <w:tcPr>
            <w:tcW w:w="3835" w:type="dxa"/>
            <w:vAlign w:val="center"/>
            <w:hideMark/>
          </w:tcPr>
          <w:p w14:paraId="5B30A387" w14:textId="77777777" w:rsidR="00EA38F6" w:rsidRPr="000864AE" w:rsidRDefault="00EA38F6" w:rsidP="000864AE">
            <w:pPr>
              <w:rPr>
                <w:rFonts w:ascii="Verdana" w:hAnsi="Verdana"/>
                <w:sz w:val="18"/>
                <w:szCs w:val="18"/>
              </w:rPr>
            </w:pPr>
            <w:r w:rsidRPr="000864AE">
              <w:rPr>
                <w:rFonts w:ascii="Verdana" w:hAnsi="Verdana"/>
                <w:sz w:val="18"/>
                <w:szCs w:val="18"/>
              </w:rPr>
              <w:t>Poblete Loayza Víctor</w:t>
            </w:r>
          </w:p>
        </w:tc>
      </w:tr>
      <w:tr w:rsidR="00EA38F6" w:rsidRPr="000864AE" w14:paraId="67EAB663" w14:textId="77777777" w:rsidTr="00AC0C51">
        <w:trPr>
          <w:trHeight w:val="300"/>
        </w:trPr>
        <w:tc>
          <w:tcPr>
            <w:tcW w:w="668" w:type="dxa"/>
            <w:vAlign w:val="center"/>
            <w:hideMark/>
          </w:tcPr>
          <w:p w14:paraId="7F6F7AB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479</w:t>
            </w:r>
          </w:p>
        </w:tc>
        <w:tc>
          <w:tcPr>
            <w:tcW w:w="3835" w:type="dxa"/>
            <w:vAlign w:val="center"/>
            <w:hideMark/>
          </w:tcPr>
          <w:p w14:paraId="72C41872" w14:textId="77777777" w:rsidR="00EA38F6" w:rsidRPr="000864AE" w:rsidRDefault="00EA38F6" w:rsidP="000864AE">
            <w:pPr>
              <w:rPr>
                <w:rFonts w:ascii="Verdana" w:hAnsi="Verdana"/>
                <w:sz w:val="18"/>
                <w:szCs w:val="18"/>
              </w:rPr>
            </w:pPr>
            <w:r w:rsidRPr="000864AE">
              <w:rPr>
                <w:rFonts w:ascii="Verdana" w:hAnsi="Verdana"/>
                <w:sz w:val="18"/>
                <w:szCs w:val="18"/>
              </w:rPr>
              <w:t>Polleri Dongo Cesar Ernesto</w:t>
            </w:r>
          </w:p>
        </w:tc>
      </w:tr>
      <w:tr w:rsidR="00EA38F6" w:rsidRPr="000864AE" w14:paraId="1F7DFAB9" w14:textId="77777777" w:rsidTr="00AC0C51">
        <w:trPr>
          <w:trHeight w:val="300"/>
        </w:trPr>
        <w:tc>
          <w:tcPr>
            <w:tcW w:w="668" w:type="dxa"/>
            <w:vAlign w:val="center"/>
            <w:hideMark/>
          </w:tcPr>
          <w:p w14:paraId="3263E03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480</w:t>
            </w:r>
          </w:p>
        </w:tc>
        <w:tc>
          <w:tcPr>
            <w:tcW w:w="3835" w:type="dxa"/>
            <w:vAlign w:val="center"/>
            <w:hideMark/>
          </w:tcPr>
          <w:p w14:paraId="3C9E49B2" w14:textId="77777777" w:rsidR="00EA38F6" w:rsidRPr="000864AE" w:rsidRDefault="00EA38F6" w:rsidP="000864AE">
            <w:pPr>
              <w:rPr>
                <w:rFonts w:ascii="Verdana" w:hAnsi="Verdana"/>
                <w:sz w:val="18"/>
                <w:szCs w:val="18"/>
              </w:rPr>
            </w:pPr>
            <w:r w:rsidRPr="000864AE">
              <w:rPr>
                <w:rFonts w:ascii="Verdana" w:hAnsi="Verdana"/>
                <w:sz w:val="18"/>
                <w:szCs w:val="18"/>
              </w:rPr>
              <w:t>Portilla Palacios Luis</w:t>
            </w:r>
          </w:p>
        </w:tc>
      </w:tr>
      <w:tr w:rsidR="00EA38F6" w:rsidRPr="000864AE" w14:paraId="112D0FB4" w14:textId="77777777" w:rsidTr="00AC0C51">
        <w:trPr>
          <w:trHeight w:val="300"/>
        </w:trPr>
        <w:tc>
          <w:tcPr>
            <w:tcW w:w="668" w:type="dxa"/>
            <w:vAlign w:val="center"/>
            <w:hideMark/>
          </w:tcPr>
          <w:p w14:paraId="3F08428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481</w:t>
            </w:r>
          </w:p>
        </w:tc>
        <w:tc>
          <w:tcPr>
            <w:tcW w:w="3835" w:type="dxa"/>
            <w:vAlign w:val="center"/>
            <w:hideMark/>
          </w:tcPr>
          <w:p w14:paraId="3AEC2AA7" w14:textId="77777777" w:rsidR="00EA38F6" w:rsidRPr="000864AE" w:rsidRDefault="00EA38F6" w:rsidP="000864AE">
            <w:pPr>
              <w:rPr>
                <w:rFonts w:ascii="Verdana" w:hAnsi="Verdana"/>
                <w:sz w:val="18"/>
                <w:szCs w:val="18"/>
              </w:rPr>
            </w:pPr>
            <w:r w:rsidRPr="000864AE">
              <w:rPr>
                <w:rFonts w:ascii="Verdana" w:hAnsi="Verdana"/>
                <w:sz w:val="18"/>
                <w:szCs w:val="18"/>
              </w:rPr>
              <w:t>Posso Tornero Eduardo</w:t>
            </w:r>
          </w:p>
        </w:tc>
      </w:tr>
      <w:tr w:rsidR="00EA38F6" w:rsidRPr="000864AE" w14:paraId="3C57D53F" w14:textId="77777777" w:rsidTr="00AC0C51">
        <w:trPr>
          <w:trHeight w:val="300"/>
        </w:trPr>
        <w:tc>
          <w:tcPr>
            <w:tcW w:w="668" w:type="dxa"/>
            <w:vAlign w:val="center"/>
            <w:hideMark/>
          </w:tcPr>
          <w:p w14:paraId="08C0275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482</w:t>
            </w:r>
          </w:p>
        </w:tc>
        <w:tc>
          <w:tcPr>
            <w:tcW w:w="3835" w:type="dxa"/>
            <w:vAlign w:val="center"/>
            <w:hideMark/>
          </w:tcPr>
          <w:p w14:paraId="4EB2CC63" w14:textId="77777777" w:rsidR="00EA38F6" w:rsidRPr="000864AE" w:rsidRDefault="00EA38F6" w:rsidP="000864AE">
            <w:pPr>
              <w:rPr>
                <w:rFonts w:ascii="Verdana" w:hAnsi="Verdana"/>
                <w:sz w:val="18"/>
                <w:szCs w:val="18"/>
              </w:rPr>
            </w:pPr>
            <w:r w:rsidRPr="000864AE">
              <w:rPr>
                <w:rFonts w:ascii="Verdana" w:hAnsi="Verdana"/>
                <w:sz w:val="18"/>
                <w:szCs w:val="18"/>
              </w:rPr>
              <w:t>Povis Carvajal Gloria Luz</w:t>
            </w:r>
          </w:p>
        </w:tc>
      </w:tr>
      <w:tr w:rsidR="00EA38F6" w:rsidRPr="000864AE" w14:paraId="5D76A02C" w14:textId="77777777" w:rsidTr="00AC0C51">
        <w:trPr>
          <w:trHeight w:val="300"/>
        </w:trPr>
        <w:tc>
          <w:tcPr>
            <w:tcW w:w="668" w:type="dxa"/>
            <w:vAlign w:val="center"/>
            <w:hideMark/>
          </w:tcPr>
          <w:p w14:paraId="109C9F3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483</w:t>
            </w:r>
          </w:p>
        </w:tc>
        <w:tc>
          <w:tcPr>
            <w:tcW w:w="3835" w:type="dxa"/>
            <w:vAlign w:val="center"/>
            <w:hideMark/>
          </w:tcPr>
          <w:p w14:paraId="6394C5D6" w14:textId="77777777" w:rsidR="00EA38F6" w:rsidRPr="000864AE" w:rsidRDefault="00EA38F6" w:rsidP="000864AE">
            <w:pPr>
              <w:rPr>
                <w:rFonts w:ascii="Verdana" w:hAnsi="Verdana"/>
                <w:sz w:val="18"/>
                <w:szCs w:val="18"/>
              </w:rPr>
            </w:pPr>
            <w:r w:rsidRPr="000864AE">
              <w:rPr>
                <w:rFonts w:ascii="Verdana" w:hAnsi="Verdana"/>
                <w:sz w:val="18"/>
                <w:szCs w:val="18"/>
              </w:rPr>
              <w:t>Prado Pantoja Jorge Luis</w:t>
            </w:r>
          </w:p>
        </w:tc>
      </w:tr>
      <w:tr w:rsidR="00EA38F6" w:rsidRPr="000864AE" w14:paraId="0439E2D4" w14:textId="77777777" w:rsidTr="00AC0C51">
        <w:trPr>
          <w:trHeight w:val="300"/>
        </w:trPr>
        <w:tc>
          <w:tcPr>
            <w:tcW w:w="668" w:type="dxa"/>
            <w:vAlign w:val="center"/>
            <w:hideMark/>
          </w:tcPr>
          <w:p w14:paraId="2AEB945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484</w:t>
            </w:r>
          </w:p>
        </w:tc>
        <w:tc>
          <w:tcPr>
            <w:tcW w:w="3835" w:type="dxa"/>
            <w:vAlign w:val="center"/>
            <w:hideMark/>
          </w:tcPr>
          <w:p w14:paraId="2AA7D8EE" w14:textId="77777777" w:rsidR="00EA38F6" w:rsidRPr="000864AE" w:rsidRDefault="00EA38F6" w:rsidP="000864AE">
            <w:pPr>
              <w:rPr>
                <w:rFonts w:ascii="Verdana" w:hAnsi="Verdana"/>
                <w:sz w:val="18"/>
                <w:szCs w:val="18"/>
              </w:rPr>
            </w:pPr>
            <w:r w:rsidRPr="000864AE">
              <w:rPr>
                <w:rFonts w:ascii="Verdana" w:hAnsi="Verdana"/>
                <w:sz w:val="18"/>
                <w:szCs w:val="18"/>
              </w:rPr>
              <w:t>Pujazón Morello Humberto Ernesto</w:t>
            </w:r>
          </w:p>
        </w:tc>
      </w:tr>
      <w:tr w:rsidR="00EA38F6" w:rsidRPr="000864AE" w14:paraId="6687CC29" w14:textId="77777777" w:rsidTr="00AC0C51">
        <w:trPr>
          <w:trHeight w:val="300"/>
        </w:trPr>
        <w:tc>
          <w:tcPr>
            <w:tcW w:w="668" w:type="dxa"/>
            <w:vAlign w:val="center"/>
            <w:hideMark/>
          </w:tcPr>
          <w:p w14:paraId="3BBF939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485</w:t>
            </w:r>
          </w:p>
        </w:tc>
        <w:tc>
          <w:tcPr>
            <w:tcW w:w="3835" w:type="dxa"/>
            <w:vAlign w:val="center"/>
            <w:hideMark/>
          </w:tcPr>
          <w:p w14:paraId="3F8EDB81" w14:textId="77777777" w:rsidR="00EA38F6" w:rsidRPr="000864AE" w:rsidRDefault="00EA38F6" w:rsidP="000864AE">
            <w:pPr>
              <w:rPr>
                <w:rFonts w:ascii="Verdana" w:hAnsi="Verdana"/>
                <w:sz w:val="18"/>
                <w:szCs w:val="18"/>
              </w:rPr>
            </w:pPr>
            <w:r w:rsidRPr="000864AE">
              <w:rPr>
                <w:rFonts w:ascii="Verdana" w:hAnsi="Verdana"/>
                <w:sz w:val="18"/>
                <w:szCs w:val="18"/>
              </w:rPr>
              <w:t>Pulgar Omonte Pedro</w:t>
            </w:r>
          </w:p>
        </w:tc>
      </w:tr>
      <w:tr w:rsidR="00EA38F6" w:rsidRPr="000864AE" w14:paraId="2AED0741" w14:textId="77777777" w:rsidTr="00AC0C51">
        <w:trPr>
          <w:trHeight w:val="300"/>
        </w:trPr>
        <w:tc>
          <w:tcPr>
            <w:tcW w:w="668" w:type="dxa"/>
            <w:vAlign w:val="center"/>
            <w:hideMark/>
          </w:tcPr>
          <w:p w14:paraId="02B03B1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486</w:t>
            </w:r>
          </w:p>
        </w:tc>
        <w:tc>
          <w:tcPr>
            <w:tcW w:w="3835" w:type="dxa"/>
            <w:vAlign w:val="center"/>
            <w:hideMark/>
          </w:tcPr>
          <w:p w14:paraId="3DD8381A" w14:textId="77777777" w:rsidR="00EA38F6" w:rsidRPr="000864AE" w:rsidRDefault="00EA38F6" w:rsidP="000864AE">
            <w:pPr>
              <w:rPr>
                <w:rFonts w:ascii="Verdana" w:hAnsi="Verdana"/>
                <w:sz w:val="18"/>
                <w:szCs w:val="18"/>
              </w:rPr>
            </w:pPr>
            <w:r w:rsidRPr="000864AE">
              <w:rPr>
                <w:rFonts w:ascii="Verdana" w:hAnsi="Verdana"/>
                <w:sz w:val="18"/>
                <w:szCs w:val="18"/>
              </w:rPr>
              <w:t>Puntriano Torres Ríos Javier Gustavo</w:t>
            </w:r>
          </w:p>
        </w:tc>
      </w:tr>
      <w:tr w:rsidR="00EA38F6" w:rsidRPr="000864AE" w14:paraId="00D0A912" w14:textId="77777777" w:rsidTr="00AC0C51">
        <w:trPr>
          <w:trHeight w:val="300"/>
        </w:trPr>
        <w:tc>
          <w:tcPr>
            <w:tcW w:w="668" w:type="dxa"/>
            <w:vAlign w:val="center"/>
            <w:hideMark/>
          </w:tcPr>
          <w:p w14:paraId="623C0FD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487</w:t>
            </w:r>
          </w:p>
        </w:tc>
        <w:tc>
          <w:tcPr>
            <w:tcW w:w="3835" w:type="dxa"/>
            <w:vAlign w:val="center"/>
            <w:hideMark/>
          </w:tcPr>
          <w:p w14:paraId="3539ADE3"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Queens Arias Soto Jesús Fernando</w:t>
            </w:r>
          </w:p>
        </w:tc>
      </w:tr>
      <w:tr w:rsidR="00EA38F6" w:rsidRPr="000864AE" w14:paraId="341C4510" w14:textId="77777777" w:rsidTr="00AC0C51">
        <w:trPr>
          <w:trHeight w:val="300"/>
        </w:trPr>
        <w:tc>
          <w:tcPr>
            <w:tcW w:w="668" w:type="dxa"/>
            <w:vAlign w:val="center"/>
            <w:hideMark/>
          </w:tcPr>
          <w:p w14:paraId="5FF2D59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488</w:t>
            </w:r>
          </w:p>
        </w:tc>
        <w:tc>
          <w:tcPr>
            <w:tcW w:w="3835" w:type="dxa"/>
            <w:vAlign w:val="center"/>
            <w:hideMark/>
          </w:tcPr>
          <w:p w14:paraId="01F877E5" w14:textId="77777777" w:rsidR="00EA38F6" w:rsidRPr="000864AE" w:rsidRDefault="00EA38F6" w:rsidP="000864AE">
            <w:pPr>
              <w:rPr>
                <w:rFonts w:ascii="Verdana" w:hAnsi="Verdana"/>
                <w:sz w:val="18"/>
                <w:szCs w:val="18"/>
              </w:rPr>
            </w:pPr>
            <w:r w:rsidRPr="000864AE">
              <w:rPr>
                <w:rFonts w:ascii="Verdana" w:hAnsi="Verdana"/>
                <w:sz w:val="18"/>
                <w:szCs w:val="18"/>
              </w:rPr>
              <w:t>Quevedo Cabrera Máximo Valentín</w:t>
            </w:r>
          </w:p>
        </w:tc>
      </w:tr>
      <w:tr w:rsidR="00EA38F6" w:rsidRPr="000864AE" w14:paraId="5B5218D6" w14:textId="77777777" w:rsidTr="00AC0C51">
        <w:trPr>
          <w:trHeight w:val="300"/>
        </w:trPr>
        <w:tc>
          <w:tcPr>
            <w:tcW w:w="668" w:type="dxa"/>
            <w:vAlign w:val="center"/>
            <w:hideMark/>
          </w:tcPr>
          <w:p w14:paraId="3B924B7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489</w:t>
            </w:r>
          </w:p>
        </w:tc>
        <w:tc>
          <w:tcPr>
            <w:tcW w:w="3835" w:type="dxa"/>
            <w:vAlign w:val="center"/>
            <w:hideMark/>
          </w:tcPr>
          <w:p w14:paraId="7666A843" w14:textId="77777777" w:rsidR="00EA38F6" w:rsidRPr="000864AE" w:rsidRDefault="00EA38F6" w:rsidP="000864AE">
            <w:pPr>
              <w:rPr>
                <w:rFonts w:ascii="Verdana" w:hAnsi="Verdana"/>
                <w:sz w:val="18"/>
                <w:szCs w:val="18"/>
              </w:rPr>
            </w:pPr>
            <w:r w:rsidRPr="000864AE">
              <w:rPr>
                <w:rFonts w:ascii="Verdana" w:hAnsi="Verdana"/>
                <w:sz w:val="18"/>
                <w:szCs w:val="18"/>
              </w:rPr>
              <w:t>Quevedo Revilla Servero Gastón</w:t>
            </w:r>
          </w:p>
        </w:tc>
      </w:tr>
      <w:tr w:rsidR="00EA38F6" w:rsidRPr="000864AE" w14:paraId="0D25EB64" w14:textId="77777777" w:rsidTr="00AC0C51">
        <w:trPr>
          <w:trHeight w:val="300"/>
        </w:trPr>
        <w:tc>
          <w:tcPr>
            <w:tcW w:w="668" w:type="dxa"/>
            <w:vAlign w:val="center"/>
            <w:hideMark/>
          </w:tcPr>
          <w:p w14:paraId="778FA5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490</w:t>
            </w:r>
          </w:p>
        </w:tc>
        <w:tc>
          <w:tcPr>
            <w:tcW w:w="3835" w:type="dxa"/>
            <w:vAlign w:val="center"/>
            <w:hideMark/>
          </w:tcPr>
          <w:p w14:paraId="5CC859B2"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Quevedo Rivas Jorge José Gabriel</w:t>
            </w:r>
          </w:p>
        </w:tc>
      </w:tr>
      <w:tr w:rsidR="00EA38F6" w:rsidRPr="000864AE" w14:paraId="5DECB81B" w14:textId="77777777" w:rsidTr="00AC0C51">
        <w:trPr>
          <w:trHeight w:val="300"/>
        </w:trPr>
        <w:tc>
          <w:tcPr>
            <w:tcW w:w="668" w:type="dxa"/>
            <w:vAlign w:val="center"/>
            <w:hideMark/>
          </w:tcPr>
          <w:p w14:paraId="02C41A1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491</w:t>
            </w:r>
          </w:p>
        </w:tc>
        <w:tc>
          <w:tcPr>
            <w:tcW w:w="3835" w:type="dxa"/>
            <w:vAlign w:val="center"/>
            <w:hideMark/>
          </w:tcPr>
          <w:p w14:paraId="382AD2FB" w14:textId="77777777" w:rsidR="00EA38F6" w:rsidRPr="000864AE" w:rsidRDefault="00EA38F6" w:rsidP="000864AE">
            <w:pPr>
              <w:rPr>
                <w:rFonts w:ascii="Verdana" w:hAnsi="Verdana"/>
                <w:sz w:val="18"/>
                <w:szCs w:val="18"/>
              </w:rPr>
            </w:pPr>
            <w:r w:rsidRPr="000864AE">
              <w:rPr>
                <w:rFonts w:ascii="Verdana" w:hAnsi="Verdana"/>
                <w:sz w:val="18"/>
                <w:szCs w:val="18"/>
              </w:rPr>
              <w:t>Quevedo Rivas María Emperatriz</w:t>
            </w:r>
          </w:p>
        </w:tc>
      </w:tr>
      <w:tr w:rsidR="00EA38F6" w:rsidRPr="000864AE" w14:paraId="38836506" w14:textId="77777777" w:rsidTr="00AC0C51">
        <w:trPr>
          <w:trHeight w:val="300"/>
        </w:trPr>
        <w:tc>
          <w:tcPr>
            <w:tcW w:w="668" w:type="dxa"/>
            <w:vAlign w:val="center"/>
            <w:hideMark/>
          </w:tcPr>
          <w:p w14:paraId="5D5FDB3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492</w:t>
            </w:r>
          </w:p>
        </w:tc>
        <w:tc>
          <w:tcPr>
            <w:tcW w:w="3835" w:type="dxa"/>
            <w:vAlign w:val="center"/>
            <w:hideMark/>
          </w:tcPr>
          <w:p w14:paraId="416AC7E5" w14:textId="77777777" w:rsidR="00EA38F6" w:rsidRPr="000864AE" w:rsidRDefault="00EA38F6" w:rsidP="000864AE">
            <w:pPr>
              <w:rPr>
                <w:rFonts w:ascii="Verdana" w:hAnsi="Verdana"/>
                <w:sz w:val="18"/>
                <w:szCs w:val="18"/>
              </w:rPr>
            </w:pPr>
            <w:r w:rsidRPr="000864AE">
              <w:rPr>
                <w:rFonts w:ascii="Verdana" w:hAnsi="Verdana"/>
                <w:sz w:val="18"/>
                <w:szCs w:val="18"/>
              </w:rPr>
              <w:t>Quezada Mejía Sandalio Diego</w:t>
            </w:r>
          </w:p>
        </w:tc>
      </w:tr>
      <w:tr w:rsidR="00EA38F6" w:rsidRPr="000864AE" w14:paraId="60E1ABBA" w14:textId="77777777" w:rsidTr="00AC0C51">
        <w:trPr>
          <w:trHeight w:val="300"/>
        </w:trPr>
        <w:tc>
          <w:tcPr>
            <w:tcW w:w="668" w:type="dxa"/>
            <w:vAlign w:val="center"/>
            <w:hideMark/>
          </w:tcPr>
          <w:p w14:paraId="23C75FF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493</w:t>
            </w:r>
          </w:p>
        </w:tc>
        <w:tc>
          <w:tcPr>
            <w:tcW w:w="3835" w:type="dxa"/>
            <w:vAlign w:val="center"/>
            <w:hideMark/>
          </w:tcPr>
          <w:p w14:paraId="32B83BFA" w14:textId="77777777" w:rsidR="00EA38F6" w:rsidRPr="000864AE" w:rsidRDefault="00EA38F6" w:rsidP="000864AE">
            <w:pPr>
              <w:rPr>
                <w:rFonts w:ascii="Verdana" w:hAnsi="Verdana"/>
                <w:sz w:val="18"/>
                <w:szCs w:val="18"/>
              </w:rPr>
            </w:pPr>
            <w:r w:rsidRPr="000864AE">
              <w:rPr>
                <w:rFonts w:ascii="Verdana" w:hAnsi="Verdana"/>
                <w:sz w:val="18"/>
                <w:szCs w:val="18"/>
              </w:rPr>
              <w:t>Quintana Palacios Flora Del Carmen</w:t>
            </w:r>
          </w:p>
        </w:tc>
      </w:tr>
      <w:tr w:rsidR="00EA38F6" w:rsidRPr="000864AE" w14:paraId="0F51ABF8" w14:textId="77777777" w:rsidTr="00AC0C51">
        <w:trPr>
          <w:trHeight w:val="300"/>
        </w:trPr>
        <w:tc>
          <w:tcPr>
            <w:tcW w:w="668" w:type="dxa"/>
            <w:vAlign w:val="center"/>
            <w:hideMark/>
          </w:tcPr>
          <w:p w14:paraId="4C85EA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494</w:t>
            </w:r>
          </w:p>
        </w:tc>
        <w:tc>
          <w:tcPr>
            <w:tcW w:w="3835" w:type="dxa"/>
            <w:vAlign w:val="center"/>
            <w:hideMark/>
          </w:tcPr>
          <w:p w14:paraId="4880C6A6" w14:textId="77777777" w:rsidR="00EA38F6" w:rsidRPr="000864AE" w:rsidRDefault="00EA38F6" w:rsidP="000864AE">
            <w:pPr>
              <w:rPr>
                <w:rFonts w:ascii="Verdana" w:hAnsi="Verdana"/>
                <w:sz w:val="18"/>
                <w:szCs w:val="18"/>
              </w:rPr>
            </w:pPr>
            <w:r w:rsidRPr="000864AE">
              <w:rPr>
                <w:rFonts w:ascii="Verdana" w:hAnsi="Verdana"/>
                <w:sz w:val="18"/>
                <w:szCs w:val="18"/>
              </w:rPr>
              <w:t>Quiñe Romero Rosa Elena</w:t>
            </w:r>
          </w:p>
        </w:tc>
      </w:tr>
      <w:tr w:rsidR="00EA38F6" w:rsidRPr="000864AE" w14:paraId="68D566A9" w14:textId="77777777" w:rsidTr="00AC0C51">
        <w:trPr>
          <w:trHeight w:val="300"/>
        </w:trPr>
        <w:tc>
          <w:tcPr>
            <w:tcW w:w="668" w:type="dxa"/>
            <w:vAlign w:val="center"/>
            <w:hideMark/>
          </w:tcPr>
          <w:p w14:paraId="4B3EFE8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495</w:t>
            </w:r>
          </w:p>
        </w:tc>
        <w:tc>
          <w:tcPr>
            <w:tcW w:w="3835" w:type="dxa"/>
            <w:vAlign w:val="center"/>
            <w:hideMark/>
          </w:tcPr>
          <w:p w14:paraId="4AB6FB59" w14:textId="77777777" w:rsidR="00EA38F6" w:rsidRPr="000864AE" w:rsidRDefault="00EA38F6" w:rsidP="000864AE">
            <w:pPr>
              <w:rPr>
                <w:rFonts w:ascii="Verdana" w:hAnsi="Verdana"/>
                <w:sz w:val="18"/>
                <w:szCs w:val="18"/>
              </w:rPr>
            </w:pPr>
            <w:r w:rsidRPr="000864AE">
              <w:rPr>
                <w:rFonts w:ascii="Verdana" w:hAnsi="Verdana"/>
                <w:sz w:val="18"/>
                <w:szCs w:val="18"/>
              </w:rPr>
              <w:t>Quiroz Cauvi María Rosario</w:t>
            </w:r>
          </w:p>
        </w:tc>
      </w:tr>
      <w:tr w:rsidR="00EA38F6" w:rsidRPr="000864AE" w14:paraId="5FC5CBBC" w14:textId="77777777" w:rsidTr="00AC0C51">
        <w:trPr>
          <w:trHeight w:val="300"/>
        </w:trPr>
        <w:tc>
          <w:tcPr>
            <w:tcW w:w="668" w:type="dxa"/>
            <w:vAlign w:val="center"/>
            <w:hideMark/>
          </w:tcPr>
          <w:p w14:paraId="5DD05FB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496</w:t>
            </w:r>
          </w:p>
        </w:tc>
        <w:tc>
          <w:tcPr>
            <w:tcW w:w="3835" w:type="dxa"/>
            <w:vAlign w:val="center"/>
            <w:hideMark/>
          </w:tcPr>
          <w:p w14:paraId="1DF51F7D" w14:textId="77777777" w:rsidR="00EA38F6" w:rsidRPr="000864AE" w:rsidRDefault="00EA38F6" w:rsidP="000864AE">
            <w:pPr>
              <w:rPr>
                <w:rFonts w:ascii="Verdana" w:hAnsi="Verdana"/>
                <w:sz w:val="18"/>
                <w:szCs w:val="18"/>
              </w:rPr>
            </w:pPr>
            <w:r w:rsidRPr="000864AE">
              <w:rPr>
                <w:rFonts w:ascii="Verdana" w:hAnsi="Verdana"/>
                <w:sz w:val="18"/>
                <w:szCs w:val="18"/>
              </w:rPr>
              <w:t>Quiroz Cervera Saúl Orestes</w:t>
            </w:r>
          </w:p>
        </w:tc>
      </w:tr>
      <w:tr w:rsidR="00EA38F6" w:rsidRPr="000864AE" w14:paraId="5BF422FD" w14:textId="77777777" w:rsidTr="00AC0C51">
        <w:trPr>
          <w:trHeight w:val="300"/>
        </w:trPr>
        <w:tc>
          <w:tcPr>
            <w:tcW w:w="668" w:type="dxa"/>
            <w:vAlign w:val="center"/>
            <w:hideMark/>
          </w:tcPr>
          <w:p w14:paraId="4225D68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497</w:t>
            </w:r>
          </w:p>
        </w:tc>
        <w:tc>
          <w:tcPr>
            <w:tcW w:w="3835" w:type="dxa"/>
            <w:vAlign w:val="center"/>
            <w:hideMark/>
          </w:tcPr>
          <w:p w14:paraId="40A38362" w14:textId="77777777" w:rsidR="00EA38F6" w:rsidRPr="000864AE" w:rsidRDefault="00EA38F6" w:rsidP="000864AE">
            <w:pPr>
              <w:rPr>
                <w:rFonts w:ascii="Verdana" w:hAnsi="Verdana"/>
                <w:sz w:val="18"/>
                <w:szCs w:val="18"/>
              </w:rPr>
            </w:pPr>
            <w:r w:rsidRPr="000864AE">
              <w:rPr>
                <w:rFonts w:ascii="Verdana" w:hAnsi="Verdana"/>
                <w:sz w:val="18"/>
                <w:szCs w:val="18"/>
              </w:rPr>
              <w:t>Quiroz Ortiz Haydee Dehera</w:t>
            </w:r>
          </w:p>
        </w:tc>
      </w:tr>
      <w:tr w:rsidR="00EA38F6" w:rsidRPr="000864AE" w14:paraId="548FCCB3" w14:textId="77777777" w:rsidTr="00AC0C51">
        <w:trPr>
          <w:trHeight w:val="300"/>
        </w:trPr>
        <w:tc>
          <w:tcPr>
            <w:tcW w:w="668" w:type="dxa"/>
            <w:vAlign w:val="center"/>
            <w:hideMark/>
          </w:tcPr>
          <w:p w14:paraId="3FEF1C5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498</w:t>
            </w:r>
          </w:p>
        </w:tc>
        <w:tc>
          <w:tcPr>
            <w:tcW w:w="3835" w:type="dxa"/>
            <w:vAlign w:val="center"/>
            <w:hideMark/>
          </w:tcPr>
          <w:p w14:paraId="531E82E1" w14:textId="77777777" w:rsidR="00EA38F6" w:rsidRPr="000864AE" w:rsidRDefault="00EA38F6" w:rsidP="000864AE">
            <w:pPr>
              <w:rPr>
                <w:rFonts w:ascii="Verdana" w:hAnsi="Verdana"/>
                <w:sz w:val="18"/>
                <w:szCs w:val="18"/>
              </w:rPr>
            </w:pPr>
            <w:r w:rsidRPr="000864AE">
              <w:rPr>
                <w:rFonts w:ascii="Verdana" w:hAnsi="Verdana"/>
                <w:sz w:val="18"/>
                <w:szCs w:val="18"/>
              </w:rPr>
              <w:t>Quiroz Vallejos Carmen Mercedes</w:t>
            </w:r>
          </w:p>
        </w:tc>
      </w:tr>
      <w:tr w:rsidR="00EA38F6" w:rsidRPr="000864AE" w14:paraId="407C8888" w14:textId="77777777" w:rsidTr="00AC0C51">
        <w:trPr>
          <w:trHeight w:val="300"/>
        </w:trPr>
        <w:tc>
          <w:tcPr>
            <w:tcW w:w="668" w:type="dxa"/>
            <w:vAlign w:val="center"/>
            <w:hideMark/>
          </w:tcPr>
          <w:p w14:paraId="2BACDC8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499</w:t>
            </w:r>
          </w:p>
        </w:tc>
        <w:tc>
          <w:tcPr>
            <w:tcW w:w="3835" w:type="dxa"/>
            <w:vAlign w:val="center"/>
            <w:hideMark/>
          </w:tcPr>
          <w:p w14:paraId="2193DC70" w14:textId="77777777" w:rsidR="00EA38F6" w:rsidRPr="000864AE" w:rsidRDefault="00EA38F6" w:rsidP="000864AE">
            <w:pPr>
              <w:rPr>
                <w:rFonts w:ascii="Verdana" w:hAnsi="Verdana"/>
                <w:sz w:val="18"/>
                <w:szCs w:val="18"/>
              </w:rPr>
            </w:pPr>
            <w:r w:rsidRPr="000864AE">
              <w:rPr>
                <w:rFonts w:ascii="Verdana" w:hAnsi="Verdana"/>
                <w:sz w:val="18"/>
                <w:szCs w:val="18"/>
              </w:rPr>
              <w:t>Rado Farfán Federico</w:t>
            </w:r>
          </w:p>
        </w:tc>
      </w:tr>
      <w:tr w:rsidR="00EA38F6" w:rsidRPr="000864AE" w14:paraId="2D616C04" w14:textId="77777777" w:rsidTr="00AC0C51">
        <w:trPr>
          <w:trHeight w:val="300"/>
        </w:trPr>
        <w:tc>
          <w:tcPr>
            <w:tcW w:w="668" w:type="dxa"/>
            <w:vAlign w:val="center"/>
            <w:hideMark/>
          </w:tcPr>
          <w:p w14:paraId="048EAD1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500</w:t>
            </w:r>
          </w:p>
        </w:tc>
        <w:tc>
          <w:tcPr>
            <w:tcW w:w="3835" w:type="dxa"/>
            <w:vAlign w:val="center"/>
            <w:hideMark/>
          </w:tcPr>
          <w:p w14:paraId="7092089D" w14:textId="77777777" w:rsidR="00EA38F6" w:rsidRPr="000864AE" w:rsidRDefault="00EA38F6" w:rsidP="000864AE">
            <w:pPr>
              <w:rPr>
                <w:rFonts w:ascii="Verdana" w:hAnsi="Verdana"/>
                <w:sz w:val="18"/>
                <w:szCs w:val="18"/>
              </w:rPr>
            </w:pPr>
            <w:r w:rsidRPr="000864AE">
              <w:rPr>
                <w:rFonts w:ascii="Verdana" w:hAnsi="Verdana"/>
                <w:sz w:val="18"/>
                <w:szCs w:val="18"/>
              </w:rPr>
              <w:t>Raez Guevara Ana María</w:t>
            </w:r>
          </w:p>
        </w:tc>
      </w:tr>
      <w:tr w:rsidR="00EA38F6" w:rsidRPr="000864AE" w14:paraId="55719712" w14:textId="77777777" w:rsidTr="00AC0C51">
        <w:trPr>
          <w:trHeight w:val="300"/>
        </w:trPr>
        <w:tc>
          <w:tcPr>
            <w:tcW w:w="668" w:type="dxa"/>
            <w:vAlign w:val="center"/>
            <w:hideMark/>
          </w:tcPr>
          <w:p w14:paraId="0D79AE6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501</w:t>
            </w:r>
          </w:p>
        </w:tc>
        <w:tc>
          <w:tcPr>
            <w:tcW w:w="3835" w:type="dxa"/>
            <w:vAlign w:val="center"/>
            <w:hideMark/>
          </w:tcPr>
          <w:p w14:paraId="10242379" w14:textId="77777777" w:rsidR="00EA38F6" w:rsidRPr="000864AE" w:rsidRDefault="00EA38F6" w:rsidP="000864AE">
            <w:pPr>
              <w:rPr>
                <w:rFonts w:ascii="Verdana" w:hAnsi="Verdana"/>
                <w:sz w:val="18"/>
                <w:szCs w:val="18"/>
              </w:rPr>
            </w:pPr>
            <w:r w:rsidRPr="000864AE">
              <w:rPr>
                <w:rFonts w:ascii="Verdana" w:hAnsi="Verdana"/>
                <w:sz w:val="18"/>
                <w:szCs w:val="18"/>
              </w:rPr>
              <w:t>Ramírez Bustos Damaso Arístides</w:t>
            </w:r>
          </w:p>
        </w:tc>
      </w:tr>
      <w:tr w:rsidR="00EA38F6" w:rsidRPr="000864AE" w14:paraId="7EED2E8F" w14:textId="77777777" w:rsidTr="00AC0C51">
        <w:trPr>
          <w:trHeight w:val="300"/>
        </w:trPr>
        <w:tc>
          <w:tcPr>
            <w:tcW w:w="668" w:type="dxa"/>
            <w:vAlign w:val="center"/>
            <w:hideMark/>
          </w:tcPr>
          <w:p w14:paraId="01BD7DA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502</w:t>
            </w:r>
          </w:p>
        </w:tc>
        <w:tc>
          <w:tcPr>
            <w:tcW w:w="3835" w:type="dxa"/>
            <w:vAlign w:val="center"/>
            <w:hideMark/>
          </w:tcPr>
          <w:p w14:paraId="5D897F80" w14:textId="77777777" w:rsidR="00EA38F6" w:rsidRPr="000864AE" w:rsidRDefault="00EA38F6" w:rsidP="000864AE">
            <w:pPr>
              <w:rPr>
                <w:rFonts w:ascii="Verdana" w:hAnsi="Verdana"/>
                <w:sz w:val="18"/>
                <w:szCs w:val="18"/>
              </w:rPr>
            </w:pPr>
            <w:r w:rsidRPr="000864AE">
              <w:rPr>
                <w:rFonts w:ascii="Verdana" w:hAnsi="Verdana"/>
                <w:sz w:val="18"/>
                <w:szCs w:val="18"/>
              </w:rPr>
              <w:t>Ramírez Hoyos Juan Alberto</w:t>
            </w:r>
          </w:p>
        </w:tc>
      </w:tr>
      <w:tr w:rsidR="00EA38F6" w:rsidRPr="000864AE" w14:paraId="33A28187" w14:textId="77777777" w:rsidTr="00AC0C51">
        <w:trPr>
          <w:trHeight w:val="300"/>
        </w:trPr>
        <w:tc>
          <w:tcPr>
            <w:tcW w:w="668" w:type="dxa"/>
            <w:vAlign w:val="center"/>
            <w:hideMark/>
          </w:tcPr>
          <w:p w14:paraId="6C202BB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503</w:t>
            </w:r>
          </w:p>
        </w:tc>
        <w:tc>
          <w:tcPr>
            <w:tcW w:w="3835" w:type="dxa"/>
            <w:vAlign w:val="center"/>
            <w:hideMark/>
          </w:tcPr>
          <w:p w14:paraId="293A10C8" w14:textId="77777777" w:rsidR="00EA38F6" w:rsidRPr="000864AE" w:rsidRDefault="00EA38F6" w:rsidP="000864AE">
            <w:pPr>
              <w:rPr>
                <w:rFonts w:ascii="Verdana" w:hAnsi="Verdana"/>
                <w:sz w:val="18"/>
                <w:szCs w:val="18"/>
              </w:rPr>
            </w:pPr>
            <w:r w:rsidRPr="000864AE">
              <w:rPr>
                <w:rFonts w:ascii="Verdana" w:hAnsi="Verdana"/>
                <w:sz w:val="18"/>
                <w:szCs w:val="18"/>
              </w:rPr>
              <w:t>Ramírez Pérez Pablo Gilberto</w:t>
            </w:r>
          </w:p>
        </w:tc>
      </w:tr>
      <w:tr w:rsidR="00EA38F6" w:rsidRPr="000864AE" w14:paraId="1ED0C6F1" w14:textId="77777777" w:rsidTr="00AC0C51">
        <w:trPr>
          <w:trHeight w:val="300"/>
        </w:trPr>
        <w:tc>
          <w:tcPr>
            <w:tcW w:w="668" w:type="dxa"/>
            <w:vAlign w:val="center"/>
            <w:hideMark/>
          </w:tcPr>
          <w:p w14:paraId="7C4FECB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504</w:t>
            </w:r>
          </w:p>
        </w:tc>
        <w:tc>
          <w:tcPr>
            <w:tcW w:w="3835" w:type="dxa"/>
            <w:vAlign w:val="center"/>
            <w:hideMark/>
          </w:tcPr>
          <w:p w14:paraId="2138E5B3" w14:textId="77777777" w:rsidR="00EA38F6" w:rsidRPr="000864AE" w:rsidRDefault="00EA38F6" w:rsidP="000864AE">
            <w:pPr>
              <w:rPr>
                <w:rFonts w:ascii="Verdana" w:hAnsi="Verdana"/>
                <w:sz w:val="18"/>
                <w:szCs w:val="18"/>
              </w:rPr>
            </w:pPr>
            <w:r w:rsidRPr="000864AE">
              <w:rPr>
                <w:rFonts w:ascii="Verdana" w:hAnsi="Verdana"/>
                <w:sz w:val="18"/>
                <w:szCs w:val="18"/>
              </w:rPr>
              <w:t>Ramos Ballón Julio Nazario</w:t>
            </w:r>
          </w:p>
        </w:tc>
      </w:tr>
      <w:tr w:rsidR="00EA38F6" w:rsidRPr="000864AE" w14:paraId="725922E3" w14:textId="77777777" w:rsidTr="00AC0C51">
        <w:trPr>
          <w:trHeight w:val="300"/>
        </w:trPr>
        <w:tc>
          <w:tcPr>
            <w:tcW w:w="668" w:type="dxa"/>
            <w:vAlign w:val="center"/>
            <w:hideMark/>
          </w:tcPr>
          <w:p w14:paraId="4A6CC6E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505</w:t>
            </w:r>
          </w:p>
        </w:tc>
        <w:tc>
          <w:tcPr>
            <w:tcW w:w="3835" w:type="dxa"/>
            <w:vAlign w:val="center"/>
            <w:hideMark/>
          </w:tcPr>
          <w:p w14:paraId="4A1713A3" w14:textId="77777777" w:rsidR="00EA38F6" w:rsidRPr="000864AE" w:rsidRDefault="00EA38F6" w:rsidP="000864AE">
            <w:pPr>
              <w:rPr>
                <w:rFonts w:ascii="Verdana" w:hAnsi="Verdana"/>
                <w:sz w:val="18"/>
                <w:szCs w:val="18"/>
              </w:rPr>
            </w:pPr>
            <w:r w:rsidRPr="000864AE">
              <w:rPr>
                <w:rFonts w:ascii="Verdana" w:hAnsi="Verdana"/>
                <w:sz w:val="18"/>
                <w:szCs w:val="18"/>
              </w:rPr>
              <w:t>Ramos Camacho Francisco</w:t>
            </w:r>
          </w:p>
        </w:tc>
      </w:tr>
      <w:tr w:rsidR="00EA38F6" w:rsidRPr="000864AE" w14:paraId="70084388" w14:textId="77777777" w:rsidTr="00AC0C51">
        <w:trPr>
          <w:trHeight w:val="300"/>
        </w:trPr>
        <w:tc>
          <w:tcPr>
            <w:tcW w:w="668" w:type="dxa"/>
            <w:vAlign w:val="center"/>
            <w:hideMark/>
          </w:tcPr>
          <w:p w14:paraId="609C540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506</w:t>
            </w:r>
          </w:p>
        </w:tc>
        <w:tc>
          <w:tcPr>
            <w:tcW w:w="3835" w:type="dxa"/>
            <w:vAlign w:val="center"/>
            <w:hideMark/>
          </w:tcPr>
          <w:p w14:paraId="68506A3B" w14:textId="77777777" w:rsidR="00EA38F6" w:rsidRPr="000864AE" w:rsidRDefault="00EA38F6" w:rsidP="000864AE">
            <w:pPr>
              <w:rPr>
                <w:rFonts w:ascii="Verdana" w:hAnsi="Verdana"/>
                <w:sz w:val="18"/>
                <w:szCs w:val="18"/>
              </w:rPr>
            </w:pPr>
            <w:r w:rsidRPr="000864AE">
              <w:rPr>
                <w:rFonts w:ascii="Verdana" w:hAnsi="Verdana"/>
                <w:sz w:val="18"/>
                <w:szCs w:val="18"/>
              </w:rPr>
              <w:t>Ramos Correa Carmen</w:t>
            </w:r>
          </w:p>
        </w:tc>
      </w:tr>
      <w:tr w:rsidR="00EA38F6" w:rsidRPr="000864AE" w14:paraId="44C9C7D7" w14:textId="77777777" w:rsidTr="00AC0C51">
        <w:trPr>
          <w:trHeight w:val="300"/>
        </w:trPr>
        <w:tc>
          <w:tcPr>
            <w:tcW w:w="668" w:type="dxa"/>
            <w:vAlign w:val="center"/>
            <w:hideMark/>
          </w:tcPr>
          <w:p w14:paraId="08139A0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507</w:t>
            </w:r>
          </w:p>
        </w:tc>
        <w:tc>
          <w:tcPr>
            <w:tcW w:w="3835" w:type="dxa"/>
            <w:vAlign w:val="center"/>
            <w:hideMark/>
          </w:tcPr>
          <w:p w14:paraId="73093F2E" w14:textId="77777777" w:rsidR="00EA38F6" w:rsidRPr="000864AE" w:rsidRDefault="00EA38F6" w:rsidP="000864AE">
            <w:pPr>
              <w:rPr>
                <w:rFonts w:ascii="Verdana" w:hAnsi="Verdana"/>
                <w:sz w:val="18"/>
                <w:szCs w:val="18"/>
              </w:rPr>
            </w:pPr>
            <w:r w:rsidRPr="000864AE">
              <w:rPr>
                <w:rFonts w:ascii="Verdana" w:hAnsi="Verdana"/>
                <w:sz w:val="18"/>
                <w:szCs w:val="18"/>
              </w:rPr>
              <w:t>Ramos Espino Pedro Leoncio</w:t>
            </w:r>
          </w:p>
        </w:tc>
      </w:tr>
      <w:tr w:rsidR="00EA38F6" w:rsidRPr="000864AE" w14:paraId="696B76BF" w14:textId="77777777" w:rsidTr="00AC0C51">
        <w:trPr>
          <w:trHeight w:val="300"/>
        </w:trPr>
        <w:tc>
          <w:tcPr>
            <w:tcW w:w="668" w:type="dxa"/>
            <w:vAlign w:val="center"/>
            <w:hideMark/>
          </w:tcPr>
          <w:p w14:paraId="0C044DF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508</w:t>
            </w:r>
          </w:p>
        </w:tc>
        <w:tc>
          <w:tcPr>
            <w:tcW w:w="3835" w:type="dxa"/>
            <w:vAlign w:val="center"/>
            <w:hideMark/>
          </w:tcPr>
          <w:p w14:paraId="1C2F9B74" w14:textId="77777777" w:rsidR="00EA38F6" w:rsidRPr="000864AE" w:rsidRDefault="00EA38F6" w:rsidP="000864AE">
            <w:pPr>
              <w:rPr>
                <w:rFonts w:ascii="Verdana" w:hAnsi="Verdana"/>
                <w:sz w:val="18"/>
                <w:szCs w:val="18"/>
              </w:rPr>
            </w:pPr>
            <w:r w:rsidRPr="000864AE">
              <w:rPr>
                <w:rFonts w:ascii="Verdana" w:hAnsi="Verdana"/>
                <w:sz w:val="18"/>
                <w:szCs w:val="18"/>
              </w:rPr>
              <w:t>Ramos Pacheco Henry Oswaldo</w:t>
            </w:r>
          </w:p>
        </w:tc>
      </w:tr>
      <w:tr w:rsidR="00EA38F6" w:rsidRPr="000864AE" w14:paraId="403F73C2" w14:textId="77777777" w:rsidTr="00AC0C51">
        <w:trPr>
          <w:trHeight w:val="300"/>
        </w:trPr>
        <w:tc>
          <w:tcPr>
            <w:tcW w:w="668" w:type="dxa"/>
            <w:vAlign w:val="center"/>
            <w:hideMark/>
          </w:tcPr>
          <w:p w14:paraId="5AB773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509</w:t>
            </w:r>
          </w:p>
        </w:tc>
        <w:tc>
          <w:tcPr>
            <w:tcW w:w="3835" w:type="dxa"/>
            <w:vAlign w:val="center"/>
            <w:hideMark/>
          </w:tcPr>
          <w:p w14:paraId="4AE14C78" w14:textId="77777777" w:rsidR="00EA38F6" w:rsidRPr="000864AE" w:rsidRDefault="00EA38F6" w:rsidP="000864AE">
            <w:pPr>
              <w:rPr>
                <w:rFonts w:ascii="Verdana" w:hAnsi="Verdana"/>
                <w:sz w:val="18"/>
                <w:szCs w:val="18"/>
              </w:rPr>
            </w:pPr>
            <w:r w:rsidRPr="000864AE">
              <w:rPr>
                <w:rFonts w:ascii="Verdana" w:hAnsi="Verdana"/>
                <w:sz w:val="18"/>
                <w:szCs w:val="18"/>
              </w:rPr>
              <w:t>Reátegui Dubuc Rosa Ida</w:t>
            </w:r>
          </w:p>
        </w:tc>
      </w:tr>
      <w:tr w:rsidR="00EA38F6" w:rsidRPr="000864AE" w14:paraId="40C3E10E" w14:textId="77777777" w:rsidTr="00AC0C51">
        <w:trPr>
          <w:trHeight w:val="300"/>
        </w:trPr>
        <w:tc>
          <w:tcPr>
            <w:tcW w:w="668" w:type="dxa"/>
            <w:vAlign w:val="center"/>
            <w:hideMark/>
          </w:tcPr>
          <w:p w14:paraId="5D489CF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510</w:t>
            </w:r>
          </w:p>
        </w:tc>
        <w:tc>
          <w:tcPr>
            <w:tcW w:w="3835" w:type="dxa"/>
            <w:vAlign w:val="center"/>
            <w:hideMark/>
          </w:tcPr>
          <w:p w14:paraId="45BB62A3" w14:textId="77777777" w:rsidR="00EA38F6" w:rsidRPr="000864AE" w:rsidRDefault="00EA38F6" w:rsidP="000864AE">
            <w:pPr>
              <w:rPr>
                <w:rFonts w:ascii="Verdana" w:hAnsi="Verdana"/>
                <w:sz w:val="18"/>
                <w:szCs w:val="18"/>
              </w:rPr>
            </w:pPr>
            <w:r w:rsidRPr="000864AE">
              <w:rPr>
                <w:rFonts w:ascii="Verdana" w:hAnsi="Verdana"/>
                <w:sz w:val="18"/>
                <w:szCs w:val="18"/>
              </w:rPr>
              <w:t>Reátegui Solano Daniel</w:t>
            </w:r>
          </w:p>
        </w:tc>
      </w:tr>
      <w:tr w:rsidR="00EA38F6" w:rsidRPr="000864AE" w14:paraId="485D90E0" w14:textId="77777777" w:rsidTr="00AC0C51">
        <w:trPr>
          <w:trHeight w:val="300"/>
        </w:trPr>
        <w:tc>
          <w:tcPr>
            <w:tcW w:w="668" w:type="dxa"/>
            <w:vAlign w:val="center"/>
            <w:hideMark/>
          </w:tcPr>
          <w:p w14:paraId="359DA7C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511</w:t>
            </w:r>
          </w:p>
        </w:tc>
        <w:tc>
          <w:tcPr>
            <w:tcW w:w="3835" w:type="dxa"/>
            <w:vAlign w:val="center"/>
            <w:hideMark/>
          </w:tcPr>
          <w:p w14:paraId="7C3996DD" w14:textId="77777777" w:rsidR="00EA38F6" w:rsidRPr="000864AE" w:rsidRDefault="00EA38F6" w:rsidP="000864AE">
            <w:pPr>
              <w:rPr>
                <w:rFonts w:ascii="Verdana" w:hAnsi="Verdana"/>
                <w:sz w:val="18"/>
                <w:szCs w:val="18"/>
              </w:rPr>
            </w:pPr>
            <w:r w:rsidRPr="000864AE">
              <w:rPr>
                <w:rFonts w:ascii="Verdana" w:hAnsi="Verdana"/>
                <w:sz w:val="18"/>
                <w:szCs w:val="18"/>
              </w:rPr>
              <w:t>Rejas Gómez José Luis</w:t>
            </w:r>
          </w:p>
        </w:tc>
      </w:tr>
      <w:tr w:rsidR="00EA38F6" w:rsidRPr="000864AE" w14:paraId="3A15629D" w14:textId="77777777" w:rsidTr="00AC0C51">
        <w:trPr>
          <w:trHeight w:val="300"/>
        </w:trPr>
        <w:tc>
          <w:tcPr>
            <w:tcW w:w="668" w:type="dxa"/>
            <w:vAlign w:val="center"/>
            <w:hideMark/>
          </w:tcPr>
          <w:p w14:paraId="488BAD2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512</w:t>
            </w:r>
          </w:p>
        </w:tc>
        <w:tc>
          <w:tcPr>
            <w:tcW w:w="3835" w:type="dxa"/>
            <w:vAlign w:val="center"/>
            <w:hideMark/>
          </w:tcPr>
          <w:p w14:paraId="317D96F7" w14:textId="77777777" w:rsidR="00EA38F6" w:rsidRPr="000864AE" w:rsidRDefault="00EA38F6" w:rsidP="000864AE">
            <w:pPr>
              <w:rPr>
                <w:rFonts w:ascii="Verdana" w:hAnsi="Verdana"/>
                <w:sz w:val="18"/>
                <w:szCs w:val="18"/>
              </w:rPr>
            </w:pPr>
            <w:r w:rsidRPr="000864AE">
              <w:rPr>
                <w:rFonts w:ascii="Verdana" w:hAnsi="Verdana"/>
                <w:sz w:val="18"/>
                <w:szCs w:val="18"/>
              </w:rPr>
              <w:t>Rengifo Hidalgo Ramón</w:t>
            </w:r>
          </w:p>
        </w:tc>
      </w:tr>
      <w:tr w:rsidR="00EA38F6" w:rsidRPr="000864AE" w14:paraId="2F7D8883" w14:textId="77777777" w:rsidTr="00AC0C51">
        <w:trPr>
          <w:trHeight w:val="300"/>
        </w:trPr>
        <w:tc>
          <w:tcPr>
            <w:tcW w:w="668" w:type="dxa"/>
            <w:vAlign w:val="center"/>
            <w:hideMark/>
          </w:tcPr>
          <w:p w14:paraId="6174F58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513</w:t>
            </w:r>
          </w:p>
        </w:tc>
        <w:tc>
          <w:tcPr>
            <w:tcW w:w="3835" w:type="dxa"/>
            <w:vAlign w:val="center"/>
            <w:hideMark/>
          </w:tcPr>
          <w:p w14:paraId="5EFD1E3A" w14:textId="77777777" w:rsidR="00EA38F6" w:rsidRPr="000864AE" w:rsidRDefault="00EA38F6" w:rsidP="000864AE">
            <w:pPr>
              <w:rPr>
                <w:rFonts w:ascii="Verdana" w:hAnsi="Verdana"/>
                <w:sz w:val="18"/>
                <w:szCs w:val="18"/>
              </w:rPr>
            </w:pPr>
            <w:r w:rsidRPr="000864AE">
              <w:rPr>
                <w:rFonts w:ascii="Verdana" w:hAnsi="Verdana"/>
                <w:sz w:val="18"/>
                <w:szCs w:val="18"/>
              </w:rPr>
              <w:t>Rengifo Pezo Carlos Advelcader</w:t>
            </w:r>
          </w:p>
        </w:tc>
      </w:tr>
      <w:tr w:rsidR="00EA38F6" w:rsidRPr="000864AE" w14:paraId="4EC82806" w14:textId="77777777" w:rsidTr="00AC0C51">
        <w:trPr>
          <w:trHeight w:val="300"/>
        </w:trPr>
        <w:tc>
          <w:tcPr>
            <w:tcW w:w="668" w:type="dxa"/>
            <w:vAlign w:val="center"/>
            <w:hideMark/>
          </w:tcPr>
          <w:p w14:paraId="7DEAE39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514</w:t>
            </w:r>
          </w:p>
        </w:tc>
        <w:tc>
          <w:tcPr>
            <w:tcW w:w="3835" w:type="dxa"/>
            <w:vAlign w:val="center"/>
            <w:hideMark/>
          </w:tcPr>
          <w:p w14:paraId="37298460" w14:textId="77777777" w:rsidR="00EA38F6" w:rsidRPr="000864AE" w:rsidRDefault="00EA38F6" w:rsidP="000864AE">
            <w:pPr>
              <w:rPr>
                <w:rFonts w:ascii="Verdana" w:hAnsi="Verdana"/>
                <w:sz w:val="18"/>
                <w:szCs w:val="18"/>
              </w:rPr>
            </w:pPr>
            <w:r w:rsidRPr="000864AE">
              <w:rPr>
                <w:rFonts w:ascii="Verdana" w:hAnsi="Verdana"/>
                <w:sz w:val="18"/>
                <w:szCs w:val="18"/>
              </w:rPr>
              <w:t>Renilla Herrera Raúl Alberto</w:t>
            </w:r>
          </w:p>
        </w:tc>
      </w:tr>
      <w:tr w:rsidR="00EA38F6" w:rsidRPr="000864AE" w14:paraId="0265CFBC" w14:textId="77777777" w:rsidTr="00AC0C51">
        <w:trPr>
          <w:trHeight w:val="300"/>
        </w:trPr>
        <w:tc>
          <w:tcPr>
            <w:tcW w:w="668" w:type="dxa"/>
            <w:vAlign w:val="center"/>
            <w:hideMark/>
          </w:tcPr>
          <w:p w14:paraId="6FB43D2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515</w:t>
            </w:r>
          </w:p>
        </w:tc>
        <w:tc>
          <w:tcPr>
            <w:tcW w:w="3835" w:type="dxa"/>
            <w:vAlign w:val="center"/>
            <w:hideMark/>
          </w:tcPr>
          <w:p w14:paraId="709AEC3D" w14:textId="77777777" w:rsidR="00EA38F6" w:rsidRPr="000864AE" w:rsidRDefault="00EA38F6" w:rsidP="000864AE">
            <w:pPr>
              <w:rPr>
                <w:rFonts w:ascii="Verdana" w:hAnsi="Verdana"/>
                <w:sz w:val="18"/>
                <w:szCs w:val="18"/>
              </w:rPr>
            </w:pPr>
            <w:r w:rsidRPr="000864AE">
              <w:rPr>
                <w:rFonts w:ascii="Verdana" w:hAnsi="Verdana"/>
                <w:sz w:val="18"/>
                <w:szCs w:val="18"/>
              </w:rPr>
              <w:t>Renilla Herrera Segundo Camilo</w:t>
            </w:r>
          </w:p>
        </w:tc>
      </w:tr>
      <w:tr w:rsidR="00EA38F6" w:rsidRPr="000864AE" w14:paraId="5433394C" w14:textId="77777777" w:rsidTr="00AC0C51">
        <w:trPr>
          <w:trHeight w:val="300"/>
        </w:trPr>
        <w:tc>
          <w:tcPr>
            <w:tcW w:w="668" w:type="dxa"/>
            <w:vAlign w:val="center"/>
            <w:hideMark/>
          </w:tcPr>
          <w:p w14:paraId="16DEFE3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516</w:t>
            </w:r>
          </w:p>
        </w:tc>
        <w:tc>
          <w:tcPr>
            <w:tcW w:w="3835" w:type="dxa"/>
            <w:vAlign w:val="center"/>
            <w:hideMark/>
          </w:tcPr>
          <w:p w14:paraId="03CC6B0B" w14:textId="77777777" w:rsidR="00EA38F6" w:rsidRPr="000864AE" w:rsidRDefault="00EA38F6" w:rsidP="000864AE">
            <w:pPr>
              <w:rPr>
                <w:rFonts w:ascii="Verdana" w:hAnsi="Verdana"/>
                <w:sz w:val="18"/>
                <w:szCs w:val="18"/>
              </w:rPr>
            </w:pPr>
            <w:r w:rsidRPr="000864AE">
              <w:rPr>
                <w:rFonts w:ascii="Verdana" w:hAnsi="Verdana"/>
                <w:sz w:val="18"/>
                <w:szCs w:val="18"/>
              </w:rPr>
              <w:t>Reque Cumpa Máximo</w:t>
            </w:r>
          </w:p>
        </w:tc>
      </w:tr>
      <w:tr w:rsidR="00EA38F6" w:rsidRPr="000864AE" w14:paraId="5B4E5031" w14:textId="77777777" w:rsidTr="00AC0C51">
        <w:trPr>
          <w:trHeight w:val="300"/>
        </w:trPr>
        <w:tc>
          <w:tcPr>
            <w:tcW w:w="668" w:type="dxa"/>
            <w:vAlign w:val="center"/>
            <w:hideMark/>
          </w:tcPr>
          <w:p w14:paraId="4C29EA3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517</w:t>
            </w:r>
          </w:p>
        </w:tc>
        <w:tc>
          <w:tcPr>
            <w:tcW w:w="3835" w:type="dxa"/>
            <w:vAlign w:val="center"/>
            <w:hideMark/>
          </w:tcPr>
          <w:p w14:paraId="7F0AC5AC" w14:textId="77777777" w:rsidR="00EA38F6" w:rsidRPr="000864AE" w:rsidRDefault="00EA38F6" w:rsidP="000864AE">
            <w:pPr>
              <w:rPr>
                <w:rFonts w:ascii="Verdana" w:hAnsi="Verdana"/>
                <w:sz w:val="18"/>
                <w:szCs w:val="18"/>
              </w:rPr>
            </w:pPr>
            <w:r w:rsidRPr="000864AE">
              <w:rPr>
                <w:rFonts w:ascii="Verdana" w:hAnsi="Verdana"/>
                <w:sz w:val="18"/>
                <w:szCs w:val="18"/>
              </w:rPr>
              <w:t>Retamozo Pareja Teofilo</w:t>
            </w:r>
          </w:p>
        </w:tc>
      </w:tr>
      <w:tr w:rsidR="00EA38F6" w:rsidRPr="000864AE" w14:paraId="7DBD87A6" w14:textId="77777777" w:rsidTr="00AC0C51">
        <w:trPr>
          <w:trHeight w:val="300"/>
        </w:trPr>
        <w:tc>
          <w:tcPr>
            <w:tcW w:w="668" w:type="dxa"/>
            <w:vAlign w:val="center"/>
            <w:hideMark/>
          </w:tcPr>
          <w:p w14:paraId="6667599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518</w:t>
            </w:r>
          </w:p>
        </w:tc>
        <w:tc>
          <w:tcPr>
            <w:tcW w:w="3835" w:type="dxa"/>
            <w:vAlign w:val="center"/>
            <w:hideMark/>
          </w:tcPr>
          <w:p w14:paraId="25E5D8DE" w14:textId="77777777" w:rsidR="00EA38F6" w:rsidRPr="000864AE" w:rsidRDefault="00EA38F6" w:rsidP="000864AE">
            <w:pPr>
              <w:rPr>
                <w:rFonts w:ascii="Verdana" w:hAnsi="Verdana"/>
                <w:sz w:val="18"/>
                <w:szCs w:val="18"/>
              </w:rPr>
            </w:pPr>
            <w:r w:rsidRPr="000864AE">
              <w:rPr>
                <w:rFonts w:ascii="Verdana" w:hAnsi="Verdana"/>
                <w:sz w:val="18"/>
                <w:szCs w:val="18"/>
              </w:rPr>
              <w:t>Reyes Ato Rolando</w:t>
            </w:r>
          </w:p>
        </w:tc>
      </w:tr>
      <w:tr w:rsidR="00EA38F6" w:rsidRPr="000864AE" w14:paraId="4073CBF8" w14:textId="77777777" w:rsidTr="00AC0C51">
        <w:trPr>
          <w:trHeight w:val="300"/>
        </w:trPr>
        <w:tc>
          <w:tcPr>
            <w:tcW w:w="668" w:type="dxa"/>
            <w:vAlign w:val="center"/>
            <w:hideMark/>
          </w:tcPr>
          <w:p w14:paraId="6B09E4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519</w:t>
            </w:r>
          </w:p>
        </w:tc>
        <w:tc>
          <w:tcPr>
            <w:tcW w:w="3835" w:type="dxa"/>
            <w:vAlign w:val="center"/>
            <w:hideMark/>
          </w:tcPr>
          <w:p w14:paraId="759717AA" w14:textId="77777777" w:rsidR="00EA38F6" w:rsidRPr="000864AE" w:rsidRDefault="00EA38F6" w:rsidP="000864AE">
            <w:pPr>
              <w:rPr>
                <w:rFonts w:ascii="Verdana" w:hAnsi="Verdana"/>
                <w:sz w:val="18"/>
                <w:szCs w:val="18"/>
              </w:rPr>
            </w:pPr>
            <w:r w:rsidRPr="000864AE">
              <w:rPr>
                <w:rFonts w:ascii="Verdana" w:hAnsi="Verdana"/>
                <w:sz w:val="18"/>
                <w:szCs w:val="18"/>
              </w:rPr>
              <w:t>Reyes Sosa Rosa Isabel</w:t>
            </w:r>
          </w:p>
        </w:tc>
      </w:tr>
      <w:tr w:rsidR="00EA38F6" w:rsidRPr="000864AE" w14:paraId="081365F8" w14:textId="77777777" w:rsidTr="00AC0C51">
        <w:trPr>
          <w:trHeight w:val="300"/>
        </w:trPr>
        <w:tc>
          <w:tcPr>
            <w:tcW w:w="668" w:type="dxa"/>
            <w:vAlign w:val="center"/>
            <w:hideMark/>
          </w:tcPr>
          <w:p w14:paraId="3564C2A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520</w:t>
            </w:r>
          </w:p>
        </w:tc>
        <w:tc>
          <w:tcPr>
            <w:tcW w:w="3835" w:type="dxa"/>
            <w:vAlign w:val="center"/>
            <w:hideMark/>
          </w:tcPr>
          <w:p w14:paraId="758B9D03" w14:textId="77777777" w:rsidR="00EA38F6" w:rsidRPr="000864AE" w:rsidRDefault="00EA38F6" w:rsidP="000864AE">
            <w:pPr>
              <w:rPr>
                <w:rFonts w:ascii="Verdana" w:hAnsi="Verdana"/>
                <w:sz w:val="18"/>
                <w:szCs w:val="18"/>
              </w:rPr>
            </w:pPr>
            <w:r w:rsidRPr="000864AE">
              <w:rPr>
                <w:rFonts w:ascii="Verdana" w:hAnsi="Verdana"/>
                <w:sz w:val="18"/>
                <w:szCs w:val="18"/>
              </w:rPr>
              <w:t>Reyna Savero Carmen Jerónima</w:t>
            </w:r>
          </w:p>
        </w:tc>
      </w:tr>
      <w:tr w:rsidR="00EA38F6" w:rsidRPr="000864AE" w14:paraId="44EB4E88" w14:textId="77777777" w:rsidTr="00AC0C51">
        <w:trPr>
          <w:trHeight w:val="300"/>
        </w:trPr>
        <w:tc>
          <w:tcPr>
            <w:tcW w:w="668" w:type="dxa"/>
            <w:vAlign w:val="center"/>
            <w:hideMark/>
          </w:tcPr>
          <w:p w14:paraId="6B3B818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521</w:t>
            </w:r>
          </w:p>
        </w:tc>
        <w:tc>
          <w:tcPr>
            <w:tcW w:w="3835" w:type="dxa"/>
            <w:vAlign w:val="center"/>
            <w:hideMark/>
          </w:tcPr>
          <w:p w14:paraId="64E51F36" w14:textId="77777777" w:rsidR="00EA38F6" w:rsidRPr="000864AE" w:rsidRDefault="00EA38F6" w:rsidP="000864AE">
            <w:pPr>
              <w:rPr>
                <w:rFonts w:ascii="Verdana" w:hAnsi="Verdana"/>
                <w:sz w:val="18"/>
                <w:szCs w:val="18"/>
              </w:rPr>
            </w:pPr>
            <w:r w:rsidRPr="000864AE">
              <w:rPr>
                <w:rFonts w:ascii="Verdana" w:hAnsi="Verdana"/>
                <w:sz w:val="18"/>
                <w:szCs w:val="18"/>
              </w:rPr>
              <w:t>Ribera Vargas Carlos</w:t>
            </w:r>
          </w:p>
        </w:tc>
      </w:tr>
      <w:tr w:rsidR="00EA38F6" w:rsidRPr="000864AE" w14:paraId="23ECB073" w14:textId="77777777" w:rsidTr="00AC0C51">
        <w:trPr>
          <w:trHeight w:val="300"/>
        </w:trPr>
        <w:tc>
          <w:tcPr>
            <w:tcW w:w="668" w:type="dxa"/>
            <w:vAlign w:val="center"/>
            <w:hideMark/>
          </w:tcPr>
          <w:p w14:paraId="1230912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522</w:t>
            </w:r>
          </w:p>
        </w:tc>
        <w:tc>
          <w:tcPr>
            <w:tcW w:w="3835" w:type="dxa"/>
            <w:vAlign w:val="center"/>
            <w:hideMark/>
          </w:tcPr>
          <w:p w14:paraId="6C3E0FAF" w14:textId="77777777" w:rsidR="00EA38F6" w:rsidRPr="000864AE" w:rsidRDefault="00EA38F6" w:rsidP="000864AE">
            <w:pPr>
              <w:rPr>
                <w:rFonts w:ascii="Verdana" w:hAnsi="Verdana"/>
                <w:sz w:val="18"/>
                <w:szCs w:val="18"/>
              </w:rPr>
            </w:pPr>
            <w:r w:rsidRPr="000864AE">
              <w:rPr>
                <w:rFonts w:ascii="Verdana" w:hAnsi="Verdana"/>
                <w:sz w:val="18"/>
                <w:szCs w:val="18"/>
              </w:rPr>
              <w:t>Rioja Sánchez Carmen Micaela</w:t>
            </w:r>
          </w:p>
        </w:tc>
      </w:tr>
      <w:tr w:rsidR="00EA38F6" w:rsidRPr="000864AE" w14:paraId="4E686D6C" w14:textId="77777777" w:rsidTr="00AC0C51">
        <w:trPr>
          <w:trHeight w:val="300"/>
        </w:trPr>
        <w:tc>
          <w:tcPr>
            <w:tcW w:w="668" w:type="dxa"/>
            <w:vAlign w:val="center"/>
            <w:hideMark/>
          </w:tcPr>
          <w:p w14:paraId="4A39F9A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523</w:t>
            </w:r>
          </w:p>
        </w:tc>
        <w:tc>
          <w:tcPr>
            <w:tcW w:w="3835" w:type="dxa"/>
            <w:vAlign w:val="center"/>
            <w:hideMark/>
          </w:tcPr>
          <w:p w14:paraId="2D2A64C4" w14:textId="77777777" w:rsidR="00EA38F6" w:rsidRPr="000864AE" w:rsidRDefault="00EA38F6" w:rsidP="000864AE">
            <w:pPr>
              <w:rPr>
                <w:rFonts w:ascii="Verdana" w:hAnsi="Verdana"/>
                <w:sz w:val="18"/>
                <w:szCs w:val="18"/>
              </w:rPr>
            </w:pPr>
            <w:r w:rsidRPr="000864AE">
              <w:rPr>
                <w:rFonts w:ascii="Verdana" w:hAnsi="Verdana"/>
                <w:sz w:val="18"/>
                <w:szCs w:val="18"/>
              </w:rPr>
              <w:t>Ríos Ramos Paulina Laura Pilar</w:t>
            </w:r>
          </w:p>
        </w:tc>
      </w:tr>
      <w:tr w:rsidR="00EA38F6" w:rsidRPr="000864AE" w14:paraId="60AD5F3F" w14:textId="77777777" w:rsidTr="00AC0C51">
        <w:trPr>
          <w:trHeight w:val="300"/>
        </w:trPr>
        <w:tc>
          <w:tcPr>
            <w:tcW w:w="668" w:type="dxa"/>
            <w:vAlign w:val="center"/>
            <w:hideMark/>
          </w:tcPr>
          <w:p w14:paraId="173AA73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524</w:t>
            </w:r>
          </w:p>
        </w:tc>
        <w:tc>
          <w:tcPr>
            <w:tcW w:w="3835" w:type="dxa"/>
            <w:vAlign w:val="center"/>
            <w:hideMark/>
          </w:tcPr>
          <w:p w14:paraId="402EDBA7" w14:textId="77777777" w:rsidR="00EA38F6" w:rsidRPr="000864AE" w:rsidRDefault="00EA38F6" w:rsidP="000864AE">
            <w:pPr>
              <w:rPr>
                <w:rFonts w:ascii="Verdana" w:hAnsi="Verdana"/>
                <w:sz w:val="18"/>
                <w:szCs w:val="18"/>
              </w:rPr>
            </w:pPr>
            <w:r w:rsidRPr="000864AE">
              <w:rPr>
                <w:rFonts w:ascii="Verdana" w:hAnsi="Verdana"/>
                <w:sz w:val="18"/>
                <w:szCs w:val="18"/>
              </w:rPr>
              <w:t>Ríos Zavaleta Fortunato David</w:t>
            </w:r>
          </w:p>
        </w:tc>
      </w:tr>
      <w:tr w:rsidR="00EA38F6" w:rsidRPr="000864AE" w14:paraId="6D23FD23" w14:textId="77777777" w:rsidTr="00AC0C51">
        <w:trPr>
          <w:trHeight w:val="300"/>
        </w:trPr>
        <w:tc>
          <w:tcPr>
            <w:tcW w:w="668" w:type="dxa"/>
            <w:vAlign w:val="center"/>
            <w:hideMark/>
          </w:tcPr>
          <w:p w14:paraId="762BDBF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525</w:t>
            </w:r>
          </w:p>
        </w:tc>
        <w:tc>
          <w:tcPr>
            <w:tcW w:w="3835" w:type="dxa"/>
            <w:vAlign w:val="center"/>
            <w:hideMark/>
          </w:tcPr>
          <w:p w14:paraId="0BA251AC" w14:textId="77777777" w:rsidR="00EA38F6" w:rsidRPr="000864AE" w:rsidRDefault="00EA38F6" w:rsidP="000864AE">
            <w:pPr>
              <w:rPr>
                <w:rFonts w:ascii="Verdana" w:hAnsi="Verdana"/>
                <w:sz w:val="18"/>
                <w:szCs w:val="18"/>
              </w:rPr>
            </w:pPr>
            <w:r w:rsidRPr="000864AE">
              <w:rPr>
                <w:rFonts w:ascii="Verdana" w:hAnsi="Verdana"/>
                <w:sz w:val="18"/>
                <w:szCs w:val="18"/>
              </w:rPr>
              <w:t>Risso Colmenares Ramón</w:t>
            </w:r>
          </w:p>
        </w:tc>
      </w:tr>
      <w:tr w:rsidR="00EA38F6" w:rsidRPr="000864AE" w14:paraId="39556A2A" w14:textId="77777777" w:rsidTr="00AC0C51">
        <w:trPr>
          <w:trHeight w:val="300"/>
        </w:trPr>
        <w:tc>
          <w:tcPr>
            <w:tcW w:w="668" w:type="dxa"/>
            <w:vAlign w:val="center"/>
            <w:hideMark/>
          </w:tcPr>
          <w:p w14:paraId="18B316C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526</w:t>
            </w:r>
          </w:p>
        </w:tc>
        <w:tc>
          <w:tcPr>
            <w:tcW w:w="3835" w:type="dxa"/>
            <w:vAlign w:val="center"/>
            <w:hideMark/>
          </w:tcPr>
          <w:p w14:paraId="297CF1CF" w14:textId="77777777" w:rsidR="00EA38F6" w:rsidRPr="000864AE" w:rsidRDefault="00EA38F6" w:rsidP="000864AE">
            <w:pPr>
              <w:rPr>
                <w:rFonts w:ascii="Verdana" w:hAnsi="Verdana"/>
                <w:sz w:val="18"/>
                <w:szCs w:val="18"/>
              </w:rPr>
            </w:pPr>
            <w:r w:rsidRPr="000864AE">
              <w:rPr>
                <w:rFonts w:ascii="Verdana" w:hAnsi="Verdana"/>
                <w:sz w:val="18"/>
                <w:szCs w:val="18"/>
              </w:rPr>
              <w:t>Rivas Lara Víctor Raúl</w:t>
            </w:r>
          </w:p>
        </w:tc>
      </w:tr>
      <w:tr w:rsidR="00EA38F6" w:rsidRPr="000864AE" w14:paraId="630A52B9" w14:textId="77777777" w:rsidTr="00AC0C51">
        <w:trPr>
          <w:trHeight w:val="300"/>
        </w:trPr>
        <w:tc>
          <w:tcPr>
            <w:tcW w:w="668" w:type="dxa"/>
            <w:vAlign w:val="center"/>
            <w:hideMark/>
          </w:tcPr>
          <w:p w14:paraId="1CD6B08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527</w:t>
            </w:r>
          </w:p>
        </w:tc>
        <w:tc>
          <w:tcPr>
            <w:tcW w:w="3835" w:type="dxa"/>
            <w:vAlign w:val="center"/>
            <w:hideMark/>
          </w:tcPr>
          <w:p w14:paraId="733F6B75" w14:textId="77777777" w:rsidR="00EA38F6" w:rsidRPr="000864AE" w:rsidRDefault="00EA38F6" w:rsidP="000864AE">
            <w:pPr>
              <w:rPr>
                <w:rFonts w:ascii="Verdana" w:hAnsi="Verdana"/>
                <w:sz w:val="18"/>
                <w:szCs w:val="18"/>
              </w:rPr>
            </w:pPr>
            <w:r w:rsidRPr="000864AE">
              <w:rPr>
                <w:rFonts w:ascii="Verdana" w:hAnsi="Verdana"/>
                <w:sz w:val="18"/>
                <w:szCs w:val="18"/>
              </w:rPr>
              <w:t>Rivas Puga Enrique</w:t>
            </w:r>
          </w:p>
        </w:tc>
      </w:tr>
      <w:tr w:rsidR="00EA38F6" w:rsidRPr="000864AE" w14:paraId="2F645B41" w14:textId="77777777" w:rsidTr="00AC0C51">
        <w:trPr>
          <w:trHeight w:val="300"/>
        </w:trPr>
        <w:tc>
          <w:tcPr>
            <w:tcW w:w="668" w:type="dxa"/>
            <w:vAlign w:val="center"/>
            <w:hideMark/>
          </w:tcPr>
          <w:p w14:paraId="1E1480B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528</w:t>
            </w:r>
          </w:p>
        </w:tc>
        <w:tc>
          <w:tcPr>
            <w:tcW w:w="3835" w:type="dxa"/>
            <w:vAlign w:val="center"/>
            <w:hideMark/>
          </w:tcPr>
          <w:p w14:paraId="139AA97A" w14:textId="77777777" w:rsidR="00EA38F6" w:rsidRPr="000864AE" w:rsidRDefault="00EA38F6" w:rsidP="000864AE">
            <w:pPr>
              <w:rPr>
                <w:rFonts w:ascii="Verdana" w:hAnsi="Verdana"/>
                <w:sz w:val="18"/>
                <w:szCs w:val="18"/>
              </w:rPr>
            </w:pPr>
            <w:r w:rsidRPr="000864AE">
              <w:rPr>
                <w:rFonts w:ascii="Verdana" w:hAnsi="Verdana"/>
                <w:sz w:val="18"/>
                <w:szCs w:val="18"/>
              </w:rPr>
              <w:t>Rivera Egúsquiza Andrés Roberto</w:t>
            </w:r>
          </w:p>
        </w:tc>
      </w:tr>
      <w:tr w:rsidR="00EA38F6" w:rsidRPr="000864AE" w14:paraId="12D75095" w14:textId="77777777" w:rsidTr="00AC0C51">
        <w:trPr>
          <w:trHeight w:val="300"/>
        </w:trPr>
        <w:tc>
          <w:tcPr>
            <w:tcW w:w="668" w:type="dxa"/>
            <w:vAlign w:val="center"/>
            <w:hideMark/>
          </w:tcPr>
          <w:p w14:paraId="380D8D5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529</w:t>
            </w:r>
          </w:p>
        </w:tc>
        <w:tc>
          <w:tcPr>
            <w:tcW w:w="3835" w:type="dxa"/>
            <w:vAlign w:val="center"/>
            <w:hideMark/>
          </w:tcPr>
          <w:p w14:paraId="7AF48D22" w14:textId="77777777" w:rsidR="00EA38F6" w:rsidRPr="000864AE" w:rsidRDefault="00EA38F6" w:rsidP="000864AE">
            <w:pPr>
              <w:rPr>
                <w:rFonts w:ascii="Verdana" w:hAnsi="Verdana"/>
                <w:sz w:val="18"/>
                <w:szCs w:val="18"/>
              </w:rPr>
            </w:pPr>
            <w:r w:rsidRPr="000864AE">
              <w:rPr>
                <w:rFonts w:ascii="Verdana" w:hAnsi="Verdana"/>
                <w:sz w:val="18"/>
                <w:szCs w:val="18"/>
              </w:rPr>
              <w:t>Rivera Egúsquiza Augusto A.</w:t>
            </w:r>
          </w:p>
        </w:tc>
      </w:tr>
      <w:tr w:rsidR="00EA38F6" w:rsidRPr="000864AE" w14:paraId="7DCF8484" w14:textId="77777777" w:rsidTr="00AC0C51">
        <w:trPr>
          <w:trHeight w:val="300"/>
        </w:trPr>
        <w:tc>
          <w:tcPr>
            <w:tcW w:w="668" w:type="dxa"/>
            <w:vAlign w:val="center"/>
            <w:hideMark/>
          </w:tcPr>
          <w:p w14:paraId="693B281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530</w:t>
            </w:r>
          </w:p>
        </w:tc>
        <w:tc>
          <w:tcPr>
            <w:tcW w:w="3835" w:type="dxa"/>
            <w:vAlign w:val="center"/>
            <w:hideMark/>
          </w:tcPr>
          <w:p w14:paraId="1D7DCA88" w14:textId="77777777" w:rsidR="00EA38F6" w:rsidRPr="000864AE" w:rsidRDefault="00EA38F6" w:rsidP="000864AE">
            <w:pPr>
              <w:rPr>
                <w:rFonts w:ascii="Verdana" w:hAnsi="Verdana"/>
                <w:sz w:val="18"/>
                <w:szCs w:val="18"/>
              </w:rPr>
            </w:pPr>
            <w:r w:rsidRPr="000864AE">
              <w:rPr>
                <w:rFonts w:ascii="Verdana" w:hAnsi="Verdana"/>
                <w:sz w:val="18"/>
                <w:szCs w:val="18"/>
              </w:rPr>
              <w:t>Rivera Valega Román Rodolfo</w:t>
            </w:r>
          </w:p>
        </w:tc>
      </w:tr>
      <w:tr w:rsidR="00EA38F6" w:rsidRPr="000864AE" w14:paraId="4CA222EB" w14:textId="77777777" w:rsidTr="00AC0C51">
        <w:trPr>
          <w:trHeight w:val="300"/>
        </w:trPr>
        <w:tc>
          <w:tcPr>
            <w:tcW w:w="668" w:type="dxa"/>
            <w:vAlign w:val="center"/>
            <w:hideMark/>
          </w:tcPr>
          <w:p w14:paraId="1D1BB63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531</w:t>
            </w:r>
          </w:p>
        </w:tc>
        <w:tc>
          <w:tcPr>
            <w:tcW w:w="3835" w:type="dxa"/>
            <w:vAlign w:val="center"/>
            <w:hideMark/>
          </w:tcPr>
          <w:p w14:paraId="4B2B066B" w14:textId="77777777" w:rsidR="00EA38F6" w:rsidRPr="000864AE" w:rsidRDefault="00EA38F6" w:rsidP="000864AE">
            <w:pPr>
              <w:rPr>
                <w:rFonts w:ascii="Verdana" w:hAnsi="Verdana"/>
                <w:sz w:val="18"/>
                <w:szCs w:val="18"/>
              </w:rPr>
            </w:pPr>
            <w:r w:rsidRPr="000864AE">
              <w:rPr>
                <w:rFonts w:ascii="Verdana" w:hAnsi="Verdana"/>
                <w:sz w:val="18"/>
                <w:szCs w:val="18"/>
              </w:rPr>
              <w:t>Riveros Rivas Rubén Abelardo</w:t>
            </w:r>
          </w:p>
        </w:tc>
      </w:tr>
      <w:tr w:rsidR="00EA38F6" w:rsidRPr="000864AE" w14:paraId="61D7E06D" w14:textId="77777777" w:rsidTr="00AC0C51">
        <w:trPr>
          <w:trHeight w:val="300"/>
        </w:trPr>
        <w:tc>
          <w:tcPr>
            <w:tcW w:w="668" w:type="dxa"/>
            <w:vAlign w:val="center"/>
            <w:hideMark/>
          </w:tcPr>
          <w:p w14:paraId="0322685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532</w:t>
            </w:r>
          </w:p>
        </w:tc>
        <w:tc>
          <w:tcPr>
            <w:tcW w:w="3835" w:type="dxa"/>
            <w:vAlign w:val="center"/>
            <w:hideMark/>
          </w:tcPr>
          <w:p w14:paraId="5A0A8D34" w14:textId="77777777" w:rsidR="00EA38F6" w:rsidRPr="000864AE" w:rsidRDefault="00EA38F6" w:rsidP="000864AE">
            <w:pPr>
              <w:rPr>
                <w:rFonts w:ascii="Verdana" w:hAnsi="Verdana"/>
                <w:sz w:val="18"/>
                <w:szCs w:val="18"/>
              </w:rPr>
            </w:pPr>
            <w:r w:rsidRPr="000864AE">
              <w:rPr>
                <w:rFonts w:ascii="Verdana" w:hAnsi="Verdana"/>
                <w:sz w:val="18"/>
                <w:szCs w:val="18"/>
              </w:rPr>
              <w:t>Robles Ventocilla Clara Rosa</w:t>
            </w:r>
          </w:p>
        </w:tc>
      </w:tr>
      <w:tr w:rsidR="00EA38F6" w:rsidRPr="000864AE" w14:paraId="1EEBEBFD" w14:textId="77777777" w:rsidTr="00AC0C51">
        <w:trPr>
          <w:trHeight w:val="300"/>
        </w:trPr>
        <w:tc>
          <w:tcPr>
            <w:tcW w:w="668" w:type="dxa"/>
            <w:vAlign w:val="center"/>
            <w:hideMark/>
          </w:tcPr>
          <w:p w14:paraId="31C9B2F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533</w:t>
            </w:r>
          </w:p>
        </w:tc>
        <w:tc>
          <w:tcPr>
            <w:tcW w:w="3835" w:type="dxa"/>
            <w:vAlign w:val="center"/>
            <w:hideMark/>
          </w:tcPr>
          <w:p w14:paraId="21E31010" w14:textId="77777777" w:rsidR="00EA38F6" w:rsidRPr="000864AE" w:rsidRDefault="00EA38F6" w:rsidP="000864AE">
            <w:pPr>
              <w:rPr>
                <w:rFonts w:ascii="Verdana" w:hAnsi="Verdana"/>
                <w:sz w:val="18"/>
                <w:szCs w:val="18"/>
              </w:rPr>
            </w:pPr>
            <w:r w:rsidRPr="000864AE">
              <w:rPr>
                <w:rFonts w:ascii="Verdana" w:hAnsi="Verdana"/>
                <w:sz w:val="18"/>
                <w:szCs w:val="18"/>
              </w:rPr>
              <w:t>Roca Vega Blanca Haydee</w:t>
            </w:r>
          </w:p>
        </w:tc>
      </w:tr>
      <w:tr w:rsidR="00EA38F6" w:rsidRPr="000864AE" w14:paraId="75C3E158" w14:textId="77777777" w:rsidTr="00AC0C51">
        <w:trPr>
          <w:trHeight w:val="300"/>
        </w:trPr>
        <w:tc>
          <w:tcPr>
            <w:tcW w:w="668" w:type="dxa"/>
            <w:vAlign w:val="center"/>
            <w:hideMark/>
          </w:tcPr>
          <w:p w14:paraId="5BC908E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534</w:t>
            </w:r>
          </w:p>
        </w:tc>
        <w:tc>
          <w:tcPr>
            <w:tcW w:w="3835" w:type="dxa"/>
            <w:vAlign w:val="center"/>
            <w:hideMark/>
          </w:tcPr>
          <w:p w14:paraId="4A673E0A" w14:textId="77777777" w:rsidR="00EA38F6" w:rsidRPr="000864AE" w:rsidRDefault="00EA38F6" w:rsidP="000864AE">
            <w:pPr>
              <w:rPr>
                <w:rFonts w:ascii="Verdana" w:hAnsi="Verdana"/>
                <w:sz w:val="18"/>
                <w:szCs w:val="18"/>
              </w:rPr>
            </w:pPr>
            <w:r w:rsidRPr="000864AE">
              <w:rPr>
                <w:rFonts w:ascii="Verdana" w:hAnsi="Verdana"/>
                <w:sz w:val="18"/>
                <w:szCs w:val="18"/>
              </w:rPr>
              <w:t>Rocca Sánchez Julio Eduardo</w:t>
            </w:r>
          </w:p>
        </w:tc>
      </w:tr>
      <w:tr w:rsidR="00EA38F6" w:rsidRPr="000864AE" w14:paraId="58C8D5FA" w14:textId="77777777" w:rsidTr="00AC0C51">
        <w:trPr>
          <w:trHeight w:val="300"/>
        </w:trPr>
        <w:tc>
          <w:tcPr>
            <w:tcW w:w="668" w:type="dxa"/>
            <w:vAlign w:val="center"/>
            <w:hideMark/>
          </w:tcPr>
          <w:p w14:paraId="76A8D36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535</w:t>
            </w:r>
          </w:p>
        </w:tc>
        <w:tc>
          <w:tcPr>
            <w:tcW w:w="3835" w:type="dxa"/>
            <w:vAlign w:val="center"/>
            <w:hideMark/>
          </w:tcPr>
          <w:p w14:paraId="45C2AF38" w14:textId="77777777" w:rsidR="00EA38F6" w:rsidRPr="000864AE" w:rsidRDefault="00EA38F6" w:rsidP="000864AE">
            <w:pPr>
              <w:rPr>
                <w:rFonts w:ascii="Verdana" w:hAnsi="Verdana"/>
                <w:sz w:val="18"/>
                <w:szCs w:val="18"/>
              </w:rPr>
            </w:pPr>
            <w:r w:rsidRPr="000864AE">
              <w:rPr>
                <w:rFonts w:ascii="Verdana" w:hAnsi="Verdana"/>
                <w:sz w:val="18"/>
                <w:szCs w:val="18"/>
              </w:rPr>
              <w:t>Rodríguez Arana Manuel Humberto</w:t>
            </w:r>
          </w:p>
        </w:tc>
      </w:tr>
      <w:tr w:rsidR="00EA38F6" w:rsidRPr="000864AE" w14:paraId="6657167E" w14:textId="77777777" w:rsidTr="00AC0C51">
        <w:trPr>
          <w:trHeight w:val="300"/>
        </w:trPr>
        <w:tc>
          <w:tcPr>
            <w:tcW w:w="668" w:type="dxa"/>
            <w:vAlign w:val="center"/>
            <w:hideMark/>
          </w:tcPr>
          <w:p w14:paraId="2BC5C17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536</w:t>
            </w:r>
          </w:p>
        </w:tc>
        <w:tc>
          <w:tcPr>
            <w:tcW w:w="3835" w:type="dxa"/>
            <w:vAlign w:val="center"/>
            <w:hideMark/>
          </w:tcPr>
          <w:p w14:paraId="5C9BF6C7" w14:textId="77777777" w:rsidR="00EA38F6" w:rsidRPr="000864AE" w:rsidRDefault="00EA38F6" w:rsidP="000864AE">
            <w:pPr>
              <w:rPr>
                <w:rFonts w:ascii="Verdana" w:hAnsi="Verdana"/>
                <w:sz w:val="18"/>
                <w:szCs w:val="18"/>
              </w:rPr>
            </w:pPr>
            <w:r w:rsidRPr="000864AE">
              <w:rPr>
                <w:rFonts w:ascii="Verdana" w:hAnsi="Verdana"/>
                <w:sz w:val="18"/>
                <w:szCs w:val="18"/>
              </w:rPr>
              <w:t>Rodríguez Aguirre Julio Raúl</w:t>
            </w:r>
          </w:p>
        </w:tc>
      </w:tr>
      <w:tr w:rsidR="00EA38F6" w:rsidRPr="000864AE" w14:paraId="6800AFB8" w14:textId="77777777" w:rsidTr="00AC0C51">
        <w:trPr>
          <w:trHeight w:val="300"/>
        </w:trPr>
        <w:tc>
          <w:tcPr>
            <w:tcW w:w="668" w:type="dxa"/>
            <w:vAlign w:val="center"/>
            <w:hideMark/>
          </w:tcPr>
          <w:p w14:paraId="3606D6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537</w:t>
            </w:r>
          </w:p>
        </w:tc>
        <w:tc>
          <w:tcPr>
            <w:tcW w:w="3835" w:type="dxa"/>
            <w:vAlign w:val="center"/>
            <w:hideMark/>
          </w:tcPr>
          <w:p w14:paraId="3F66DB87" w14:textId="77777777" w:rsidR="00EA38F6" w:rsidRPr="000864AE" w:rsidRDefault="00EA38F6" w:rsidP="000864AE">
            <w:pPr>
              <w:rPr>
                <w:rFonts w:ascii="Verdana" w:hAnsi="Verdana"/>
                <w:sz w:val="18"/>
                <w:szCs w:val="18"/>
              </w:rPr>
            </w:pPr>
            <w:r w:rsidRPr="000864AE">
              <w:rPr>
                <w:rFonts w:ascii="Verdana" w:hAnsi="Verdana"/>
                <w:sz w:val="18"/>
                <w:szCs w:val="18"/>
              </w:rPr>
              <w:t>Rodríguez Banda Angélica Josefina</w:t>
            </w:r>
          </w:p>
        </w:tc>
      </w:tr>
      <w:tr w:rsidR="00EA38F6" w:rsidRPr="000864AE" w14:paraId="12987F21" w14:textId="77777777" w:rsidTr="00AC0C51">
        <w:trPr>
          <w:trHeight w:val="300"/>
        </w:trPr>
        <w:tc>
          <w:tcPr>
            <w:tcW w:w="668" w:type="dxa"/>
            <w:vAlign w:val="center"/>
            <w:hideMark/>
          </w:tcPr>
          <w:p w14:paraId="7D62125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538</w:t>
            </w:r>
          </w:p>
        </w:tc>
        <w:tc>
          <w:tcPr>
            <w:tcW w:w="3835" w:type="dxa"/>
            <w:vAlign w:val="center"/>
            <w:hideMark/>
          </w:tcPr>
          <w:p w14:paraId="36666E0B" w14:textId="77777777" w:rsidR="00EA38F6" w:rsidRPr="000864AE" w:rsidRDefault="00EA38F6" w:rsidP="000864AE">
            <w:pPr>
              <w:rPr>
                <w:rFonts w:ascii="Verdana" w:hAnsi="Verdana"/>
                <w:sz w:val="18"/>
                <w:szCs w:val="18"/>
              </w:rPr>
            </w:pPr>
            <w:r w:rsidRPr="000864AE">
              <w:rPr>
                <w:rFonts w:ascii="Verdana" w:hAnsi="Verdana"/>
                <w:sz w:val="18"/>
                <w:szCs w:val="18"/>
              </w:rPr>
              <w:t>Rodríguez La Madrid Eduardo</w:t>
            </w:r>
          </w:p>
        </w:tc>
      </w:tr>
      <w:tr w:rsidR="00EA38F6" w:rsidRPr="000864AE" w14:paraId="0F8F9200" w14:textId="77777777" w:rsidTr="00AC0C51">
        <w:trPr>
          <w:trHeight w:val="300"/>
        </w:trPr>
        <w:tc>
          <w:tcPr>
            <w:tcW w:w="668" w:type="dxa"/>
            <w:vAlign w:val="center"/>
            <w:hideMark/>
          </w:tcPr>
          <w:p w14:paraId="7F51D4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539</w:t>
            </w:r>
          </w:p>
        </w:tc>
        <w:tc>
          <w:tcPr>
            <w:tcW w:w="3835" w:type="dxa"/>
            <w:vAlign w:val="center"/>
            <w:hideMark/>
          </w:tcPr>
          <w:p w14:paraId="014D5A58" w14:textId="77777777" w:rsidR="00EA38F6" w:rsidRPr="000864AE" w:rsidRDefault="00EA38F6" w:rsidP="000864AE">
            <w:pPr>
              <w:rPr>
                <w:rFonts w:ascii="Verdana" w:hAnsi="Verdana"/>
                <w:sz w:val="18"/>
                <w:szCs w:val="18"/>
              </w:rPr>
            </w:pPr>
            <w:r w:rsidRPr="000864AE">
              <w:rPr>
                <w:rFonts w:ascii="Verdana" w:hAnsi="Verdana"/>
                <w:sz w:val="18"/>
                <w:szCs w:val="18"/>
              </w:rPr>
              <w:t>Rodríguez Márquez Jaime</w:t>
            </w:r>
          </w:p>
        </w:tc>
      </w:tr>
      <w:tr w:rsidR="00EA38F6" w:rsidRPr="000864AE" w14:paraId="3FB509A6" w14:textId="77777777" w:rsidTr="00AC0C51">
        <w:trPr>
          <w:trHeight w:val="300"/>
        </w:trPr>
        <w:tc>
          <w:tcPr>
            <w:tcW w:w="668" w:type="dxa"/>
            <w:vAlign w:val="center"/>
            <w:hideMark/>
          </w:tcPr>
          <w:p w14:paraId="11E0CE0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540</w:t>
            </w:r>
          </w:p>
        </w:tc>
        <w:tc>
          <w:tcPr>
            <w:tcW w:w="3835" w:type="dxa"/>
            <w:vAlign w:val="center"/>
            <w:hideMark/>
          </w:tcPr>
          <w:p w14:paraId="784D11E9" w14:textId="77777777" w:rsidR="00EA38F6" w:rsidRPr="000864AE" w:rsidRDefault="00EA38F6" w:rsidP="000864AE">
            <w:pPr>
              <w:rPr>
                <w:rFonts w:ascii="Verdana" w:hAnsi="Verdana"/>
                <w:sz w:val="18"/>
                <w:szCs w:val="18"/>
              </w:rPr>
            </w:pPr>
            <w:r w:rsidRPr="000864AE">
              <w:rPr>
                <w:rFonts w:ascii="Verdana" w:hAnsi="Verdana"/>
                <w:sz w:val="18"/>
                <w:szCs w:val="18"/>
              </w:rPr>
              <w:t>Rodríguez Rodríguez Benjamin</w:t>
            </w:r>
          </w:p>
        </w:tc>
      </w:tr>
      <w:tr w:rsidR="00EA38F6" w:rsidRPr="000864AE" w14:paraId="6959115B" w14:textId="77777777" w:rsidTr="00AC0C51">
        <w:trPr>
          <w:trHeight w:val="300"/>
        </w:trPr>
        <w:tc>
          <w:tcPr>
            <w:tcW w:w="668" w:type="dxa"/>
            <w:vAlign w:val="center"/>
            <w:hideMark/>
          </w:tcPr>
          <w:p w14:paraId="1F3FFA0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541</w:t>
            </w:r>
          </w:p>
        </w:tc>
        <w:tc>
          <w:tcPr>
            <w:tcW w:w="3835" w:type="dxa"/>
            <w:vAlign w:val="center"/>
            <w:hideMark/>
          </w:tcPr>
          <w:p w14:paraId="746888E8" w14:textId="77777777" w:rsidR="00EA38F6" w:rsidRPr="000864AE" w:rsidRDefault="00EA38F6" w:rsidP="000864AE">
            <w:pPr>
              <w:rPr>
                <w:rFonts w:ascii="Verdana" w:hAnsi="Verdana"/>
                <w:sz w:val="18"/>
                <w:szCs w:val="18"/>
              </w:rPr>
            </w:pPr>
            <w:r w:rsidRPr="000864AE">
              <w:rPr>
                <w:rFonts w:ascii="Verdana" w:hAnsi="Verdana"/>
                <w:sz w:val="18"/>
                <w:szCs w:val="18"/>
              </w:rPr>
              <w:t>Rojas Carriedo Yolanda Alejandrina</w:t>
            </w:r>
          </w:p>
        </w:tc>
      </w:tr>
      <w:tr w:rsidR="00EA38F6" w:rsidRPr="000864AE" w14:paraId="4E3CFA83" w14:textId="77777777" w:rsidTr="00AC0C51">
        <w:trPr>
          <w:trHeight w:val="300"/>
        </w:trPr>
        <w:tc>
          <w:tcPr>
            <w:tcW w:w="668" w:type="dxa"/>
            <w:vAlign w:val="center"/>
            <w:hideMark/>
          </w:tcPr>
          <w:p w14:paraId="18FBD19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542</w:t>
            </w:r>
          </w:p>
        </w:tc>
        <w:tc>
          <w:tcPr>
            <w:tcW w:w="3835" w:type="dxa"/>
            <w:vAlign w:val="center"/>
            <w:hideMark/>
          </w:tcPr>
          <w:p w14:paraId="0FA529B0" w14:textId="77777777" w:rsidR="00EA38F6" w:rsidRPr="000864AE" w:rsidRDefault="00EA38F6" w:rsidP="000864AE">
            <w:pPr>
              <w:rPr>
                <w:rFonts w:ascii="Verdana" w:hAnsi="Verdana"/>
                <w:sz w:val="18"/>
                <w:szCs w:val="18"/>
              </w:rPr>
            </w:pPr>
            <w:r w:rsidRPr="000864AE">
              <w:rPr>
                <w:rFonts w:ascii="Verdana" w:hAnsi="Verdana"/>
                <w:sz w:val="18"/>
                <w:szCs w:val="18"/>
              </w:rPr>
              <w:t>Rojas Gutiérrez Olga Angélica</w:t>
            </w:r>
          </w:p>
        </w:tc>
      </w:tr>
      <w:tr w:rsidR="00EA38F6" w:rsidRPr="000864AE" w14:paraId="1327AB5A" w14:textId="77777777" w:rsidTr="00AC0C51">
        <w:trPr>
          <w:trHeight w:val="300"/>
        </w:trPr>
        <w:tc>
          <w:tcPr>
            <w:tcW w:w="668" w:type="dxa"/>
            <w:vAlign w:val="center"/>
            <w:hideMark/>
          </w:tcPr>
          <w:p w14:paraId="1463489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543</w:t>
            </w:r>
          </w:p>
        </w:tc>
        <w:tc>
          <w:tcPr>
            <w:tcW w:w="3835" w:type="dxa"/>
            <w:vAlign w:val="center"/>
            <w:hideMark/>
          </w:tcPr>
          <w:p w14:paraId="3FE36F0A" w14:textId="77777777" w:rsidR="00EA38F6" w:rsidRPr="000864AE" w:rsidRDefault="00EA38F6" w:rsidP="000864AE">
            <w:pPr>
              <w:rPr>
                <w:rFonts w:ascii="Verdana" w:hAnsi="Verdana"/>
                <w:sz w:val="18"/>
                <w:szCs w:val="18"/>
              </w:rPr>
            </w:pPr>
            <w:r w:rsidRPr="000864AE">
              <w:rPr>
                <w:rFonts w:ascii="Verdana" w:hAnsi="Verdana"/>
                <w:sz w:val="18"/>
                <w:szCs w:val="18"/>
              </w:rPr>
              <w:t>Rojas Rosales Aída Roberta</w:t>
            </w:r>
          </w:p>
        </w:tc>
      </w:tr>
      <w:tr w:rsidR="00EA38F6" w:rsidRPr="000864AE" w14:paraId="56F46F12" w14:textId="77777777" w:rsidTr="00AC0C51">
        <w:trPr>
          <w:trHeight w:val="300"/>
        </w:trPr>
        <w:tc>
          <w:tcPr>
            <w:tcW w:w="668" w:type="dxa"/>
            <w:vAlign w:val="center"/>
            <w:hideMark/>
          </w:tcPr>
          <w:p w14:paraId="73E5519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544</w:t>
            </w:r>
          </w:p>
        </w:tc>
        <w:tc>
          <w:tcPr>
            <w:tcW w:w="3835" w:type="dxa"/>
            <w:vAlign w:val="center"/>
            <w:hideMark/>
          </w:tcPr>
          <w:p w14:paraId="3F771885" w14:textId="77777777" w:rsidR="00EA38F6" w:rsidRPr="000864AE" w:rsidRDefault="00EA38F6" w:rsidP="000864AE">
            <w:pPr>
              <w:rPr>
                <w:rFonts w:ascii="Verdana" w:hAnsi="Verdana"/>
                <w:sz w:val="18"/>
                <w:szCs w:val="18"/>
              </w:rPr>
            </w:pPr>
            <w:r w:rsidRPr="000864AE">
              <w:rPr>
                <w:rFonts w:ascii="Verdana" w:hAnsi="Verdana"/>
                <w:sz w:val="18"/>
                <w:szCs w:val="18"/>
              </w:rPr>
              <w:t>Rojas Rosales Delia Jacinta</w:t>
            </w:r>
          </w:p>
        </w:tc>
      </w:tr>
      <w:tr w:rsidR="00EA38F6" w:rsidRPr="000864AE" w14:paraId="1E138E3A" w14:textId="77777777" w:rsidTr="00AC0C51">
        <w:trPr>
          <w:trHeight w:val="300"/>
        </w:trPr>
        <w:tc>
          <w:tcPr>
            <w:tcW w:w="668" w:type="dxa"/>
            <w:vAlign w:val="center"/>
            <w:hideMark/>
          </w:tcPr>
          <w:p w14:paraId="7A55ED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545</w:t>
            </w:r>
          </w:p>
        </w:tc>
        <w:tc>
          <w:tcPr>
            <w:tcW w:w="3835" w:type="dxa"/>
            <w:vAlign w:val="center"/>
            <w:hideMark/>
          </w:tcPr>
          <w:p w14:paraId="4D8C6535" w14:textId="77777777" w:rsidR="00EA38F6" w:rsidRPr="000864AE" w:rsidRDefault="00EA38F6" w:rsidP="000864AE">
            <w:pPr>
              <w:rPr>
                <w:rFonts w:ascii="Verdana" w:hAnsi="Verdana"/>
                <w:sz w:val="18"/>
                <w:szCs w:val="18"/>
              </w:rPr>
            </w:pPr>
            <w:r w:rsidRPr="000864AE">
              <w:rPr>
                <w:rFonts w:ascii="Verdana" w:hAnsi="Verdana"/>
                <w:sz w:val="18"/>
                <w:szCs w:val="18"/>
              </w:rPr>
              <w:t>Rojas Santos Luis Alberto</w:t>
            </w:r>
          </w:p>
        </w:tc>
      </w:tr>
      <w:tr w:rsidR="00EA38F6" w:rsidRPr="000864AE" w14:paraId="2B6D3937" w14:textId="77777777" w:rsidTr="00AC0C51">
        <w:trPr>
          <w:trHeight w:val="300"/>
        </w:trPr>
        <w:tc>
          <w:tcPr>
            <w:tcW w:w="668" w:type="dxa"/>
            <w:vAlign w:val="center"/>
            <w:hideMark/>
          </w:tcPr>
          <w:p w14:paraId="6F44171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546</w:t>
            </w:r>
          </w:p>
        </w:tc>
        <w:tc>
          <w:tcPr>
            <w:tcW w:w="3835" w:type="dxa"/>
            <w:vAlign w:val="center"/>
            <w:hideMark/>
          </w:tcPr>
          <w:p w14:paraId="2236CD43" w14:textId="77777777" w:rsidR="00EA38F6" w:rsidRPr="000864AE" w:rsidRDefault="00EA38F6" w:rsidP="000864AE">
            <w:pPr>
              <w:rPr>
                <w:rFonts w:ascii="Verdana" w:hAnsi="Verdana"/>
                <w:sz w:val="18"/>
                <w:szCs w:val="18"/>
              </w:rPr>
            </w:pPr>
            <w:r w:rsidRPr="000864AE">
              <w:rPr>
                <w:rFonts w:ascii="Verdana" w:hAnsi="Verdana"/>
                <w:sz w:val="18"/>
                <w:szCs w:val="18"/>
              </w:rPr>
              <w:t>Rojas Sebastian Pedro Silvio</w:t>
            </w:r>
          </w:p>
        </w:tc>
      </w:tr>
      <w:tr w:rsidR="00EA38F6" w:rsidRPr="000864AE" w14:paraId="65EF9C2B" w14:textId="77777777" w:rsidTr="00AC0C51">
        <w:trPr>
          <w:trHeight w:val="300"/>
        </w:trPr>
        <w:tc>
          <w:tcPr>
            <w:tcW w:w="668" w:type="dxa"/>
            <w:vAlign w:val="center"/>
            <w:hideMark/>
          </w:tcPr>
          <w:p w14:paraId="1838BD7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547</w:t>
            </w:r>
          </w:p>
        </w:tc>
        <w:tc>
          <w:tcPr>
            <w:tcW w:w="3835" w:type="dxa"/>
            <w:vAlign w:val="center"/>
            <w:hideMark/>
          </w:tcPr>
          <w:p w14:paraId="53C92079" w14:textId="77777777" w:rsidR="00EA38F6" w:rsidRPr="000864AE" w:rsidRDefault="00EA38F6" w:rsidP="000864AE">
            <w:pPr>
              <w:rPr>
                <w:rFonts w:ascii="Verdana" w:hAnsi="Verdana"/>
                <w:sz w:val="18"/>
                <w:szCs w:val="18"/>
              </w:rPr>
            </w:pPr>
            <w:r w:rsidRPr="000864AE">
              <w:rPr>
                <w:rFonts w:ascii="Verdana" w:hAnsi="Verdana"/>
                <w:sz w:val="18"/>
                <w:szCs w:val="18"/>
              </w:rPr>
              <w:t>Rojo Villanueva Mauro Cristóbal</w:t>
            </w:r>
          </w:p>
        </w:tc>
      </w:tr>
      <w:tr w:rsidR="00EA38F6" w:rsidRPr="000864AE" w14:paraId="0F34379A" w14:textId="77777777" w:rsidTr="00AC0C51">
        <w:trPr>
          <w:trHeight w:val="300"/>
        </w:trPr>
        <w:tc>
          <w:tcPr>
            <w:tcW w:w="668" w:type="dxa"/>
            <w:vAlign w:val="center"/>
            <w:hideMark/>
          </w:tcPr>
          <w:p w14:paraId="3447122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548</w:t>
            </w:r>
          </w:p>
        </w:tc>
        <w:tc>
          <w:tcPr>
            <w:tcW w:w="3835" w:type="dxa"/>
            <w:vAlign w:val="center"/>
            <w:hideMark/>
          </w:tcPr>
          <w:p w14:paraId="258F8D80" w14:textId="77777777" w:rsidR="00EA38F6" w:rsidRPr="000864AE" w:rsidRDefault="00EA38F6" w:rsidP="000864AE">
            <w:pPr>
              <w:rPr>
                <w:rFonts w:ascii="Verdana" w:hAnsi="Verdana"/>
                <w:sz w:val="18"/>
                <w:szCs w:val="18"/>
              </w:rPr>
            </w:pPr>
            <w:r w:rsidRPr="000864AE">
              <w:rPr>
                <w:rFonts w:ascii="Verdana" w:hAnsi="Verdana"/>
                <w:sz w:val="18"/>
                <w:szCs w:val="18"/>
              </w:rPr>
              <w:t>Román Espinoza María Eugenia</w:t>
            </w:r>
          </w:p>
        </w:tc>
      </w:tr>
      <w:tr w:rsidR="00EA38F6" w:rsidRPr="000864AE" w14:paraId="3732BFF1" w14:textId="77777777" w:rsidTr="00AC0C51">
        <w:trPr>
          <w:trHeight w:val="300"/>
        </w:trPr>
        <w:tc>
          <w:tcPr>
            <w:tcW w:w="668" w:type="dxa"/>
            <w:vAlign w:val="center"/>
            <w:hideMark/>
          </w:tcPr>
          <w:p w14:paraId="6145C91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549</w:t>
            </w:r>
          </w:p>
        </w:tc>
        <w:tc>
          <w:tcPr>
            <w:tcW w:w="3835" w:type="dxa"/>
            <w:vAlign w:val="center"/>
            <w:hideMark/>
          </w:tcPr>
          <w:p w14:paraId="4D404F65" w14:textId="77777777" w:rsidR="00EA38F6" w:rsidRPr="000864AE" w:rsidRDefault="00EA38F6" w:rsidP="000864AE">
            <w:pPr>
              <w:rPr>
                <w:rFonts w:ascii="Verdana" w:hAnsi="Verdana"/>
                <w:sz w:val="18"/>
                <w:szCs w:val="18"/>
              </w:rPr>
            </w:pPr>
            <w:r w:rsidRPr="000864AE">
              <w:rPr>
                <w:rFonts w:ascii="Verdana" w:hAnsi="Verdana"/>
                <w:sz w:val="18"/>
                <w:szCs w:val="18"/>
              </w:rPr>
              <w:t>Romero Díaz Luis</w:t>
            </w:r>
          </w:p>
        </w:tc>
      </w:tr>
      <w:tr w:rsidR="00EA38F6" w:rsidRPr="000864AE" w14:paraId="62AD85A9" w14:textId="77777777" w:rsidTr="00AC0C51">
        <w:trPr>
          <w:trHeight w:val="300"/>
        </w:trPr>
        <w:tc>
          <w:tcPr>
            <w:tcW w:w="668" w:type="dxa"/>
            <w:vAlign w:val="center"/>
            <w:hideMark/>
          </w:tcPr>
          <w:p w14:paraId="30FA49C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550</w:t>
            </w:r>
          </w:p>
        </w:tc>
        <w:tc>
          <w:tcPr>
            <w:tcW w:w="3835" w:type="dxa"/>
            <w:vAlign w:val="center"/>
            <w:hideMark/>
          </w:tcPr>
          <w:p w14:paraId="0CEC5CB7" w14:textId="77777777" w:rsidR="00EA38F6" w:rsidRPr="000864AE" w:rsidRDefault="00EA38F6" w:rsidP="000864AE">
            <w:pPr>
              <w:rPr>
                <w:rFonts w:ascii="Verdana" w:hAnsi="Verdana"/>
                <w:sz w:val="18"/>
                <w:szCs w:val="18"/>
              </w:rPr>
            </w:pPr>
            <w:r w:rsidRPr="000864AE">
              <w:rPr>
                <w:rFonts w:ascii="Verdana" w:hAnsi="Verdana"/>
                <w:sz w:val="18"/>
                <w:szCs w:val="18"/>
              </w:rPr>
              <w:t>Rosales De La Cruz Alejandro</w:t>
            </w:r>
          </w:p>
        </w:tc>
      </w:tr>
      <w:tr w:rsidR="00EA38F6" w:rsidRPr="000864AE" w14:paraId="1ACD0E5B" w14:textId="77777777" w:rsidTr="00AC0C51">
        <w:trPr>
          <w:trHeight w:val="300"/>
        </w:trPr>
        <w:tc>
          <w:tcPr>
            <w:tcW w:w="668" w:type="dxa"/>
            <w:vAlign w:val="center"/>
            <w:hideMark/>
          </w:tcPr>
          <w:p w14:paraId="35ED928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551</w:t>
            </w:r>
          </w:p>
        </w:tc>
        <w:tc>
          <w:tcPr>
            <w:tcW w:w="3835" w:type="dxa"/>
            <w:vAlign w:val="center"/>
            <w:hideMark/>
          </w:tcPr>
          <w:p w14:paraId="761B926B" w14:textId="77777777" w:rsidR="00EA38F6" w:rsidRPr="000864AE" w:rsidRDefault="00EA38F6" w:rsidP="000864AE">
            <w:pPr>
              <w:rPr>
                <w:rFonts w:ascii="Verdana" w:hAnsi="Verdana"/>
                <w:sz w:val="18"/>
                <w:szCs w:val="18"/>
              </w:rPr>
            </w:pPr>
            <w:r w:rsidRPr="000864AE">
              <w:rPr>
                <w:rFonts w:ascii="Verdana" w:hAnsi="Verdana"/>
                <w:sz w:val="18"/>
                <w:szCs w:val="18"/>
              </w:rPr>
              <w:t>Rosas Flores Juana Arminda</w:t>
            </w:r>
          </w:p>
        </w:tc>
      </w:tr>
      <w:tr w:rsidR="00EA38F6" w:rsidRPr="000864AE" w14:paraId="5FF6B632" w14:textId="77777777" w:rsidTr="00AC0C51">
        <w:trPr>
          <w:trHeight w:val="300"/>
        </w:trPr>
        <w:tc>
          <w:tcPr>
            <w:tcW w:w="668" w:type="dxa"/>
            <w:vAlign w:val="center"/>
            <w:hideMark/>
          </w:tcPr>
          <w:p w14:paraId="47AC79B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552</w:t>
            </w:r>
          </w:p>
        </w:tc>
        <w:tc>
          <w:tcPr>
            <w:tcW w:w="3835" w:type="dxa"/>
            <w:vAlign w:val="center"/>
            <w:hideMark/>
          </w:tcPr>
          <w:p w14:paraId="3EC67EAE" w14:textId="77777777" w:rsidR="00EA38F6" w:rsidRPr="000864AE" w:rsidRDefault="00EA38F6" w:rsidP="000864AE">
            <w:pPr>
              <w:rPr>
                <w:rFonts w:ascii="Verdana" w:hAnsi="Verdana"/>
                <w:sz w:val="18"/>
                <w:szCs w:val="18"/>
              </w:rPr>
            </w:pPr>
            <w:r w:rsidRPr="000864AE">
              <w:rPr>
                <w:rFonts w:ascii="Verdana" w:hAnsi="Verdana"/>
                <w:sz w:val="18"/>
                <w:szCs w:val="18"/>
              </w:rPr>
              <w:t>Rosas Salas Víctor Adrián</w:t>
            </w:r>
          </w:p>
        </w:tc>
      </w:tr>
      <w:tr w:rsidR="00EA38F6" w:rsidRPr="000864AE" w14:paraId="2C1D0B5F" w14:textId="77777777" w:rsidTr="00AC0C51">
        <w:trPr>
          <w:trHeight w:val="300"/>
        </w:trPr>
        <w:tc>
          <w:tcPr>
            <w:tcW w:w="668" w:type="dxa"/>
            <w:vAlign w:val="center"/>
            <w:hideMark/>
          </w:tcPr>
          <w:p w14:paraId="16B885F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553</w:t>
            </w:r>
          </w:p>
        </w:tc>
        <w:tc>
          <w:tcPr>
            <w:tcW w:w="3835" w:type="dxa"/>
            <w:vAlign w:val="center"/>
            <w:hideMark/>
          </w:tcPr>
          <w:p w14:paraId="3FF81A7D" w14:textId="77777777" w:rsidR="00EA38F6" w:rsidRPr="000864AE" w:rsidRDefault="00EA38F6" w:rsidP="000864AE">
            <w:pPr>
              <w:rPr>
                <w:rFonts w:ascii="Verdana" w:hAnsi="Verdana"/>
                <w:sz w:val="18"/>
                <w:szCs w:val="18"/>
              </w:rPr>
            </w:pPr>
            <w:r w:rsidRPr="000864AE">
              <w:rPr>
                <w:rFonts w:ascii="Verdana" w:hAnsi="Verdana"/>
                <w:sz w:val="18"/>
                <w:szCs w:val="18"/>
              </w:rPr>
              <w:t>Rubio Díaz Ezequiel Teodulo</w:t>
            </w:r>
          </w:p>
        </w:tc>
      </w:tr>
      <w:tr w:rsidR="00EA38F6" w:rsidRPr="000864AE" w14:paraId="0F8D9B01" w14:textId="77777777" w:rsidTr="00AC0C51">
        <w:trPr>
          <w:trHeight w:val="300"/>
        </w:trPr>
        <w:tc>
          <w:tcPr>
            <w:tcW w:w="668" w:type="dxa"/>
            <w:vAlign w:val="center"/>
            <w:hideMark/>
          </w:tcPr>
          <w:p w14:paraId="714A0CC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554</w:t>
            </w:r>
          </w:p>
        </w:tc>
        <w:tc>
          <w:tcPr>
            <w:tcW w:w="3835" w:type="dxa"/>
            <w:vAlign w:val="center"/>
            <w:hideMark/>
          </w:tcPr>
          <w:p w14:paraId="40DA3E1C" w14:textId="77777777" w:rsidR="00EA38F6" w:rsidRPr="000864AE" w:rsidRDefault="00EA38F6" w:rsidP="000864AE">
            <w:pPr>
              <w:rPr>
                <w:rFonts w:ascii="Verdana" w:hAnsi="Verdana"/>
                <w:sz w:val="18"/>
                <w:szCs w:val="18"/>
              </w:rPr>
            </w:pPr>
            <w:r w:rsidRPr="000864AE">
              <w:rPr>
                <w:rFonts w:ascii="Verdana" w:hAnsi="Verdana"/>
                <w:sz w:val="18"/>
                <w:szCs w:val="18"/>
              </w:rPr>
              <w:t>Rubio Milla Luis Josue</w:t>
            </w:r>
          </w:p>
        </w:tc>
      </w:tr>
      <w:tr w:rsidR="00EA38F6" w:rsidRPr="000864AE" w14:paraId="464205FE" w14:textId="77777777" w:rsidTr="00AC0C51">
        <w:trPr>
          <w:trHeight w:val="300"/>
        </w:trPr>
        <w:tc>
          <w:tcPr>
            <w:tcW w:w="668" w:type="dxa"/>
            <w:vAlign w:val="center"/>
            <w:hideMark/>
          </w:tcPr>
          <w:p w14:paraId="46803F3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555</w:t>
            </w:r>
          </w:p>
        </w:tc>
        <w:tc>
          <w:tcPr>
            <w:tcW w:w="3835" w:type="dxa"/>
            <w:vAlign w:val="center"/>
            <w:hideMark/>
          </w:tcPr>
          <w:p w14:paraId="41070B1C" w14:textId="77777777" w:rsidR="00EA38F6" w:rsidRPr="000864AE" w:rsidRDefault="00EA38F6" w:rsidP="000864AE">
            <w:pPr>
              <w:rPr>
                <w:rFonts w:ascii="Verdana" w:hAnsi="Verdana"/>
                <w:sz w:val="18"/>
                <w:szCs w:val="18"/>
              </w:rPr>
            </w:pPr>
            <w:r w:rsidRPr="000864AE">
              <w:rPr>
                <w:rFonts w:ascii="Verdana" w:hAnsi="Verdana"/>
                <w:sz w:val="18"/>
                <w:szCs w:val="18"/>
              </w:rPr>
              <w:t>Rueda Ruiz Luis Alberto</w:t>
            </w:r>
          </w:p>
        </w:tc>
      </w:tr>
      <w:tr w:rsidR="00EA38F6" w:rsidRPr="000864AE" w14:paraId="2891CD3A" w14:textId="77777777" w:rsidTr="00AC0C51">
        <w:trPr>
          <w:trHeight w:val="300"/>
        </w:trPr>
        <w:tc>
          <w:tcPr>
            <w:tcW w:w="668" w:type="dxa"/>
            <w:vAlign w:val="center"/>
            <w:hideMark/>
          </w:tcPr>
          <w:p w14:paraId="6DECAC6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556</w:t>
            </w:r>
          </w:p>
        </w:tc>
        <w:tc>
          <w:tcPr>
            <w:tcW w:w="3835" w:type="dxa"/>
            <w:vAlign w:val="center"/>
            <w:hideMark/>
          </w:tcPr>
          <w:p w14:paraId="2B9FB28E" w14:textId="77777777" w:rsidR="00EA38F6" w:rsidRPr="000864AE" w:rsidRDefault="00EA38F6" w:rsidP="000864AE">
            <w:pPr>
              <w:rPr>
                <w:rFonts w:ascii="Verdana" w:hAnsi="Verdana"/>
                <w:sz w:val="18"/>
                <w:szCs w:val="18"/>
              </w:rPr>
            </w:pPr>
            <w:r w:rsidRPr="000864AE">
              <w:rPr>
                <w:rFonts w:ascii="Verdana" w:hAnsi="Verdana"/>
                <w:sz w:val="18"/>
                <w:szCs w:val="18"/>
              </w:rPr>
              <w:t>Ruiz Orellana Reddy Max</w:t>
            </w:r>
          </w:p>
        </w:tc>
      </w:tr>
      <w:tr w:rsidR="00EA38F6" w:rsidRPr="000864AE" w14:paraId="1DF1E1AC" w14:textId="77777777" w:rsidTr="00AC0C51">
        <w:trPr>
          <w:trHeight w:val="300"/>
        </w:trPr>
        <w:tc>
          <w:tcPr>
            <w:tcW w:w="668" w:type="dxa"/>
            <w:vAlign w:val="center"/>
            <w:hideMark/>
          </w:tcPr>
          <w:p w14:paraId="7C7AE32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557</w:t>
            </w:r>
          </w:p>
        </w:tc>
        <w:tc>
          <w:tcPr>
            <w:tcW w:w="3835" w:type="dxa"/>
            <w:vAlign w:val="center"/>
            <w:hideMark/>
          </w:tcPr>
          <w:p w14:paraId="1169ABD6" w14:textId="77777777" w:rsidR="00EA38F6" w:rsidRPr="000864AE" w:rsidRDefault="00EA38F6" w:rsidP="000864AE">
            <w:pPr>
              <w:rPr>
                <w:rFonts w:ascii="Verdana" w:hAnsi="Verdana"/>
                <w:sz w:val="18"/>
                <w:szCs w:val="18"/>
              </w:rPr>
            </w:pPr>
            <w:r w:rsidRPr="000864AE">
              <w:rPr>
                <w:rFonts w:ascii="Verdana" w:hAnsi="Verdana"/>
                <w:sz w:val="18"/>
                <w:szCs w:val="18"/>
              </w:rPr>
              <w:t>Ruiz Tecco Mirza</w:t>
            </w:r>
          </w:p>
        </w:tc>
      </w:tr>
      <w:tr w:rsidR="00EA38F6" w:rsidRPr="000864AE" w14:paraId="3037C9CD" w14:textId="77777777" w:rsidTr="00AC0C51">
        <w:trPr>
          <w:trHeight w:val="300"/>
        </w:trPr>
        <w:tc>
          <w:tcPr>
            <w:tcW w:w="668" w:type="dxa"/>
            <w:vAlign w:val="center"/>
            <w:hideMark/>
          </w:tcPr>
          <w:p w14:paraId="636B4E6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558</w:t>
            </w:r>
          </w:p>
        </w:tc>
        <w:tc>
          <w:tcPr>
            <w:tcW w:w="3835" w:type="dxa"/>
            <w:vAlign w:val="center"/>
            <w:hideMark/>
          </w:tcPr>
          <w:p w14:paraId="26AC0490" w14:textId="77777777" w:rsidR="00EA38F6" w:rsidRPr="000864AE" w:rsidRDefault="00EA38F6" w:rsidP="000864AE">
            <w:pPr>
              <w:rPr>
                <w:rFonts w:ascii="Verdana" w:hAnsi="Verdana"/>
                <w:sz w:val="18"/>
                <w:szCs w:val="18"/>
              </w:rPr>
            </w:pPr>
            <w:r w:rsidRPr="000864AE">
              <w:rPr>
                <w:rFonts w:ascii="Verdana" w:hAnsi="Verdana"/>
                <w:sz w:val="18"/>
                <w:szCs w:val="18"/>
              </w:rPr>
              <w:t>Ruiz Travezan Graciela Emma</w:t>
            </w:r>
          </w:p>
        </w:tc>
      </w:tr>
      <w:tr w:rsidR="00EA38F6" w:rsidRPr="000864AE" w14:paraId="7A364C76" w14:textId="77777777" w:rsidTr="00AC0C51">
        <w:trPr>
          <w:trHeight w:val="300"/>
        </w:trPr>
        <w:tc>
          <w:tcPr>
            <w:tcW w:w="668" w:type="dxa"/>
            <w:vAlign w:val="center"/>
            <w:hideMark/>
          </w:tcPr>
          <w:p w14:paraId="67458DD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559</w:t>
            </w:r>
          </w:p>
        </w:tc>
        <w:tc>
          <w:tcPr>
            <w:tcW w:w="3835" w:type="dxa"/>
            <w:vAlign w:val="center"/>
            <w:hideMark/>
          </w:tcPr>
          <w:p w14:paraId="72607A07" w14:textId="77777777" w:rsidR="00EA38F6" w:rsidRPr="000864AE" w:rsidRDefault="00EA38F6" w:rsidP="000864AE">
            <w:pPr>
              <w:rPr>
                <w:rFonts w:ascii="Verdana" w:hAnsi="Verdana"/>
                <w:sz w:val="18"/>
                <w:szCs w:val="18"/>
              </w:rPr>
            </w:pPr>
            <w:r w:rsidRPr="000864AE">
              <w:rPr>
                <w:rFonts w:ascii="Verdana" w:hAnsi="Verdana"/>
                <w:sz w:val="18"/>
                <w:szCs w:val="18"/>
              </w:rPr>
              <w:t>Saavedra Miñán José Alfredo</w:t>
            </w:r>
          </w:p>
        </w:tc>
      </w:tr>
      <w:tr w:rsidR="00EA38F6" w:rsidRPr="000864AE" w14:paraId="083C259F" w14:textId="77777777" w:rsidTr="00AC0C51">
        <w:trPr>
          <w:trHeight w:val="300"/>
        </w:trPr>
        <w:tc>
          <w:tcPr>
            <w:tcW w:w="668" w:type="dxa"/>
            <w:vAlign w:val="center"/>
            <w:hideMark/>
          </w:tcPr>
          <w:p w14:paraId="102036B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560</w:t>
            </w:r>
          </w:p>
        </w:tc>
        <w:tc>
          <w:tcPr>
            <w:tcW w:w="3835" w:type="dxa"/>
            <w:vAlign w:val="center"/>
            <w:hideMark/>
          </w:tcPr>
          <w:p w14:paraId="3EDEE676" w14:textId="77777777" w:rsidR="00EA38F6" w:rsidRPr="000864AE" w:rsidRDefault="00EA38F6" w:rsidP="000864AE">
            <w:pPr>
              <w:rPr>
                <w:rFonts w:ascii="Verdana" w:hAnsi="Verdana"/>
                <w:sz w:val="18"/>
                <w:szCs w:val="18"/>
              </w:rPr>
            </w:pPr>
            <w:r w:rsidRPr="000864AE">
              <w:rPr>
                <w:rFonts w:ascii="Verdana" w:hAnsi="Verdana"/>
                <w:sz w:val="18"/>
                <w:szCs w:val="18"/>
              </w:rPr>
              <w:t>Sáenz Espinoza Guillermo Milciades</w:t>
            </w:r>
          </w:p>
        </w:tc>
      </w:tr>
      <w:tr w:rsidR="00EA38F6" w:rsidRPr="000864AE" w14:paraId="34986D7D" w14:textId="77777777" w:rsidTr="00AC0C51">
        <w:trPr>
          <w:trHeight w:val="300"/>
        </w:trPr>
        <w:tc>
          <w:tcPr>
            <w:tcW w:w="668" w:type="dxa"/>
            <w:vAlign w:val="center"/>
            <w:hideMark/>
          </w:tcPr>
          <w:p w14:paraId="067BF5B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561</w:t>
            </w:r>
          </w:p>
        </w:tc>
        <w:tc>
          <w:tcPr>
            <w:tcW w:w="3835" w:type="dxa"/>
            <w:vAlign w:val="center"/>
            <w:hideMark/>
          </w:tcPr>
          <w:p w14:paraId="5C8D523A" w14:textId="77777777" w:rsidR="00EA38F6" w:rsidRPr="000864AE" w:rsidRDefault="00EA38F6" w:rsidP="000864AE">
            <w:pPr>
              <w:rPr>
                <w:rFonts w:ascii="Verdana" w:hAnsi="Verdana"/>
                <w:sz w:val="18"/>
                <w:szCs w:val="18"/>
              </w:rPr>
            </w:pPr>
            <w:r w:rsidRPr="000864AE">
              <w:rPr>
                <w:rFonts w:ascii="Verdana" w:hAnsi="Verdana"/>
                <w:sz w:val="18"/>
                <w:szCs w:val="18"/>
              </w:rPr>
              <w:t>Sáez Rodríguez Mirtha Rosa</w:t>
            </w:r>
          </w:p>
        </w:tc>
      </w:tr>
      <w:tr w:rsidR="00EA38F6" w:rsidRPr="000864AE" w14:paraId="014EAEAA" w14:textId="77777777" w:rsidTr="00AC0C51">
        <w:trPr>
          <w:trHeight w:val="300"/>
        </w:trPr>
        <w:tc>
          <w:tcPr>
            <w:tcW w:w="668" w:type="dxa"/>
            <w:vAlign w:val="center"/>
            <w:hideMark/>
          </w:tcPr>
          <w:p w14:paraId="56AD15E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562</w:t>
            </w:r>
          </w:p>
        </w:tc>
        <w:tc>
          <w:tcPr>
            <w:tcW w:w="3835" w:type="dxa"/>
            <w:vAlign w:val="center"/>
            <w:hideMark/>
          </w:tcPr>
          <w:p w14:paraId="492DE8F4" w14:textId="77777777" w:rsidR="00EA38F6" w:rsidRPr="000864AE" w:rsidRDefault="00EA38F6" w:rsidP="000864AE">
            <w:pPr>
              <w:rPr>
                <w:rFonts w:ascii="Verdana" w:hAnsi="Verdana"/>
                <w:sz w:val="18"/>
                <w:szCs w:val="18"/>
              </w:rPr>
            </w:pPr>
            <w:r w:rsidRPr="000864AE">
              <w:rPr>
                <w:rFonts w:ascii="Verdana" w:hAnsi="Verdana"/>
                <w:sz w:val="18"/>
                <w:szCs w:val="18"/>
              </w:rPr>
              <w:t>Sagardia Marquina Higinio</w:t>
            </w:r>
          </w:p>
        </w:tc>
      </w:tr>
      <w:tr w:rsidR="00EA38F6" w:rsidRPr="000864AE" w14:paraId="0F53E121" w14:textId="77777777" w:rsidTr="00AC0C51">
        <w:trPr>
          <w:trHeight w:val="300"/>
        </w:trPr>
        <w:tc>
          <w:tcPr>
            <w:tcW w:w="668" w:type="dxa"/>
            <w:vAlign w:val="center"/>
            <w:hideMark/>
          </w:tcPr>
          <w:p w14:paraId="428F50F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563</w:t>
            </w:r>
          </w:p>
        </w:tc>
        <w:tc>
          <w:tcPr>
            <w:tcW w:w="3835" w:type="dxa"/>
            <w:vAlign w:val="center"/>
            <w:hideMark/>
          </w:tcPr>
          <w:p w14:paraId="0F216607" w14:textId="77777777" w:rsidR="00EA38F6" w:rsidRPr="000864AE" w:rsidRDefault="00EA38F6" w:rsidP="000864AE">
            <w:pPr>
              <w:rPr>
                <w:rFonts w:ascii="Verdana" w:hAnsi="Verdana"/>
                <w:sz w:val="18"/>
                <w:szCs w:val="18"/>
              </w:rPr>
            </w:pPr>
            <w:r w:rsidRPr="000864AE">
              <w:rPr>
                <w:rFonts w:ascii="Verdana" w:hAnsi="Verdana"/>
                <w:sz w:val="18"/>
                <w:szCs w:val="18"/>
              </w:rPr>
              <w:t>Salas Paredes Julia Lourdes</w:t>
            </w:r>
          </w:p>
        </w:tc>
      </w:tr>
      <w:tr w:rsidR="00EA38F6" w:rsidRPr="000864AE" w14:paraId="6EE70D67" w14:textId="77777777" w:rsidTr="00AC0C51">
        <w:trPr>
          <w:trHeight w:val="300"/>
        </w:trPr>
        <w:tc>
          <w:tcPr>
            <w:tcW w:w="668" w:type="dxa"/>
            <w:vAlign w:val="center"/>
            <w:hideMark/>
          </w:tcPr>
          <w:p w14:paraId="1FF0668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564</w:t>
            </w:r>
          </w:p>
        </w:tc>
        <w:tc>
          <w:tcPr>
            <w:tcW w:w="3835" w:type="dxa"/>
            <w:vAlign w:val="center"/>
            <w:hideMark/>
          </w:tcPr>
          <w:p w14:paraId="649979EB"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Salas Ruiz Caro Edgar Walter</w:t>
            </w:r>
          </w:p>
        </w:tc>
      </w:tr>
      <w:tr w:rsidR="00EA38F6" w:rsidRPr="000864AE" w14:paraId="60B05DDC" w14:textId="77777777" w:rsidTr="00AC0C51">
        <w:trPr>
          <w:trHeight w:val="300"/>
        </w:trPr>
        <w:tc>
          <w:tcPr>
            <w:tcW w:w="668" w:type="dxa"/>
            <w:vAlign w:val="center"/>
            <w:hideMark/>
          </w:tcPr>
          <w:p w14:paraId="30FA0AE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565</w:t>
            </w:r>
          </w:p>
        </w:tc>
        <w:tc>
          <w:tcPr>
            <w:tcW w:w="3835" w:type="dxa"/>
            <w:vAlign w:val="center"/>
            <w:hideMark/>
          </w:tcPr>
          <w:p w14:paraId="038000EE" w14:textId="77777777" w:rsidR="00EA38F6" w:rsidRPr="000864AE" w:rsidRDefault="00EA38F6" w:rsidP="000864AE">
            <w:pPr>
              <w:rPr>
                <w:rFonts w:ascii="Verdana" w:hAnsi="Verdana"/>
                <w:sz w:val="18"/>
                <w:szCs w:val="18"/>
              </w:rPr>
            </w:pPr>
            <w:r w:rsidRPr="000864AE">
              <w:rPr>
                <w:rFonts w:ascii="Verdana" w:hAnsi="Verdana"/>
                <w:sz w:val="18"/>
                <w:szCs w:val="18"/>
              </w:rPr>
              <w:t>Salas Ruiz Caro María Elizabeth Ruth</w:t>
            </w:r>
          </w:p>
        </w:tc>
      </w:tr>
      <w:tr w:rsidR="00EA38F6" w:rsidRPr="000864AE" w14:paraId="2C864116" w14:textId="77777777" w:rsidTr="00AC0C51">
        <w:trPr>
          <w:trHeight w:val="300"/>
        </w:trPr>
        <w:tc>
          <w:tcPr>
            <w:tcW w:w="668" w:type="dxa"/>
            <w:vAlign w:val="center"/>
            <w:hideMark/>
          </w:tcPr>
          <w:p w14:paraId="690DB1F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566</w:t>
            </w:r>
          </w:p>
        </w:tc>
        <w:tc>
          <w:tcPr>
            <w:tcW w:w="3835" w:type="dxa"/>
            <w:vAlign w:val="center"/>
            <w:hideMark/>
          </w:tcPr>
          <w:p w14:paraId="4D72146C" w14:textId="77777777" w:rsidR="00EA38F6" w:rsidRPr="000864AE" w:rsidRDefault="00EA38F6" w:rsidP="000864AE">
            <w:pPr>
              <w:rPr>
                <w:rFonts w:ascii="Verdana" w:hAnsi="Verdana"/>
                <w:sz w:val="18"/>
                <w:szCs w:val="18"/>
              </w:rPr>
            </w:pPr>
            <w:r w:rsidRPr="000864AE">
              <w:rPr>
                <w:rFonts w:ascii="Verdana" w:hAnsi="Verdana"/>
                <w:sz w:val="18"/>
                <w:szCs w:val="18"/>
              </w:rPr>
              <w:t>Salazar Lozano Lucy Noemy</w:t>
            </w:r>
          </w:p>
        </w:tc>
      </w:tr>
      <w:tr w:rsidR="00EA38F6" w:rsidRPr="000864AE" w14:paraId="7BFA7486" w14:textId="77777777" w:rsidTr="00AC0C51">
        <w:trPr>
          <w:trHeight w:val="300"/>
        </w:trPr>
        <w:tc>
          <w:tcPr>
            <w:tcW w:w="668" w:type="dxa"/>
            <w:vAlign w:val="center"/>
            <w:hideMark/>
          </w:tcPr>
          <w:p w14:paraId="357BB84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567</w:t>
            </w:r>
          </w:p>
        </w:tc>
        <w:tc>
          <w:tcPr>
            <w:tcW w:w="3835" w:type="dxa"/>
            <w:vAlign w:val="center"/>
            <w:hideMark/>
          </w:tcPr>
          <w:p w14:paraId="6658E949" w14:textId="77777777" w:rsidR="00EA38F6" w:rsidRPr="000864AE" w:rsidRDefault="00EA38F6" w:rsidP="000864AE">
            <w:pPr>
              <w:rPr>
                <w:rFonts w:ascii="Verdana" w:hAnsi="Verdana"/>
                <w:sz w:val="18"/>
                <w:szCs w:val="18"/>
              </w:rPr>
            </w:pPr>
            <w:r w:rsidRPr="000864AE">
              <w:rPr>
                <w:rFonts w:ascii="Verdana" w:hAnsi="Verdana"/>
                <w:sz w:val="18"/>
                <w:szCs w:val="18"/>
              </w:rPr>
              <w:t>Salazar Quiroz Ricardo Hildebrando</w:t>
            </w:r>
          </w:p>
        </w:tc>
      </w:tr>
      <w:tr w:rsidR="00EA38F6" w:rsidRPr="000864AE" w14:paraId="6579C642" w14:textId="77777777" w:rsidTr="00AC0C51">
        <w:trPr>
          <w:trHeight w:val="300"/>
        </w:trPr>
        <w:tc>
          <w:tcPr>
            <w:tcW w:w="668" w:type="dxa"/>
            <w:vAlign w:val="center"/>
            <w:hideMark/>
          </w:tcPr>
          <w:p w14:paraId="5255452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568</w:t>
            </w:r>
          </w:p>
        </w:tc>
        <w:tc>
          <w:tcPr>
            <w:tcW w:w="3835" w:type="dxa"/>
            <w:vAlign w:val="center"/>
            <w:hideMark/>
          </w:tcPr>
          <w:p w14:paraId="2C4B72A4" w14:textId="77777777" w:rsidR="00EA38F6" w:rsidRPr="000864AE" w:rsidRDefault="00EA38F6" w:rsidP="000864AE">
            <w:pPr>
              <w:rPr>
                <w:rFonts w:ascii="Verdana" w:hAnsi="Verdana"/>
                <w:sz w:val="18"/>
                <w:szCs w:val="18"/>
              </w:rPr>
            </w:pPr>
            <w:r w:rsidRPr="000864AE">
              <w:rPr>
                <w:rFonts w:ascii="Verdana" w:hAnsi="Verdana"/>
                <w:sz w:val="18"/>
                <w:szCs w:val="18"/>
              </w:rPr>
              <w:t>Saldaña Malqui Alberto</w:t>
            </w:r>
          </w:p>
        </w:tc>
      </w:tr>
      <w:tr w:rsidR="00EA38F6" w:rsidRPr="000864AE" w14:paraId="1FC74A42" w14:textId="77777777" w:rsidTr="00AC0C51">
        <w:trPr>
          <w:trHeight w:val="300"/>
        </w:trPr>
        <w:tc>
          <w:tcPr>
            <w:tcW w:w="668" w:type="dxa"/>
            <w:vAlign w:val="center"/>
            <w:hideMark/>
          </w:tcPr>
          <w:p w14:paraId="0BB7B32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569</w:t>
            </w:r>
          </w:p>
        </w:tc>
        <w:tc>
          <w:tcPr>
            <w:tcW w:w="3835" w:type="dxa"/>
            <w:vAlign w:val="center"/>
            <w:hideMark/>
          </w:tcPr>
          <w:p w14:paraId="2160F5ED" w14:textId="77777777" w:rsidR="00EA38F6" w:rsidRPr="000864AE" w:rsidRDefault="00EA38F6" w:rsidP="000864AE">
            <w:pPr>
              <w:rPr>
                <w:rFonts w:ascii="Verdana" w:hAnsi="Verdana"/>
                <w:sz w:val="18"/>
                <w:szCs w:val="18"/>
              </w:rPr>
            </w:pPr>
            <w:r w:rsidRPr="000864AE">
              <w:rPr>
                <w:rFonts w:ascii="Verdana" w:hAnsi="Verdana"/>
                <w:sz w:val="18"/>
                <w:szCs w:val="18"/>
              </w:rPr>
              <w:t>Saldaña Serpa Filemón</w:t>
            </w:r>
          </w:p>
        </w:tc>
      </w:tr>
      <w:tr w:rsidR="00EA38F6" w:rsidRPr="000864AE" w14:paraId="28C71E53" w14:textId="77777777" w:rsidTr="00AC0C51">
        <w:trPr>
          <w:trHeight w:val="300"/>
        </w:trPr>
        <w:tc>
          <w:tcPr>
            <w:tcW w:w="668" w:type="dxa"/>
            <w:vAlign w:val="center"/>
            <w:hideMark/>
          </w:tcPr>
          <w:p w14:paraId="3B78928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570</w:t>
            </w:r>
          </w:p>
        </w:tc>
        <w:tc>
          <w:tcPr>
            <w:tcW w:w="3835" w:type="dxa"/>
            <w:vAlign w:val="center"/>
            <w:hideMark/>
          </w:tcPr>
          <w:p w14:paraId="1B9B1D7E" w14:textId="77777777" w:rsidR="00EA38F6" w:rsidRPr="000864AE" w:rsidRDefault="00EA38F6" w:rsidP="000864AE">
            <w:pPr>
              <w:rPr>
                <w:rFonts w:ascii="Verdana" w:hAnsi="Verdana"/>
                <w:sz w:val="18"/>
                <w:szCs w:val="18"/>
              </w:rPr>
            </w:pPr>
            <w:r w:rsidRPr="000864AE">
              <w:rPr>
                <w:rFonts w:ascii="Verdana" w:hAnsi="Verdana"/>
                <w:sz w:val="18"/>
                <w:szCs w:val="18"/>
              </w:rPr>
              <w:t>Salhuana Sánchez Yolanda</w:t>
            </w:r>
          </w:p>
        </w:tc>
      </w:tr>
      <w:tr w:rsidR="00EA38F6" w:rsidRPr="000864AE" w14:paraId="23BF2334" w14:textId="77777777" w:rsidTr="00AC0C51">
        <w:trPr>
          <w:trHeight w:val="300"/>
        </w:trPr>
        <w:tc>
          <w:tcPr>
            <w:tcW w:w="668" w:type="dxa"/>
            <w:vAlign w:val="center"/>
            <w:hideMark/>
          </w:tcPr>
          <w:p w14:paraId="79E32EC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571</w:t>
            </w:r>
          </w:p>
        </w:tc>
        <w:tc>
          <w:tcPr>
            <w:tcW w:w="3835" w:type="dxa"/>
            <w:vAlign w:val="center"/>
            <w:hideMark/>
          </w:tcPr>
          <w:p w14:paraId="1B86F704" w14:textId="77777777" w:rsidR="00EA38F6" w:rsidRPr="000864AE" w:rsidRDefault="00EA38F6" w:rsidP="000864AE">
            <w:pPr>
              <w:rPr>
                <w:rFonts w:ascii="Verdana" w:hAnsi="Verdana"/>
                <w:sz w:val="18"/>
                <w:szCs w:val="18"/>
              </w:rPr>
            </w:pPr>
            <w:r w:rsidRPr="000864AE">
              <w:rPr>
                <w:rFonts w:ascii="Verdana" w:hAnsi="Verdana"/>
                <w:sz w:val="18"/>
                <w:szCs w:val="18"/>
              </w:rPr>
              <w:t>Salinas Málaga Cesar Augusto</w:t>
            </w:r>
          </w:p>
        </w:tc>
      </w:tr>
      <w:tr w:rsidR="00EA38F6" w:rsidRPr="000864AE" w14:paraId="28C65D22" w14:textId="77777777" w:rsidTr="00AC0C51">
        <w:trPr>
          <w:trHeight w:val="300"/>
        </w:trPr>
        <w:tc>
          <w:tcPr>
            <w:tcW w:w="668" w:type="dxa"/>
            <w:vAlign w:val="center"/>
            <w:hideMark/>
          </w:tcPr>
          <w:p w14:paraId="76B6580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572</w:t>
            </w:r>
          </w:p>
        </w:tc>
        <w:tc>
          <w:tcPr>
            <w:tcW w:w="3835" w:type="dxa"/>
            <w:vAlign w:val="center"/>
            <w:hideMark/>
          </w:tcPr>
          <w:p w14:paraId="4C5D0CF1" w14:textId="77777777" w:rsidR="00EA38F6" w:rsidRPr="000864AE" w:rsidRDefault="00EA38F6" w:rsidP="000864AE">
            <w:pPr>
              <w:rPr>
                <w:rFonts w:ascii="Verdana" w:hAnsi="Verdana"/>
                <w:sz w:val="18"/>
                <w:szCs w:val="18"/>
              </w:rPr>
            </w:pPr>
            <w:r w:rsidRPr="000864AE">
              <w:rPr>
                <w:rFonts w:ascii="Verdana" w:hAnsi="Verdana"/>
                <w:sz w:val="18"/>
                <w:szCs w:val="18"/>
              </w:rPr>
              <w:t>Salvador Chafalote Rosa Erlinda</w:t>
            </w:r>
          </w:p>
        </w:tc>
      </w:tr>
      <w:tr w:rsidR="00EA38F6" w:rsidRPr="000864AE" w14:paraId="2B5FB6EA" w14:textId="77777777" w:rsidTr="00AC0C51">
        <w:trPr>
          <w:trHeight w:val="300"/>
        </w:trPr>
        <w:tc>
          <w:tcPr>
            <w:tcW w:w="668" w:type="dxa"/>
            <w:vAlign w:val="center"/>
            <w:hideMark/>
          </w:tcPr>
          <w:p w14:paraId="5CEFA43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573</w:t>
            </w:r>
          </w:p>
        </w:tc>
        <w:tc>
          <w:tcPr>
            <w:tcW w:w="3835" w:type="dxa"/>
            <w:vAlign w:val="center"/>
            <w:hideMark/>
          </w:tcPr>
          <w:p w14:paraId="707AA02C" w14:textId="77777777" w:rsidR="00EA38F6" w:rsidRPr="000864AE" w:rsidRDefault="00EA38F6" w:rsidP="000864AE">
            <w:pPr>
              <w:rPr>
                <w:rFonts w:ascii="Verdana" w:hAnsi="Verdana"/>
                <w:sz w:val="18"/>
                <w:szCs w:val="18"/>
              </w:rPr>
            </w:pPr>
            <w:r w:rsidRPr="000864AE">
              <w:rPr>
                <w:rFonts w:ascii="Verdana" w:hAnsi="Verdana"/>
                <w:sz w:val="18"/>
                <w:szCs w:val="18"/>
              </w:rPr>
              <w:t>Samaniego Gonzáles Olinda Nora</w:t>
            </w:r>
          </w:p>
        </w:tc>
      </w:tr>
      <w:tr w:rsidR="00EA38F6" w:rsidRPr="000864AE" w14:paraId="2AFCD4E0" w14:textId="77777777" w:rsidTr="00AC0C51">
        <w:trPr>
          <w:trHeight w:val="300"/>
        </w:trPr>
        <w:tc>
          <w:tcPr>
            <w:tcW w:w="668" w:type="dxa"/>
            <w:vAlign w:val="center"/>
            <w:hideMark/>
          </w:tcPr>
          <w:p w14:paraId="11F8FD7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574</w:t>
            </w:r>
          </w:p>
        </w:tc>
        <w:tc>
          <w:tcPr>
            <w:tcW w:w="3835" w:type="dxa"/>
            <w:vAlign w:val="center"/>
            <w:hideMark/>
          </w:tcPr>
          <w:p w14:paraId="1820522A" w14:textId="77777777" w:rsidR="00EA38F6" w:rsidRPr="000864AE" w:rsidRDefault="00EA38F6" w:rsidP="000864AE">
            <w:pPr>
              <w:rPr>
                <w:rFonts w:ascii="Verdana" w:hAnsi="Verdana"/>
                <w:sz w:val="18"/>
                <w:szCs w:val="18"/>
              </w:rPr>
            </w:pPr>
            <w:r w:rsidRPr="000864AE">
              <w:rPr>
                <w:rFonts w:ascii="Verdana" w:hAnsi="Verdana"/>
                <w:sz w:val="18"/>
                <w:szCs w:val="18"/>
              </w:rPr>
              <w:t>Sánchez Apolinares Elías Eugenio</w:t>
            </w:r>
          </w:p>
        </w:tc>
      </w:tr>
      <w:tr w:rsidR="00EA38F6" w:rsidRPr="000864AE" w14:paraId="032EC820" w14:textId="77777777" w:rsidTr="00AC0C51">
        <w:trPr>
          <w:trHeight w:val="300"/>
        </w:trPr>
        <w:tc>
          <w:tcPr>
            <w:tcW w:w="668" w:type="dxa"/>
            <w:vAlign w:val="center"/>
            <w:hideMark/>
          </w:tcPr>
          <w:p w14:paraId="407F510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575</w:t>
            </w:r>
          </w:p>
        </w:tc>
        <w:tc>
          <w:tcPr>
            <w:tcW w:w="3835" w:type="dxa"/>
            <w:vAlign w:val="center"/>
            <w:hideMark/>
          </w:tcPr>
          <w:p w14:paraId="6F53F6C5" w14:textId="77777777" w:rsidR="00EA38F6" w:rsidRPr="000864AE" w:rsidRDefault="00EA38F6" w:rsidP="000864AE">
            <w:pPr>
              <w:rPr>
                <w:rFonts w:ascii="Verdana" w:hAnsi="Verdana"/>
                <w:sz w:val="18"/>
                <w:szCs w:val="18"/>
              </w:rPr>
            </w:pPr>
            <w:r w:rsidRPr="000864AE">
              <w:rPr>
                <w:rFonts w:ascii="Verdana" w:hAnsi="Verdana"/>
                <w:sz w:val="18"/>
                <w:szCs w:val="18"/>
              </w:rPr>
              <w:t>Sánchez Canchari Marina</w:t>
            </w:r>
          </w:p>
        </w:tc>
      </w:tr>
      <w:tr w:rsidR="00EA38F6" w:rsidRPr="000864AE" w14:paraId="1AF5E66A" w14:textId="77777777" w:rsidTr="00AC0C51">
        <w:trPr>
          <w:trHeight w:val="300"/>
        </w:trPr>
        <w:tc>
          <w:tcPr>
            <w:tcW w:w="668" w:type="dxa"/>
            <w:vAlign w:val="center"/>
            <w:hideMark/>
          </w:tcPr>
          <w:p w14:paraId="34C01E1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576</w:t>
            </w:r>
          </w:p>
        </w:tc>
        <w:tc>
          <w:tcPr>
            <w:tcW w:w="3835" w:type="dxa"/>
            <w:vAlign w:val="center"/>
            <w:hideMark/>
          </w:tcPr>
          <w:p w14:paraId="494FF1A3" w14:textId="77777777" w:rsidR="00EA38F6" w:rsidRPr="000864AE" w:rsidRDefault="00EA38F6" w:rsidP="000864AE">
            <w:pPr>
              <w:rPr>
                <w:rFonts w:ascii="Verdana" w:hAnsi="Verdana"/>
                <w:sz w:val="18"/>
                <w:szCs w:val="18"/>
              </w:rPr>
            </w:pPr>
            <w:r w:rsidRPr="000864AE">
              <w:rPr>
                <w:rFonts w:ascii="Verdana" w:hAnsi="Verdana"/>
                <w:sz w:val="18"/>
                <w:szCs w:val="18"/>
              </w:rPr>
              <w:t>Sánchez Gambetta Carlos</w:t>
            </w:r>
          </w:p>
        </w:tc>
      </w:tr>
      <w:tr w:rsidR="00EA38F6" w:rsidRPr="000864AE" w14:paraId="0238118E" w14:textId="77777777" w:rsidTr="00AC0C51">
        <w:trPr>
          <w:trHeight w:val="300"/>
        </w:trPr>
        <w:tc>
          <w:tcPr>
            <w:tcW w:w="668" w:type="dxa"/>
            <w:vAlign w:val="center"/>
            <w:hideMark/>
          </w:tcPr>
          <w:p w14:paraId="66952F1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577</w:t>
            </w:r>
          </w:p>
        </w:tc>
        <w:tc>
          <w:tcPr>
            <w:tcW w:w="3835" w:type="dxa"/>
            <w:vAlign w:val="center"/>
            <w:hideMark/>
          </w:tcPr>
          <w:p w14:paraId="043BB915" w14:textId="77777777" w:rsidR="00EA38F6" w:rsidRPr="000864AE" w:rsidRDefault="00EA38F6" w:rsidP="000864AE">
            <w:pPr>
              <w:rPr>
                <w:rFonts w:ascii="Verdana" w:hAnsi="Verdana"/>
                <w:sz w:val="18"/>
                <w:szCs w:val="18"/>
              </w:rPr>
            </w:pPr>
            <w:r w:rsidRPr="000864AE">
              <w:rPr>
                <w:rFonts w:ascii="Verdana" w:hAnsi="Verdana"/>
                <w:sz w:val="18"/>
                <w:szCs w:val="18"/>
              </w:rPr>
              <w:t>Sánchez Sánchez Antenor</w:t>
            </w:r>
          </w:p>
        </w:tc>
      </w:tr>
      <w:tr w:rsidR="00EA38F6" w:rsidRPr="000864AE" w14:paraId="28421A76" w14:textId="77777777" w:rsidTr="00AC0C51">
        <w:trPr>
          <w:trHeight w:val="300"/>
        </w:trPr>
        <w:tc>
          <w:tcPr>
            <w:tcW w:w="668" w:type="dxa"/>
            <w:vAlign w:val="center"/>
            <w:hideMark/>
          </w:tcPr>
          <w:p w14:paraId="3C062D8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578</w:t>
            </w:r>
          </w:p>
        </w:tc>
        <w:tc>
          <w:tcPr>
            <w:tcW w:w="3835" w:type="dxa"/>
            <w:vAlign w:val="center"/>
            <w:hideMark/>
          </w:tcPr>
          <w:p w14:paraId="540D960C" w14:textId="77777777" w:rsidR="00EA38F6" w:rsidRPr="000864AE" w:rsidRDefault="00EA38F6" w:rsidP="000864AE">
            <w:pPr>
              <w:rPr>
                <w:rFonts w:ascii="Verdana" w:hAnsi="Verdana"/>
                <w:sz w:val="18"/>
                <w:szCs w:val="18"/>
              </w:rPr>
            </w:pPr>
            <w:r w:rsidRPr="000864AE">
              <w:rPr>
                <w:rFonts w:ascii="Verdana" w:hAnsi="Verdana"/>
                <w:sz w:val="18"/>
                <w:szCs w:val="18"/>
              </w:rPr>
              <w:t>Sánchez Villanueva Antonio</w:t>
            </w:r>
          </w:p>
        </w:tc>
      </w:tr>
      <w:tr w:rsidR="00EA38F6" w:rsidRPr="000864AE" w14:paraId="59080E3C" w14:textId="77777777" w:rsidTr="00AC0C51">
        <w:trPr>
          <w:trHeight w:val="300"/>
        </w:trPr>
        <w:tc>
          <w:tcPr>
            <w:tcW w:w="668" w:type="dxa"/>
            <w:vAlign w:val="center"/>
            <w:hideMark/>
          </w:tcPr>
          <w:p w14:paraId="0AFDDB0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579</w:t>
            </w:r>
          </w:p>
        </w:tc>
        <w:tc>
          <w:tcPr>
            <w:tcW w:w="3835" w:type="dxa"/>
            <w:vAlign w:val="center"/>
            <w:hideMark/>
          </w:tcPr>
          <w:p w14:paraId="47C7DA21" w14:textId="77777777" w:rsidR="00EA38F6" w:rsidRPr="000864AE" w:rsidRDefault="00EA38F6" w:rsidP="000864AE">
            <w:pPr>
              <w:rPr>
                <w:rFonts w:ascii="Verdana" w:hAnsi="Verdana"/>
                <w:sz w:val="18"/>
                <w:szCs w:val="18"/>
              </w:rPr>
            </w:pPr>
            <w:r w:rsidRPr="000864AE">
              <w:rPr>
                <w:rFonts w:ascii="Verdana" w:hAnsi="Verdana"/>
                <w:sz w:val="18"/>
                <w:szCs w:val="18"/>
              </w:rPr>
              <w:t>Sánchez Villanueva Gregorio</w:t>
            </w:r>
          </w:p>
        </w:tc>
      </w:tr>
      <w:tr w:rsidR="00EA38F6" w:rsidRPr="000864AE" w14:paraId="49A76D25" w14:textId="77777777" w:rsidTr="00AC0C51">
        <w:trPr>
          <w:trHeight w:val="300"/>
        </w:trPr>
        <w:tc>
          <w:tcPr>
            <w:tcW w:w="668" w:type="dxa"/>
            <w:vAlign w:val="center"/>
            <w:hideMark/>
          </w:tcPr>
          <w:p w14:paraId="2517035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580</w:t>
            </w:r>
          </w:p>
        </w:tc>
        <w:tc>
          <w:tcPr>
            <w:tcW w:w="3835" w:type="dxa"/>
            <w:vAlign w:val="center"/>
            <w:hideMark/>
          </w:tcPr>
          <w:p w14:paraId="7EE8F261" w14:textId="77777777" w:rsidR="00EA38F6" w:rsidRPr="000864AE" w:rsidRDefault="00EA38F6" w:rsidP="000864AE">
            <w:pPr>
              <w:rPr>
                <w:rFonts w:ascii="Verdana" w:hAnsi="Verdana"/>
                <w:sz w:val="18"/>
                <w:szCs w:val="18"/>
              </w:rPr>
            </w:pPr>
            <w:r w:rsidRPr="000864AE">
              <w:rPr>
                <w:rFonts w:ascii="Verdana" w:hAnsi="Verdana"/>
                <w:sz w:val="18"/>
                <w:szCs w:val="18"/>
              </w:rPr>
              <w:t>Sandoval Valdez Víctor Daniel</w:t>
            </w:r>
          </w:p>
        </w:tc>
      </w:tr>
      <w:tr w:rsidR="00EA38F6" w:rsidRPr="000864AE" w14:paraId="6401DDAA" w14:textId="77777777" w:rsidTr="00AC0C51">
        <w:trPr>
          <w:trHeight w:val="300"/>
        </w:trPr>
        <w:tc>
          <w:tcPr>
            <w:tcW w:w="668" w:type="dxa"/>
            <w:vAlign w:val="center"/>
            <w:hideMark/>
          </w:tcPr>
          <w:p w14:paraId="371312A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581</w:t>
            </w:r>
          </w:p>
        </w:tc>
        <w:tc>
          <w:tcPr>
            <w:tcW w:w="3835" w:type="dxa"/>
            <w:vAlign w:val="center"/>
            <w:hideMark/>
          </w:tcPr>
          <w:p w14:paraId="71BFBEA6" w14:textId="77777777" w:rsidR="00EA38F6" w:rsidRPr="000864AE" w:rsidRDefault="00EA38F6" w:rsidP="000864AE">
            <w:pPr>
              <w:rPr>
                <w:rFonts w:ascii="Verdana" w:hAnsi="Verdana"/>
                <w:sz w:val="18"/>
                <w:szCs w:val="18"/>
              </w:rPr>
            </w:pPr>
            <w:r w:rsidRPr="000864AE">
              <w:rPr>
                <w:rFonts w:ascii="Verdana" w:hAnsi="Verdana"/>
                <w:sz w:val="18"/>
                <w:szCs w:val="18"/>
              </w:rPr>
              <w:t>Sansur Velarde Jorge</w:t>
            </w:r>
          </w:p>
        </w:tc>
      </w:tr>
      <w:tr w:rsidR="00EA38F6" w:rsidRPr="000864AE" w14:paraId="448BBE1A" w14:textId="77777777" w:rsidTr="00AC0C51">
        <w:trPr>
          <w:trHeight w:val="300"/>
        </w:trPr>
        <w:tc>
          <w:tcPr>
            <w:tcW w:w="668" w:type="dxa"/>
            <w:vAlign w:val="center"/>
            <w:hideMark/>
          </w:tcPr>
          <w:p w14:paraId="36A1AA3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582</w:t>
            </w:r>
          </w:p>
        </w:tc>
        <w:tc>
          <w:tcPr>
            <w:tcW w:w="3835" w:type="dxa"/>
            <w:vAlign w:val="center"/>
            <w:hideMark/>
          </w:tcPr>
          <w:p w14:paraId="730C93B7" w14:textId="77777777" w:rsidR="00EA38F6" w:rsidRPr="000864AE" w:rsidRDefault="00EA38F6" w:rsidP="000864AE">
            <w:pPr>
              <w:rPr>
                <w:rFonts w:ascii="Verdana" w:hAnsi="Verdana"/>
                <w:sz w:val="18"/>
                <w:szCs w:val="18"/>
              </w:rPr>
            </w:pPr>
            <w:r w:rsidRPr="000864AE">
              <w:rPr>
                <w:rFonts w:ascii="Verdana" w:hAnsi="Verdana"/>
                <w:sz w:val="18"/>
                <w:szCs w:val="18"/>
              </w:rPr>
              <w:t>Santander Álvarez Leonidas Justo</w:t>
            </w:r>
          </w:p>
        </w:tc>
      </w:tr>
      <w:tr w:rsidR="00EA38F6" w:rsidRPr="000864AE" w14:paraId="4FF24583" w14:textId="77777777" w:rsidTr="00AC0C51">
        <w:trPr>
          <w:trHeight w:val="300"/>
        </w:trPr>
        <w:tc>
          <w:tcPr>
            <w:tcW w:w="668" w:type="dxa"/>
            <w:vAlign w:val="center"/>
            <w:hideMark/>
          </w:tcPr>
          <w:p w14:paraId="4008D79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583</w:t>
            </w:r>
          </w:p>
        </w:tc>
        <w:tc>
          <w:tcPr>
            <w:tcW w:w="3835" w:type="dxa"/>
            <w:vAlign w:val="center"/>
            <w:hideMark/>
          </w:tcPr>
          <w:p w14:paraId="2E42B3A3" w14:textId="77777777" w:rsidR="00EA38F6" w:rsidRPr="000864AE" w:rsidRDefault="00EA38F6" w:rsidP="000864AE">
            <w:pPr>
              <w:rPr>
                <w:rFonts w:ascii="Verdana" w:hAnsi="Verdana"/>
                <w:sz w:val="18"/>
                <w:szCs w:val="18"/>
              </w:rPr>
            </w:pPr>
            <w:r w:rsidRPr="000864AE">
              <w:rPr>
                <w:rFonts w:ascii="Verdana" w:hAnsi="Verdana"/>
                <w:sz w:val="18"/>
                <w:szCs w:val="18"/>
              </w:rPr>
              <w:t>Santillán Palomino Daniel Gabriel</w:t>
            </w:r>
          </w:p>
        </w:tc>
      </w:tr>
      <w:tr w:rsidR="00EA38F6" w:rsidRPr="000864AE" w14:paraId="3871FAC2" w14:textId="77777777" w:rsidTr="00AC0C51">
        <w:trPr>
          <w:trHeight w:val="300"/>
        </w:trPr>
        <w:tc>
          <w:tcPr>
            <w:tcW w:w="668" w:type="dxa"/>
            <w:vAlign w:val="center"/>
            <w:hideMark/>
          </w:tcPr>
          <w:p w14:paraId="1C618F8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584</w:t>
            </w:r>
          </w:p>
        </w:tc>
        <w:tc>
          <w:tcPr>
            <w:tcW w:w="3835" w:type="dxa"/>
            <w:vAlign w:val="center"/>
            <w:hideMark/>
          </w:tcPr>
          <w:p w14:paraId="65CB0454" w14:textId="77777777" w:rsidR="00EA38F6" w:rsidRPr="000864AE" w:rsidRDefault="00EA38F6" w:rsidP="000864AE">
            <w:pPr>
              <w:rPr>
                <w:rFonts w:ascii="Verdana" w:hAnsi="Verdana"/>
                <w:sz w:val="18"/>
                <w:szCs w:val="18"/>
              </w:rPr>
            </w:pPr>
            <w:r w:rsidRPr="000864AE">
              <w:rPr>
                <w:rFonts w:ascii="Verdana" w:hAnsi="Verdana"/>
                <w:sz w:val="18"/>
                <w:szCs w:val="18"/>
              </w:rPr>
              <w:t>Sarmiento Bendezú Federico Francisco</w:t>
            </w:r>
          </w:p>
        </w:tc>
      </w:tr>
      <w:tr w:rsidR="00EA38F6" w:rsidRPr="000864AE" w14:paraId="3FF07601" w14:textId="77777777" w:rsidTr="00AC0C51">
        <w:trPr>
          <w:trHeight w:val="300"/>
        </w:trPr>
        <w:tc>
          <w:tcPr>
            <w:tcW w:w="668" w:type="dxa"/>
            <w:vAlign w:val="center"/>
            <w:hideMark/>
          </w:tcPr>
          <w:p w14:paraId="07ADC21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585</w:t>
            </w:r>
          </w:p>
        </w:tc>
        <w:tc>
          <w:tcPr>
            <w:tcW w:w="3835" w:type="dxa"/>
            <w:vAlign w:val="center"/>
            <w:hideMark/>
          </w:tcPr>
          <w:p w14:paraId="2FFAB4A2" w14:textId="77777777" w:rsidR="00EA38F6" w:rsidRPr="000864AE" w:rsidRDefault="00EA38F6" w:rsidP="000864AE">
            <w:pPr>
              <w:rPr>
                <w:rFonts w:ascii="Verdana" w:hAnsi="Verdana"/>
                <w:sz w:val="18"/>
                <w:szCs w:val="18"/>
              </w:rPr>
            </w:pPr>
            <w:r w:rsidRPr="000864AE">
              <w:rPr>
                <w:rFonts w:ascii="Verdana" w:hAnsi="Verdana"/>
                <w:sz w:val="18"/>
                <w:szCs w:val="18"/>
              </w:rPr>
              <w:t>Segura Marquina Polidoro</w:t>
            </w:r>
          </w:p>
        </w:tc>
      </w:tr>
      <w:tr w:rsidR="00EA38F6" w:rsidRPr="000864AE" w14:paraId="20FFB351" w14:textId="77777777" w:rsidTr="00AC0C51">
        <w:trPr>
          <w:trHeight w:val="300"/>
        </w:trPr>
        <w:tc>
          <w:tcPr>
            <w:tcW w:w="668" w:type="dxa"/>
            <w:vAlign w:val="center"/>
            <w:hideMark/>
          </w:tcPr>
          <w:p w14:paraId="06EBE55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586</w:t>
            </w:r>
          </w:p>
        </w:tc>
        <w:tc>
          <w:tcPr>
            <w:tcW w:w="3835" w:type="dxa"/>
            <w:vAlign w:val="center"/>
            <w:hideMark/>
          </w:tcPr>
          <w:p w14:paraId="22C95647" w14:textId="77777777" w:rsidR="00EA38F6" w:rsidRPr="000864AE" w:rsidRDefault="00EA38F6" w:rsidP="000864AE">
            <w:pPr>
              <w:rPr>
                <w:rFonts w:ascii="Verdana" w:hAnsi="Verdana"/>
                <w:sz w:val="18"/>
                <w:szCs w:val="18"/>
              </w:rPr>
            </w:pPr>
            <w:r w:rsidRPr="000864AE">
              <w:rPr>
                <w:rFonts w:ascii="Verdana" w:hAnsi="Verdana"/>
                <w:sz w:val="18"/>
                <w:szCs w:val="18"/>
              </w:rPr>
              <w:t>Seminario Seminario Jorge Guillermo</w:t>
            </w:r>
          </w:p>
        </w:tc>
      </w:tr>
      <w:tr w:rsidR="00EA38F6" w:rsidRPr="000864AE" w14:paraId="1631AF43" w14:textId="77777777" w:rsidTr="00AC0C51">
        <w:trPr>
          <w:trHeight w:val="300"/>
        </w:trPr>
        <w:tc>
          <w:tcPr>
            <w:tcW w:w="668" w:type="dxa"/>
            <w:vAlign w:val="center"/>
            <w:hideMark/>
          </w:tcPr>
          <w:p w14:paraId="0C8EF5E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587</w:t>
            </w:r>
          </w:p>
        </w:tc>
        <w:tc>
          <w:tcPr>
            <w:tcW w:w="3835" w:type="dxa"/>
            <w:vAlign w:val="center"/>
            <w:hideMark/>
          </w:tcPr>
          <w:p w14:paraId="637B8F34" w14:textId="77777777" w:rsidR="00EA38F6" w:rsidRPr="000864AE" w:rsidRDefault="00EA38F6" w:rsidP="000864AE">
            <w:pPr>
              <w:rPr>
                <w:rFonts w:ascii="Verdana" w:hAnsi="Verdana"/>
                <w:sz w:val="18"/>
                <w:szCs w:val="18"/>
              </w:rPr>
            </w:pPr>
            <w:r w:rsidRPr="000864AE">
              <w:rPr>
                <w:rFonts w:ascii="Verdana" w:hAnsi="Verdana"/>
                <w:sz w:val="18"/>
                <w:szCs w:val="18"/>
              </w:rPr>
              <w:t>Sihuay Sifuentes Elsa Paulina</w:t>
            </w:r>
          </w:p>
        </w:tc>
      </w:tr>
      <w:tr w:rsidR="00EA38F6" w:rsidRPr="000864AE" w14:paraId="626AA9EB" w14:textId="77777777" w:rsidTr="00AC0C51">
        <w:trPr>
          <w:trHeight w:val="300"/>
        </w:trPr>
        <w:tc>
          <w:tcPr>
            <w:tcW w:w="668" w:type="dxa"/>
            <w:vAlign w:val="center"/>
            <w:hideMark/>
          </w:tcPr>
          <w:p w14:paraId="0B1D4A0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588</w:t>
            </w:r>
          </w:p>
        </w:tc>
        <w:tc>
          <w:tcPr>
            <w:tcW w:w="3835" w:type="dxa"/>
            <w:vAlign w:val="center"/>
            <w:hideMark/>
          </w:tcPr>
          <w:p w14:paraId="7DAC9F5D" w14:textId="77777777" w:rsidR="00EA38F6" w:rsidRPr="000864AE" w:rsidRDefault="00EA38F6" w:rsidP="000864AE">
            <w:pPr>
              <w:rPr>
                <w:rFonts w:ascii="Verdana" w:hAnsi="Verdana"/>
                <w:sz w:val="18"/>
                <w:szCs w:val="18"/>
              </w:rPr>
            </w:pPr>
            <w:r w:rsidRPr="000864AE">
              <w:rPr>
                <w:rFonts w:ascii="Verdana" w:hAnsi="Verdana"/>
                <w:sz w:val="18"/>
                <w:szCs w:val="18"/>
              </w:rPr>
              <w:t>Silva Flor Lourdes Mercedes</w:t>
            </w:r>
          </w:p>
        </w:tc>
      </w:tr>
      <w:tr w:rsidR="00EA38F6" w:rsidRPr="000864AE" w14:paraId="4E1A4DCA" w14:textId="77777777" w:rsidTr="00AC0C51">
        <w:trPr>
          <w:trHeight w:val="300"/>
        </w:trPr>
        <w:tc>
          <w:tcPr>
            <w:tcW w:w="668" w:type="dxa"/>
            <w:vAlign w:val="center"/>
            <w:hideMark/>
          </w:tcPr>
          <w:p w14:paraId="3105956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589</w:t>
            </w:r>
          </w:p>
        </w:tc>
        <w:tc>
          <w:tcPr>
            <w:tcW w:w="3835" w:type="dxa"/>
            <w:vAlign w:val="center"/>
            <w:hideMark/>
          </w:tcPr>
          <w:p w14:paraId="3E40917D" w14:textId="77777777" w:rsidR="00EA38F6" w:rsidRPr="000864AE" w:rsidRDefault="00EA38F6" w:rsidP="000864AE">
            <w:pPr>
              <w:rPr>
                <w:rFonts w:ascii="Verdana" w:hAnsi="Verdana"/>
                <w:sz w:val="18"/>
                <w:szCs w:val="18"/>
              </w:rPr>
            </w:pPr>
            <w:r w:rsidRPr="000864AE">
              <w:rPr>
                <w:rFonts w:ascii="Verdana" w:hAnsi="Verdana"/>
                <w:sz w:val="18"/>
                <w:szCs w:val="18"/>
              </w:rPr>
              <w:t>Silva Ludeña Julio Hildebrando</w:t>
            </w:r>
          </w:p>
        </w:tc>
      </w:tr>
      <w:tr w:rsidR="00EA38F6" w:rsidRPr="000864AE" w14:paraId="771AC613" w14:textId="77777777" w:rsidTr="00AC0C51">
        <w:trPr>
          <w:trHeight w:val="300"/>
        </w:trPr>
        <w:tc>
          <w:tcPr>
            <w:tcW w:w="668" w:type="dxa"/>
            <w:vAlign w:val="center"/>
            <w:hideMark/>
          </w:tcPr>
          <w:p w14:paraId="62270F0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590</w:t>
            </w:r>
          </w:p>
        </w:tc>
        <w:tc>
          <w:tcPr>
            <w:tcW w:w="3835" w:type="dxa"/>
            <w:vAlign w:val="center"/>
            <w:hideMark/>
          </w:tcPr>
          <w:p w14:paraId="0F77844A" w14:textId="77777777" w:rsidR="00EA38F6" w:rsidRPr="000864AE" w:rsidRDefault="00EA38F6" w:rsidP="000864AE">
            <w:pPr>
              <w:rPr>
                <w:rFonts w:ascii="Verdana" w:hAnsi="Verdana"/>
                <w:sz w:val="18"/>
                <w:szCs w:val="18"/>
              </w:rPr>
            </w:pPr>
            <w:r w:rsidRPr="000864AE">
              <w:rPr>
                <w:rFonts w:ascii="Verdana" w:hAnsi="Verdana"/>
                <w:sz w:val="18"/>
                <w:szCs w:val="18"/>
              </w:rPr>
              <w:t>Solano Derteano Emma Francisca</w:t>
            </w:r>
          </w:p>
        </w:tc>
      </w:tr>
      <w:tr w:rsidR="00EA38F6" w:rsidRPr="000864AE" w14:paraId="17F5F828" w14:textId="77777777" w:rsidTr="00AC0C51">
        <w:trPr>
          <w:trHeight w:val="300"/>
        </w:trPr>
        <w:tc>
          <w:tcPr>
            <w:tcW w:w="668" w:type="dxa"/>
            <w:vAlign w:val="center"/>
            <w:hideMark/>
          </w:tcPr>
          <w:p w14:paraId="592DB3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591</w:t>
            </w:r>
          </w:p>
        </w:tc>
        <w:tc>
          <w:tcPr>
            <w:tcW w:w="3835" w:type="dxa"/>
            <w:vAlign w:val="center"/>
            <w:hideMark/>
          </w:tcPr>
          <w:p w14:paraId="495689EC" w14:textId="77777777" w:rsidR="00EA38F6" w:rsidRPr="000864AE" w:rsidRDefault="00EA38F6" w:rsidP="000864AE">
            <w:pPr>
              <w:rPr>
                <w:rFonts w:ascii="Verdana" w:hAnsi="Verdana"/>
                <w:sz w:val="18"/>
                <w:szCs w:val="18"/>
              </w:rPr>
            </w:pPr>
            <w:r w:rsidRPr="000864AE">
              <w:rPr>
                <w:rFonts w:ascii="Verdana" w:hAnsi="Verdana"/>
                <w:sz w:val="18"/>
                <w:szCs w:val="18"/>
              </w:rPr>
              <w:t>Solís Espinoza Miguel</w:t>
            </w:r>
          </w:p>
        </w:tc>
      </w:tr>
      <w:tr w:rsidR="00EA38F6" w:rsidRPr="000864AE" w14:paraId="49E08682" w14:textId="77777777" w:rsidTr="00AC0C51">
        <w:trPr>
          <w:trHeight w:val="300"/>
        </w:trPr>
        <w:tc>
          <w:tcPr>
            <w:tcW w:w="668" w:type="dxa"/>
            <w:vAlign w:val="center"/>
            <w:hideMark/>
          </w:tcPr>
          <w:p w14:paraId="523DCCB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592</w:t>
            </w:r>
          </w:p>
        </w:tc>
        <w:tc>
          <w:tcPr>
            <w:tcW w:w="3835" w:type="dxa"/>
            <w:vAlign w:val="center"/>
            <w:hideMark/>
          </w:tcPr>
          <w:p w14:paraId="27E2FBBF" w14:textId="77777777" w:rsidR="00EA38F6" w:rsidRPr="000864AE" w:rsidRDefault="00EA38F6" w:rsidP="000864AE">
            <w:pPr>
              <w:rPr>
                <w:rFonts w:ascii="Verdana" w:hAnsi="Verdana"/>
                <w:sz w:val="18"/>
                <w:szCs w:val="18"/>
              </w:rPr>
            </w:pPr>
            <w:r w:rsidRPr="000864AE">
              <w:rPr>
                <w:rFonts w:ascii="Verdana" w:hAnsi="Verdana"/>
                <w:sz w:val="18"/>
                <w:szCs w:val="18"/>
              </w:rPr>
              <w:t>Soriano Pinche Maria Luisa</w:t>
            </w:r>
          </w:p>
        </w:tc>
      </w:tr>
      <w:tr w:rsidR="00EA38F6" w:rsidRPr="000864AE" w14:paraId="5EA6D97D" w14:textId="77777777" w:rsidTr="00AC0C51">
        <w:trPr>
          <w:trHeight w:val="300"/>
        </w:trPr>
        <w:tc>
          <w:tcPr>
            <w:tcW w:w="668" w:type="dxa"/>
            <w:vAlign w:val="center"/>
            <w:hideMark/>
          </w:tcPr>
          <w:p w14:paraId="459504F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593</w:t>
            </w:r>
          </w:p>
        </w:tc>
        <w:tc>
          <w:tcPr>
            <w:tcW w:w="3835" w:type="dxa"/>
            <w:vAlign w:val="center"/>
            <w:hideMark/>
          </w:tcPr>
          <w:p w14:paraId="00EB519E" w14:textId="77777777" w:rsidR="00EA38F6" w:rsidRPr="000864AE" w:rsidRDefault="00EA38F6" w:rsidP="000864AE">
            <w:pPr>
              <w:rPr>
                <w:rFonts w:ascii="Verdana" w:hAnsi="Verdana"/>
                <w:sz w:val="18"/>
                <w:szCs w:val="18"/>
              </w:rPr>
            </w:pPr>
            <w:r w:rsidRPr="000864AE">
              <w:rPr>
                <w:rFonts w:ascii="Verdana" w:hAnsi="Verdana"/>
                <w:sz w:val="18"/>
                <w:szCs w:val="18"/>
              </w:rPr>
              <w:t>Sosa Andrade Marcial</w:t>
            </w:r>
          </w:p>
        </w:tc>
      </w:tr>
      <w:tr w:rsidR="00EA38F6" w:rsidRPr="000864AE" w14:paraId="30D29C9E" w14:textId="77777777" w:rsidTr="00AC0C51">
        <w:trPr>
          <w:trHeight w:val="300"/>
        </w:trPr>
        <w:tc>
          <w:tcPr>
            <w:tcW w:w="668" w:type="dxa"/>
            <w:vAlign w:val="center"/>
            <w:hideMark/>
          </w:tcPr>
          <w:p w14:paraId="41F2680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594</w:t>
            </w:r>
          </w:p>
        </w:tc>
        <w:tc>
          <w:tcPr>
            <w:tcW w:w="3835" w:type="dxa"/>
            <w:vAlign w:val="center"/>
            <w:hideMark/>
          </w:tcPr>
          <w:p w14:paraId="0B8CBA45" w14:textId="77777777" w:rsidR="00EA38F6" w:rsidRPr="000864AE" w:rsidRDefault="00EA38F6" w:rsidP="000864AE">
            <w:pPr>
              <w:rPr>
                <w:rFonts w:ascii="Verdana" w:hAnsi="Verdana"/>
                <w:sz w:val="18"/>
                <w:szCs w:val="18"/>
              </w:rPr>
            </w:pPr>
            <w:r w:rsidRPr="000864AE">
              <w:rPr>
                <w:rFonts w:ascii="Verdana" w:hAnsi="Verdana"/>
                <w:sz w:val="18"/>
                <w:szCs w:val="18"/>
              </w:rPr>
              <w:t>Sosa Llacza Isabel</w:t>
            </w:r>
          </w:p>
        </w:tc>
      </w:tr>
      <w:tr w:rsidR="00EA38F6" w:rsidRPr="000864AE" w14:paraId="62743284" w14:textId="77777777" w:rsidTr="00AC0C51">
        <w:trPr>
          <w:trHeight w:val="300"/>
        </w:trPr>
        <w:tc>
          <w:tcPr>
            <w:tcW w:w="668" w:type="dxa"/>
            <w:vAlign w:val="center"/>
            <w:hideMark/>
          </w:tcPr>
          <w:p w14:paraId="1ACF320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595</w:t>
            </w:r>
          </w:p>
        </w:tc>
        <w:tc>
          <w:tcPr>
            <w:tcW w:w="3835" w:type="dxa"/>
            <w:vAlign w:val="center"/>
            <w:hideMark/>
          </w:tcPr>
          <w:p w14:paraId="19BF7EE7" w14:textId="77777777" w:rsidR="00EA38F6" w:rsidRPr="000864AE" w:rsidRDefault="00EA38F6" w:rsidP="000864AE">
            <w:pPr>
              <w:rPr>
                <w:rFonts w:ascii="Verdana" w:hAnsi="Verdana"/>
                <w:sz w:val="18"/>
                <w:szCs w:val="18"/>
              </w:rPr>
            </w:pPr>
            <w:r w:rsidRPr="000864AE">
              <w:rPr>
                <w:rFonts w:ascii="Verdana" w:hAnsi="Verdana"/>
                <w:sz w:val="18"/>
                <w:szCs w:val="18"/>
              </w:rPr>
              <w:t>Sosa Rojas Víctor Aníbal</w:t>
            </w:r>
          </w:p>
        </w:tc>
      </w:tr>
      <w:tr w:rsidR="00EA38F6" w:rsidRPr="000864AE" w14:paraId="22E101FA" w14:textId="77777777" w:rsidTr="00AC0C51">
        <w:trPr>
          <w:trHeight w:val="300"/>
        </w:trPr>
        <w:tc>
          <w:tcPr>
            <w:tcW w:w="668" w:type="dxa"/>
            <w:vAlign w:val="center"/>
            <w:hideMark/>
          </w:tcPr>
          <w:p w14:paraId="1EC2E08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596</w:t>
            </w:r>
          </w:p>
        </w:tc>
        <w:tc>
          <w:tcPr>
            <w:tcW w:w="3835" w:type="dxa"/>
            <w:vAlign w:val="center"/>
            <w:hideMark/>
          </w:tcPr>
          <w:p w14:paraId="352D3898" w14:textId="77777777" w:rsidR="00EA38F6" w:rsidRPr="000864AE" w:rsidRDefault="00EA38F6" w:rsidP="000864AE">
            <w:pPr>
              <w:rPr>
                <w:rFonts w:ascii="Verdana" w:hAnsi="Verdana"/>
                <w:sz w:val="18"/>
                <w:szCs w:val="18"/>
              </w:rPr>
            </w:pPr>
            <w:r w:rsidRPr="000864AE">
              <w:rPr>
                <w:rFonts w:ascii="Verdana" w:hAnsi="Verdana"/>
                <w:sz w:val="18"/>
                <w:szCs w:val="18"/>
              </w:rPr>
              <w:t>Stagnaro Narvaez Carlos Humberto</w:t>
            </w:r>
          </w:p>
        </w:tc>
      </w:tr>
      <w:tr w:rsidR="00EA38F6" w:rsidRPr="000864AE" w14:paraId="4AFC1906" w14:textId="77777777" w:rsidTr="00AC0C51">
        <w:trPr>
          <w:trHeight w:val="300"/>
        </w:trPr>
        <w:tc>
          <w:tcPr>
            <w:tcW w:w="668" w:type="dxa"/>
            <w:vAlign w:val="center"/>
            <w:hideMark/>
          </w:tcPr>
          <w:p w14:paraId="2D1596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597</w:t>
            </w:r>
          </w:p>
        </w:tc>
        <w:tc>
          <w:tcPr>
            <w:tcW w:w="3835" w:type="dxa"/>
            <w:vAlign w:val="center"/>
            <w:hideMark/>
          </w:tcPr>
          <w:p w14:paraId="304465A4" w14:textId="77777777" w:rsidR="00EA38F6" w:rsidRPr="000864AE" w:rsidRDefault="00EA38F6" w:rsidP="000864AE">
            <w:pPr>
              <w:rPr>
                <w:rFonts w:ascii="Verdana" w:hAnsi="Verdana"/>
                <w:sz w:val="18"/>
                <w:szCs w:val="18"/>
              </w:rPr>
            </w:pPr>
            <w:r w:rsidRPr="000864AE">
              <w:rPr>
                <w:rFonts w:ascii="Verdana" w:hAnsi="Verdana"/>
                <w:sz w:val="18"/>
                <w:szCs w:val="18"/>
              </w:rPr>
              <w:t>Stucchi Díaz Martha Raquel</w:t>
            </w:r>
          </w:p>
        </w:tc>
      </w:tr>
      <w:tr w:rsidR="00EA38F6" w:rsidRPr="000864AE" w14:paraId="6D97DD17" w14:textId="77777777" w:rsidTr="00AC0C51">
        <w:trPr>
          <w:trHeight w:val="300"/>
        </w:trPr>
        <w:tc>
          <w:tcPr>
            <w:tcW w:w="668" w:type="dxa"/>
            <w:vAlign w:val="center"/>
            <w:hideMark/>
          </w:tcPr>
          <w:p w14:paraId="4458C9D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598</w:t>
            </w:r>
          </w:p>
        </w:tc>
        <w:tc>
          <w:tcPr>
            <w:tcW w:w="3835" w:type="dxa"/>
            <w:vAlign w:val="center"/>
            <w:hideMark/>
          </w:tcPr>
          <w:p w14:paraId="1D44A5C3" w14:textId="77777777" w:rsidR="00EA38F6" w:rsidRPr="000864AE" w:rsidRDefault="00EA38F6" w:rsidP="000864AE">
            <w:pPr>
              <w:rPr>
                <w:rFonts w:ascii="Verdana" w:hAnsi="Verdana"/>
                <w:sz w:val="18"/>
                <w:szCs w:val="18"/>
              </w:rPr>
            </w:pPr>
            <w:r w:rsidRPr="000864AE">
              <w:rPr>
                <w:rFonts w:ascii="Verdana" w:hAnsi="Verdana"/>
                <w:sz w:val="18"/>
                <w:szCs w:val="18"/>
              </w:rPr>
              <w:t>Suárez Cuadrado Aquiles</w:t>
            </w:r>
          </w:p>
        </w:tc>
      </w:tr>
      <w:tr w:rsidR="00EA38F6" w:rsidRPr="000864AE" w14:paraId="4AECC585" w14:textId="77777777" w:rsidTr="00AC0C51">
        <w:trPr>
          <w:trHeight w:val="300"/>
        </w:trPr>
        <w:tc>
          <w:tcPr>
            <w:tcW w:w="668" w:type="dxa"/>
            <w:vAlign w:val="center"/>
            <w:hideMark/>
          </w:tcPr>
          <w:p w14:paraId="76099E7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599</w:t>
            </w:r>
          </w:p>
        </w:tc>
        <w:tc>
          <w:tcPr>
            <w:tcW w:w="3835" w:type="dxa"/>
            <w:vAlign w:val="center"/>
            <w:hideMark/>
          </w:tcPr>
          <w:p w14:paraId="6A11E0DF" w14:textId="77777777" w:rsidR="00EA38F6" w:rsidRPr="000864AE" w:rsidRDefault="00EA38F6" w:rsidP="000864AE">
            <w:pPr>
              <w:rPr>
                <w:rFonts w:ascii="Verdana" w:hAnsi="Verdana"/>
                <w:sz w:val="18"/>
                <w:szCs w:val="18"/>
              </w:rPr>
            </w:pPr>
            <w:r w:rsidRPr="000864AE">
              <w:rPr>
                <w:rFonts w:ascii="Verdana" w:hAnsi="Verdana"/>
                <w:sz w:val="18"/>
                <w:szCs w:val="18"/>
              </w:rPr>
              <w:t>Suárez Hernández Ramón Antonio</w:t>
            </w:r>
          </w:p>
        </w:tc>
      </w:tr>
      <w:tr w:rsidR="00EA38F6" w:rsidRPr="000864AE" w14:paraId="633D5C56" w14:textId="77777777" w:rsidTr="00AC0C51">
        <w:trPr>
          <w:trHeight w:val="300"/>
        </w:trPr>
        <w:tc>
          <w:tcPr>
            <w:tcW w:w="668" w:type="dxa"/>
            <w:vAlign w:val="center"/>
            <w:hideMark/>
          </w:tcPr>
          <w:p w14:paraId="7862587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600</w:t>
            </w:r>
          </w:p>
        </w:tc>
        <w:tc>
          <w:tcPr>
            <w:tcW w:w="3835" w:type="dxa"/>
            <w:vAlign w:val="center"/>
            <w:hideMark/>
          </w:tcPr>
          <w:p w14:paraId="6FE9465D" w14:textId="77777777" w:rsidR="00EA38F6" w:rsidRPr="000864AE" w:rsidRDefault="00EA38F6" w:rsidP="000864AE">
            <w:pPr>
              <w:rPr>
                <w:rFonts w:ascii="Verdana" w:hAnsi="Verdana"/>
                <w:sz w:val="18"/>
                <w:szCs w:val="18"/>
              </w:rPr>
            </w:pPr>
            <w:r w:rsidRPr="000864AE">
              <w:rPr>
                <w:rFonts w:ascii="Verdana" w:hAnsi="Verdana"/>
                <w:sz w:val="18"/>
                <w:szCs w:val="18"/>
              </w:rPr>
              <w:t>Suárez Molina Susano Tauro</w:t>
            </w:r>
          </w:p>
        </w:tc>
      </w:tr>
      <w:tr w:rsidR="00EA38F6" w:rsidRPr="000864AE" w14:paraId="310C3EF9" w14:textId="77777777" w:rsidTr="00AC0C51">
        <w:trPr>
          <w:trHeight w:val="300"/>
        </w:trPr>
        <w:tc>
          <w:tcPr>
            <w:tcW w:w="668" w:type="dxa"/>
            <w:vAlign w:val="center"/>
            <w:hideMark/>
          </w:tcPr>
          <w:p w14:paraId="440C478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601</w:t>
            </w:r>
          </w:p>
        </w:tc>
        <w:tc>
          <w:tcPr>
            <w:tcW w:w="3835" w:type="dxa"/>
            <w:vAlign w:val="center"/>
            <w:hideMark/>
          </w:tcPr>
          <w:p w14:paraId="261FE7CC" w14:textId="77777777" w:rsidR="00EA38F6" w:rsidRPr="000864AE" w:rsidRDefault="00EA38F6" w:rsidP="000864AE">
            <w:pPr>
              <w:rPr>
                <w:rFonts w:ascii="Verdana" w:hAnsi="Verdana"/>
                <w:sz w:val="18"/>
                <w:szCs w:val="18"/>
              </w:rPr>
            </w:pPr>
            <w:r w:rsidRPr="000864AE">
              <w:rPr>
                <w:rFonts w:ascii="Verdana" w:hAnsi="Verdana"/>
                <w:sz w:val="18"/>
                <w:szCs w:val="18"/>
              </w:rPr>
              <w:t>Suárez Palomares Benedicta</w:t>
            </w:r>
          </w:p>
        </w:tc>
      </w:tr>
      <w:tr w:rsidR="00EA38F6" w:rsidRPr="000864AE" w14:paraId="5E3D8576" w14:textId="77777777" w:rsidTr="00AC0C51">
        <w:trPr>
          <w:trHeight w:val="300"/>
        </w:trPr>
        <w:tc>
          <w:tcPr>
            <w:tcW w:w="668" w:type="dxa"/>
            <w:vAlign w:val="center"/>
            <w:hideMark/>
          </w:tcPr>
          <w:p w14:paraId="3DD8A35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602</w:t>
            </w:r>
          </w:p>
        </w:tc>
        <w:tc>
          <w:tcPr>
            <w:tcW w:w="3835" w:type="dxa"/>
            <w:vAlign w:val="center"/>
            <w:hideMark/>
          </w:tcPr>
          <w:p w14:paraId="3AFEDBA8" w14:textId="77777777" w:rsidR="00EA38F6" w:rsidRPr="000864AE" w:rsidRDefault="00EA38F6" w:rsidP="000864AE">
            <w:pPr>
              <w:rPr>
                <w:rFonts w:ascii="Verdana" w:hAnsi="Verdana"/>
                <w:sz w:val="18"/>
                <w:szCs w:val="18"/>
              </w:rPr>
            </w:pPr>
            <w:r w:rsidRPr="000864AE">
              <w:rPr>
                <w:rFonts w:ascii="Verdana" w:hAnsi="Verdana"/>
                <w:sz w:val="18"/>
                <w:szCs w:val="18"/>
              </w:rPr>
              <w:t>Taboada Baltuano Idalia Antonieta</w:t>
            </w:r>
          </w:p>
        </w:tc>
      </w:tr>
      <w:tr w:rsidR="00EA38F6" w:rsidRPr="000864AE" w14:paraId="72FBC4B2" w14:textId="77777777" w:rsidTr="00AC0C51">
        <w:trPr>
          <w:trHeight w:val="300"/>
        </w:trPr>
        <w:tc>
          <w:tcPr>
            <w:tcW w:w="668" w:type="dxa"/>
            <w:vAlign w:val="center"/>
            <w:hideMark/>
          </w:tcPr>
          <w:p w14:paraId="7935DA0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603</w:t>
            </w:r>
          </w:p>
        </w:tc>
        <w:tc>
          <w:tcPr>
            <w:tcW w:w="3835" w:type="dxa"/>
            <w:vAlign w:val="center"/>
            <w:hideMark/>
          </w:tcPr>
          <w:p w14:paraId="21F945E9" w14:textId="77777777" w:rsidR="00EA38F6" w:rsidRPr="000864AE" w:rsidRDefault="00EA38F6" w:rsidP="000864AE">
            <w:pPr>
              <w:rPr>
                <w:rFonts w:ascii="Verdana" w:hAnsi="Verdana"/>
                <w:sz w:val="18"/>
                <w:szCs w:val="18"/>
              </w:rPr>
            </w:pPr>
            <w:r w:rsidRPr="000864AE">
              <w:rPr>
                <w:rFonts w:ascii="Verdana" w:hAnsi="Verdana"/>
                <w:sz w:val="18"/>
                <w:szCs w:val="18"/>
              </w:rPr>
              <w:t>Talavera Rospigliosi Laura Rosario</w:t>
            </w:r>
          </w:p>
        </w:tc>
      </w:tr>
      <w:tr w:rsidR="00EA38F6" w:rsidRPr="000864AE" w14:paraId="3654D958" w14:textId="77777777" w:rsidTr="00AC0C51">
        <w:trPr>
          <w:trHeight w:val="300"/>
        </w:trPr>
        <w:tc>
          <w:tcPr>
            <w:tcW w:w="668" w:type="dxa"/>
            <w:vAlign w:val="center"/>
            <w:hideMark/>
          </w:tcPr>
          <w:p w14:paraId="3FB5E4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604</w:t>
            </w:r>
          </w:p>
        </w:tc>
        <w:tc>
          <w:tcPr>
            <w:tcW w:w="3835" w:type="dxa"/>
            <w:vAlign w:val="center"/>
            <w:hideMark/>
          </w:tcPr>
          <w:p w14:paraId="40130FE0" w14:textId="77777777" w:rsidR="00EA38F6" w:rsidRPr="000864AE" w:rsidRDefault="00EA38F6" w:rsidP="000864AE">
            <w:pPr>
              <w:rPr>
                <w:rFonts w:ascii="Verdana" w:hAnsi="Verdana"/>
                <w:sz w:val="18"/>
                <w:szCs w:val="18"/>
              </w:rPr>
            </w:pPr>
            <w:r w:rsidRPr="000864AE">
              <w:rPr>
                <w:rFonts w:ascii="Verdana" w:hAnsi="Verdana"/>
                <w:sz w:val="18"/>
                <w:szCs w:val="18"/>
              </w:rPr>
              <w:t>Tam Loyola Perla Edith</w:t>
            </w:r>
          </w:p>
        </w:tc>
      </w:tr>
      <w:tr w:rsidR="00EA38F6" w:rsidRPr="000864AE" w14:paraId="18652D7F" w14:textId="77777777" w:rsidTr="00AC0C51">
        <w:trPr>
          <w:trHeight w:val="300"/>
        </w:trPr>
        <w:tc>
          <w:tcPr>
            <w:tcW w:w="668" w:type="dxa"/>
            <w:vAlign w:val="center"/>
            <w:hideMark/>
          </w:tcPr>
          <w:p w14:paraId="7022DE0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605</w:t>
            </w:r>
          </w:p>
        </w:tc>
        <w:tc>
          <w:tcPr>
            <w:tcW w:w="3835" w:type="dxa"/>
            <w:vAlign w:val="center"/>
            <w:hideMark/>
          </w:tcPr>
          <w:p w14:paraId="04ADBE2B" w14:textId="77777777" w:rsidR="00EA38F6" w:rsidRPr="000864AE" w:rsidRDefault="00EA38F6" w:rsidP="000864AE">
            <w:pPr>
              <w:rPr>
                <w:rFonts w:ascii="Verdana" w:hAnsi="Verdana"/>
                <w:sz w:val="18"/>
                <w:szCs w:val="18"/>
              </w:rPr>
            </w:pPr>
            <w:r w:rsidRPr="000864AE">
              <w:rPr>
                <w:rFonts w:ascii="Verdana" w:hAnsi="Verdana"/>
                <w:sz w:val="18"/>
                <w:szCs w:val="18"/>
              </w:rPr>
              <w:t>Tamara Rivera Orestes</w:t>
            </w:r>
          </w:p>
        </w:tc>
      </w:tr>
      <w:tr w:rsidR="00EA38F6" w:rsidRPr="000864AE" w14:paraId="74F7A1A6" w14:textId="77777777" w:rsidTr="00AC0C51">
        <w:trPr>
          <w:trHeight w:val="300"/>
        </w:trPr>
        <w:tc>
          <w:tcPr>
            <w:tcW w:w="668" w:type="dxa"/>
            <w:vAlign w:val="center"/>
            <w:hideMark/>
          </w:tcPr>
          <w:p w14:paraId="7C8F2B9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606</w:t>
            </w:r>
          </w:p>
        </w:tc>
        <w:tc>
          <w:tcPr>
            <w:tcW w:w="3835" w:type="dxa"/>
            <w:vAlign w:val="center"/>
            <w:hideMark/>
          </w:tcPr>
          <w:p w14:paraId="1B891502" w14:textId="77777777" w:rsidR="00EA38F6" w:rsidRPr="000864AE" w:rsidRDefault="00EA38F6" w:rsidP="000864AE">
            <w:pPr>
              <w:rPr>
                <w:rFonts w:ascii="Verdana" w:hAnsi="Verdana"/>
                <w:sz w:val="18"/>
                <w:szCs w:val="18"/>
              </w:rPr>
            </w:pPr>
            <w:r w:rsidRPr="000864AE">
              <w:rPr>
                <w:rFonts w:ascii="Verdana" w:hAnsi="Verdana"/>
                <w:sz w:val="18"/>
                <w:szCs w:val="18"/>
              </w:rPr>
              <w:t>Tapia Gutiérrez José Enrique Leoncio</w:t>
            </w:r>
          </w:p>
        </w:tc>
      </w:tr>
      <w:tr w:rsidR="00EA38F6" w:rsidRPr="000864AE" w14:paraId="7699E2D4" w14:textId="77777777" w:rsidTr="00AC0C51">
        <w:trPr>
          <w:trHeight w:val="300"/>
        </w:trPr>
        <w:tc>
          <w:tcPr>
            <w:tcW w:w="668" w:type="dxa"/>
            <w:vAlign w:val="center"/>
            <w:hideMark/>
          </w:tcPr>
          <w:p w14:paraId="5B0158C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607</w:t>
            </w:r>
          </w:p>
        </w:tc>
        <w:tc>
          <w:tcPr>
            <w:tcW w:w="3835" w:type="dxa"/>
            <w:vAlign w:val="center"/>
            <w:hideMark/>
          </w:tcPr>
          <w:p w14:paraId="5DB7FE0B" w14:textId="77777777" w:rsidR="00EA38F6" w:rsidRPr="000864AE" w:rsidRDefault="00EA38F6" w:rsidP="000864AE">
            <w:pPr>
              <w:rPr>
                <w:rFonts w:ascii="Verdana" w:hAnsi="Verdana"/>
                <w:sz w:val="18"/>
                <w:szCs w:val="18"/>
              </w:rPr>
            </w:pPr>
            <w:r w:rsidRPr="000864AE">
              <w:rPr>
                <w:rFonts w:ascii="Verdana" w:hAnsi="Verdana"/>
                <w:sz w:val="18"/>
                <w:szCs w:val="18"/>
              </w:rPr>
              <w:t>Távara Chirinos Carlos Alberto</w:t>
            </w:r>
          </w:p>
        </w:tc>
      </w:tr>
      <w:tr w:rsidR="00EA38F6" w:rsidRPr="000864AE" w14:paraId="5D7F671F" w14:textId="77777777" w:rsidTr="00AC0C51">
        <w:trPr>
          <w:trHeight w:val="300"/>
        </w:trPr>
        <w:tc>
          <w:tcPr>
            <w:tcW w:w="668" w:type="dxa"/>
            <w:vAlign w:val="center"/>
            <w:hideMark/>
          </w:tcPr>
          <w:p w14:paraId="089FE25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608</w:t>
            </w:r>
          </w:p>
        </w:tc>
        <w:tc>
          <w:tcPr>
            <w:tcW w:w="3835" w:type="dxa"/>
            <w:vAlign w:val="center"/>
            <w:hideMark/>
          </w:tcPr>
          <w:p w14:paraId="78BBF3A8" w14:textId="77777777" w:rsidR="00EA38F6" w:rsidRPr="000864AE" w:rsidRDefault="00EA38F6" w:rsidP="000864AE">
            <w:pPr>
              <w:rPr>
                <w:rFonts w:ascii="Verdana" w:hAnsi="Verdana"/>
                <w:sz w:val="18"/>
                <w:szCs w:val="18"/>
              </w:rPr>
            </w:pPr>
            <w:r w:rsidRPr="000864AE">
              <w:rPr>
                <w:rFonts w:ascii="Verdana" w:hAnsi="Verdana"/>
                <w:sz w:val="18"/>
                <w:szCs w:val="18"/>
              </w:rPr>
              <w:t>Tenorio Rodríguez Vilma Elisa</w:t>
            </w:r>
          </w:p>
        </w:tc>
      </w:tr>
      <w:tr w:rsidR="00EA38F6" w:rsidRPr="000864AE" w14:paraId="18C28D71" w14:textId="77777777" w:rsidTr="00AC0C51">
        <w:trPr>
          <w:trHeight w:val="300"/>
        </w:trPr>
        <w:tc>
          <w:tcPr>
            <w:tcW w:w="668" w:type="dxa"/>
            <w:vAlign w:val="center"/>
            <w:hideMark/>
          </w:tcPr>
          <w:p w14:paraId="7BA3EA1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609</w:t>
            </w:r>
          </w:p>
        </w:tc>
        <w:tc>
          <w:tcPr>
            <w:tcW w:w="3835" w:type="dxa"/>
            <w:vAlign w:val="center"/>
            <w:hideMark/>
          </w:tcPr>
          <w:p w14:paraId="5A58B91E" w14:textId="77777777" w:rsidR="00EA38F6" w:rsidRPr="000864AE" w:rsidRDefault="00EA38F6" w:rsidP="000864AE">
            <w:pPr>
              <w:rPr>
                <w:rFonts w:ascii="Verdana" w:hAnsi="Verdana"/>
                <w:sz w:val="18"/>
                <w:szCs w:val="18"/>
              </w:rPr>
            </w:pPr>
            <w:r w:rsidRPr="000864AE">
              <w:rPr>
                <w:rFonts w:ascii="Verdana" w:hAnsi="Verdana"/>
                <w:sz w:val="18"/>
                <w:szCs w:val="18"/>
              </w:rPr>
              <w:t>Terán Márquez Víctor Manuel</w:t>
            </w:r>
          </w:p>
        </w:tc>
      </w:tr>
      <w:tr w:rsidR="00EA38F6" w:rsidRPr="000864AE" w14:paraId="724B678D" w14:textId="77777777" w:rsidTr="00AC0C51">
        <w:trPr>
          <w:trHeight w:val="300"/>
        </w:trPr>
        <w:tc>
          <w:tcPr>
            <w:tcW w:w="668" w:type="dxa"/>
            <w:vAlign w:val="center"/>
            <w:hideMark/>
          </w:tcPr>
          <w:p w14:paraId="7AB8DDD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610</w:t>
            </w:r>
          </w:p>
        </w:tc>
        <w:tc>
          <w:tcPr>
            <w:tcW w:w="3835" w:type="dxa"/>
            <w:vAlign w:val="center"/>
            <w:hideMark/>
          </w:tcPr>
          <w:p w14:paraId="2123B7B5" w14:textId="77777777" w:rsidR="00EA38F6" w:rsidRPr="000864AE" w:rsidRDefault="00EA38F6" w:rsidP="000864AE">
            <w:pPr>
              <w:rPr>
                <w:rFonts w:ascii="Verdana" w:hAnsi="Verdana"/>
                <w:sz w:val="18"/>
                <w:szCs w:val="18"/>
              </w:rPr>
            </w:pPr>
            <w:r w:rsidRPr="000864AE">
              <w:rPr>
                <w:rFonts w:ascii="Verdana" w:hAnsi="Verdana"/>
                <w:sz w:val="18"/>
                <w:szCs w:val="18"/>
              </w:rPr>
              <w:t>Terrazas Mejia Rosi Jesús</w:t>
            </w:r>
          </w:p>
        </w:tc>
      </w:tr>
      <w:tr w:rsidR="00EA38F6" w:rsidRPr="000864AE" w14:paraId="0026BF4B" w14:textId="77777777" w:rsidTr="00AC0C51">
        <w:trPr>
          <w:trHeight w:val="300"/>
        </w:trPr>
        <w:tc>
          <w:tcPr>
            <w:tcW w:w="668" w:type="dxa"/>
            <w:vAlign w:val="center"/>
            <w:hideMark/>
          </w:tcPr>
          <w:p w14:paraId="51D0936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611</w:t>
            </w:r>
          </w:p>
        </w:tc>
        <w:tc>
          <w:tcPr>
            <w:tcW w:w="3835" w:type="dxa"/>
            <w:vAlign w:val="center"/>
            <w:hideMark/>
          </w:tcPr>
          <w:p w14:paraId="49B3573E" w14:textId="77777777" w:rsidR="00EA38F6" w:rsidRPr="000864AE" w:rsidRDefault="00EA38F6" w:rsidP="000864AE">
            <w:pPr>
              <w:rPr>
                <w:rFonts w:ascii="Verdana" w:hAnsi="Verdana"/>
                <w:sz w:val="18"/>
                <w:szCs w:val="18"/>
              </w:rPr>
            </w:pPr>
            <w:r w:rsidRPr="000864AE">
              <w:rPr>
                <w:rFonts w:ascii="Verdana" w:hAnsi="Verdana"/>
                <w:sz w:val="18"/>
                <w:szCs w:val="18"/>
              </w:rPr>
              <w:t>Terreros Monteverde Haydee</w:t>
            </w:r>
          </w:p>
        </w:tc>
      </w:tr>
      <w:tr w:rsidR="00EA38F6" w:rsidRPr="000864AE" w14:paraId="2ECA5E9A" w14:textId="77777777" w:rsidTr="00AC0C51">
        <w:trPr>
          <w:trHeight w:val="300"/>
        </w:trPr>
        <w:tc>
          <w:tcPr>
            <w:tcW w:w="668" w:type="dxa"/>
            <w:vAlign w:val="center"/>
            <w:hideMark/>
          </w:tcPr>
          <w:p w14:paraId="6985449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612</w:t>
            </w:r>
          </w:p>
        </w:tc>
        <w:tc>
          <w:tcPr>
            <w:tcW w:w="3835" w:type="dxa"/>
            <w:vAlign w:val="center"/>
            <w:hideMark/>
          </w:tcPr>
          <w:p w14:paraId="38A50C01" w14:textId="77777777" w:rsidR="00EA38F6" w:rsidRPr="000864AE" w:rsidRDefault="00EA38F6" w:rsidP="000864AE">
            <w:pPr>
              <w:rPr>
                <w:rFonts w:ascii="Verdana" w:hAnsi="Verdana"/>
                <w:sz w:val="18"/>
                <w:szCs w:val="18"/>
              </w:rPr>
            </w:pPr>
            <w:r w:rsidRPr="000864AE">
              <w:rPr>
                <w:rFonts w:ascii="Verdana" w:hAnsi="Verdana"/>
                <w:sz w:val="18"/>
                <w:szCs w:val="18"/>
              </w:rPr>
              <w:t>Terrones Díaz Elba Nelly</w:t>
            </w:r>
          </w:p>
        </w:tc>
      </w:tr>
      <w:tr w:rsidR="00EA38F6" w:rsidRPr="000864AE" w14:paraId="308FAF1B" w14:textId="77777777" w:rsidTr="00AC0C51">
        <w:trPr>
          <w:trHeight w:val="300"/>
        </w:trPr>
        <w:tc>
          <w:tcPr>
            <w:tcW w:w="668" w:type="dxa"/>
            <w:vAlign w:val="center"/>
            <w:hideMark/>
          </w:tcPr>
          <w:p w14:paraId="249C046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613</w:t>
            </w:r>
          </w:p>
        </w:tc>
        <w:tc>
          <w:tcPr>
            <w:tcW w:w="3835" w:type="dxa"/>
            <w:vAlign w:val="center"/>
            <w:hideMark/>
          </w:tcPr>
          <w:p w14:paraId="10629235" w14:textId="77777777" w:rsidR="00EA38F6" w:rsidRPr="000864AE" w:rsidRDefault="00EA38F6" w:rsidP="000864AE">
            <w:pPr>
              <w:rPr>
                <w:rFonts w:ascii="Verdana" w:hAnsi="Verdana"/>
                <w:sz w:val="18"/>
                <w:szCs w:val="18"/>
              </w:rPr>
            </w:pPr>
            <w:r w:rsidRPr="000864AE">
              <w:rPr>
                <w:rFonts w:ascii="Verdana" w:hAnsi="Verdana"/>
                <w:sz w:val="18"/>
                <w:szCs w:val="18"/>
              </w:rPr>
              <w:t>Tipacti Aste Nelly Gabriela</w:t>
            </w:r>
          </w:p>
        </w:tc>
      </w:tr>
      <w:tr w:rsidR="00EA38F6" w:rsidRPr="000864AE" w14:paraId="621C4E44" w14:textId="77777777" w:rsidTr="00AC0C51">
        <w:trPr>
          <w:trHeight w:val="300"/>
        </w:trPr>
        <w:tc>
          <w:tcPr>
            <w:tcW w:w="668" w:type="dxa"/>
            <w:vAlign w:val="center"/>
            <w:hideMark/>
          </w:tcPr>
          <w:p w14:paraId="133D6CF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614</w:t>
            </w:r>
          </w:p>
        </w:tc>
        <w:tc>
          <w:tcPr>
            <w:tcW w:w="3835" w:type="dxa"/>
            <w:vAlign w:val="center"/>
            <w:hideMark/>
          </w:tcPr>
          <w:p w14:paraId="3689DE27" w14:textId="77777777" w:rsidR="00EA38F6" w:rsidRPr="000864AE" w:rsidRDefault="00EA38F6" w:rsidP="000864AE">
            <w:pPr>
              <w:rPr>
                <w:rFonts w:ascii="Verdana" w:hAnsi="Verdana"/>
                <w:sz w:val="18"/>
                <w:szCs w:val="18"/>
              </w:rPr>
            </w:pPr>
            <w:r w:rsidRPr="000864AE">
              <w:rPr>
                <w:rFonts w:ascii="Verdana" w:hAnsi="Verdana"/>
                <w:sz w:val="18"/>
                <w:szCs w:val="18"/>
              </w:rPr>
              <w:t>Toledo La Rosa Ramón Lorenzo</w:t>
            </w:r>
          </w:p>
        </w:tc>
      </w:tr>
      <w:tr w:rsidR="00EA38F6" w:rsidRPr="000864AE" w14:paraId="5A61C95A" w14:textId="77777777" w:rsidTr="00AC0C51">
        <w:trPr>
          <w:trHeight w:val="300"/>
        </w:trPr>
        <w:tc>
          <w:tcPr>
            <w:tcW w:w="668" w:type="dxa"/>
            <w:vAlign w:val="center"/>
            <w:hideMark/>
          </w:tcPr>
          <w:p w14:paraId="72F3673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615</w:t>
            </w:r>
          </w:p>
        </w:tc>
        <w:tc>
          <w:tcPr>
            <w:tcW w:w="3835" w:type="dxa"/>
            <w:vAlign w:val="center"/>
            <w:hideMark/>
          </w:tcPr>
          <w:p w14:paraId="7ECB5AA8" w14:textId="77777777" w:rsidR="00EA38F6" w:rsidRPr="000864AE" w:rsidRDefault="00EA38F6" w:rsidP="000864AE">
            <w:pPr>
              <w:rPr>
                <w:rFonts w:ascii="Verdana" w:hAnsi="Verdana"/>
                <w:sz w:val="18"/>
                <w:szCs w:val="18"/>
              </w:rPr>
            </w:pPr>
            <w:r w:rsidRPr="000864AE">
              <w:rPr>
                <w:rFonts w:ascii="Verdana" w:hAnsi="Verdana"/>
                <w:sz w:val="18"/>
                <w:szCs w:val="18"/>
              </w:rPr>
              <w:t>Toledo Molina Pablo</w:t>
            </w:r>
          </w:p>
        </w:tc>
      </w:tr>
      <w:tr w:rsidR="00EA38F6" w:rsidRPr="000864AE" w14:paraId="0A2C669C" w14:textId="77777777" w:rsidTr="00AC0C51">
        <w:trPr>
          <w:trHeight w:val="300"/>
        </w:trPr>
        <w:tc>
          <w:tcPr>
            <w:tcW w:w="668" w:type="dxa"/>
            <w:vAlign w:val="center"/>
            <w:hideMark/>
          </w:tcPr>
          <w:p w14:paraId="7476784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616</w:t>
            </w:r>
          </w:p>
        </w:tc>
        <w:tc>
          <w:tcPr>
            <w:tcW w:w="3835" w:type="dxa"/>
            <w:vAlign w:val="center"/>
            <w:hideMark/>
          </w:tcPr>
          <w:p w14:paraId="7FF236C7" w14:textId="77777777" w:rsidR="00EA38F6" w:rsidRPr="000864AE" w:rsidRDefault="00EA38F6" w:rsidP="000864AE">
            <w:pPr>
              <w:rPr>
                <w:rFonts w:ascii="Verdana" w:hAnsi="Verdana"/>
                <w:sz w:val="18"/>
                <w:szCs w:val="18"/>
              </w:rPr>
            </w:pPr>
            <w:r w:rsidRPr="000864AE">
              <w:rPr>
                <w:rFonts w:ascii="Verdana" w:hAnsi="Verdana"/>
                <w:sz w:val="18"/>
                <w:szCs w:val="18"/>
              </w:rPr>
              <w:t>Tompson Ruiz Rita Amparo</w:t>
            </w:r>
          </w:p>
        </w:tc>
      </w:tr>
      <w:tr w:rsidR="00EA38F6" w:rsidRPr="000864AE" w14:paraId="2888B535" w14:textId="77777777" w:rsidTr="00AC0C51">
        <w:trPr>
          <w:trHeight w:val="300"/>
        </w:trPr>
        <w:tc>
          <w:tcPr>
            <w:tcW w:w="668" w:type="dxa"/>
            <w:vAlign w:val="center"/>
            <w:hideMark/>
          </w:tcPr>
          <w:p w14:paraId="64691AF4"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617</w:t>
            </w:r>
          </w:p>
        </w:tc>
        <w:tc>
          <w:tcPr>
            <w:tcW w:w="3835" w:type="dxa"/>
            <w:vAlign w:val="center"/>
            <w:hideMark/>
          </w:tcPr>
          <w:p w14:paraId="2F3BE9E5" w14:textId="77777777" w:rsidR="00EA38F6" w:rsidRPr="000864AE" w:rsidRDefault="00EA38F6" w:rsidP="000864AE">
            <w:pPr>
              <w:rPr>
                <w:rFonts w:ascii="Verdana" w:hAnsi="Verdana"/>
                <w:sz w:val="18"/>
                <w:szCs w:val="18"/>
              </w:rPr>
            </w:pPr>
            <w:r w:rsidRPr="000864AE">
              <w:rPr>
                <w:rFonts w:ascii="Verdana" w:hAnsi="Verdana"/>
                <w:sz w:val="18"/>
                <w:szCs w:val="18"/>
              </w:rPr>
              <w:t>Torrejón Jiménez Luis Beltrán</w:t>
            </w:r>
          </w:p>
        </w:tc>
      </w:tr>
      <w:tr w:rsidR="00EA38F6" w:rsidRPr="000864AE" w14:paraId="3D3F632B" w14:textId="77777777" w:rsidTr="00AC0C51">
        <w:trPr>
          <w:trHeight w:val="300"/>
        </w:trPr>
        <w:tc>
          <w:tcPr>
            <w:tcW w:w="668" w:type="dxa"/>
            <w:vAlign w:val="center"/>
            <w:hideMark/>
          </w:tcPr>
          <w:p w14:paraId="1F9C82E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618</w:t>
            </w:r>
          </w:p>
        </w:tc>
        <w:tc>
          <w:tcPr>
            <w:tcW w:w="3835" w:type="dxa"/>
            <w:vAlign w:val="center"/>
            <w:hideMark/>
          </w:tcPr>
          <w:p w14:paraId="5255B64C" w14:textId="77777777" w:rsidR="00EA38F6" w:rsidRPr="000864AE" w:rsidRDefault="00EA38F6" w:rsidP="000864AE">
            <w:pPr>
              <w:rPr>
                <w:rFonts w:ascii="Verdana" w:hAnsi="Verdana"/>
                <w:sz w:val="18"/>
                <w:szCs w:val="18"/>
              </w:rPr>
            </w:pPr>
            <w:r w:rsidRPr="000864AE">
              <w:rPr>
                <w:rFonts w:ascii="Verdana" w:hAnsi="Verdana"/>
                <w:sz w:val="18"/>
                <w:szCs w:val="18"/>
              </w:rPr>
              <w:t>Torres Araujo Antonio Ramiro</w:t>
            </w:r>
          </w:p>
        </w:tc>
      </w:tr>
      <w:tr w:rsidR="00EA38F6" w:rsidRPr="000864AE" w14:paraId="1F5921BC" w14:textId="77777777" w:rsidTr="00AC0C51">
        <w:trPr>
          <w:trHeight w:val="300"/>
        </w:trPr>
        <w:tc>
          <w:tcPr>
            <w:tcW w:w="668" w:type="dxa"/>
            <w:vAlign w:val="center"/>
            <w:hideMark/>
          </w:tcPr>
          <w:p w14:paraId="43CC2F2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619</w:t>
            </w:r>
          </w:p>
        </w:tc>
        <w:tc>
          <w:tcPr>
            <w:tcW w:w="3835" w:type="dxa"/>
            <w:vAlign w:val="center"/>
            <w:hideMark/>
          </w:tcPr>
          <w:p w14:paraId="0B38DBE9" w14:textId="77777777" w:rsidR="00EA38F6" w:rsidRPr="000864AE" w:rsidRDefault="00EA38F6" w:rsidP="000864AE">
            <w:pPr>
              <w:rPr>
                <w:rFonts w:ascii="Verdana" w:hAnsi="Verdana"/>
                <w:sz w:val="18"/>
                <w:szCs w:val="18"/>
              </w:rPr>
            </w:pPr>
            <w:r w:rsidRPr="000864AE">
              <w:rPr>
                <w:rFonts w:ascii="Verdana" w:hAnsi="Verdana"/>
                <w:sz w:val="18"/>
                <w:szCs w:val="18"/>
              </w:rPr>
              <w:t>Torres Lazarte Teobaldo Félix</w:t>
            </w:r>
          </w:p>
        </w:tc>
      </w:tr>
      <w:tr w:rsidR="00EA38F6" w:rsidRPr="000864AE" w14:paraId="4D68B662" w14:textId="77777777" w:rsidTr="00AC0C51">
        <w:trPr>
          <w:trHeight w:val="300"/>
        </w:trPr>
        <w:tc>
          <w:tcPr>
            <w:tcW w:w="668" w:type="dxa"/>
            <w:vAlign w:val="center"/>
            <w:hideMark/>
          </w:tcPr>
          <w:p w14:paraId="396FE39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620</w:t>
            </w:r>
          </w:p>
        </w:tc>
        <w:tc>
          <w:tcPr>
            <w:tcW w:w="3835" w:type="dxa"/>
            <w:vAlign w:val="center"/>
            <w:hideMark/>
          </w:tcPr>
          <w:p w14:paraId="147AFDD6" w14:textId="77777777" w:rsidR="00EA38F6" w:rsidRPr="000864AE" w:rsidRDefault="00EA38F6" w:rsidP="000864AE">
            <w:pPr>
              <w:rPr>
                <w:rFonts w:ascii="Verdana" w:hAnsi="Verdana"/>
                <w:sz w:val="18"/>
                <w:szCs w:val="18"/>
              </w:rPr>
            </w:pPr>
            <w:r w:rsidRPr="000864AE">
              <w:rPr>
                <w:rFonts w:ascii="Verdana" w:hAnsi="Verdana"/>
                <w:sz w:val="18"/>
                <w:szCs w:val="18"/>
              </w:rPr>
              <w:t>Torres Policarpo Emiliano</w:t>
            </w:r>
          </w:p>
        </w:tc>
      </w:tr>
      <w:tr w:rsidR="00EA38F6" w:rsidRPr="000864AE" w14:paraId="40FA88CC" w14:textId="77777777" w:rsidTr="00AC0C51">
        <w:trPr>
          <w:trHeight w:val="300"/>
        </w:trPr>
        <w:tc>
          <w:tcPr>
            <w:tcW w:w="668" w:type="dxa"/>
            <w:vAlign w:val="center"/>
            <w:hideMark/>
          </w:tcPr>
          <w:p w14:paraId="4529BDE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621</w:t>
            </w:r>
          </w:p>
        </w:tc>
        <w:tc>
          <w:tcPr>
            <w:tcW w:w="3835" w:type="dxa"/>
            <w:vAlign w:val="center"/>
            <w:hideMark/>
          </w:tcPr>
          <w:p w14:paraId="6D67C4EC" w14:textId="77777777" w:rsidR="00EA38F6" w:rsidRPr="000864AE" w:rsidRDefault="00EA38F6" w:rsidP="000864AE">
            <w:pPr>
              <w:rPr>
                <w:rFonts w:ascii="Verdana" w:hAnsi="Verdana"/>
                <w:sz w:val="18"/>
                <w:szCs w:val="18"/>
              </w:rPr>
            </w:pPr>
            <w:r w:rsidRPr="000864AE">
              <w:rPr>
                <w:rFonts w:ascii="Verdana" w:hAnsi="Verdana"/>
                <w:sz w:val="18"/>
                <w:szCs w:val="18"/>
              </w:rPr>
              <w:t>Torres Sánchez Amancio</w:t>
            </w:r>
          </w:p>
        </w:tc>
      </w:tr>
      <w:tr w:rsidR="00EA38F6" w:rsidRPr="000864AE" w14:paraId="41CDC671" w14:textId="77777777" w:rsidTr="00AC0C51">
        <w:trPr>
          <w:trHeight w:val="300"/>
        </w:trPr>
        <w:tc>
          <w:tcPr>
            <w:tcW w:w="668" w:type="dxa"/>
            <w:vAlign w:val="center"/>
            <w:hideMark/>
          </w:tcPr>
          <w:p w14:paraId="665EC5B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622</w:t>
            </w:r>
          </w:p>
        </w:tc>
        <w:tc>
          <w:tcPr>
            <w:tcW w:w="3835" w:type="dxa"/>
            <w:vAlign w:val="center"/>
            <w:hideMark/>
          </w:tcPr>
          <w:p w14:paraId="5CD3BB85" w14:textId="77777777" w:rsidR="00EA38F6" w:rsidRPr="000864AE" w:rsidRDefault="00EA38F6" w:rsidP="000864AE">
            <w:pPr>
              <w:rPr>
                <w:rFonts w:ascii="Verdana" w:hAnsi="Verdana"/>
                <w:sz w:val="18"/>
                <w:szCs w:val="18"/>
              </w:rPr>
            </w:pPr>
            <w:r w:rsidRPr="000864AE">
              <w:rPr>
                <w:rFonts w:ascii="Verdana" w:hAnsi="Verdana"/>
                <w:sz w:val="18"/>
                <w:szCs w:val="18"/>
              </w:rPr>
              <w:t>Tueros Del Risco Nicolás Matías</w:t>
            </w:r>
          </w:p>
        </w:tc>
      </w:tr>
      <w:tr w:rsidR="00EA38F6" w:rsidRPr="000864AE" w14:paraId="4D10F8BF" w14:textId="77777777" w:rsidTr="00AC0C51">
        <w:trPr>
          <w:trHeight w:val="300"/>
        </w:trPr>
        <w:tc>
          <w:tcPr>
            <w:tcW w:w="668" w:type="dxa"/>
            <w:vAlign w:val="center"/>
            <w:hideMark/>
          </w:tcPr>
          <w:p w14:paraId="0E42B0D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623</w:t>
            </w:r>
          </w:p>
        </w:tc>
        <w:tc>
          <w:tcPr>
            <w:tcW w:w="3835" w:type="dxa"/>
            <w:vAlign w:val="center"/>
            <w:hideMark/>
          </w:tcPr>
          <w:p w14:paraId="2F8644FA" w14:textId="77777777" w:rsidR="00EA38F6" w:rsidRPr="000864AE" w:rsidRDefault="00EA38F6" w:rsidP="000864AE">
            <w:pPr>
              <w:rPr>
                <w:rFonts w:ascii="Verdana" w:hAnsi="Verdana"/>
                <w:sz w:val="18"/>
                <w:szCs w:val="18"/>
              </w:rPr>
            </w:pPr>
            <w:r w:rsidRPr="000864AE">
              <w:rPr>
                <w:rFonts w:ascii="Verdana" w:hAnsi="Verdana"/>
                <w:sz w:val="18"/>
                <w:szCs w:val="18"/>
              </w:rPr>
              <w:t>Ubillus Morales Juan Carlos</w:t>
            </w:r>
          </w:p>
        </w:tc>
      </w:tr>
      <w:tr w:rsidR="00EA38F6" w:rsidRPr="000864AE" w14:paraId="5A0B8AA9" w14:textId="77777777" w:rsidTr="00AC0C51">
        <w:trPr>
          <w:trHeight w:val="300"/>
        </w:trPr>
        <w:tc>
          <w:tcPr>
            <w:tcW w:w="668" w:type="dxa"/>
            <w:vAlign w:val="center"/>
            <w:hideMark/>
          </w:tcPr>
          <w:p w14:paraId="1F238DA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624</w:t>
            </w:r>
          </w:p>
        </w:tc>
        <w:tc>
          <w:tcPr>
            <w:tcW w:w="3835" w:type="dxa"/>
            <w:vAlign w:val="center"/>
            <w:hideMark/>
          </w:tcPr>
          <w:p w14:paraId="31FD35F3" w14:textId="77777777" w:rsidR="00EA38F6" w:rsidRPr="000864AE" w:rsidRDefault="00EA38F6" w:rsidP="000864AE">
            <w:pPr>
              <w:rPr>
                <w:rFonts w:ascii="Verdana" w:hAnsi="Verdana"/>
                <w:sz w:val="18"/>
                <w:szCs w:val="18"/>
              </w:rPr>
            </w:pPr>
            <w:r w:rsidRPr="000864AE">
              <w:rPr>
                <w:rFonts w:ascii="Verdana" w:hAnsi="Verdana"/>
                <w:sz w:val="18"/>
                <w:szCs w:val="18"/>
              </w:rPr>
              <w:t>Uchofen Tiparra Giordano</w:t>
            </w:r>
          </w:p>
        </w:tc>
      </w:tr>
      <w:tr w:rsidR="00EA38F6" w:rsidRPr="000864AE" w14:paraId="2C2F7431" w14:textId="77777777" w:rsidTr="00AC0C51">
        <w:trPr>
          <w:trHeight w:val="300"/>
        </w:trPr>
        <w:tc>
          <w:tcPr>
            <w:tcW w:w="668" w:type="dxa"/>
            <w:vAlign w:val="center"/>
            <w:hideMark/>
          </w:tcPr>
          <w:p w14:paraId="07D3580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625</w:t>
            </w:r>
          </w:p>
        </w:tc>
        <w:tc>
          <w:tcPr>
            <w:tcW w:w="3835" w:type="dxa"/>
            <w:vAlign w:val="center"/>
            <w:hideMark/>
          </w:tcPr>
          <w:p w14:paraId="51E3D356" w14:textId="77777777" w:rsidR="00EA38F6" w:rsidRPr="000864AE" w:rsidRDefault="00EA38F6" w:rsidP="000864AE">
            <w:pPr>
              <w:rPr>
                <w:rFonts w:ascii="Verdana" w:hAnsi="Verdana"/>
                <w:sz w:val="18"/>
                <w:szCs w:val="18"/>
              </w:rPr>
            </w:pPr>
            <w:r w:rsidRPr="000864AE">
              <w:rPr>
                <w:rFonts w:ascii="Verdana" w:hAnsi="Verdana"/>
                <w:sz w:val="18"/>
                <w:szCs w:val="18"/>
              </w:rPr>
              <w:t>Uchuya Valencia Lorenza Soledad</w:t>
            </w:r>
          </w:p>
        </w:tc>
      </w:tr>
      <w:tr w:rsidR="00EA38F6" w:rsidRPr="000864AE" w14:paraId="77B0F39A" w14:textId="77777777" w:rsidTr="00AC0C51">
        <w:trPr>
          <w:trHeight w:val="300"/>
        </w:trPr>
        <w:tc>
          <w:tcPr>
            <w:tcW w:w="668" w:type="dxa"/>
            <w:vAlign w:val="center"/>
            <w:hideMark/>
          </w:tcPr>
          <w:p w14:paraId="33894F7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626</w:t>
            </w:r>
          </w:p>
        </w:tc>
        <w:tc>
          <w:tcPr>
            <w:tcW w:w="3835" w:type="dxa"/>
            <w:vAlign w:val="center"/>
            <w:hideMark/>
          </w:tcPr>
          <w:p w14:paraId="35BB90DB" w14:textId="77777777" w:rsidR="00EA38F6" w:rsidRPr="000864AE" w:rsidRDefault="00EA38F6" w:rsidP="000864AE">
            <w:pPr>
              <w:rPr>
                <w:rFonts w:ascii="Verdana" w:hAnsi="Verdana"/>
                <w:sz w:val="18"/>
                <w:szCs w:val="18"/>
              </w:rPr>
            </w:pPr>
            <w:r w:rsidRPr="000864AE">
              <w:rPr>
                <w:rFonts w:ascii="Verdana" w:hAnsi="Verdana"/>
                <w:sz w:val="18"/>
                <w:szCs w:val="18"/>
              </w:rPr>
              <w:t>Ugaz Diez Canseco Julia</w:t>
            </w:r>
          </w:p>
        </w:tc>
      </w:tr>
      <w:tr w:rsidR="00EA38F6" w:rsidRPr="000864AE" w14:paraId="1720FF40" w14:textId="77777777" w:rsidTr="00AC0C51">
        <w:trPr>
          <w:trHeight w:val="300"/>
        </w:trPr>
        <w:tc>
          <w:tcPr>
            <w:tcW w:w="668" w:type="dxa"/>
            <w:vAlign w:val="center"/>
            <w:hideMark/>
          </w:tcPr>
          <w:p w14:paraId="5A7E572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627</w:t>
            </w:r>
          </w:p>
        </w:tc>
        <w:tc>
          <w:tcPr>
            <w:tcW w:w="3835" w:type="dxa"/>
            <w:vAlign w:val="center"/>
            <w:hideMark/>
          </w:tcPr>
          <w:p w14:paraId="3BE3397B" w14:textId="77777777" w:rsidR="00EA38F6" w:rsidRPr="000864AE" w:rsidRDefault="00EA38F6" w:rsidP="000864AE">
            <w:pPr>
              <w:rPr>
                <w:rFonts w:ascii="Verdana" w:hAnsi="Verdana"/>
                <w:sz w:val="18"/>
                <w:szCs w:val="18"/>
              </w:rPr>
            </w:pPr>
            <w:r w:rsidRPr="000864AE">
              <w:rPr>
                <w:rFonts w:ascii="Verdana" w:hAnsi="Verdana"/>
                <w:sz w:val="18"/>
                <w:szCs w:val="18"/>
              </w:rPr>
              <w:t>Unchupaico Godoy Julia Agustina</w:t>
            </w:r>
          </w:p>
        </w:tc>
      </w:tr>
      <w:tr w:rsidR="00EA38F6" w:rsidRPr="000864AE" w14:paraId="193013E2" w14:textId="77777777" w:rsidTr="00AC0C51">
        <w:trPr>
          <w:trHeight w:val="300"/>
        </w:trPr>
        <w:tc>
          <w:tcPr>
            <w:tcW w:w="668" w:type="dxa"/>
            <w:vAlign w:val="center"/>
            <w:hideMark/>
          </w:tcPr>
          <w:p w14:paraId="67ECEC6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628</w:t>
            </w:r>
          </w:p>
        </w:tc>
        <w:tc>
          <w:tcPr>
            <w:tcW w:w="3835" w:type="dxa"/>
            <w:vAlign w:val="center"/>
            <w:hideMark/>
          </w:tcPr>
          <w:p w14:paraId="07350C93" w14:textId="77777777" w:rsidR="00EA38F6" w:rsidRPr="000864AE" w:rsidRDefault="00EA38F6" w:rsidP="000864AE">
            <w:pPr>
              <w:rPr>
                <w:rFonts w:ascii="Verdana" w:hAnsi="Verdana"/>
                <w:sz w:val="18"/>
                <w:szCs w:val="18"/>
              </w:rPr>
            </w:pPr>
            <w:r w:rsidRPr="000864AE">
              <w:rPr>
                <w:rFonts w:ascii="Verdana" w:hAnsi="Verdana"/>
                <w:sz w:val="18"/>
                <w:szCs w:val="18"/>
              </w:rPr>
              <w:t>Urcia Larios José Higinio</w:t>
            </w:r>
          </w:p>
        </w:tc>
      </w:tr>
      <w:tr w:rsidR="00EA38F6" w:rsidRPr="000864AE" w14:paraId="4983EDE2" w14:textId="77777777" w:rsidTr="00AC0C51">
        <w:trPr>
          <w:trHeight w:val="300"/>
        </w:trPr>
        <w:tc>
          <w:tcPr>
            <w:tcW w:w="668" w:type="dxa"/>
            <w:vAlign w:val="center"/>
            <w:hideMark/>
          </w:tcPr>
          <w:p w14:paraId="64778C9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629</w:t>
            </w:r>
          </w:p>
        </w:tc>
        <w:tc>
          <w:tcPr>
            <w:tcW w:w="3835" w:type="dxa"/>
            <w:vAlign w:val="center"/>
            <w:hideMark/>
          </w:tcPr>
          <w:p w14:paraId="595914E8" w14:textId="77777777" w:rsidR="00EA38F6" w:rsidRPr="000864AE" w:rsidRDefault="00EA38F6" w:rsidP="000864AE">
            <w:pPr>
              <w:rPr>
                <w:rFonts w:ascii="Verdana" w:hAnsi="Verdana"/>
                <w:sz w:val="18"/>
                <w:szCs w:val="18"/>
              </w:rPr>
            </w:pPr>
            <w:r w:rsidRPr="000864AE">
              <w:rPr>
                <w:rFonts w:ascii="Verdana" w:hAnsi="Verdana"/>
                <w:sz w:val="18"/>
                <w:szCs w:val="18"/>
              </w:rPr>
              <w:t>Uribe Collazos María Francisca</w:t>
            </w:r>
          </w:p>
        </w:tc>
      </w:tr>
      <w:tr w:rsidR="00EA38F6" w:rsidRPr="000864AE" w14:paraId="27C30E0B" w14:textId="77777777" w:rsidTr="00AC0C51">
        <w:trPr>
          <w:trHeight w:val="300"/>
        </w:trPr>
        <w:tc>
          <w:tcPr>
            <w:tcW w:w="668" w:type="dxa"/>
            <w:vAlign w:val="center"/>
            <w:hideMark/>
          </w:tcPr>
          <w:p w14:paraId="6549DCA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630</w:t>
            </w:r>
          </w:p>
        </w:tc>
        <w:tc>
          <w:tcPr>
            <w:tcW w:w="3835" w:type="dxa"/>
            <w:vAlign w:val="center"/>
            <w:hideMark/>
          </w:tcPr>
          <w:p w14:paraId="5DA1EB0C" w14:textId="77777777" w:rsidR="00EA38F6" w:rsidRPr="000864AE" w:rsidRDefault="00EA38F6" w:rsidP="000864AE">
            <w:pPr>
              <w:rPr>
                <w:rFonts w:ascii="Verdana" w:hAnsi="Verdana"/>
                <w:sz w:val="18"/>
                <w:szCs w:val="18"/>
              </w:rPr>
            </w:pPr>
            <w:r w:rsidRPr="000864AE">
              <w:rPr>
                <w:rFonts w:ascii="Verdana" w:hAnsi="Verdana"/>
                <w:sz w:val="18"/>
                <w:szCs w:val="18"/>
              </w:rPr>
              <w:t>Urquizo Méndez Miguel Leoncio</w:t>
            </w:r>
          </w:p>
        </w:tc>
      </w:tr>
      <w:tr w:rsidR="00EA38F6" w:rsidRPr="000864AE" w14:paraId="2B422587" w14:textId="77777777" w:rsidTr="00AC0C51">
        <w:trPr>
          <w:trHeight w:val="300"/>
        </w:trPr>
        <w:tc>
          <w:tcPr>
            <w:tcW w:w="668" w:type="dxa"/>
            <w:vAlign w:val="center"/>
            <w:hideMark/>
          </w:tcPr>
          <w:p w14:paraId="00FE77F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631</w:t>
            </w:r>
          </w:p>
        </w:tc>
        <w:tc>
          <w:tcPr>
            <w:tcW w:w="3835" w:type="dxa"/>
            <w:vAlign w:val="center"/>
            <w:hideMark/>
          </w:tcPr>
          <w:p w14:paraId="3D4C1804" w14:textId="77777777" w:rsidR="00EA38F6" w:rsidRPr="000864AE" w:rsidRDefault="00EA38F6" w:rsidP="000864AE">
            <w:pPr>
              <w:rPr>
                <w:rFonts w:ascii="Verdana" w:hAnsi="Verdana"/>
                <w:sz w:val="18"/>
                <w:szCs w:val="18"/>
              </w:rPr>
            </w:pPr>
            <w:r w:rsidRPr="000864AE">
              <w:rPr>
                <w:rFonts w:ascii="Verdana" w:hAnsi="Verdana"/>
                <w:sz w:val="18"/>
                <w:szCs w:val="18"/>
              </w:rPr>
              <w:t>Vaccaro Quiñónez Jorge</w:t>
            </w:r>
          </w:p>
        </w:tc>
      </w:tr>
      <w:tr w:rsidR="00EA38F6" w:rsidRPr="000864AE" w14:paraId="7D3CD5B8" w14:textId="77777777" w:rsidTr="00AC0C51">
        <w:trPr>
          <w:trHeight w:val="300"/>
        </w:trPr>
        <w:tc>
          <w:tcPr>
            <w:tcW w:w="668" w:type="dxa"/>
            <w:vAlign w:val="center"/>
            <w:hideMark/>
          </w:tcPr>
          <w:p w14:paraId="23A6635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632</w:t>
            </w:r>
          </w:p>
        </w:tc>
        <w:tc>
          <w:tcPr>
            <w:tcW w:w="3835" w:type="dxa"/>
            <w:vAlign w:val="center"/>
            <w:hideMark/>
          </w:tcPr>
          <w:p w14:paraId="413DDC65" w14:textId="77777777" w:rsidR="00EA38F6" w:rsidRPr="000864AE" w:rsidRDefault="00EA38F6" w:rsidP="000864AE">
            <w:pPr>
              <w:rPr>
                <w:rFonts w:ascii="Verdana" w:hAnsi="Verdana"/>
                <w:sz w:val="18"/>
                <w:szCs w:val="18"/>
              </w:rPr>
            </w:pPr>
            <w:r w:rsidRPr="000864AE">
              <w:rPr>
                <w:rFonts w:ascii="Verdana" w:hAnsi="Verdana"/>
                <w:sz w:val="18"/>
                <w:szCs w:val="18"/>
              </w:rPr>
              <w:t>Valdez Cuellar María</w:t>
            </w:r>
          </w:p>
        </w:tc>
      </w:tr>
      <w:tr w:rsidR="00EA38F6" w:rsidRPr="000864AE" w14:paraId="2A50433C" w14:textId="77777777" w:rsidTr="00AC0C51">
        <w:trPr>
          <w:trHeight w:val="300"/>
        </w:trPr>
        <w:tc>
          <w:tcPr>
            <w:tcW w:w="668" w:type="dxa"/>
            <w:vAlign w:val="center"/>
            <w:hideMark/>
          </w:tcPr>
          <w:p w14:paraId="21DFFB8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633</w:t>
            </w:r>
          </w:p>
        </w:tc>
        <w:tc>
          <w:tcPr>
            <w:tcW w:w="3835" w:type="dxa"/>
            <w:vAlign w:val="center"/>
            <w:hideMark/>
          </w:tcPr>
          <w:p w14:paraId="28C1B52D" w14:textId="77777777" w:rsidR="00EA38F6" w:rsidRPr="000864AE" w:rsidRDefault="00EA38F6" w:rsidP="000864AE">
            <w:pPr>
              <w:rPr>
                <w:rFonts w:ascii="Verdana" w:hAnsi="Verdana"/>
                <w:sz w:val="18"/>
                <w:szCs w:val="18"/>
              </w:rPr>
            </w:pPr>
            <w:r w:rsidRPr="000864AE">
              <w:rPr>
                <w:rFonts w:ascii="Verdana" w:hAnsi="Verdana"/>
                <w:sz w:val="18"/>
                <w:szCs w:val="18"/>
              </w:rPr>
              <w:t>Valdivia Cáceres Rosa</w:t>
            </w:r>
          </w:p>
        </w:tc>
      </w:tr>
      <w:tr w:rsidR="00EA38F6" w:rsidRPr="000864AE" w14:paraId="6BA4AE20" w14:textId="77777777" w:rsidTr="00AC0C51">
        <w:trPr>
          <w:trHeight w:val="300"/>
        </w:trPr>
        <w:tc>
          <w:tcPr>
            <w:tcW w:w="668" w:type="dxa"/>
            <w:vAlign w:val="center"/>
            <w:hideMark/>
          </w:tcPr>
          <w:p w14:paraId="64301E0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634</w:t>
            </w:r>
          </w:p>
        </w:tc>
        <w:tc>
          <w:tcPr>
            <w:tcW w:w="3835" w:type="dxa"/>
            <w:vAlign w:val="center"/>
            <w:hideMark/>
          </w:tcPr>
          <w:p w14:paraId="24FBD199" w14:textId="77777777" w:rsidR="00EA38F6" w:rsidRPr="000864AE" w:rsidRDefault="00EA38F6" w:rsidP="000864AE">
            <w:pPr>
              <w:rPr>
                <w:rFonts w:ascii="Verdana" w:hAnsi="Verdana"/>
                <w:sz w:val="18"/>
                <w:szCs w:val="18"/>
              </w:rPr>
            </w:pPr>
            <w:r w:rsidRPr="000864AE">
              <w:rPr>
                <w:rFonts w:ascii="Verdana" w:hAnsi="Verdana"/>
                <w:sz w:val="18"/>
                <w:szCs w:val="18"/>
              </w:rPr>
              <w:t>Valdivia Ruiz Eduardo</w:t>
            </w:r>
          </w:p>
        </w:tc>
      </w:tr>
      <w:tr w:rsidR="00EA38F6" w:rsidRPr="000864AE" w14:paraId="4D58906B" w14:textId="77777777" w:rsidTr="00AC0C51">
        <w:trPr>
          <w:trHeight w:val="300"/>
        </w:trPr>
        <w:tc>
          <w:tcPr>
            <w:tcW w:w="668" w:type="dxa"/>
            <w:vAlign w:val="center"/>
            <w:hideMark/>
          </w:tcPr>
          <w:p w14:paraId="27B8EFC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635</w:t>
            </w:r>
          </w:p>
        </w:tc>
        <w:tc>
          <w:tcPr>
            <w:tcW w:w="3835" w:type="dxa"/>
            <w:vAlign w:val="center"/>
            <w:hideMark/>
          </w:tcPr>
          <w:p w14:paraId="7CD33300" w14:textId="77777777" w:rsidR="00EA38F6" w:rsidRPr="000864AE" w:rsidRDefault="00EA38F6" w:rsidP="000864AE">
            <w:pPr>
              <w:rPr>
                <w:rFonts w:ascii="Verdana" w:hAnsi="Verdana"/>
                <w:sz w:val="18"/>
                <w:szCs w:val="18"/>
              </w:rPr>
            </w:pPr>
            <w:r w:rsidRPr="000864AE">
              <w:rPr>
                <w:rFonts w:ascii="Verdana" w:hAnsi="Verdana"/>
                <w:sz w:val="18"/>
                <w:szCs w:val="18"/>
              </w:rPr>
              <w:t>Valdivia Velásquez Saturnino Braulio</w:t>
            </w:r>
          </w:p>
        </w:tc>
      </w:tr>
      <w:tr w:rsidR="00EA38F6" w:rsidRPr="000864AE" w14:paraId="549BDC56" w14:textId="77777777" w:rsidTr="00AC0C51">
        <w:trPr>
          <w:trHeight w:val="300"/>
        </w:trPr>
        <w:tc>
          <w:tcPr>
            <w:tcW w:w="668" w:type="dxa"/>
            <w:vAlign w:val="center"/>
            <w:hideMark/>
          </w:tcPr>
          <w:p w14:paraId="59A937C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636</w:t>
            </w:r>
          </w:p>
        </w:tc>
        <w:tc>
          <w:tcPr>
            <w:tcW w:w="3835" w:type="dxa"/>
            <w:vAlign w:val="center"/>
            <w:hideMark/>
          </w:tcPr>
          <w:p w14:paraId="4BCEB8FF" w14:textId="77777777" w:rsidR="00EA38F6" w:rsidRPr="000864AE" w:rsidRDefault="00EA38F6" w:rsidP="000864AE">
            <w:pPr>
              <w:rPr>
                <w:rFonts w:ascii="Verdana" w:hAnsi="Verdana"/>
                <w:sz w:val="18"/>
                <w:szCs w:val="18"/>
              </w:rPr>
            </w:pPr>
            <w:r w:rsidRPr="000864AE">
              <w:rPr>
                <w:rFonts w:ascii="Verdana" w:hAnsi="Verdana"/>
                <w:sz w:val="18"/>
                <w:szCs w:val="18"/>
              </w:rPr>
              <w:t>Valenzuela Huamán Santos pablo</w:t>
            </w:r>
          </w:p>
        </w:tc>
      </w:tr>
      <w:tr w:rsidR="00EA38F6" w:rsidRPr="000864AE" w14:paraId="091B5537" w14:textId="77777777" w:rsidTr="00AC0C51">
        <w:trPr>
          <w:trHeight w:val="300"/>
        </w:trPr>
        <w:tc>
          <w:tcPr>
            <w:tcW w:w="668" w:type="dxa"/>
            <w:vAlign w:val="center"/>
            <w:hideMark/>
          </w:tcPr>
          <w:p w14:paraId="7A60B6F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637</w:t>
            </w:r>
          </w:p>
        </w:tc>
        <w:tc>
          <w:tcPr>
            <w:tcW w:w="3835" w:type="dxa"/>
            <w:vAlign w:val="center"/>
            <w:hideMark/>
          </w:tcPr>
          <w:p w14:paraId="6B572460" w14:textId="77777777" w:rsidR="00EA38F6" w:rsidRPr="000864AE" w:rsidRDefault="00EA38F6" w:rsidP="000864AE">
            <w:pPr>
              <w:rPr>
                <w:rFonts w:ascii="Verdana" w:hAnsi="Verdana"/>
                <w:sz w:val="18"/>
                <w:szCs w:val="18"/>
              </w:rPr>
            </w:pPr>
            <w:r w:rsidRPr="000864AE">
              <w:rPr>
                <w:rFonts w:ascii="Verdana" w:hAnsi="Verdana"/>
                <w:sz w:val="18"/>
                <w:szCs w:val="18"/>
              </w:rPr>
              <w:t>Valerio Aguirre Inocenta Teofila</w:t>
            </w:r>
          </w:p>
        </w:tc>
      </w:tr>
      <w:tr w:rsidR="00EA38F6" w:rsidRPr="000864AE" w14:paraId="29C2FD62" w14:textId="77777777" w:rsidTr="00AC0C51">
        <w:trPr>
          <w:trHeight w:val="300"/>
        </w:trPr>
        <w:tc>
          <w:tcPr>
            <w:tcW w:w="668" w:type="dxa"/>
            <w:vAlign w:val="center"/>
            <w:hideMark/>
          </w:tcPr>
          <w:p w14:paraId="78A0C67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638</w:t>
            </w:r>
          </w:p>
        </w:tc>
        <w:tc>
          <w:tcPr>
            <w:tcW w:w="3835" w:type="dxa"/>
            <w:vAlign w:val="center"/>
            <w:hideMark/>
          </w:tcPr>
          <w:p w14:paraId="4AEAB8DE" w14:textId="77777777" w:rsidR="00EA38F6" w:rsidRPr="000864AE" w:rsidRDefault="00EA38F6" w:rsidP="000864AE">
            <w:pPr>
              <w:rPr>
                <w:rFonts w:ascii="Verdana" w:hAnsi="Verdana"/>
                <w:sz w:val="18"/>
                <w:szCs w:val="18"/>
              </w:rPr>
            </w:pPr>
            <w:r w:rsidRPr="000864AE">
              <w:rPr>
                <w:rFonts w:ascii="Verdana" w:hAnsi="Verdana"/>
                <w:sz w:val="18"/>
                <w:szCs w:val="18"/>
              </w:rPr>
              <w:t>Valverde Dancourt Juan Manuel</w:t>
            </w:r>
          </w:p>
        </w:tc>
      </w:tr>
      <w:tr w:rsidR="00EA38F6" w:rsidRPr="000864AE" w14:paraId="2C0186B3" w14:textId="77777777" w:rsidTr="00AC0C51">
        <w:trPr>
          <w:trHeight w:val="300"/>
        </w:trPr>
        <w:tc>
          <w:tcPr>
            <w:tcW w:w="668" w:type="dxa"/>
            <w:vAlign w:val="center"/>
            <w:hideMark/>
          </w:tcPr>
          <w:p w14:paraId="387F5F2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639</w:t>
            </w:r>
          </w:p>
        </w:tc>
        <w:tc>
          <w:tcPr>
            <w:tcW w:w="3835" w:type="dxa"/>
            <w:vAlign w:val="center"/>
            <w:hideMark/>
          </w:tcPr>
          <w:p w14:paraId="09736BF7" w14:textId="77777777" w:rsidR="00EA38F6" w:rsidRPr="000864AE" w:rsidRDefault="00EA38F6" w:rsidP="000864AE">
            <w:pPr>
              <w:rPr>
                <w:rFonts w:ascii="Verdana" w:hAnsi="Verdana"/>
                <w:sz w:val="18"/>
                <w:szCs w:val="18"/>
              </w:rPr>
            </w:pPr>
            <w:r w:rsidRPr="000864AE">
              <w:rPr>
                <w:rFonts w:ascii="Verdana" w:hAnsi="Verdana"/>
                <w:sz w:val="18"/>
                <w:szCs w:val="18"/>
              </w:rPr>
              <w:t>Valverde Proaño Zoila Rosa</w:t>
            </w:r>
          </w:p>
        </w:tc>
      </w:tr>
      <w:tr w:rsidR="00EA38F6" w:rsidRPr="000864AE" w14:paraId="0E88B8AA" w14:textId="77777777" w:rsidTr="00AC0C51">
        <w:trPr>
          <w:trHeight w:val="300"/>
        </w:trPr>
        <w:tc>
          <w:tcPr>
            <w:tcW w:w="668" w:type="dxa"/>
            <w:vAlign w:val="center"/>
            <w:hideMark/>
          </w:tcPr>
          <w:p w14:paraId="51993BB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640</w:t>
            </w:r>
          </w:p>
        </w:tc>
        <w:tc>
          <w:tcPr>
            <w:tcW w:w="3835" w:type="dxa"/>
            <w:vAlign w:val="center"/>
            <w:hideMark/>
          </w:tcPr>
          <w:p w14:paraId="7E93FE1E" w14:textId="77777777" w:rsidR="00EA38F6" w:rsidRPr="000864AE" w:rsidRDefault="00EA38F6" w:rsidP="000864AE">
            <w:pPr>
              <w:rPr>
                <w:rFonts w:ascii="Verdana" w:hAnsi="Verdana"/>
                <w:sz w:val="18"/>
                <w:szCs w:val="18"/>
              </w:rPr>
            </w:pPr>
            <w:r w:rsidRPr="000864AE">
              <w:rPr>
                <w:rFonts w:ascii="Verdana" w:hAnsi="Verdana"/>
                <w:sz w:val="18"/>
                <w:szCs w:val="18"/>
              </w:rPr>
              <w:t>Varela Alzamora María Asunción</w:t>
            </w:r>
          </w:p>
        </w:tc>
      </w:tr>
      <w:tr w:rsidR="00EA38F6" w:rsidRPr="000864AE" w14:paraId="700DCD56" w14:textId="77777777" w:rsidTr="00AC0C51">
        <w:trPr>
          <w:trHeight w:val="300"/>
        </w:trPr>
        <w:tc>
          <w:tcPr>
            <w:tcW w:w="668" w:type="dxa"/>
            <w:vAlign w:val="center"/>
            <w:hideMark/>
          </w:tcPr>
          <w:p w14:paraId="2E211DA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641</w:t>
            </w:r>
          </w:p>
        </w:tc>
        <w:tc>
          <w:tcPr>
            <w:tcW w:w="3835" w:type="dxa"/>
            <w:vAlign w:val="center"/>
            <w:hideMark/>
          </w:tcPr>
          <w:p w14:paraId="477BB64F" w14:textId="77777777" w:rsidR="00EA38F6" w:rsidRPr="000864AE" w:rsidRDefault="00EA38F6" w:rsidP="000864AE">
            <w:pPr>
              <w:rPr>
                <w:rFonts w:ascii="Verdana" w:hAnsi="Verdana"/>
                <w:sz w:val="18"/>
                <w:szCs w:val="18"/>
              </w:rPr>
            </w:pPr>
            <w:r w:rsidRPr="000864AE">
              <w:rPr>
                <w:rFonts w:ascii="Verdana" w:hAnsi="Verdana"/>
                <w:sz w:val="18"/>
                <w:szCs w:val="18"/>
              </w:rPr>
              <w:t>Vargas Cusi Justo Pastor</w:t>
            </w:r>
          </w:p>
        </w:tc>
      </w:tr>
      <w:tr w:rsidR="00EA38F6" w:rsidRPr="000864AE" w14:paraId="4ECCD0CB" w14:textId="77777777" w:rsidTr="00AC0C51">
        <w:trPr>
          <w:trHeight w:val="300"/>
        </w:trPr>
        <w:tc>
          <w:tcPr>
            <w:tcW w:w="668" w:type="dxa"/>
            <w:vAlign w:val="center"/>
            <w:hideMark/>
          </w:tcPr>
          <w:p w14:paraId="5C8B57D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642</w:t>
            </w:r>
          </w:p>
        </w:tc>
        <w:tc>
          <w:tcPr>
            <w:tcW w:w="3835" w:type="dxa"/>
            <w:vAlign w:val="center"/>
            <w:hideMark/>
          </w:tcPr>
          <w:p w14:paraId="68B6FB1F" w14:textId="77777777" w:rsidR="00EA38F6" w:rsidRPr="000864AE" w:rsidRDefault="00EA38F6" w:rsidP="000864AE">
            <w:pPr>
              <w:rPr>
                <w:rFonts w:ascii="Verdana" w:hAnsi="Verdana"/>
                <w:sz w:val="18"/>
                <w:szCs w:val="18"/>
              </w:rPr>
            </w:pPr>
            <w:r w:rsidRPr="000864AE">
              <w:rPr>
                <w:rFonts w:ascii="Verdana" w:hAnsi="Verdana"/>
                <w:sz w:val="18"/>
                <w:szCs w:val="18"/>
              </w:rPr>
              <w:t>Vargas Guillén Manuel</w:t>
            </w:r>
          </w:p>
        </w:tc>
      </w:tr>
      <w:tr w:rsidR="00EA38F6" w:rsidRPr="000864AE" w14:paraId="76A3FFFC" w14:textId="77777777" w:rsidTr="00AC0C51">
        <w:trPr>
          <w:trHeight w:val="300"/>
        </w:trPr>
        <w:tc>
          <w:tcPr>
            <w:tcW w:w="668" w:type="dxa"/>
            <w:vAlign w:val="center"/>
            <w:hideMark/>
          </w:tcPr>
          <w:p w14:paraId="2272D13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643</w:t>
            </w:r>
          </w:p>
        </w:tc>
        <w:tc>
          <w:tcPr>
            <w:tcW w:w="3835" w:type="dxa"/>
            <w:vAlign w:val="center"/>
            <w:hideMark/>
          </w:tcPr>
          <w:p w14:paraId="29D1F4AB" w14:textId="77777777" w:rsidR="00EA38F6" w:rsidRPr="000864AE" w:rsidRDefault="00EA38F6" w:rsidP="000864AE">
            <w:pPr>
              <w:rPr>
                <w:rFonts w:ascii="Verdana" w:hAnsi="Verdana"/>
                <w:sz w:val="18"/>
                <w:szCs w:val="18"/>
              </w:rPr>
            </w:pPr>
            <w:r w:rsidRPr="000864AE">
              <w:rPr>
                <w:rFonts w:ascii="Verdana" w:hAnsi="Verdana"/>
                <w:sz w:val="18"/>
                <w:szCs w:val="18"/>
              </w:rPr>
              <w:t>Vargas Soriano Napoleón</w:t>
            </w:r>
          </w:p>
        </w:tc>
      </w:tr>
      <w:tr w:rsidR="00EA38F6" w:rsidRPr="000864AE" w14:paraId="71547009" w14:textId="77777777" w:rsidTr="00AC0C51">
        <w:trPr>
          <w:trHeight w:val="300"/>
        </w:trPr>
        <w:tc>
          <w:tcPr>
            <w:tcW w:w="668" w:type="dxa"/>
            <w:vAlign w:val="center"/>
            <w:hideMark/>
          </w:tcPr>
          <w:p w14:paraId="0CA06BC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644</w:t>
            </w:r>
          </w:p>
        </w:tc>
        <w:tc>
          <w:tcPr>
            <w:tcW w:w="3835" w:type="dxa"/>
            <w:vAlign w:val="center"/>
            <w:hideMark/>
          </w:tcPr>
          <w:p w14:paraId="01533CE9" w14:textId="77777777" w:rsidR="00EA38F6" w:rsidRPr="000864AE" w:rsidRDefault="00EA38F6" w:rsidP="000864AE">
            <w:pPr>
              <w:rPr>
                <w:rFonts w:ascii="Verdana" w:hAnsi="Verdana"/>
                <w:sz w:val="18"/>
                <w:szCs w:val="18"/>
              </w:rPr>
            </w:pPr>
            <w:r w:rsidRPr="000864AE">
              <w:rPr>
                <w:rFonts w:ascii="Verdana" w:hAnsi="Verdana"/>
                <w:sz w:val="18"/>
                <w:szCs w:val="18"/>
              </w:rPr>
              <w:t>Vargas Utrilla Eustaquio</w:t>
            </w:r>
          </w:p>
        </w:tc>
      </w:tr>
      <w:tr w:rsidR="00EA38F6" w:rsidRPr="000864AE" w14:paraId="7192D22D" w14:textId="77777777" w:rsidTr="00AC0C51">
        <w:trPr>
          <w:trHeight w:val="300"/>
        </w:trPr>
        <w:tc>
          <w:tcPr>
            <w:tcW w:w="668" w:type="dxa"/>
            <w:vAlign w:val="center"/>
            <w:hideMark/>
          </w:tcPr>
          <w:p w14:paraId="4F5B0EB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645</w:t>
            </w:r>
          </w:p>
        </w:tc>
        <w:tc>
          <w:tcPr>
            <w:tcW w:w="3835" w:type="dxa"/>
            <w:vAlign w:val="center"/>
            <w:hideMark/>
          </w:tcPr>
          <w:p w14:paraId="73507B30" w14:textId="77777777" w:rsidR="00EA38F6" w:rsidRPr="000864AE" w:rsidRDefault="00EA38F6" w:rsidP="000864AE">
            <w:pPr>
              <w:rPr>
                <w:rFonts w:ascii="Verdana" w:hAnsi="Verdana"/>
                <w:sz w:val="18"/>
                <w:szCs w:val="18"/>
              </w:rPr>
            </w:pPr>
            <w:r w:rsidRPr="000864AE">
              <w:rPr>
                <w:rFonts w:ascii="Verdana" w:hAnsi="Verdana"/>
                <w:sz w:val="18"/>
                <w:szCs w:val="18"/>
              </w:rPr>
              <w:t>Varias Hurtado Eleazar Antonio</w:t>
            </w:r>
          </w:p>
        </w:tc>
      </w:tr>
      <w:tr w:rsidR="00EA38F6" w:rsidRPr="000864AE" w14:paraId="04BEFB53" w14:textId="77777777" w:rsidTr="00AC0C51">
        <w:trPr>
          <w:trHeight w:val="300"/>
        </w:trPr>
        <w:tc>
          <w:tcPr>
            <w:tcW w:w="668" w:type="dxa"/>
            <w:vAlign w:val="center"/>
            <w:hideMark/>
          </w:tcPr>
          <w:p w14:paraId="2895FE5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646</w:t>
            </w:r>
          </w:p>
        </w:tc>
        <w:tc>
          <w:tcPr>
            <w:tcW w:w="3835" w:type="dxa"/>
            <w:vAlign w:val="center"/>
            <w:hideMark/>
          </w:tcPr>
          <w:p w14:paraId="1D4BEC8F" w14:textId="77777777" w:rsidR="00EA38F6" w:rsidRPr="000864AE" w:rsidRDefault="00EA38F6" w:rsidP="000864AE">
            <w:pPr>
              <w:rPr>
                <w:rFonts w:ascii="Verdana" w:hAnsi="Verdana"/>
                <w:sz w:val="18"/>
                <w:szCs w:val="18"/>
              </w:rPr>
            </w:pPr>
            <w:r w:rsidRPr="000864AE">
              <w:rPr>
                <w:rFonts w:ascii="Verdana" w:hAnsi="Verdana"/>
                <w:sz w:val="18"/>
                <w:szCs w:val="18"/>
              </w:rPr>
              <w:t>Vásquez Euribe Isabel</w:t>
            </w:r>
          </w:p>
        </w:tc>
      </w:tr>
      <w:tr w:rsidR="00EA38F6" w:rsidRPr="000864AE" w14:paraId="4BACB7A2" w14:textId="77777777" w:rsidTr="00AC0C51">
        <w:trPr>
          <w:trHeight w:val="300"/>
        </w:trPr>
        <w:tc>
          <w:tcPr>
            <w:tcW w:w="668" w:type="dxa"/>
            <w:vAlign w:val="center"/>
            <w:hideMark/>
          </w:tcPr>
          <w:p w14:paraId="2DBC5CA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647</w:t>
            </w:r>
          </w:p>
        </w:tc>
        <w:tc>
          <w:tcPr>
            <w:tcW w:w="3835" w:type="dxa"/>
            <w:vAlign w:val="center"/>
            <w:hideMark/>
          </w:tcPr>
          <w:p w14:paraId="2E3BEAD5" w14:textId="77777777" w:rsidR="00EA38F6" w:rsidRPr="000864AE" w:rsidRDefault="00EA38F6" w:rsidP="000864AE">
            <w:pPr>
              <w:rPr>
                <w:rFonts w:ascii="Verdana" w:hAnsi="Verdana"/>
                <w:sz w:val="18"/>
                <w:szCs w:val="18"/>
              </w:rPr>
            </w:pPr>
            <w:r w:rsidRPr="000864AE">
              <w:rPr>
                <w:rFonts w:ascii="Verdana" w:hAnsi="Verdana"/>
                <w:sz w:val="18"/>
                <w:szCs w:val="18"/>
              </w:rPr>
              <w:t>Vásquez Giraldo Carlomagno</w:t>
            </w:r>
          </w:p>
        </w:tc>
      </w:tr>
      <w:tr w:rsidR="00EA38F6" w:rsidRPr="000864AE" w14:paraId="7157B584" w14:textId="77777777" w:rsidTr="00AC0C51">
        <w:trPr>
          <w:trHeight w:val="300"/>
        </w:trPr>
        <w:tc>
          <w:tcPr>
            <w:tcW w:w="668" w:type="dxa"/>
            <w:vAlign w:val="center"/>
            <w:hideMark/>
          </w:tcPr>
          <w:p w14:paraId="3C0D9BE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648</w:t>
            </w:r>
          </w:p>
        </w:tc>
        <w:tc>
          <w:tcPr>
            <w:tcW w:w="3835" w:type="dxa"/>
            <w:vAlign w:val="center"/>
            <w:hideMark/>
          </w:tcPr>
          <w:p w14:paraId="71234695" w14:textId="77777777" w:rsidR="00EA38F6" w:rsidRPr="000864AE" w:rsidRDefault="00EA38F6" w:rsidP="000864AE">
            <w:pPr>
              <w:rPr>
                <w:rFonts w:ascii="Verdana" w:hAnsi="Verdana"/>
                <w:sz w:val="18"/>
                <w:szCs w:val="18"/>
              </w:rPr>
            </w:pPr>
            <w:r w:rsidRPr="000864AE">
              <w:rPr>
                <w:rFonts w:ascii="Verdana" w:hAnsi="Verdana"/>
                <w:sz w:val="18"/>
                <w:szCs w:val="18"/>
              </w:rPr>
              <w:t>Vásquez Rivera José Leonidas</w:t>
            </w:r>
          </w:p>
        </w:tc>
      </w:tr>
      <w:tr w:rsidR="00EA38F6" w:rsidRPr="000864AE" w14:paraId="10CEBC76" w14:textId="77777777" w:rsidTr="00AC0C51">
        <w:trPr>
          <w:trHeight w:val="300"/>
        </w:trPr>
        <w:tc>
          <w:tcPr>
            <w:tcW w:w="668" w:type="dxa"/>
            <w:vAlign w:val="center"/>
            <w:hideMark/>
          </w:tcPr>
          <w:p w14:paraId="4CDB7E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649</w:t>
            </w:r>
          </w:p>
        </w:tc>
        <w:tc>
          <w:tcPr>
            <w:tcW w:w="3835" w:type="dxa"/>
            <w:vAlign w:val="center"/>
            <w:hideMark/>
          </w:tcPr>
          <w:p w14:paraId="1B972763" w14:textId="77777777" w:rsidR="00EA38F6" w:rsidRPr="000864AE" w:rsidRDefault="00EA38F6" w:rsidP="000864AE">
            <w:pPr>
              <w:rPr>
                <w:rFonts w:ascii="Verdana" w:hAnsi="Verdana"/>
                <w:sz w:val="18"/>
                <w:szCs w:val="18"/>
              </w:rPr>
            </w:pPr>
            <w:r w:rsidRPr="000864AE">
              <w:rPr>
                <w:rFonts w:ascii="Verdana" w:hAnsi="Verdana"/>
                <w:sz w:val="18"/>
                <w:szCs w:val="18"/>
              </w:rPr>
              <w:t>Vásquez Vásquez Wilber Gonzalo</w:t>
            </w:r>
          </w:p>
        </w:tc>
      </w:tr>
      <w:tr w:rsidR="00EA38F6" w:rsidRPr="000864AE" w14:paraId="0D378F82" w14:textId="77777777" w:rsidTr="00AC0C51">
        <w:trPr>
          <w:trHeight w:val="300"/>
        </w:trPr>
        <w:tc>
          <w:tcPr>
            <w:tcW w:w="668" w:type="dxa"/>
            <w:vAlign w:val="center"/>
            <w:hideMark/>
          </w:tcPr>
          <w:p w14:paraId="6620B6E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650</w:t>
            </w:r>
          </w:p>
        </w:tc>
        <w:tc>
          <w:tcPr>
            <w:tcW w:w="3835" w:type="dxa"/>
            <w:vAlign w:val="center"/>
            <w:hideMark/>
          </w:tcPr>
          <w:p w14:paraId="1014E8E7" w14:textId="77777777" w:rsidR="00EA38F6" w:rsidRPr="000864AE" w:rsidRDefault="00EA38F6" w:rsidP="000864AE">
            <w:pPr>
              <w:rPr>
                <w:rFonts w:ascii="Verdana" w:hAnsi="Verdana"/>
                <w:sz w:val="18"/>
                <w:szCs w:val="18"/>
              </w:rPr>
            </w:pPr>
            <w:r w:rsidRPr="000864AE">
              <w:rPr>
                <w:rFonts w:ascii="Verdana" w:hAnsi="Verdana"/>
                <w:sz w:val="18"/>
                <w:szCs w:val="18"/>
              </w:rPr>
              <w:t>Velarde Ortiz Héctor Raúl</w:t>
            </w:r>
          </w:p>
        </w:tc>
      </w:tr>
      <w:tr w:rsidR="00EA38F6" w:rsidRPr="000864AE" w14:paraId="7EFFC7CE" w14:textId="77777777" w:rsidTr="00AC0C51">
        <w:trPr>
          <w:trHeight w:val="300"/>
        </w:trPr>
        <w:tc>
          <w:tcPr>
            <w:tcW w:w="668" w:type="dxa"/>
            <w:vAlign w:val="center"/>
            <w:hideMark/>
          </w:tcPr>
          <w:p w14:paraId="27891A7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651</w:t>
            </w:r>
          </w:p>
        </w:tc>
        <w:tc>
          <w:tcPr>
            <w:tcW w:w="3835" w:type="dxa"/>
            <w:vAlign w:val="center"/>
            <w:hideMark/>
          </w:tcPr>
          <w:p w14:paraId="51C7F49B" w14:textId="77777777" w:rsidR="00EA38F6" w:rsidRPr="000864AE" w:rsidRDefault="00EA38F6" w:rsidP="000864AE">
            <w:pPr>
              <w:rPr>
                <w:rFonts w:ascii="Verdana" w:hAnsi="Verdana"/>
                <w:sz w:val="18"/>
                <w:szCs w:val="18"/>
              </w:rPr>
            </w:pPr>
            <w:r w:rsidRPr="000864AE">
              <w:rPr>
                <w:rFonts w:ascii="Verdana" w:hAnsi="Verdana"/>
                <w:sz w:val="18"/>
                <w:szCs w:val="18"/>
              </w:rPr>
              <w:t>Velarde Ruesta Conrado Francisco</w:t>
            </w:r>
          </w:p>
        </w:tc>
      </w:tr>
      <w:tr w:rsidR="00EA38F6" w:rsidRPr="000864AE" w14:paraId="59ABDE97" w14:textId="77777777" w:rsidTr="00AC0C51">
        <w:trPr>
          <w:trHeight w:val="300"/>
        </w:trPr>
        <w:tc>
          <w:tcPr>
            <w:tcW w:w="668" w:type="dxa"/>
            <w:vAlign w:val="center"/>
            <w:hideMark/>
          </w:tcPr>
          <w:p w14:paraId="35A1207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652</w:t>
            </w:r>
          </w:p>
        </w:tc>
        <w:tc>
          <w:tcPr>
            <w:tcW w:w="3835" w:type="dxa"/>
            <w:vAlign w:val="center"/>
            <w:hideMark/>
          </w:tcPr>
          <w:p w14:paraId="0166A3F0" w14:textId="77777777" w:rsidR="00EA38F6" w:rsidRPr="000864AE" w:rsidRDefault="00EA38F6" w:rsidP="000864AE">
            <w:pPr>
              <w:rPr>
                <w:rFonts w:ascii="Verdana" w:hAnsi="Verdana"/>
                <w:sz w:val="18"/>
                <w:szCs w:val="18"/>
              </w:rPr>
            </w:pPr>
            <w:r w:rsidRPr="000864AE">
              <w:rPr>
                <w:rFonts w:ascii="Verdana" w:hAnsi="Verdana"/>
                <w:sz w:val="18"/>
                <w:szCs w:val="18"/>
              </w:rPr>
              <w:t>Velásquez Quezada Pedro</w:t>
            </w:r>
          </w:p>
        </w:tc>
      </w:tr>
      <w:tr w:rsidR="00EA38F6" w:rsidRPr="000864AE" w14:paraId="507267D2" w14:textId="77777777" w:rsidTr="00AC0C51">
        <w:trPr>
          <w:trHeight w:val="300"/>
        </w:trPr>
        <w:tc>
          <w:tcPr>
            <w:tcW w:w="668" w:type="dxa"/>
            <w:vAlign w:val="center"/>
            <w:hideMark/>
          </w:tcPr>
          <w:p w14:paraId="31872DB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653</w:t>
            </w:r>
          </w:p>
        </w:tc>
        <w:tc>
          <w:tcPr>
            <w:tcW w:w="3835" w:type="dxa"/>
            <w:vAlign w:val="center"/>
            <w:hideMark/>
          </w:tcPr>
          <w:p w14:paraId="29F2534D" w14:textId="77777777" w:rsidR="00EA38F6" w:rsidRPr="000864AE" w:rsidRDefault="00EA38F6" w:rsidP="000864AE">
            <w:pPr>
              <w:rPr>
                <w:rFonts w:ascii="Verdana" w:hAnsi="Verdana"/>
                <w:sz w:val="18"/>
                <w:szCs w:val="18"/>
              </w:rPr>
            </w:pPr>
            <w:r w:rsidRPr="000864AE">
              <w:rPr>
                <w:rFonts w:ascii="Verdana" w:hAnsi="Verdana"/>
                <w:sz w:val="18"/>
                <w:szCs w:val="18"/>
              </w:rPr>
              <w:t>Velita Palacios Antonio Gamaniel</w:t>
            </w:r>
          </w:p>
        </w:tc>
      </w:tr>
      <w:tr w:rsidR="00EA38F6" w:rsidRPr="000864AE" w14:paraId="0A1622F9" w14:textId="77777777" w:rsidTr="00AC0C51">
        <w:trPr>
          <w:trHeight w:val="300"/>
        </w:trPr>
        <w:tc>
          <w:tcPr>
            <w:tcW w:w="668" w:type="dxa"/>
            <w:vAlign w:val="center"/>
            <w:hideMark/>
          </w:tcPr>
          <w:p w14:paraId="5005BBA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654</w:t>
            </w:r>
          </w:p>
        </w:tc>
        <w:tc>
          <w:tcPr>
            <w:tcW w:w="3835" w:type="dxa"/>
            <w:vAlign w:val="center"/>
            <w:hideMark/>
          </w:tcPr>
          <w:p w14:paraId="06FBEF40" w14:textId="77777777" w:rsidR="00EA38F6" w:rsidRPr="000864AE" w:rsidRDefault="00EA38F6" w:rsidP="000864AE">
            <w:pPr>
              <w:rPr>
                <w:rFonts w:ascii="Verdana" w:hAnsi="Verdana"/>
                <w:sz w:val="18"/>
                <w:szCs w:val="18"/>
                <w:lang w:val="pt-BR"/>
              </w:rPr>
            </w:pPr>
            <w:r w:rsidRPr="000864AE">
              <w:rPr>
                <w:rFonts w:ascii="Verdana" w:hAnsi="Verdana"/>
                <w:sz w:val="18"/>
                <w:szCs w:val="18"/>
                <w:lang w:val="pt-BR"/>
              </w:rPr>
              <w:t>Venegas Sussoni Fernando José Elías</w:t>
            </w:r>
          </w:p>
        </w:tc>
      </w:tr>
      <w:tr w:rsidR="00EA38F6" w:rsidRPr="000864AE" w14:paraId="6F010E6D" w14:textId="77777777" w:rsidTr="00AC0C51">
        <w:trPr>
          <w:trHeight w:val="300"/>
        </w:trPr>
        <w:tc>
          <w:tcPr>
            <w:tcW w:w="668" w:type="dxa"/>
            <w:vAlign w:val="center"/>
            <w:hideMark/>
          </w:tcPr>
          <w:p w14:paraId="0E487131"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655</w:t>
            </w:r>
          </w:p>
        </w:tc>
        <w:tc>
          <w:tcPr>
            <w:tcW w:w="3835" w:type="dxa"/>
            <w:vAlign w:val="center"/>
            <w:hideMark/>
          </w:tcPr>
          <w:p w14:paraId="0C2B2A43" w14:textId="77777777" w:rsidR="00EA38F6" w:rsidRPr="000864AE" w:rsidRDefault="00EA38F6" w:rsidP="000864AE">
            <w:pPr>
              <w:rPr>
                <w:rFonts w:ascii="Verdana" w:hAnsi="Verdana"/>
                <w:sz w:val="18"/>
                <w:szCs w:val="18"/>
              </w:rPr>
            </w:pPr>
            <w:r w:rsidRPr="000864AE">
              <w:rPr>
                <w:rFonts w:ascii="Verdana" w:hAnsi="Verdana"/>
                <w:sz w:val="18"/>
                <w:szCs w:val="18"/>
              </w:rPr>
              <w:t>Ventocilla Ureta Rafael</w:t>
            </w:r>
          </w:p>
        </w:tc>
      </w:tr>
      <w:tr w:rsidR="00EA38F6" w:rsidRPr="000864AE" w14:paraId="71747A17" w14:textId="77777777" w:rsidTr="00AC0C51">
        <w:trPr>
          <w:trHeight w:val="300"/>
        </w:trPr>
        <w:tc>
          <w:tcPr>
            <w:tcW w:w="668" w:type="dxa"/>
            <w:vAlign w:val="center"/>
            <w:hideMark/>
          </w:tcPr>
          <w:p w14:paraId="16934D6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656</w:t>
            </w:r>
          </w:p>
        </w:tc>
        <w:tc>
          <w:tcPr>
            <w:tcW w:w="3835" w:type="dxa"/>
            <w:vAlign w:val="center"/>
            <w:hideMark/>
          </w:tcPr>
          <w:p w14:paraId="2C0C5DBA" w14:textId="77777777" w:rsidR="00EA38F6" w:rsidRPr="000864AE" w:rsidRDefault="00EA38F6" w:rsidP="000864AE">
            <w:pPr>
              <w:rPr>
                <w:rFonts w:ascii="Verdana" w:hAnsi="Verdana"/>
                <w:sz w:val="18"/>
                <w:szCs w:val="18"/>
              </w:rPr>
            </w:pPr>
            <w:r w:rsidRPr="000864AE">
              <w:rPr>
                <w:rFonts w:ascii="Verdana" w:hAnsi="Verdana"/>
                <w:sz w:val="18"/>
                <w:szCs w:val="18"/>
              </w:rPr>
              <w:t>Vera Rosas Jesús Eduardo</w:t>
            </w:r>
          </w:p>
        </w:tc>
      </w:tr>
      <w:tr w:rsidR="00EA38F6" w:rsidRPr="000864AE" w14:paraId="0DCCE905" w14:textId="77777777" w:rsidTr="00AC0C51">
        <w:trPr>
          <w:trHeight w:val="300"/>
        </w:trPr>
        <w:tc>
          <w:tcPr>
            <w:tcW w:w="668" w:type="dxa"/>
            <w:vAlign w:val="center"/>
            <w:hideMark/>
          </w:tcPr>
          <w:p w14:paraId="1C7CB62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657</w:t>
            </w:r>
          </w:p>
        </w:tc>
        <w:tc>
          <w:tcPr>
            <w:tcW w:w="3835" w:type="dxa"/>
            <w:vAlign w:val="center"/>
            <w:hideMark/>
          </w:tcPr>
          <w:p w14:paraId="77658C86" w14:textId="77777777" w:rsidR="00EA38F6" w:rsidRPr="000864AE" w:rsidRDefault="00EA38F6" w:rsidP="000864AE">
            <w:pPr>
              <w:rPr>
                <w:rFonts w:ascii="Verdana" w:hAnsi="Verdana"/>
                <w:sz w:val="18"/>
                <w:szCs w:val="18"/>
              </w:rPr>
            </w:pPr>
            <w:r w:rsidRPr="000864AE">
              <w:rPr>
                <w:rFonts w:ascii="Verdana" w:hAnsi="Verdana"/>
                <w:sz w:val="18"/>
                <w:szCs w:val="18"/>
              </w:rPr>
              <w:t>Vera Toro Juana Elvira</w:t>
            </w:r>
          </w:p>
        </w:tc>
      </w:tr>
      <w:tr w:rsidR="00EA38F6" w:rsidRPr="000864AE" w14:paraId="5BE46E81" w14:textId="77777777" w:rsidTr="00AC0C51">
        <w:trPr>
          <w:trHeight w:val="300"/>
        </w:trPr>
        <w:tc>
          <w:tcPr>
            <w:tcW w:w="668" w:type="dxa"/>
            <w:vAlign w:val="center"/>
            <w:hideMark/>
          </w:tcPr>
          <w:p w14:paraId="09140D8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658</w:t>
            </w:r>
          </w:p>
        </w:tc>
        <w:tc>
          <w:tcPr>
            <w:tcW w:w="3835" w:type="dxa"/>
            <w:vAlign w:val="center"/>
            <w:hideMark/>
          </w:tcPr>
          <w:p w14:paraId="6156D98A" w14:textId="77777777" w:rsidR="00EA38F6" w:rsidRPr="000864AE" w:rsidRDefault="00EA38F6" w:rsidP="000864AE">
            <w:pPr>
              <w:rPr>
                <w:rFonts w:ascii="Verdana" w:hAnsi="Verdana"/>
                <w:sz w:val="18"/>
                <w:szCs w:val="18"/>
              </w:rPr>
            </w:pPr>
            <w:r w:rsidRPr="000864AE">
              <w:rPr>
                <w:rFonts w:ascii="Verdana" w:hAnsi="Verdana"/>
                <w:sz w:val="18"/>
                <w:szCs w:val="18"/>
              </w:rPr>
              <w:t>Vera Valderrama Vignar Nerio</w:t>
            </w:r>
          </w:p>
        </w:tc>
      </w:tr>
      <w:tr w:rsidR="00EA38F6" w:rsidRPr="000864AE" w14:paraId="5B41E3E9" w14:textId="77777777" w:rsidTr="00AC0C51">
        <w:trPr>
          <w:trHeight w:val="300"/>
        </w:trPr>
        <w:tc>
          <w:tcPr>
            <w:tcW w:w="668" w:type="dxa"/>
            <w:vAlign w:val="center"/>
            <w:hideMark/>
          </w:tcPr>
          <w:p w14:paraId="65702FD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659</w:t>
            </w:r>
          </w:p>
        </w:tc>
        <w:tc>
          <w:tcPr>
            <w:tcW w:w="3835" w:type="dxa"/>
            <w:vAlign w:val="center"/>
            <w:hideMark/>
          </w:tcPr>
          <w:p w14:paraId="1BE92BCC" w14:textId="77777777" w:rsidR="00EA38F6" w:rsidRPr="000864AE" w:rsidRDefault="00EA38F6" w:rsidP="000864AE">
            <w:pPr>
              <w:rPr>
                <w:rFonts w:ascii="Verdana" w:hAnsi="Verdana"/>
                <w:sz w:val="18"/>
                <w:szCs w:val="18"/>
              </w:rPr>
            </w:pPr>
            <w:r w:rsidRPr="000864AE">
              <w:rPr>
                <w:rFonts w:ascii="Verdana" w:hAnsi="Verdana"/>
                <w:sz w:val="18"/>
                <w:szCs w:val="18"/>
              </w:rPr>
              <w:t>Verástegui Oscategui Robin</w:t>
            </w:r>
          </w:p>
        </w:tc>
      </w:tr>
      <w:tr w:rsidR="00EA38F6" w:rsidRPr="000864AE" w14:paraId="6AFF10B4" w14:textId="77777777" w:rsidTr="00AC0C51">
        <w:trPr>
          <w:trHeight w:val="300"/>
        </w:trPr>
        <w:tc>
          <w:tcPr>
            <w:tcW w:w="668" w:type="dxa"/>
            <w:vAlign w:val="center"/>
            <w:hideMark/>
          </w:tcPr>
          <w:p w14:paraId="09D14155"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660</w:t>
            </w:r>
          </w:p>
        </w:tc>
        <w:tc>
          <w:tcPr>
            <w:tcW w:w="3835" w:type="dxa"/>
            <w:vAlign w:val="center"/>
            <w:hideMark/>
          </w:tcPr>
          <w:p w14:paraId="3BC40BA2" w14:textId="77777777" w:rsidR="00EA38F6" w:rsidRPr="000864AE" w:rsidRDefault="00EA38F6" w:rsidP="000864AE">
            <w:pPr>
              <w:rPr>
                <w:rFonts w:ascii="Verdana" w:hAnsi="Verdana"/>
                <w:sz w:val="18"/>
                <w:szCs w:val="18"/>
              </w:rPr>
            </w:pPr>
            <w:r w:rsidRPr="000864AE">
              <w:rPr>
                <w:rFonts w:ascii="Verdana" w:hAnsi="Verdana"/>
                <w:sz w:val="18"/>
                <w:szCs w:val="18"/>
              </w:rPr>
              <w:t>Vicente Dulanto Maura Isabel</w:t>
            </w:r>
          </w:p>
        </w:tc>
      </w:tr>
      <w:tr w:rsidR="00EA38F6" w:rsidRPr="000864AE" w14:paraId="15353940" w14:textId="77777777" w:rsidTr="00AC0C51">
        <w:trPr>
          <w:trHeight w:val="300"/>
        </w:trPr>
        <w:tc>
          <w:tcPr>
            <w:tcW w:w="668" w:type="dxa"/>
            <w:vAlign w:val="center"/>
            <w:hideMark/>
          </w:tcPr>
          <w:p w14:paraId="5630B4D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661</w:t>
            </w:r>
          </w:p>
        </w:tc>
        <w:tc>
          <w:tcPr>
            <w:tcW w:w="3835" w:type="dxa"/>
            <w:vAlign w:val="center"/>
            <w:hideMark/>
          </w:tcPr>
          <w:p w14:paraId="259661DE" w14:textId="77777777" w:rsidR="00EA38F6" w:rsidRPr="000864AE" w:rsidRDefault="00EA38F6" w:rsidP="000864AE">
            <w:pPr>
              <w:rPr>
                <w:rFonts w:ascii="Verdana" w:hAnsi="Verdana"/>
                <w:sz w:val="18"/>
                <w:szCs w:val="18"/>
              </w:rPr>
            </w:pPr>
            <w:r w:rsidRPr="000864AE">
              <w:rPr>
                <w:rFonts w:ascii="Verdana" w:hAnsi="Verdana"/>
                <w:sz w:val="18"/>
                <w:szCs w:val="18"/>
              </w:rPr>
              <w:t>Vidaurre Guillermo Juan</w:t>
            </w:r>
          </w:p>
        </w:tc>
      </w:tr>
      <w:tr w:rsidR="00EA38F6" w:rsidRPr="000864AE" w14:paraId="507D8060" w14:textId="77777777" w:rsidTr="00AC0C51">
        <w:trPr>
          <w:trHeight w:val="300"/>
        </w:trPr>
        <w:tc>
          <w:tcPr>
            <w:tcW w:w="668" w:type="dxa"/>
            <w:vAlign w:val="center"/>
            <w:hideMark/>
          </w:tcPr>
          <w:p w14:paraId="35E1F72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662</w:t>
            </w:r>
          </w:p>
        </w:tc>
        <w:tc>
          <w:tcPr>
            <w:tcW w:w="3835" w:type="dxa"/>
            <w:vAlign w:val="center"/>
            <w:hideMark/>
          </w:tcPr>
          <w:p w14:paraId="38D4A2FC" w14:textId="77777777" w:rsidR="00EA38F6" w:rsidRPr="000864AE" w:rsidRDefault="00EA38F6" w:rsidP="000864AE">
            <w:pPr>
              <w:rPr>
                <w:rFonts w:ascii="Verdana" w:hAnsi="Verdana"/>
                <w:sz w:val="18"/>
                <w:szCs w:val="18"/>
              </w:rPr>
            </w:pPr>
            <w:r w:rsidRPr="000864AE">
              <w:rPr>
                <w:rFonts w:ascii="Verdana" w:hAnsi="Verdana"/>
                <w:sz w:val="18"/>
                <w:szCs w:val="18"/>
              </w:rPr>
              <w:t>Vidondo Cortez José</w:t>
            </w:r>
          </w:p>
        </w:tc>
      </w:tr>
      <w:tr w:rsidR="00EA38F6" w:rsidRPr="000864AE" w14:paraId="044480F2" w14:textId="77777777" w:rsidTr="00AC0C51">
        <w:trPr>
          <w:trHeight w:val="300"/>
        </w:trPr>
        <w:tc>
          <w:tcPr>
            <w:tcW w:w="668" w:type="dxa"/>
            <w:vAlign w:val="center"/>
            <w:hideMark/>
          </w:tcPr>
          <w:p w14:paraId="79B2D31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663</w:t>
            </w:r>
          </w:p>
        </w:tc>
        <w:tc>
          <w:tcPr>
            <w:tcW w:w="3835" w:type="dxa"/>
            <w:vAlign w:val="center"/>
            <w:hideMark/>
          </w:tcPr>
          <w:p w14:paraId="5C5A037C" w14:textId="77777777" w:rsidR="00EA38F6" w:rsidRPr="000864AE" w:rsidRDefault="00EA38F6" w:rsidP="000864AE">
            <w:pPr>
              <w:rPr>
                <w:rFonts w:ascii="Verdana" w:hAnsi="Verdana"/>
                <w:sz w:val="18"/>
                <w:szCs w:val="18"/>
              </w:rPr>
            </w:pPr>
            <w:r w:rsidRPr="000864AE">
              <w:rPr>
                <w:rFonts w:ascii="Verdana" w:hAnsi="Verdana"/>
                <w:sz w:val="18"/>
                <w:szCs w:val="18"/>
              </w:rPr>
              <w:t>Vigil Urdiales Rita María</w:t>
            </w:r>
          </w:p>
        </w:tc>
      </w:tr>
      <w:tr w:rsidR="00EA38F6" w:rsidRPr="000864AE" w14:paraId="188983A7" w14:textId="77777777" w:rsidTr="00AC0C51">
        <w:trPr>
          <w:trHeight w:val="300"/>
        </w:trPr>
        <w:tc>
          <w:tcPr>
            <w:tcW w:w="668" w:type="dxa"/>
            <w:vAlign w:val="center"/>
            <w:hideMark/>
          </w:tcPr>
          <w:p w14:paraId="53136FA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664</w:t>
            </w:r>
          </w:p>
        </w:tc>
        <w:tc>
          <w:tcPr>
            <w:tcW w:w="3835" w:type="dxa"/>
            <w:vAlign w:val="center"/>
            <w:hideMark/>
          </w:tcPr>
          <w:p w14:paraId="2BAFF652" w14:textId="77777777" w:rsidR="00EA38F6" w:rsidRPr="000864AE" w:rsidRDefault="00EA38F6" w:rsidP="000864AE">
            <w:pPr>
              <w:rPr>
                <w:rFonts w:ascii="Verdana" w:hAnsi="Verdana"/>
                <w:sz w:val="18"/>
                <w:szCs w:val="18"/>
              </w:rPr>
            </w:pPr>
            <w:r w:rsidRPr="000864AE">
              <w:rPr>
                <w:rFonts w:ascii="Verdana" w:hAnsi="Verdana"/>
                <w:sz w:val="18"/>
                <w:szCs w:val="18"/>
              </w:rPr>
              <w:t>Vigo Flores Carlos</w:t>
            </w:r>
          </w:p>
        </w:tc>
      </w:tr>
      <w:tr w:rsidR="00EA38F6" w:rsidRPr="000864AE" w14:paraId="7AE20137" w14:textId="77777777" w:rsidTr="00AC0C51">
        <w:trPr>
          <w:trHeight w:val="300"/>
        </w:trPr>
        <w:tc>
          <w:tcPr>
            <w:tcW w:w="668" w:type="dxa"/>
            <w:vAlign w:val="center"/>
            <w:hideMark/>
          </w:tcPr>
          <w:p w14:paraId="6E8C6BA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665</w:t>
            </w:r>
          </w:p>
        </w:tc>
        <w:tc>
          <w:tcPr>
            <w:tcW w:w="3835" w:type="dxa"/>
            <w:vAlign w:val="center"/>
            <w:hideMark/>
          </w:tcPr>
          <w:p w14:paraId="1C0B5C56" w14:textId="77777777" w:rsidR="00EA38F6" w:rsidRPr="000864AE" w:rsidRDefault="00EA38F6" w:rsidP="000864AE">
            <w:pPr>
              <w:rPr>
                <w:rFonts w:ascii="Verdana" w:hAnsi="Verdana"/>
                <w:sz w:val="18"/>
                <w:szCs w:val="18"/>
              </w:rPr>
            </w:pPr>
            <w:r w:rsidRPr="000864AE">
              <w:rPr>
                <w:rFonts w:ascii="Verdana" w:hAnsi="Verdana"/>
                <w:sz w:val="18"/>
                <w:szCs w:val="18"/>
              </w:rPr>
              <w:t>Vigo Noriega Andrés José</w:t>
            </w:r>
          </w:p>
        </w:tc>
      </w:tr>
      <w:tr w:rsidR="00EA38F6" w:rsidRPr="000864AE" w14:paraId="6A6E84E1" w14:textId="77777777" w:rsidTr="00AC0C51">
        <w:trPr>
          <w:trHeight w:val="300"/>
        </w:trPr>
        <w:tc>
          <w:tcPr>
            <w:tcW w:w="668" w:type="dxa"/>
            <w:vAlign w:val="center"/>
            <w:hideMark/>
          </w:tcPr>
          <w:p w14:paraId="4B55A11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666</w:t>
            </w:r>
          </w:p>
        </w:tc>
        <w:tc>
          <w:tcPr>
            <w:tcW w:w="3835" w:type="dxa"/>
            <w:vAlign w:val="center"/>
            <w:hideMark/>
          </w:tcPr>
          <w:p w14:paraId="2F1241AE" w14:textId="77777777" w:rsidR="00EA38F6" w:rsidRPr="000864AE" w:rsidRDefault="00EA38F6" w:rsidP="000864AE">
            <w:pPr>
              <w:rPr>
                <w:rFonts w:ascii="Verdana" w:hAnsi="Verdana"/>
                <w:sz w:val="18"/>
                <w:szCs w:val="18"/>
              </w:rPr>
            </w:pPr>
            <w:r w:rsidRPr="000864AE">
              <w:rPr>
                <w:rFonts w:ascii="Verdana" w:hAnsi="Verdana"/>
                <w:sz w:val="18"/>
                <w:szCs w:val="18"/>
              </w:rPr>
              <w:t>Vilca Nieto Jaime Napoleón</w:t>
            </w:r>
          </w:p>
        </w:tc>
      </w:tr>
      <w:tr w:rsidR="00EA38F6" w:rsidRPr="000864AE" w14:paraId="475577DD" w14:textId="77777777" w:rsidTr="00AC0C51">
        <w:trPr>
          <w:trHeight w:val="300"/>
        </w:trPr>
        <w:tc>
          <w:tcPr>
            <w:tcW w:w="668" w:type="dxa"/>
            <w:vAlign w:val="center"/>
            <w:hideMark/>
          </w:tcPr>
          <w:p w14:paraId="2CEC8F5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667</w:t>
            </w:r>
          </w:p>
        </w:tc>
        <w:tc>
          <w:tcPr>
            <w:tcW w:w="3835" w:type="dxa"/>
            <w:vAlign w:val="center"/>
            <w:hideMark/>
          </w:tcPr>
          <w:p w14:paraId="0A42FFA1" w14:textId="77777777" w:rsidR="00EA38F6" w:rsidRPr="000864AE" w:rsidRDefault="00EA38F6" w:rsidP="000864AE">
            <w:pPr>
              <w:rPr>
                <w:rFonts w:ascii="Verdana" w:hAnsi="Verdana"/>
                <w:sz w:val="18"/>
                <w:szCs w:val="18"/>
              </w:rPr>
            </w:pPr>
            <w:r w:rsidRPr="000864AE">
              <w:rPr>
                <w:rFonts w:ascii="Verdana" w:hAnsi="Verdana"/>
                <w:sz w:val="18"/>
                <w:szCs w:val="18"/>
              </w:rPr>
              <w:t>Vilcas Palomino Germán</w:t>
            </w:r>
          </w:p>
        </w:tc>
      </w:tr>
      <w:tr w:rsidR="00EA38F6" w:rsidRPr="000864AE" w14:paraId="48F248DB" w14:textId="77777777" w:rsidTr="00AC0C51">
        <w:trPr>
          <w:trHeight w:val="300"/>
        </w:trPr>
        <w:tc>
          <w:tcPr>
            <w:tcW w:w="668" w:type="dxa"/>
            <w:vAlign w:val="center"/>
            <w:hideMark/>
          </w:tcPr>
          <w:p w14:paraId="34E431D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668</w:t>
            </w:r>
          </w:p>
        </w:tc>
        <w:tc>
          <w:tcPr>
            <w:tcW w:w="3835" w:type="dxa"/>
            <w:vAlign w:val="center"/>
            <w:hideMark/>
          </w:tcPr>
          <w:p w14:paraId="3159467F" w14:textId="77777777" w:rsidR="00EA38F6" w:rsidRPr="000864AE" w:rsidRDefault="00EA38F6" w:rsidP="000864AE">
            <w:pPr>
              <w:rPr>
                <w:rFonts w:ascii="Verdana" w:hAnsi="Verdana"/>
                <w:sz w:val="18"/>
                <w:szCs w:val="18"/>
              </w:rPr>
            </w:pPr>
            <w:r w:rsidRPr="000864AE">
              <w:rPr>
                <w:rFonts w:ascii="Verdana" w:hAnsi="Verdana"/>
                <w:sz w:val="18"/>
                <w:szCs w:val="18"/>
              </w:rPr>
              <w:t>Vilchez Chávez José Isidro</w:t>
            </w:r>
          </w:p>
        </w:tc>
      </w:tr>
      <w:tr w:rsidR="00EA38F6" w:rsidRPr="000864AE" w14:paraId="7B205838" w14:textId="77777777" w:rsidTr="00AC0C51">
        <w:trPr>
          <w:trHeight w:val="300"/>
        </w:trPr>
        <w:tc>
          <w:tcPr>
            <w:tcW w:w="668" w:type="dxa"/>
            <w:vAlign w:val="center"/>
            <w:hideMark/>
          </w:tcPr>
          <w:p w14:paraId="11E1E7C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669</w:t>
            </w:r>
          </w:p>
        </w:tc>
        <w:tc>
          <w:tcPr>
            <w:tcW w:w="3835" w:type="dxa"/>
            <w:vAlign w:val="center"/>
            <w:hideMark/>
          </w:tcPr>
          <w:p w14:paraId="22859E8D" w14:textId="77777777" w:rsidR="00EA38F6" w:rsidRPr="000864AE" w:rsidRDefault="00EA38F6" w:rsidP="000864AE">
            <w:pPr>
              <w:rPr>
                <w:rFonts w:ascii="Verdana" w:hAnsi="Verdana"/>
                <w:sz w:val="18"/>
                <w:szCs w:val="18"/>
              </w:rPr>
            </w:pPr>
            <w:r w:rsidRPr="000864AE">
              <w:rPr>
                <w:rFonts w:ascii="Verdana" w:hAnsi="Verdana"/>
                <w:sz w:val="18"/>
                <w:szCs w:val="18"/>
              </w:rPr>
              <w:t>Vilchez Ordóñez Manuel Isauro</w:t>
            </w:r>
          </w:p>
        </w:tc>
      </w:tr>
      <w:tr w:rsidR="00EA38F6" w:rsidRPr="000864AE" w14:paraId="44A6A8FC" w14:textId="77777777" w:rsidTr="00AC0C51">
        <w:trPr>
          <w:trHeight w:val="300"/>
        </w:trPr>
        <w:tc>
          <w:tcPr>
            <w:tcW w:w="668" w:type="dxa"/>
            <w:vAlign w:val="center"/>
            <w:hideMark/>
          </w:tcPr>
          <w:p w14:paraId="22E543BF"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670</w:t>
            </w:r>
          </w:p>
        </w:tc>
        <w:tc>
          <w:tcPr>
            <w:tcW w:w="3835" w:type="dxa"/>
            <w:vAlign w:val="center"/>
            <w:hideMark/>
          </w:tcPr>
          <w:p w14:paraId="5064C356" w14:textId="77777777" w:rsidR="00EA38F6" w:rsidRPr="000864AE" w:rsidRDefault="00EA38F6" w:rsidP="000864AE">
            <w:pPr>
              <w:rPr>
                <w:rFonts w:ascii="Verdana" w:hAnsi="Verdana"/>
                <w:sz w:val="18"/>
                <w:szCs w:val="18"/>
              </w:rPr>
            </w:pPr>
            <w:r w:rsidRPr="000864AE">
              <w:rPr>
                <w:rFonts w:ascii="Verdana" w:hAnsi="Verdana"/>
                <w:sz w:val="18"/>
                <w:szCs w:val="18"/>
              </w:rPr>
              <w:t>Villacorta Bellota Nemesio</w:t>
            </w:r>
          </w:p>
        </w:tc>
      </w:tr>
      <w:tr w:rsidR="00EA38F6" w:rsidRPr="000864AE" w14:paraId="7298F094" w14:textId="77777777" w:rsidTr="00AC0C51">
        <w:trPr>
          <w:trHeight w:val="300"/>
        </w:trPr>
        <w:tc>
          <w:tcPr>
            <w:tcW w:w="668" w:type="dxa"/>
            <w:vAlign w:val="center"/>
            <w:hideMark/>
          </w:tcPr>
          <w:p w14:paraId="48ADB73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671</w:t>
            </w:r>
          </w:p>
        </w:tc>
        <w:tc>
          <w:tcPr>
            <w:tcW w:w="3835" w:type="dxa"/>
            <w:vAlign w:val="center"/>
            <w:hideMark/>
          </w:tcPr>
          <w:p w14:paraId="4B5AB9DB" w14:textId="77777777" w:rsidR="00EA38F6" w:rsidRPr="000864AE" w:rsidRDefault="00EA38F6" w:rsidP="000864AE">
            <w:pPr>
              <w:rPr>
                <w:rFonts w:ascii="Verdana" w:hAnsi="Verdana"/>
                <w:sz w:val="18"/>
                <w:szCs w:val="18"/>
              </w:rPr>
            </w:pPr>
            <w:r w:rsidRPr="000864AE">
              <w:rPr>
                <w:rFonts w:ascii="Verdana" w:hAnsi="Verdana"/>
                <w:sz w:val="18"/>
                <w:szCs w:val="18"/>
              </w:rPr>
              <w:t>Villacorta Lozada Cesar</w:t>
            </w:r>
          </w:p>
        </w:tc>
      </w:tr>
      <w:tr w:rsidR="00EA38F6" w:rsidRPr="000864AE" w14:paraId="06F4B936" w14:textId="77777777" w:rsidTr="00AC0C51">
        <w:trPr>
          <w:trHeight w:val="300"/>
        </w:trPr>
        <w:tc>
          <w:tcPr>
            <w:tcW w:w="668" w:type="dxa"/>
            <w:vAlign w:val="center"/>
            <w:hideMark/>
          </w:tcPr>
          <w:p w14:paraId="70525EC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672</w:t>
            </w:r>
          </w:p>
        </w:tc>
        <w:tc>
          <w:tcPr>
            <w:tcW w:w="3835" w:type="dxa"/>
            <w:vAlign w:val="center"/>
            <w:hideMark/>
          </w:tcPr>
          <w:p w14:paraId="230B637F" w14:textId="77777777" w:rsidR="00EA38F6" w:rsidRPr="000864AE" w:rsidRDefault="00EA38F6" w:rsidP="000864AE">
            <w:pPr>
              <w:rPr>
                <w:rFonts w:ascii="Verdana" w:hAnsi="Verdana"/>
                <w:sz w:val="18"/>
                <w:szCs w:val="18"/>
              </w:rPr>
            </w:pPr>
            <w:r w:rsidRPr="000864AE">
              <w:rPr>
                <w:rFonts w:ascii="Verdana" w:hAnsi="Verdana"/>
                <w:sz w:val="18"/>
                <w:szCs w:val="18"/>
              </w:rPr>
              <w:t>Villafuerte Rivera Nelly Marcela</w:t>
            </w:r>
          </w:p>
        </w:tc>
      </w:tr>
      <w:tr w:rsidR="00EA38F6" w:rsidRPr="000864AE" w14:paraId="5A21F295" w14:textId="77777777" w:rsidTr="00AC0C51">
        <w:trPr>
          <w:trHeight w:val="300"/>
        </w:trPr>
        <w:tc>
          <w:tcPr>
            <w:tcW w:w="668" w:type="dxa"/>
            <w:vAlign w:val="center"/>
            <w:hideMark/>
          </w:tcPr>
          <w:p w14:paraId="7571F75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673</w:t>
            </w:r>
          </w:p>
        </w:tc>
        <w:tc>
          <w:tcPr>
            <w:tcW w:w="3835" w:type="dxa"/>
            <w:vAlign w:val="center"/>
            <w:hideMark/>
          </w:tcPr>
          <w:p w14:paraId="302A1986" w14:textId="77777777" w:rsidR="00EA38F6" w:rsidRPr="000864AE" w:rsidRDefault="00EA38F6" w:rsidP="000864AE">
            <w:pPr>
              <w:rPr>
                <w:rFonts w:ascii="Verdana" w:hAnsi="Verdana"/>
                <w:sz w:val="18"/>
                <w:szCs w:val="18"/>
              </w:rPr>
            </w:pPr>
            <w:r w:rsidRPr="000864AE">
              <w:rPr>
                <w:rFonts w:ascii="Verdana" w:hAnsi="Verdana"/>
                <w:sz w:val="18"/>
                <w:szCs w:val="18"/>
              </w:rPr>
              <w:t>Villalobos García Ascención</w:t>
            </w:r>
          </w:p>
        </w:tc>
      </w:tr>
      <w:tr w:rsidR="00EA38F6" w:rsidRPr="000864AE" w14:paraId="64D7675F" w14:textId="77777777" w:rsidTr="00AC0C51">
        <w:trPr>
          <w:trHeight w:val="300"/>
        </w:trPr>
        <w:tc>
          <w:tcPr>
            <w:tcW w:w="668" w:type="dxa"/>
            <w:vAlign w:val="center"/>
            <w:hideMark/>
          </w:tcPr>
          <w:p w14:paraId="6364343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674</w:t>
            </w:r>
          </w:p>
        </w:tc>
        <w:tc>
          <w:tcPr>
            <w:tcW w:w="3835" w:type="dxa"/>
            <w:vAlign w:val="center"/>
            <w:hideMark/>
          </w:tcPr>
          <w:p w14:paraId="16340603" w14:textId="77777777" w:rsidR="00EA38F6" w:rsidRPr="000864AE" w:rsidRDefault="00EA38F6" w:rsidP="000864AE">
            <w:pPr>
              <w:rPr>
                <w:rFonts w:ascii="Verdana" w:hAnsi="Verdana"/>
                <w:sz w:val="18"/>
                <w:szCs w:val="18"/>
              </w:rPr>
            </w:pPr>
            <w:r w:rsidRPr="000864AE">
              <w:rPr>
                <w:rFonts w:ascii="Verdana" w:hAnsi="Verdana"/>
                <w:sz w:val="18"/>
                <w:szCs w:val="18"/>
              </w:rPr>
              <w:t>Villalobos Ruiz Saturnino Vicente</w:t>
            </w:r>
          </w:p>
        </w:tc>
      </w:tr>
      <w:tr w:rsidR="00EA38F6" w:rsidRPr="000864AE" w14:paraId="43C8CD54" w14:textId="77777777" w:rsidTr="00AC0C51">
        <w:trPr>
          <w:trHeight w:val="300"/>
        </w:trPr>
        <w:tc>
          <w:tcPr>
            <w:tcW w:w="668" w:type="dxa"/>
            <w:vAlign w:val="center"/>
            <w:hideMark/>
          </w:tcPr>
          <w:p w14:paraId="36A58FE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675</w:t>
            </w:r>
          </w:p>
        </w:tc>
        <w:tc>
          <w:tcPr>
            <w:tcW w:w="3835" w:type="dxa"/>
            <w:vAlign w:val="center"/>
            <w:hideMark/>
          </w:tcPr>
          <w:p w14:paraId="088DD248" w14:textId="77777777" w:rsidR="00EA38F6" w:rsidRPr="000864AE" w:rsidRDefault="00EA38F6" w:rsidP="000864AE">
            <w:pPr>
              <w:rPr>
                <w:rFonts w:ascii="Verdana" w:hAnsi="Verdana"/>
                <w:sz w:val="18"/>
                <w:szCs w:val="18"/>
              </w:rPr>
            </w:pPr>
            <w:r w:rsidRPr="000864AE">
              <w:rPr>
                <w:rFonts w:ascii="Verdana" w:hAnsi="Verdana"/>
                <w:sz w:val="18"/>
                <w:szCs w:val="18"/>
              </w:rPr>
              <w:t>Villalta Castañeda Jorge Octavio</w:t>
            </w:r>
          </w:p>
        </w:tc>
      </w:tr>
      <w:tr w:rsidR="00EA38F6" w:rsidRPr="000864AE" w14:paraId="223D812D" w14:textId="77777777" w:rsidTr="00AC0C51">
        <w:trPr>
          <w:trHeight w:val="300"/>
        </w:trPr>
        <w:tc>
          <w:tcPr>
            <w:tcW w:w="668" w:type="dxa"/>
            <w:vAlign w:val="center"/>
            <w:hideMark/>
          </w:tcPr>
          <w:p w14:paraId="0979D9B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676</w:t>
            </w:r>
          </w:p>
        </w:tc>
        <w:tc>
          <w:tcPr>
            <w:tcW w:w="3835" w:type="dxa"/>
            <w:vAlign w:val="center"/>
            <w:hideMark/>
          </w:tcPr>
          <w:p w14:paraId="22A154C3" w14:textId="77777777" w:rsidR="00EA38F6" w:rsidRPr="000864AE" w:rsidRDefault="00EA38F6" w:rsidP="000864AE">
            <w:pPr>
              <w:rPr>
                <w:rFonts w:ascii="Verdana" w:hAnsi="Verdana"/>
                <w:sz w:val="18"/>
                <w:szCs w:val="18"/>
              </w:rPr>
            </w:pPr>
            <w:r w:rsidRPr="000864AE">
              <w:rPr>
                <w:rFonts w:ascii="Verdana" w:hAnsi="Verdana"/>
                <w:sz w:val="18"/>
                <w:szCs w:val="18"/>
              </w:rPr>
              <w:t>Villanueva Soriano José Reynaldo</w:t>
            </w:r>
          </w:p>
        </w:tc>
      </w:tr>
      <w:tr w:rsidR="00EA38F6" w:rsidRPr="000864AE" w14:paraId="45F532CE" w14:textId="77777777" w:rsidTr="00AC0C51">
        <w:trPr>
          <w:trHeight w:val="300"/>
        </w:trPr>
        <w:tc>
          <w:tcPr>
            <w:tcW w:w="668" w:type="dxa"/>
            <w:vAlign w:val="center"/>
            <w:hideMark/>
          </w:tcPr>
          <w:p w14:paraId="2C91680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677</w:t>
            </w:r>
          </w:p>
        </w:tc>
        <w:tc>
          <w:tcPr>
            <w:tcW w:w="3835" w:type="dxa"/>
            <w:vAlign w:val="center"/>
            <w:hideMark/>
          </w:tcPr>
          <w:p w14:paraId="614F9ADE" w14:textId="77777777" w:rsidR="00EA38F6" w:rsidRPr="000864AE" w:rsidRDefault="00EA38F6" w:rsidP="000864AE">
            <w:pPr>
              <w:rPr>
                <w:rFonts w:ascii="Verdana" w:hAnsi="Verdana"/>
                <w:sz w:val="18"/>
                <w:szCs w:val="18"/>
              </w:rPr>
            </w:pPr>
            <w:r w:rsidRPr="000864AE">
              <w:rPr>
                <w:rFonts w:ascii="Verdana" w:hAnsi="Verdana"/>
                <w:sz w:val="18"/>
                <w:szCs w:val="18"/>
              </w:rPr>
              <w:t>Villanueva Vidal Carmelo Edmundo</w:t>
            </w:r>
          </w:p>
        </w:tc>
      </w:tr>
      <w:tr w:rsidR="00EA38F6" w:rsidRPr="000864AE" w14:paraId="0266B2EA" w14:textId="77777777" w:rsidTr="00AC0C51">
        <w:trPr>
          <w:trHeight w:val="300"/>
        </w:trPr>
        <w:tc>
          <w:tcPr>
            <w:tcW w:w="668" w:type="dxa"/>
            <w:vAlign w:val="center"/>
            <w:hideMark/>
          </w:tcPr>
          <w:p w14:paraId="6AAAE1D9"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678</w:t>
            </w:r>
          </w:p>
        </w:tc>
        <w:tc>
          <w:tcPr>
            <w:tcW w:w="3835" w:type="dxa"/>
            <w:vAlign w:val="center"/>
            <w:hideMark/>
          </w:tcPr>
          <w:p w14:paraId="38A739F1" w14:textId="77777777" w:rsidR="00EA38F6" w:rsidRPr="000864AE" w:rsidRDefault="00EA38F6" w:rsidP="000864AE">
            <w:pPr>
              <w:rPr>
                <w:rFonts w:ascii="Verdana" w:hAnsi="Verdana"/>
                <w:sz w:val="18"/>
                <w:szCs w:val="18"/>
              </w:rPr>
            </w:pPr>
            <w:r w:rsidRPr="000864AE">
              <w:rPr>
                <w:rFonts w:ascii="Verdana" w:hAnsi="Verdana"/>
                <w:sz w:val="18"/>
                <w:szCs w:val="18"/>
              </w:rPr>
              <w:t>Villar Calagua Isaura María</w:t>
            </w:r>
          </w:p>
        </w:tc>
      </w:tr>
      <w:tr w:rsidR="00EA38F6" w:rsidRPr="000864AE" w14:paraId="7E381232" w14:textId="77777777" w:rsidTr="00AC0C51">
        <w:trPr>
          <w:trHeight w:val="300"/>
        </w:trPr>
        <w:tc>
          <w:tcPr>
            <w:tcW w:w="668" w:type="dxa"/>
            <w:vAlign w:val="center"/>
            <w:hideMark/>
          </w:tcPr>
          <w:p w14:paraId="38EA5EC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679</w:t>
            </w:r>
          </w:p>
        </w:tc>
        <w:tc>
          <w:tcPr>
            <w:tcW w:w="3835" w:type="dxa"/>
            <w:vAlign w:val="center"/>
            <w:hideMark/>
          </w:tcPr>
          <w:p w14:paraId="1241B7E2" w14:textId="77777777" w:rsidR="00EA38F6" w:rsidRPr="000864AE" w:rsidRDefault="00EA38F6" w:rsidP="000864AE">
            <w:pPr>
              <w:rPr>
                <w:rFonts w:ascii="Verdana" w:hAnsi="Verdana"/>
                <w:sz w:val="18"/>
                <w:szCs w:val="18"/>
              </w:rPr>
            </w:pPr>
            <w:r w:rsidRPr="000864AE">
              <w:rPr>
                <w:rFonts w:ascii="Verdana" w:hAnsi="Verdana"/>
                <w:sz w:val="18"/>
                <w:szCs w:val="18"/>
              </w:rPr>
              <w:t>Villarán Cavero Carmen Rosa</w:t>
            </w:r>
          </w:p>
        </w:tc>
      </w:tr>
      <w:tr w:rsidR="00EA38F6" w:rsidRPr="000864AE" w14:paraId="5C737991" w14:textId="77777777" w:rsidTr="00AC0C51">
        <w:trPr>
          <w:trHeight w:val="300"/>
        </w:trPr>
        <w:tc>
          <w:tcPr>
            <w:tcW w:w="668" w:type="dxa"/>
            <w:vAlign w:val="center"/>
            <w:hideMark/>
          </w:tcPr>
          <w:p w14:paraId="481EF1B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680</w:t>
            </w:r>
          </w:p>
        </w:tc>
        <w:tc>
          <w:tcPr>
            <w:tcW w:w="3835" w:type="dxa"/>
            <w:vAlign w:val="center"/>
            <w:hideMark/>
          </w:tcPr>
          <w:p w14:paraId="662CB6F3" w14:textId="77777777" w:rsidR="00EA38F6" w:rsidRPr="000864AE" w:rsidRDefault="00EA38F6" w:rsidP="000864AE">
            <w:pPr>
              <w:rPr>
                <w:rFonts w:ascii="Verdana" w:hAnsi="Verdana"/>
                <w:sz w:val="18"/>
                <w:szCs w:val="18"/>
              </w:rPr>
            </w:pPr>
            <w:r w:rsidRPr="000864AE">
              <w:rPr>
                <w:rFonts w:ascii="Verdana" w:hAnsi="Verdana"/>
                <w:sz w:val="18"/>
                <w:szCs w:val="18"/>
              </w:rPr>
              <w:t>Villavicencio Valdivia Jaime Alejandro</w:t>
            </w:r>
          </w:p>
        </w:tc>
      </w:tr>
      <w:tr w:rsidR="00EA38F6" w:rsidRPr="000864AE" w14:paraId="181DA5A8" w14:textId="77777777" w:rsidTr="00AC0C51">
        <w:trPr>
          <w:trHeight w:val="300"/>
        </w:trPr>
        <w:tc>
          <w:tcPr>
            <w:tcW w:w="668" w:type="dxa"/>
            <w:vAlign w:val="center"/>
            <w:hideMark/>
          </w:tcPr>
          <w:p w14:paraId="550BA21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681</w:t>
            </w:r>
          </w:p>
        </w:tc>
        <w:tc>
          <w:tcPr>
            <w:tcW w:w="3835" w:type="dxa"/>
            <w:vAlign w:val="center"/>
            <w:hideMark/>
          </w:tcPr>
          <w:p w14:paraId="3A563435" w14:textId="77777777" w:rsidR="00EA38F6" w:rsidRPr="000864AE" w:rsidRDefault="00EA38F6" w:rsidP="000864AE">
            <w:pPr>
              <w:rPr>
                <w:rFonts w:ascii="Verdana" w:hAnsi="Verdana"/>
                <w:sz w:val="18"/>
                <w:szCs w:val="18"/>
              </w:rPr>
            </w:pPr>
            <w:r w:rsidRPr="000864AE">
              <w:rPr>
                <w:rFonts w:ascii="Verdana" w:hAnsi="Verdana"/>
                <w:sz w:val="18"/>
                <w:szCs w:val="18"/>
              </w:rPr>
              <w:t>Villena Ponce Narda Luz</w:t>
            </w:r>
          </w:p>
        </w:tc>
      </w:tr>
      <w:tr w:rsidR="00EA38F6" w:rsidRPr="000864AE" w14:paraId="50C4ED85" w14:textId="77777777" w:rsidTr="00AC0C51">
        <w:trPr>
          <w:trHeight w:val="300"/>
        </w:trPr>
        <w:tc>
          <w:tcPr>
            <w:tcW w:w="668" w:type="dxa"/>
            <w:vAlign w:val="center"/>
            <w:hideMark/>
          </w:tcPr>
          <w:p w14:paraId="4468CDB0"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682</w:t>
            </w:r>
          </w:p>
        </w:tc>
        <w:tc>
          <w:tcPr>
            <w:tcW w:w="3835" w:type="dxa"/>
            <w:vAlign w:val="center"/>
            <w:hideMark/>
          </w:tcPr>
          <w:p w14:paraId="03A7A07F" w14:textId="77777777" w:rsidR="00EA38F6" w:rsidRPr="000864AE" w:rsidRDefault="00EA38F6" w:rsidP="000864AE">
            <w:pPr>
              <w:rPr>
                <w:rFonts w:ascii="Verdana" w:hAnsi="Verdana"/>
                <w:sz w:val="18"/>
                <w:szCs w:val="18"/>
              </w:rPr>
            </w:pPr>
            <w:r w:rsidRPr="000864AE">
              <w:rPr>
                <w:rFonts w:ascii="Verdana" w:hAnsi="Verdana"/>
                <w:sz w:val="18"/>
                <w:szCs w:val="18"/>
              </w:rPr>
              <w:t>Vivanco Terry Yolanda Cristina</w:t>
            </w:r>
          </w:p>
        </w:tc>
      </w:tr>
      <w:tr w:rsidR="00EA38F6" w:rsidRPr="000864AE" w14:paraId="283E0E21" w14:textId="77777777" w:rsidTr="00AC0C51">
        <w:trPr>
          <w:trHeight w:val="300"/>
        </w:trPr>
        <w:tc>
          <w:tcPr>
            <w:tcW w:w="668" w:type="dxa"/>
            <w:vAlign w:val="center"/>
            <w:hideMark/>
          </w:tcPr>
          <w:p w14:paraId="2DD8E8C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683</w:t>
            </w:r>
          </w:p>
        </w:tc>
        <w:tc>
          <w:tcPr>
            <w:tcW w:w="3835" w:type="dxa"/>
            <w:vAlign w:val="center"/>
            <w:hideMark/>
          </w:tcPr>
          <w:p w14:paraId="7567C002" w14:textId="77777777" w:rsidR="00EA38F6" w:rsidRPr="000864AE" w:rsidRDefault="00EA38F6" w:rsidP="000864AE">
            <w:pPr>
              <w:rPr>
                <w:rFonts w:ascii="Verdana" w:hAnsi="Verdana"/>
                <w:sz w:val="18"/>
                <w:szCs w:val="18"/>
              </w:rPr>
            </w:pPr>
            <w:r w:rsidRPr="000864AE">
              <w:rPr>
                <w:rFonts w:ascii="Verdana" w:hAnsi="Verdana"/>
                <w:sz w:val="18"/>
                <w:szCs w:val="18"/>
              </w:rPr>
              <w:t>Weissel Santillán Teodoro</w:t>
            </w:r>
          </w:p>
        </w:tc>
      </w:tr>
      <w:tr w:rsidR="00EA38F6" w:rsidRPr="000864AE" w14:paraId="0CB2D989" w14:textId="77777777" w:rsidTr="00AC0C51">
        <w:trPr>
          <w:trHeight w:val="300"/>
        </w:trPr>
        <w:tc>
          <w:tcPr>
            <w:tcW w:w="668" w:type="dxa"/>
            <w:vAlign w:val="center"/>
            <w:hideMark/>
          </w:tcPr>
          <w:p w14:paraId="6FB0D62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684</w:t>
            </w:r>
          </w:p>
        </w:tc>
        <w:tc>
          <w:tcPr>
            <w:tcW w:w="3835" w:type="dxa"/>
            <w:vAlign w:val="center"/>
            <w:hideMark/>
          </w:tcPr>
          <w:p w14:paraId="6E13E7DC" w14:textId="77777777" w:rsidR="00EA38F6" w:rsidRPr="000864AE" w:rsidRDefault="00EA38F6" w:rsidP="000864AE">
            <w:pPr>
              <w:rPr>
                <w:rFonts w:ascii="Verdana" w:hAnsi="Verdana"/>
                <w:sz w:val="18"/>
                <w:szCs w:val="18"/>
              </w:rPr>
            </w:pPr>
            <w:r w:rsidRPr="000864AE">
              <w:rPr>
                <w:rFonts w:ascii="Verdana" w:hAnsi="Verdana"/>
                <w:sz w:val="18"/>
                <w:szCs w:val="18"/>
              </w:rPr>
              <w:t>Wong Chang José Germán</w:t>
            </w:r>
          </w:p>
        </w:tc>
      </w:tr>
      <w:tr w:rsidR="00EA38F6" w:rsidRPr="000864AE" w14:paraId="529AFB29" w14:textId="77777777" w:rsidTr="00AC0C51">
        <w:trPr>
          <w:trHeight w:val="300"/>
        </w:trPr>
        <w:tc>
          <w:tcPr>
            <w:tcW w:w="668" w:type="dxa"/>
            <w:vAlign w:val="center"/>
            <w:hideMark/>
          </w:tcPr>
          <w:p w14:paraId="445024ED"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685</w:t>
            </w:r>
          </w:p>
        </w:tc>
        <w:tc>
          <w:tcPr>
            <w:tcW w:w="3835" w:type="dxa"/>
            <w:vAlign w:val="center"/>
            <w:hideMark/>
          </w:tcPr>
          <w:p w14:paraId="51A56EDD" w14:textId="77777777" w:rsidR="00EA38F6" w:rsidRPr="000864AE" w:rsidRDefault="00EA38F6" w:rsidP="000864AE">
            <w:pPr>
              <w:rPr>
                <w:rFonts w:ascii="Verdana" w:hAnsi="Verdana"/>
                <w:sz w:val="18"/>
                <w:szCs w:val="18"/>
              </w:rPr>
            </w:pPr>
            <w:r w:rsidRPr="000864AE">
              <w:rPr>
                <w:rFonts w:ascii="Verdana" w:hAnsi="Verdana"/>
                <w:sz w:val="18"/>
                <w:szCs w:val="18"/>
              </w:rPr>
              <w:t>Yabar Acurio Marina Mauricia</w:t>
            </w:r>
          </w:p>
        </w:tc>
      </w:tr>
      <w:tr w:rsidR="00EA38F6" w:rsidRPr="000864AE" w14:paraId="7F7B6581" w14:textId="77777777" w:rsidTr="00AC0C51">
        <w:trPr>
          <w:trHeight w:val="300"/>
        </w:trPr>
        <w:tc>
          <w:tcPr>
            <w:tcW w:w="668" w:type="dxa"/>
            <w:vAlign w:val="center"/>
            <w:hideMark/>
          </w:tcPr>
          <w:p w14:paraId="1EA23CCC"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686</w:t>
            </w:r>
          </w:p>
        </w:tc>
        <w:tc>
          <w:tcPr>
            <w:tcW w:w="3835" w:type="dxa"/>
            <w:vAlign w:val="center"/>
            <w:hideMark/>
          </w:tcPr>
          <w:p w14:paraId="51031CF9" w14:textId="77777777" w:rsidR="00EA38F6" w:rsidRPr="000864AE" w:rsidRDefault="00EA38F6" w:rsidP="000864AE">
            <w:pPr>
              <w:rPr>
                <w:rFonts w:ascii="Verdana" w:hAnsi="Verdana"/>
                <w:sz w:val="18"/>
                <w:szCs w:val="18"/>
              </w:rPr>
            </w:pPr>
            <w:r w:rsidRPr="000864AE">
              <w:rPr>
                <w:rFonts w:ascii="Verdana" w:hAnsi="Verdana"/>
                <w:sz w:val="18"/>
                <w:szCs w:val="18"/>
              </w:rPr>
              <w:t>Yalta Mezquita Herman</w:t>
            </w:r>
          </w:p>
        </w:tc>
      </w:tr>
      <w:tr w:rsidR="00EA38F6" w:rsidRPr="000864AE" w14:paraId="7D2BC41D" w14:textId="77777777" w:rsidTr="00AC0C51">
        <w:trPr>
          <w:trHeight w:val="300"/>
        </w:trPr>
        <w:tc>
          <w:tcPr>
            <w:tcW w:w="668" w:type="dxa"/>
            <w:vAlign w:val="center"/>
            <w:hideMark/>
          </w:tcPr>
          <w:p w14:paraId="3BF1F90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687</w:t>
            </w:r>
          </w:p>
        </w:tc>
        <w:tc>
          <w:tcPr>
            <w:tcW w:w="3835" w:type="dxa"/>
            <w:vAlign w:val="center"/>
            <w:hideMark/>
          </w:tcPr>
          <w:p w14:paraId="4CEB626D" w14:textId="77777777" w:rsidR="00EA38F6" w:rsidRPr="000864AE" w:rsidRDefault="00EA38F6" w:rsidP="000864AE">
            <w:pPr>
              <w:rPr>
                <w:rFonts w:ascii="Verdana" w:hAnsi="Verdana"/>
                <w:sz w:val="18"/>
                <w:szCs w:val="18"/>
              </w:rPr>
            </w:pPr>
            <w:r w:rsidRPr="000864AE">
              <w:rPr>
                <w:rFonts w:ascii="Verdana" w:hAnsi="Verdana"/>
                <w:sz w:val="18"/>
                <w:szCs w:val="18"/>
              </w:rPr>
              <w:t>Yana Siguacollo Pablo</w:t>
            </w:r>
          </w:p>
        </w:tc>
      </w:tr>
      <w:tr w:rsidR="00EA38F6" w:rsidRPr="000864AE" w14:paraId="5A904C43" w14:textId="77777777" w:rsidTr="00AC0C51">
        <w:trPr>
          <w:trHeight w:val="300"/>
        </w:trPr>
        <w:tc>
          <w:tcPr>
            <w:tcW w:w="668" w:type="dxa"/>
            <w:vAlign w:val="center"/>
            <w:hideMark/>
          </w:tcPr>
          <w:p w14:paraId="130F888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688</w:t>
            </w:r>
          </w:p>
        </w:tc>
        <w:tc>
          <w:tcPr>
            <w:tcW w:w="3835" w:type="dxa"/>
            <w:vAlign w:val="center"/>
            <w:hideMark/>
          </w:tcPr>
          <w:p w14:paraId="55F607A6" w14:textId="77777777" w:rsidR="00EA38F6" w:rsidRPr="000864AE" w:rsidRDefault="00EA38F6" w:rsidP="000864AE">
            <w:pPr>
              <w:rPr>
                <w:rFonts w:ascii="Verdana" w:hAnsi="Verdana"/>
                <w:sz w:val="18"/>
                <w:szCs w:val="18"/>
              </w:rPr>
            </w:pPr>
            <w:r w:rsidRPr="000864AE">
              <w:rPr>
                <w:rFonts w:ascii="Verdana" w:hAnsi="Verdana"/>
                <w:sz w:val="18"/>
                <w:szCs w:val="18"/>
              </w:rPr>
              <w:t>Yoplac Caman José Segundo</w:t>
            </w:r>
          </w:p>
        </w:tc>
      </w:tr>
      <w:tr w:rsidR="00EA38F6" w:rsidRPr="000864AE" w14:paraId="43D44096" w14:textId="77777777" w:rsidTr="00AC0C51">
        <w:trPr>
          <w:trHeight w:val="300"/>
        </w:trPr>
        <w:tc>
          <w:tcPr>
            <w:tcW w:w="668" w:type="dxa"/>
            <w:vAlign w:val="center"/>
            <w:hideMark/>
          </w:tcPr>
          <w:p w14:paraId="6CCA81D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689</w:t>
            </w:r>
          </w:p>
        </w:tc>
        <w:tc>
          <w:tcPr>
            <w:tcW w:w="3835" w:type="dxa"/>
            <w:vAlign w:val="center"/>
            <w:hideMark/>
          </w:tcPr>
          <w:p w14:paraId="2FE3738A" w14:textId="77777777" w:rsidR="00EA38F6" w:rsidRPr="000864AE" w:rsidRDefault="00EA38F6" w:rsidP="000864AE">
            <w:pPr>
              <w:rPr>
                <w:rFonts w:ascii="Verdana" w:hAnsi="Verdana"/>
                <w:sz w:val="18"/>
                <w:szCs w:val="18"/>
              </w:rPr>
            </w:pPr>
            <w:r w:rsidRPr="000864AE">
              <w:rPr>
                <w:rFonts w:ascii="Verdana" w:hAnsi="Verdana"/>
                <w:sz w:val="18"/>
                <w:szCs w:val="18"/>
              </w:rPr>
              <w:t>Yoza Yoza Agustín</w:t>
            </w:r>
          </w:p>
        </w:tc>
      </w:tr>
      <w:tr w:rsidR="00EA38F6" w:rsidRPr="000864AE" w14:paraId="51042788" w14:textId="77777777" w:rsidTr="00AC0C51">
        <w:trPr>
          <w:trHeight w:val="300"/>
        </w:trPr>
        <w:tc>
          <w:tcPr>
            <w:tcW w:w="668" w:type="dxa"/>
            <w:vAlign w:val="center"/>
            <w:hideMark/>
          </w:tcPr>
          <w:p w14:paraId="40BE90F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690</w:t>
            </w:r>
          </w:p>
        </w:tc>
        <w:tc>
          <w:tcPr>
            <w:tcW w:w="3835" w:type="dxa"/>
            <w:vAlign w:val="center"/>
            <w:hideMark/>
          </w:tcPr>
          <w:p w14:paraId="69CBF85E" w14:textId="71EAF187" w:rsidR="00EA38F6" w:rsidRPr="000864AE" w:rsidRDefault="0029737C" w:rsidP="000864AE">
            <w:pPr>
              <w:rPr>
                <w:rFonts w:ascii="Verdana" w:hAnsi="Verdana"/>
                <w:sz w:val="18"/>
                <w:szCs w:val="18"/>
              </w:rPr>
            </w:pPr>
            <w:r w:rsidRPr="000864AE">
              <w:rPr>
                <w:rFonts w:ascii="Verdana" w:hAnsi="Verdana"/>
                <w:sz w:val="18"/>
                <w:szCs w:val="18"/>
              </w:rPr>
              <w:t>Zaldívar Carhuapoma Jorge</w:t>
            </w:r>
          </w:p>
        </w:tc>
      </w:tr>
      <w:tr w:rsidR="00EA38F6" w:rsidRPr="000864AE" w14:paraId="6F85F0E7" w14:textId="77777777" w:rsidTr="00AC0C51">
        <w:trPr>
          <w:trHeight w:val="300"/>
        </w:trPr>
        <w:tc>
          <w:tcPr>
            <w:tcW w:w="668" w:type="dxa"/>
            <w:vAlign w:val="center"/>
            <w:hideMark/>
          </w:tcPr>
          <w:p w14:paraId="276D702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691</w:t>
            </w:r>
          </w:p>
        </w:tc>
        <w:tc>
          <w:tcPr>
            <w:tcW w:w="3835" w:type="dxa"/>
            <w:vAlign w:val="center"/>
            <w:hideMark/>
          </w:tcPr>
          <w:p w14:paraId="2C73BF7D" w14:textId="77777777" w:rsidR="00EA38F6" w:rsidRPr="000864AE" w:rsidRDefault="00EA38F6" w:rsidP="000864AE">
            <w:pPr>
              <w:rPr>
                <w:rFonts w:ascii="Verdana" w:hAnsi="Verdana"/>
                <w:sz w:val="18"/>
                <w:szCs w:val="18"/>
              </w:rPr>
            </w:pPr>
            <w:r w:rsidRPr="000864AE">
              <w:rPr>
                <w:rFonts w:ascii="Verdana" w:hAnsi="Verdana"/>
                <w:sz w:val="18"/>
                <w:szCs w:val="18"/>
              </w:rPr>
              <w:t>Zamora Capelli Olga Alicia</w:t>
            </w:r>
          </w:p>
        </w:tc>
      </w:tr>
      <w:tr w:rsidR="00EA38F6" w:rsidRPr="000864AE" w14:paraId="074660FC" w14:textId="77777777" w:rsidTr="00AC0C51">
        <w:trPr>
          <w:trHeight w:val="300"/>
        </w:trPr>
        <w:tc>
          <w:tcPr>
            <w:tcW w:w="668" w:type="dxa"/>
            <w:vAlign w:val="center"/>
            <w:hideMark/>
          </w:tcPr>
          <w:p w14:paraId="0077CD9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692</w:t>
            </w:r>
          </w:p>
        </w:tc>
        <w:tc>
          <w:tcPr>
            <w:tcW w:w="3835" w:type="dxa"/>
            <w:vAlign w:val="center"/>
            <w:hideMark/>
          </w:tcPr>
          <w:p w14:paraId="0F172DD8" w14:textId="77777777" w:rsidR="00EA38F6" w:rsidRPr="000864AE" w:rsidRDefault="00EA38F6" w:rsidP="000864AE">
            <w:pPr>
              <w:rPr>
                <w:rFonts w:ascii="Verdana" w:hAnsi="Verdana"/>
                <w:sz w:val="18"/>
                <w:szCs w:val="18"/>
              </w:rPr>
            </w:pPr>
            <w:r w:rsidRPr="000864AE">
              <w:rPr>
                <w:rFonts w:ascii="Verdana" w:hAnsi="Verdana"/>
                <w:sz w:val="18"/>
                <w:szCs w:val="18"/>
              </w:rPr>
              <w:t>Zamudio Espinoza Silvestre</w:t>
            </w:r>
          </w:p>
        </w:tc>
      </w:tr>
      <w:tr w:rsidR="00EA38F6" w:rsidRPr="000864AE" w14:paraId="64233593" w14:textId="77777777" w:rsidTr="00AC0C51">
        <w:trPr>
          <w:trHeight w:val="300"/>
        </w:trPr>
        <w:tc>
          <w:tcPr>
            <w:tcW w:w="668" w:type="dxa"/>
            <w:vAlign w:val="center"/>
            <w:hideMark/>
          </w:tcPr>
          <w:p w14:paraId="3203544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693</w:t>
            </w:r>
          </w:p>
        </w:tc>
        <w:tc>
          <w:tcPr>
            <w:tcW w:w="3835" w:type="dxa"/>
            <w:vAlign w:val="center"/>
            <w:hideMark/>
          </w:tcPr>
          <w:p w14:paraId="44C56792" w14:textId="77777777" w:rsidR="00EA38F6" w:rsidRPr="000864AE" w:rsidRDefault="00EA38F6" w:rsidP="000864AE">
            <w:pPr>
              <w:rPr>
                <w:rFonts w:ascii="Verdana" w:hAnsi="Verdana"/>
                <w:sz w:val="18"/>
                <w:szCs w:val="18"/>
              </w:rPr>
            </w:pPr>
            <w:r w:rsidRPr="000864AE">
              <w:rPr>
                <w:rFonts w:ascii="Verdana" w:hAnsi="Verdana"/>
                <w:sz w:val="18"/>
                <w:szCs w:val="18"/>
              </w:rPr>
              <w:t>Zamudio Rojas Nancy Aurora</w:t>
            </w:r>
          </w:p>
        </w:tc>
      </w:tr>
      <w:tr w:rsidR="00EA38F6" w:rsidRPr="000864AE" w14:paraId="2EFE986C" w14:textId="77777777" w:rsidTr="00AC0C51">
        <w:trPr>
          <w:trHeight w:val="300"/>
        </w:trPr>
        <w:tc>
          <w:tcPr>
            <w:tcW w:w="668" w:type="dxa"/>
            <w:vAlign w:val="center"/>
            <w:hideMark/>
          </w:tcPr>
          <w:p w14:paraId="35CB2F5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694</w:t>
            </w:r>
          </w:p>
        </w:tc>
        <w:tc>
          <w:tcPr>
            <w:tcW w:w="3835" w:type="dxa"/>
            <w:vAlign w:val="center"/>
            <w:hideMark/>
          </w:tcPr>
          <w:p w14:paraId="4EE47F90" w14:textId="77777777" w:rsidR="00EA38F6" w:rsidRPr="000864AE" w:rsidRDefault="00EA38F6" w:rsidP="000864AE">
            <w:pPr>
              <w:rPr>
                <w:rFonts w:ascii="Verdana" w:hAnsi="Verdana"/>
                <w:sz w:val="18"/>
                <w:szCs w:val="18"/>
              </w:rPr>
            </w:pPr>
            <w:r w:rsidRPr="000864AE">
              <w:rPr>
                <w:rFonts w:ascii="Verdana" w:hAnsi="Verdana"/>
                <w:sz w:val="18"/>
                <w:szCs w:val="18"/>
              </w:rPr>
              <w:t>Zapana Mamani Florencio</w:t>
            </w:r>
          </w:p>
        </w:tc>
      </w:tr>
      <w:tr w:rsidR="00EA38F6" w:rsidRPr="000864AE" w14:paraId="599BED2E" w14:textId="77777777" w:rsidTr="00AC0C51">
        <w:trPr>
          <w:trHeight w:val="300"/>
        </w:trPr>
        <w:tc>
          <w:tcPr>
            <w:tcW w:w="668" w:type="dxa"/>
            <w:vAlign w:val="center"/>
            <w:hideMark/>
          </w:tcPr>
          <w:p w14:paraId="782A2A4B"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695</w:t>
            </w:r>
          </w:p>
        </w:tc>
        <w:tc>
          <w:tcPr>
            <w:tcW w:w="3835" w:type="dxa"/>
            <w:vAlign w:val="center"/>
            <w:hideMark/>
          </w:tcPr>
          <w:p w14:paraId="04A56EE5" w14:textId="77777777" w:rsidR="00EA38F6" w:rsidRPr="000864AE" w:rsidRDefault="00EA38F6" w:rsidP="000864AE">
            <w:pPr>
              <w:rPr>
                <w:rFonts w:ascii="Verdana" w:hAnsi="Verdana"/>
                <w:sz w:val="18"/>
                <w:szCs w:val="18"/>
              </w:rPr>
            </w:pPr>
            <w:r w:rsidRPr="000864AE">
              <w:rPr>
                <w:rFonts w:ascii="Verdana" w:hAnsi="Verdana"/>
                <w:sz w:val="18"/>
                <w:szCs w:val="18"/>
              </w:rPr>
              <w:t>Zapata Diez Canseco Percy Walter</w:t>
            </w:r>
          </w:p>
        </w:tc>
      </w:tr>
      <w:tr w:rsidR="00EA38F6" w:rsidRPr="000864AE" w14:paraId="3F575471" w14:textId="77777777" w:rsidTr="00AC0C51">
        <w:trPr>
          <w:trHeight w:val="300"/>
        </w:trPr>
        <w:tc>
          <w:tcPr>
            <w:tcW w:w="668" w:type="dxa"/>
            <w:vAlign w:val="center"/>
            <w:hideMark/>
          </w:tcPr>
          <w:p w14:paraId="4DE6DB1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696</w:t>
            </w:r>
          </w:p>
        </w:tc>
        <w:tc>
          <w:tcPr>
            <w:tcW w:w="3835" w:type="dxa"/>
            <w:vAlign w:val="center"/>
            <w:hideMark/>
          </w:tcPr>
          <w:p w14:paraId="2C6F27D1" w14:textId="77777777" w:rsidR="00EA38F6" w:rsidRPr="000864AE" w:rsidRDefault="00EA38F6" w:rsidP="000864AE">
            <w:pPr>
              <w:rPr>
                <w:rFonts w:ascii="Verdana" w:hAnsi="Verdana"/>
                <w:sz w:val="18"/>
                <w:szCs w:val="18"/>
              </w:rPr>
            </w:pPr>
            <w:r w:rsidRPr="000864AE">
              <w:rPr>
                <w:rFonts w:ascii="Verdana" w:hAnsi="Verdana"/>
                <w:sz w:val="18"/>
                <w:szCs w:val="18"/>
              </w:rPr>
              <w:t>Zavala Vela Gladys Emilia</w:t>
            </w:r>
          </w:p>
        </w:tc>
      </w:tr>
      <w:tr w:rsidR="00EA38F6" w:rsidRPr="000864AE" w14:paraId="1BF95725" w14:textId="77777777" w:rsidTr="00AC0C51">
        <w:trPr>
          <w:trHeight w:val="300"/>
        </w:trPr>
        <w:tc>
          <w:tcPr>
            <w:tcW w:w="668" w:type="dxa"/>
            <w:vAlign w:val="center"/>
            <w:hideMark/>
          </w:tcPr>
          <w:p w14:paraId="144F52E3"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697</w:t>
            </w:r>
          </w:p>
        </w:tc>
        <w:tc>
          <w:tcPr>
            <w:tcW w:w="3835" w:type="dxa"/>
            <w:vAlign w:val="center"/>
            <w:hideMark/>
          </w:tcPr>
          <w:p w14:paraId="422B8E27" w14:textId="77777777" w:rsidR="00EA38F6" w:rsidRPr="000864AE" w:rsidRDefault="00EA38F6" w:rsidP="000864AE">
            <w:pPr>
              <w:rPr>
                <w:rFonts w:ascii="Verdana" w:hAnsi="Verdana"/>
                <w:sz w:val="18"/>
                <w:szCs w:val="18"/>
              </w:rPr>
            </w:pPr>
            <w:r w:rsidRPr="000864AE">
              <w:rPr>
                <w:rFonts w:ascii="Verdana" w:hAnsi="Verdana"/>
                <w:sz w:val="18"/>
                <w:szCs w:val="18"/>
              </w:rPr>
              <w:t>Zavaleta Remy Rosa María Del Pilar</w:t>
            </w:r>
          </w:p>
        </w:tc>
      </w:tr>
      <w:tr w:rsidR="00EA38F6" w:rsidRPr="000864AE" w14:paraId="2E2A7C99" w14:textId="77777777" w:rsidTr="00AC0C51">
        <w:trPr>
          <w:trHeight w:val="300"/>
        </w:trPr>
        <w:tc>
          <w:tcPr>
            <w:tcW w:w="668" w:type="dxa"/>
            <w:vAlign w:val="center"/>
            <w:hideMark/>
          </w:tcPr>
          <w:p w14:paraId="4790EC46"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698</w:t>
            </w:r>
          </w:p>
        </w:tc>
        <w:tc>
          <w:tcPr>
            <w:tcW w:w="3835" w:type="dxa"/>
            <w:vAlign w:val="center"/>
            <w:hideMark/>
          </w:tcPr>
          <w:p w14:paraId="1DC51E5C" w14:textId="77777777" w:rsidR="00EA38F6" w:rsidRPr="000864AE" w:rsidRDefault="00EA38F6" w:rsidP="000864AE">
            <w:pPr>
              <w:rPr>
                <w:rFonts w:ascii="Verdana" w:hAnsi="Verdana"/>
                <w:sz w:val="18"/>
                <w:szCs w:val="18"/>
              </w:rPr>
            </w:pPr>
            <w:r w:rsidRPr="000864AE">
              <w:rPr>
                <w:rFonts w:ascii="Verdana" w:hAnsi="Verdana"/>
                <w:sz w:val="18"/>
                <w:szCs w:val="18"/>
              </w:rPr>
              <w:t>Zavalla Contreras Julio Víctor</w:t>
            </w:r>
          </w:p>
        </w:tc>
      </w:tr>
      <w:tr w:rsidR="00EA38F6" w:rsidRPr="000864AE" w14:paraId="11164FA5" w14:textId="77777777" w:rsidTr="00AC0C51">
        <w:trPr>
          <w:trHeight w:val="300"/>
        </w:trPr>
        <w:tc>
          <w:tcPr>
            <w:tcW w:w="668" w:type="dxa"/>
            <w:vAlign w:val="center"/>
            <w:hideMark/>
          </w:tcPr>
          <w:p w14:paraId="2EFAD6DE"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699</w:t>
            </w:r>
          </w:p>
        </w:tc>
        <w:tc>
          <w:tcPr>
            <w:tcW w:w="3835" w:type="dxa"/>
            <w:vAlign w:val="center"/>
            <w:hideMark/>
          </w:tcPr>
          <w:p w14:paraId="6811E1F5" w14:textId="77777777" w:rsidR="00EA38F6" w:rsidRPr="000864AE" w:rsidRDefault="00EA38F6" w:rsidP="000864AE">
            <w:pPr>
              <w:rPr>
                <w:rFonts w:ascii="Verdana" w:hAnsi="Verdana"/>
                <w:sz w:val="18"/>
                <w:szCs w:val="18"/>
              </w:rPr>
            </w:pPr>
            <w:r w:rsidRPr="000864AE">
              <w:rPr>
                <w:rFonts w:ascii="Verdana" w:hAnsi="Verdana"/>
                <w:sz w:val="18"/>
                <w:szCs w:val="18"/>
              </w:rPr>
              <w:t>Zegarra Matos Mario Antonio</w:t>
            </w:r>
          </w:p>
        </w:tc>
      </w:tr>
      <w:tr w:rsidR="00EA38F6" w:rsidRPr="000864AE" w14:paraId="309D05B0" w14:textId="77777777" w:rsidTr="00AC0C51">
        <w:trPr>
          <w:trHeight w:val="300"/>
        </w:trPr>
        <w:tc>
          <w:tcPr>
            <w:tcW w:w="668" w:type="dxa"/>
            <w:vAlign w:val="center"/>
            <w:hideMark/>
          </w:tcPr>
          <w:p w14:paraId="1FFA260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700</w:t>
            </w:r>
          </w:p>
        </w:tc>
        <w:tc>
          <w:tcPr>
            <w:tcW w:w="3835" w:type="dxa"/>
            <w:vAlign w:val="center"/>
            <w:hideMark/>
          </w:tcPr>
          <w:p w14:paraId="5A9210D8" w14:textId="77777777" w:rsidR="00EA38F6" w:rsidRPr="000864AE" w:rsidRDefault="00EA38F6" w:rsidP="000864AE">
            <w:pPr>
              <w:rPr>
                <w:rFonts w:ascii="Verdana" w:hAnsi="Verdana"/>
                <w:sz w:val="18"/>
                <w:szCs w:val="18"/>
              </w:rPr>
            </w:pPr>
            <w:r w:rsidRPr="000864AE">
              <w:rPr>
                <w:rFonts w:ascii="Verdana" w:hAnsi="Verdana"/>
                <w:sz w:val="18"/>
                <w:szCs w:val="18"/>
              </w:rPr>
              <w:t>Zevallos Huamaní Claudio</w:t>
            </w:r>
          </w:p>
        </w:tc>
      </w:tr>
      <w:tr w:rsidR="00EA38F6" w:rsidRPr="000864AE" w14:paraId="116A260D" w14:textId="77777777" w:rsidTr="00AC0C51">
        <w:trPr>
          <w:trHeight w:val="300"/>
        </w:trPr>
        <w:tc>
          <w:tcPr>
            <w:tcW w:w="668" w:type="dxa"/>
            <w:vAlign w:val="center"/>
            <w:hideMark/>
          </w:tcPr>
          <w:p w14:paraId="12EFF4E7"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701</w:t>
            </w:r>
          </w:p>
        </w:tc>
        <w:tc>
          <w:tcPr>
            <w:tcW w:w="3835" w:type="dxa"/>
            <w:vAlign w:val="center"/>
            <w:hideMark/>
          </w:tcPr>
          <w:p w14:paraId="1A92EBBB" w14:textId="77777777" w:rsidR="00EA38F6" w:rsidRPr="000864AE" w:rsidRDefault="00EA38F6" w:rsidP="000864AE">
            <w:pPr>
              <w:rPr>
                <w:rFonts w:ascii="Verdana" w:hAnsi="Verdana"/>
                <w:sz w:val="18"/>
                <w:szCs w:val="18"/>
              </w:rPr>
            </w:pPr>
            <w:r w:rsidRPr="000864AE">
              <w:rPr>
                <w:rFonts w:ascii="Verdana" w:hAnsi="Verdana"/>
                <w:sz w:val="18"/>
                <w:szCs w:val="18"/>
              </w:rPr>
              <w:t>Zumaeta Reátegui Clara Melita</w:t>
            </w:r>
          </w:p>
        </w:tc>
      </w:tr>
      <w:tr w:rsidR="00EA38F6" w:rsidRPr="000864AE" w14:paraId="731DC28D" w14:textId="77777777" w:rsidTr="00AC0C51">
        <w:trPr>
          <w:trHeight w:val="300"/>
        </w:trPr>
        <w:tc>
          <w:tcPr>
            <w:tcW w:w="668" w:type="dxa"/>
            <w:vAlign w:val="center"/>
            <w:hideMark/>
          </w:tcPr>
          <w:p w14:paraId="30426E48"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702</w:t>
            </w:r>
          </w:p>
        </w:tc>
        <w:tc>
          <w:tcPr>
            <w:tcW w:w="3835" w:type="dxa"/>
            <w:vAlign w:val="center"/>
            <w:hideMark/>
          </w:tcPr>
          <w:p w14:paraId="7F8D846A" w14:textId="77777777" w:rsidR="00EA38F6" w:rsidRPr="000864AE" w:rsidRDefault="00EA38F6" w:rsidP="000864AE">
            <w:pPr>
              <w:rPr>
                <w:rFonts w:ascii="Verdana" w:hAnsi="Verdana"/>
                <w:sz w:val="18"/>
                <w:szCs w:val="18"/>
              </w:rPr>
            </w:pPr>
            <w:r w:rsidRPr="000864AE">
              <w:rPr>
                <w:rFonts w:ascii="Verdana" w:hAnsi="Verdana"/>
                <w:sz w:val="18"/>
                <w:szCs w:val="18"/>
              </w:rPr>
              <w:t>Zúñiga Montes Julio Evaristo</w:t>
            </w:r>
          </w:p>
        </w:tc>
      </w:tr>
      <w:tr w:rsidR="00EA38F6" w:rsidRPr="000864AE" w14:paraId="4AE20A43" w14:textId="77777777" w:rsidTr="00AC0C51">
        <w:trPr>
          <w:trHeight w:val="300"/>
        </w:trPr>
        <w:tc>
          <w:tcPr>
            <w:tcW w:w="668" w:type="dxa"/>
            <w:vAlign w:val="center"/>
            <w:hideMark/>
          </w:tcPr>
          <w:p w14:paraId="57BD98BA"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703</w:t>
            </w:r>
          </w:p>
        </w:tc>
        <w:tc>
          <w:tcPr>
            <w:tcW w:w="3835" w:type="dxa"/>
            <w:vAlign w:val="center"/>
            <w:hideMark/>
          </w:tcPr>
          <w:p w14:paraId="1F98FB01" w14:textId="77777777" w:rsidR="00EA38F6" w:rsidRPr="000864AE" w:rsidRDefault="00EA38F6" w:rsidP="000864AE">
            <w:pPr>
              <w:rPr>
                <w:rFonts w:ascii="Verdana" w:hAnsi="Verdana"/>
                <w:sz w:val="18"/>
                <w:szCs w:val="18"/>
              </w:rPr>
            </w:pPr>
            <w:r w:rsidRPr="000864AE">
              <w:rPr>
                <w:rFonts w:ascii="Verdana" w:hAnsi="Verdana"/>
                <w:sz w:val="18"/>
                <w:szCs w:val="18"/>
              </w:rPr>
              <w:t>Zúñiga Stranguich Hilda</w:t>
            </w:r>
          </w:p>
        </w:tc>
      </w:tr>
      <w:tr w:rsidR="00EA38F6" w:rsidRPr="000864AE" w14:paraId="7F5E53A6" w14:textId="77777777" w:rsidTr="00AC0C51">
        <w:trPr>
          <w:trHeight w:val="300"/>
        </w:trPr>
        <w:tc>
          <w:tcPr>
            <w:tcW w:w="668" w:type="dxa"/>
            <w:vAlign w:val="center"/>
            <w:hideMark/>
          </w:tcPr>
          <w:p w14:paraId="5CB08F52" w14:textId="77777777" w:rsidR="00EA38F6" w:rsidRPr="000864AE" w:rsidRDefault="00EA38F6" w:rsidP="000864AE">
            <w:pPr>
              <w:jc w:val="right"/>
              <w:rPr>
                <w:rFonts w:ascii="Verdana" w:hAnsi="Verdana"/>
                <w:b/>
                <w:bCs/>
                <w:sz w:val="18"/>
                <w:szCs w:val="18"/>
              </w:rPr>
            </w:pPr>
            <w:r w:rsidRPr="000864AE">
              <w:rPr>
                <w:rFonts w:ascii="Verdana" w:hAnsi="Verdana"/>
                <w:b/>
                <w:bCs/>
                <w:sz w:val="18"/>
                <w:szCs w:val="18"/>
              </w:rPr>
              <w:t>704</w:t>
            </w:r>
          </w:p>
        </w:tc>
        <w:tc>
          <w:tcPr>
            <w:tcW w:w="3835" w:type="dxa"/>
            <w:vAlign w:val="center"/>
            <w:hideMark/>
          </w:tcPr>
          <w:p w14:paraId="7C77149A" w14:textId="77777777" w:rsidR="00EA38F6" w:rsidRPr="000864AE" w:rsidRDefault="00EA38F6" w:rsidP="000864AE">
            <w:pPr>
              <w:rPr>
                <w:rFonts w:ascii="Verdana" w:hAnsi="Verdana"/>
                <w:sz w:val="18"/>
                <w:szCs w:val="18"/>
              </w:rPr>
            </w:pPr>
            <w:r w:rsidRPr="000864AE">
              <w:rPr>
                <w:rFonts w:ascii="Verdana" w:hAnsi="Verdana"/>
                <w:sz w:val="18"/>
                <w:szCs w:val="18"/>
              </w:rPr>
              <w:t>Zúñiga Vásquez Mariano Claudio</w:t>
            </w:r>
          </w:p>
        </w:tc>
      </w:tr>
    </w:tbl>
    <w:p w14:paraId="5467203E" w14:textId="77777777" w:rsidR="00EA38F6" w:rsidRPr="000864AE" w:rsidRDefault="00EA38F6" w:rsidP="000864AE">
      <w:pPr>
        <w:rPr>
          <w:rFonts w:ascii="Verdana" w:hAnsi="Verdana"/>
        </w:rPr>
        <w:sectPr w:rsidR="00EA38F6" w:rsidRPr="000864AE" w:rsidSect="00EA38F6">
          <w:type w:val="continuous"/>
          <w:pgSz w:w="12240" w:h="15840"/>
          <w:pgMar w:top="1247" w:right="1191" w:bottom="1191" w:left="1247" w:header="720" w:footer="720" w:gutter="0"/>
          <w:lnNumType w:countBy="1"/>
          <w:cols w:num="2" w:space="720"/>
          <w:titlePg/>
          <w:docGrid w:linePitch="360"/>
        </w:sectPr>
      </w:pPr>
    </w:p>
    <w:p w14:paraId="60BC034F" w14:textId="11E973AD" w:rsidR="00EA38F6" w:rsidRPr="000864AE" w:rsidRDefault="00EA38F6" w:rsidP="000864AE">
      <w:pPr>
        <w:rPr>
          <w:rFonts w:ascii="Verdana" w:hAnsi="Verdana"/>
        </w:rPr>
      </w:pPr>
      <w:r w:rsidRPr="000864AE">
        <w:rPr>
          <w:rFonts w:ascii="Verdana" w:hAnsi="Verdana"/>
        </w:rPr>
        <w:br w:type="page"/>
      </w:r>
    </w:p>
    <w:p w14:paraId="145A3C39" w14:textId="2C8F791A" w:rsidR="00AC0C51" w:rsidRPr="000864AE" w:rsidRDefault="00062D8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Arial"/>
          <w:noProof/>
          <w:color w:val="000000"/>
          <w:sz w:val="18"/>
          <w:szCs w:val="18"/>
          <w:lang w:val="en-US"/>
        </w:rPr>
        <mc:AlternateContent>
          <mc:Choice Requires="wps">
            <w:drawing>
              <wp:anchor distT="0" distB="0" distL="114300" distR="114300" simplePos="0" relativeHeight="251658752" behindDoc="0" locked="0" layoutInCell="1" allowOverlap="1" wp14:anchorId="7839CEC6" wp14:editId="4EDDE29A">
                <wp:simplePos x="0" y="0"/>
                <wp:positionH relativeFrom="column">
                  <wp:posOffset>-6350</wp:posOffset>
                </wp:positionH>
                <wp:positionV relativeFrom="paragraph">
                  <wp:posOffset>5734</wp:posOffset>
                </wp:positionV>
                <wp:extent cx="6366680" cy="641445"/>
                <wp:effectExtent l="0" t="0" r="1524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6680" cy="641445"/>
                        </a:xfrm>
                        <a:prstGeom prst="rect">
                          <a:avLst/>
                        </a:prstGeom>
                        <a:solidFill>
                          <a:srgbClr val="FFFFFF"/>
                        </a:solidFill>
                        <a:ln w="9525">
                          <a:solidFill>
                            <a:schemeClr val="bg1"/>
                          </a:solidFill>
                          <a:miter lim="800000"/>
                          <a:headEnd/>
                          <a:tailEnd/>
                        </a:ln>
                      </wps:spPr>
                      <wps:txbx>
                        <w:txbxContent>
                          <w:tbl>
                            <w:tblPr>
                              <w:tblStyle w:val="Tablaconcuadrcula"/>
                              <w:tblW w:w="9747" w:type="dxa"/>
                              <w:tblLook w:val="04A0" w:firstRow="1" w:lastRow="0" w:firstColumn="1" w:lastColumn="0" w:noHBand="0" w:noVBand="1"/>
                            </w:tblPr>
                            <w:tblGrid>
                              <w:gridCol w:w="9747"/>
                            </w:tblGrid>
                            <w:tr w:rsidR="00223943" w14:paraId="2246A4D3" w14:textId="77777777" w:rsidTr="00062D88">
                              <w:trPr>
                                <w:trHeight w:val="716"/>
                              </w:trPr>
                              <w:tc>
                                <w:tcPr>
                                  <w:tcW w:w="9747" w:type="dxa"/>
                                  <w:vAlign w:val="center"/>
                                </w:tcPr>
                                <w:p w14:paraId="6BD69608" w14:textId="77777777" w:rsidR="00223943" w:rsidRPr="00AD25A3" w:rsidRDefault="00223943" w:rsidP="00AD25A3">
                                  <w:pPr>
                                    <w:pStyle w:val="Ttulo1"/>
                                    <w:outlineLvl w:val="0"/>
                                  </w:pPr>
                                  <w:bookmarkStart w:id="118" w:name="_Toc27329802"/>
                                  <w:r w:rsidRPr="00AD25A3">
                                    <w:t>ANEXO 2. LISTADO DE VÍCTIMAS DEL CASO</w:t>
                                  </w:r>
                                  <w:bookmarkEnd w:id="118"/>
                                </w:p>
                              </w:tc>
                            </w:tr>
                          </w:tbl>
                          <w:p w14:paraId="0B2DE622" w14:textId="77777777" w:rsidR="00223943" w:rsidRPr="00705B85" w:rsidRDefault="00223943" w:rsidP="00AC0C51"/>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39CEC6" id="_x0000_s1027" type="#_x0000_t202" style="position:absolute;left:0;text-align:left;margin-left:-.5pt;margin-top:.45pt;width:501.3pt;height: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" strokecolor="white [3212]">
                <v:textbox>
                  <w:txbxContent>
                    <w:tbl>
                      <w:tblPr>
                        <w:tblStyle w:val="Tablaconcuadrcula"/>
                        <w:tblW w:w="9747" w:type="dxa"/>
                        <w:tblLook w:val="04A0" w:firstRow="1" w:lastRow="0" w:firstColumn="1" w:lastColumn="0" w:noHBand="0" w:noVBand="1"/>
                      </w:tblPr>
                      <w:tblGrid>
                        <w:gridCol w:w="9747"/>
                      </w:tblGrid>
                      <w:tr w:rsidR="00223943" w14:paraId="2246A4D3" w14:textId="77777777" w:rsidTr="00062D88">
                        <w:trPr>
                          <w:trHeight w:val="716"/>
                        </w:trPr>
                        <w:tc>
                          <w:tcPr>
                            <w:tcW w:w="9747" w:type="dxa"/>
                            <w:vAlign w:val="center"/>
                          </w:tcPr>
                          <w:p w14:paraId="6BD69608" w14:textId="77777777" w:rsidR="00223943" w:rsidRPr="00AD25A3" w:rsidRDefault="00223943" w:rsidP="00AD25A3">
                            <w:pPr>
                              <w:pStyle w:val="Ttulo1"/>
                              <w:outlineLvl w:val="0"/>
                            </w:pPr>
                            <w:bookmarkStart w:id="119" w:name="_Toc27329802"/>
                            <w:r w:rsidRPr="00AD25A3">
                              <w:t>ANEXO 2. LISTADO DE VÍCTIMAS DEL CASO</w:t>
                            </w:r>
                            <w:bookmarkEnd w:id="119"/>
                          </w:p>
                        </w:tc>
                      </w:tr>
                    </w:tbl>
                    <w:p w14:paraId="0B2DE622" w14:textId="77777777" w:rsidR="00223943" w:rsidRPr="00705B85" w:rsidRDefault="00223943" w:rsidP="00AC0C51"/>
                  </w:txbxContent>
                </v:textbox>
              </v:shape>
            </w:pict>
          </mc:Fallback>
        </mc:AlternateContent>
      </w:r>
    </w:p>
    <w:p w14:paraId="22A79286" w14:textId="77777777" w:rsidR="00AC0C51" w:rsidRPr="000864AE" w:rsidRDefault="00AC0C51" w:rsidP="000864AE">
      <w:pPr>
        <w:spacing w:after="0" w:line="240" w:lineRule="auto"/>
        <w:jc w:val="center"/>
        <w:rPr>
          <w:rFonts w:ascii="Verdana" w:eastAsia="Times New Roman" w:hAnsi="Verdana" w:cs="Times New Roman"/>
          <w:b/>
          <w:color w:val="000000"/>
          <w:sz w:val="18"/>
          <w:szCs w:val="18"/>
          <w:lang w:eastAsia="es-MX"/>
        </w:rPr>
      </w:pPr>
    </w:p>
    <w:p w14:paraId="3FC066E0" w14:textId="77777777" w:rsidR="00AC0C51" w:rsidRPr="000864AE" w:rsidRDefault="00AC0C51" w:rsidP="000864AE">
      <w:pPr>
        <w:spacing w:after="0" w:line="240" w:lineRule="auto"/>
        <w:jc w:val="center"/>
        <w:rPr>
          <w:rFonts w:ascii="Verdana" w:eastAsia="Times New Roman" w:hAnsi="Verdana" w:cs="Times New Roman"/>
          <w:b/>
          <w:color w:val="000000"/>
          <w:sz w:val="18"/>
          <w:szCs w:val="18"/>
          <w:lang w:eastAsia="es-MX"/>
        </w:rPr>
      </w:pPr>
    </w:p>
    <w:p w14:paraId="6DE79A71" w14:textId="77777777" w:rsidR="00AC0C51" w:rsidRPr="000864AE" w:rsidRDefault="00AC0C51" w:rsidP="000864AE">
      <w:pPr>
        <w:spacing w:after="0" w:line="240" w:lineRule="auto"/>
        <w:jc w:val="center"/>
        <w:rPr>
          <w:rFonts w:ascii="Verdana" w:eastAsia="Times New Roman" w:hAnsi="Verdana" w:cs="Times New Roman"/>
          <w:b/>
          <w:color w:val="000000"/>
          <w:sz w:val="18"/>
          <w:szCs w:val="18"/>
          <w:lang w:eastAsia="es-MX"/>
        </w:rPr>
      </w:pPr>
    </w:p>
    <w:p w14:paraId="77E316CA" w14:textId="77777777" w:rsidR="00AC0C51" w:rsidRPr="000864AE" w:rsidRDefault="00AC0C51" w:rsidP="000864AE">
      <w:pPr>
        <w:spacing w:after="0" w:line="240" w:lineRule="auto"/>
        <w:jc w:val="center"/>
        <w:rPr>
          <w:rFonts w:ascii="Verdana" w:eastAsia="Times New Roman" w:hAnsi="Verdana" w:cs="Times New Roman"/>
          <w:b/>
          <w:color w:val="000000"/>
          <w:sz w:val="18"/>
          <w:szCs w:val="18"/>
          <w:lang w:eastAsia="es-MX"/>
        </w:rPr>
      </w:pPr>
    </w:p>
    <w:p w14:paraId="6DB5063B" w14:textId="77777777" w:rsidR="00AC0C51" w:rsidRPr="000864AE" w:rsidRDefault="00AC0C51" w:rsidP="000864AE">
      <w:pPr>
        <w:spacing w:after="0" w:line="240" w:lineRule="auto"/>
        <w:jc w:val="center"/>
        <w:rPr>
          <w:rFonts w:ascii="Verdana" w:eastAsia="Times New Roman" w:hAnsi="Verdana" w:cs="Times New Roman"/>
          <w:b/>
          <w:color w:val="000000"/>
          <w:sz w:val="18"/>
          <w:szCs w:val="18"/>
          <w:lang w:eastAsia="es-MX"/>
        </w:rPr>
        <w:sectPr w:rsidR="00AC0C51" w:rsidRPr="000864AE" w:rsidSect="003B1CB4">
          <w:type w:val="continuous"/>
          <w:pgSz w:w="12240" w:h="15840"/>
          <w:pgMar w:top="1247" w:right="1191" w:bottom="1191" w:left="1247" w:header="720" w:footer="720" w:gutter="0"/>
          <w:cols w:space="720"/>
          <w:titlePg/>
          <w:docGrid w:linePitch="360"/>
        </w:sectPr>
      </w:pPr>
    </w:p>
    <w:tbl>
      <w:tblPr>
        <w:tblW w:w="455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3969"/>
      </w:tblGrid>
      <w:tr w:rsidR="007B74B8" w:rsidRPr="000864AE" w14:paraId="45FC577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24D5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N°</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ECAF1" w14:textId="77777777" w:rsidR="007B74B8" w:rsidRPr="000864AE" w:rsidRDefault="007B74B8" w:rsidP="000864AE">
            <w:pPr>
              <w:spacing w:after="0" w:line="240" w:lineRule="auto"/>
              <w:jc w:val="center"/>
              <w:rPr>
                <w:rFonts w:ascii="Verdana" w:eastAsia="Times New Roman" w:hAnsi="Verdana" w:cs="Arial"/>
                <w:b/>
                <w:color w:val="000000"/>
                <w:sz w:val="18"/>
                <w:szCs w:val="18"/>
                <w:lang w:eastAsia="es-MX"/>
              </w:rPr>
            </w:pPr>
            <w:r w:rsidRPr="000864AE">
              <w:rPr>
                <w:rFonts w:ascii="Verdana" w:eastAsia="Times New Roman" w:hAnsi="Verdana" w:cs="Arial"/>
                <w:b/>
                <w:color w:val="000000"/>
                <w:sz w:val="18"/>
                <w:szCs w:val="18"/>
                <w:lang w:eastAsia="es-MX"/>
              </w:rPr>
              <w:t>PRESUNTA VÍCTIMA</w:t>
            </w:r>
          </w:p>
        </w:tc>
      </w:tr>
      <w:tr w:rsidR="007B74B8" w:rsidRPr="000864AE" w14:paraId="619CF55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665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ACF3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Acuña Gayoso Víctor Guillermo</w:t>
            </w:r>
          </w:p>
        </w:tc>
      </w:tr>
      <w:tr w:rsidR="007B74B8" w:rsidRPr="000864AE" w14:paraId="2E3DCF3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D859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BC4E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Adrianzén Palacios Carlos Augusto</w:t>
            </w:r>
          </w:p>
        </w:tc>
      </w:tr>
      <w:tr w:rsidR="007B74B8" w:rsidRPr="000864AE" w14:paraId="2C77564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2A5F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6487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Agüero Fitzgerald Estefania Dalmira</w:t>
            </w:r>
          </w:p>
        </w:tc>
      </w:tr>
      <w:tr w:rsidR="007B74B8" w:rsidRPr="000864AE" w14:paraId="0887775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6839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40E5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Agüero Granados Peter Manuel</w:t>
            </w:r>
          </w:p>
        </w:tc>
      </w:tr>
      <w:tr w:rsidR="007B74B8" w:rsidRPr="000864AE" w14:paraId="09757F7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982D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C79B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Aguilar Nole Manuel Erasmo</w:t>
            </w:r>
          </w:p>
        </w:tc>
      </w:tr>
      <w:tr w:rsidR="007B74B8" w:rsidRPr="000864AE" w14:paraId="5415080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82EA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3AE5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Aguilar Ocampo Nilda Consuelo</w:t>
            </w:r>
          </w:p>
        </w:tc>
      </w:tr>
      <w:tr w:rsidR="007B74B8" w:rsidRPr="000864AE" w14:paraId="72D4BA5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1606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B951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Aguilar Torres Nora</w:t>
            </w:r>
          </w:p>
        </w:tc>
      </w:tr>
      <w:tr w:rsidR="007B74B8" w:rsidRPr="000864AE" w14:paraId="4F759CD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CE9E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718F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Aguirre Utos Francisco</w:t>
            </w:r>
          </w:p>
        </w:tc>
      </w:tr>
      <w:tr w:rsidR="007B74B8" w:rsidRPr="000864AE" w14:paraId="1F939B4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0EA72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32FE5E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Ajalcriña Cortez Herbig Victor</w:t>
            </w:r>
          </w:p>
        </w:tc>
      </w:tr>
      <w:tr w:rsidR="007B74B8" w:rsidRPr="000864AE" w14:paraId="2E24B2F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8836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96D2E0"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Alarcón Urquizo Primitiva Bertha</w:t>
            </w:r>
          </w:p>
        </w:tc>
      </w:tr>
      <w:tr w:rsidR="007B74B8" w:rsidRPr="000864AE" w14:paraId="77DB579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2948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9075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Alegre Sánchez Moisés</w:t>
            </w:r>
          </w:p>
        </w:tc>
      </w:tr>
      <w:tr w:rsidR="007B74B8" w:rsidRPr="000864AE" w14:paraId="0DCCC5D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C248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245C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Alejos Torres Niceforo</w:t>
            </w:r>
          </w:p>
        </w:tc>
      </w:tr>
      <w:tr w:rsidR="007B74B8" w:rsidRPr="000864AE" w14:paraId="461F59A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F2A1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F864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Aliaga Ambukka Aurelio</w:t>
            </w:r>
          </w:p>
        </w:tc>
      </w:tr>
      <w:tr w:rsidR="007B74B8" w:rsidRPr="000864AE" w14:paraId="066E024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EA81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461F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Alonso Clemente Bertha</w:t>
            </w:r>
          </w:p>
        </w:tc>
      </w:tr>
      <w:tr w:rsidR="007B74B8" w:rsidRPr="000864AE" w14:paraId="4F40C9E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A88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2CA8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Altuna Paredes Adrián Eginhardo</w:t>
            </w:r>
          </w:p>
        </w:tc>
      </w:tr>
      <w:tr w:rsidR="007B74B8" w:rsidRPr="000864AE" w14:paraId="19E13EA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8E7E7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70D2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Alva Valderrama Alejandrina</w:t>
            </w:r>
          </w:p>
        </w:tc>
      </w:tr>
      <w:tr w:rsidR="007B74B8" w:rsidRPr="000864AE" w14:paraId="5AEFEF9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E700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D909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Álvarez Gonzáles Darma Maximina</w:t>
            </w:r>
          </w:p>
        </w:tc>
      </w:tr>
      <w:tr w:rsidR="007B74B8" w:rsidRPr="000864AE" w14:paraId="784E302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7DA7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5A45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Álvarez Ramírez Glicerio</w:t>
            </w:r>
          </w:p>
        </w:tc>
      </w:tr>
      <w:tr w:rsidR="007B74B8" w:rsidRPr="000864AE" w14:paraId="07818FD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B7D1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A216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Alzamora Mendoza Martha Soledad</w:t>
            </w:r>
          </w:p>
        </w:tc>
      </w:tr>
      <w:tr w:rsidR="007B74B8" w:rsidRPr="000864AE" w14:paraId="5F4E56D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790AB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E05B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Alzamora Soto Julia Mercedes</w:t>
            </w:r>
          </w:p>
        </w:tc>
      </w:tr>
      <w:tr w:rsidR="007B74B8" w:rsidRPr="000864AE" w14:paraId="324B6C2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708C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9298B"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Amado Tarazona Jesús Wilde</w:t>
            </w:r>
          </w:p>
        </w:tc>
      </w:tr>
      <w:tr w:rsidR="007B74B8" w:rsidRPr="000864AE" w14:paraId="17BC723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0BF8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1649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Antúnez Solís Eduardo Manuel</w:t>
            </w:r>
          </w:p>
        </w:tc>
      </w:tr>
      <w:tr w:rsidR="007B74B8" w:rsidRPr="000864AE" w14:paraId="0B7A24C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7340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2B36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Antúnez Solís Eva Isabel</w:t>
            </w:r>
          </w:p>
        </w:tc>
      </w:tr>
      <w:tr w:rsidR="007B74B8" w:rsidRPr="000864AE" w14:paraId="0C5445D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E0D6F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A33C7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Antúnez Solís Teófilo Miguel</w:t>
            </w:r>
          </w:p>
        </w:tc>
      </w:tr>
      <w:tr w:rsidR="007B74B8" w:rsidRPr="000864AE" w14:paraId="707277A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7954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5C42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Aquino Landa Gerónimo Víctor</w:t>
            </w:r>
          </w:p>
        </w:tc>
      </w:tr>
      <w:tr w:rsidR="007B74B8" w:rsidRPr="000864AE" w14:paraId="5A3982B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48B0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7155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Arámbulo Castillo Carlos Enrique</w:t>
            </w:r>
          </w:p>
        </w:tc>
      </w:tr>
      <w:tr w:rsidR="007B74B8" w:rsidRPr="000864AE" w14:paraId="014B286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797F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DCC8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Arana Arenas Elsa Betty</w:t>
            </w:r>
          </w:p>
        </w:tc>
      </w:tr>
      <w:tr w:rsidR="007B74B8" w:rsidRPr="000864AE" w14:paraId="4AD6DFB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9284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BA64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Arana Flores Pablo Eleazar</w:t>
            </w:r>
          </w:p>
        </w:tc>
      </w:tr>
      <w:tr w:rsidR="007B74B8" w:rsidRPr="000864AE" w14:paraId="7DDFBC1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134D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5E3C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Arana Solsol José Cecilio</w:t>
            </w:r>
          </w:p>
        </w:tc>
      </w:tr>
      <w:tr w:rsidR="007B74B8" w:rsidRPr="000864AE" w14:paraId="3D26945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032D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B7CF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Arancibia Quintanilla Juan Andrés</w:t>
            </w:r>
          </w:p>
        </w:tc>
      </w:tr>
      <w:tr w:rsidR="007B74B8" w:rsidRPr="000864AE" w14:paraId="5E18D98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550F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0675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Araujo De La Cuba María Mercedes</w:t>
            </w:r>
          </w:p>
        </w:tc>
      </w:tr>
      <w:tr w:rsidR="007B74B8" w:rsidRPr="000864AE" w14:paraId="58E2179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F06D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608F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Arenas Arce Luis Enrique</w:t>
            </w:r>
          </w:p>
        </w:tc>
      </w:tr>
      <w:tr w:rsidR="007B74B8" w:rsidRPr="000864AE" w14:paraId="021BB0B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FB00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300006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Arenas Medina Luz Esperanza</w:t>
            </w:r>
          </w:p>
        </w:tc>
      </w:tr>
      <w:tr w:rsidR="007B74B8" w:rsidRPr="000864AE" w14:paraId="386E740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6C1F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BA24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Arévalo Veramatos Rodrigo</w:t>
            </w:r>
          </w:p>
        </w:tc>
      </w:tr>
      <w:tr w:rsidR="007B74B8" w:rsidRPr="000864AE" w14:paraId="16E1C37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7489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591E0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Armas Toro Priscila Eugenia</w:t>
            </w:r>
          </w:p>
        </w:tc>
      </w:tr>
      <w:tr w:rsidR="007B74B8" w:rsidRPr="000864AE" w14:paraId="4DCD51F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49B0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C560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Arrese Villalta Juan</w:t>
            </w:r>
          </w:p>
        </w:tc>
      </w:tr>
      <w:tr w:rsidR="007B74B8" w:rsidRPr="000864AE" w14:paraId="099FFCC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D46A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BF55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Arriola Oliva Nelli Consuelo</w:t>
            </w:r>
          </w:p>
        </w:tc>
      </w:tr>
      <w:tr w:rsidR="007B74B8" w:rsidRPr="000864AE" w14:paraId="429D93B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1F10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982D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Arteta Cornejo Aurora Manuela</w:t>
            </w:r>
          </w:p>
        </w:tc>
      </w:tr>
      <w:tr w:rsidR="007B74B8" w:rsidRPr="000864AE" w14:paraId="4E9EE99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3918B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51B2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Ascuña Cáceres Héctor Raúl</w:t>
            </w:r>
          </w:p>
        </w:tc>
      </w:tr>
      <w:tr w:rsidR="007B74B8" w:rsidRPr="000864AE" w14:paraId="5F4526D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3A0C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BEB5C6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Asencio Martel Pedro Constantino</w:t>
            </w:r>
          </w:p>
        </w:tc>
      </w:tr>
      <w:tr w:rsidR="007B74B8" w:rsidRPr="000864AE" w14:paraId="6571495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0329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1A9F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Aspajo Tafur Max Julián</w:t>
            </w:r>
          </w:p>
        </w:tc>
      </w:tr>
      <w:tr w:rsidR="007B74B8" w:rsidRPr="000864AE" w14:paraId="608CFFF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81AE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DBB0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Astete Zamalloa Ruth Marina</w:t>
            </w:r>
          </w:p>
        </w:tc>
      </w:tr>
      <w:tr w:rsidR="007B74B8" w:rsidRPr="000864AE" w14:paraId="08B9E9B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398D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A62B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Atarama Lonzoy César Augusto</w:t>
            </w:r>
          </w:p>
        </w:tc>
      </w:tr>
      <w:tr w:rsidR="007B74B8" w:rsidRPr="000864AE" w14:paraId="10E7D68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46CB4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1EB9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Auqui Aguilar Celestino</w:t>
            </w:r>
          </w:p>
        </w:tc>
      </w:tr>
      <w:tr w:rsidR="007B74B8" w:rsidRPr="000864AE" w14:paraId="07F8639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1E98C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5D7843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Aybar Bravo Ezequiel Inmaculado</w:t>
            </w:r>
          </w:p>
        </w:tc>
      </w:tr>
      <w:tr w:rsidR="007B74B8" w:rsidRPr="000864AE" w14:paraId="736A642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0518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43CB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Ayo Sarmiento Cesar Adrián</w:t>
            </w:r>
          </w:p>
        </w:tc>
      </w:tr>
      <w:tr w:rsidR="007B74B8" w:rsidRPr="000864AE" w14:paraId="78B1845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0983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D2A0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Baissel Tapia Carmen Rosa</w:t>
            </w:r>
          </w:p>
        </w:tc>
      </w:tr>
      <w:tr w:rsidR="007B74B8" w:rsidRPr="000864AE" w14:paraId="6B007D4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FC48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2E8F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Bajonero Trujillo Fortunato</w:t>
            </w:r>
          </w:p>
        </w:tc>
      </w:tr>
      <w:tr w:rsidR="007B74B8" w:rsidRPr="000864AE" w14:paraId="6FF3C4C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42C4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348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Baltodano Sinues Julio</w:t>
            </w:r>
          </w:p>
        </w:tc>
      </w:tr>
      <w:tr w:rsidR="007B74B8" w:rsidRPr="000864AE" w14:paraId="20C5FFB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047E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250E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Bances Gonzáles Nila Cristina</w:t>
            </w:r>
          </w:p>
        </w:tc>
      </w:tr>
      <w:tr w:rsidR="007B74B8" w:rsidRPr="000864AE" w14:paraId="2BAA82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EEDA0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E34B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Barreda Quiroz Florentino Erasmo</w:t>
            </w:r>
          </w:p>
        </w:tc>
      </w:tr>
      <w:tr w:rsidR="007B74B8" w:rsidRPr="000864AE" w14:paraId="321AD1B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06BF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B7D8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Barrera Bedoya Augusto</w:t>
            </w:r>
          </w:p>
        </w:tc>
      </w:tr>
      <w:tr w:rsidR="007B74B8" w:rsidRPr="000864AE" w14:paraId="7793B8F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B820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947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Barrera Cárdenas Grimanesa</w:t>
            </w:r>
          </w:p>
        </w:tc>
      </w:tr>
      <w:tr w:rsidR="007B74B8" w:rsidRPr="000864AE" w14:paraId="439E9D1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B0C8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C978D"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Barrios Escobar Carlos Enrique</w:t>
            </w:r>
          </w:p>
        </w:tc>
      </w:tr>
      <w:tr w:rsidR="007B74B8" w:rsidRPr="000864AE" w14:paraId="2425CFD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E57C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A128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Basauri López Rita Mercedes</w:t>
            </w:r>
          </w:p>
        </w:tc>
      </w:tr>
      <w:tr w:rsidR="007B74B8" w:rsidRPr="000864AE" w14:paraId="64F87A6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2215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540E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Becerra Chara José Ernesto</w:t>
            </w:r>
          </w:p>
        </w:tc>
      </w:tr>
      <w:tr w:rsidR="007B74B8" w:rsidRPr="000864AE" w14:paraId="5BEF512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D4F2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2AE2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Bedoya Martínez Julia Alicia</w:t>
            </w:r>
          </w:p>
        </w:tc>
      </w:tr>
      <w:tr w:rsidR="007B74B8" w:rsidRPr="000864AE" w14:paraId="736977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A0AB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A960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Bello Zerpa Salvador</w:t>
            </w:r>
          </w:p>
        </w:tc>
      </w:tr>
      <w:tr w:rsidR="007B74B8" w:rsidRPr="000864AE" w14:paraId="57C4F0D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14DD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30B4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Benaducci Manrique José Francisco</w:t>
            </w:r>
          </w:p>
        </w:tc>
      </w:tr>
      <w:tr w:rsidR="007B74B8" w:rsidRPr="000864AE" w14:paraId="5B42254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587BF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78E7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Benavides Espinoza Fortunato Raúl</w:t>
            </w:r>
          </w:p>
        </w:tc>
      </w:tr>
      <w:tr w:rsidR="007B74B8" w:rsidRPr="000864AE" w14:paraId="6E2903A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C124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5AA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Bernal Bustamante Juan Adriano</w:t>
            </w:r>
          </w:p>
        </w:tc>
      </w:tr>
      <w:tr w:rsidR="007B74B8" w:rsidRPr="000864AE" w14:paraId="5A34150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D106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C16D0"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Bernardo Villanueva Dulia María</w:t>
            </w:r>
          </w:p>
        </w:tc>
      </w:tr>
      <w:tr w:rsidR="007B74B8" w:rsidRPr="000864AE" w14:paraId="4159380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6D9D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037C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Bernuy Acosta Francisco Agelio</w:t>
            </w:r>
          </w:p>
        </w:tc>
      </w:tr>
      <w:tr w:rsidR="007B74B8" w:rsidRPr="000864AE" w14:paraId="2306F76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7DAE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5D91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Berrocal Barraza Nelly</w:t>
            </w:r>
          </w:p>
        </w:tc>
      </w:tr>
      <w:tr w:rsidR="007B74B8" w:rsidRPr="000864AE" w14:paraId="58B4A54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E7B1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51C8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Berrospi Trujillo José Santos</w:t>
            </w:r>
          </w:p>
        </w:tc>
      </w:tr>
      <w:tr w:rsidR="007B74B8" w:rsidRPr="000864AE" w14:paraId="3A1CDFB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5C27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A729DC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Blas Navarro José Daniel</w:t>
            </w:r>
          </w:p>
        </w:tc>
      </w:tr>
      <w:tr w:rsidR="007B74B8" w:rsidRPr="000864AE" w14:paraId="582CCD4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F87A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434D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Bobadilla Rojas Nélida Zenaida</w:t>
            </w:r>
          </w:p>
        </w:tc>
      </w:tr>
      <w:tr w:rsidR="007B74B8" w:rsidRPr="000864AE" w14:paraId="6475C95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C6E5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2E7D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Bravo Falcón Patricio</w:t>
            </w:r>
          </w:p>
        </w:tc>
      </w:tr>
      <w:tr w:rsidR="007B74B8" w:rsidRPr="000864AE" w14:paraId="2ABFE57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A40C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69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4369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Bravo Hermoza José Arnaldo</w:t>
            </w:r>
          </w:p>
        </w:tc>
      </w:tr>
      <w:tr w:rsidR="007B74B8" w:rsidRPr="000864AE" w14:paraId="5F9E013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334E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0D1D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Bringas Rodríguez Oscar Alberto</w:t>
            </w:r>
          </w:p>
        </w:tc>
      </w:tr>
      <w:tr w:rsidR="007B74B8" w:rsidRPr="000864AE" w14:paraId="458E77C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2517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CD1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Bueno Bedregal Adrián Emigdio</w:t>
            </w:r>
          </w:p>
        </w:tc>
      </w:tr>
      <w:tr w:rsidR="007B74B8" w:rsidRPr="000864AE" w14:paraId="0CC302E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9538D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2C1D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Bustamante Fernández Ramón René</w:t>
            </w:r>
          </w:p>
        </w:tc>
      </w:tr>
      <w:tr w:rsidR="007B74B8" w:rsidRPr="000864AE" w14:paraId="08D7FF1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297A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FDB2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Cabrera Landeo María Consuelo</w:t>
            </w:r>
          </w:p>
        </w:tc>
      </w:tr>
      <w:tr w:rsidR="007B74B8" w:rsidRPr="000864AE" w14:paraId="0917E31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2534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2760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Cáceres Peláez Sonia Eva</w:t>
            </w:r>
          </w:p>
        </w:tc>
      </w:tr>
      <w:tr w:rsidR="007B74B8" w:rsidRPr="000864AE" w14:paraId="0C58496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E867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F29A97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Cáceres Salazar Rosa Elvira</w:t>
            </w:r>
          </w:p>
        </w:tc>
      </w:tr>
      <w:tr w:rsidR="007B74B8" w:rsidRPr="000864AE" w14:paraId="2CF1F4F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3B25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E15A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Calderón Matta Luisa Amelia</w:t>
            </w:r>
          </w:p>
        </w:tc>
      </w:tr>
      <w:tr w:rsidR="007B74B8" w:rsidRPr="000864AE" w14:paraId="14971B9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FC29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99F7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Camino Williams María Carlota</w:t>
            </w:r>
          </w:p>
        </w:tc>
      </w:tr>
      <w:tr w:rsidR="007B74B8" w:rsidRPr="000864AE" w14:paraId="0D14FBF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AC37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F9112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Campos Tapia Aníbal</w:t>
            </w:r>
          </w:p>
        </w:tc>
      </w:tr>
      <w:tr w:rsidR="007B74B8" w:rsidRPr="000864AE" w14:paraId="031B99C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2D59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79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82DA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Canales Daños Rosa Mercedes</w:t>
            </w:r>
          </w:p>
        </w:tc>
      </w:tr>
      <w:tr w:rsidR="007B74B8" w:rsidRPr="000864AE" w14:paraId="794211D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6959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6CF0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Canchaya Camacho Margarita</w:t>
            </w:r>
          </w:p>
        </w:tc>
      </w:tr>
      <w:tr w:rsidR="007B74B8" w:rsidRPr="000864AE" w14:paraId="4C91EAB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3696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0726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Canchaya Camacho Virgilio Raúl</w:t>
            </w:r>
          </w:p>
        </w:tc>
      </w:tr>
      <w:tr w:rsidR="007B74B8" w:rsidRPr="000864AE" w14:paraId="090F21F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5DCF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A1CC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Candela Lévano Luisa Aurora</w:t>
            </w:r>
          </w:p>
        </w:tc>
      </w:tr>
      <w:tr w:rsidR="007B74B8" w:rsidRPr="000864AE" w14:paraId="08F89BF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5C2A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8C7E0"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Candela Lévano Víctor Alfredo</w:t>
            </w:r>
          </w:p>
        </w:tc>
      </w:tr>
      <w:tr w:rsidR="007B74B8" w:rsidRPr="000864AE" w14:paraId="12631BB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51AE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6735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Capuñay Martínez Carlos</w:t>
            </w:r>
          </w:p>
        </w:tc>
      </w:tr>
      <w:tr w:rsidR="007B74B8" w:rsidRPr="000864AE" w14:paraId="585DCD8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ABF7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F90AC"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Carmona Raez Cesar Teodoro</w:t>
            </w:r>
          </w:p>
        </w:tc>
      </w:tr>
      <w:tr w:rsidR="007B74B8" w:rsidRPr="000864AE" w14:paraId="71DB672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3ADD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097C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Carpio Chicoma Ketty María</w:t>
            </w:r>
          </w:p>
        </w:tc>
      </w:tr>
      <w:tr w:rsidR="007B74B8" w:rsidRPr="000864AE" w14:paraId="09C8888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08C4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1215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Carranza Alfaro Constantino Percy</w:t>
            </w:r>
          </w:p>
        </w:tc>
      </w:tr>
      <w:tr w:rsidR="007B74B8" w:rsidRPr="000864AE" w14:paraId="2FBD2FF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B7EC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BBEA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Carranza Martínez Victoria Estela</w:t>
            </w:r>
          </w:p>
        </w:tc>
      </w:tr>
      <w:tr w:rsidR="007B74B8" w:rsidRPr="000864AE" w14:paraId="53F31E3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695F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89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2E54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Carranza Ulloa Javier Roberto</w:t>
            </w:r>
          </w:p>
        </w:tc>
      </w:tr>
      <w:tr w:rsidR="007B74B8" w:rsidRPr="000864AE" w14:paraId="48BDB2A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A6DF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92B4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Carrasco Ferrel Eloy</w:t>
            </w:r>
          </w:p>
        </w:tc>
      </w:tr>
      <w:tr w:rsidR="007B74B8" w:rsidRPr="000864AE" w14:paraId="42455C0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CBB6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DC0A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Carrasco Orosco Jamblico Vicente</w:t>
            </w:r>
          </w:p>
        </w:tc>
      </w:tr>
      <w:tr w:rsidR="007B74B8" w:rsidRPr="000864AE" w14:paraId="613419A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9493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9E14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Carreño Llanos Judith Yolanda</w:t>
            </w:r>
          </w:p>
        </w:tc>
      </w:tr>
      <w:tr w:rsidR="007B74B8" w:rsidRPr="000864AE" w14:paraId="4A5D178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9636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8302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Carreño Llanos Luisa Elizabeth</w:t>
            </w:r>
          </w:p>
        </w:tc>
      </w:tr>
      <w:tr w:rsidR="007B74B8" w:rsidRPr="000864AE" w14:paraId="1C101E4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D309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362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Carreño Mosquera José Carmen</w:t>
            </w:r>
          </w:p>
        </w:tc>
      </w:tr>
      <w:tr w:rsidR="007B74B8" w:rsidRPr="000864AE" w14:paraId="1CB6550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65844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E90310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Carrera Sandoval Meisse Helvecia</w:t>
            </w:r>
          </w:p>
        </w:tc>
      </w:tr>
      <w:tr w:rsidR="007B74B8" w:rsidRPr="000864AE" w14:paraId="15A411E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7D15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5F4F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Carrillo Granda Sara Cleofe</w:t>
            </w:r>
          </w:p>
        </w:tc>
      </w:tr>
      <w:tr w:rsidR="007B74B8" w:rsidRPr="000864AE" w14:paraId="6158A3D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ED6B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F9BC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Cassana Bazán Mercedes Irma</w:t>
            </w:r>
          </w:p>
        </w:tc>
      </w:tr>
      <w:tr w:rsidR="007B74B8" w:rsidRPr="000864AE" w14:paraId="116F3BE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375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A5657"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Castillo Deza Bertha Cecilia</w:t>
            </w:r>
          </w:p>
        </w:tc>
      </w:tr>
      <w:tr w:rsidR="007B74B8" w:rsidRPr="000864AE" w14:paraId="74AA8A8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9966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99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CFCC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Castillo Sánchez Julia Manuela</w:t>
            </w:r>
          </w:p>
        </w:tc>
      </w:tr>
      <w:tr w:rsidR="007B74B8" w:rsidRPr="000864AE" w14:paraId="214F430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233C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8B972"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Castro Bernales María Rosalinda</w:t>
            </w:r>
          </w:p>
        </w:tc>
      </w:tr>
      <w:tr w:rsidR="007B74B8" w:rsidRPr="000864AE" w14:paraId="66B0502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C0E4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CC1B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Castro Buendía Fortunato Félix</w:t>
            </w:r>
          </w:p>
        </w:tc>
      </w:tr>
      <w:tr w:rsidR="007B74B8" w:rsidRPr="000864AE" w14:paraId="0D7D084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F339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A2E4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Castro Cárdenas Hugo Heraclio</w:t>
            </w:r>
          </w:p>
        </w:tc>
      </w:tr>
      <w:tr w:rsidR="007B74B8" w:rsidRPr="000864AE" w14:paraId="609933B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4042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137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Castro Robles Zoila Rosa</w:t>
            </w:r>
          </w:p>
        </w:tc>
      </w:tr>
      <w:tr w:rsidR="007B74B8" w:rsidRPr="000864AE" w14:paraId="35710A1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1B4D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29EB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Castro Vidal María Isabel</w:t>
            </w:r>
          </w:p>
        </w:tc>
      </w:tr>
      <w:tr w:rsidR="007B74B8" w:rsidRPr="000864AE" w14:paraId="115E859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CBBD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F1CB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Castro Villalobos Santiago Neptalí</w:t>
            </w:r>
          </w:p>
        </w:tc>
      </w:tr>
      <w:tr w:rsidR="007B74B8" w:rsidRPr="000864AE" w14:paraId="151D903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86A5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9538B8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Castromonte Ramírez Artidoro</w:t>
            </w:r>
          </w:p>
        </w:tc>
      </w:tr>
      <w:tr w:rsidR="007B74B8" w:rsidRPr="000864AE" w14:paraId="60D043D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3634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482F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Cavero Ramos Gilberto Víctor</w:t>
            </w:r>
          </w:p>
        </w:tc>
      </w:tr>
      <w:tr w:rsidR="007B74B8" w:rsidRPr="000864AE" w14:paraId="7195646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6BB3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7E97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Centeno Zavala Eva Marina</w:t>
            </w:r>
          </w:p>
        </w:tc>
      </w:tr>
      <w:tr w:rsidR="007B74B8" w:rsidRPr="000864AE" w14:paraId="6730A0E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AD21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109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B69A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Cerna Palomino Manuel Marcial</w:t>
            </w:r>
          </w:p>
        </w:tc>
      </w:tr>
      <w:tr w:rsidR="007B74B8" w:rsidRPr="000864AE" w14:paraId="7B3D26D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98AB9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B56C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Cerna Vásquez Cesar</w:t>
            </w:r>
          </w:p>
        </w:tc>
      </w:tr>
      <w:tr w:rsidR="007B74B8" w:rsidRPr="000864AE" w14:paraId="56C4229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7434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870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Céspedes Vega Martín</w:t>
            </w:r>
          </w:p>
        </w:tc>
      </w:tr>
      <w:tr w:rsidR="007B74B8" w:rsidRPr="000864AE" w14:paraId="619FD2E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F733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3CA9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Chaina Fernández Ricardo Luis</w:t>
            </w:r>
          </w:p>
        </w:tc>
      </w:tr>
      <w:tr w:rsidR="007B74B8" w:rsidRPr="000864AE" w14:paraId="3160908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9DB4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E0EF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Chanduvi Ramírez Nelly Ana María</w:t>
            </w:r>
          </w:p>
        </w:tc>
      </w:tr>
      <w:tr w:rsidR="007B74B8" w:rsidRPr="000864AE" w14:paraId="1C9BE16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4E4A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5C10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Charahua Flores Edilberto Guillermo</w:t>
            </w:r>
          </w:p>
        </w:tc>
      </w:tr>
      <w:tr w:rsidR="007B74B8" w:rsidRPr="000864AE" w14:paraId="0DE3255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2B91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328D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Chávez Centti Miguel Ángel</w:t>
            </w:r>
          </w:p>
        </w:tc>
      </w:tr>
      <w:tr w:rsidR="007B74B8" w:rsidRPr="000864AE" w14:paraId="54CC067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B3A0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E728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Chávez Díaz Ángel Rosendo</w:t>
            </w:r>
          </w:p>
        </w:tc>
      </w:tr>
      <w:tr w:rsidR="007B74B8" w:rsidRPr="000864AE" w14:paraId="3986D0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1259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C500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Chienda Bazo Víctor Nicolás</w:t>
            </w:r>
          </w:p>
        </w:tc>
      </w:tr>
      <w:tr w:rsidR="007B74B8" w:rsidRPr="000864AE" w14:paraId="7F0AD41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CE13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9659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Chiriboga Pardo Jesús Eduardo</w:t>
            </w:r>
          </w:p>
        </w:tc>
      </w:tr>
      <w:tr w:rsidR="007B74B8" w:rsidRPr="000864AE" w14:paraId="57C6C8E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D48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0BB8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Chois Málaga Armando Juan</w:t>
            </w:r>
          </w:p>
        </w:tc>
      </w:tr>
      <w:tr w:rsidR="007B74B8" w:rsidRPr="000864AE" w14:paraId="2FC44F7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68C8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AEB5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Chuquillanqui Domínguez Judith Elizabeth</w:t>
            </w:r>
          </w:p>
        </w:tc>
      </w:tr>
      <w:tr w:rsidR="007B74B8" w:rsidRPr="000864AE" w14:paraId="015F01C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85E8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EDE3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Chuquisengo Castillo Marianella</w:t>
            </w:r>
          </w:p>
        </w:tc>
      </w:tr>
      <w:tr w:rsidR="007B74B8" w:rsidRPr="000864AE" w14:paraId="1F33AF4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2F79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0673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Ciudad Amaya Francisco</w:t>
            </w:r>
          </w:p>
        </w:tc>
      </w:tr>
      <w:tr w:rsidR="007B74B8" w:rsidRPr="0033532B" w14:paraId="034F453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7611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56779" w14:textId="77777777" w:rsidR="007B74B8" w:rsidRPr="000864AE" w:rsidRDefault="007B74B8" w:rsidP="000864AE">
            <w:pPr>
              <w:spacing w:after="0" w:line="240" w:lineRule="auto"/>
              <w:rPr>
                <w:rFonts w:ascii="Verdana" w:eastAsia="Times New Roman" w:hAnsi="Verdana" w:cs="Arial"/>
                <w:color w:val="000000"/>
                <w:sz w:val="18"/>
                <w:szCs w:val="18"/>
                <w:lang w:val="en-US" w:eastAsia="es-MX"/>
              </w:rPr>
            </w:pPr>
            <w:r w:rsidRPr="000864AE">
              <w:rPr>
                <w:rFonts w:ascii="Verdana" w:eastAsia="Times New Roman" w:hAnsi="Verdana" w:cs="Arial"/>
                <w:color w:val="000000"/>
                <w:sz w:val="18"/>
                <w:szCs w:val="18"/>
                <w:lang w:val="en-US" w:eastAsia="es-MX"/>
              </w:rPr>
              <w:t>Claros Chavera Manuel Williams Isaías</w:t>
            </w:r>
          </w:p>
        </w:tc>
      </w:tr>
      <w:tr w:rsidR="007B74B8" w:rsidRPr="000864AE" w14:paraId="31FB31A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E3B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85B1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Cochachi Aguilar Sebastian</w:t>
            </w:r>
          </w:p>
        </w:tc>
      </w:tr>
      <w:tr w:rsidR="007B74B8" w:rsidRPr="000864AE" w14:paraId="4CBF5B2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C768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CB4C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Collado Oré Jorge Percy</w:t>
            </w:r>
          </w:p>
        </w:tc>
      </w:tr>
      <w:tr w:rsidR="007B74B8" w:rsidRPr="000864AE" w14:paraId="30DC258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8625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2BEB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Concha Cervantes Luis Glider</w:t>
            </w:r>
          </w:p>
        </w:tc>
      </w:tr>
      <w:tr w:rsidR="007B74B8" w:rsidRPr="000864AE" w14:paraId="36DC050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8E08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B244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Cóndor Quispe Rufina Teófila</w:t>
            </w:r>
          </w:p>
        </w:tc>
      </w:tr>
      <w:tr w:rsidR="007B74B8" w:rsidRPr="000864AE" w14:paraId="581C85E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97E7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45E9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Contreras Abanto Abdón Rufino</w:t>
            </w:r>
          </w:p>
        </w:tc>
      </w:tr>
      <w:tr w:rsidR="007B74B8" w:rsidRPr="000864AE" w14:paraId="5FFC11D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A466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C134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Contreras Gutiérrez Jesús Héctor</w:t>
            </w:r>
          </w:p>
        </w:tc>
      </w:tr>
      <w:tr w:rsidR="007B74B8" w:rsidRPr="000864AE" w14:paraId="31D992B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51B6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A18E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Contreras Ordóñez Rigoberto</w:t>
            </w:r>
          </w:p>
        </w:tc>
      </w:tr>
      <w:tr w:rsidR="007B74B8" w:rsidRPr="000864AE" w14:paraId="38D5116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E063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14B5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Córdova Córdova Ismael Vicente</w:t>
            </w:r>
          </w:p>
        </w:tc>
      </w:tr>
      <w:tr w:rsidR="007B74B8" w:rsidRPr="000864AE" w14:paraId="3D450AE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91BA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7500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Córdova De La Cuba Víctor Enrique</w:t>
            </w:r>
          </w:p>
        </w:tc>
      </w:tr>
      <w:tr w:rsidR="007B74B8" w:rsidRPr="000864AE" w14:paraId="5DE0EE3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F55B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94B7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Córdova Díaz Marco Amador</w:t>
            </w:r>
          </w:p>
        </w:tc>
      </w:tr>
      <w:tr w:rsidR="007B74B8" w:rsidRPr="000864AE" w14:paraId="6B44FC3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FBA0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13076A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Cori Borja Saturnino</w:t>
            </w:r>
          </w:p>
        </w:tc>
      </w:tr>
      <w:tr w:rsidR="007B74B8" w:rsidRPr="000864AE" w14:paraId="4C6BF4F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DE86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9D0C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Cornejo Calsina Marcos Delfín</w:t>
            </w:r>
          </w:p>
        </w:tc>
      </w:tr>
      <w:tr w:rsidR="007B74B8" w:rsidRPr="000864AE" w14:paraId="683BB04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217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E0D94"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Corzo Morón Juan Alejandro</w:t>
            </w:r>
          </w:p>
        </w:tc>
      </w:tr>
      <w:tr w:rsidR="007B74B8" w:rsidRPr="000864AE" w14:paraId="4295CA6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6282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00969"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Costa Morales Rosina</w:t>
            </w:r>
          </w:p>
        </w:tc>
      </w:tr>
      <w:tr w:rsidR="007B74B8" w:rsidRPr="000864AE" w14:paraId="2B0225B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383C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41EE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Cruz Mac Lean Dante Salomón Guillermo</w:t>
            </w:r>
          </w:p>
        </w:tc>
      </w:tr>
      <w:tr w:rsidR="007B74B8" w:rsidRPr="000864AE" w14:paraId="426448B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6D8DE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1E8FDF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Cuba Torres José Luis</w:t>
            </w:r>
          </w:p>
        </w:tc>
      </w:tr>
      <w:tr w:rsidR="007B74B8" w:rsidRPr="000864AE" w14:paraId="78645CA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6A01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7BB9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Cuervo Larrea Mario Antonio</w:t>
            </w:r>
          </w:p>
        </w:tc>
      </w:tr>
      <w:tr w:rsidR="007B74B8" w:rsidRPr="000864AE" w14:paraId="5A8DD8C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379D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5FAA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Cueva Lluncor José Francisco</w:t>
            </w:r>
          </w:p>
        </w:tc>
      </w:tr>
      <w:tr w:rsidR="007B74B8" w:rsidRPr="000864AE" w14:paraId="1CE15FC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2D4D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B0D12"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Cunti Bardales Nancy Ruth</w:t>
            </w:r>
          </w:p>
        </w:tc>
      </w:tr>
      <w:tr w:rsidR="007B74B8" w:rsidRPr="000864AE" w14:paraId="28A8A5D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33E6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D3C8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Daga Soto Máximo</w:t>
            </w:r>
          </w:p>
        </w:tc>
      </w:tr>
      <w:tr w:rsidR="007B74B8" w:rsidRPr="000864AE" w14:paraId="1A1ED51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01BC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66AD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Dávila Avellaneda Demetrio</w:t>
            </w:r>
          </w:p>
        </w:tc>
      </w:tr>
      <w:tr w:rsidR="007B74B8" w:rsidRPr="000864AE" w14:paraId="7472F46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1924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6374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Dávila Mango Nemo Andrés</w:t>
            </w:r>
          </w:p>
        </w:tc>
      </w:tr>
      <w:tr w:rsidR="007B74B8" w:rsidRPr="000864AE" w14:paraId="1B1110D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634C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3CD1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Dávila Ramírez Segundo Diómedes</w:t>
            </w:r>
          </w:p>
        </w:tc>
      </w:tr>
      <w:tr w:rsidR="007B74B8" w:rsidRPr="000864AE" w14:paraId="1523C71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F647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D0B3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Dávila Reátegui Jorge Alberto</w:t>
            </w:r>
          </w:p>
        </w:tc>
      </w:tr>
      <w:tr w:rsidR="007B74B8" w:rsidRPr="000864AE" w14:paraId="639E65F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9D19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09661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De La Cruz López Juan</w:t>
            </w:r>
          </w:p>
        </w:tc>
      </w:tr>
      <w:tr w:rsidR="007B74B8" w:rsidRPr="000864AE" w14:paraId="33BF3E6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A4D8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D38F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De La Fuente Guzmán María Adelina</w:t>
            </w:r>
          </w:p>
        </w:tc>
      </w:tr>
      <w:tr w:rsidR="007B74B8" w:rsidRPr="000864AE" w14:paraId="3F464F6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A247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5359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Del Carmen Sánchez Martha</w:t>
            </w:r>
          </w:p>
        </w:tc>
      </w:tr>
      <w:tr w:rsidR="007B74B8" w:rsidRPr="000864AE" w14:paraId="7D7075B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00E7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69C2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Del Pino Martínez Carmen Ofelia</w:t>
            </w:r>
          </w:p>
        </w:tc>
      </w:tr>
      <w:tr w:rsidR="007B74B8" w:rsidRPr="000864AE" w14:paraId="7E662CC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1554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2918A"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Delgado Coronado Rosalie</w:t>
            </w:r>
          </w:p>
        </w:tc>
      </w:tr>
      <w:tr w:rsidR="007B74B8" w:rsidRPr="000864AE" w14:paraId="154E863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1B43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BE35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Delgado Pedrozo Samuel Daniel</w:t>
            </w:r>
          </w:p>
        </w:tc>
      </w:tr>
      <w:tr w:rsidR="007B74B8" w:rsidRPr="000864AE" w14:paraId="1F008B1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073A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1AEE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Delgado Rojas Ledy Bessy</w:t>
            </w:r>
          </w:p>
        </w:tc>
      </w:tr>
      <w:tr w:rsidR="007B74B8" w:rsidRPr="000864AE" w14:paraId="767BF0A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50A9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3E16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Calderón Sixto Wenceslao</w:t>
            </w:r>
          </w:p>
        </w:tc>
      </w:tr>
      <w:tr w:rsidR="007B74B8" w:rsidRPr="000864AE" w14:paraId="5057A4E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B4F1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70AD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Campoblanco Gladys Clorinda</w:t>
            </w:r>
          </w:p>
        </w:tc>
      </w:tr>
      <w:tr w:rsidR="007B74B8" w:rsidRPr="000864AE" w14:paraId="7E03D69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D569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F5BD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Cornejo Gladys Isolina</w:t>
            </w:r>
          </w:p>
        </w:tc>
      </w:tr>
      <w:tr w:rsidR="007B74B8" w:rsidRPr="000864AE" w14:paraId="780D1B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B7C1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4BC0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Delgado Gloria Lucero</w:t>
            </w:r>
          </w:p>
        </w:tc>
      </w:tr>
      <w:tr w:rsidR="007B74B8" w:rsidRPr="000864AE" w14:paraId="77AF14F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A8C5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7BCB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Reátegui De Mayor Ángela</w:t>
            </w:r>
          </w:p>
        </w:tc>
      </w:tr>
      <w:tr w:rsidR="007B74B8" w:rsidRPr="000864AE" w14:paraId="3ACBE3D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41DD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8F64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Silva Judith Juana</w:t>
            </w:r>
          </w:p>
        </w:tc>
      </w:tr>
      <w:tr w:rsidR="007B74B8" w:rsidRPr="000864AE" w14:paraId="0B7A073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0B33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7B4A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Díaz Villavicencio Víctor Augusto</w:t>
            </w:r>
          </w:p>
        </w:tc>
      </w:tr>
      <w:tr w:rsidR="007B74B8" w:rsidRPr="000864AE" w14:paraId="1A63DC4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3AAA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7F66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Diez Cerruti Isabel Constanza</w:t>
            </w:r>
          </w:p>
        </w:tc>
      </w:tr>
      <w:tr w:rsidR="007B74B8" w:rsidRPr="000864AE" w14:paraId="09A95A9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65EF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70FE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Domínguez Pando Santos</w:t>
            </w:r>
          </w:p>
        </w:tc>
      </w:tr>
      <w:tr w:rsidR="007B74B8" w:rsidRPr="000864AE" w14:paraId="12419B4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055EF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19439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Domínguez Zabaleta Zene</w:t>
            </w:r>
          </w:p>
        </w:tc>
      </w:tr>
      <w:tr w:rsidR="007B74B8" w:rsidRPr="000864AE" w14:paraId="32FE6C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E632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DEA9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Donayre Barrios José Carlos</w:t>
            </w:r>
          </w:p>
        </w:tc>
      </w:tr>
      <w:tr w:rsidR="007B74B8" w:rsidRPr="000864AE" w14:paraId="29FB031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86D0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AD93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Dugard Marquina Plutarco Julio</w:t>
            </w:r>
          </w:p>
        </w:tc>
      </w:tr>
      <w:tr w:rsidR="007B74B8" w:rsidRPr="000864AE" w14:paraId="536DC34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3795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266C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Dulanto Carrillo De Albornoz Enrique</w:t>
            </w:r>
          </w:p>
        </w:tc>
      </w:tr>
      <w:tr w:rsidR="007B74B8" w:rsidRPr="000864AE" w14:paraId="4520A70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92C3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3423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Durán Picho Antonio Félix</w:t>
            </w:r>
          </w:p>
        </w:tc>
      </w:tr>
      <w:tr w:rsidR="007B74B8" w:rsidRPr="000864AE" w14:paraId="48E03C3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395A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169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FE0C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Egocheaga Aguilar Prudencio</w:t>
            </w:r>
          </w:p>
        </w:tc>
      </w:tr>
      <w:tr w:rsidR="007B74B8" w:rsidRPr="000864AE" w14:paraId="63B85F1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1F93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2B5E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Eguiluz Mazuelos Efraín Sabino</w:t>
            </w:r>
          </w:p>
        </w:tc>
      </w:tr>
      <w:tr w:rsidR="007B74B8" w:rsidRPr="000864AE" w14:paraId="4C9B9E2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4D3F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57A9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Elías Cajo Reynaldo</w:t>
            </w:r>
          </w:p>
        </w:tc>
      </w:tr>
      <w:tr w:rsidR="007B74B8" w:rsidRPr="000864AE" w14:paraId="5E25384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E648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46C2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Elías Herrera Luis Dictino</w:t>
            </w:r>
          </w:p>
        </w:tc>
      </w:tr>
      <w:tr w:rsidR="007B74B8" w:rsidRPr="000864AE" w14:paraId="549EB5E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DEE0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0D59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Enriquez Hilary Pedro Marcial</w:t>
            </w:r>
          </w:p>
        </w:tc>
      </w:tr>
      <w:tr w:rsidR="007B74B8" w:rsidRPr="000864AE" w14:paraId="0662AFE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64E8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EFCBC"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Erazo Ramírez José María</w:t>
            </w:r>
          </w:p>
        </w:tc>
      </w:tr>
      <w:tr w:rsidR="007B74B8" w:rsidRPr="000864AE" w14:paraId="2C76CEC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2470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C57F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Escobedo Juárez Celso</w:t>
            </w:r>
          </w:p>
        </w:tc>
      </w:tr>
      <w:tr w:rsidR="007B74B8" w:rsidRPr="000864AE" w14:paraId="118CBAF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7AFC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EB54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Espinoza Alvarado Armando Jorge</w:t>
            </w:r>
          </w:p>
        </w:tc>
      </w:tr>
      <w:tr w:rsidR="007B74B8" w:rsidRPr="000864AE" w14:paraId="1BA1908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E21B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1922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Espinoza Alzamora Manuel Antenor</w:t>
            </w:r>
          </w:p>
        </w:tc>
      </w:tr>
      <w:tr w:rsidR="007B74B8" w:rsidRPr="000864AE" w14:paraId="7887609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17BB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3963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Espinoza Chávarry Humberto Saúl</w:t>
            </w:r>
          </w:p>
        </w:tc>
      </w:tr>
      <w:tr w:rsidR="007B74B8" w:rsidRPr="000864AE" w14:paraId="0697FD77" w14:textId="77777777" w:rsidTr="00AA5989">
        <w:trPr>
          <w:trHeight w:val="28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0CD0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179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584E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Espinoza Eyzaguirre María Del Carmen</w:t>
            </w:r>
          </w:p>
        </w:tc>
      </w:tr>
      <w:tr w:rsidR="007B74B8" w:rsidRPr="000864AE" w14:paraId="7D6FBBE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3818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832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Espinoza Guanilo Héctor Enrique</w:t>
            </w:r>
          </w:p>
        </w:tc>
      </w:tr>
      <w:tr w:rsidR="007B74B8" w:rsidRPr="000864AE" w14:paraId="04BF2AB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8F6E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5796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Espinoza Ramirez Manuel Demetrio</w:t>
            </w:r>
          </w:p>
        </w:tc>
      </w:tr>
      <w:tr w:rsidR="007B74B8" w:rsidRPr="000864AE" w14:paraId="62253DF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5FD6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7333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Estela Bravo Corina Elda</w:t>
            </w:r>
          </w:p>
        </w:tc>
      </w:tr>
      <w:tr w:rsidR="007B74B8" w:rsidRPr="000864AE" w14:paraId="7937D46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71D4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D98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Esterripa Angeles Rolando Abdias</w:t>
            </w:r>
          </w:p>
        </w:tc>
      </w:tr>
      <w:tr w:rsidR="007B74B8" w:rsidRPr="000864AE" w14:paraId="0DB852C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B59E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452C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Felipa Grimaldo Eduardo Donato</w:t>
            </w:r>
          </w:p>
        </w:tc>
      </w:tr>
      <w:tr w:rsidR="007B74B8" w:rsidRPr="000864AE" w14:paraId="18643AA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C051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B2B2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Fernández Lara María Soledad</w:t>
            </w:r>
          </w:p>
        </w:tc>
      </w:tr>
      <w:tr w:rsidR="007B74B8" w:rsidRPr="000864AE" w14:paraId="6F8638D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A382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B9588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Fernández Marrero Vicenta Elvira</w:t>
            </w:r>
          </w:p>
        </w:tc>
      </w:tr>
      <w:tr w:rsidR="007B74B8" w:rsidRPr="000864AE" w14:paraId="0420D2E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05FD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A523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Figueroa Herbas Enrique Moisés</w:t>
            </w:r>
          </w:p>
        </w:tc>
      </w:tr>
      <w:tr w:rsidR="007B74B8" w:rsidRPr="000864AE" w14:paraId="03015C8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00B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F948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Figueroa Herbas Jorge Roberto</w:t>
            </w:r>
          </w:p>
        </w:tc>
      </w:tr>
      <w:tr w:rsidR="007B74B8" w:rsidRPr="000864AE" w14:paraId="4E150E6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67E7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189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E0DD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Filomeno Landivar Jorge Nicolás</w:t>
            </w:r>
          </w:p>
        </w:tc>
      </w:tr>
      <w:tr w:rsidR="007B74B8" w:rsidRPr="000864AE" w14:paraId="169904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73CF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AD9F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Flores Almeza Wilma Consuelo Juana</w:t>
            </w:r>
          </w:p>
        </w:tc>
      </w:tr>
      <w:tr w:rsidR="007B74B8" w:rsidRPr="000864AE" w14:paraId="20A1F54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1AFE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4FE6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Flores Bermúdez Magno Melecio</w:t>
            </w:r>
          </w:p>
        </w:tc>
      </w:tr>
      <w:tr w:rsidR="007B74B8" w:rsidRPr="000864AE" w14:paraId="1138EA9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AFEC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DFB2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Flores Ferreyra Elmer</w:t>
            </w:r>
          </w:p>
        </w:tc>
      </w:tr>
      <w:tr w:rsidR="007B74B8" w:rsidRPr="000864AE" w14:paraId="03B0B59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CD93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68A9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Flores Pastor Luis Manuel</w:t>
            </w:r>
          </w:p>
        </w:tc>
      </w:tr>
      <w:tr w:rsidR="007B74B8" w:rsidRPr="000864AE" w14:paraId="664EE33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3A57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0B6B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Flores Plata Clemente Roberto</w:t>
            </w:r>
          </w:p>
        </w:tc>
      </w:tr>
      <w:tr w:rsidR="007B74B8" w:rsidRPr="000864AE" w14:paraId="6EA5F8C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0D46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08E0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Flores Sandoval Víctor Marcos</w:t>
            </w:r>
          </w:p>
        </w:tc>
      </w:tr>
      <w:tr w:rsidR="007B74B8" w:rsidRPr="000864AE" w14:paraId="483909E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45369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4C327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Fonseca Bernuy Enrique Manuel</w:t>
            </w:r>
          </w:p>
        </w:tc>
      </w:tr>
      <w:tr w:rsidR="007B74B8" w:rsidRPr="000864AE" w14:paraId="5111CD2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E84E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CF6B8"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Fry Montoya Enrique Antonio</w:t>
            </w:r>
          </w:p>
        </w:tc>
      </w:tr>
      <w:tr w:rsidR="007B74B8" w:rsidRPr="000864AE" w14:paraId="00F23FB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848F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489A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Galarza Fernández Pablo Humberto</w:t>
            </w:r>
          </w:p>
        </w:tc>
      </w:tr>
      <w:tr w:rsidR="007B74B8" w:rsidRPr="000864AE" w14:paraId="181C3DC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82F3D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199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09CCE" w14:textId="77777777" w:rsidR="007B74B8" w:rsidRPr="000864AE" w:rsidRDefault="007B74B8" w:rsidP="000864AE">
            <w:pPr>
              <w:spacing w:after="0" w:line="240" w:lineRule="auto"/>
              <w:rPr>
                <w:rFonts w:ascii="Verdana" w:eastAsia="Times New Roman" w:hAnsi="Verdana" w:cs="Times New Roman"/>
                <w:color w:val="000000"/>
                <w:sz w:val="18"/>
                <w:szCs w:val="18"/>
                <w:lang w:val="pt-BR" w:eastAsia="es-MX"/>
              </w:rPr>
            </w:pPr>
            <w:r w:rsidRPr="000864AE">
              <w:rPr>
                <w:rFonts w:ascii="Verdana" w:eastAsia="Times New Roman" w:hAnsi="Verdana" w:cs="Times New Roman"/>
                <w:color w:val="000000"/>
                <w:sz w:val="18"/>
                <w:szCs w:val="18"/>
                <w:lang w:val="pt-BR" w:eastAsia="es-MX"/>
              </w:rPr>
              <w:t>Galindo Espinoza Teresa De Jesús</w:t>
            </w:r>
          </w:p>
        </w:tc>
      </w:tr>
      <w:tr w:rsidR="007B74B8" w:rsidRPr="000864AE" w14:paraId="67B53A0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B35A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5BB7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Gallardo Flores Cesar Augusto</w:t>
            </w:r>
          </w:p>
        </w:tc>
      </w:tr>
      <w:tr w:rsidR="007B74B8" w:rsidRPr="000864AE" w14:paraId="2E17234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076D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CBEF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Gallo Agurto Cesar Augusto</w:t>
            </w:r>
          </w:p>
        </w:tc>
      </w:tr>
      <w:tr w:rsidR="007B74B8" w:rsidRPr="000864AE" w14:paraId="7B2209C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07B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99B9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Gálvez Mendoza Hernán Antonio</w:t>
            </w:r>
          </w:p>
        </w:tc>
      </w:tr>
      <w:tr w:rsidR="007B74B8" w:rsidRPr="000864AE" w14:paraId="02B8C4A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EEE8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201B7"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Gamarra Buendía Miguel Abilio</w:t>
            </w:r>
          </w:p>
        </w:tc>
      </w:tr>
      <w:tr w:rsidR="007B74B8" w:rsidRPr="000864AE" w14:paraId="539DFD6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D78E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4639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Gamarra Romero Simon Gustavo</w:t>
            </w:r>
          </w:p>
        </w:tc>
      </w:tr>
      <w:tr w:rsidR="007B74B8" w:rsidRPr="000864AE" w14:paraId="7086B04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01E4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6884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García Caballero Rafael Cristóbal</w:t>
            </w:r>
          </w:p>
        </w:tc>
      </w:tr>
      <w:tr w:rsidR="007B74B8" w:rsidRPr="000864AE" w14:paraId="1C82F73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5A59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EF11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García Hermoza Isidro Juvenal</w:t>
            </w:r>
          </w:p>
        </w:tc>
      </w:tr>
      <w:tr w:rsidR="007B74B8" w:rsidRPr="000864AE" w14:paraId="6794A60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2AAE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278E4"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García Muñoz Luisa Guadalupe</w:t>
            </w:r>
          </w:p>
        </w:tc>
      </w:tr>
      <w:tr w:rsidR="007B74B8" w:rsidRPr="000864AE" w14:paraId="37AE0C4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26DA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4827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García Tamariz Carlos Arturo</w:t>
            </w:r>
          </w:p>
        </w:tc>
      </w:tr>
      <w:tr w:rsidR="007B74B8" w:rsidRPr="000864AE" w14:paraId="38E0822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A2C8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209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A1E7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García Valdizán Dora</w:t>
            </w:r>
          </w:p>
        </w:tc>
      </w:tr>
      <w:tr w:rsidR="007B74B8" w:rsidRPr="000864AE" w14:paraId="1806768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D8C0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1A01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Gavilano Mendoza Gertrudis Idilia</w:t>
            </w:r>
          </w:p>
        </w:tc>
      </w:tr>
      <w:tr w:rsidR="007B74B8" w:rsidRPr="000864AE" w14:paraId="61981FB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D13E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11AA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 xml:space="preserve">Geldres Salamanca Elizabeth Victoria </w:t>
            </w:r>
          </w:p>
        </w:tc>
      </w:tr>
      <w:tr w:rsidR="007B74B8" w:rsidRPr="000864AE" w14:paraId="1BA5FEA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52E9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8DD1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Gómez Castañeda Marcos</w:t>
            </w:r>
          </w:p>
        </w:tc>
      </w:tr>
      <w:tr w:rsidR="007B74B8" w:rsidRPr="000864AE" w14:paraId="4FDEA20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794C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45C8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Gómez Lafaix Irene Violeta</w:t>
            </w:r>
          </w:p>
        </w:tc>
      </w:tr>
      <w:tr w:rsidR="007B74B8" w:rsidRPr="000864AE" w14:paraId="2C85338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9B6B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24BD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Gómez Suárez Elsa Beatriz</w:t>
            </w:r>
          </w:p>
        </w:tc>
      </w:tr>
      <w:tr w:rsidR="007B74B8" w:rsidRPr="000864AE" w14:paraId="18E9457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69E8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B9A3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Gonzáles Grados Manuel Mariano</w:t>
            </w:r>
          </w:p>
        </w:tc>
      </w:tr>
      <w:tr w:rsidR="007B74B8" w:rsidRPr="000864AE" w14:paraId="515B62F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1BCE1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EF21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Gonzáles Lombard Abrill Raúl</w:t>
            </w:r>
          </w:p>
        </w:tc>
      </w:tr>
      <w:tr w:rsidR="007B74B8" w:rsidRPr="000864AE" w14:paraId="0F55526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026C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D392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Gonzáles Rodríguez Fidel</w:t>
            </w:r>
          </w:p>
        </w:tc>
      </w:tr>
      <w:tr w:rsidR="007B74B8" w:rsidRPr="000864AE" w14:paraId="1168220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5E6D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6C31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Gonzáles Rodríguez Leopoldo</w:t>
            </w:r>
          </w:p>
        </w:tc>
      </w:tr>
      <w:tr w:rsidR="007B74B8" w:rsidRPr="000864AE" w14:paraId="6BBB7D2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E2EF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DDF4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Gotelli Lugo Rubén</w:t>
            </w:r>
          </w:p>
        </w:tc>
      </w:tr>
      <w:tr w:rsidR="007B74B8" w:rsidRPr="000864AE" w14:paraId="7324E56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E5E7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B1F1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Grande Bolívar Norma Estela</w:t>
            </w:r>
          </w:p>
        </w:tc>
      </w:tr>
      <w:tr w:rsidR="007B74B8" w:rsidRPr="000864AE" w14:paraId="581890D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82CDF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4FD5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Grande Cangahuala Gladys Dora</w:t>
            </w:r>
          </w:p>
        </w:tc>
      </w:tr>
      <w:tr w:rsidR="007B74B8" w:rsidRPr="000864AE" w14:paraId="44A46D4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9101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C5FC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Guerra La Torre Félix Fausto</w:t>
            </w:r>
          </w:p>
        </w:tc>
      </w:tr>
      <w:tr w:rsidR="007B74B8" w:rsidRPr="000864AE" w14:paraId="4EEFF44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117E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EF45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Guerrero Díaz César Lucio</w:t>
            </w:r>
          </w:p>
        </w:tc>
      </w:tr>
      <w:tr w:rsidR="007B74B8" w:rsidRPr="000864AE" w14:paraId="782FA29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B701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7AE1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Guevara Mucha Víctor Luis</w:t>
            </w:r>
          </w:p>
        </w:tc>
      </w:tr>
      <w:tr w:rsidR="007B74B8" w:rsidRPr="000864AE" w14:paraId="426792E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D780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3C55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Guillén Zarzosa Raymundo Manuel</w:t>
            </w:r>
          </w:p>
        </w:tc>
      </w:tr>
      <w:tr w:rsidR="007B74B8" w:rsidRPr="000864AE" w14:paraId="3FBE490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B3CA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3786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Guiulfo Castillo Olga Isabel</w:t>
            </w:r>
          </w:p>
        </w:tc>
      </w:tr>
      <w:tr w:rsidR="007B74B8" w:rsidRPr="000864AE" w14:paraId="488C95D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3797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6A1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Gutiérrez Cerna Álvaro Augusto</w:t>
            </w:r>
          </w:p>
        </w:tc>
      </w:tr>
      <w:tr w:rsidR="007B74B8" w:rsidRPr="000864AE" w14:paraId="65826A4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E5C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A5D8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Gutiérrez Gálvez Oscar</w:t>
            </w:r>
          </w:p>
        </w:tc>
      </w:tr>
      <w:tr w:rsidR="007B74B8" w:rsidRPr="000864AE" w14:paraId="2762B82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3A05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A600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Gutiérrez Martínez Guillermo</w:t>
            </w:r>
          </w:p>
        </w:tc>
      </w:tr>
      <w:tr w:rsidR="007B74B8" w:rsidRPr="000864AE" w14:paraId="5C808EE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F47E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6F27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Gutiérrez Tapia Tomas Wilbert</w:t>
            </w:r>
          </w:p>
        </w:tc>
      </w:tr>
      <w:tr w:rsidR="007B74B8" w:rsidRPr="000864AE" w14:paraId="5D91AD6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62AC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4C4E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Guzmán Reyes Carmen Victoria</w:t>
            </w:r>
          </w:p>
        </w:tc>
      </w:tr>
      <w:tr w:rsidR="007B74B8" w:rsidRPr="000864AE" w14:paraId="2C14860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51A3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B576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Haro Suárez Gladys Marietta</w:t>
            </w:r>
          </w:p>
        </w:tc>
      </w:tr>
      <w:tr w:rsidR="007B74B8" w:rsidRPr="000864AE" w14:paraId="0A4D21D0" w14:textId="77777777" w:rsidTr="00AA5989">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656C5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A243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Heredia Solís Miguel Eugenio</w:t>
            </w:r>
          </w:p>
        </w:tc>
      </w:tr>
      <w:tr w:rsidR="007B74B8" w:rsidRPr="000864AE" w14:paraId="4DA4B06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6E06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AF5C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Hernández La Fuente Abraham</w:t>
            </w:r>
          </w:p>
        </w:tc>
      </w:tr>
      <w:tr w:rsidR="007B74B8" w:rsidRPr="000864AE" w14:paraId="18142AD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F838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6C44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Hernández Miranda Ofelia</w:t>
            </w:r>
          </w:p>
        </w:tc>
      </w:tr>
      <w:tr w:rsidR="007B74B8" w:rsidRPr="000864AE" w14:paraId="4C99A6F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C2E2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47DC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Hidalgo Guevara Silvio Raúl</w:t>
            </w:r>
          </w:p>
        </w:tc>
      </w:tr>
      <w:tr w:rsidR="007B74B8" w:rsidRPr="000864AE" w14:paraId="4883AB3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8092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3334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Hinojosa Aybar Víctor Hugo</w:t>
            </w:r>
          </w:p>
        </w:tc>
      </w:tr>
      <w:tr w:rsidR="007B74B8" w:rsidRPr="000864AE" w14:paraId="061A297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B8D2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40CC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Hopkins Cangalaya José Edwing</w:t>
            </w:r>
          </w:p>
        </w:tc>
      </w:tr>
      <w:tr w:rsidR="007B74B8" w:rsidRPr="000864AE" w14:paraId="1521D9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4D26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7B68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Horna Arnao Enrique</w:t>
            </w:r>
          </w:p>
        </w:tc>
      </w:tr>
      <w:tr w:rsidR="007B74B8" w:rsidRPr="000864AE" w14:paraId="27D5A88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753C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46B68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Hoyos Díaz Humberto Javier</w:t>
            </w:r>
          </w:p>
        </w:tc>
      </w:tr>
      <w:tr w:rsidR="007B74B8" w:rsidRPr="000864AE" w14:paraId="6F61A85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ECEB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DC2A9"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Huamán Lozano Constanza</w:t>
            </w:r>
          </w:p>
        </w:tc>
      </w:tr>
      <w:tr w:rsidR="007B74B8" w:rsidRPr="000864AE" w14:paraId="25ABF2B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4988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C5B6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Huamán Torres Fermín</w:t>
            </w:r>
          </w:p>
        </w:tc>
      </w:tr>
      <w:tr w:rsidR="007B74B8" w:rsidRPr="000864AE" w14:paraId="534136C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A031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A6135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Huamaní Serrano Asterio</w:t>
            </w:r>
          </w:p>
        </w:tc>
      </w:tr>
      <w:tr w:rsidR="007B74B8" w:rsidRPr="000864AE" w14:paraId="699D450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FCE1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1C84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Huambachano Antón Hugo Bernardo</w:t>
            </w:r>
          </w:p>
        </w:tc>
      </w:tr>
      <w:tr w:rsidR="007B74B8" w:rsidRPr="000864AE" w14:paraId="2E12CCB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DF35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D034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Huapaya Mejía Julia Luz</w:t>
            </w:r>
          </w:p>
        </w:tc>
      </w:tr>
      <w:tr w:rsidR="007B74B8" w:rsidRPr="000864AE" w14:paraId="46524E1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4B59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65CC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Huaricancha Martínez José Luis</w:t>
            </w:r>
          </w:p>
        </w:tc>
      </w:tr>
      <w:tr w:rsidR="007B74B8" w:rsidRPr="000864AE" w14:paraId="1B49D64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A44E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26AD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Huaygua Velásquez Lizardo</w:t>
            </w:r>
          </w:p>
        </w:tc>
      </w:tr>
      <w:tr w:rsidR="007B74B8" w:rsidRPr="000864AE" w14:paraId="097972E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D6A2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D711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Huerta Pérez Juan</w:t>
            </w:r>
          </w:p>
        </w:tc>
      </w:tr>
      <w:tr w:rsidR="007B74B8" w:rsidRPr="000864AE" w14:paraId="584603F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ABE9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DC40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Huilca Chipana Juan De Dios</w:t>
            </w:r>
          </w:p>
        </w:tc>
      </w:tr>
      <w:tr w:rsidR="007B74B8" w:rsidRPr="000864AE" w14:paraId="50CCA2E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379F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9F08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Hunder Perlacios Bernabé Gene</w:t>
            </w:r>
          </w:p>
        </w:tc>
      </w:tr>
      <w:tr w:rsidR="007B74B8" w:rsidRPr="000864AE" w14:paraId="4BC8CDA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1BB6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E34B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Ibazett Villacorta Germán</w:t>
            </w:r>
          </w:p>
        </w:tc>
      </w:tr>
      <w:tr w:rsidR="007B74B8" w:rsidRPr="000864AE" w14:paraId="4401946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59D6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5A68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Iberico Ventocilla Angélica Mercedes</w:t>
            </w:r>
          </w:p>
        </w:tc>
      </w:tr>
      <w:tr w:rsidR="007B74B8" w:rsidRPr="000864AE" w14:paraId="1E304B3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62E3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70FA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Infantas Lovatón Américo</w:t>
            </w:r>
          </w:p>
        </w:tc>
      </w:tr>
      <w:tr w:rsidR="007B74B8" w:rsidRPr="000864AE" w14:paraId="2E24E2B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1624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3399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Infante Vargas Dulio</w:t>
            </w:r>
          </w:p>
        </w:tc>
      </w:tr>
      <w:tr w:rsidR="007B74B8" w:rsidRPr="000864AE" w14:paraId="36BA79D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1B762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0909BE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Isla Zevallos Dora Elisa</w:t>
            </w:r>
          </w:p>
        </w:tc>
      </w:tr>
      <w:tr w:rsidR="007B74B8" w:rsidRPr="000864AE" w14:paraId="3F70720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0DD1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D6BE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Jara Salcedo Julia Constantina</w:t>
            </w:r>
          </w:p>
        </w:tc>
      </w:tr>
      <w:tr w:rsidR="007B74B8" w:rsidRPr="000864AE" w14:paraId="63F9025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24CF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0110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Javier Mamani Wenceslao</w:t>
            </w:r>
          </w:p>
        </w:tc>
      </w:tr>
      <w:tr w:rsidR="007B74B8" w:rsidRPr="000864AE" w14:paraId="48B489A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BBF8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FD53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Jiménez Bravo Ygnacio</w:t>
            </w:r>
          </w:p>
        </w:tc>
      </w:tr>
      <w:tr w:rsidR="007B74B8" w:rsidRPr="000864AE" w14:paraId="4D8959F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EB1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77FA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Jiménez Cedano Cesar Enrique</w:t>
            </w:r>
          </w:p>
        </w:tc>
      </w:tr>
      <w:tr w:rsidR="007B74B8" w:rsidRPr="000864AE" w14:paraId="3EBF672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D8EA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69DC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Jo Wong Luis Alberto</w:t>
            </w:r>
          </w:p>
        </w:tc>
      </w:tr>
      <w:tr w:rsidR="007B74B8" w:rsidRPr="000864AE" w14:paraId="4F22322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451A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1D466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Jordán Ortiz Elsa</w:t>
            </w:r>
          </w:p>
        </w:tc>
      </w:tr>
      <w:tr w:rsidR="007B74B8" w:rsidRPr="000864AE" w14:paraId="42FFF7D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C165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18BE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Joy García Norma María</w:t>
            </w:r>
          </w:p>
        </w:tc>
      </w:tr>
      <w:tr w:rsidR="007B74B8" w:rsidRPr="000864AE" w14:paraId="0BBDCBA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43A1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552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Julca Herrera Alejandro Tiburcio</w:t>
            </w:r>
          </w:p>
        </w:tc>
      </w:tr>
      <w:tr w:rsidR="007B74B8" w:rsidRPr="000864AE" w14:paraId="2BBD83E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AA3A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428C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Koc Chavera Flossy Dolores</w:t>
            </w:r>
          </w:p>
        </w:tc>
      </w:tr>
      <w:tr w:rsidR="007B74B8" w:rsidRPr="000864AE" w14:paraId="4A19783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B244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C1B2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Kuramoto Huamán María Cruz</w:t>
            </w:r>
          </w:p>
        </w:tc>
      </w:tr>
      <w:tr w:rsidR="007B74B8" w:rsidRPr="000864AE" w14:paraId="62A6241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5846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687D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 Rosa Bardales César Antonio</w:t>
            </w:r>
          </w:p>
        </w:tc>
      </w:tr>
      <w:tr w:rsidR="007B74B8" w:rsidRPr="000864AE" w14:paraId="76D09F9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2554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F3C7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 Rosa Chagaray Clara</w:t>
            </w:r>
          </w:p>
        </w:tc>
      </w:tr>
      <w:tr w:rsidR="007B74B8" w:rsidRPr="000864AE" w14:paraId="54038A4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73A5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54D4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 Rosa Sanssoni Juan Francisco</w:t>
            </w:r>
          </w:p>
        </w:tc>
      </w:tr>
      <w:tr w:rsidR="007B74B8" w:rsidRPr="000864AE" w14:paraId="2C22B6B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D3AB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269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0230FD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 Torre Díaz Clara Gemina</w:t>
            </w:r>
          </w:p>
        </w:tc>
      </w:tr>
      <w:tr w:rsidR="007B74B8" w:rsidRPr="000864AE" w14:paraId="69D3B65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96D7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A45C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Lara Flores Enrique Sixto</w:t>
            </w:r>
          </w:p>
        </w:tc>
      </w:tr>
      <w:tr w:rsidR="007B74B8" w:rsidRPr="000864AE" w14:paraId="21F7FAF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5FEC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C828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Larru Salazar Angélica Dina</w:t>
            </w:r>
          </w:p>
        </w:tc>
      </w:tr>
      <w:tr w:rsidR="007B74B8" w:rsidRPr="000864AE" w14:paraId="2C0E72E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3969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610C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Lau Li Justa Virginia</w:t>
            </w:r>
          </w:p>
        </w:tc>
      </w:tr>
      <w:tr w:rsidR="007B74B8" w:rsidRPr="000864AE" w14:paraId="55CBAF5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B65E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23D0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Lau Quintana José</w:t>
            </w:r>
          </w:p>
        </w:tc>
      </w:tr>
      <w:tr w:rsidR="007B74B8" w:rsidRPr="000864AE" w14:paraId="30CA749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1DA1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7B2F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 xml:space="preserve">Lazarte Villanueva Graciela Carmen </w:t>
            </w:r>
          </w:p>
        </w:tc>
      </w:tr>
      <w:tr w:rsidR="007B74B8" w:rsidRPr="000864AE" w14:paraId="48CBEEA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6DBA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566F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Lazo García Ezequiel Horacio</w:t>
            </w:r>
          </w:p>
        </w:tc>
      </w:tr>
      <w:tr w:rsidR="007B74B8" w:rsidRPr="000864AE" w14:paraId="1AC1BDC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EEC6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0420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León Ángeles Nelly Teodora</w:t>
            </w:r>
          </w:p>
        </w:tc>
      </w:tr>
      <w:tr w:rsidR="007B74B8" w:rsidRPr="000864AE" w14:paraId="68506FD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9DD0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0FA5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Leturia Romero José Néstor</w:t>
            </w:r>
          </w:p>
        </w:tc>
      </w:tr>
      <w:tr w:rsidR="007B74B8" w:rsidRPr="000864AE" w14:paraId="5A88CA7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F403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FE8F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Lévano Salhuana Luis Alberto</w:t>
            </w:r>
          </w:p>
        </w:tc>
      </w:tr>
      <w:tr w:rsidR="007B74B8" w:rsidRPr="000864AE" w14:paraId="650E10E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BC0F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279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6DB7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Liberato Martínez Victoria Gladys</w:t>
            </w:r>
          </w:p>
        </w:tc>
      </w:tr>
      <w:tr w:rsidR="007B74B8" w:rsidRPr="000864AE" w14:paraId="2C0797A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AB83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926F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Liendo Sánchez Eliana María</w:t>
            </w:r>
          </w:p>
        </w:tc>
      </w:tr>
      <w:tr w:rsidR="007B74B8" w:rsidRPr="000864AE" w14:paraId="4A1F1AD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2EDE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D0B1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Lituma Agüero Cesar Humberto</w:t>
            </w:r>
          </w:p>
        </w:tc>
      </w:tr>
      <w:tr w:rsidR="007B74B8" w:rsidRPr="000864AE" w14:paraId="3E78B0C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56824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FCFB5A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Llamas Ordaya Emma Raquel</w:t>
            </w:r>
          </w:p>
        </w:tc>
      </w:tr>
      <w:tr w:rsidR="007B74B8" w:rsidRPr="000864AE" w14:paraId="23ABDC8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32F8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2B7A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Llamas Ordaya Emma Raquel</w:t>
            </w:r>
          </w:p>
        </w:tc>
      </w:tr>
      <w:tr w:rsidR="007B74B8" w:rsidRPr="000864AE" w14:paraId="5DE78D7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7171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E434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Times New Roman"/>
                <w:color w:val="000000"/>
                <w:sz w:val="18"/>
                <w:szCs w:val="18"/>
                <w:lang w:eastAsia="es-MX"/>
              </w:rPr>
              <w:t>Llontop Effio Juana Mercedes</w:t>
            </w:r>
          </w:p>
        </w:tc>
      </w:tr>
      <w:tr w:rsidR="007B74B8" w:rsidRPr="000864AE" w14:paraId="66275222" w14:textId="77777777" w:rsidTr="00AA5989">
        <w:trPr>
          <w:trHeight w:val="25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A576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725F0"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Loayza Paucar Feliciano</w:t>
            </w:r>
          </w:p>
        </w:tc>
      </w:tr>
      <w:tr w:rsidR="007B74B8" w:rsidRPr="000864AE" w14:paraId="0563595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6DC6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27D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Loayza Portilla Graciela</w:t>
            </w:r>
          </w:p>
        </w:tc>
      </w:tr>
      <w:tr w:rsidR="007B74B8" w:rsidRPr="000864AE" w14:paraId="4B5E8C2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6E7B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56A5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Lombardo Gonzáles Francisco Gregorio</w:t>
            </w:r>
          </w:p>
        </w:tc>
      </w:tr>
      <w:tr w:rsidR="007B74B8" w:rsidRPr="000864AE" w14:paraId="66A3744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2FB7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5315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Loo Reyes Carmen Rosa</w:t>
            </w:r>
          </w:p>
        </w:tc>
      </w:tr>
      <w:tr w:rsidR="007B74B8" w:rsidRPr="000864AE" w14:paraId="6464AFD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1C50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289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07E9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López Céspedes Alejandro Rubén</w:t>
            </w:r>
          </w:p>
        </w:tc>
      </w:tr>
      <w:tr w:rsidR="007B74B8" w:rsidRPr="000864AE" w14:paraId="2A2EF72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B585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833F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López Chu Tomas Emilio</w:t>
            </w:r>
          </w:p>
        </w:tc>
      </w:tr>
      <w:tr w:rsidR="007B74B8" w:rsidRPr="000864AE" w14:paraId="455878F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B89D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33F8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López Guerrero Dante A.</w:t>
            </w:r>
          </w:p>
        </w:tc>
      </w:tr>
      <w:tr w:rsidR="007B74B8" w:rsidRPr="000864AE" w14:paraId="46DDEB9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05D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E548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López Paredes Mauricio</w:t>
            </w:r>
          </w:p>
        </w:tc>
      </w:tr>
      <w:tr w:rsidR="007B74B8" w:rsidRPr="000864AE" w14:paraId="2B51A7D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458F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7179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López Vera Gladys Lucila</w:t>
            </w:r>
          </w:p>
        </w:tc>
      </w:tr>
      <w:tr w:rsidR="007B74B8" w:rsidRPr="000864AE" w14:paraId="729540F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1D49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4FEF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Lora Reyes Wilfredo Absalon</w:t>
            </w:r>
          </w:p>
        </w:tc>
      </w:tr>
      <w:tr w:rsidR="007B74B8" w:rsidRPr="000864AE" w14:paraId="12CE580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EAF0C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246F4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Loyola Tordoya Nydia Liliana</w:t>
            </w:r>
          </w:p>
        </w:tc>
      </w:tr>
      <w:tr w:rsidR="007B74B8" w:rsidRPr="000864AE" w14:paraId="5460FD2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3DED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8667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Ludeña Cárdenas Fausto</w:t>
            </w:r>
          </w:p>
        </w:tc>
      </w:tr>
      <w:tr w:rsidR="007B74B8" w:rsidRPr="000864AE" w14:paraId="7F125F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D04B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B56E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Luglio Mar Edgar Américo</w:t>
            </w:r>
          </w:p>
        </w:tc>
      </w:tr>
      <w:tr w:rsidR="007B74B8" w:rsidRPr="000864AE" w14:paraId="2F6E92C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9E0B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298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FB71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Lujan Burgos Gregorio Higinio</w:t>
            </w:r>
          </w:p>
        </w:tc>
      </w:tr>
      <w:tr w:rsidR="007B74B8" w:rsidRPr="000864AE" w14:paraId="1637ACF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22F24" w14:textId="77777777" w:rsidR="007B74B8" w:rsidRPr="00082152" w:rsidRDefault="007B74B8" w:rsidP="000864AE">
            <w:pPr>
              <w:spacing w:after="0" w:line="240" w:lineRule="auto"/>
              <w:jc w:val="center"/>
              <w:rPr>
                <w:rFonts w:ascii="Verdana" w:eastAsia="Times New Roman" w:hAnsi="Verdana" w:cs="Times New Roman"/>
                <w:b/>
                <w:color w:val="000000"/>
                <w:sz w:val="18"/>
                <w:szCs w:val="18"/>
                <w:lang w:eastAsia="es-MX"/>
              </w:rPr>
            </w:pPr>
            <w:r w:rsidRPr="00082152">
              <w:rPr>
                <w:rFonts w:ascii="Verdana" w:eastAsia="Times New Roman" w:hAnsi="Verdana" w:cs="Times New Roman"/>
                <w:b/>
                <w:color w:val="000000"/>
                <w:sz w:val="18"/>
                <w:szCs w:val="18"/>
                <w:lang w:eastAsia="es-MX"/>
              </w:rPr>
              <w:t>299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7572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2152">
              <w:rPr>
                <w:rFonts w:ascii="Verdana" w:eastAsia="Times New Roman" w:hAnsi="Verdana" w:cs="Arial"/>
                <w:color w:val="000000"/>
                <w:sz w:val="18"/>
                <w:szCs w:val="18"/>
                <w:lang w:eastAsia="es-MX"/>
              </w:rPr>
              <w:t>Luna Rojas Jesús Nora</w:t>
            </w:r>
          </w:p>
        </w:tc>
      </w:tr>
      <w:tr w:rsidR="007B74B8" w:rsidRPr="000864AE" w14:paraId="0AEEA08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451B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05B6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Macedo Medina Dora Emilia</w:t>
            </w:r>
          </w:p>
        </w:tc>
      </w:tr>
      <w:tr w:rsidR="007B74B8" w:rsidRPr="000864AE" w14:paraId="494353C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16AC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956C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Makishi Inafuku Vicente</w:t>
            </w:r>
          </w:p>
        </w:tc>
      </w:tr>
      <w:tr w:rsidR="007B74B8" w:rsidRPr="000864AE" w14:paraId="47BE1C2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1F5A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AB56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Manrique Alvarado Jorge Noe</w:t>
            </w:r>
          </w:p>
        </w:tc>
      </w:tr>
      <w:tr w:rsidR="007B74B8" w:rsidRPr="000864AE" w14:paraId="3218B32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B58E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DF04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Manrique Sánchez Lea Olga</w:t>
            </w:r>
          </w:p>
        </w:tc>
      </w:tr>
      <w:tr w:rsidR="007B74B8" w:rsidRPr="000864AE" w14:paraId="7B2D937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CEE2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117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Marin Carrera Clodomiro</w:t>
            </w:r>
          </w:p>
        </w:tc>
      </w:tr>
      <w:tr w:rsidR="007B74B8" w:rsidRPr="000864AE" w14:paraId="0E96481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033A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9358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Marmanillo Castro Walter</w:t>
            </w:r>
          </w:p>
        </w:tc>
      </w:tr>
      <w:tr w:rsidR="007B74B8" w:rsidRPr="000864AE" w14:paraId="570C4ED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7827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35550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Márquez Morante María Delia</w:t>
            </w:r>
          </w:p>
        </w:tc>
      </w:tr>
      <w:tr w:rsidR="007B74B8" w:rsidRPr="000864AE" w14:paraId="75E91F1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9E27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14D2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Marro Ibarra Luis Ernesto Francisco</w:t>
            </w:r>
          </w:p>
        </w:tc>
      </w:tr>
      <w:tr w:rsidR="007B74B8" w:rsidRPr="000864AE" w14:paraId="2E7317F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B8ED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409A6"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Martel López Carlos Orlando</w:t>
            </w:r>
          </w:p>
        </w:tc>
      </w:tr>
      <w:tr w:rsidR="007B74B8" w:rsidRPr="000864AE" w14:paraId="60EBD27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A754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309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31BB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Martínez Poblete Ercilia</w:t>
            </w:r>
          </w:p>
        </w:tc>
      </w:tr>
      <w:tr w:rsidR="007B74B8" w:rsidRPr="000864AE" w14:paraId="526975F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4F60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FD84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Masías Yarleque Víctor</w:t>
            </w:r>
          </w:p>
        </w:tc>
      </w:tr>
      <w:tr w:rsidR="007B74B8" w:rsidRPr="000864AE" w14:paraId="104B431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01BF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E91C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Matías Aguirre Mario</w:t>
            </w:r>
          </w:p>
        </w:tc>
      </w:tr>
      <w:tr w:rsidR="007B74B8" w:rsidRPr="000864AE" w14:paraId="4AAA6DA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A250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C06B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Matysek Icochea Vladimir</w:t>
            </w:r>
          </w:p>
        </w:tc>
      </w:tr>
      <w:tr w:rsidR="007B74B8" w:rsidRPr="000864AE" w14:paraId="086FAF2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D6AF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D9AF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Mayhua Vía Gregorio</w:t>
            </w:r>
          </w:p>
        </w:tc>
      </w:tr>
      <w:tr w:rsidR="007B74B8" w:rsidRPr="000864AE" w14:paraId="715E368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F63C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49A3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Medina Aguirre Alberto Alejandro</w:t>
            </w:r>
          </w:p>
        </w:tc>
      </w:tr>
      <w:tr w:rsidR="007B74B8" w:rsidRPr="000864AE" w14:paraId="60089A4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DE7F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9381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Medina Chávez Bertha</w:t>
            </w:r>
          </w:p>
        </w:tc>
      </w:tr>
      <w:tr w:rsidR="007B74B8" w:rsidRPr="000864AE" w14:paraId="32E6A0F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34ED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3642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Medina Del Río Evorcio Claver</w:t>
            </w:r>
          </w:p>
        </w:tc>
      </w:tr>
      <w:tr w:rsidR="007B74B8" w:rsidRPr="000864AE" w14:paraId="397ACCF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9C0F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C245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Medrano Tito Evangelina</w:t>
            </w:r>
          </w:p>
        </w:tc>
      </w:tr>
      <w:tr w:rsidR="007B74B8" w:rsidRPr="000864AE" w14:paraId="03D57DD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5CB6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776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Melgar Medina Gil Francisco</w:t>
            </w:r>
          </w:p>
        </w:tc>
      </w:tr>
      <w:tr w:rsidR="007B74B8" w:rsidRPr="000864AE" w14:paraId="7D263AC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A2E8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8919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Mendoza Linares Luis Enrique</w:t>
            </w:r>
          </w:p>
        </w:tc>
      </w:tr>
      <w:tr w:rsidR="007B74B8" w:rsidRPr="000864AE" w14:paraId="6FABD5A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AA85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99BD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Mendoza Puppi Julia Josefina</w:t>
            </w:r>
          </w:p>
        </w:tc>
      </w:tr>
      <w:tr w:rsidR="007B74B8" w:rsidRPr="000864AE" w14:paraId="7C96A74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0460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A623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Mendoza Puppi Rosa Amelia</w:t>
            </w:r>
          </w:p>
        </w:tc>
      </w:tr>
      <w:tr w:rsidR="007B74B8" w:rsidRPr="000864AE" w14:paraId="171B77F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B493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3E23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Mescua Bonifacio Esther Primitiva</w:t>
            </w:r>
          </w:p>
        </w:tc>
      </w:tr>
      <w:tr w:rsidR="007B74B8" w:rsidRPr="000864AE" w14:paraId="3D52075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D6C40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A42D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Mesones Carmona Virginia Victoria Sofía</w:t>
            </w:r>
          </w:p>
        </w:tc>
      </w:tr>
      <w:tr w:rsidR="007B74B8" w:rsidRPr="000864AE" w14:paraId="4BCDE61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0966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5F828"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Mesones Núñez Ana Emperatriz</w:t>
            </w:r>
          </w:p>
        </w:tc>
      </w:tr>
      <w:tr w:rsidR="007B74B8" w:rsidRPr="000864AE" w14:paraId="037339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16FE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BF7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Meza Suárez Beltrán Abraham</w:t>
            </w:r>
          </w:p>
        </w:tc>
      </w:tr>
      <w:tr w:rsidR="007B74B8" w:rsidRPr="000864AE" w14:paraId="1D7CDC7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7883B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172C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Milla Figueroa Eduardo Gamaniel</w:t>
            </w:r>
          </w:p>
        </w:tc>
      </w:tr>
      <w:tr w:rsidR="007B74B8" w:rsidRPr="000864AE" w14:paraId="0D65FE2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18B9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587C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Miranda Coronel Weissen</w:t>
            </w:r>
          </w:p>
        </w:tc>
      </w:tr>
      <w:tr w:rsidR="007B74B8" w:rsidRPr="000864AE" w14:paraId="1245DAA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3445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12C8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 xml:space="preserve">Miranda Fontana Manuel Jesús </w:t>
            </w:r>
          </w:p>
        </w:tc>
      </w:tr>
      <w:tr w:rsidR="007B74B8" w:rsidRPr="000864AE" w14:paraId="0B75B71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15D7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C0F5A"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Miranda Sánchez Gloria Isabel</w:t>
            </w:r>
          </w:p>
        </w:tc>
      </w:tr>
      <w:tr w:rsidR="007B74B8" w:rsidRPr="000864AE" w14:paraId="7183216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E3E4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72D5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Mogollón Pérez Wilfredo</w:t>
            </w:r>
          </w:p>
        </w:tc>
      </w:tr>
      <w:tr w:rsidR="007B74B8" w:rsidRPr="000864AE" w14:paraId="1852408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501C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1D9EE"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Mondragon Meléndez Anselmo Pedro</w:t>
            </w:r>
          </w:p>
        </w:tc>
      </w:tr>
      <w:tr w:rsidR="007B74B8" w:rsidRPr="000864AE" w14:paraId="18586EF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813B7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2998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Mondragón Orrego Teodoro</w:t>
            </w:r>
          </w:p>
        </w:tc>
      </w:tr>
      <w:tr w:rsidR="007B74B8" w:rsidRPr="000864AE" w14:paraId="1198DD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6BA6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AAB41"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Mondragón Vásquez Segundo Avelino</w:t>
            </w:r>
          </w:p>
        </w:tc>
      </w:tr>
      <w:tr w:rsidR="007B74B8" w:rsidRPr="000864AE" w14:paraId="67C419B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BAE5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B868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Mongrut Fuentes Antero Alfonzo</w:t>
            </w:r>
          </w:p>
        </w:tc>
      </w:tr>
      <w:tr w:rsidR="007B74B8" w:rsidRPr="000864AE" w14:paraId="367030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A8DC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E6D3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Montes Ballón Sofía Edelmira</w:t>
            </w:r>
          </w:p>
        </w:tc>
      </w:tr>
      <w:tr w:rsidR="007B74B8" w:rsidRPr="000864AE" w14:paraId="66C4D38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4B80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4357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Monteza Saavedra Segundo Miguel</w:t>
            </w:r>
          </w:p>
        </w:tc>
      </w:tr>
      <w:tr w:rsidR="007B74B8" w:rsidRPr="000864AE" w14:paraId="3F6C238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4AB9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7210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Montoro Bejarano Julio</w:t>
            </w:r>
          </w:p>
        </w:tc>
      </w:tr>
      <w:tr w:rsidR="007B74B8" w:rsidRPr="000864AE" w14:paraId="2374EEF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CAFA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BE5A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Morales Cruzatti Luis Oswaldo</w:t>
            </w:r>
          </w:p>
        </w:tc>
      </w:tr>
      <w:tr w:rsidR="007B74B8" w:rsidRPr="000864AE" w14:paraId="554830C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F2F6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B31F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Morales Vargas Héctor Álvaro</w:t>
            </w:r>
          </w:p>
        </w:tc>
      </w:tr>
      <w:tr w:rsidR="007B74B8" w:rsidRPr="000864AE" w14:paraId="21545AB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5670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DDAE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Moran Ascama Jorge Rufino</w:t>
            </w:r>
          </w:p>
        </w:tc>
      </w:tr>
      <w:tr w:rsidR="007B74B8" w:rsidRPr="000864AE" w14:paraId="4A711B5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9D7A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411F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Moreano Casquino Carmen Bernardina</w:t>
            </w:r>
          </w:p>
        </w:tc>
      </w:tr>
      <w:tr w:rsidR="007B74B8" w:rsidRPr="000864AE" w14:paraId="4E2B290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211A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BE69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Moreno Araujo Eva María</w:t>
            </w:r>
          </w:p>
        </w:tc>
      </w:tr>
      <w:tr w:rsidR="007B74B8" w:rsidRPr="000864AE" w14:paraId="4996035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174B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675E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Morillo Rojas Sara</w:t>
            </w:r>
          </w:p>
        </w:tc>
      </w:tr>
      <w:tr w:rsidR="007B74B8" w:rsidRPr="000864AE" w14:paraId="6160D3F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0A49E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269C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Morocho Vásquez Rosa Adelguisa</w:t>
            </w:r>
          </w:p>
        </w:tc>
      </w:tr>
      <w:tr w:rsidR="007B74B8" w:rsidRPr="000864AE" w14:paraId="431432D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1122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613724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Mostajo Pinazo Carmen Beatriz</w:t>
            </w:r>
          </w:p>
        </w:tc>
      </w:tr>
      <w:tr w:rsidR="007B74B8" w:rsidRPr="000864AE" w14:paraId="2457DD6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001A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D4F4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Moy Pacora Alejandro José</w:t>
            </w:r>
          </w:p>
        </w:tc>
      </w:tr>
      <w:tr w:rsidR="007B74B8" w:rsidRPr="000864AE" w14:paraId="0CD0325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61E4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52DF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Muñoz Campos Ode Raúl</w:t>
            </w:r>
          </w:p>
        </w:tc>
      </w:tr>
      <w:tr w:rsidR="007B74B8" w:rsidRPr="000864AE" w14:paraId="1CEF4C3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2831D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DA13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Muñoz Chávez Ángel</w:t>
            </w:r>
          </w:p>
        </w:tc>
      </w:tr>
      <w:tr w:rsidR="007B74B8" w:rsidRPr="000864AE" w14:paraId="55EF241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CD16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0904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Muñoz Leguía María Rosa</w:t>
            </w:r>
          </w:p>
        </w:tc>
      </w:tr>
      <w:tr w:rsidR="007B74B8" w:rsidRPr="000864AE" w14:paraId="7791AAD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7C37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1BE6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Muñoz Zambrano Carlos</w:t>
            </w:r>
          </w:p>
        </w:tc>
      </w:tr>
      <w:tr w:rsidR="007B74B8" w:rsidRPr="000864AE" w14:paraId="2152FB0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4C46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EFD9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Napuri Rondoy Jorge Alberto</w:t>
            </w:r>
          </w:p>
        </w:tc>
      </w:tr>
      <w:tr w:rsidR="007B74B8" w:rsidRPr="000864AE" w14:paraId="26F592D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4CA0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6646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Navarro Ayaucan Raúl Andrés</w:t>
            </w:r>
          </w:p>
        </w:tc>
      </w:tr>
      <w:tr w:rsidR="007B74B8" w:rsidRPr="000864AE" w14:paraId="2935CCD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E0A8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6DC7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Neyra Salas Luz Bari Miria</w:t>
            </w:r>
          </w:p>
        </w:tc>
      </w:tr>
      <w:tr w:rsidR="007B74B8" w:rsidRPr="000864AE" w14:paraId="78BADE7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0A36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AA3C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Noel Urbina Gilberto</w:t>
            </w:r>
          </w:p>
        </w:tc>
      </w:tr>
      <w:tr w:rsidR="007B74B8" w:rsidRPr="000864AE" w14:paraId="6E1A035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46F4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D51D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Noriega Cossío Oscar</w:t>
            </w:r>
          </w:p>
        </w:tc>
      </w:tr>
      <w:tr w:rsidR="007B74B8" w:rsidRPr="000864AE" w14:paraId="25103C9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F171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4C7C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Núñez Alatrista Gloria Ruth</w:t>
            </w:r>
          </w:p>
        </w:tc>
      </w:tr>
      <w:tr w:rsidR="007B74B8" w:rsidRPr="000864AE" w14:paraId="0556867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0270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6BCD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Núñez Gonzáles Yolanda</w:t>
            </w:r>
          </w:p>
        </w:tc>
      </w:tr>
      <w:tr w:rsidR="007B74B8" w:rsidRPr="000864AE" w14:paraId="6B681A2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0D28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95C5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Núñez Quispe Gregorio</w:t>
            </w:r>
          </w:p>
        </w:tc>
      </w:tr>
      <w:tr w:rsidR="007B74B8" w:rsidRPr="000864AE" w14:paraId="174DF88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0D60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FFF3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Núñez Talavera Gabriela Gladys</w:t>
            </w:r>
          </w:p>
        </w:tc>
      </w:tr>
      <w:tr w:rsidR="007B74B8" w:rsidRPr="000864AE" w14:paraId="37C893E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44B4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9B74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Oblitas Carrión Dina Augusta</w:t>
            </w:r>
          </w:p>
        </w:tc>
      </w:tr>
      <w:tr w:rsidR="007B74B8" w:rsidRPr="000864AE" w14:paraId="2439964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FDE5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1710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Obregón Tello Erlinda</w:t>
            </w:r>
          </w:p>
        </w:tc>
      </w:tr>
      <w:tr w:rsidR="007B74B8" w:rsidRPr="000864AE" w14:paraId="7FB0207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5C90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D8B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Ocrospoma Valdez Fermín Claudio</w:t>
            </w:r>
          </w:p>
        </w:tc>
      </w:tr>
      <w:tr w:rsidR="007B74B8" w:rsidRPr="000864AE" w14:paraId="37646CD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AB80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3620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Ojeda Macedo Arturo</w:t>
            </w:r>
          </w:p>
        </w:tc>
      </w:tr>
      <w:tr w:rsidR="007B74B8" w:rsidRPr="000864AE" w14:paraId="7B68889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FC30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9BE5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Ojeda Ovalle Joaquín Jacinto</w:t>
            </w:r>
          </w:p>
        </w:tc>
      </w:tr>
      <w:tr w:rsidR="007B74B8" w:rsidRPr="000864AE" w14:paraId="0BBB095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CF96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8914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Ojeda Y Lazo Luz Ysolina Juliana</w:t>
            </w:r>
          </w:p>
        </w:tc>
      </w:tr>
      <w:tr w:rsidR="007B74B8" w:rsidRPr="000864AE" w14:paraId="0797BB6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15A2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CF31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Olivera Torres Iris Mabel</w:t>
            </w:r>
          </w:p>
        </w:tc>
      </w:tr>
      <w:tr w:rsidR="007B74B8" w:rsidRPr="000864AE" w14:paraId="36B59D1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C979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122ED" w14:textId="77777777" w:rsidR="007B74B8" w:rsidRPr="000864AE" w:rsidRDefault="007B74B8" w:rsidP="000864AE">
            <w:pPr>
              <w:spacing w:after="0" w:line="240" w:lineRule="auto"/>
              <w:rPr>
                <w:rFonts w:ascii="Verdana" w:eastAsia="Times New Roman" w:hAnsi="Verdana" w:cs="Arial"/>
                <w:color w:val="000000"/>
                <w:sz w:val="18"/>
                <w:szCs w:val="18"/>
                <w:lang w:val="pt-BR" w:eastAsia="es-MX"/>
              </w:rPr>
            </w:pPr>
            <w:r w:rsidRPr="000864AE">
              <w:rPr>
                <w:rFonts w:ascii="Verdana" w:eastAsia="Times New Roman" w:hAnsi="Verdana" w:cs="Arial"/>
                <w:color w:val="000000"/>
                <w:sz w:val="18"/>
                <w:szCs w:val="18"/>
                <w:lang w:val="pt-BR" w:eastAsia="es-MX"/>
              </w:rPr>
              <w:t>Olivera Torres Judith Manuela Victoria</w:t>
            </w:r>
          </w:p>
        </w:tc>
      </w:tr>
      <w:tr w:rsidR="007B74B8" w:rsidRPr="000864AE" w14:paraId="1D852AC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9322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61375" w14:textId="1078A688" w:rsidR="007B74B8" w:rsidRPr="000864AE" w:rsidRDefault="001F62BD"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Olórtegui Ángeles Cristi</w:t>
            </w:r>
            <w:r w:rsidR="007B74B8" w:rsidRPr="000864AE">
              <w:rPr>
                <w:rFonts w:ascii="Verdana" w:eastAsia="Times New Roman" w:hAnsi="Verdana" w:cs="Arial"/>
                <w:color w:val="000000"/>
                <w:sz w:val="18"/>
                <w:szCs w:val="18"/>
                <w:lang w:eastAsia="es-MX"/>
              </w:rPr>
              <w:t>n Rodrigo</w:t>
            </w:r>
          </w:p>
        </w:tc>
      </w:tr>
      <w:tr w:rsidR="007B74B8" w:rsidRPr="000864AE" w14:paraId="5CFC979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6BB6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369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0579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Orihuela Herrera Luis Mariano</w:t>
            </w:r>
          </w:p>
        </w:tc>
      </w:tr>
      <w:tr w:rsidR="007B74B8" w:rsidRPr="000864AE" w14:paraId="6B1472D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058F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2D9A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Orrala Farfán Manuel Jacinto</w:t>
            </w:r>
          </w:p>
        </w:tc>
      </w:tr>
      <w:tr w:rsidR="007B74B8" w:rsidRPr="000864AE" w14:paraId="563982A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5C10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9E741"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Orrillo Chávez Esau</w:t>
            </w:r>
          </w:p>
        </w:tc>
      </w:tr>
      <w:tr w:rsidR="007B74B8" w:rsidRPr="000864AE" w14:paraId="72B8587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70D6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DB9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Ortiz Basauri Carmen Eufemia</w:t>
            </w:r>
          </w:p>
        </w:tc>
      </w:tr>
      <w:tr w:rsidR="007B74B8" w:rsidRPr="000864AE" w14:paraId="78F705C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27018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471B34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Ortiz León Mabel Noemí</w:t>
            </w:r>
          </w:p>
        </w:tc>
      </w:tr>
      <w:tr w:rsidR="007B74B8" w:rsidRPr="000864AE" w14:paraId="2C7BDB5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5877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B014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Oshiro Oshiro Rosa Yosiko</w:t>
            </w:r>
          </w:p>
        </w:tc>
      </w:tr>
      <w:tr w:rsidR="007B74B8" w:rsidRPr="000864AE" w14:paraId="2652ADF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AE32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088E9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Osiro Matusaki Lilian Lucy</w:t>
            </w:r>
          </w:p>
        </w:tc>
      </w:tr>
      <w:tr w:rsidR="007B74B8" w:rsidRPr="000864AE" w14:paraId="1AA8B3D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7B8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8E6B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Otoya Torres María Gusmara</w:t>
            </w:r>
          </w:p>
        </w:tc>
      </w:tr>
      <w:tr w:rsidR="007B74B8" w:rsidRPr="000864AE" w14:paraId="1BB1D1D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7BDD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50A6AD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Otoya Velezmoro Miguel Antonio</w:t>
            </w:r>
          </w:p>
        </w:tc>
      </w:tr>
      <w:tr w:rsidR="007B74B8" w:rsidRPr="000864AE" w14:paraId="08EAF6D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BD1C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B099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Oviedo Gómez Carlos Humberto</w:t>
            </w:r>
          </w:p>
        </w:tc>
      </w:tr>
      <w:tr w:rsidR="007B74B8" w:rsidRPr="000864AE" w14:paraId="7E0D1A7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B5C0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379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784C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Pacheco Camargo Juan</w:t>
            </w:r>
          </w:p>
        </w:tc>
      </w:tr>
      <w:tr w:rsidR="007B74B8" w:rsidRPr="000864AE" w14:paraId="09C8C24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CF0B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66C74C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Pacheco Tueros Luis Enrique</w:t>
            </w:r>
          </w:p>
        </w:tc>
      </w:tr>
      <w:tr w:rsidR="007B74B8" w:rsidRPr="000864AE" w14:paraId="2B93E6C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1B1F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48BC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Pajuelo Villegas Elsa Haydee</w:t>
            </w:r>
          </w:p>
        </w:tc>
      </w:tr>
      <w:tr w:rsidR="007B74B8" w:rsidRPr="000864AE" w14:paraId="11361EF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8453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342C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Palma Flores Ricardo Enrique</w:t>
            </w:r>
          </w:p>
        </w:tc>
      </w:tr>
      <w:tr w:rsidR="007B74B8" w:rsidRPr="000864AE" w14:paraId="63DF615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FC76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2493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Palma Flores Rosa Elvira</w:t>
            </w:r>
          </w:p>
        </w:tc>
      </w:tr>
      <w:tr w:rsidR="007B74B8" w:rsidRPr="000864AE" w14:paraId="5A749AB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59CA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74A9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Pantoja Marroquín Hilda Teresa</w:t>
            </w:r>
          </w:p>
        </w:tc>
      </w:tr>
      <w:tr w:rsidR="007B74B8" w:rsidRPr="000864AE" w14:paraId="0B5ED1E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FD94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0977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Pardo Heredia Alejandro</w:t>
            </w:r>
          </w:p>
        </w:tc>
      </w:tr>
      <w:tr w:rsidR="007B74B8" w:rsidRPr="000864AE" w14:paraId="2D04EB8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7241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087C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Pardo Vega José Armando</w:t>
            </w:r>
          </w:p>
        </w:tc>
      </w:tr>
      <w:tr w:rsidR="007B74B8" w:rsidRPr="000864AE" w14:paraId="3673285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D646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197A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Paredes Meléndez Teresa Elizabeth</w:t>
            </w:r>
          </w:p>
        </w:tc>
      </w:tr>
      <w:tr w:rsidR="007B74B8" w:rsidRPr="000864AE" w14:paraId="279C26F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FB9E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B5EA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Paredes Panduro Luis</w:t>
            </w:r>
          </w:p>
        </w:tc>
      </w:tr>
      <w:tr w:rsidR="007B74B8" w:rsidRPr="000864AE" w14:paraId="366482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0491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389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001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Parker Pacheco Estrella Luz</w:t>
            </w:r>
          </w:p>
        </w:tc>
      </w:tr>
      <w:tr w:rsidR="007B74B8" w:rsidRPr="000864AE" w14:paraId="4742608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62FA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F808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Parra Loli Wladimiro Hugo</w:t>
            </w:r>
          </w:p>
        </w:tc>
      </w:tr>
      <w:tr w:rsidR="007B74B8" w:rsidRPr="000864AE" w14:paraId="0BB1B64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D2E2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12AB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Parra Sánchez José Santos</w:t>
            </w:r>
          </w:p>
        </w:tc>
      </w:tr>
      <w:tr w:rsidR="007B74B8" w:rsidRPr="000864AE" w14:paraId="1A0C865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ABA4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912A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Pasco Fitzgerald Elva Hercilia</w:t>
            </w:r>
          </w:p>
        </w:tc>
      </w:tr>
      <w:tr w:rsidR="007B74B8" w:rsidRPr="000864AE" w14:paraId="7A15E6B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AF8B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3A1E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Pasquel Ormaza Francisco</w:t>
            </w:r>
          </w:p>
        </w:tc>
      </w:tr>
      <w:tr w:rsidR="007B74B8" w:rsidRPr="000864AE" w14:paraId="0D6A385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0DA3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1356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Paulini Efio Elia Nora</w:t>
            </w:r>
          </w:p>
        </w:tc>
      </w:tr>
      <w:tr w:rsidR="007B74B8" w:rsidRPr="000864AE" w14:paraId="4CD9114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1050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9BA3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Peña Flores Irma</w:t>
            </w:r>
          </w:p>
        </w:tc>
      </w:tr>
      <w:tr w:rsidR="007B74B8" w:rsidRPr="000864AE" w14:paraId="7841BFD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8364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6C35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Peppe Riega Nicolás</w:t>
            </w:r>
          </w:p>
        </w:tc>
      </w:tr>
      <w:tr w:rsidR="007B74B8" w:rsidRPr="000864AE" w14:paraId="3823E32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A95D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446F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Peralta Zegarra Zoila Aurora</w:t>
            </w:r>
          </w:p>
        </w:tc>
      </w:tr>
      <w:tr w:rsidR="007B74B8" w:rsidRPr="000864AE" w14:paraId="334B8FA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E0C1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2755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Pereyra Echegaray Elsa Rosario</w:t>
            </w:r>
          </w:p>
        </w:tc>
      </w:tr>
      <w:tr w:rsidR="007B74B8" w:rsidRPr="000864AE" w14:paraId="1080820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2AA5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399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EDAE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Pérez Alejos Vicente Wilson</w:t>
            </w:r>
          </w:p>
        </w:tc>
      </w:tr>
      <w:tr w:rsidR="007B74B8" w:rsidRPr="000864AE" w14:paraId="5C3810E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9CDB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4D62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Pérez Castro Julián</w:t>
            </w:r>
          </w:p>
        </w:tc>
      </w:tr>
      <w:tr w:rsidR="007B74B8" w:rsidRPr="000864AE" w14:paraId="27B23E4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E12A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ED0E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Pérez Choque María Victoria</w:t>
            </w:r>
          </w:p>
        </w:tc>
      </w:tr>
      <w:tr w:rsidR="007B74B8" w:rsidRPr="000864AE" w14:paraId="4AEA3AB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B573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DF91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Pérez Frazer María De Lourdes</w:t>
            </w:r>
          </w:p>
        </w:tc>
      </w:tr>
      <w:tr w:rsidR="007B74B8" w:rsidRPr="000864AE" w14:paraId="65673A7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BDB1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011CA"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Pérez Minaya Luis Mariano</w:t>
            </w:r>
          </w:p>
        </w:tc>
      </w:tr>
      <w:tr w:rsidR="007B74B8" w:rsidRPr="000864AE" w14:paraId="761300A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AB70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C728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Pérez Salas Víctor Raúl</w:t>
            </w:r>
          </w:p>
        </w:tc>
      </w:tr>
      <w:tr w:rsidR="007B74B8" w:rsidRPr="000864AE" w14:paraId="1444A4F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D15C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971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Pérez Vergara Marina Herminia</w:t>
            </w:r>
          </w:p>
        </w:tc>
      </w:tr>
      <w:tr w:rsidR="007B74B8" w:rsidRPr="000864AE" w14:paraId="03C8C69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8C21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AAE9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Pinedo López Lady</w:t>
            </w:r>
          </w:p>
        </w:tc>
      </w:tr>
      <w:tr w:rsidR="007B74B8" w:rsidRPr="000864AE" w14:paraId="70E53A4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6C89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97AB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Placencia Carranza Hugo Alberto</w:t>
            </w:r>
          </w:p>
        </w:tc>
      </w:tr>
      <w:tr w:rsidR="007B74B8" w:rsidRPr="000864AE" w14:paraId="2224F69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9D5C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A928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Plasencia Torres Jorge Guillermo</w:t>
            </w:r>
          </w:p>
        </w:tc>
      </w:tr>
      <w:tr w:rsidR="007B74B8" w:rsidRPr="000864AE" w14:paraId="5C825DC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5417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409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C818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Poblete Loayza Víctor</w:t>
            </w:r>
          </w:p>
        </w:tc>
      </w:tr>
      <w:tr w:rsidR="007B74B8" w:rsidRPr="000864AE" w14:paraId="1A7F12E4" w14:textId="77777777" w:rsidTr="00AA5989">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4829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3D3BF"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Polleri Dongo Cesar Ernesto</w:t>
            </w:r>
          </w:p>
        </w:tc>
      </w:tr>
      <w:tr w:rsidR="007B74B8" w:rsidRPr="000864AE" w14:paraId="289468A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479C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00BD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Posso Tornero Eduardo</w:t>
            </w:r>
          </w:p>
        </w:tc>
      </w:tr>
      <w:tr w:rsidR="007B74B8" w:rsidRPr="000864AE" w14:paraId="4AAD863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F348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E9D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Povis Carvajal Gloria Luz</w:t>
            </w:r>
          </w:p>
        </w:tc>
      </w:tr>
      <w:tr w:rsidR="007B74B8" w:rsidRPr="000864AE" w14:paraId="3349DA4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21C4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2DFA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Prado Pantoja Jorge Luis</w:t>
            </w:r>
          </w:p>
        </w:tc>
      </w:tr>
      <w:tr w:rsidR="007B74B8" w:rsidRPr="000864AE" w14:paraId="59422F58" w14:textId="77777777" w:rsidTr="00AA5989">
        <w:trPr>
          <w:trHeight w:val="28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70DB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5E2F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Pujazón Morello Humberto Ernesto</w:t>
            </w:r>
          </w:p>
        </w:tc>
      </w:tr>
      <w:tr w:rsidR="007B74B8" w:rsidRPr="000864AE" w14:paraId="5695BD2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F339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ADB8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Pulgar Omonte Pedro</w:t>
            </w:r>
          </w:p>
        </w:tc>
      </w:tr>
      <w:tr w:rsidR="007B74B8" w:rsidRPr="000864AE" w14:paraId="2F73183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6C14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1DC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Puntriano Torres Ríos Javier Gustavo</w:t>
            </w:r>
          </w:p>
        </w:tc>
      </w:tr>
      <w:tr w:rsidR="007B74B8" w:rsidRPr="000864AE" w14:paraId="00326D2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4376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C403" w14:textId="77777777" w:rsidR="007B74B8" w:rsidRPr="000864AE" w:rsidRDefault="007B74B8" w:rsidP="000864AE">
            <w:pPr>
              <w:spacing w:after="0" w:line="240" w:lineRule="auto"/>
              <w:rPr>
                <w:rFonts w:ascii="Verdana" w:eastAsia="Times New Roman" w:hAnsi="Verdana" w:cs="Arial"/>
                <w:color w:val="000000"/>
                <w:sz w:val="18"/>
                <w:szCs w:val="18"/>
                <w:lang w:val="pt-BR" w:eastAsia="es-MX"/>
              </w:rPr>
            </w:pPr>
            <w:r w:rsidRPr="000864AE">
              <w:rPr>
                <w:rFonts w:ascii="Verdana" w:eastAsia="Times New Roman" w:hAnsi="Verdana" w:cs="Arial"/>
                <w:color w:val="000000"/>
                <w:sz w:val="18"/>
                <w:szCs w:val="18"/>
                <w:lang w:val="pt-BR" w:eastAsia="es-MX"/>
              </w:rPr>
              <w:t>Queens Arias Soto Jesús Fernando</w:t>
            </w:r>
          </w:p>
        </w:tc>
      </w:tr>
      <w:tr w:rsidR="007B74B8" w:rsidRPr="000864AE" w14:paraId="515B091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21E4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04A9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Quevedo Cabrera Máximo Valentín</w:t>
            </w:r>
          </w:p>
        </w:tc>
      </w:tr>
      <w:tr w:rsidR="007B74B8" w:rsidRPr="000864AE" w14:paraId="68FEFDA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920C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A850C" w14:textId="77777777" w:rsidR="007B74B8" w:rsidRPr="000864AE" w:rsidRDefault="007B74B8" w:rsidP="000864AE">
            <w:pPr>
              <w:spacing w:after="0" w:line="240" w:lineRule="auto"/>
              <w:rPr>
                <w:rFonts w:ascii="Verdana" w:eastAsia="Times New Roman" w:hAnsi="Verdana" w:cs="Times New Roman"/>
                <w:color w:val="000000"/>
                <w:sz w:val="18"/>
                <w:szCs w:val="18"/>
                <w:lang w:val="pt-BR" w:eastAsia="es-MX"/>
              </w:rPr>
            </w:pPr>
            <w:r w:rsidRPr="000864AE">
              <w:rPr>
                <w:rFonts w:ascii="Verdana" w:eastAsia="Times New Roman" w:hAnsi="Verdana" w:cs="Arial"/>
                <w:color w:val="000000"/>
                <w:sz w:val="18"/>
                <w:szCs w:val="18"/>
                <w:lang w:val="pt-BR" w:eastAsia="es-MX"/>
              </w:rPr>
              <w:t>Quevedo Rivas Jorge José Gabriel</w:t>
            </w:r>
          </w:p>
        </w:tc>
      </w:tr>
      <w:tr w:rsidR="007B74B8" w:rsidRPr="000864AE" w14:paraId="52F3D90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5661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9DD8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Quevedo Rivas María Emperatriz</w:t>
            </w:r>
          </w:p>
        </w:tc>
      </w:tr>
      <w:tr w:rsidR="007B74B8" w:rsidRPr="000864AE" w14:paraId="5C96FD7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9FE3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A7CE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Quezada Mejía Sandalio Diego</w:t>
            </w:r>
          </w:p>
        </w:tc>
      </w:tr>
      <w:tr w:rsidR="007B74B8" w:rsidRPr="000864AE" w14:paraId="591027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5A9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5F8A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Quintana Palacios Flora Del Carmen</w:t>
            </w:r>
          </w:p>
        </w:tc>
      </w:tr>
      <w:tr w:rsidR="007B74B8" w:rsidRPr="000864AE" w14:paraId="5900810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F2D5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AD7AB"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Quiñe Romero Rosa Elena</w:t>
            </w:r>
          </w:p>
        </w:tc>
      </w:tr>
      <w:tr w:rsidR="007B74B8" w:rsidRPr="000864AE" w14:paraId="6906FE7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2D57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3191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Quiroz Cauvi María Rosario</w:t>
            </w:r>
          </w:p>
        </w:tc>
      </w:tr>
      <w:tr w:rsidR="007B74B8" w:rsidRPr="000864AE" w14:paraId="5FDF976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D1D6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D0B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Quiroz Ortiz Haydee Dehera</w:t>
            </w:r>
          </w:p>
        </w:tc>
      </w:tr>
      <w:tr w:rsidR="007B74B8" w:rsidRPr="000864AE" w14:paraId="14A961C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FEB5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32BF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Quiroz Vallejos Carmen Mercedes</w:t>
            </w:r>
          </w:p>
        </w:tc>
      </w:tr>
      <w:tr w:rsidR="007B74B8" w:rsidRPr="000864AE" w14:paraId="54235D3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966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91626"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Rado Farfán Federico</w:t>
            </w:r>
          </w:p>
        </w:tc>
      </w:tr>
      <w:tr w:rsidR="007B74B8" w:rsidRPr="000864AE" w14:paraId="49A10B9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BBD4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A274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Raez Guevara Ana María</w:t>
            </w:r>
          </w:p>
        </w:tc>
      </w:tr>
      <w:tr w:rsidR="007B74B8" w:rsidRPr="000864AE" w14:paraId="26C96DC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62F9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C933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Ramírez Bustos Damaso Arístides</w:t>
            </w:r>
          </w:p>
        </w:tc>
      </w:tr>
      <w:tr w:rsidR="007B74B8" w:rsidRPr="000864AE" w14:paraId="2FE4DC5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84D38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43F1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Ramírez Hoyos Juan Alberto</w:t>
            </w:r>
          </w:p>
        </w:tc>
      </w:tr>
      <w:tr w:rsidR="007B74B8" w:rsidRPr="000864AE" w14:paraId="5109B76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531D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70A0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Ramírez Pérez Pablo Gilberto</w:t>
            </w:r>
          </w:p>
        </w:tc>
      </w:tr>
      <w:tr w:rsidR="007B74B8" w:rsidRPr="000864AE" w14:paraId="302D699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D5E4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6B9A9"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Ramos Camacho Francisco</w:t>
            </w:r>
          </w:p>
        </w:tc>
      </w:tr>
      <w:tr w:rsidR="007B74B8" w:rsidRPr="000864AE" w14:paraId="34C0248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81CD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8632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Ramos Correa Carmen</w:t>
            </w:r>
          </w:p>
        </w:tc>
      </w:tr>
      <w:tr w:rsidR="007B74B8" w:rsidRPr="000864AE" w14:paraId="7F96322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6680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26AC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Ramos Espino Pedro Leoncio</w:t>
            </w:r>
          </w:p>
        </w:tc>
      </w:tr>
      <w:tr w:rsidR="007B74B8" w:rsidRPr="000864AE" w14:paraId="3AB2F83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EB2F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3D15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Ramos Pacheco Henry Oswaldo</w:t>
            </w:r>
          </w:p>
        </w:tc>
      </w:tr>
      <w:tr w:rsidR="007B74B8" w:rsidRPr="000864AE" w14:paraId="2BC4B97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9D26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0452"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Reátegui Dubuc Rosa Ida</w:t>
            </w:r>
          </w:p>
        </w:tc>
      </w:tr>
      <w:tr w:rsidR="007B74B8" w:rsidRPr="000864AE" w14:paraId="0E30FF4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D12C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64DB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Reátegui Solano Daniel</w:t>
            </w:r>
          </w:p>
        </w:tc>
      </w:tr>
      <w:tr w:rsidR="007B74B8" w:rsidRPr="000864AE" w14:paraId="58E72FB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E732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38A2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Rejas Gómez José Luis</w:t>
            </w:r>
          </w:p>
        </w:tc>
      </w:tr>
      <w:tr w:rsidR="007B74B8" w:rsidRPr="000864AE" w14:paraId="4540E2F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D5E0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C623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Rengifo Hidalgo Ramón</w:t>
            </w:r>
          </w:p>
        </w:tc>
      </w:tr>
      <w:tr w:rsidR="007B74B8" w:rsidRPr="000864AE" w14:paraId="170049B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0421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58D0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Rengifo Pezo Carlos Advelcader</w:t>
            </w:r>
          </w:p>
        </w:tc>
      </w:tr>
      <w:tr w:rsidR="007B74B8" w:rsidRPr="000864AE" w14:paraId="1EE56B1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8DB3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3F0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Renilla Herrera Raúl Alberto</w:t>
            </w:r>
          </w:p>
        </w:tc>
      </w:tr>
      <w:tr w:rsidR="007B74B8" w:rsidRPr="000864AE" w14:paraId="2E444E5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9BAB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BE105"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Reque Cumpa Máximo</w:t>
            </w:r>
          </w:p>
        </w:tc>
      </w:tr>
      <w:tr w:rsidR="007B74B8" w:rsidRPr="000864AE" w14:paraId="7F97665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E2B1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6B4E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Retamozo Pareja Teofilo</w:t>
            </w:r>
          </w:p>
        </w:tc>
      </w:tr>
      <w:tr w:rsidR="007B74B8" w:rsidRPr="000864AE" w14:paraId="3E30AD9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F43E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C8BE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Reyes Ato Rolando</w:t>
            </w:r>
          </w:p>
        </w:tc>
      </w:tr>
      <w:tr w:rsidR="007B74B8" w:rsidRPr="000864AE" w14:paraId="6F270C3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0069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9CA6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Reyes Sosa Rosa Isabel</w:t>
            </w:r>
          </w:p>
        </w:tc>
      </w:tr>
      <w:tr w:rsidR="007B74B8" w:rsidRPr="000864AE" w14:paraId="22DD8A4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C6D4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9FC3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Reyna Savero Carmen Jerónima</w:t>
            </w:r>
          </w:p>
        </w:tc>
      </w:tr>
      <w:tr w:rsidR="007B74B8" w:rsidRPr="000864AE" w14:paraId="25ECA98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E4D1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F2A0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Ríos Ramos Paulina Laura Pilar</w:t>
            </w:r>
          </w:p>
        </w:tc>
      </w:tr>
      <w:tr w:rsidR="007B74B8" w:rsidRPr="000864AE" w14:paraId="2A08B31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1AA5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B75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Ríos Zavaleta Fortunato David</w:t>
            </w:r>
          </w:p>
        </w:tc>
      </w:tr>
      <w:tr w:rsidR="007B74B8" w:rsidRPr="000864AE" w14:paraId="71CBA08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B2BD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E5AB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Risso Colmenares Ramón</w:t>
            </w:r>
          </w:p>
        </w:tc>
      </w:tr>
      <w:tr w:rsidR="007B74B8" w:rsidRPr="000864AE" w14:paraId="10F85C4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A71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2ABD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Rivas Puga Enrique</w:t>
            </w:r>
          </w:p>
        </w:tc>
      </w:tr>
      <w:tr w:rsidR="007B74B8" w:rsidRPr="000864AE" w14:paraId="4D28AE2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9211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76DDD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Rivera Egúsquiza Andrés Roberto</w:t>
            </w:r>
          </w:p>
        </w:tc>
      </w:tr>
      <w:tr w:rsidR="007B74B8" w:rsidRPr="000864AE" w14:paraId="3F149EB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E31D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9C70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Rivera Egúsquiza Augusto A.</w:t>
            </w:r>
          </w:p>
        </w:tc>
      </w:tr>
      <w:tr w:rsidR="007B74B8" w:rsidRPr="000864AE" w14:paraId="3590A5B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AEB5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430CB"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Rivera Valega Román Rodolfo</w:t>
            </w:r>
          </w:p>
        </w:tc>
      </w:tr>
      <w:tr w:rsidR="007B74B8" w:rsidRPr="000864AE" w14:paraId="674D8C8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1A89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D2CD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Robles Ventocilla Clara Rosa</w:t>
            </w:r>
          </w:p>
        </w:tc>
      </w:tr>
      <w:tr w:rsidR="007B74B8" w:rsidRPr="000864AE" w14:paraId="6C3D832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58DE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2D0B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Roca Vega Blanca Haydee</w:t>
            </w:r>
          </w:p>
        </w:tc>
      </w:tr>
      <w:tr w:rsidR="007B74B8" w:rsidRPr="000864AE" w14:paraId="7384BA2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DD290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7B3A9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Rocca Sánchez Julio Eduardo</w:t>
            </w:r>
          </w:p>
        </w:tc>
      </w:tr>
      <w:tr w:rsidR="007B74B8" w:rsidRPr="000864AE" w14:paraId="00A34A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5720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57CD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Rodríguez Aguirre Julio Raúl</w:t>
            </w:r>
          </w:p>
        </w:tc>
      </w:tr>
      <w:tr w:rsidR="007B74B8" w:rsidRPr="000864AE" w14:paraId="002EF5E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4B16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5AA9B"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Rodríguez Arana Manuel Humberto</w:t>
            </w:r>
          </w:p>
        </w:tc>
      </w:tr>
      <w:tr w:rsidR="007B74B8" w:rsidRPr="000864AE" w14:paraId="11DF757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B9AD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F3B3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Rodríguez Banda Angélica Josefina</w:t>
            </w:r>
          </w:p>
        </w:tc>
      </w:tr>
      <w:tr w:rsidR="007B74B8" w:rsidRPr="000864AE" w14:paraId="4C857AD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915F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C86A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Rodríguez La Madrid Eduardo</w:t>
            </w:r>
          </w:p>
        </w:tc>
      </w:tr>
      <w:tr w:rsidR="007B74B8" w:rsidRPr="000864AE" w14:paraId="1B94FA2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69EB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2A73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Rodríguez Márquez Jaime</w:t>
            </w:r>
          </w:p>
        </w:tc>
      </w:tr>
      <w:tr w:rsidR="007B74B8" w:rsidRPr="000864AE" w14:paraId="4B151AB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DDE4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5D68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Rodríguez Rodríguez Benjamin</w:t>
            </w:r>
          </w:p>
        </w:tc>
      </w:tr>
      <w:tr w:rsidR="007B74B8" w:rsidRPr="000864AE" w14:paraId="6C5264E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DE4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561B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Rojas Carriedo Yolanda Alejandrina</w:t>
            </w:r>
          </w:p>
        </w:tc>
      </w:tr>
      <w:tr w:rsidR="007B74B8" w:rsidRPr="000864AE" w14:paraId="43F0A9E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5A6F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342A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Rojas Gutiérrez Olga Angélica</w:t>
            </w:r>
          </w:p>
        </w:tc>
      </w:tr>
      <w:tr w:rsidR="007B74B8" w:rsidRPr="000864AE" w14:paraId="05D2905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1F2F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363A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Rojas Rosales Aída Roberta</w:t>
            </w:r>
          </w:p>
        </w:tc>
      </w:tr>
      <w:tr w:rsidR="007B74B8" w:rsidRPr="000864AE" w14:paraId="650E5D1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7B9C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E401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Rojas Rosales Delia Jacinta</w:t>
            </w:r>
          </w:p>
        </w:tc>
      </w:tr>
      <w:tr w:rsidR="007B74B8" w:rsidRPr="000864AE" w14:paraId="35477DF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6434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FC14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Rojas Santos Luis Alberto</w:t>
            </w:r>
          </w:p>
        </w:tc>
      </w:tr>
      <w:tr w:rsidR="007B74B8" w:rsidRPr="000864AE" w14:paraId="2B5157F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8422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CE885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Rojo Villanueva Mauro Cristóbal</w:t>
            </w:r>
          </w:p>
        </w:tc>
      </w:tr>
      <w:tr w:rsidR="007B74B8" w:rsidRPr="000864AE" w14:paraId="5F7316B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8307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469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9071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Román Espinoza María Eugenia</w:t>
            </w:r>
          </w:p>
        </w:tc>
      </w:tr>
      <w:tr w:rsidR="007B74B8" w:rsidRPr="000864AE" w14:paraId="48D3602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A436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82AE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Romero Díaz Luis</w:t>
            </w:r>
          </w:p>
        </w:tc>
      </w:tr>
      <w:tr w:rsidR="007B74B8" w:rsidRPr="000864AE" w14:paraId="33643EE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D59E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F4F5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Rosales De La Cruz Alejandro</w:t>
            </w:r>
          </w:p>
        </w:tc>
      </w:tr>
      <w:tr w:rsidR="007B74B8" w:rsidRPr="000864AE" w14:paraId="72BE83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D425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7B09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Rosas Flores Juana Arminda</w:t>
            </w:r>
          </w:p>
        </w:tc>
      </w:tr>
      <w:tr w:rsidR="007B74B8" w:rsidRPr="000864AE" w14:paraId="6A3D947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D354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17A4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Rubio Díaz Ezequiel Teodulo</w:t>
            </w:r>
          </w:p>
        </w:tc>
      </w:tr>
      <w:tr w:rsidR="007B74B8" w:rsidRPr="000864AE" w14:paraId="7E34DE6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597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CCBD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Rueda Ruiz Luis Alberto</w:t>
            </w:r>
          </w:p>
        </w:tc>
      </w:tr>
      <w:tr w:rsidR="007B74B8" w:rsidRPr="000864AE" w14:paraId="7196849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60E4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FB95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Ruiz Travezan Graciela Emma</w:t>
            </w:r>
          </w:p>
        </w:tc>
      </w:tr>
      <w:tr w:rsidR="007B74B8" w:rsidRPr="000864AE" w14:paraId="6655BA4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8847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AEC8A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Saavedra Miñán José Alfredo</w:t>
            </w:r>
          </w:p>
        </w:tc>
      </w:tr>
      <w:tr w:rsidR="007B74B8" w:rsidRPr="000864AE" w14:paraId="0F2A01A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885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A77C0B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Sáenz Espinoza Guillermo Milciades</w:t>
            </w:r>
          </w:p>
        </w:tc>
      </w:tr>
      <w:tr w:rsidR="007B74B8" w:rsidRPr="000864AE" w14:paraId="30C42FB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6EB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CDAD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Sáez Rodríguez Mirtha Rosa</w:t>
            </w:r>
          </w:p>
        </w:tc>
      </w:tr>
      <w:tr w:rsidR="007B74B8" w:rsidRPr="000864AE" w14:paraId="7D1108A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74F8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479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1E16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Sagardia Marquina Higinio</w:t>
            </w:r>
          </w:p>
        </w:tc>
      </w:tr>
      <w:tr w:rsidR="007B74B8" w:rsidRPr="000864AE" w14:paraId="3E5BB11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5DF8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C6D5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Salas Paredes Julia Lourdes</w:t>
            </w:r>
          </w:p>
        </w:tc>
      </w:tr>
      <w:tr w:rsidR="007B74B8" w:rsidRPr="000864AE" w14:paraId="7FB5F85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6B82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43585" w14:textId="77777777" w:rsidR="007B74B8" w:rsidRPr="000864AE" w:rsidRDefault="007B74B8" w:rsidP="000864AE">
            <w:pPr>
              <w:spacing w:after="0" w:line="240" w:lineRule="auto"/>
              <w:rPr>
                <w:rFonts w:ascii="Verdana" w:eastAsia="Times New Roman" w:hAnsi="Verdana" w:cs="Arial"/>
                <w:color w:val="000000"/>
                <w:sz w:val="18"/>
                <w:szCs w:val="18"/>
                <w:lang w:val="pt-BR" w:eastAsia="es-MX"/>
              </w:rPr>
            </w:pPr>
            <w:r w:rsidRPr="000864AE">
              <w:rPr>
                <w:rFonts w:ascii="Verdana" w:eastAsia="Times New Roman" w:hAnsi="Verdana" w:cs="Arial"/>
                <w:color w:val="000000"/>
                <w:sz w:val="18"/>
                <w:szCs w:val="18"/>
                <w:lang w:val="pt-BR" w:eastAsia="es-MX"/>
              </w:rPr>
              <w:t>Salas Ruiz Caro Edgar Walter</w:t>
            </w:r>
          </w:p>
        </w:tc>
      </w:tr>
      <w:tr w:rsidR="007B74B8" w:rsidRPr="000864AE" w14:paraId="151A3BB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6322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F9DE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Salas Ruiz Caro María Elizabeth Ruth</w:t>
            </w:r>
          </w:p>
        </w:tc>
      </w:tr>
      <w:tr w:rsidR="007B74B8" w:rsidRPr="000864AE" w14:paraId="475CF5B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1587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C5CB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Salazar Lozano Lucy Noemy</w:t>
            </w:r>
          </w:p>
        </w:tc>
      </w:tr>
      <w:tr w:rsidR="007B74B8" w:rsidRPr="000864AE" w14:paraId="529738D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BAAF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AFA7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Salazar Quiroz Ricardo Hildebrando</w:t>
            </w:r>
          </w:p>
        </w:tc>
      </w:tr>
      <w:tr w:rsidR="007B74B8" w:rsidRPr="000864AE" w14:paraId="0CB7376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C5DF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D4F4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Saldaña Malqui Alberto</w:t>
            </w:r>
          </w:p>
        </w:tc>
      </w:tr>
      <w:tr w:rsidR="007B74B8" w:rsidRPr="000864AE" w14:paraId="78605AE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43CF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370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Salhuana Sánchez Yolanda</w:t>
            </w:r>
          </w:p>
        </w:tc>
      </w:tr>
      <w:tr w:rsidR="007B74B8" w:rsidRPr="000864AE" w14:paraId="2B1BF89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C385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B501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Salvador Chafalote Rosa Erlinda</w:t>
            </w:r>
          </w:p>
        </w:tc>
      </w:tr>
      <w:tr w:rsidR="007B74B8" w:rsidRPr="000864AE" w14:paraId="0BCBBB1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D87B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C217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Samaniego Gonzáles Olinda Nora</w:t>
            </w:r>
          </w:p>
        </w:tc>
      </w:tr>
      <w:tr w:rsidR="007B74B8" w:rsidRPr="000864AE" w14:paraId="33C11BD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5A0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489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CB0A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Sánchez Apolinares Elías Eugenio</w:t>
            </w:r>
          </w:p>
        </w:tc>
      </w:tr>
      <w:tr w:rsidR="007B74B8" w:rsidRPr="000864AE" w14:paraId="274A854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674B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7F68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Sánchez Canchari Marina</w:t>
            </w:r>
          </w:p>
        </w:tc>
      </w:tr>
      <w:tr w:rsidR="007B74B8" w:rsidRPr="000864AE" w14:paraId="7246509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7802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D55E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Sánchez Gambetta Carlos</w:t>
            </w:r>
          </w:p>
        </w:tc>
      </w:tr>
      <w:tr w:rsidR="007B74B8" w:rsidRPr="000864AE" w14:paraId="0B2B2FE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FB06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FA57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Sánchez Sánchez Antenor</w:t>
            </w:r>
          </w:p>
        </w:tc>
      </w:tr>
      <w:tr w:rsidR="007B74B8" w:rsidRPr="000864AE" w14:paraId="20AA6C6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985D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F4EA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Sánchez Villanueva Antonio</w:t>
            </w:r>
          </w:p>
        </w:tc>
      </w:tr>
      <w:tr w:rsidR="007B74B8" w:rsidRPr="000864AE" w14:paraId="7A26A2C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DD40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B1EB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Sandoval Valdez Víctor Daniel</w:t>
            </w:r>
          </w:p>
        </w:tc>
      </w:tr>
      <w:tr w:rsidR="007B74B8" w:rsidRPr="000864AE" w14:paraId="497059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FAAF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FD879"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Sansur Velarde Jorge</w:t>
            </w:r>
          </w:p>
        </w:tc>
      </w:tr>
      <w:tr w:rsidR="007B74B8" w:rsidRPr="000864AE" w14:paraId="21F187D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BF7E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2B83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Santander Álvarez Leonidas Justo</w:t>
            </w:r>
          </w:p>
        </w:tc>
      </w:tr>
      <w:tr w:rsidR="007B74B8" w:rsidRPr="000864AE" w14:paraId="2396214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4507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FC28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Santillán Palomino Daniel Gabriel</w:t>
            </w:r>
          </w:p>
        </w:tc>
      </w:tr>
      <w:tr w:rsidR="007B74B8" w:rsidRPr="000864AE" w14:paraId="2AE63D5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6E2F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E704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Sarmiento Bendezú Federico Francisco</w:t>
            </w:r>
          </w:p>
        </w:tc>
      </w:tr>
      <w:tr w:rsidR="007B74B8" w:rsidRPr="000864AE" w14:paraId="69727A5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CD165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499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FD81C"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Segura Marquina Polidoro</w:t>
            </w:r>
          </w:p>
        </w:tc>
      </w:tr>
      <w:tr w:rsidR="007B74B8" w:rsidRPr="000864AE" w14:paraId="2590BD8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C697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60E5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Seminario Seminario Jorge Guillermo</w:t>
            </w:r>
          </w:p>
        </w:tc>
      </w:tr>
      <w:tr w:rsidR="007B74B8" w:rsidRPr="000864AE" w14:paraId="775E889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2C38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4A8D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Sihuay Sifuentes Elsa Paulina</w:t>
            </w:r>
          </w:p>
        </w:tc>
      </w:tr>
      <w:tr w:rsidR="007B74B8" w:rsidRPr="000864AE" w14:paraId="710C68A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BCB9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D867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Silva Flor Lourdes Mercedes</w:t>
            </w:r>
          </w:p>
        </w:tc>
      </w:tr>
      <w:tr w:rsidR="007B74B8" w:rsidRPr="000864AE" w14:paraId="2946B56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8E4A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7D36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Solano Derteano Emma Francisca</w:t>
            </w:r>
          </w:p>
        </w:tc>
      </w:tr>
      <w:tr w:rsidR="007B74B8" w:rsidRPr="000864AE" w14:paraId="4BF0C25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9B16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7310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Solís Espinoza Miguel</w:t>
            </w:r>
          </w:p>
        </w:tc>
      </w:tr>
      <w:tr w:rsidR="007B74B8" w:rsidRPr="000864AE" w14:paraId="6369F52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D6E6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6178F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Soriano Pinche Maria Luisa</w:t>
            </w:r>
          </w:p>
        </w:tc>
      </w:tr>
      <w:tr w:rsidR="007B74B8" w:rsidRPr="000864AE" w14:paraId="1D809BF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E515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4ADE9"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Sosa Andrade Marcial</w:t>
            </w:r>
          </w:p>
        </w:tc>
      </w:tr>
      <w:tr w:rsidR="007B74B8" w:rsidRPr="000864AE" w14:paraId="3FF6EAF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ECF24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796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Sosa Llacza Isabel</w:t>
            </w:r>
          </w:p>
        </w:tc>
      </w:tr>
      <w:tr w:rsidR="007B74B8" w:rsidRPr="000864AE" w14:paraId="1124266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0F18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F96A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Sosa Rojas Víctor Aníbal</w:t>
            </w:r>
          </w:p>
        </w:tc>
      </w:tr>
      <w:tr w:rsidR="007B74B8" w:rsidRPr="000864AE" w14:paraId="1873EB0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299E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509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82F1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Stucchi Díaz Martha Raquel</w:t>
            </w:r>
          </w:p>
        </w:tc>
      </w:tr>
      <w:tr w:rsidR="007B74B8" w:rsidRPr="000864AE" w14:paraId="4B43C1F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BA18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00D1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Suárez Cuadrado Aquiles</w:t>
            </w:r>
          </w:p>
        </w:tc>
      </w:tr>
      <w:tr w:rsidR="007B74B8" w:rsidRPr="000864AE" w14:paraId="421D0C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3FB1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394B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Suárez Molina Susano Tauro</w:t>
            </w:r>
          </w:p>
        </w:tc>
      </w:tr>
      <w:tr w:rsidR="007B74B8" w:rsidRPr="000864AE" w14:paraId="78B77ED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AE4E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CD01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Taboada Baltuano Idalia Antonieta</w:t>
            </w:r>
          </w:p>
        </w:tc>
      </w:tr>
      <w:tr w:rsidR="007B74B8" w:rsidRPr="000864AE" w14:paraId="1D933BE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99CF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7F65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Talavera Rospigliosi Laura Rosario</w:t>
            </w:r>
          </w:p>
        </w:tc>
      </w:tr>
      <w:tr w:rsidR="007B74B8" w:rsidRPr="000864AE" w14:paraId="07AAE8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EF3C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F89E1D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Tam Loyola Perla Edith</w:t>
            </w:r>
          </w:p>
        </w:tc>
      </w:tr>
      <w:tr w:rsidR="007B74B8" w:rsidRPr="000864AE" w14:paraId="007B50B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D055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1F7C7"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Tamara Rivera Orestes</w:t>
            </w:r>
          </w:p>
        </w:tc>
      </w:tr>
      <w:tr w:rsidR="007B74B8" w:rsidRPr="000864AE" w14:paraId="037F617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DBB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D0A4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Tapia Gutiérrez José Enrique Leoncio</w:t>
            </w:r>
          </w:p>
        </w:tc>
      </w:tr>
      <w:tr w:rsidR="007B74B8" w:rsidRPr="000864AE" w14:paraId="7315CD9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A2BC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F4C1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Tenorio Rodríguez Vilma Elisa</w:t>
            </w:r>
          </w:p>
        </w:tc>
      </w:tr>
      <w:tr w:rsidR="007B74B8" w:rsidRPr="000864AE" w14:paraId="1BD4D77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BFFA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B8AB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Terán Márquez Víctor Manuel</w:t>
            </w:r>
          </w:p>
        </w:tc>
      </w:tr>
      <w:tr w:rsidR="007B74B8" w:rsidRPr="000864AE" w14:paraId="63C1910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B7D9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519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E305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Terrazas Mejia Rosi Jesús</w:t>
            </w:r>
          </w:p>
        </w:tc>
      </w:tr>
      <w:tr w:rsidR="007B74B8" w:rsidRPr="000864AE" w14:paraId="0824738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5E3C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03D8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Terreros Monteverde Haydee</w:t>
            </w:r>
          </w:p>
        </w:tc>
      </w:tr>
      <w:tr w:rsidR="007B74B8" w:rsidRPr="000864AE" w14:paraId="40E8A14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FD63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A826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Terrones Díaz Elba Nelly</w:t>
            </w:r>
          </w:p>
        </w:tc>
      </w:tr>
      <w:tr w:rsidR="007B74B8" w:rsidRPr="000864AE" w14:paraId="759D785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FD2B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2CF7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Tipacti Aste Nelly Gabriela</w:t>
            </w:r>
          </w:p>
        </w:tc>
      </w:tr>
      <w:tr w:rsidR="007B74B8" w:rsidRPr="000864AE" w14:paraId="7A1B87B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EB4B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6B35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Toledo La Rosa Ramón Lorenzo</w:t>
            </w:r>
          </w:p>
        </w:tc>
      </w:tr>
      <w:tr w:rsidR="007B74B8" w:rsidRPr="000864AE" w14:paraId="3B182D1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279C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6C2B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Tompson Ruiz Rita Amparo</w:t>
            </w:r>
          </w:p>
        </w:tc>
      </w:tr>
      <w:tr w:rsidR="007B74B8" w:rsidRPr="000864AE" w14:paraId="5EBB6EC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6799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34C1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Torrejón Jiménez Luis Beltrán</w:t>
            </w:r>
          </w:p>
        </w:tc>
      </w:tr>
      <w:tr w:rsidR="007B74B8" w:rsidRPr="000864AE" w14:paraId="11D380C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52F9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EA9C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Torres Araujo Antonio Ramiro</w:t>
            </w:r>
          </w:p>
        </w:tc>
      </w:tr>
      <w:tr w:rsidR="007B74B8" w:rsidRPr="000864AE" w14:paraId="404A6AA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EF03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3074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Torres Lazarte Teobaldo Félix</w:t>
            </w:r>
          </w:p>
        </w:tc>
      </w:tr>
      <w:tr w:rsidR="007B74B8" w:rsidRPr="000864AE" w14:paraId="43848B5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B912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BFC8D"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Torres Policarpo Emiliano</w:t>
            </w:r>
          </w:p>
        </w:tc>
      </w:tr>
      <w:tr w:rsidR="007B74B8" w:rsidRPr="000864AE" w14:paraId="3DE736E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2321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529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9748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Torres Sánchez Amancio</w:t>
            </w:r>
          </w:p>
        </w:tc>
      </w:tr>
      <w:tr w:rsidR="007B74B8" w:rsidRPr="000864AE" w14:paraId="17123DE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2250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3EAC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Tueros Del Risco Nicolás Matías</w:t>
            </w:r>
          </w:p>
        </w:tc>
      </w:tr>
      <w:tr w:rsidR="007B74B8" w:rsidRPr="000864AE" w14:paraId="330DE28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D21C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4BF5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Ubillus Morales Juan Carlos</w:t>
            </w:r>
          </w:p>
        </w:tc>
      </w:tr>
      <w:tr w:rsidR="007B74B8" w:rsidRPr="000864AE" w14:paraId="725F423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7E7B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0A0A2"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Uchofen Tiparra Giordano</w:t>
            </w:r>
          </w:p>
        </w:tc>
      </w:tr>
      <w:tr w:rsidR="007B74B8" w:rsidRPr="000864AE" w14:paraId="5C72CAD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B156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04ACF"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Uchuya Valencia Lorenza Soledad</w:t>
            </w:r>
          </w:p>
        </w:tc>
      </w:tr>
      <w:tr w:rsidR="007B74B8" w:rsidRPr="000864AE" w14:paraId="0E85DB5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CFD5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0AF6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Ugaz Diez Canseco Julia</w:t>
            </w:r>
          </w:p>
        </w:tc>
      </w:tr>
      <w:tr w:rsidR="007B74B8" w:rsidRPr="000864AE" w14:paraId="2DB0567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D233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C400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Unchupaico Godoy Julia Agustina</w:t>
            </w:r>
          </w:p>
        </w:tc>
      </w:tr>
      <w:tr w:rsidR="007B74B8" w:rsidRPr="000864AE" w14:paraId="1B2C28D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1962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A333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Uribe Collazos María Francisca</w:t>
            </w:r>
          </w:p>
        </w:tc>
      </w:tr>
      <w:tr w:rsidR="007B74B8" w:rsidRPr="000864AE" w14:paraId="6C4A7B3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781B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9345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Urquizo Méndez Miguel Leoncio</w:t>
            </w:r>
          </w:p>
        </w:tc>
      </w:tr>
      <w:tr w:rsidR="007B74B8" w:rsidRPr="000864AE" w14:paraId="17187AE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51BF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F5EE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Vaccaro Quiñónez Jorge</w:t>
            </w:r>
          </w:p>
        </w:tc>
      </w:tr>
      <w:tr w:rsidR="007B74B8" w:rsidRPr="000864AE" w14:paraId="5AFF9D1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057A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539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0343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Valdez Cuellar María</w:t>
            </w:r>
          </w:p>
        </w:tc>
      </w:tr>
      <w:tr w:rsidR="007B74B8" w:rsidRPr="000864AE" w14:paraId="3733366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B1C6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E78F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Valdivia Cáceres Rosa</w:t>
            </w:r>
          </w:p>
        </w:tc>
      </w:tr>
      <w:tr w:rsidR="007B74B8" w:rsidRPr="000864AE" w14:paraId="01127C8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B00B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7F4AE"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Valdivia Ruiz Eduardo</w:t>
            </w:r>
          </w:p>
        </w:tc>
      </w:tr>
      <w:tr w:rsidR="007B74B8" w:rsidRPr="000864AE" w14:paraId="7EE56CC2"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FD4D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4B30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Valdivia Velásquez Saturnino Braulio</w:t>
            </w:r>
          </w:p>
        </w:tc>
      </w:tr>
      <w:tr w:rsidR="007B74B8" w:rsidRPr="000864AE" w14:paraId="50AAC6F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A3E6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977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Valenzuela Huamán Santos pablo</w:t>
            </w:r>
          </w:p>
        </w:tc>
      </w:tr>
      <w:tr w:rsidR="007B74B8" w:rsidRPr="000864AE" w14:paraId="60058C2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9F8CC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DE89E1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Valerio Aguirre Inocenta Teofila</w:t>
            </w:r>
          </w:p>
        </w:tc>
      </w:tr>
      <w:tr w:rsidR="007B74B8" w:rsidRPr="000864AE" w14:paraId="438E097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DBB9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31F8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Valverde Dancourt Juan Manuel</w:t>
            </w:r>
          </w:p>
        </w:tc>
      </w:tr>
      <w:tr w:rsidR="007B74B8" w:rsidRPr="000864AE" w14:paraId="245D039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DD84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EB83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Valverde Proaño Zoila Rosa</w:t>
            </w:r>
          </w:p>
        </w:tc>
      </w:tr>
      <w:tr w:rsidR="007B74B8" w:rsidRPr="000864AE" w14:paraId="528D2B6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ED4B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3B18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Varela Alzamora María Asunción</w:t>
            </w:r>
          </w:p>
        </w:tc>
      </w:tr>
      <w:tr w:rsidR="007B74B8" w:rsidRPr="000864AE" w14:paraId="11616CC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604B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F266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Vargas Cusi Justo Pastor</w:t>
            </w:r>
          </w:p>
        </w:tc>
      </w:tr>
      <w:tr w:rsidR="007B74B8" w:rsidRPr="000864AE" w14:paraId="7DC5B73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5DD1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549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F7EF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Vargas Guillén Manuel</w:t>
            </w:r>
          </w:p>
        </w:tc>
      </w:tr>
      <w:tr w:rsidR="007B74B8" w:rsidRPr="000864AE" w14:paraId="01FA5DE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3C19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7295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Vargas Soriano Napoleón</w:t>
            </w:r>
          </w:p>
        </w:tc>
      </w:tr>
      <w:tr w:rsidR="007B74B8" w:rsidRPr="000864AE" w14:paraId="49C484B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22D1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8634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Vargas Utrilla Eustaquio</w:t>
            </w:r>
          </w:p>
        </w:tc>
      </w:tr>
      <w:tr w:rsidR="007B74B8" w:rsidRPr="000864AE" w14:paraId="7170536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41AB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1240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Varias Hurtado Eleazar Antonio</w:t>
            </w:r>
          </w:p>
        </w:tc>
      </w:tr>
      <w:tr w:rsidR="007B74B8" w:rsidRPr="000864AE" w14:paraId="3C2D2A3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C39B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EC3E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Vásquez Euribe Isabel</w:t>
            </w:r>
          </w:p>
        </w:tc>
      </w:tr>
      <w:tr w:rsidR="007B74B8" w:rsidRPr="000864AE" w14:paraId="66BB3DC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A330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4C80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Vásquez Giraldo Carlomagno</w:t>
            </w:r>
          </w:p>
        </w:tc>
      </w:tr>
      <w:tr w:rsidR="007B74B8" w:rsidRPr="000864AE" w14:paraId="32ADFE31"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E488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103D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Vásquez Rivera José Leonidas</w:t>
            </w:r>
          </w:p>
        </w:tc>
      </w:tr>
      <w:tr w:rsidR="007B74B8" w:rsidRPr="000864AE" w14:paraId="5D65B96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D6D8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F91B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Velarde Ruesta Conrado Francisco</w:t>
            </w:r>
          </w:p>
        </w:tc>
      </w:tr>
      <w:tr w:rsidR="007B74B8" w:rsidRPr="000864AE" w14:paraId="3E6ADF7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6666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464C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Velásquez Quezada Pedro</w:t>
            </w:r>
          </w:p>
        </w:tc>
      </w:tr>
      <w:tr w:rsidR="007B74B8" w:rsidRPr="000864AE" w14:paraId="3C6C33D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BA26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2693D"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Velita Palacios Antonio Gamaniel</w:t>
            </w:r>
          </w:p>
        </w:tc>
      </w:tr>
      <w:tr w:rsidR="007B74B8" w:rsidRPr="000864AE" w14:paraId="3EB4683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E4B9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559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6194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Ventocilla Ureta Rafael</w:t>
            </w:r>
          </w:p>
        </w:tc>
      </w:tr>
      <w:tr w:rsidR="007B74B8" w:rsidRPr="000864AE" w14:paraId="4B0F5600"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F2BB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D29F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Vera Toro Juana Elvira</w:t>
            </w:r>
          </w:p>
        </w:tc>
      </w:tr>
      <w:tr w:rsidR="007B74B8" w:rsidRPr="000864AE" w14:paraId="28E222A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3081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ABFF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Verástegui Oscategui Robin</w:t>
            </w:r>
          </w:p>
        </w:tc>
      </w:tr>
      <w:tr w:rsidR="007B74B8" w:rsidRPr="000864AE" w14:paraId="13DA08B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7E03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19ABC"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Vidaurre Guillermo Juan</w:t>
            </w:r>
          </w:p>
        </w:tc>
      </w:tr>
      <w:tr w:rsidR="007B74B8" w:rsidRPr="000864AE" w14:paraId="0504A91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C6BC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0A13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Vidondo Cortez José</w:t>
            </w:r>
          </w:p>
        </w:tc>
      </w:tr>
      <w:tr w:rsidR="007B74B8" w:rsidRPr="000864AE" w14:paraId="44D195C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7E4D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223BB"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Vigil Urdiales Rita María</w:t>
            </w:r>
          </w:p>
        </w:tc>
      </w:tr>
      <w:tr w:rsidR="007B74B8" w:rsidRPr="000864AE" w14:paraId="4E61CAD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C9D4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ABBC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Vigo Noriega Andrés José</w:t>
            </w:r>
          </w:p>
        </w:tc>
      </w:tr>
      <w:tr w:rsidR="007B74B8" w:rsidRPr="000864AE" w14:paraId="0B9BDF9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F208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08C8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Vilcas Palomino Germán</w:t>
            </w:r>
          </w:p>
        </w:tc>
      </w:tr>
      <w:tr w:rsidR="007B74B8" w:rsidRPr="000864AE" w14:paraId="0CD3215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CDDA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FFB9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Vilchez Chávez José Isidro</w:t>
            </w:r>
          </w:p>
        </w:tc>
      </w:tr>
      <w:tr w:rsidR="007B74B8" w:rsidRPr="000864AE" w14:paraId="360E6B0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24EB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262A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Villacorta Bellota Nemesio</w:t>
            </w:r>
          </w:p>
        </w:tc>
      </w:tr>
      <w:tr w:rsidR="007B74B8" w:rsidRPr="000864AE" w14:paraId="6053218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D537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569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71D1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Villacorta Lozada Cesar</w:t>
            </w:r>
          </w:p>
        </w:tc>
      </w:tr>
      <w:tr w:rsidR="007B74B8" w:rsidRPr="000864AE" w14:paraId="5004993C"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9A70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9D531"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Villafuerte Rivera Nelly Marcela</w:t>
            </w:r>
          </w:p>
        </w:tc>
      </w:tr>
      <w:tr w:rsidR="007B74B8" w:rsidRPr="000864AE" w14:paraId="1682348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763F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209E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Villalobos García Ascención</w:t>
            </w:r>
          </w:p>
        </w:tc>
      </w:tr>
      <w:tr w:rsidR="007B74B8" w:rsidRPr="000864AE" w14:paraId="2A26EAC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65B4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7FDF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Villalobos Ruiz Saturnino Vicente</w:t>
            </w:r>
          </w:p>
        </w:tc>
      </w:tr>
      <w:tr w:rsidR="007B74B8" w:rsidRPr="000864AE" w14:paraId="2F627E6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9023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808B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Villalta Castañeda Jorge Octavio</w:t>
            </w:r>
          </w:p>
        </w:tc>
      </w:tr>
      <w:tr w:rsidR="007B74B8" w:rsidRPr="000864AE" w14:paraId="04F3972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7811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13DFA"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Villanueva Vidal Carmelo Edmundo</w:t>
            </w:r>
          </w:p>
        </w:tc>
      </w:tr>
      <w:tr w:rsidR="007B74B8" w:rsidRPr="000864AE" w14:paraId="59FF7DA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BA731"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9B05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Villar Calagua Isaura María</w:t>
            </w:r>
          </w:p>
        </w:tc>
      </w:tr>
      <w:tr w:rsidR="007B74B8" w:rsidRPr="000864AE" w14:paraId="1196398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85684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D82F8"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Villarán Cavero Carmen Rosa</w:t>
            </w:r>
          </w:p>
        </w:tc>
      </w:tr>
      <w:tr w:rsidR="007B74B8" w:rsidRPr="000864AE" w14:paraId="0BE5AD4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9332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B38F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Villavicencio Valdivia Jaime Alejandro</w:t>
            </w:r>
          </w:p>
        </w:tc>
      </w:tr>
      <w:tr w:rsidR="007B74B8" w:rsidRPr="000864AE" w14:paraId="3933FB7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6650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63C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Villena Ponce Narda Luz</w:t>
            </w:r>
          </w:p>
        </w:tc>
      </w:tr>
      <w:tr w:rsidR="007B74B8" w:rsidRPr="000864AE" w14:paraId="091D5A54"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3288D"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579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769AA"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Times New Roman"/>
                <w:color w:val="000000"/>
                <w:sz w:val="18"/>
                <w:szCs w:val="18"/>
                <w:lang w:eastAsia="es-MX"/>
              </w:rPr>
              <w:t>Vivanco Terry Yolanda Cristina</w:t>
            </w:r>
          </w:p>
        </w:tc>
      </w:tr>
      <w:tr w:rsidR="007B74B8" w:rsidRPr="000864AE" w14:paraId="67A48CAB"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F0B8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9162D" w14:textId="77777777" w:rsidR="007B74B8" w:rsidRPr="000864AE" w:rsidRDefault="007B74B8" w:rsidP="000864AE">
            <w:pPr>
              <w:spacing w:after="0" w:line="240" w:lineRule="auto"/>
              <w:rPr>
                <w:rFonts w:ascii="Verdana" w:eastAsia="Times New Roman" w:hAnsi="Verdana" w:cs="Times New Roman"/>
                <w:color w:val="000000"/>
                <w:sz w:val="18"/>
                <w:szCs w:val="18"/>
                <w:lang w:eastAsia="es-MX"/>
              </w:rPr>
            </w:pPr>
            <w:r w:rsidRPr="000864AE">
              <w:rPr>
                <w:rFonts w:ascii="Verdana" w:eastAsia="Times New Roman" w:hAnsi="Verdana" w:cs="Arial"/>
                <w:color w:val="000000"/>
                <w:sz w:val="18"/>
                <w:szCs w:val="18"/>
                <w:lang w:eastAsia="es-MX"/>
              </w:rPr>
              <w:t>Wong Chang José Germán</w:t>
            </w:r>
          </w:p>
        </w:tc>
      </w:tr>
      <w:tr w:rsidR="007B74B8" w:rsidRPr="000864AE" w14:paraId="586DE0C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57189"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1607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Yabar Acurio Marina Mauricia</w:t>
            </w:r>
          </w:p>
        </w:tc>
      </w:tr>
      <w:tr w:rsidR="007B74B8" w:rsidRPr="000864AE" w14:paraId="4003D79D"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56407"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B2555"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Yalta Mezquita Herman</w:t>
            </w:r>
          </w:p>
        </w:tc>
      </w:tr>
      <w:tr w:rsidR="007B74B8" w:rsidRPr="000864AE" w14:paraId="7390001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3828A"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3E68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Yana Siguacollo Pablo</w:t>
            </w:r>
          </w:p>
        </w:tc>
      </w:tr>
      <w:tr w:rsidR="007B74B8" w:rsidRPr="000864AE" w14:paraId="2E5D7613"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068E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4DA7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Yoza Yoza Agustín</w:t>
            </w:r>
          </w:p>
        </w:tc>
      </w:tr>
      <w:tr w:rsidR="007B74B8" w:rsidRPr="000864AE" w14:paraId="7845B94A"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779F6"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EC20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Zamora Capelli Olga Alicia</w:t>
            </w:r>
          </w:p>
        </w:tc>
      </w:tr>
      <w:tr w:rsidR="007B74B8" w:rsidRPr="000864AE" w14:paraId="78DD095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241AC"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E2BA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Zamudio Espinoza Silvestre</w:t>
            </w:r>
          </w:p>
        </w:tc>
      </w:tr>
      <w:tr w:rsidR="007B74B8" w:rsidRPr="000864AE" w14:paraId="79B9ED06"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C5BF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2163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Zamudio Rojas Nancy Aurora</w:t>
            </w:r>
          </w:p>
        </w:tc>
      </w:tr>
      <w:tr w:rsidR="007B74B8" w:rsidRPr="000864AE" w14:paraId="2C34A57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70B38"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64FEB"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Zapana Mamani Florencio</w:t>
            </w:r>
          </w:p>
        </w:tc>
      </w:tr>
      <w:tr w:rsidR="007B74B8" w:rsidRPr="000864AE" w14:paraId="64C8CD9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D924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589</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2E219"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Zapata Diez Canseco Percy Walter</w:t>
            </w:r>
          </w:p>
        </w:tc>
      </w:tr>
      <w:tr w:rsidR="007B74B8" w:rsidRPr="000864AE" w14:paraId="3884A26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42B5F"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590</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08540"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Zavala Vela Gladys Emilia</w:t>
            </w:r>
          </w:p>
        </w:tc>
      </w:tr>
      <w:tr w:rsidR="007B74B8" w:rsidRPr="000864AE" w14:paraId="4243784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6D4BB"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591</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BF42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Zavaleta Remy Rosa María Del Pilar</w:t>
            </w:r>
          </w:p>
        </w:tc>
      </w:tr>
      <w:tr w:rsidR="007B74B8" w:rsidRPr="000864AE" w14:paraId="59262B28"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A276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592</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5FADF"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Zavalla Contreras Julio Víctor</w:t>
            </w:r>
          </w:p>
        </w:tc>
      </w:tr>
      <w:tr w:rsidR="007B74B8" w:rsidRPr="000864AE" w14:paraId="613CE4C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277D2"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593</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B886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Zegarra Matos Mario Antonio</w:t>
            </w:r>
          </w:p>
        </w:tc>
      </w:tr>
      <w:tr w:rsidR="007B74B8" w:rsidRPr="000864AE" w14:paraId="239C376F"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2A9BE"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594</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6E857"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Zevallos Huamaní Claudio</w:t>
            </w:r>
          </w:p>
        </w:tc>
      </w:tr>
      <w:tr w:rsidR="007B74B8" w:rsidRPr="000864AE" w14:paraId="40D34545"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77165"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595</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601E4"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Zumaeta Reátegui Clara Melita</w:t>
            </w:r>
          </w:p>
        </w:tc>
      </w:tr>
      <w:tr w:rsidR="007B74B8" w:rsidRPr="000864AE" w14:paraId="6091FF17"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53FD0"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596</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DB693"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Zúñiga Montes Julio Evaristo</w:t>
            </w:r>
          </w:p>
        </w:tc>
      </w:tr>
      <w:tr w:rsidR="007B74B8" w:rsidRPr="000864AE" w14:paraId="09F10769"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3FF74"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597</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BE6C6" w14:textId="77777777" w:rsidR="007B74B8" w:rsidRPr="000864AE"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Zúñiga Stranguich Hilda</w:t>
            </w:r>
          </w:p>
        </w:tc>
      </w:tr>
      <w:tr w:rsidR="007B74B8" w:rsidRPr="000B33B9" w14:paraId="4683D4FE" w14:textId="77777777" w:rsidTr="00AA5989">
        <w:trPr>
          <w:trHeight w:val="30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5F393" w14:textId="77777777" w:rsidR="007B74B8" w:rsidRPr="000864AE" w:rsidRDefault="007B74B8" w:rsidP="000864AE">
            <w:pPr>
              <w:spacing w:after="0" w:line="240" w:lineRule="auto"/>
              <w:jc w:val="center"/>
              <w:rPr>
                <w:rFonts w:ascii="Verdana" w:eastAsia="Times New Roman" w:hAnsi="Verdana" w:cs="Times New Roman"/>
                <w:b/>
                <w:color w:val="000000"/>
                <w:sz w:val="18"/>
                <w:szCs w:val="18"/>
                <w:lang w:eastAsia="es-MX"/>
              </w:rPr>
            </w:pPr>
            <w:r w:rsidRPr="000864AE">
              <w:rPr>
                <w:rFonts w:ascii="Verdana" w:eastAsia="Times New Roman" w:hAnsi="Verdana" w:cs="Times New Roman"/>
                <w:b/>
                <w:color w:val="000000"/>
                <w:sz w:val="18"/>
                <w:szCs w:val="18"/>
                <w:lang w:eastAsia="es-MX"/>
              </w:rPr>
              <w:t>598</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E4398" w14:textId="77777777" w:rsidR="007B74B8" w:rsidRPr="000B33B9" w:rsidRDefault="007B74B8" w:rsidP="000864AE">
            <w:pPr>
              <w:spacing w:after="0" w:line="240" w:lineRule="auto"/>
              <w:rPr>
                <w:rFonts w:ascii="Verdana" w:eastAsia="Times New Roman" w:hAnsi="Verdana" w:cs="Arial"/>
                <w:color w:val="000000"/>
                <w:sz w:val="18"/>
                <w:szCs w:val="18"/>
                <w:lang w:eastAsia="es-MX"/>
              </w:rPr>
            </w:pPr>
            <w:r w:rsidRPr="000864AE">
              <w:rPr>
                <w:rFonts w:ascii="Verdana" w:eastAsia="Times New Roman" w:hAnsi="Verdana" w:cs="Arial"/>
                <w:color w:val="000000"/>
                <w:sz w:val="18"/>
                <w:szCs w:val="18"/>
                <w:lang w:eastAsia="es-MX"/>
              </w:rPr>
              <w:t>Zúñiga Vásquez Mariano Claudio</w:t>
            </w:r>
          </w:p>
        </w:tc>
      </w:tr>
    </w:tbl>
    <w:p w14:paraId="74C5CE85" w14:textId="77777777" w:rsidR="00AC0C51" w:rsidRPr="000B33B9" w:rsidRDefault="00AC0C51" w:rsidP="000864AE">
      <w:pPr>
        <w:rPr>
          <w:rFonts w:ascii="Verdana" w:hAnsi="Verdana"/>
        </w:rPr>
        <w:sectPr w:rsidR="00AC0C51" w:rsidRPr="000B33B9" w:rsidSect="00AC0C51">
          <w:type w:val="continuous"/>
          <w:pgSz w:w="12240" w:h="15840"/>
          <w:pgMar w:top="1247" w:right="1191" w:bottom="1191" w:left="1247" w:header="720" w:footer="720" w:gutter="0"/>
          <w:lnNumType w:countBy="1"/>
          <w:cols w:num="2" w:space="720"/>
          <w:titlePg/>
          <w:docGrid w:linePitch="360"/>
        </w:sectPr>
      </w:pPr>
    </w:p>
    <w:p w14:paraId="6FF57C33" w14:textId="17A05A9F" w:rsidR="0033532B" w:rsidRDefault="0033532B">
      <w:pPr>
        <w:rPr>
          <w:rFonts w:ascii="Verdana" w:hAnsi="Verdana"/>
        </w:rPr>
      </w:pPr>
      <w:r>
        <w:rPr>
          <w:rFonts w:ascii="Verdana" w:hAnsi="Verdana"/>
        </w:rPr>
        <w:br w:type="page"/>
      </w:r>
    </w:p>
    <w:p w14:paraId="0ABD0D43" w14:textId="77777777" w:rsidR="0033532B" w:rsidRPr="00745B6E" w:rsidRDefault="0033532B" w:rsidP="0033532B">
      <w:pPr>
        <w:keepNext/>
        <w:jc w:val="both"/>
        <w:outlineLvl w:val="0"/>
        <w:rPr>
          <w:rFonts w:ascii="Verdana" w:hAnsi="Verdana"/>
          <w:sz w:val="20"/>
          <w:lang w:val="es-CR"/>
        </w:rPr>
      </w:pPr>
      <w:r w:rsidRPr="00745B6E">
        <w:rPr>
          <w:rFonts w:ascii="Verdana" w:hAnsi="Verdana"/>
          <w:sz w:val="20"/>
          <w:lang w:val="es-ES"/>
        </w:rPr>
        <w:t xml:space="preserve">Corte IDH. </w:t>
      </w:r>
      <w:r w:rsidRPr="00745B6E">
        <w:rPr>
          <w:rFonts w:ascii="Verdana" w:hAnsi="Verdana"/>
          <w:i/>
          <w:sz w:val="20"/>
          <w:lang w:val="es-ES"/>
        </w:rPr>
        <w:t xml:space="preserve">Caso </w:t>
      </w:r>
      <w:r>
        <w:rPr>
          <w:rFonts w:ascii="Verdana" w:hAnsi="Verdana"/>
          <w:i/>
          <w:sz w:val="20"/>
          <w:lang w:val="es-ES"/>
        </w:rPr>
        <w:t>Asociación Nacional de Cesantes y Jubilados de la Superintendencia Nacional de Administración Tributaria (ANCEJUB-SUNAT)</w:t>
      </w:r>
      <w:r w:rsidRPr="00745B6E">
        <w:rPr>
          <w:rFonts w:ascii="Verdana" w:hAnsi="Verdana"/>
          <w:i/>
          <w:sz w:val="20"/>
          <w:lang w:val="es-ES"/>
        </w:rPr>
        <w:t xml:space="preserve"> Vs. P</w:t>
      </w:r>
      <w:r>
        <w:rPr>
          <w:rFonts w:ascii="Verdana" w:hAnsi="Verdana"/>
          <w:i/>
          <w:sz w:val="20"/>
          <w:lang w:val="es-ES"/>
        </w:rPr>
        <w:t>erú</w:t>
      </w:r>
      <w:r w:rsidRPr="00745B6E">
        <w:rPr>
          <w:rFonts w:ascii="Verdana" w:hAnsi="Verdana"/>
          <w:i/>
          <w:sz w:val="20"/>
          <w:lang w:val="es-ES"/>
        </w:rPr>
        <w:t xml:space="preserve">. </w:t>
      </w:r>
      <w:r>
        <w:rPr>
          <w:rFonts w:ascii="Verdana" w:hAnsi="Verdana"/>
          <w:i/>
          <w:sz w:val="20"/>
          <w:lang w:val="es-ES"/>
        </w:rPr>
        <w:t xml:space="preserve">Excepciones Preliminares, Fondo, Reparaciones y Costas. </w:t>
      </w:r>
      <w:r w:rsidRPr="00E86463">
        <w:rPr>
          <w:rFonts w:ascii="Verdana" w:hAnsi="Verdana"/>
          <w:sz w:val="20"/>
          <w:lang w:val="es-ES"/>
        </w:rPr>
        <w:t>Sentencia de 21 de noviembre de 2019.</w:t>
      </w:r>
    </w:p>
    <w:p w14:paraId="24CBBF82" w14:textId="77777777" w:rsidR="0033532B" w:rsidRPr="00745B6E" w:rsidRDefault="0033532B" w:rsidP="0033532B">
      <w:pPr>
        <w:rPr>
          <w:rFonts w:ascii="Verdana" w:hAnsi="Verdana"/>
          <w:sz w:val="20"/>
          <w:lang w:val="es-ES"/>
        </w:rPr>
      </w:pPr>
    </w:p>
    <w:p w14:paraId="3CA42D81" w14:textId="77777777" w:rsidR="0033532B" w:rsidRPr="00745B6E" w:rsidRDefault="0033532B" w:rsidP="0033532B">
      <w:pPr>
        <w:jc w:val="center"/>
        <w:rPr>
          <w:rFonts w:ascii="Verdana" w:hAnsi="Verdana"/>
          <w:sz w:val="20"/>
          <w:lang w:val="es-ES"/>
        </w:rPr>
      </w:pPr>
      <w:r w:rsidRPr="00745B6E">
        <w:rPr>
          <w:rFonts w:ascii="Verdana" w:hAnsi="Verdana"/>
          <w:sz w:val="20"/>
          <w:lang w:val="es-ES"/>
        </w:rPr>
        <w:t xml:space="preserve">Eduardo Ferrer Mac-Gregor Poisot </w:t>
      </w:r>
    </w:p>
    <w:p w14:paraId="64504276" w14:textId="04A8FDC6" w:rsidR="0033532B" w:rsidRPr="00745B6E" w:rsidRDefault="0033532B" w:rsidP="0033532B">
      <w:pPr>
        <w:jc w:val="center"/>
        <w:rPr>
          <w:rFonts w:ascii="Verdana" w:hAnsi="Verdana"/>
          <w:sz w:val="20"/>
          <w:lang w:val="es-ES"/>
        </w:rPr>
      </w:pPr>
      <w:r w:rsidRPr="00745B6E">
        <w:rPr>
          <w:rFonts w:ascii="Verdana" w:hAnsi="Verdana"/>
          <w:sz w:val="20"/>
          <w:lang w:val="es-ES"/>
        </w:rPr>
        <w:t xml:space="preserve">Presidente </w:t>
      </w:r>
    </w:p>
    <w:p w14:paraId="76128686" w14:textId="77777777" w:rsidR="0033532B" w:rsidRPr="00745B6E" w:rsidRDefault="0033532B" w:rsidP="0033532B">
      <w:pPr>
        <w:jc w:val="both"/>
        <w:rPr>
          <w:rFonts w:ascii="Verdana" w:hAnsi="Verdana"/>
          <w:sz w:val="20"/>
          <w:lang w:val="es-ES"/>
        </w:rPr>
      </w:pPr>
    </w:p>
    <w:p w14:paraId="3FBFC4D5" w14:textId="77777777" w:rsidR="0033532B" w:rsidRPr="00745B6E" w:rsidRDefault="0033532B" w:rsidP="0033532B">
      <w:pPr>
        <w:jc w:val="both"/>
        <w:rPr>
          <w:rFonts w:ascii="Verdana" w:hAnsi="Verdana"/>
          <w:sz w:val="20"/>
          <w:lang w:val="es-ES"/>
        </w:rPr>
      </w:pPr>
      <w:r w:rsidRPr="00745B6E">
        <w:rPr>
          <w:rFonts w:ascii="Verdana" w:hAnsi="Verdana"/>
          <w:sz w:val="20"/>
          <w:lang w:val="es-ES"/>
        </w:rPr>
        <w:t>Eduardo Vio Grossi</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Pr="00745B6E">
        <w:rPr>
          <w:rFonts w:ascii="Verdana" w:hAnsi="Verdana"/>
          <w:sz w:val="20"/>
          <w:lang w:val="es-ES"/>
        </w:rPr>
        <w:t>H</w:t>
      </w:r>
      <w:r>
        <w:rPr>
          <w:rFonts w:ascii="Verdana" w:hAnsi="Verdana"/>
          <w:sz w:val="20"/>
          <w:lang w:val="es-ES"/>
        </w:rPr>
        <w:t>umberto Antonio</w:t>
      </w:r>
      <w:r w:rsidRPr="00745B6E">
        <w:rPr>
          <w:rFonts w:ascii="Verdana" w:hAnsi="Verdana"/>
          <w:sz w:val="20"/>
          <w:lang w:val="es-ES"/>
        </w:rPr>
        <w:t xml:space="preserve"> Sierra Porto</w:t>
      </w:r>
    </w:p>
    <w:p w14:paraId="002D8715" w14:textId="77777777" w:rsidR="0033532B" w:rsidRPr="00745B6E" w:rsidRDefault="0033532B" w:rsidP="0033532B">
      <w:pPr>
        <w:jc w:val="both"/>
        <w:rPr>
          <w:rFonts w:ascii="Verdana" w:hAnsi="Verdana"/>
          <w:sz w:val="20"/>
          <w:lang w:val="es-ES"/>
        </w:rPr>
      </w:pPr>
    </w:p>
    <w:p w14:paraId="6DA3DB09" w14:textId="77777777" w:rsidR="0033532B" w:rsidRPr="00745B6E" w:rsidRDefault="0033532B" w:rsidP="0033532B">
      <w:pPr>
        <w:jc w:val="both"/>
        <w:rPr>
          <w:rFonts w:ascii="Verdana" w:hAnsi="Verdana"/>
          <w:sz w:val="20"/>
          <w:lang w:val="es-ES"/>
        </w:rPr>
      </w:pPr>
    </w:p>
    <w:p w14:paraId="4216E121" w14:textId="77777777" w:rsidR="0033532B" w:rsidRPr="00745B6E" w:rsidRDefault="0033532B" w:rsidP="0033532B">
      <w:pPr>
        <w:jc w:val="center"/>
        <w:rPr>
          <w:rFonts w:ascii="Verdana" w:hAnsi="Verdana"/>
          <w:sz w:val="20"/>
          <w:lang w:val="es-ES"/>
        </w:rPr>
      </w:pPr>
      <w:r w:rsidRPr="00745B6E">
        <w:rPr>
          <w:rFonts w:ascii="Verdana" w:hAnsi="Verdana"/>
          <w:sz w:val="20"/>
          <w:lang w:val="es-ES"/>
        </w:rPr>
        <w:t>Elizabeth Odio Benito</w:t>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r>
      <w:r w:rsidRPr="00745B6E">
        <w:rPr>
          <w:rFonts w:ascii="Verdana" w:hAnsi="Verdana"/>
          <w:sz w:val="20"/>
          <w:lang w:val="es-ES"/>
        </w:rPr>
        <w:tab/>
        <w:t xml:space="preserve">        </w:t>
      </w:r>
      <w:r>
        <w:rPr>
          <w:rFonts w:ascii="Verdana" w:hAnsi="Verdana"/>
          <w:sz w:val="20"/>
          <w:lang w:val="es-ES"/>
        </w:rPr>
        <w:t xml:space="preserve">    Eugenio Raúl Zaffaroni</w:t>
      </w:r>
    </w:p>
    <w:p w14:paraId="6326E475" w14:textId="77777777" w:rsidR="0033532B" w:rsidRPr="00745B6E" w:rsidRDefault="0033532B" w:rsidP="0033532B">
      <w:pPr>
        <w:jc w:val="both"/>
        <w:rPr>
          <w:rFonts w:ascii="Verdana" w:hAnsi="Verdana"/>
          <w:sz w:val="20"/>
          <w:lang w:val="es-ES"/>
        </w:rPr>
      </w:pPr>
    </w:p>
    <w:p w14:paraId="661742B4" w14:textId="77777777" w:rsidR="0033532B" w:rsidRDefault="0033532B" w:rsidP="0033532B">
      <w:pPr>
        <w:jc w:val="center"/>
        <w:rPr>
          <w:rFonts w:ascii="Verdana" w:hAnsi="Verdana"/>
          <w:sz w:val="20"/>
          <w:lang w:val="es-ES"/>
        </w:rPr>
      </w:pPr>
    </w:p>
    <w:p w14:paraId="2566EA4E" w14:textId="77777777" w:rsidR="0033532B" w:rsidRPr="00745B6E" w:rsidRDefault="0033532B" w:rsidP="0033532B">
      <w:pPr>
        <w:rPr>
          <w:rFonts w:ascii="Verdana" w:hAnsi="Verdana"/>
          <w:sz w:val="20"/>
          <w:lang w:val="es-CR"/>
        </w:rPr>
      </w:pPr>
      <w:r w:rsidRPr="00745B6E">
        <w:rPr>
          <w:rFonts w:ascii="Verdana" w:hAnsi="Verdana"/>
          <w:sz w:val="20"/>
          <w:lang w:val="es-ES"/>
        </w:rPr>
        <w:t>L. Patricio Pazmiño Freire</w:t>
      </w:r>
      <w:r w:rsidRPr="00745B6E">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sidRPr="00745B6E">
        <w:rPr>
          <w:rFonts w:ascii="Verdana" w:hAnsi="Verdana"/>
          <w:sz w:val="20"/>
          <w:lang w:val="es-CR"/>
        </w:rPr>
        <w:t xml:space="preserve">Ricardo </w:t>
      </w:r>
      <w:r>
        <w:rPr>
          <w:rFonts w:ascii="Verdana" w:hAnsi="Verdana"/>
          <w:sz w:val="20"/>
          <w:lang w:val="es-CR"/>
        </w:rPr>
        <w:t xml:space="preserve">C. </w:t>
      </w:r>
      <w:r w:rsidRPr="00745B6E">
        <w:rPr>
          <w:rFonts w:ascii="Verdana" w:hAnsi="Verdana"/>
          <w:sz w:val="20"/>
          <w:lang w:val="es-CR"/>
        </w:rPr>
        <w:t>Pérez Manrique</w:t>
      </w:r>
    </w:p>
    <w:p w14:paraId="78376FED" w14:textId="77777777" w:rsidR="0033532B" w:rsidRPr="00745B6E" w:rsidRDefault="0033532B" w:rsidP="0033532B">
      <w:pPr>
        <w:jc w:val="both"/>
        <w:rPr>
          <w:rFonts w:ascii="Verdana" w:hAnsi="Verdana"/>
          <w:sz w:val="20"/>
          <w:lang w:val="es-ES"/>
        </w:rPr>
      </w:pPr>
    </w:p>
    <w:p w14:paraId="1E9D3139" w14:textId="77777777" w:rsidR="0033532B" w:rsidRPr="00745B6E" w:rsidRDefault="0033532B" w:rsidP="0033532B">
      <w:pPr>
        <w:jc w:val="both"/>
        <w:rPr>
          <w:rFonts w:ascii="Verdana" w:hAnsi="Verdana"/>
          <w:sz w:val="20"/>
          <w:lang w:val="es-ES"/>
        </w:rPr>
      </w:pPr>
    </w:p>
    <w:p w14:paraId="0F760771" w14:textId="77777777" w:rsidR="0033532B" w:rsidRPr="00745B6E" w:rsidRDefault="0033532B" w:rsidP="0033532B">
      <w:pPr>
        <w:jc w:val="center"/>
        <w:rPr>
          <w:rFonts w:ascii="Verdana" w:hAnsi="Verdana"/>
          <w:sz w:val="20"/>
          <w:lang w:val="es-ES"/>
        </w:rPr>
      </w:pPr>
      <w:r w:rsidRPr="00745B6E">
        <w:rPr>
          <w:rFonts w:ascii="Verdana" w:hAnsi="Verdana"/>
          <w:sz w:val="20"/>
          <w:lang w:val="es-ES"/>
        </w:rPr>
        <w:t>Pablo Saavedra Alessandri</w:t>
      </w:r>
    </w:p>
    <w:p w14:paraId="3E082236" w14:textId="77777777" w:rsidR="0033532B" w:rsidRPr="00745B6E" w:rsidRDefault="0033532B" w:rsidP="0033532B">
      <w:pPr>
        <w:jc w:val="center"/>
        <w:rPr>
          <w:rFonts w:ascii="Verdana" w:hAnsi="Verdana"/>
          <w:sz w:val="20"/>
          <w:lang w:val="es-ES"/>
        </w:rPr>
      </w:pPr>
      <w:r w:rsidRPr="00745B6E">
        <w:rPr>
          <w:rFonts w:ascii="Verdana" w:hAnsi="Verdana"/>
          <w:sz w:val="20"/>
          <w:lang w:val="es-ES"/>
        </w:rPr>
        <w:t>Secretario</w:t>
      </w:r>
    </w:p>
    <w:p w14:paraId="5829489E" w14:textId="77777777" w:rsidR="0033532B" w:rsidRDefault="0033532B" w:rsidP="0033532B">
      <w:pPr>
        <w:pStyle w:val="Textonotapie"/>
        <w:rPr>
          <w:rFonts w:ascii="Verdana" w:hAnsi="Verdana"/>
          <w:lang w:val="es-ES"/>
        </w:rPr>
      </w:pPr>
    </w:p>
    <w:p w14:paraId="42D3C232" w14:textId="77777777" w:rsidR="0033532B" w:rsidRPr="00745B6E" w:rsidRDefault="0033532B" w:rsidP="0033532B">
      <w:pPr>
        <w:pStyle w:val="Textonotapie"/>
        <w:rPr>
          <w:rFonts w:ascii="Verdana" w:hAnsi="Verdana"/>
          <w:lang w:val="es-ES"/>
        </w:rPr>
      </w:pPr>
    </w:p>
    <w:p w14:paraId="50CDC81D" w14:textId="77777777" w:rsidR="0033532B" w:rsidRPr="00745B6E" w:rsidRDefault="0033532B" w:rsidP="0033532B">
      <w:pPr>
        <w:pStyle w:val="Textonotapie"/>
        <w:rPr>
          <w:rFonts w:ascii="Verdana" w:hAnsi="Verdana"/>
          <w:lang w:val="es-ES"/>
        </w:rPr>
      </w:pPr>
    </w:p>
    <w:p w14:paraId="0182D31C" w14:textId="77777777" w:rsidR="0033532B" w:rsidRPr="00745B6E" w:rsidRDefault="0033532B" w:rsidP="0033532B">
      <w:pPr>
        <w:jc w:val="both"/>
        <w:rPr>
          <w:rFonts w:ascii="Verdana" w:hAnsi="Verdana"/>
          <w:sz w:val="20"/>
          <w:lang w:val="es-ES"/>
        </w:rPr>
      </w:pPr>
      <w:r w:rsidRPr="00745B6E">
        <w:rPr>
          <w:rFonts w:ascii="Verdana" w:hAnsi="Verdana"/>
          <w:sz w:val="20"/>
          <w:lang w:val="es-ES"/>
        </w:rPr>
        <w:t>Comuníquese y ejecútese,</w:t>
      </w:r>
    </w:p>
    <w:p w14:paraId="7CCCD86D" w14:textId="77777777" w:rsidR="0033532B" w:rsidRPr="00745B6E" w:rsidRDefault="0033532B" w:rsidP="0033532B">
      <w:pPr>
        <w:jc w:val="both"/>
        <w:rPr>
          <w:rFonts w:ascii="Verdana" w:hAnsi="Verdana"/>
          <w:sz w:val="20"/>
          <w:lang w:val="es-ES"/>
        </w:rPr>
      </w:pPr>
    </w:p>
    <w:p w14:paraId="5997C422" w14:textId="77777777" w:rsidR="0033532B" w:rsidRPr="00745B6E" w:rsidRDefault="0033532B" w:rsidP="0033532B">
      <w:pPr>
        <w:ind w:left="4956"/>
        <w:jc w:val="center"/>
        <w:rPr>
          <w:rFonts w:ascii="Verdana" w:hAnsi="Verdana"/>
          <w:sz w:val="20"/>
          <w:lang w:val="es-ES"/>
        </w:rPr>
      </w:pPr>
      <w:r w:rsidRPr="00745B6E">
        <w:rPr>
          <w:rFonts w:ascii="Verdana" w:hAnsi="Verdana"/>
          <w:sz w:val="20"/>
          <w:lang w:val="es-ES"/>
        </w:rPr>
        <w:t>Eduardo Ferrer Mac-Gregor Poisot</w:t>
      </w:r>
    </w:p>
    <w:p w14:paraId="1DFBD23B" w14:textId="4062DBCC" w:rsidR="0033532B" w:rsidRPr="00745B6E" w:rsidRDefault="0033532B" w:rsidP="0033532B">
      <w:pPr>
        <w:ind w:left="4956"/>
        <w:jc w:val="center"/>
        <w:rPr>
          <w:rFonts w:ascii="Verdana" w:hAnsi="Verdana"/>
          <w:sz w:val="20"/>
          <w:lang w:val="es-ES"/>
        </w:rPr>
      </w:pPr>
      <w:r>
        <w:rPr>
          <w:rFonts w:ascii="Verdana" w:hAnsi="Verdana"/>
          <w:sz w:val="20"/>
          <w:lang w:val="es-ES"/>
        </w:rPr>
        <w:t>Presidente</w:t>
      </w:r>
    </w:p>
    <w:p w14:paraId="60BCE7DD" w14:textId="77777777" w:rsidR="0033532B" w:rsidRPr="00745B6E" w:rsidRDefault="0033532B" w:rsidP="0033532B">
      <w:pPr>
        <w:jc w:val="both"/>
        <w:rPr>
          <w:rFonts w:ascii="Verdana" w:hAnsi="Verdana"/>
          <w:sz w:val="20"/>
          <w:lang w:val="es-ES"/>
        </w:rPr>
      </w:pPr>
    </w:p>
    <w:p w14:paraId="4A17FF99" w14:textId="77777777" w:rsidR="0033532B" w:rsidRPr="00745B6E" w:rsidRDefault="0033532B" w:rsidP="0033532B">
      <w:pPr>
        <w:jc w:val="both"/>
        <w:rPr>
          <w:rFonts w:ascii="Verdana" w:hAnsi="Verdana"/>
          <w:sz w:val="20"/>
          <w:lang w:val="es-ES"/>
        </w:rPr>
      </w:pPr>
    </w:p>
    <w:p w14:paraId="15B56328" w14:textId="77777777" w:rsidR="0033532B" w:rsidRPr="00745B6E" w:rsidRDefault="0033532B" w:rsidP="0033532B">
      <w:pPr>
        <w:jc w:val="both"/>
        <w:rPr>
          <w:rFonts w:ascii="Verdana" w:hAnsi="Verdana"/>
          <w:sz w:val="20"/>
          <w:lang w:val="es-ES"/>
        </w:rPr>
      </w:pPr>
      <w:r w:rsidRPr="00745B6E">
        <w:rPr>
          <w:rFonts w:ascii="Verdana" w:hAnsi="Verdana"/>
          <w:sz w:val="20"/>
          <w:lang w:val="es-ES"/>
        </w:rPr>
        <w:t>Pablo Saavedra Alessandri</w:t>
      </w:r>
    </w:p>
    <w:p w14:paraId="6AA9AF73" w14:textId="77777777" w:rsidR="0033532B" w:rsidRPr="00745B6E" w:rsidRDefault="0033532B" w:rsidP="0033532B">
      <w:pPr>
        <w:rPr>
          <w:rFonts w:ascii="Verdana" w:hAnsi="Verdana"/>
          <w:sz w:val="20"/>
          <w:lang w:val="es-CR"/>
        </w:rPr>
      </w:pPr>
      <w:r w:rsidRPr="00745B6E">
        <w:rPr>
          <w:rFonts w:ascii="Verdana" w:hAnsi="Verdana"/>
          <w:sz w:val="20"/>
          <w:lang w:val="es-ES"/>
        </w:rPr>
        <w:tab/>
      </w:r>
      <w:r w:rsidRPr="00745B6E">
        <w:rPr>
          <w:rFonts w:ascii="Verdana" w:hAnsi="Verdana"/>
          <w:sz w:val="20"/>
          <w:lang w:val="es-CR"/>
        </w:rPr>
        <w:t>Secretario</w:t>
      </w:r>
    </w:p>
    <w:p w14:paraId="7DC14945" w14:textId="77777777" w:rsidR="00AC0C51" w:rsidRPr="000B33B9" w:rsidRDefault="00AC0C51" w:rsidP="000864AE">
      <w:pPr>
        <w:rPr>
          <w:rFonts w:ascii="Verdana" w:hAnsi="Verdana"/>
        </w:rPr>
      </w:pPr>
    </w:p>
    <w:sectPr w:rsidR="00AC0C51" w:rsidRPr="000B33B9" w:rsidSect="003B1CB4">
      <w:type w:val="continuous"/>
      <w:pgSz w:w="12240" w:h="15840"/>
      <w:pgMar w:top="1247" w:right="1191" w:bottom="119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A051C" w14:textId="77777777" w:rsidR="005B1820" w:rsidRDefault="005B1820" w:rsidP="001C05D8">
      <w:pPr>
        <w:spacing w:after="0" w:line="240" w:lineRule="auto"/>
      </w:pPr>
      <w:r>
        <w:separator/>
      </w:r>
    </w:p>
  </w:endnote>
  <w:endnote w:type="continuationSeparator" w:id="0">
    <w:p w14:paraId="7116DD89" w14:textId="77777777" w:rsidR="005B1820" w:rsidRDefault="005B1820" w:rsidP="001C05D8">
      <w:pPr>
        <w:spacing w:after="0" w:line="240" w:lineRule="auto"/>
      </w:pPr>
      <w:r>
        <w:continuationSeparator/>
      </w:r>
    </w:p>
  </w:endnote>
  <w:endnote w:type="continuationNotice" w:id="1">
    <w:p w14:paraId="0010AC00" w14:textId="77777777" w:rsidR="005B1820" w:rsidRDefault="005B18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Palatino-Italic">
    <w:altName w:val="Segoe UI Historic"/>
    <w:charset w:val="4D"/>
    <w:family w:val="auto"/>
    <w:pitch w:val="variable"/>
    <w:sig w:usb0="A00002FF"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ヒラギノ角ゴ Pro W3">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JansonTextLTStd-Roman">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577061"/>
      <w:docPartObj>
        <w:docPartGallery w:val="Page Numbers (Bottom of Page)"/>
        <w:docPartUnique/>
      </w:docPartObj>
    </w:sdtPr>
    <w:sdtEndPr>
      <w:rPr>
        <w:noProof/>
      </w:rPr>
    </w:sdtEndPr>
    <w:sdtContent>
      <w:p w14:paraId="73BFBE9A" w14:textId="65B430F4" w:rsidR="00223943" w:rsidRDefault="00223943">
        <w:pPr>
          <w:pStyle w:val="Piedepgina"/>
          <w:jc w:val="center"/>
        </w:pPr>
        <w:r w:rsidRPr="0006475E">
          <w:rPr>
            <w:rFonts w:ascii="Verdana" w:hAnsi="Verdana"/>
            <w:sz w:val="20"/>
            <w:szCs w:val="20"/>
          </w:rPr>
          <w:fldChar w:fldCharType="begin"/>
        </w:r>
        <w:r w:rsidRPr="0006475E">
          <w:rPr>
            <w:rFonts w:ascii="Verdana" w:hAnsi="Verdana"/>
            <w:sz w:val="20"/>
            <w:szCs w:val="20"/>
          </w:rPr>
          <w:instrText xml:space="preserve"> PAGE   \* MERGEFORMAT </w:instrText>
        </w:r>
        <w:r w:rsidRPr="0006475E">
          <w:rPr>
            <w:rFonts w:ascii="Verdana" w:hAnsi="Verdana"/>
            <w:sz w:val="20"/>
            <w:szCs w:val="20"/>
          </w:rPr>
          <w:fldChar w:fldCharType="separate"/>
        </w:r>
        <w:r w:rsidR="00F51E1B">
          <w:rPr>
            <w:rFonts w:ascii="Verdana" w:hAnsi="Verdana"/>
            <w:noProof/>
            <w:sz w:val="20"/>
            <w:szCs w:val="20"/>
          </w:rPr>
          <w:t>2</w:t>
        </w:r>
        <w:r w:rsidRPr="0006475E">
          <w:rPr>
            <w:rFonts w:ascii="Verdana" w:hAnsi="Verdana"/>
            <w:noProof/>
            <w:sz w:val="20"/>
            <w:szCs w:val="20"/>
          </w:rPr>
          <w:fldChar w:fldCharType="end"/>
        </w:r>
      </w:p>
    </w:sdtContent>
  </w:sdt>
  <w:p w14:paraId="3130ED40" w14:textId="77777777" w:rsidR="00223943" w:rsidRDefault="0022394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D1D07B" w14:textId="77777777" w:rsidR="005B1820" w:rsidRDefault="005B1820" w:rsidP="001C05D8">
      <w:pPr>
        <w:spacing w:after="0" w:line="240" w:lineRule="auto"/>
      </w:pPr>
      <w:r>
        <w:separator/>
      </w:r>
    </w:p>
  </w:footnote>
  <w:footnote w:type="continuationSeparator" w:id="0">
    <w:p w14:paraId="0156F277" w14:textId="77777777" w:rsidR="005B1820" w:rsidRDefault="005B1820" w:rsidP="001C05D8">
      <w:pPr>
        <w:spacing w:after="0" w:line="240" w:lineRule="auto"/>
      </w:pPr>
      <w:r>
        <w:continuationSeparator/>
      </w:r>
    </w:p>
  </w:footnote>
  <w:footnote w:type="continuationNotice" w:id="1">
    <w:p w14:paraId="48EA609A" w14:textId="77777777" w:rsidR="005B1820" w:rsidRDefault="005B1820">
      <w:pPr>
        <w:spacing w:after="0" w:line="240" w:lineRule="auto"/>
      </w:pPr>
    </w:p>
  </w:footnote>
  <w:footnote w:id="2">
    <w:p w14:paraId="46C44C8B" w14:textId="5BA48676"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t xml:space="preserve">El informe fue notificado a las partes el 1 de abril de 2009. </w:t>
      </w:r>
    </w:p>
  </w:footnote>
  <w:footnote w:id="3">
    <w:p w14:paraId="260A137F" w14:textId="704578E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lang w:val="es-CR"/>
        </w:rPr>
        <w:footnoteRef/>
      </w:r>
      <w:r w:rsidRPr="000B33B9">
        <w:rPr>
          <w:rFonts w:ascii="Verdana" w:hAnsi="Verdana"/>
          <w:sz w:val="16"/>
          <w:szCs w:val="16"/>
          <w:lang w:val="es-CR"/>
        </w:rPr>
        <w:t xml:space="preserve"> </w:t>
      </w:r>
      <w:r w:rsidRPr="000B33B9">
        <w:rPr>
          <w:rFonts w:ascii="Verdana" w:hAnsi="Verdana"/>
          <w:sz w:val="16"/>
          <w:szCs w:val="16"/>
          <w:lang w:val="es-CR"/>
        </w:rPr>
        <w:tab/>
        <w:t>La Comisión designó como sus delegados ante la Corte al Comisionado Paulo Vannuchi y al Secretario Ejecutivo Paulo Abrâo. Asimismo, indicó que Elizabeth Abi-Mershed, Secretaria Ejecutiva Adjunta y Silvia Serrano Guzmán y Erick Acuña Pereda, abogada y abogado de la Secretaría Ejecutiva de la CIDH, actuarán como asesora y asesor legales.</w:t>
      </w:r>
    </w:p>
  </w:footnote>
  <w:footnote w:id="4">
    <w:p w14:paraId="2760C875" w14:textId="255C2444"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CR"/>
        </w:rPr>
        <w:t>Los representantes presentaron nuevamente los anexos al ESAP de conformidad con lo solicitado por la Corte.</w:t>
      </w:r>
    </w:p>
  </w:footnote>
  <w:footnote w:id="5">
    <w:p w14:paraId="279C445B" w14:textId="0028F30A"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lang w:val="es-CR"/>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Mediante comunicación de 9 de noviembre de 2018 el Estado designó a Carlos Miguel Reaño Balarezo como Agente Titular y a Silvana Lucía Gómez Salazar y Nilda Peralta Zecenarro como agentes alternas (expediente de fondo, folio 638). </w:t>
      </w:r>
    </w:p>
  </w:footnote>
  <w:footnote w:id="6">
    <w:p w14:paraId="30F70D15" w14:textId="3100D204" w:rsidR="00223943" w:rsidRPr="000B33B9" w:rsidRDefault="00223943" w:rsidP="000B33B9">
      <w:pPr>
        <w:pStyle w:val="Textonotapie"/>
        <w:spacing w:after="120"/>
        <w:jc w:val="both"/>
        <w:rPr>
          <w:rFonts w:ascii="Verdana" w:hAnsi="Verdana"/>
          <w:sz w:val="16"/>
          <w:szCs w:val="16"/>
          <w:lang w:val="es-CR"/>
        </w:rPr>
      </w:pPr>
      <w:r w:rsidRPr="00B756D7">
        <w:rPr>
          <w:rStyle w:val="Refdenotaalpie"/>
          <w:rFonts w:ascii="Verdana" w:hAnsi="Verdana"/>
          <w:sz w:val="16"/>
          <w:szCs w:val="16"/>
          <w:lang w:val="es-CR"/>
        </w:rPr>
        <w:footnoteRef/>
      </w:r>
      <w:r w:rsidRPr="00B756D7">
        <w:rPr>
          <w:rFonts w:ascii="Verdana" w:hAnsi="Verdana"/>
          <w:sz w:val="16"/>
          <w:szCs w:val="16"/>
          <w:lang w:val="es-CR"/>
        </w:rPr>
        <w:t xml:space="preserve"> </w:t>
      </w:r>
      <w:r w:rsidRPr="00B756D7">
        <w:rPr>
          <w:rFonts w:ascii="Verdana" w:hAnsi="Verdana"/>
          <w:sz w:val="16"/>
          <w:szCs w:val="16"/>
          <w:lang w:val="es-CR"/>
        </w:rPr>
        <w:tab/>
      </w:r>
      <w:r w:rsidRPr="00B756D7">
        <w:rPr>
          <w:rFonts w:ascii="Verdana" w:hAnsi="Verdana"/>
          <w:i/>
          <w:sz w:val="16"/>
          <w:szCs w:val="16"/>
          <w:lang w:val="es-CR"/>
        </w:rPr>
        <w:t xml:space="preserve">Cfr. </w:t>
      </w:r>
      <w:r w:rsidRPr="00B756D7">
        <w:rPr>
          <w:rStyle w:val="Textoennegrita"/>
          <w:rFonts w:ascii="Verdana" w:hAnsi="Verdana"/>
          <w:b w:val="0"/>
          <w:i/>
          <w:color w:val="000000"/>
          <w:sz w:val="16"/>
          <w:szCs w:val="16"/>
        </w:rPr>
        <w:t xml:space="preserve">Caso Asociación Nacional de Cesantes y Jubilados de la Superintendencia Nacional de Administración Tributaria (ANCEJUB-SUNAT) Vs. Perú. Convocatoria a audiencia. </w:t>
      </w:r>
      <w:r w:rsidRPr="00B756D7">
        <w:rPr>
          <w:rStyle w:val="Textoennegrita"/>
          <w:rFonts w:ascii="Verdana" w:hAnsi="Verdana"/>
          <w:b w:val="0"/>
          <w:color w:val="000000"/>
          <w:sz w:val="16"/>
          <w:szCs w:val="16"/>
        </w:rPr>
        <w:t>Resolución del Presidente de la Corte Interamericana de Derechos Humanos de 21 de marzo de 2019</w:t>
      </w:r>
      <w:r w:rsidRPr="00B756D7">
        <w:rPr>
          <w:rStyle w:val="Textoennegrita"/>
          <w:rFonts w:ascii="Verdana" w:hAnsi="Verdana"/>
          <w:b w:val="0"/>
          <w:i/>
          <w:color w:val="000000"/>
          <w:sz w:val="16"/>
          <w:szCs w:val="16"/>
        </w:rPr>
        <w:t>.</w:t>
      </w:r>
      <w:r w:rsidRPr="00B756D7">
        <w:rPr>
          <w:rFonts w:ascii="Verdana" w:hAnsi="Verdana"/>
          <w:sz w:val="16"/>
          <w:szCs w:val="16"/>
          <w:lang w:val="es-CR"/>
        </w:rPr>
        <w:t xml:space="preserve"> Disponible en: </w:t>
      </w:r>
      <w:hyperlink r:id="rId1" w:history="1">
        <w:r w:rsidRPr="00B756D7">
          <w:rPr>
            <w:rStyle w:val="Hipervnculo"/>
            <w:rFonts w:ascii="Verdana" w:hAnsi="Verdana"/>
            <w:sz w:val="16"/>
            <w:szCs w:val="16"/>
          </w:rPr>
          <w:t>http://www.corteidh.or.cr/docs/asuntos/ancejub-sunat_21_03_19.pdf</w:t>
        </w:r>
      </w:hyperlink>
    </w:p>
  </w:footnote>
  <w:footnote w:id="7">
    <w:p w14:paraId="10BDB70C" w14:textId="55F6936A"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A esta audiencia comparecieron: a) por la Comisión Interamericana: el asesor Erick Acuña Pereda; b) por los representantes: los señores Javier Mujica Petit, Carlos Blancas Bustamante y Eddie Rafael Cajaleón Castilla, y c) por el Estado: los señores </w:t>
      </w:r>
      <w:r w:rsidRPr="000B33B9">
        <w:rPr>
          <w:rFonts w:ascii="Verdana" w:hAnsi="Verdana"/>
          <w:sz w:val="16"/>
          <w:szCs w:val="16"/>
          <w:lang w:val="es-CO" w:eastAsia="es-ES"/>
        </w:rPr>
        <w:t>Carlos Miguel Reaño Balarezo, Procurador Público Especializado Supranacional; Silvana Lucía Gómez Salazar, abogada de la Procuraduría Pública Especializada Supranacional; Nilda Peralta Zecenarro, abogada de la Procuraduría Pública Especializada Supranacional; Antenor José Escalante Gonzáles, Procurador Público Titular de la Superintendencia Nacional de Aduana y de Administración Tributaria – SUNAT; Edgar Roney Cuadros Ochoa, Gerente de Asuntos Laborales de la Intendencia Nacional de Recursos Humanos de la Superintendencia Nacional de Aduana y de Administración Tributaria – SUNAT, y Julio César López Ramírez, Supervisor de Asuntos Laborales de la Procuraduría Tributaria de Superintendencia Nacional de Aduana y de Administración Tributaria – SUNAT.</w:t>
      </w:r>
    </w:p>
  </w:footnote>
  <w:footnote w:id="8">
    <w:p w14:paraId="30B78305" w14:textId="3D162490"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El escrito firmado por Luisa Fernanda Gómez Duque, Matías Cremonte y Rolando Gialdino versa sobre el problema del alcance estructural de incumplimiento de sentencias internas por la República del Perú.  </w:t>
      </w:r>
    </w:p>
  </w:footnote>
  <w:footnote w:id="9">
    <w:p w14:paraId="4E3DA217" w14:textId="272CDE8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El escrito firmado por Carlos Rodríguez Mejía y Alberto León Gómez versa sobre el incumplimiento por parte de Perú de las sentencias de sus Altos Tribunales.</w:t>
      </w:r>
    </w:p>
  </w:footnote>
  <w:footnote w:id="10">
    <w:p w14:paraId="72E38B1C" w14:textId="0EF282B5" w:rsidR="00223943" w:rsidRPr="000B33B9" w:rsidRDefault="00223943" w:rsidP="000B33B9">
      <w:pPr>
        <w:tabs>
          <w:tab w:val="left" w:pos="567"/>
        </w:tabs>
        <w:spacing w:after="120" w:line="240" w:lineRule="auto"/>
        <w:jc w:val="both"/>
        <w:rPr>
          <w:rFonts w:ascii="Verdana" w:hAnsi="Verdana"/>
          <w:sz w:val="16"/>
          <w:szCs w:val="16"/>
          <w:lang w:val="es-CR"/>
        </w:rPr>
      </w:pPr>
      <w:r w:rsidRPr="000B33B9">
        <w:rPr>
          <w:rStyle w:val="Refdenotaalpie"/>
          <w:rFonts w:ascii="Verdana" w:hAnsi="Verdana" w:cs="Times"/>
          <w:sz w:val="16"/>
          <w:szCs w:val="16"/>
          <w:lang w:val="es-ES"/>
        </w:rPr>
        <w:footnoteRef/>
      </w:r>
      <w:r w:rsidRPr="000B33B9">
        <w:rPr>
          <w:rFonts w:ascii="Verdana" w:hAnsi="Verdana"/>
          <w:sz w:val="16"/>
          <w:szCs w:val="16"/>
          <w:lang w:val="es-ES"/>
        </w:rPr>
        <w:tab/>
      </w:r>
      <w:r w:rsidRPr="000B33B9">
        <w:rPr>
          <w:rFonts w:ascii="Verdana" w:hAnsi="Verdana"/>
          <w:i/>
          <w:sz w:val="16"/>
          <w:szCs w:val="16"/>
          <w:lang w:val="es-DO"/>
        </w:rPr>
        <w:t>Cfr. Caso Velásquez Rodríguez Vs. Honduras. Excepciones preliminares</w:t>
      </w:r>
      <w:r w:rsidRPr="000B33B9">
        <w:rPr>
          <w:rFonts w:ascii="Verdana" w:hAnsi="Verdana"/>
          <w:sz w:val="16"/>
          <w:szCs w:val="16"/>
          <w:lang w:val="es-DO"/>
        </w:rPr>
        <w:t xml:space="preserve">. Sentencia de 26 de junio de 1987. Serie C No. 1, párr. 85, y </w:t>
      </w:r>
      <w:r w:rsidRPr="000B33B9">
        <w:rPr>
          <w:rFonts w:ascii="Verdana" w:hAnsi="Verdana"/>
          <w:i/>
          <w:sz w:val="16"/>
          <w:szCs w:val="16"/>
          <w:lang w:val="es-DO"/>
        </w:rPr>
        <w:t xml:space="preserve">Caso Perrone y Preckel Vs. Argentina. Excepciones Preliminares, Fondo, Reparaciones y Costas. </w:t>
      </w:r>
      <w:r w:rsidRPr="000B33B9">
        <w:rPr>
          <w:rFonts w:ascii="Verdana" w:hAnsi="Verdana"/>
          <w:sz w:val="16"/>
          <w:szCs w:val="16"/>
          <w:lang w:val="es-DO"/>
        </w:rPr>
        <w:t>Sentencia de 8 de octubre de 2019. Serie C No. 385, párr. 33.</w:t>
      </w:r>
    </w:p>
  </w:footnote>
  <w:footnote w:id="11">
    <w:p w14:paraId="1D24EBE7" w14:textId="078E8F58" w:rsidR="00223943" w:rsidRPr="00B756D7" w:rsidRDefault="00223943" w:rsidP="000B33B9">
      <w:pPr>
        <w:pStyle w:val="Textonotapie"/>
        <w:tabs>
          <w:tab w:val="left" w:pos="709"/>
        </w:tabs>
        <w:spacing w:after="120"/>
        <w:jc w:val="both"/>
        <w:rPr>
          <w:rFonts w:ascii="Verdana" w:hAnsi="Verdana"/>
          <w:sz w:val="16"/>
          <w:szCs w:val="16"/>
        </w:rPr>
      </w:pPr>
      <w:r w:rsidRPr="00B756D7">
        <w:rPr>
          <w:rStyle w:val="Refdenotaalpie"/>
          <w:rFonts w:ascii="Verdana" w:hAnsi="Verdana"/>
          <w:sz w:val="16"/>
          <w:szCs w:val="16"/>
        </w:rPr>
        <w:footnoteRef/>
      </w:r>
      <w:r w:rsidRPr="00B756D7">
        <w:rPr>
          <w:rFonts w:ascii="Verdana" w:hAnsi="Verdana"/>
          <w:sz w:val="16"/>
          <w:szCs w:val="16"/>
        </w:rPr>
        <w:t xml:space="preserve"> </w:t>
      </w:r>
      <w:r w:rsidRPr="00B756D7">
        <w:rPr>
          <w:rFonts w:ascii="Verdana" w:hAnsi="Verdana"/>
          <w:sz w:val="16"/>
          <w:szCs w:val="16"/>
        </w:rPr>
        <w:tab/>
      </w:r>
      <w:r w:rsidRPr="00B756D7">
        <w:rPr>
          <w:rFonts w:ascii="Verdana" w:hAnsi="Verdana"/>
          <w:i/>
          <w:sz w:val="16"/>
          <w:szCs w:val="16"/>
        </w:rPr>
        <w:t>Cfr.</w:t>
      </w:r>
      <w:r w:rsidRPr="00B756D7">
        <w:rPr>
          <w:rFonts w:ascii="Verdana" w:hAnsi="Verdana"/>
          <w:b/>
          <w:i/>
          <w:sz w:val="16"/>
          <w:szCs w:val="16"/>
        </w:rPr>
        <w:t xml:space="preserve"> </w:t>
      </w:r>
      <w:r w:rsidRPr="00B756D7">
        <w:rPr>
          <w:rStyle w:val="Textoennegrita"/>
          <w:rFonts w:ascii="Verdana" w:hAnsi="Verdana"/>
          <w:b w:val="0"/>
          <w:i/>
          <w:color w:val="000000"/>
          <w:sz w:val="16"/>
          <w:szCs w:val="16"/>
          <w:shd w:val="clear" w:color="auto" w:fill="FFFFFF"/>
        </w:rPr>
        <w:t xml:space="preserve">Caso Velásquez Rodríguez Vs. Honduras. Excepciones Preliminares. </w:t>
      </w:r>
      <w:r w:rsidRPr="00B756D7">
        <w:rPr>
          <w:rStyle w:val="Textoennegrita"/>
          <w:rFonts w:ascii="Verdana" w:hAnsi="Verdana"/>
          <w:b w:val="0"/>
          <w:color w:val="000000"/>
          <w:sz w:val="16"/>
          <w:szCs w:val="16"/>
          <w:shd w:val="clear" w:color="auto" w:fill="FFFFFF"/>
        </w:rPr>
        <w:t>Sentencia de 26 de junio de 1987. Serie C No. 1</w:t>
      </w:r>
      <w:r w:rsidRPr="00B756D7">
        <w:rPr>
          <w:rFonts w:ascii="Verdana" w:hAnsi="Verdana" w:cs="Verdana"/>
          <w:i/>
          <w:sz w:val="16"/>
          <w:szCs w:val="16"/>
          <w:lang w:val="es-ES"/>
        </w:rPr>
        <w:t>,</w:t>
      </w:r>
      <w:r w:rsidRPr="00B756D7">
        <w:rPr>
          <w:rFonts w:ascii="Verdana" w:hAnsi="Verdana" w:cs="Verdana"/>
          <w:sz w:val="16"/>
          <w:szCs w:val="16"/>
          <w:lang w:val="es-ES"/>
        </w:rPr>
        <w:t xml:space="preserve"> párr. 88, y</w:t>
      </w:r>
      <w:r w:rsidRPr="00B756D7">
        <w:rPr>
          <w:rFonts w:ascii="Verdana" w:hAnsi="Verdana" w:cs="Verdana"/>
          <w:b/>
          <w:sz w:val="16"/>
          <w:szCs w:val="16"/>
          <w:lang w:val="es-ES"/>
        </w:rPr>
        <w:t xml:space="preserve"> </w:t>
      </w:r>
      <w:r w:rsidRPr="00B756D7">
        <w:rPr>
          <w:rStyle w:val="Textoennegrita"/>
          <w:rFonts w:ascii="Verdana" w:hAnsi="Verdana"/>
          <w:b w:val="0"/>
          <w:i/>
          <w:color w:val="000000"/>
          <w:sz w:val="16"/>
          <w:szCs w:val="16"/>
        </w:rPr>
        <w:t>Caso Muelle Flores Vs. Perú</w:t>
      </w:r>
      <w:r w:rsidRPr="00B756D7">
        <w:rPr>
          <w:rStyle w:val="Textoennegrita"/>
          <w:rFonts w:ascii="Verdana" w:hAnsi="Verdana"/>
          <w:b w:val="0"/>
          <w:i/>
          <w:color w:val="000000"/>
          <w:sz w:val="16"/>
          <w:szCs w:val="16"/>
          <w:shd w:val="clear" w:color="auto" w:fill="FFFFFF"/>
        </w:rPr>
        <w:t>. Excepciones Preliminares, Fondo, Reparaciones y Costas</w:t>
      </w:r>
      <w:r w:rsidRPr="00B756D7">
        <w:rPr>
          <w:rStyle w:val="Textoennegrita"/>
          <w:rFonts w:ascii="Verdana" w:hAnsi="Verdana"/>
          <w:b w:val="0"/>
          <w:color w:val="000000"/>
          <w:sz w:val="16"/>
          <w:szCs w:val="16"/>
          <w:shd w:val="clear" w:color="auto" w:fill="FFFFFF"/>
        </w:rPr>
        <w:t>. Sentencia de 6 de marzo de 2019. Serie C No. 375, párr. 27.</w:t>
      </w:r>
    </w:p>
  </w:footnote>
  <w:footnote w:id="12">
    <w:p w14:paraId="2C7AAFCC" w14:textId="20DD5B9E" w:rsidR="00223943" w:rsidRPr="000B33B9" w:rsidRDefault="00223943" w:rsidP="000B33B9">
      <w:pPr>
        <w:pStyle w:val="Textonotapie"/>
        <w:tabs>
          <w:tab w:val="left" w:pos="709"/>
        </w:tabs>
        <w:spacing w:after="120"/>
        <w:jc w:val="both"/>
        <w:rPr>
          <w:rFonts w:ascii="Verdana" w:hAnsi="Verdana"/>
          <w:sz w:val="16"/>
          <w:szCs w:val="16"/>
        </w:rPr>
      </w:pPr>
      <w:r w:rsidRPr="00B756D7">
        <w:rPr>
          <w:rStyle w:val="Refdenotaalpie"/>
          <w:rFonts w:ascii="Verdana" w:hAnsi="Verdana" w:cs="Arial"/>
          <w:sz w:val="16"/>
          <w:szCs w:val="16"/>
        </w:rPr>
        <w:footnoteRef/>
      </w:r>
      <w:r w:rsidRPr="00B756D7">
        <w:rPr>
          <w:rFonts w:ascii="Verdana" w:hAnsi="Verdana" w:cs="Arial"/>
          <w:sz w:val="16"/>
          <w:szCs w:val="16"/>
        </w:rPr>
        <w:t xml:space="preserve"> </w:t>
      </w:r>
      <w:r w:rsidRPr="00B756D7">
        <w:rPr>
          <w:rFonts w:ascii="Verdana" w:hAnsi="Verdana" w:cs="Arial"/>
          <w:sz w:val="16"/>
          <w:szCs w:val="16"/>
        </w:rPr>
        <w:tab/>
      </w:r>
      <w:r w:rsidRPr="00B756D7">
        <w:rPr>
          <w:rFonts w:ascii="Verdana" w:hAnsi="Verdana"/>
          <w:i/>
          <w:sz w:val="16"/>
          <w:szCs w:val="16"/>
        </w:rPr>
        <w:t>Cfr.</w:t>
      </w:r>
      <w:r w:rsidRPr="00B756D7">
        <w:rPr>
          <w:rFonts w:ascii="Verdana" w:hAnsi="Verdana"/>
          <w:b/>
          <w:i/>
          <w:sz w:val="16"/>
          <w:szCs w:val="16"/>
        </w:rPr>
        <w:t xml:space="preserve"> </w:t>
      </w:r>
      <w:r w:rsidRPr="00B756D7">
        <w:rPr>
          <w:rStyle w:val="Textoennegrita"/>
          <w:rFonts w:ascii="Verdana" w:hAnsi="Verdana"/>
          <w:b w:val="0"/>
          <w:i/>
          <w:color w:val="000000"/>
          <w:sz w:val="16"/>
          <w:szCs w:val="16"/>
          <w:shd w:val="clear" w:color="auto" w:fill="FFFFFF"/>
        </w:rPr>
        <w:t xml:space="preserve">Caso Velásquez Rodríguez Vs. Honduras. Excepciones Preliminares. </w:t>
      </w:r>
      <w:r w:rsidRPr="00B756D7">
        <w:rPr>
          <w:rStyle w:val="Textoennegrita"/>
          <w:rFonts w:ascii="Verdana" w:hAnsi="Verdana"/>
          <w:b w:val="0"/>
          <w:color w:val="000000"/>
          <w:sz w:val="16"/>
          <w:szCs w:val="16"/>
          <w:shd w:val="clear" w:color="auto" w:fill="FFFFFF"/>
        </w:rPr>
        <w:t>Sentencia de 26 de junio de 1987. Serie C No. 1</w:t>
      </w:r>
      <w:r w:rsidRPr="00B756D7">
        <w:rPr>
          <w:rFonts w:ascii="Verdana" w:hAnsi="Verdana" w:cs="Verdana"/>
          <w:i/>
          <w:sz w:val="16"/>
          <w:szCs w:val="16"/>
          <w:lang w:val="es-ES"/>
        </w:rPr>
        <w:t>,</w:t>
      </w:r>
      <w:r w:rsidRPr="00B756D7">
        <w:rPr>
          <w:rFonts w:ascii="Verdana" w:hAnsi="Verdana" w:cs="Verdana"/>
          <w:sz w:val="16"/>
          <w:szCs w:val="16"/>
          <w:lang w:val="es-ES"/>
        </w:rPr>
        <w:t xml:space="preserve"> párr. 88, y</w:t>
      </w:r>
      <w:r w:rsidRPr="00B756D7">
        <w:rPr>
          <w:rFonts w:ascii="Verdana" w:hAnsi="Verdana" w:cs="Verdana"/>
          <w:b/>
          <w:sz w:val="16"/>
          <w:szCs w:val="16"/>
          <w:lang w:val="es-ES"/>
        </w:rPr>
        <w:t xml:space="preserve"> </w:t>
      </w:r>
      <w:r w:rsidRPr="00B756D7">
        <w:rPr>
          <w:rStyle w:val="Textoennegrita"/>
          <w:rFonts w:ascii="Verdana" w:hAnsi="Verdana"/>
          <w:b w:val="0"/>
          <w:i/>
          <w:color w:val="000000"/>
          <w:sz w:val="16"/>
          <w:szCs w:val="16"/>
          <w:shd w:val="clear" w:color="auto" w:fill="FFFFFF"/>
        </w:rPr>
        <w:t>Caso Muelle Flores Vs. Perú. Excepciones Preliminares, Fondo, Reparaciones y Costas</w:t>
      </w:r>
      <w:r w:rsidRPr="00B756D7">
        <w:rPr>
          <w:rStyle w:val="Textoennegrita"/>
          <w:rFonts w:ascii="Verdana" w:hAnsi="Verdana"/>
          <w:b w:val="0"/>
          <w:color w:val="000000"/>
          <w:sz w:val="16"/>
          <w:szCs w:val="16"/>
          <w:shd w:val="clear" w:color="auto" w:fill="FFFFFF"/>
        </w:rPr>
        <w:t>. Sentencia de 6 de marzo de 2019. Serie C No. 375, párr. 26.</w:t>
      </w:r>
    </w:p>
  </w:footnote>
  <w:footnote w:id="13">
    <w:p w14:paraId="79B6E565" w14:textId="78CF4164"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Furlan y Familiares Vs. Argentina. Excepciones Preliminares, Fondo, Reparaciones y Costas.</w:t>
      </w:r>
      <w:r w:rsidRPr="000B33B9">
        <w:rPr>
          <w:rFonts w:ascii="Verdana" w:hAnsi="Verdana"/>
          <w:sz w:val="16"/>
          <w:szCs w:val="16"/>
        </w:rPr>
        <w:t xml:space="preserve"> </w:t>
      </w:r>
      <w:r w:rsidRPr="000B33B9">
        <w:rPr>
          <w:rFonts w:ascii="Verdana" w:hAnsi="Verdana"/>
          <w:sz w:val="16"/>
          <w:szCs w:val="16"/>
          <w:lang w:val="pt-BR"/>
        </w:rPr>
        <w:t xml:space="preserve">Sentencia de 31 de agosto de 2012. Serie C No. 246, párr. 29, y </w:t>
      </w:r>
      <w:r w:rsidRPr="000B33B9">
        <w:rPr>
          <w:rFonts w:ascii="Verdana" w:eastAsia="Calibri" w:hAnsi="Verdana"/>
          <w:bCs/>
          <w:i/>
          <w:color w:val="000000"/>
          <w:sz w:val="16"/>
          <w:szCs w:val="16"/>
          <w:shd w:val="clear" w:color="auto" w:fill="FFFFFF"/>
          <w:lang w:val="pt-BR" w:eastAsia="es-CR"/>
        </w:rPr>
        <w:t xml:space="preserve">Caso Favela Nova Brasília Vs. </w:t>
      </w:r>
      <w:r w:rsidRPr="000B33B9">
        <w:rPr>
          <w:rFonts w:ascii="Verdana" w:eastAsia="Calibri" w:hAnsi="Verdana"/>
          <w:bCs/>
          <w:i/>
          <w:color w:val="000000"/>
          <w:sz w:val="16"/>
          <w:szCs w:val="16"/>
          <w:shd w:val="clear" w:color="auto" w:fill="FFFFFF"/>
          <w:lang w:val="es-CR" w:eastAsia="es-CR"/>
        </w:rPr>
        <w:t>Brasil. Excepciones Preliminares, Fondo, Reparaciones y Costas</w:t>
      </w:r>
      <w:r w:rsidRPr="000B33B9">
        <w:rPr>
          <w:rFonts w:ascii="Verdana" w:eastAsia="Calibri" w:hAnsi="Verdana"/>
          <w:bCs/>
          <w:color w:val="000000"/>
          <w:sz w:val="16"/>
          <w:szCs w:val="16"/>
          <w:shd w:val="clear" w:color="auto" w:fill="FFFFFF"/>
          <w:lang w:val="es-CR" w:eastAsia="es-CR"/>
        </w:rPr>
        <w:t>. Sentencia de 16 de febrero de 2017, Serie C No. 333, párr. 78.</w:t>
      </w:r>
    </w:p>
  </w:footnote>
  <w:footnote w:id="14">
    <w:p w14:paraId="06EA828C" w14:textId="0A9FAE8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 xml:space="preserve">Caso Wong Ho Wing Vs. Perú. </w:t>
      </w:r>
      <w:r w:rsidRPr="000B33B9">
        <w:rPr>
          <w:rStyle w:val="Textoennegrita"/>
          <w:rFonts w:ascii="Verdana" w:hAnsi="Verdana"/>
          <w:b w:val="0"/>
          <w:i/>
          <w:color w:val="000000"/>
          <w:sz w:val="16"/>
          <w:szCs w:val="16"/>
          <w:shd w:val="clear" w:color="auto" w:fill="FFFFFF"/>
        </w:rPr>
        <w:t>Excepción Preliminar, Fondo, Reparaciones y Costas</w:t>
      </w:r>
      <w:r w:rsidRPr="000B33B9">
        <w:rPr>
          <w:rStyle w:val="Textoennegrita"/>
          <w:rFonts w:ascii="Verdana" w:hAnsi="Verdana"/>
          <w:b w:val="0"/>
          <w:color w:val="000000"/>
          <w:sz w:val="16"/>
          <w:szCs w:val="16"/>
          <w:shd w:val="clear" w:color="auto" w:fill="FFFFFF"/>
        </w:rPr>
        <w:t>. Sentencia de 30 de junio de 2015. Serie C No. 297, párr. 28.</w:t>
      </w:r>
    </w:p>
  </w:footnote>
  <w:footnote w:id="15">
    <w:p w14:paraId="37CDDE5E" w14:textId="4EFF3157" w:rsidR="00223943" w:rsidRPr="000B33B9" w:rsidRDefault="00223943" w:rsidP="000B33B9">
      <w:pPr>
        <w:pStyle w:val="Textonotapie"/>
        <w:spacing w:after="120"/>
        <w:jc w:val="both"/>
        <w:rPr>
          <w:rFonts w:ascii="Verdana" w:hAnsi="Verdana"/>
          <w:sz w:val="16"/>
          <w:szCs w:val="16"/>
          <w:lang w:val="es-ES"/>
        </w:rPr>
      </w:pPr>
      <w:r w:rsidRPr="000B33B9">
        <w:rPr>
          <w:rStyle w:val="Smbolodenotaalpie"/>
          <w:rFonts w:ascii="Verdana" w:hAnsi="Verdana"/>
          <w:sz w:val="16"/>
          <w:szCs w:val="16"/>
        </w:rPr>
        <w:footnoteRef/>
      </w:r>
      <w:r w:rsidRPr="000B33B9">
        <w:rPr>
          <w:rFonts w:ascii="Verdana" w:hAnsi="Verdana"/>
          <w:sz w:val="16"/>
          <w:szCs w:val="16"/>
          <w:lang w:val="es-ES"/>
        </w:rPr>
        <w:tab/>
      </w:r>
      <w:r w:rsidRPr="000B33B9">
        <w:rPr>
          <w:rFonts w:ascii="Verdana" w:hAnsi="Verdana"/>
          <w:i/>
          <w:sz w:val="16"/>
          <w:szCs w:val="16"/>
          <w:lang w:val="es-ES"/>
        </w:rPr>
        <w:t>Cfr</w:t>
      </w:r>
      <w:r w:rsidRPr="000B33B9">
        <w:rPr>
          <w:rFonts w:ascii="Verdana" w:hAnsi="Verdana"/>
          <w:sz w:val="16"/>
          <w:szCs w:val="16"/>
          <w:lang w:val="es-ES"/>
        </w:rPr>
        <w:t xml:space="preserve">. </w:t>
      </w:r>
      <w:r w:rsidRPr="000B33B9">
        <w:rPr>
          <w:rFonts w:ascii="Verdana" w:hAnsi="Verdana"/>
          <w:i/>
          <w:sz w:val="16"/>
          <w:szCs w:val="16"/>
          <w:lang w:val="es-ES"/>
        </w:rPr>
        <w:t>Caso Cabrera García y Montiel Flores Vs. México. Excepción Preliminar, Fondo, Reparaciones y Costas</w:t>
      </w:r>
      <w:r w:rsidRPr="000B33B9">
        <w:rPr>
          <w:rFonts w:ascii="Verdana" w:hAnsi="Verdana"/>
          <w:sz w:val="16"/>
          <w:szCs w:val="16"/>
          <w:lang w:val="es-ES"/>
        </w:rPr>
        <w:t xml:space="preserve">. Sentencia de 26 de noviembre de 2010. Serie C No. 221, párr. 18, y </w:t>
      </w:r>
      <w:r w:rsidRPr="000B33B9">
        <w:rPr>
          <w:rFonts w:ascii="Verdana" w:hAnsi="Verdana"/>
          <w:i/>
          <w:sz w:val="16"/>
          <w:szCs w:val="16"/>
          <w:lang w:val="es-ES"/>
        </w:rPr>
        <w:t xml:space="preserve">Caso Villamizar Durán y otros Vs. Colombia. Excepción Preliminar, Fondo, Reparaciones y Costas. </w:t>
      </w:r>
      <w:r w:rsidRPr="000B33B9">
        <w:rPr>
          <w:rFonts w:ascii="Verdana" w:hAnsi="Verdana"/>
          <w:sz w:val="16"/>
          <w:szCs w:val="16"/>
          <w:lang w:val="es-ES"/>
        </w:rPr>
        <w:t>Sentencia de 20 de noviembre de 2018. Serie C No. 364, párr. 30.</w:t>
      </w:r>
    </w:p>
  </w:footnote>
  <w:footnote w:id="16">
    <w:p w14:paraId="6FD87EE8" w14:textId="18D0FEA9"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Caso de los “Niños de la Calle” (Villagrán Morales y otros) Vs. Guatemala. Fondo</w:t>
      </w:r>
      <w:r w:rsidRPr="000B33B9">
        <w:rPr>
          <w:rFonts w:ascii="Verdana" w:hAnsi="Verdana"/>
          <w:sz w:val="16"/>
          <w:szCs w:val="16"/>
        </w:rPr>
        <w:t xml:space="preserve">. Sentencia de 19 de noviembre de 1999. Serie C No. 63, párr. 222, </w:t>
      </w:r>
      <w:r w:rsidRPr="000B33B9">
        <w:rPr>
          <w:rFonts w:ascii="Verdana" w:hAnsi="Verdana"/>
          <w:sz w:val="16"/>
          <w:szCs w:val="16"/>
          <w:lang w:val="es-ES"/>
        </w:rPr>
        <w:t xml:space="preserve">y </w:t>
      </w:r>
      <w:r w:rsidRPr="000B33B9">
        <w:rPr>
          <w:rFonts w:ascii="Verdana" w:hAnsi="Verdana"/>
          <w:i/>
          <w:sz w:val="16"/>
          <w:szCs w:val="16"/>
          <w:lang w:val="es-ES"/>
        </w:rPr>
        <w:t xml:space="preserve">Caso Villamizar Durán y otros Vs. Colombia. Excepción Preliminar, Fondo, Reparaciones y Costas. </w:t>
      </w:r>
      <w:r w:rsidRPr="000B33B9">
        <w:rPr>
          <w:rFonts w:ascii="Verdana" w:hAnsi="Verdana"/>
          <w:sz w:val="16"/>
          <w:szCs w:val="16"/>
          <w:lang w:val="es-ES"/>
        </w:rPr>
        <w:t>Sentencia de 20 de noviembre de 2018. Serie C No. 364, párr. 30.</w:t>
      </w:r>
    </w:p>
  </w:footnote>
  <w:footnote w:id="17">
    <w:p w14:paraId="5F89846A" w14:textId="1BDCA476"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Informe 127-2006-JUS/CNDH-SE/CESAPI de 3 de noviembre de 2006 (expediente de fondo, folio 495). </w:t>
      </w:r>
    </w:p>
  </w:footnote>
  <w:footnote w:id="18">
    <w:p w14:paraId="39A9B358" w14:textId="1CD72B8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Informe 070-2006-JUS/CNDH-SE/CESAPI de 2 de noviembre de 2006 (expediente de fondo, folio 495). </w:t>
      </w:r>
    </w:p>
  </w:footnote>
  <w:footnote w:id="19">
    <w:p w14:paraId="3E5212D5" w14:textId="0D1A2AA9"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bCs/>
          <w:i/>
          <w:sz w:val="16"/>
          <w:szCs w:val="16"/>
        </w:rPr>
        <w:t>Caso Ivcher Bronstein Vs. Perú. Competencia</w:t>
      </w:r>
      <w:r w:rsidRPr="000B33B9">
        <w:rPr>
          <w:rFonts w:ascii="Verdana" w:hAnsi="Verdana"/>
          <w:i/>
          <w:sz w:val="16"/>
          <w:szCs w:val="16"/>
        </w:rPr>
        <w:t>.</w:t>
      </w:r>
      <w:r w:rsidRPr="000B33B9">
        <w:rPr>
          <w:rFonts w:ascii="Verdana" w:hAnsi="Verdana"/>
          <w:sz w:val="16"/>
          <w:szCs w:val="16"/>
        </w:rPr>
        <w:t xml:space="preserve"> Sentencia de 24 de septiembre de 1999. Serie C No. 54, párrs. 32 y 34, y </w:t>
      </w:r>
      <w:r w:rsidRPr="000B33B9">
        <w:rPr>
          <w:rFonts w:ascii="Verdana" w:hAnsi="Verdana"/>
          <w:i/>
          <w:sz w:val="16"/>
          <w:szCs w:val="16"/>
        </w:rPr>
        <w:t xml:space="preserve">Caso San Miguel Sosa y otras Vs. Venezuela. Fondo, Reparaciones y Costas. </w:t>
      </w:r>
      <w:r w:rsidRPr="000B33B9">
        <w:rPr>
          <w:rFonts w:ascii="Verdana" w:hAnsi="Verdana"/>
          <w:sz w:val="16"/>
          <w:szCs w:val="16"/>
        </w:rPr>
        <w:t>Sentencia de 8 de febrero de 2018. Serie C No. 348, párr. 220.</w:t>
      </w:r>
    </w:p>
  </w:footnote>
  <w:footnote w:id="20">
    <w:p w14:paraId="118ABD74" w14:textId="74C5EC8E" w:rsidR="00223943" w:rsidRPr="000B33B9" w:rsidRDefault="00223943" w:rsidP="000B33B9">
      <w:pPr>
        <w:spacing w:after="120" w:line="240" w:lineRule="auto"/>
        <w:jc w:val="both"/>
        <w:rPr>
          <w:rFonts w:ascii="Verdana" w:hAnsi="Verdana"/>
          <w:i/>
          <w:sz w:val="16"/>
          <w:szCs w:val="16"/>
        </w:rPr>
      </w:pPr>
      <w:r w:rsidRPr="000B33B9">
        <w:rPr>
          <w:rStyle w:val="Refdenotaalpie"/>
          <w:rFonts w:ascii="Verdana" w:hAnsi="Verdana"/>
          <w:color w:val="000000"/>
          <w:sz w:val="16"/>
          <w:szCs w:val="16"/>
        </w:rPr>
        <w:footnoteRef/>
      </w:r>
      <w:r w:rsidRPr="000B33B9">
        <w:rPr>
          <w:rFonts w:ascii="Verdana" w:hAnsi="Verdana"/>
          <w:sz w:val="16"/>
          <w:szCs w:val="16"/>
          <w:lang w:val="es-AR"/>
        </w:rPr>
        <w:tab/>
      </w:r>
      <w:r w:rsidRPr="000B33B9">
        <w:rPr>
          <w:rFonts w:ascii="Verdana" w:hAnsi="Verdana"/>
          <w:i/>
          <w:sz w:val="16"/>
          <w:szCs w:val="16"/>
          <w:lang w:val="es-AR"/>
        </w:rPr>
        <w:t xml:space="preserve">Cfr. </w:t>
      </w:r>
      <w:r w:rsidRPr="000B33B9">
        <w:rPr>
          <w:rStyle w:val="Textoennegrita"/>
          <w:rFonts w:ascii="Verdana" w:hAnsi="Verdana"/>
          <w:b w:val="0"/>
          <w:i/>
          <w:color w:val="000000"/>
          <w:sz w:val="16"/>
          <w:szCs w:val="16"/>
          <w:shd w:val="clear" w:color="auto" w:fill="FFFFFF"/>
        </w:rPr>
        <w:t>Caso Lagos del Campo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31 de agosto de 2017. Serie C No. 340, párrs. 142 y 154,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6 de marzo de 2019. Serie C No. 375, párr. 35</w:t>
      </w:r>
      <w:r w:rsidRPr="000B33B9">
        <w:rPr>
          <w:rStyle w:val="Textoennegrita"/>
          <w:rFonts w:ascii="Verdana" w:hAnsi="Verdana"/>
          <w:color w:val="000000"/>
          <w:sz w:val="16"/>
          <w:szCs w:val="16"/>
          <w:shd w:val="clear" w:color="auto" w:fill="FFFFFF"/>
        </w:rPr>
        <w:t>.</w:t>
      </w:r>
    </w:p>
  </w:footnote>
  <w:footnote w:id="21">
    <w:p w14:paraId="1292BD1F" w14:textId="754CB751" w:rsidR="00223943" w:rsidRPr="000B33B9" w:rsidRDefault="00223943" w:rsidP="000B33B9">
      <w:pPr>
        <w:pStyle w:val="Textonotapie"/>
        <w:spacing w:after="120"/>
        <w:jc w:val="both"/>
        <w:rPr>
          <w:rFonts w:ascii="Verdana" w:hAnsi="Verdana"/>
          <w:sz w:val="16"/>
          <w:szCs w:val="16"/>
          <w:lang w:val="es-ES"/>
        </w:rPr>
      </w:pPr>
      <w:r w:rsidRPr="000B33B9">
        <w:rPr>
          <w:rStyle w:val="Refdenotaalpie"/>
          <w:rFonts w:ascii="Verdana" w:hAnsi="Verdana"/>
          <w:sz w:val="16"/>
          <w:szCs w:val="16"/>
        </w:rPr>
        <w:footnoteRef/>
      </w:r>
      <w:r w:rsidRPr="000B33B9">
        <w:rPr>
          <w:rFonts w:ascii="Verdana" w:hAnsi="Verdana"/>
          <w:sz w:val="16"/>
          <w:szCs w:val="16"/>
          <w:lang w:val="es-PE"/>
        </w:rPr>
        <w:t xml:space="preserve"> </w:t>
      </w:r>
      <w:r w:rsidRPr="000B33B9">
        <w:rPr>
          <w:rFonts w:ascii="Verdana" w:hAnsi="Verdana"/>
          <w:sz w:val="16"/>
          <w:szCs w:val="16"/>
          <w:lang w:val="es-PE"/>
        </w:rPr>
        <w:tab/>
      </w:r>
      <w:r w:rsidRPr="000B33B9">
        <w:rPr>
          <w:rFonts w:ascii="Verdana" w:hAnsi="Verdana"/>
          <w:bCs/>
          <w:i/>
          <w:sz w:val="16"/>
          <w:szCs w:val="16"/>
          <w:lang w:val="es-CR"/>
        </w:rPr>
        <w:t xml:space="preserve">Caso Cuscul Pivaral y otros Vs. </w:t>
      </w:r>
      <w:r w:rsidRPr="000B33B9">
        <w:rPr>
          <w:rFonts w:ascii="Verdana" w:hAnsi="Verdana"/>
          <w:bCs/>
          <w:i/>
          <w:sz w:val="16"/>
          <w:szCs w:val="16"/>
          <w:lang w:val="es-PE"/>
        </w:rPr>
        <w:t>Guatemala.</w:t>
      </w:r>
      <w:r w:rsidRPr="000B33B9">
        <w:rPr>
          <w:rStyle w:val="Textoennegrita"/>
          <w:rFonts w:ascii="Verdana" w:hAnsi="Verdana"/>
          <w:b w:val="0"/>
          <w:i/>
          <w:color w:val="000000"/>
          <w:sz w:val="16"/>
          <w:szCs w:val="16"/>
          <w:shd w:val="clear" w:color="auto" w:fill="FFFFFF"/>
        </w:rPr>
        <w:t xml:space="preserve"> Excepción Preliminar, Fondo, Reparaciones y Costas</w:t>
      </w:r>
      <w:r w:rsidRPr="000B33B9">
        <w:rPr>
          <w:rFonts w:ascii="Verdana" w:hAnsi="Verdana"/>
          <w:bCs/>
          <w:i/>
          <w:sz w:val="16"/>
          <w:szCs w:val="16"/>
          <w:lang w:val="es-PE"/>
        </w:rPr>
        <w:t xml:space="preserve">. </w:t>
      </w:r>
      <w:r w:rsidRPr="000B33B9">
        <w:rPr>
          <w:rFonts w:ascii="Verdana" w:hAnsi="Verdana"/>
          <w:bCs/>
          <w:sz w:val="16"/>
          <w:szCs w:val="16"/>
          <w:lang w:val="es-PE"/>
        </w:rPr>
        <w:t>Sentencia de 23 de agosto de 2018. Serie C No. 359</w:t>
      </w:r>
      <w:r w:rsidRPr="000B33B9">
        <w:rPr>
          <w:rFonts w:ascii="Verdana" w:hAnsi="Verdana"/>
          <w:bCs/>
          <w:i/>
          <w:sz w:val="16"/>
          <w:szCs w:val="16"/>
          <w:lang w:val="es-PE"/>
        </w:rPr>
        <w:t>,</w:t>
      </w:r>
      <w:r w:rsidRPr="000B33B9">
        <w:rPr>
          <w:rFonts w:ascii="Verdana" w:hAnsi="Verdana"/>
          <w:sz w:val="16"/>
          <w:szCs w:val="16"/>
          <w:lang w:val="es-CR"/>
        </w:rPr>
        <w:t xml:space="preserve"> párrs. </w:t>
      </w:r>
      <w:r w:rsidRPr="000B33B9">
        <w:rPr>
          <w:rFonts w:ascii="Verdana" w:hAnsi="Verdana"/>
          <w:sz w:val="16"/>
          <w:szCs w:val="16"/>
          <w:lang w:val="es-ES"/>
        </w:rPr>
        <w:t xml:space="preserve">75 a 97,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36.</w:t>
      </w:r>
    </w:p>
  </w:footnote>
  <w:footnote w:id="22">
    <w:p w14:paraId="226E07A9" w14:textId="31D3AF0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6 de marzo de 2019. Serie C No. 375, párr. 36.</w:t>
      </w:r>
    </w:p>
  </w:footnote>
  <w:footnote w:id="23">
    <w:p w14:paraId="7228971D" w14:textId="5B3C9E1D"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6 de marzo de 2019. Serie C No. 375, párr. 37.</w:t>
      </w:r>
    </w:p>
  </w:footnote>
  <w:footnote w:id="24">
    <w:p w14:paraId="0DD12E22" w14:textId="0257AE03" w:rsidR="00223943" w:rsidRPr="000B33B9" w:rsidRDefault="00223943" w:rsidP="000B33B9">
      <w:pPr>
        <w:pStyle w:val="Textonotapie"/>
        <w:spacing w:after="120"/>
        <w:jc w:val="both"/>
        <w:rPr>
          <w:rFonts w:ascii="Verdana" w:hAnsi="Verdana"/>
          <w:i/>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Caso Cinco Pensionistas Vs. Perú, Fondo, Reparaciones y Costas.</w:t>
      </w:r>
      <w:r w:rsidRPr="000B33B9">
        <w:rPr>
          <w:rFonts w:ascii="Verdana" w:hAnsi="Verdana"/>
          <w:sz w:val="16"/>
          <w:szCs w:val="16"/>
        </w:rPr>
        <w:t xml:space="preserve"> Sentencia de 28 de febrero de 2003. Serie C No. 98, párr. 155, y </w:t>
      </w:r>
      <w:r w:rsidRPr="000B33B9">
        <w:rPr>
          <w:rStyle w:val="Textoennegrita"/>
          <w:rFonts w:ascii="Verdana" w:hAnsi="Verdana"/>
          <w:b w:val="0"/>
          <w:i/>
          <w:color w:val="000000"/>
          <w:sz w:val="16"/>
          <w:szCs w:val="16"/>
          <w:shd w:val="clear" w:color="auto" w:fill="FFFFFF"/>
        </w:rPr>
        <w:t>Caso Girón y otro Vs. Guatemala. Excepción Preliminar, Fondo, Reparaciones y Costas.</w:t>
      </w:r>
      <w:r w:rsidRPr="000B33B9">
        <w:rPr>
          <w:rStyle w:val="Textoennegrita"/>
          <w:rFonts w:ascii="Verdana" w:hAnsi="Verdana"/>
          <w:b w:val="0"/>
          <w:color w:val="000000"/>
          <w:sz w:val="16"/>
          <w:szCs w:val="16"/>
          <w:shd w:val="clear" w:color="auto" w:fill="FFFFFF"/>
        </w:rPr>
        <w:t xml:space="preserve"> Sentencia de 15 de octubre de 2019. Serie C No. 390, párr. 94.</w:t>
      </w:r>
    </w:p>
  </w:footnote>
  <w:footnote w:id="25">
    <w:p w14:paraId="22129C09" w14:textId="6AB0D9C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Cfr. Caso Radilla Pacheco Vs. México. Excepciones Preliminares, Fondo, Reparaciones y Costas.</w:t>
      </w:r>
      <w:r w:rsidRPr="000B33B9">
        <w:rPr>
          <w:rFonts w:ascii="Verdana" w:hAnsi="Verdana"/>
          <w:sz w:val="16"/>
          <w:szCs w:val="16"/>
        </w:rPr>
        <w:t xml:space="preserve"> Sentencia de 23 de noviembre de 2009. Serie C No. 209, párr. 110, y </w:t>
      </w:r>
      <w:r w:rsidRPr="000B33B9">
        <w:rPr>
          <w:rFonts w:ascii="Verdana" w:hAnsi="Verdana"/>
          <w:i/>
          <w:sz w:val="16"/>
          <w:szCs w:val="16"/>
          <w:lang w:val="es-CR"/>
        </w:rPr>
        <w:t xml:space="preserve">Caso Trabajadores Cesados de Petroperú y Otros Vs. Perú. </w:t>
      </w:r>
      <w:r w:rsidRPr="000B33B9">
        <w:rPr>
          <w:rFonts w:ascii="Verdana" w:hAnsi="Verdana"/>
          <w:i/>
          <w:sz w:val="16"/>
          <w:szCs w:val="16"/>
        </w:rPr>
        <w:t xml:space="preserve">Excepciones Preliminares, Fondo, Reparaciones y Costas. </w:t>
      </w:r>
      <w:r w:rsidRPr="000B33B9">
        <w:rPr>
          <w:rFonts w:ascii="Verdana" w:hAnsi="Verdana"/>
          <w:sz w:val="16"/>
          <w:szCs w:val="16"/>
        </w:rPr>
        <w:t>Sentencia de 23 de noviembre de 2017. Serie C No. 344, párr. 55.</w:t>
      </w:r>
    </w:p>
  </w:footnote>
  <w:footnote w:id="26">
    <w:p w14:paraId="3EF8B992" w14:textId="1877AC2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lang w:val="es-CR"/>
        </w:rPr>
        <w:t xml:space="preserve">Cfr. Caso Trabajadores Cesados de Petroperú y Otros Vs. Perú. </w:t>
      </w:r>
      <w:r w:rsidRPr="000B33B9">
        <w:rPr>
          <w:rFonts w:ascii="Verdana" w:hAnsi="Verdana"/>
          <w:i/>
          <w:sz w:val="16"/>
          <w:szCs w:val="16"/>
        </w:rPr>
        <w:t xml:space="preserve">Excepciones Preliminares, Fondo, Reparaciones y Costas. </w:t>
      </w:r>
      <w:r w:rsidRPr="000B33B9">
        <w:rPr>
          <w:rFonts w:ascii="Verdana" w:hAnsi="Verdana"/>
          <w:sz w:val="16"/>
          <w:szCs w:val="16"/>
        </w:rPr>
        <w:t>Sentencia de 23 de noviembre de 2017. Serie C No. 344</w:t>
      </w:r>
      <w:r w:rsidRPr="000B33B9">
        <w:rPr>
          <w:rFonts w:ascii="Verdana" w:hAnsi="Verdana"/>
          <w:i/>
          <w:sz w:val="16"/>
          <w:szCs w:val="16"/>
          <w:lang w:val="es-CR"/>
        </w:rPr>
        <w:t xml:space="preserve">, </w:t>
      </w:r>
      <w:r w:rsidRPr="000B33B9">
        <w:rPr>
          <w:rFonts w:ascii="Verdana" w:hAnsi="Verdana"/>
          <w:sz w:val="16"/>
          <w:szCs w:val="16"/>
          <w:lang w:val="es-CR"/>
        </w:rPr>
        <w:t>párr. 55.</w:t>
      </w:r>
    </w:p>
  </w:footnote>
  <w:footnote w:id="27">
    <w:p w14:paraId="71B835B5" w14:textId="5B47791E"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Caso Velásquez Rodríguez Vs. Honduras. Fondo. </w:t>
      </w:r>
      <w:r w:rsidRPr="000B33B9">
        <w:rPr>
          <w:rFonts w:ascii="Verdana" w:hAnsi="Verdana"/>
          <w:sz w:val="16"/>
          <w:szCs w:val="16"/>
        </w:rPr>
        <w:t xml:space="preserve">Sentencia de 29 de julio de 1988. Serie C No. 4, párr. 140,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13.</w:t>
      </w:r>
    </w:p>
  </w:footnote>
  <w:footnote w:id="28">
    <w:p w14:paraId="01BABD12" w14:textId="34412435"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Caso Cinco Pensionistas Vs. Perú. Fondo, Reparaciones y Costas.</w:t>
      </w:r>
      <w:r w:rsidRPr="000B33B9">
        <w:rPr>
          <w:rFonts w:ascii="Verdana" w:hAnsi="Verdana"/>
          <w:sz w:val="16"/>
          <w:szCs w:val="16"/>
        </w:rPr>
        <w:t xml:space="preserve"> Sentencia de 28 de febrero de 2003. Serie C No. 98, párr. 154, y </w:t>
      </w:r>
      <w:r w:rsidRPr="000B33B9">
        <w:rPr>
          <w:rStyle w:val="Textoennegrita"/>
          <w:rFonts w:ascii="Verdana" w:hAnsi="Verdana"/>
          <w:b w:val="0"/>
          <w:i/>
          <w:color w:val="000000"/>
          <w:sz w:val="16"/>
          <w:szCs w:val="16"/>
          <w:shd w:val="clear" w:color="auto" w:fill="FFFFFF"/>
        </w:rPr>
        <w:t>Caso Lagos del Campo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31 de agosto de 2017. Serie C No. 340, párr. 24.</w:t>
      </w:r>
    </w:p>
  </w:footnote>
  <w:footnote w:id="29">
    <w:p w14:paraId="73F413BC" w14:textId="7C5620E9"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El discurso fue pronunciado el 28 de julio de 2018 y trató las siguientes temáticas: apertura, reforma judicial, reconstrucción con cambios, economía, sectores productivos, transportes y comunicaciones, vivienda, construcción y saneamiento, educación, salud e inclusión social, mujer y poblaciones vulnerables, ambiente, cultura, seguridad, defensa, política exterior y descentralización (expediente de prueba, folio 15751).</w:t>
      </w:r>
    </w:p>
  </w:footnote>
  <w:footnote w:id="30">
    <w:p w14:paraId="75A5F5FA" w14:textId="330A175F"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Estas notas tenían por encabezados los siguientes: “Caen los presidentes del Poder Judicial y el CNM por audios de corrupción”, “Investigan a más de 8 mil magistrados”, CNM ratificó a Chávarry a días de difundirse los audios”, “Lucha contra la corrupción: el reto más importante del Gobierno de Vizcarra”, “Sí es posible realizar el referéndum en octubre”, “Colaborador señala que Hinostroza resuelve casos de narcotraficantes”, “Congreso inicia camino para acusar a Chávarry, Hinostroza y Rodríguez”, “Apellido Fujimori se escucha en nuevo audio de Hinostroza”, “Congreso responde a presión del Ejecutivo por reforma judicial”, y “Gobierno busca mayor dureza contra fondos políticos ilícitos” (expediente de prueba, folios del 15771 al 15789).</w:t>
      </w:r>
    </w:p>
  </w:footnote>
  <w:footnote w:id="31">
    <w:p w14:paraId="5F4838D9" w14:textId="502F3B61"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En su lista definitiva de declarantes, la Comisión solicitó el traslado de este peritaje.</w:t>
      </w:r>
    </w:p>
  </w:footnote>
  <w:footnote w:id="32">
    <w:p w14:paraId="01E67D3F" w14:textId="621533AF"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t xml:space="preserve">En audiencia pública, la Corte recibió la declaración de una presunta víctima, Ana María Ráez Guevara, y de la perita Frida Vals Gen Rivera, ofrecidas por los representantes y de los peritos Cesar Efraín Abanto Revilla y Dante Ludwing Apolín Meza, propuestos por el Estado. Asimismo, la Corte recibió las declaraciones ante fedatario público de las presuntas víctimas Norma Estrella Grande Bolívar de Cortez y Hugo Alberto Plasencia Carranza, propuestos por los representantes, de los peritos César González Hunt y Reynaldo Bustamante Alacón, propuestos por el Estado y del testigo Héctor Enrique Lama More, propuesto por el Estado. El objeto de las referidas declaraciones está establecido en la Resolución del Presidente de la Corte Interamericana emitida el 21 de marzo de 2019. </w:t>
      </w:r>
    </w:p>
  </w:footnote>
  <w:footnote w:id="33">
    <w:p w14:paraId="5A28DC04" w14:textId="0DC4AF09"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“Cinco Pensionistas” Vs. Perú. Fondo, Reparaciones y Costas</w:t>
      </w:r>
      <w:r w:rsidRPr="000B33B9">
        <w:rPr>
          <w:rFonts w:ascii="Verdana" w:hAnsi="Verdana"/>
          <w:sz w:val="16"/>
          <w:szCs w:val="16"/>
        </w:rPr>
        <w:t xml:space="preserve">. Sentencia de 28 de febrero de 2003. Serie C No. 98, párr. 153,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16.</w:t>
      </w:r>
    </w:p>
  </w:footnote>
  <w:footnote w:id="34">
    <w:p w14:paraId="1919C1FA" w14:textId="31F1221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Ley No. 24829 de 7 de junio de 1988 y Decreto Legislativo No. 501 de 29 de noviembre de 1991. </w:t>
      </w:r>
    </w:p>
  </w:footnote>
  <w:footnote w:id="35">
    <w:p w14:paraId="0C33639F" w14:textId="2439568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ANCEJUB-SUNAT fue constituida el 15 de marzo de 1991. </w:t>
      </w:r>
      <w:r w:rsidRPr="000B33B9">
        <w:rPr>
          <w:rFonts w:ascii="Verdana" w:hAnsi="Verdana"/>
          <w:i/>
          <w:sz w:val="16"/>
          <w:szCs w:val="16"/>
          <w:lang w:val="es-DO"/>
        </w:rPr>
        <w:t>Cfr.</w:t>
      </w:r>
      <w:r w:rsidRPr="000B33B9">
        <w:rPr>
          <w:rFonts w:ascii="Verdana" w:hAnsi="Verdana"/>
          <w:sz w:val="16"/>
          <w:szCs w:val="16"/>
          <w:lang w:val="es-DO"/>
        </w:rPr>
        <w:t xml:space="preserve"> Resolución del Sexagésimo Tercer Juzgado Especializado en lo Civil de Lima de 24 de junio de 2002 (expediente de prueba, folios del 88 al 91).</w:t>
      </w:r>
    </w:p>
  </w:footnote>
  <w:footnote w:id="36">
    <w:p w14:paraId="2A818F66" w14:textId="4B88875D"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rPr>
        <w:t xml:space="preserve">Cfr. </w:t>
      </w:r>
      <w:r w:rsidRPr="000B33B9">
        <w:rPr>
          <w:rFonts w:ascii="Verdana" w:hAnsi="Verdana"/>
          <w:sz w:val="16"/>
          <w:szCs w:val="16"/>
          <w:lang w:val="es-DO"/>
        </w:rPr>
        <w:t>Decreto Ley No. 20530 de 26 de febrero de 1974 (expediente de prueba, folios del 1590 al 1608).</w:t>
      </w:r>
    </w:p>
  </w:footnote>
  <w:footnote w:id="37">
    <w:p w14:paraId="4766FE37" w14:textId="4C1DB84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Constitución Política de la República del Perú de 12 de julio de 1979. Disposición Transitoria Octava.</w:t>
      </w:r>
    </w:p>
  </w:footnote>
  <w:footnote w:id="38">
    <w:p w14:paraId="79D790FF" w14:textId="03C136A0"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Decreto Ley </w:t>
      </w:r>
      <w:r w:rsidRPr="000B33B9">
        <w:rPr>
          <w:rFonts w:ascii="Verdana" w:hAnsi="Verdana"/>
          <w:sz w:val="16"/>
          <w:szCs w:val="16"/>
          <w:lang w:val="es-DO"/>
        </w:rPr>
        <w:t xml:space="preserve">No. </w:t>
      </w:r>
      <w:r w:rsidRPr="000B33B9">
        <w:rPr>
          <w:rFonts w:ascii="Verdana" w:hAnsi="Verdana"/>
          <w:sz w:val="16"/>
          <w:szCs w:val="16"/>
          <w:lang w:val="es-CR"/>
        </w:rPr>
        <w:t>23495 de 19 de noviembre de 1982, artículos 1 y 5.</w:t>
      </w:r>
    </w:p>
  </w:footnote>
  <w:footnote w:id="39">
    <w:p w14:paraId="5DE2790D" w14:textId="5BA43048"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Reglamento de la Ley </w:t>
      </w:r>
      <w:r w:rsidRPr="000B33B9">
        <w:rPr>
          <w:rFonts w:ascii="Verdana" w:hAnsi="Verdana"/>
          <w:sz w:val="16"/>
          <w:szCs w:val="16"/>
          <w:lang w:val="es-DO"/>
        </w:rPr>
        <w:t xml:space="preserve">No. </w:t>
      </w:r>
      <w:r w:rsidRPr="000B33B9">
        <w:rPr>
          <w:rFonts w:ascii="Verdana" w:hAnsi="Verdana"/>
          <w:sz w:val="16"/>
          <w:szCs w:val="16"/>
          <w:lang w:val="es-CR"/>
        </w:rPr>
        <w:t>23495, publicado el 18 de marzo de 1983 (expediente de fondo, folio 995).</w:t>
      </w:r>
    </w:p>
  </w:footnote>
  <w:footnote w:id="40">
    <w:p w14:paraId="544ACFA6" w14:textId="30DC9BCF"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sz w:val="16"/>
          <w:szCs w:val="16"/>
          <w:lang w:val="es-DO"/>
        </w:rPr>
        <w:t xml:space="preserve">Decreto Legislativo No. 673 de 23 de septiembre de 1991 (expediente de prueba, folios del 15094 al 15096). </w:t>
      </w:r>
    </w:p>
  </w:footnote>
  <w:footnote w:id="41">
    <w:p w14:paraId="550CEAAC" w14:textId="452B8F5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Resolución No.</w:t>
      </w:r>
      <w:r w:rsidRPr="000B33B9">
        <w:rPr>
          <w:rFonts w:ascii="Verdana" w:hAnsi="Verdana"/>
          <w:sz w:val="16"/>
          <w:szCs w:val="16"/>
          <w:vertAlign w:val="superscript"/>
          <w:lang w:val="es-DO"/>
        </w:rPr>
        <w:t xml:space="preserve"> </w:t>
      </w:r>
      <w:r w:rsidRPr="000B33B9">
        <w:rPr>
          <w:rFonts w:ascii="Verdana" w:hAnsi="Verdana"/>
          <w:sz w:val="16"/>
          <w:szCs w:val="16"/>
          <w:lang w:val="es-DO"/>
        </w:rPr>
        <w:t xml:space="preserve">948 de la SUNAT de julio de 1991 (expediente de prueba, folios 6834 y 6835). </w:t>
      </w:r>
    </w:p>
  </w:footnote>
  <w:footnote w:id="42">
    <w:p w14:paraId="6B939A61" w14:textId="302A1FDA"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rPr>
        <w:t xml:space="preserve">Cfr. </w:t>
      </w:r>
      <w:r w:rsidRPr="000B33B9">
        <w:rPr>
          <w:rFonts w:ascii="Verdana" w:hAnsi="Verdana"/>
          <w:sz w:val="16"/>
          <w:szCs w:val="16"/>
        </w:rPr>
        <w:t>Resolución No. R.S. N°638-91-EF/SUNAT-A00000 de la SUNAT de 10 de abril de 1991 a favor de Álvarez González Darma María (expediente de prueba, folio 6857); Resolución No. R.S. N°334-91-EF/SUNAT-A00000 de la SUNAT de 15 de febrero de 1991 a favor de Álvarez Ramírez Glicerio (expediente de prueba, folio 6861); Resolución No. R.S. N°517-91-EF/SUNAT-A00000 de la SUNAT de 21 de marzo de 1991 a favor de Antúnez Solís Eduardo Manuel (expediente de prueba, folio 6871); Resolución No. R.S. N°532-91-EF/SUNAT-A00000 de la SUNAT de 21 de marzo de 1991 a favor de Benavides Espinoza Fortunato Raúl (expediente de prueba, folio 6965); Resolución No. R.S. N°263-91-EF/SUNAT-A00000 de la SUNAT de 13 de febrero de 1991 a favor de Berrocal Barraza Nelly (expediente de prueba, folio 6974); Resolución No. R.S. N°527-91-EF/SUNAT-A00000 de la SUNAT de 21 de marzo de 1991 a favor de Candela Lévano Víctor Alfredo (expediente de prueba, folio 7025); Resolución No. R.S. N°291-91-EF/SUNAT-A00000 de la SUNAT de 14 de febrero de 1991 a favor de Carranza Alfaro Constantino Percy (expediente de prueba, folio 7033); Resolución No. R.S. N°2053-91-EF/SUNAT-A00000 de la SUNAT de 19 de agosto de 1991 a favor de Carranza Martínez Victoria Estela (expediente de prueba, folio 7043); Resolución No. R.S. N°219-91-EF/SUNAT-A00000 de la SUNAT de 12 de febrero de 1991 a favor de Carrasco Ferrel Eloy (expediente de prueba, folio 7047); Resolución No. R.S. N°181-91-EF/SUNAT-A00000 de la SUNAT de 11 de febrero de 1991 a favor de Carreño Llanos Judith Yolanda (expediente de prueba, folio 7053); Resolución No. R.S. N°214-91-EF/SUNAT-A00000 de la SUNAT de 12 de febrero de 1991 a favor de Carreño Llanos Luisa Elizabeth (expediente de prueba, folio 7057); Resolución No. R.S. N°284-91-EF/SUNAT-A00000 de la SUNAT de 13 de febrero de 1991 a favor de Cassana Bazán Mercedes Irma (expediente de prueba, folio 7069); Resolución No. R.S. N°622-91-EF/SUNAT-A00000 de la SUNAT de 10 de abril de 1991 a favor de Castillo Sánchez Julia Manuela (expediente de prueba, folio 7076); Resolución No. R.S. N°488-91-EF/SUNAT-A00000 de la SUNAT de 21 de marzo de 1991 a favor de Chávez Centti Miguel Ángel (expediente de prueba, folio P7118), y Resolución No. R.S. N°211-91-EF/SUNAT-A00000 de la SUNAT de 12 de febrero de 1991 a favor de Chiriboga Pardo Jesús Eduardo (expediente de prueba, folio 7129).</w:t>
      </w:r>
    </w:p>
  </w:footnote>
  <w:footnote w:id="43">
    <w:p w14:paraId="18966989" w14:textId="0FAA293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w:t>
      </w:r>
      <w:r w:rsidRPr="000B33B9">
        <w:rPr>
          <w:rFonts w:ascii="Verdana" w:hAnsi="Verdana"/>
          <w:i/>
          <w:sz w:val="16"/>
          <w:szCs w:val="16"/>
        </w:rPr>
        <w:t>Mutatis mutandis</w:t>
      </w:r>
      <w:r w:rsidRPr="000B33B9">
        <w:rPr>
          <w:rFonts w:ascii="Verdana" w:hAnsi="Verdana"/>
          <w:sz w:val="16"/>
          <w:szCs w:val="16"/>
          <w:lang w:val="es-CR"/>
        </w:rPr>
        <w:t xml:space="preserve">. Decreto Legislativo </w:t>
      </w:r>
      <w:r w:rsidRPr="000B33B9">
        <w:rPr>
          <w:rFonts w:ascii="Verdana" w:hAnsi="Verdana"/>
          <w:sz w:val="16"/>
          <w:szCs w:val="16"/>
          <w:lang w:val="es-DO"/>
        </w:rPr>
        <w:t xml:space="preserve">No. 680 de 9 de octubre de 1981. Artículo 2, literales c y d (expediente de prueba, folios del 15096 al 15100). </w:t>
      </w:r>
    </w:p>
  </w:footnote>
  <w:footnote w:id="44">
    <w:p w14:paraId="5D5B6EA1" w14:textId="7C9D72DA"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Decreto Legislativo No. 673 de 23 de septiembre de 1991. Artículo 1 (expediente de prueba, folios del 15094 al 15096).</w:t>
      </w:r>
    </w:p>
  </w:footnote>
  <w:footnote w:id="45">
    <w:p w14:paraId="17B009BB" w14:textId="5339B97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Decreto Ley No. 19990 de 24 de abril de 1973, artículo 3.</w:t>
      </w:r>
    </w:p>
  </w:footnote>
  <w:footnote w:id="46">
    <w:p w14:paraId="57720C58" w14:textId="4CA7D9BC"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DO"/>
        </w:rPr>
        <w:t xml:space="preserve">Cfr. </w:t>
      </w:r>
      <w:r w:rsidRPr="000B33B9">
        <w:rPr>
          <w:rFonts w:ascii="Verdana" w:hAnsi="Verdana"/>
          <w:sz w:val="16"/>
          <w:szCs w:val="16"/>
          <w:lang w:val="es-DO"/>
        </w:rPr>
        <w:t xml:space="preserve">Decreto Legislativo No. 673 de 23 de septiembre de 1991. Artículo 2 (expediente de prueba, folios del 15094 al 15096). </w:t>
      </w:r>
    </w:p>
  </w:footnote>
  <w:footnote w:id="47">
    <w:p w14:paraId="4E405DAF" w14:textId="2E2B1771"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Perú. Decreto Legislativo No. 673 de 23 de septiembre de 1991. Artículo 3, literales a, c y d (expediente de prueba, folios del 15094 al 15096). </w:t>
      </w:r>
    </w:p>
  </w:footnote>
  <w:footnote w:id="48">
    <w:p w14:paraId="0C3DBC0F" w14:textId="72D2FFC4"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sz w:val="16"/>
          <w:szCs w:val="16"/>
          <w:lang w:val="es-DO"/>
        </w:rPr>
        <w:t>Decreto Legislativo No. 673 de 23 de septiembre de 1991. T</w:t>
      </w:r>
      <w:r w:rsidRPr="000B33B9">
        <w:rPr>
          <w:rFonts w:ascii="Verdana" w:hAnsi="Verdana"/>
          <w:sz w:val="16"/>
          <w:szCs w:val="16"/>
          <w:lang w:val="es-CR"/>
        </w:rPr>
        <w:t xml:space="preserve">ercera Disposición Transitoria </w:t>
      </w:r>
      <w:r w:rsidRPr="000B33B9">
        <w:rPr>
          <w:rFonts w:ascii="Verdana" w:hAnsi="Verdana"/>
          <w:sz w:val="16"/>
          <w:szCs w:val="16"/>
          <w:lang w:val="es-DO"/>
        </w:rPr>
        <w:t xml:space="preserve">(expediente de prueba, folios del 15094 al 15096). </w:t>
      </w:r>
    </w:p>
  </w:footnote>
  <w:footnote w:id="49">
    <w:p w14:paraId="376434CF" w14:textId="47696CDC" w:rsidR="00223943" w:rsidRPr="000B33B9" w:rsidRDefault="00223943" w:rsidP="000B33B9">
      <w:pPr>
        <w:pStyle w:val="Textonotapie"/>
        <w:spacing w:after="120"/>
        <w:jc w:val="both"/>
        <w:rPr>
          <w:rFonts w:ascii="Verdana" w:hAnsi="Verdana"/>
          <w:i/>
          <w:sz w:val="16"/>
          <w:szCs w:val="16"/>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i/>
          <w:sz w:val="16"/>
          <w:szCs w:val="16"/>
        </w:rPr>
        <w:tab/>
      </w:r>
      <w:r w:rsidRPr="000B33B9">
        <w:rPr>
          <w:rFonts w:ascii="Verdana" w:hAnsi="Verdana"/>
          <w:sz w:val="16"/>
          <w:szCs w:val="16"/>
        </w:rPr>
        <w:t xml:space="preserve">Amparo interpuesto por ANCEJUB-SUNAT el 19 de diciembre de 1991, ante el </w:t>
      </w:r>
      <w:r w:rsidRPr="000B33B9">
        <w:rPr>
          <w:rFonts w:ascii="Verdana" w:hAnsi="Verdana" w:cs="Arial"/>
          <w:sz w:val="16"/>
          <w:szCs w:val="16"/>
          <w:lang w:val="es-CR"/>
        </w:rPr>
        <w:t xml:space="preserve">Quinto Juzgado Especializado en lo Civil de Lima (expediente de prueba, folios del 3 al 15). </w:t>
      </w:r>
    </w:p>
  </w:footnote>
  <w:footnote w:id="50">
    <w:p w14:paraId="1A4ACD3B" w14:textId="00BD09F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Resolución del Quinto Juzgado Especializado en lo Civil de Lima de 7 de febrero de 1992 (expediente de prueba, folios del 17 al 19). </w:t>
      </w:r>
    </w:p>
  </w:footnote>
  <w:footnote w:id="51">
    <w:p w14:paraId="42B016B7" w14:textId="2F81C63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2287 de la Segunda Sala Civil de la Corte Superior de Lima de 1 de septiembre de 1992 (expediente de prueba, folio 21). </w:t>
      </w:r>
    </w:p>
  </w:footnote>
  <w:footnote w:id="52">
    <w:p w14:paraId="40932CED" w14:textId="721A0F4A"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Sentencia de la Corte Suprema de Justicia de la República de 25 de octubre de 1993 (expediente de prueba, folios del 23 al 25).</w:t>
      </w:r>
    </w:p>
  </w:footnote>
  <w:footnote w:id="53">
    <w:p w14:paraId="3BCB765F" w14:textId="2B5BF4D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i/>
          <w:sz w:val="16"/>
          <w:szCs w:val="16"/>
          <w:lang w:val="es-DO"/>
        </w:rPr>
        <w:t xml:space="preserve"> </w:t>
      </w:r>
      <w:r w:rsidRPr="000B33B9">
        <w:rPr>
          <w:rFonts w:ascii="Verdana" w:hAnsi="Verdana"/>
          <w:i/>
          <w:sz w:val="16"/>
          <w:szCs w:val="16"/>
          <w:lang w:val="es-DO"/>
        </w:rPr>
        <w:tab/>
      </w:r>
      <w:r w:rsidRPr="000B33B9">
        <w:rPr>
          <w:rFonts w:ascii="Verdana" w:hAnsi="Verdana"/>
          <w:sz w:val="16"/>
          <w:szCs w:val="16"/>
          <w:lang w:val="es-DO"/>
        </w:rPr>
        <w:t>Resolución del Tribunal Constitucional de 25 de junio de 1996 (expediente de prueba, folio 29).</w:t>
      </w:r>
    </w:p>
  </w:footnote>
  <w:footnote w:id="54">
    <w:p w14:paraId="0788FA0D" w14:textId="0652072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del Juzgado Previsional de Lima de 21 de enero de 1997 (expediente de prueba, folio 33).</w:t>
      </w:r>
    </w:p>
  </w:footnote>
  <w:footnote w:id="55">
    <w:p w14:paraId="2CED688A" w14:textId="2B75A25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Recurso de nulidad presentado por el Procurador Público de los asuntos judiciales del MEF el 18 de febrero de 1997 (expediente de prueba, folios del 35 al 37).</w:t>
      </w:r>
    </w:p>
  </w:footnote>
  <w:footnote w:id="56">
    <w:p w14:paraId="2AD0493B" w14:textId="524EF75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Juzgado Previsional de Lima de 8 de abril de 1997 (expediente de prueba, folio 39). </w:t>
      </w:r>
    </w:p>
  </w:footnote>
  <w:footnote w:id="57">
    <w:p w14:paraId="139620C5" w14:textId="5A5398C6" w:rsidR="00223943" w:rsidRPr="000B33B9" w:rsidRDefault="00223943" w:rsidP="000B33B9">
      <w:pPr>
        <w:pStyle w:val="Textonotapie"/>
        <w:tabs>
          <w:tab w:val="left" w:pos="720"/>
          <w:tab w:val="left" w:pos="1440"/>
          <w:tab w:val="left" w:pos="2160"/>
          <w:tab w:val="left" w:pos="2880"/>
          <w:tab w:val="left" w:pos="3600"/>
          <w:tab w:val="left" w:pos="4320"/>
          <w:tab w:val="left" w:pos="5040"/>
          <w:tab w:val="left" w:pos="5760"/>
          <w:tab w:val="left" w:pos="6480"/>
          <w:tab w:val="left" w:pos="7995"/>
        </w:tabs>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 fecha 18 de agosto de 1997 (expediente de prueba, folio 41).</w:t>
      </w:r>
    </w:p>
  </w:footnote>
  <w:footnote w:id="58">
    <w:p w14:paraId="0173F239" w14:textId="63147910"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del Primer Juzgado Corporativo Transitorio Especializado en Derecho Público de 16 de febrero de 1998 (expediente de prueba, folios 43 y 44).</w:t>
      </w:r>
    </w:p>
  </w:footnote>
  <w:footnote w:id="59">
    <w:p w14:paraId="3E5254D5" w14:textId="38DA6ECD"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 la Sala Corporativa Transitoria Especializada de Derecho Público de 27 de agosto de 1998 (expediente de prueba, folios 46 y 47).</w:t>
      </w:r>
    </w:p>
  </w:footnote>
  <w:footnote w:id="60">
    <w:p w14:paraId="63A710C6" w14:textId="1F4F7E8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del Primer Juzgado Corporativo Transitorio Especializado en Derecho Público de 2 de octubre de 1998 (expediente de prueba, folios 49 y 50).</w:t>
      </w:r>
    </w:p>
  </w:footnote>
  <w:footnote w:id="61">
    <w:p w14:paraId="1B3B6069" w14:textId="0FF010D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Recurso de apelación interpuesto por ANCEJUB-SUNAT el 15 de octubre de 1998 contra la resolución de 2 de octubre de 1998 (expediente de prueba, folios del 52 al 58).</w:t>
      </w:r>
    </w:p>
  </w:footnote>
  <w:footnote w:id="62">
    <w:p w14:paraId="4FEE65E0" w14:textId="2CFFC660"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 la Sala Corporativa Transitoria Especializada de Derecho Público de 21 de enero de 1999 (expediente de prueba, folio 60).</w:t>
      </w:r>
    </w:p>
  </w:footnote>
  <w:footnote w:id="63">
    <w:p w14:paraId="07C71207" w14:textId="1D1607FD"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Tribunal Constitucional de 10 de mayo de 2001, con relación al expediente No. 2001-AA/TC (expediente de prueba, folios del 70 al 73).</w:t>
      </w:r>
    </w:p>
  </w:footnote>
  <w:footnote w:id="64">
    <w:p w14:paraId="7DF21CE5" w14:textId="734B059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 la Sala Corporativa Transitoria Especializada de Derecho Público de 25 de noviembre de 1999 (expediente de prueba, folios del 62 al 64).</w:t>
      </w:r>
    </w:p>
  </w:footnote>
  <w:footnote w:id="65">
    <w:p w14:paraId="1FE6252D" w14:textId="1B40704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Dictamen No. 588-2000-MP-FN-FSCA, expedido el 6 de abril de 2000 por la Fiscalía Suprema en lo Contencioso Administrativo (expediente de prueba, folio 66). </w:t>
      </w:r>
    </w:p>
  </w:footnote>
  <w:footnote w:id="66">
    <w:p w14:paraId="5B2CEE5C" w14:textId="3C0FDAB3"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Resolución de la Sala de Derecho Constitucional y Social de la Corte Suprema de Justicia de la República de 25 de agosto de 2000 (expediente de prueba, folio 68). </w:t>
      </w:r>
    </w:p>
  </w:footnote>
  <w:footnote w:id="67">
    <w:p w14:paraId="65C13668" w14:textId="0AF3B8CB"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Resolución del Tribunal Constitucional de 10 de mayo de 2001, con relación al expediente No. 2001-AA/TC (expediente de prueba, folios del 70 al 73).</w:t>
      </w:r>
    </w:p>
  </w:footnote>
  <w:footnote w:id="68">
    <w:p w14:paraId="40511EB4" w14:textId="61FFCBC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Auto de la Sexta Sala Civil de la Corte Superior de Justicia de Lima de 25 de marzo de 2002 (expediente de prueba, folio 75). </w:t>
      </w:r>
    </w:p>
  </w:footnote>
  <w:footnote w:id="69">
    <w:p w14:paraId="0313C0F4" w14:textId="1516B7B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Resolución del Sexagésimo Tercer Juzgado Especializado en lo Civil de Lima de 11 de abril de 2002 (expediente de prueba, folios del 77 al 79). </w:t>
      </w:r>
    </w:p>
  </w:footnote>
  <w:footnote w:id="70">
    <w:p w14:paraId="27DDF0C9" w14:textId="589B958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 xml:space="preserve">Cfr. </w:t>
      </w:r>
      <w:r w:rsidRPr="000B33B9">
        <w:rPr>
          <w:rFonts w:ascii="Verdana" w:hAnsi="Verdana"/>
          <w:sz w:val="16"/>
          <w:szCs w:val="16"/>
          <w:lang w:val="es-DO"/>
        </w:rPr>
        <w:t xml:space="preserve">Resolución del Sexagésimo Tercer Juzgado Especializado en lo Civil de Lima de 24 de junio de 2002 (expediente de prueba, folios del 88 al 91). </w:t>
      </w:r>
    </w:p>
  </w:footnote>
  <w:footnote w:id="71">
    <w:p w14:paraId="086B25F1" w14:textId="121DE3D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Resolución del Sexagésimo Tercer Juzgado Especializado en lo Civil de Lima de 23 de septiembre de 2002 (expediente de prueba, folios 113 y 114).</w:t>
      </w:r>
    </w:p>
  </w:footnote>
  <w:footnote w:id="72">
    <w:p w14:paraId="6BA5F27F" w14:textId="5D825F1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Resolución del Sexagésimo Tercer Juzgado Especializado en lo Civil de Lima de 24 de junio de 2002 (expediente de prueba, folios del 88 al 91).</w:t>
      </w:r>
    </w:p>
  </w:footnote>
  <w:footnote w:id="73">
    <w:p w14:paraId="76369FAD" w14:textId="7928705A"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Resolución No.</w:t>
      </w:r>
      <w:r w:rsidRPr="000B33B9">
        <w:rPr>
          <w:rFonts w:ascii="Verdana" w:hAnsi="Verdana"/>
          <w:sz w:val="16"/>
          <w:szCs w:val="16"/>
          <w:lang w:val="es-ES"/>
        </w:rPr>
        <w:t xml:space="preserve"> 042-2002/SUNAT de la SUNAT de 8 de julio de 2002 (expediente de prueba, folios del 15811 al 15822).</w:t>
      </w:r>
    </w:p>
  </w:footnote>
  <w:footnote w:id="74">
    <w:p w14:paraId="58EF66C6" w14:textId="7361CCD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Resolución del Sexagésimo Tercer Juzgado Especializado en lo Civil de Lima de 23 de septiembre de 2002 (expediente de prueba, folios 113 y 114). </w:t>
      </w:r>
    </w:p>
  </w:footnote>
  <w:footnote w:id="75">
    <w:p w14:paraId="5C8F7E14" w14:textId="7DA3C26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Informe pericial de fecha 3 de abril de 2003, rendido por José de la Rosa Pinillos Reyes, contador público colegiado (expediente de prueba, folios del 1221 al 1230).  </w:t>
      </w:r>
    </w:p>
  </w:footnote>
  <w:footnote w:id="76">
    <w:p w14:paraId="14B42CDD" w14:textId="4643994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Instancia de 22 de abril de 2003, contentiva de las observaciones de ANCEJUB-SUNAT al informe pericial de 3 de abril de 2003 (expediente de prueba, folios del 132 al 139). </w:t>
      </w:r>
    </w:p>
  </w:footnote>
  <w:footnote w:id="77">
    <w:p w14:paraId="31F8E937" w14:textId="1B502CA1"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Resolución No. 9 del Sexagésimo Sexto Juzgado Especializado en lo Civil de Lima de 21 de abril de 2004 (expediente de prueba, folio 148).</w:t>
      </w:r>
    </w:p>
  </w:footnote>
  <w:footnote w:id="78">
    <w:p w14:paraId="6151A8D0" w14:textId="027120EC"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Recurso de nulidad interpuesto por ANCEJUB-SUNAT el 17 de mayo de 2004 </w:t>
      </w:r>
      <w:r w:rsidRPr="000B33B9">
        <w:rPr>
          <w:rFonts w:ascii="Verdana" w:hAnsi="Verdana"/>
          <w:sz w:val="16"/>
          <w:szCs w:val="16"/>
          <w:lang w:val="es-DO"/>
        </w:rPr>
        <w:t xml:space="preserve">contra la </w:t>
      </w:r>
      <w:r w:rsidRPr="000B33B9">
        <w:rPr>
          <w:rFonts w:ascii="Verdana" w:hAnsi="Verdana"/>
          <w:sz w:val="16"/>
          <w:szCs w:val="16"/>
          <w:lang w:val="es-CR"/>
        </w:rPr>
        <w:t xml:space="preserve">resolución No. 9 de 21 de abril de 2004 (expediente de prueba, folios del 150 al 154).   </w:t>
      </w:r>
    </w:p>
  </w:footnote>
  <w:footnote w:id="79">
    <w:p w14:paraId="367934BC" w14:textId="487A7371"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Resolución </w:t>
      </w:r>
      <w:r w:rsidRPr="000B33B9">
        <w:rPr>
          <w:rFonts w:ascii="Verdana" w:hAnsi="Verdana"/>
          <w:sz w:val="16"/>
          <w:szCs w:val="16"/>
          <w:lang w:val="es-DO"/>
        </w:rPr>
        <w:t xml:space="preserve">No. </w:t>
      </w:r>
      <w:r w:rsidRPr="000B33B9">
        <w:rPr>
          <w:rFonts w:ascii="Verdana" w:hAnsi="Verdana"/>
          <w:sz w:val="16"/>
          <w:szCs w:val="16"/>
          <w:lang w:val="es-CR"/>
        </w:rPr>
        <w:t>46 del Sexagésimo Sexto Juzgado Especializado en lo Civil de Lima de 5 de mayo de 2005</w:t>
      </w:r>
      <w:r w:rsidRPr="000B33B9">
        <w:rPr>
          <w:rFonts w:ascii="Verdana" w:hAnsi="Verdana"/>
          <w:i/>
          <w:sz w:val="16"/>
          <w:szCs w:val="16"/>
          <w:lang w:val="es-CR"/>
        </w:rPr>
        <w:t xml:space="preserve"> </w:t>
      </w:r>
      <w:r w:rsidRPr="000B33B9">
        <w:rPr>
          <w:rFonts w:ascii="Verdana" w:hAnsi="Verdana"/>
          <w:sz w:val="16"/>
          <w:szCs w:val="16"/>
          <w:lang w:val="es-CR"/>
        </w:rPr>
        <w:t>(expediente de prueba, folios del 161 al 164).</w:t>
      </w:r>
    </w:p>
  </w:footnote>
  <w:footnote w:id="80">
    <w:p w14:paraId="6BB9811B" w14:textId="08858FA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Resolución de la Sexta Sala Civil de la Corte Superior de Justicia de Lima de 3 de junio de 2005 (expediente de prueba, folios del 15927 al 15935).</w:t>
      </w:r>
    </w:p>
  </w:footnote>
  <w:footnote w:id="81">
    <w:p w14:paraId="5F133907" w14:textId="5C1869D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Resolución No. 80 del </w:t>
      </w:r>
      <w:r w:rsidRPr="000B33B9">
        <w:rPr>
          <w:rFonts w:ascii="Verdana" w:hAnsi="Verdana"/>
          <w:sz w:val="16"/>
          <w:szCs w:val="16"/>
          <w:lang w:val="es-CR"/>
        </w:rPr>
        <w:t xml:space="preserve">Sexagésimo Sexto Juzgado Especializado en lo Civil de Lima de </w:t>
      </w:r>
      <w:r w:rsidRPr="000B33B9">
        <w:rPr>
          <w:rFonts w:ascii="Verdana" w:hAnsi="Verdana"/>
          <w:sz w:val="16"/>
          <w:szCs w:val="16"/>
          <w:lang w:val="es-DO"/>
        </w:rPr>
        <w:t xml:space="preserve">3 de marzo de 2006 </w:t>
      </w:r>
      <w:r w:rsidRPr="000B33B9">
        <w:rPr>
          <w:rFonts w:ascii="Verdana" w:hAnsi="Verdana"/>
          <w:sz w:val="16"/>
          <w:szCs w:val="16"/>
          <w:lang w:val="es-CR"/>
        </w:rPr>
        <w:t>(expediente de prueba, folios del 166 al 171).</w:t>
      </w:r>
    </w:p>
  </w:footnote>
  <w:footnote w:id="82">
    <w:p w14:paraId="4530FFD0" w14:textId="35696FC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81 del </w:t>
      </w:r>
      <w:r w:rsidRPr="000B33B9">
        <w:rPr>
          <w:rFonts w:ascii="Verdana" w:hAnsi="Verdana"/>
          <w:sz w:val="16"/>
          <w:szCs w:val="16"/>
          <w:lang w:val="es-CR"/>
        </w:rPr>
        <w:t xml:space="preserve">Sexagésimo Sexto Juzgado Especializado en lo Civil de Lima de </w:t>
      </w:r>
      <w:r w:rsidRPr="000B33B9">
        <w:rPr>
          <w:rFonts w:ascii="Verdana" w:hAnsi="Verdana"/>
          <w:sz w:val="16"/>
          <w:szCs w:val="16"/>
          <w:lang w:val="es-DO"/>
        </w:rPr>
        <w:t xml:space="preserve">20 de marzo de 2006 </w:t>
      </w:r>
      <w:r w:rsidRPr="000B33B9">
        <w:rPr>
          <w:rFonts w:ascii="Verdana" w:hAnsi="Verdana"/>
          <w:sz w:val="16"/>
          <w:szCs w:val="16"/>
          <w:lang w:val="es-CR"/>
        </w:rPr>
        <w:t>(expediente de prueba, folios 173 y 174).</w:t>
      </w:r>
    </w:p>
  </w:footnote>
  <w:footnote w:id="83">
    <w:p w14:paraId="0212CA09" w14:textId="0B3EDF9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Resolución de la </w:t>
      </w:r>
      <w:r w:rsidRPr="000B33B9">
        <w:rPr>
          <w:rFonts w:ascii="Verdana" w:eastAsia="Calibri" w:hAnsi="Verdana" w:cs="Times New Roman"/>
          <w:sz w:val="16"/>
          <w:szCs w:val="16"/>
          <w:lang w:val="es-ES" w:eastAsia="es-ES"/>
        </w:rPr>
        <w:t xml:space="preserve">Sexta Sala Civil de la Corte Superior de Justicia de Lima de </w:t>
      </w:r>
      <w:r w:rsidRPr="000B33B9">
        <w:rPr>
          <w:rFonts w:ascii="Verdana" w:hAnsi="Verdana"/>
          <w:sz w:val="16"/>
          <w:szCs w:val="16"/>
          <w:lang w:val="es-DO"/>
        </w:rPr>
        <w:t xml:space="preserve">24 de julio de 2006 </w:t>
      </w:r>
      <w:r w:rsidRPr="000B33B9">
        <w:rPr>
          <w:rFonts w:ascii="Verdana" w:hAnsi="Verdana"/>
          <w:sz w:val="16"/>
          <w:szCs w:val="16"/>
          <w:lang w:val="es-CR"/>
        </w:rPr>
        <w:t xml:space="preserve">(expediente de prueba, folios del 176 al 184). </w:t>
      </w:r>
    </w:p>
  </w:footnote>
  <w:footnote w:id="84">
    <w:p w14:paraId="780D6366" w14:textId="6E967D8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138 del </w:t>
      </w:r>
      <w:r w:rsidRPr="000B33B9">
        <w:rPr>
          <w:rFonts w:ascii="Verdana" w:hAnsi="Verdana"/>
          <w:sz w:val="16"/>
          <w:szCs w:val="16"/>
          <w:lang w:val="es-CR"/>
        </w:rPr>
        <w:t xml:space="preserve">Sexagésimo Sexto Juzgado Especializado en lo Civil de Lima de </w:t>
      </w:r>
      <w:r w:rsidRPr="000B33B9">
        <w:rPr>
          <w:rFonts w:ascii="Verdana" w:hAnsi="Verdana"/>
          <w:sz w:val="16"/>
          <w:szCs w:val="16"/>
          <w:lang w:val="es-DO"/>
        </w:rPr>
        <w:t xml:space="preserve">25 de octubre de 2006 </w:t>
      </w:r>
      <w:r w:rsidRPr="000B33B9">
        <w:rPr>
          <w:rFonts w:ascii="Verdana" w:hAnsi="Verdana"/>
          <w:sz w:val="16"/>
          <w:szCs w:val="16"/>
          <w:lang w:val="es-CR"/>
        </w:rPr>
        <w:t>(expediente de prueba, folio 186).</w:t>
      </w:r>
    </w:p>
  </w:footnote>
  <w:footnote w:id="85">
    <w:p w14:paraId="3A25301D" w14:textId="5BE3DB73"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Cfr</w:t>
      </w:r>
      <w:r w:rsidRPr="000B33B9">
        <w:rPr>
          <w:rFonts w:ascii="Verdana" w:hAnsi="Verdana"/>
          <w:sz w:val="16"/>
          <w:szCs w:val="16"/>
          <w:lang w:val="es-CR"/>
        </w:rPr>
        <w:t xml:space="preserve">. Instancia suscrita el 21 de mayo de 2009 por ANCEJUB-SUNAT, dirigida al Vigésimo Tercer Juzgado Especializado en lo Civil de Lima (expediente de prueba, folios 188 y 189). </w:t>
      </w:r>
    </w:p>
  </w:footnote>
  <w:footnote w:id="86">
    <w:p w14:paraId="3FB3A67F" w14:textId="650553BE"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Cfr</w:t>
      </w:r>
      <w:r w:rsidRPr="000B33B9">
        <w:rPr>
          <w:rFonts w:ascii="Verdana" w:hAnsi="Verdana"/>
          <w:sz w:val="16"/>
          <w:szCs w:val="16"/>
          <w:lang w:val="es-CR"/>
        </w:rPr>
        <w:t xml:space="preserve">. Instancia suscrita el 21 de mayo de 2009 por ANCEJUB-SUNAT, dirigida al Vigésimo Tercer Juzgado Especializado en lo Civil de Lima (expediente de prueba, folios 188 y 189). </w:t>
      </w:r>
    </w:p>
  </w:footnote>
  <w:footnote w:id="87">
    <w:p w14:paraId="0550BCF3" w14:textId="5E0C29D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174 del </w:t>
      </w:r>
      <w:r w:rsidRPr="000B33B9">
        <w:rPr>
          <w:rFonts w:ascii="Verdana" w:hAnsi="Verdana"/>
          <w:sz w:val="16"/>
          <w:szCs w:val="16"/>
          <w:lang w:val="es-ES"/>
        </w:rPr>
        <w:t xml:space="preserve">Vigésimo Tercer Juzgado Especializado en lo Civil de Lima de </w:t>
      </w:r>
      <w:r w:rsidRPr="000B33B9">
        <w:rPr>
          <w:rFonts w:ascii="Verdana" w:hAnsi="Verdana"/>
          <w:sz w:val="16"/>
          <w:szCs w:val="16"/>
          <w:lang w:val="es-DO"/>
        </w:rPr>
        <w:t xml:space="preserve">14 de enero de 2010 </w:t>
      </w:r>
      <w:r w:rsidRPr="000B33B9">
        <w:rPr>
          <w:rFonts w:ascii="Verdana" w:eastAsia="Calibri" w:hAnsi="Verdana" w:cs="Times New Roman"/>
          <w:sz w:val="16"/>
          <w:szCs w:val="16"/>
          <w:lang w:val="es-ES" w:eastAsia="es-ES"/>
        </w:rPr>
        <w:t>(expediente de prueba, folios 196 y 197).</w:t>
      </w:r>
    </w:p>
  </w:footnote>
  <w:footnote w:id="88">
    <w:p w14:paraId="4DA355C0" w14:textId="79CB72E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Solicitud de nulidad interpuesta por ANCEJUB-SUNAT el 22 de marzo de 2010 contra la resolución No. 174 de 14 de enero de 2010 (expediente de prueba, folios del 212 al 216). </w:t>
      </w:r>
    </w:p>
  </w:footnote>
  <w:footnote w:id="89">
    <w:p w14:paraId="25A6EBDC" w14:textId="59BAC17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iCs/>
          <w:sz w:val="16"/>
          <w:szCs w:val="16"/>
          <w:lang w:val="es-DO"/>
        </w:rPr>
        <w:t>Cfr.</w:t>
      </w:r>
      <w:r w:rsidRPr="000B33B9">
        <w:rPr>
          <w:rFonts w:ascii="Verdana" w:hAnsi="Verdana"/>
          <w:sz w:val="16"/>
          <w:szCs w:val="16"/>
          <w:lang w:val="es-DO"/>
        </w:rPr>
        <w:t xml:space="preserve"> Escrito de 2 de julio de 2010 suscrito por la SUNAT, dirigido al </w:t>
      </w:r>
      <w:r w:rsidRPr="000B33B9">
        <w:rPr>
          <w:rFonts w:ascii="Verdana" w:hAnsi="Verdana"/>
          <w:sz w:val="16"/>
          <w:szCs w:val="16"/>
          <w:lang w:val="es-CR"/>
        </w:rPr>
        <w:t>Vigésimo Tercer Juzgado Especializado en lo Civil de Lima (expediente de prueba, folios del 208 al 210).</w:t>
      </w:r>
    </w:p>
  </w:footnote>
  <w:footnote w:id="90">
    <w:p w14:paraId="74921BA4" w14:textId="131F1034"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Resolución </w:t>
      </w:r>
      <w:r w:rsidRPr="000B33B9">
        <w:rPr>
          <w:rFonts w:ascii="Verdana" w:hAnsi="Verdana"/>
          <w:sz w:val="16"/>
          <w:szCs w:val="16"/>
          <w:lang w:val="es-DO"/>
        </w:rPr>
        <w:t>No.</w:t>
      </w:r>
      <w:r w:rsidRPr="000B33B9">
        <w:rPr>
          <w:rFonts w:ascii="Verdana" w:hAnsi="Verdana"/>
          <w:sz w:val="16"/>
          <w:szCs w:val="16"/>
          <w:lang w:val="es-CR"/>
        </w:rPr>
        <w:t xml:space="preserve"> 190 del Vigésimo Tercer Juzgado Especializado en lo Civil de Lima de 3 de agosto de 2010(expediente de prueba, folios del 219 al 222).</w:t>
      </w:r>
    </w:p>
  </w:footnote>
  <w:footnote w:id="91">
    <w:p w14:paraId="445B02E9" w14:textId="5C2660C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Informe pericial de 18 de octubre de 2011, elaborado por el </w:t>
      </w:r>
      <w:r w:rsidRPr="000B33B9">
        <w:rPr>
          <w:rFonts w:ascii="Verdana" w:hAnsi="Verdana"/>
          <w:sz w:val="16"/>
          <w:szCs w:val="16"/>
          <w:lang w:val="es-ES"/>
        </w:rPr>
        <w:t xml:space="preserve">Equipo Técnico Pericial de la Corte Superior de Justicia de Lima </w:t>
      </w:r>
      <w:r w:rsidRPr="000B33B9">
        <w:rPr>
          <w:rFonts w:ascii="Verdana" w:hAnsi="Verdana"/>
          <w:sz w:val="16"/>
          <w:szCs w:val="16"/>
          <w:lang w:val="es-CR"/>
        </w:rPr>
        <w:t xml:space="preserve">(expediente de prueba, folios del 225 al 238).  </w:t>
      </w:r>
    </w:p>
  </w:footnote>
  <w:footnote w:id="92">
    <w:p w14:paraId="54D83A6F" w14:textId="0ED7758D"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212</w:t>
      </w:r>
      <w:r w:rsidRPr="000B33B9">
        <w:rPr>
          <w:rFonts w:ascii="Verdana" w:hAnsi="Verdana"/>
          <w:sz w:val="16"/>
          <w:szCs w:val="16"/>
          <w:lang w:val="es-CR"/>
        </w:rPr>
        <w:t xml:space="preserve"> del Vigésimo Segundo Juzgado Especializado en lo Civil de Lima (expediente de prueba, folio 240) de 21 de marzo de 2012, y Oficio </w:t>
      </w:r>
      <w:r w:rsidRPr="000B33B9">
        <w:rPr>
          <w:rFonts w:ascii="Verdana" w:hAnsi="Verdana"/>
          <w:sz w:val="16"/>
          <w:szCs w:val="16"/>
          <w:lang w:val="es-DO"/>
        </w:rPr>
        <w:t>No.</w:t>
      </w:r>
      <w:r w:rsidRPr="000B33B9">
        <w:rPr>
          <w:rFonts w:ascii="Verdana" w:hAnsi="Verdana"/>
          <w:sz w:val="16"/>
          <w:szCs w:val="16"/>
          <w:lang w:val="es-CR"/>
        </w:rPr>
        <w:t xml:space="preserve"> 092-2012-SUNAT-4F0000 de 17 de abril de 2012, dirigido por la </w:t>
      </w:r>
      <w:r w:rsidRPr="000B33B9">
        <w:rPr>
          <w:rFonts w:ascii="Verdana" w:hAnsi="Verdana"/>
          <w:sz w:val="16"/>
          <w:szCs w:val="16"/>
          <w:lang w:val="es-DO"/>
        </w:rPr>
        <w:t xml:space="preserve">SUNAT a ANCEJUB-SUNAT </w:t>
      </w:r>
      <w:r w:rsidRPr="000B33B9">
        <w:rPr>
          <w:rFonts w:ascii="Verdana" w:hAnsi="Verdana"/>
          <w:sz w:val="16"/>
          <w:szCs w:val="16"/>
          <w:lang w:val="es-CR"/>
        </w:rPr>
        <w:t>(expediente de prueba, folio 242).</w:t>
      </w:r>
    </w:p>
  </w:footnote>
  <w:footnote w:id="93">
    <w:p w14:paraId="0646A95E" w14:textId="0124122E"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Escrito de 5 septiembre de 2012 suscrito por la SUNAT, dirigido al Vigésimo Segundo Juzgado Especializado en lo Civil de Lima (expediente de pruebas, folios del 244 al 246).</w:t>
      </w:r>
    </w:p>
  </w:footnote>
  <w:footnote w:id="94">
    <w:p w14:paraId="5FDC23FC" w14:textId="655C404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221</w:t>
      </w:r>
      <w:r w:rsidRPr="000B33B9">
        <w:rPr>
          <w:rFonts w:ascii="Verdana" w:hAnsi="Verdana"/>
          <w:sz w:val="16"/>
          <w:szCs w:val="16"/>
          <w:lang w:val="es-CR"/>
        </w:rPr>
        <w:t xml:space="preserve"> del Vigésimo Segundo Juzgado Especializado en lo Civil de Lima de 21 de septiembre de 2012 (expediente de prueba, folio 248).</w:t>
      </w:r>
    </w:p>
  </w:footnote>
  <w:footnote w:id="95">
    <w:p w14:paraId="66728C06" w14:textId="71A3564D"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Escrito de</w:t>
      </w:r>
      <w:r w:rsidRPr="000B33B9">
        <w:rPr>
          <w:rFonts w:ascii="Verdana" w:hAnsi="Verdana"/>
          <w:sz w:val="16"/>
          <w:szCs w:val="16"/>
          <w:lang w:val="es-CR"/>
        </w:rPr>
        <w:t xml:space="preserve"> </w:t>
      </w:r>
      <w:r w:rsidRPr="000B33B9">
        <w:rPr>
          <w:rFonts w:ascii="Verdana" w:hAnsi="Verdana"/>
          <w:sz w:val="16"/>
          <w:szCs w:val="16"/>
          <w:lang w:val="es-DO"/>
        </w:rPr>
        <w:t xml:space="preserve">12 de septiembre de 2013 suscrito </w:t>
      </w:r>
      <w:r w:rsidRPr="000B33B9">
        <w:rPr>
          <w:rFonts w:ascii="Verdana" w:hAnsi="Verdana"/>
          <w:sz w:val="16"/>
          <w:szCs w:val="16"/>
          <w:lang w:val="es-CR"/>
        </w:rPr>
        <w:t>por ANCEJUB-SUNAT, dirigido al Vigésimo Segundo Juzgado Especializado en lo Civil de Lima (expediente de prueba, folios del 252 al 256).</w:t>
      </w:r>
    </w:p>
  </w:footnote>
  <w:footnote w:id="96">
    <w:p w14:paraId="79578648" w14:textId="68030A9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Informe pericial No.</w:t>
      </w:r>
      <w:r w:rsidRPr="000B33B9">
        <w:rPr>
          <w:rFonts w:ascii="Verdana" w:hAnsi="Verdana"/>
          <w:sz w:val="16"/>
          <w:szCs w:val="16"/>
          <w:lang w:val="es-ES"/>
        </w:rPr>
        <w:t xml:space="preserve"> 092-2014-JAVM-PJ de 18 de marzo de 2014, elaborado por el </w:t>
      </w:r>
      <w:r w:rsidRPr="000B33B9">
        <w:rPr>
          <w:rFonts w:ascii="Verdana" w:eastAsia="Calibri" w:hAnsi="Verdana" w:cs="Times New Roman"/>
          <w:sz w:val="16"/>
          <w:szCs w:val="16"/>
          <w:lang w:val="es-ES" w:eastAsia="es-ES"/>
        </w:rPr>
        <w:t xml:space="preserve">Equipo Técnico Pericial </w:t>
      </w:r>
      <w:r w:rsidRPr="000B33B9">
        <w:rPr>
          <w:rFonts w:ascii="Verdana" w:hAnsi="Verdana"/>
          <w:sz w:val="16"/>
          <w:szCs w:val="16"/>
          <w:lang w:val="es-ES"/>
        </w:rPr>
        <w:t xml:space="preserve">de la Corte Superior de Justicia de Lima </w:t>
      </w:r>
      <w:r w:rsidRPr="000B33B9">
        <w:rPr>
          <w:rFonts w:ascii="Verdana" w:hAnsi="Verdana"/>
          <w:sz w:val="16"/>
          <w:szCs w:val="16"/>
          <w:lang w:val="es-CR"/>
        </w:rPr>
        <w:t>(expediente de prueba, folios del 258 al 262).</w:t>
      </w:r>
    </w:p>
  </w:footnote>
  <w:footnote w:id="97">
    <w:p w14:paraId="70A148EC" w14:textId="2A1F753D"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 xml:space="preserve">Resolución </w:t>
      </w:r>
      <w:r w:rsidRPr="000B33B9">
        <w:rPr>
          <w:rFonts w:ascii="Verdana" w:hAnsi="Verdana"/>
          <w:sz w:val="16"/>
          <w:szCs w:val="16"/>
          <w:lang w:val="es-DO"/>
        </w:rPr>
        <w:t>No.</w:t>
      </w:r>
      <w:r w:rsidRPr="000B33B9">
        <w:rPr>
          <w:rFonts w:ascii="Verdana" w:hAnsi="Verdana"/>
          <w:sz w:val="16"/>
          <w:szCs w:val="16"/>
          <w:lang w:val="es-CR"/>
        </w:rPr>
        <w:t xml:space="preserve"> 235 del Vigésimo Segundo Juzgado Especializado en lo Civil de Lima de 5 de agosto de 2014 (expediente de prueba, folio 264).  </w:t>
      </w:r>
    </w:p>
  </w:footnote>
  <w:footnote w:id="98">
    <w:p w14:paraId="76778269" w14:textId="29E4CD1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Cfr.</w:t>
      </w:r>
      <w:r w:rsidRPr="000B33B9">
        <w:rPr>
          <w:rFonts w:ascii="Verdana" w:hAnsi="Verdana"/>
          <w:sz w:val="16"/>
          <w:szCs w:val="16"/>
          <w:lang w:val="es-CR"/>
        </w:rPr>
        <w:t xml:space="preserve"> Comunicación de 31 de mayo de 2016 suscrita por los representantes de las presuntas víctimas, dirigida a la Comisión Interamericana de Derechos Humanos (expediente de prueba, folios del 270 al 274).</w:t>
      </w:r>
    </w:p>
  </w:footnote>
  <w:footnote w:id="99">
    <w:p w14:paraId="61D2FFF0" w14:textId="5A45AD5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Informe pericial No.</w:t>
      </w:r>
      <w:r w:rsidRPr="000B33B9">
        <w:rPr>
          <w:rFonts w:ascii="Verdana" w:hAnsi="Verdana"/>
          <w:sz w:val="16"/>
          <w:szCs w:val="16"/>
          <w:lang w:val="es-ES"/>
        </w:rPr>
        <w:t xml:space="preserve"> 003-2015-ETP-JAVM-PJ de 5 de enero de 2015, elaborado por el </w:t>
      </w:r>
      <w:r w:rsidRPr="000B33B9">
        <w:rPr>
          <w:rFonts w:ascii="Verdana" w:eastAsia="Calibri" w:hAnsi="Verdana" w:cs="Times New Roman"/>
          <w:sz w:val="16"/>
          <w:szCs w:val="16"/>
          <w:lang w:val="es-ES" w:eastAsia="es-ES"/>
        </w:rPr>
        <w:t xml:space="preserve">Equipo Técnico Pericial </w:t>
      </w:r>
      <w:r w:rsidRPr="000B33B9">
        <w:rPr>
          <w:rFonts w:ascii="Verdana" w:hAnsi="Verdana"/>
          <w:sz w:val="16"/>
          <w:szCs w:val="16"/>
          <w:lang w:val="es-ES"/>
        </w:rPr>
        <w:t xml:space="preserve">de la Corte Superior de Justicia de Lima </w:t>
      </w:r>
      <w:r w:rsidRPr="000B33B9">
        <w:rPr>
          <w:rFonts w:ascii="Verdana" w:hAnsi="Verdana"/>
          <w:sz w:val="16"/>
          <w:szCs w:val="16"/>
          <w:lang w:val="es-CR"/>
        </w:rPr>
        <w:t>(expediente de prueba, folio 266).</w:t>
      </w:r>
    </w:p>
  </w:footnote>
  <w:footnote w:id="100">
    <w:p w14:paraId="76B17586" w14:textId="512AFB4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Resolución No. 240 del Segundo Juzgado Especializado en lo Civil de Lima de 28 de mayo de 2015 (expediente de prueba, folio 268).</w:t>
      </w:r>
    </w:p>
  </w:footnote>
  <w:footnote w:id="101">
    <w:p w14:paraId="10F67FA2" w14:textId="250D867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Queja de 26 de mayo de 2016 suscrita por la SUNAT, dirigida al Magistrado Jefe de la Oficina Desconcentrada de Control de la Magistratura de la Corte Superior de Justicia de Lima (expediente de prueba, folios del 276 al 287).</w:t>
      </w:r>
    </w:p>
  </w:footnote>
  <w:footnote w:id="102">
    <w:p w14:paraId="5B8B1755" w14:textId="6DF15213"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247 del Segundo Juzgado Especializado en lo Civil de Lima de 13 de junio de 2017 (expediente de prueba, folios del 15871 al 15878).</w:t>
      </w:r>
    </w:p>
  </w:footnote>
  <w:footnote w:id="103">
    <w:p w14:paraId="020AFB8A" w14:textId="0F15E96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Escrito de 27 de septiembre de 2016 suscrito por ANCEJUB-SUNAT, dirigido al Segundo Juzgado Especializado en lo Civil de Lima (expediente de prueba, folios del 15879 al 15883). </w:t>
      </w:r>
    </w:p>
  </w:footnote>
  <w:footnote w:id="104">
    <w:p w14:paraId="63315E05" w14:textId="38B8C7D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247 del Segundo Juzgado Especializado en lo Civil de Lima de 13 de junio de 2017 (expediente de prueba, folios del 15871 al 15878).</w:t>
      </w:r>
    </w:p>
  </w:footnote>
  <w:footnote w:id="105">
    <w:p w14:paraId="77F0D5D5" w14:textId="257CE57E"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w:t>
      </w:r>
      <w:r w:rsidRPr="000B33B9">
        <w:rPr>
          <w:rFonts w:ascii="Verdana" w:hAnsi="Verdana"/>
          <w:sz w:val="16"/>
          <w:szCs w:val="16"/>
          <w:vertAlign w:val="superscript"/>
          <w:lang w:val="es-DO"/>
        </w:rPr>
        <w:t xml:space="preserve"> </w:t>
      </w:r>
      <w:r w:rsidRPr="000B33B9">
        <w:rPr>
          <w:rFonts w:ascii="Verdana" w:hAnsi="Verdana"/>
          <w:sz w:val="16"/>
          <w:szCs w:val="16"/>
          <w:lang w:val="es-DO"/>
        </w:rPr>
        <w:t xml:space="preserve">12 de la Tercera Sala Civil de la Corte Superior de Justicia de Lima de 15 de noviembre de 2017 (expediente de prueba, folios del 15886 al 15898). </w:t>
      </w:r>
    </w:p>
  </w:footnote>
  <w:footnote w:id="106">
    <w:p w14:paraId="6D483B6C" w14:textId="60076DD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Certificado de depósito judicial No. 2017000203156, expedido el 14 de agosto de 2017 por el Banco La Nación por la suma de S/186,001.62 (expediente de prueba, folio 15904). </w:t>
      </w:r>
    </w:p>
  </w:footnote>
  <w:footnote w:id="107">
    <w:p w14:paraId="071C7F92" w14:textId="067C2483"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Escrito de 14 de agosto de 2017 suscrito por la SUNAT, dirigido al Segundo Juzgado Especializado en lo Civil de Lima (expediente de prueba, folio 15902), y Planilla de pago por mandato judicial No. 065-2017-SUNAT/8A1200, expedida por la División de Compensaciones de la Gerencia de Gestión del Empleo de la SUNAT (expediente de prueba, folio 15906). </w:t>
      </w:r>
    </w:p>
  </w:footnote>
  <w:footnote w:id="108">
    <w:p w14:paraId="6B56B5B7" w14:textId="3C81F82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250 del Segundo Juzgado Especializado en lo Civil de Lima de 15 de agosto de 2017 (expediente de prueba, folio 15909). </w:t>
      </w:r>
    </w:p>
  </w:footnote>
  <w:footnote w:id="109">
    <w:p w14:paraId="788617BA" w14:textId="5218E06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12 de la Tercera Sala Civil de la Corte Superior de Justicia de Lima de 15 de noviembre de 2017 (expediente de prueba, folios del 15886 al 15898).</w:t>
      </w:r>
    </w:p>
  </w:footnote>
  <w:footnote w:id="110">
    <w:p w14:paraId="4B492A4A" w14:textId="2CA1CAC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Recurso de agravio constitucional interpuesto por ANCEJUB-SUNAT el 19 de diciembre de 2017 contra la resolución No. 12 de 15 de noviembre de 2017 (expediente de prueba, folios del 15911 al 15925).</w:t>
      </w:r>
    </w:p>
  </w:footnote>
  <w:footnote w:id="111">
    <w:p w14:paraId="7208EE8C" w14:textId="0BEC529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Sentencia del Tribunal Constitucional de 23 de abril de 2019, con relación al expediente No. 00289-2018-PA/TC (prueba superviniente, depositada por el Estado en audiencia pública de fecha 7 de mayo de 2019). </w:t>
      </w:r>
    </w:p>
  </w:footnote>
  <w:footnote w:id="112">
    <w:p w14:paraId="56698EC0" w14:textId="44D9B1F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sz w:val="16"/>
          <w:szCs w:val="16"/>
          <w:lang w:val="es-CR"/>
        </w:rPr>
        <w:t xml:space="preserve">La única jueza no incluida fue Pomareda Chávez-Bedoya, que había dictado un voto disidente. </w:t>
      </w:r>
    </w:p>
  </w:footnote>
  <w:footnote w:id="113">
    <w:p w14:paraId="5A5899A1" w14:textId="2FCBDFA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Cfr.</w:t>
      </w:r>
      <w:r w:rsidRPr="000B33B9">
        <w:rPr>
          <w:rFonts w:ascii="Verdana" w:hAnsi="Verdana"/>
          <w:sz w:val="16"/>
          <w:szCs w:val="16"/>
          <w:lang w:val="es-CR"/>
        </w:rPr>
        <w:t xml:space="preserve"> Acción de amparo interpuesta por ANCEJUB-SUNAT el 15 de diciembre de 2006 contra los jueces de la </w:t>
      </w:r>
      <w:r w:rsidRPr="000B33B9">
        <w:rPr>
          <w:rFonts w:ascii="Verdana" w:eastAsia="Calibri" w:hAnsi="Verdana" w:cs="Times New Roman"/>
          <w:sz w:val="16"/>
          <w:szCs w:val="16"/>
          <w:lang w:val="es-ES" w:eastAsia="es-ES"/>
        </w:rPr>
        <w:t>Sexta Sala Civil de la Corte Superior de Justicia de Lima</w:t>
      </w:r>
      <w:r w:rsidRPr="000B33B9">
        <w:rPr>
          <w:rFonts w:ascii="Verdana" w:hAnsi="Verdana"/>
          <w:sz w:val="16"/>
          <w:szCs w:val="16"/>
          <w:lang w:val="es-CR"/>
        </w:rPr>
        <w:t xml:space="preserve"> (expediente de prueba, folios del 1081 al 1106).</w:t>
      </w:r>
    </w:p>
  </w:footnote>
  <w:footnote w:id="114">
    <w:p w14:paraId="4206AEB6" w14:textId="4D1A5BE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Resolución No. 38 de la Séptima Sala Civil de la Corte Superior de Justicia de Lima de 28 de septiembre de 2009 (expediente de prueba, folios del 301 a 313). </w:t>
      </w:r>
    </w:p>
  </w:footnote>
  <w:footnote w:id="115">
    <w:p w14:paraId="5EA6FE21" w14:textId="5A0A7BEE"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Recurso de apelación interpuesto por ANCEJUB-SUNAT el 2 de diciembre de 2009 contra la resolución de 28 de septiembre de 2009(expediente de prueba, folios del 289 al 299).  </w:t>
      </w:r>
    </w:p>
  </w:footnote>
  <w:footnote w:id="116">
    <w:p w14:paraId="47703066" w14:textId="01F15D18"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Sentencia de la Sala de Derecho Constitucional y Social de la Corte Suprema de Justicia de la República de 22 de julio de 2010 (expediente de prueba, folios del 315 al 321).</w:t>
      </w:r>
    </w:p>
  </w:footnote>
  <w:footnote w:id="117">
    <w:p w14:paraId="6C3AF44A" w14:textId="6A685559"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Sentencia del Tribunal Constitucional de 9 de agosto de 2011, con relación al expediente No. 00649-2011-PA/TC (expediente de prueba, folios del 15858 al 15868).</w:t>
      </w:r>
    </w:p>
  </w:footnote>
  <w:footnote w:id="118">
    <w:p w14:paraId="2CA70779" w14:textId="5D47255E"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Resolución del Tribunal Constitucional de 22 de septiembre de 2011 (expediente de prueba, folios 331 y 332).</w:t>
      </w:r>
    </w:p>
  </w:footnote>
  <w:footnote w:id="119">
    <w:p w14:paraId="1ED66754" w14:textId="7133C05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Fonts w:ascii="Verdana" w:hAnsi="Verdana"/>
          <w:sz w:val="16"/>
          <w:szCs w:val="16"/>
          <w:lang w:val="es-CR"/>
        </w:rPr>
        <w:t xml:space="preserve">Comunicación de 16 de marzo de 1999 suscrita por Rafael Ipanaqué Centeno, dirigida al Superintendente Nacional de Administración Tributaria (expediente de prueba, folios del 6218 al 6220). Instancia de 10 de marzo de 1999 suscrita por Rafael Ipanaqué, dirigida al Primer Juzgado Corporativo Transitorio Especializado de Derecho Público (expediente de prueba, folios del 6258 al 6260). </w:t>
      </w:r>
    </w:p>
  </w:footnote>
  <w:footnote w:id="120">
    <w:p w14:paraId="2246C81A" w14:textId="1D03C79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 xml:space="preserve">Cfr. </w:t>
      </w:r>
      <w:r w:rsidRPr="000B33B9">
        <w:rPr>
          <w:rFonts w:ascii="Verdana" w:hAnsi="Verdana"/>
          <w:sz w:val="16"/>
          <w:szCs w:val="16"/>
          <w:lang w:val="es-CR"/>
        </w:rPr>
        <w:t>Comunicación de 10 de marzo de 1999 suscrita por Rafael Ipanaqué Centeno, dirigida a la SUNAT (expediente de prueba, folios del 6212 al 6217).</w:t>
      </w:r>
    </w:p>
  </w:footnote>
  <w:footnote w:id="121">
    <w:p w14:paraId="107744F8" w14:textId="5D29EA69"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 xml:space="preserve">Cfr. </w:t>
      </w:r>
      <w:r w:rsidRPr="000B33B9">
        <w:rPr>
          <w:rFonts w:ascii="Verdana" w:hAnsi="Verdana"/>
          <w:sz w:val="16"/>
          <w:szCs w:val="16"/>
          <w:lang w:val="es-CR"/>
        </w:rPr>
        <w:t xml:space="preserve">Comunicación de 16 de marzo de 1999 suscrita por Rafael Ipanaqué Centeno, dirigida al Superintendente Nacional de Administración Tributaria (expediente de prueba, folios del 6218 al 6220). </w:t>
      </w:r>
    </w:p>
  </w:footnote>
  <w:footnote w:id="122">
    <w:p w14:paraId="4A9DA86C" w14:textId="41D5D84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Instancia de</w:t>
      </w:r>
      <w:r w:rsidRPr="000B33B9">
        <w:rPr>
          <w:rFonts w:ascii="Verdana" w:hAnsi="Verdana"/>
          <w:sz w:val="16"/>
          <w:szCs w:val="16"/>
          <w:lang w:val="es-CR"/>
        </w:rPr>
        <w:t xml:space="preserve"> </w:t>
      </w:r>
      <w:r w:rsidRPr="000B33B9">
        <w:rPr>
          <w:rFonts w:ascii="Verdana" w:hAnsi="Verdana"/>
          <w:sz w:val="16"/>
          <w:szCs w:val="16"/>
          <w:lang w:val="es-DO"/>
        </w:rPr>
        <w:t>16 de marzo de 1999 suscrita por Rafael Ipanaqué Centeno, dirigida al</w:t>
      </w:r>
      <w:r w:rsidRPr="000B33B9">
        <w:rPr>
          <w:rFonts w:ascii="Verdana" w:hAnsi="Verdana"/>
          <w:sz w:val="16"/>
          <w:szCs w:val="16"/>
          <w:lang w:val="es-CR"/>
        </w:rPr>
        <w:t xml:space="preserve"> Primer Juzgado Corporativo Transitorio Especializado de Derecho Público (expediente de prueba, folio 6261). </w:t>
      </w:r>
    </w:p>
  </w:footnote>
  <w:footnote w:id="123">
    <w:p w14:paraId="1D531845" w14:textId="71C6968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Carta notarial suscrita el 30 de marzo de 1999 por </w:t>
      </w:r>
      <w:r w:rsidRPr="000B33B9">
        <w:rPr>
          <w:rFonts w:ascii="Verdana" w:hAnsi="Verdana"/>
          <w:sz w:val="16"/>
          <w:szCs w:val="16"/>
          <w:lang w:val="es-CR"/>
        </w:rPr>
        <w:t xml:space="preserve">Rafael Ipanaqué Centeno, ante el notario Manuel Forero (expediente de prueba, folios del 6221 al 6223). </w:t>
      </w:r>
    </w:p>
  </w:footnote>
  <w:footnote w:id="124">
    <w:p w14:paraId="17D6CB29" w14:textId="7DEE773A"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Primer Juzgado Corporativo Transitorio Especializado en Derecho Público de 30 de marzo de 1999 (expediente de prueba, folio 6262). </w:t>
      </w:r>
    </w:p>
  </w:footnote>
  <w:footnote w:id="125">
    <w:p w14:paraId="263CB14C" w14:textId="55EA8C1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Carta No.</w:t>
      </w:r>
      <w:r w:rsidRPr="000B33B9">
        <w:rPr>
          <w:rFonts w:ascii="Verdana" w:hAnsi="Verdana"/>
          <w:sz w:val="16"/>
          <w:szCs w:val="16"/>
          <w:vertAlign w:val="superscript"/>
          <w:lang w:val="es-DO"/>
        </w:rPr>
        <w:t xml:space="preserve"> </w:t>
      </w:r>
      <w:r w:rsidRPr="000B33B9">
        <w:rPr>
          <w:rFonts w:ascii="Verdana" w:hAnsi="Verdana"/>
          <w:sz w:val="16"/>
          <w:szCs w:val="16"/>
          <w:lang w:val="es-DO"/>
        </w:rPr>
        <w:t xml:space="preserve">2054-99-SUNAT-11-4200, dirigida el 5 de abril de 1999 por la SUNAT a Rafael Ipanaqué Centeno (expediente de prueba, folio 6224). </w:t>
      </w:r>
    </w:p>
  </w:footnote>
  <w:footnote w:id="126">
    <w:p w14:paraId="016A7C71" w14:textId="4534B47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 xml:space="preserve">Cfr. </w:t>
      </w:r>
      <w:r w:rsidRPr="000B33B9">
        <w:rPr>
          <w:rFonts w:ascii="Verdana" w:hAnsi="Verdana"/>
          <w:sz w:val="16"/>
          <w:szCs w:val="16"/>
          <w:lang w:val="es-CR"/>
        </w:rPr>
        <w:t>Comunicación de 12 de abril de 1999 suscrita por Rafael Ipanaqué Centeno, dirigida a la SUNAT (expediente de prueba, folios del 6225 al 6230).</w:t>
      </w:r>
    </w:p>
  </w:footnote>
  <w:footnote w:id="127">
    <w:p w14:paraId="6D34A7A1" w14:textId="1C9F8B58"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Comunicación de 26 de abril de 1999 suscrita por Rafael Ipanaqué Centeno, dirigida a la SUNAT (expediente de prueba, folios del 6231 al 6233).</w:t>
      </w:r>
    </w:p>
  </w:footnote>
  <w:footnote w:id="128">
    <w:p w14:paraId="180FCE9E" w14:textId="0B57D294"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Instancia de 26 de abril de 1999 suscrita por</w:t>
      </w:r>
      <w:r w:rsidRPr="000B33B9">
        <w:rPr>
          <w:rFonts w:ascii="Verdana" w:hAnsi="Verdana"/>
          <w:sz w:val="16"/>
          <w:szCs w:val="16"/>
          <w:lang w:val="es-CR"/>
        </w:rPr>
        <w:t xml:space="preserve"> Rafael Ipanaqué Centeno, dirigida al Primer Juzgado Corporativo Transitorio Especializado de Derecho Público (expediente de prueba, folios del 6264 al 6266). </w:t>
      </w:r>
    </w:p>
  </w:footnote>
  <w:footnote w:id="129">
    <w:p w14:paraId="7F13E07F" w14:textId="4B2D872B"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Resolución del </w:t>
      </w:r>
      <w:r w:rsidRPr="000B33B9">
        <w:rPr>
          <w:rFonts w:ascii="Verdana" w:eastAsia="Calibri" w:hAnsi="Verdana" w:cs="Times New Roman"/>
          <w:sz w:val="16"/>
          <w:szCs w:val="16"/>
          <w:lang w:val="es-ES" w:eastAsia="es-ES"/>
        </w:rPr>
        <w:t xml:space="preserve">Primer Juzgado Corporativo Transitorio Especializado en Derecho Público de </w:t>
      </w:r>
      <w:r w:rsidRPr="000B33B9">
        <w:rPr>
          <w:rFonts w:ascii="Verdana" w:hAnsi="Verdana"/>
          <w:sz w:val="16"/>
          <w:szCs w:val="16"/>
          <w:lang w:val="es-CR"/>
        </w:rPr>
        <w:t xml:space="preserve">29 de abril de 1999 </w:t>
      </w:r>
      <w:r w:rsidRPr="000B33B9">
        <w:rPr>
          <w:rFonts w:ascii="Verdana" w:eastAsia="Calibri" w:hAnsi="Verdana" w:cs="Times New Roman"/>
          <w:sz w:val="16"/>
          <w:szCs w:val="16"/>
          <w:lang w:val="es-ES" w:eastAsia="es-ES"/>
        </w:rPr>
        <w:t>(expediente de prueba, folios 6273 y 6274).</w:t>
      </w:r>
    </w:p>
  </w:footnote>
  <w:footnote w:id="130">
    <w:p w14:paraId="3B7DC2F7" w14:textId="21419D40"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Recurso de apelación interpuesto por Rafael Ipanaqué Centeno el 13 de abril de 1999 contra la resolución de 29 de abril de 1999 (expediente de prueba, folios del 6276 al 6282). </w:t>
      </w:r>
    </w:p>
  </w:footnote>
  <w:footnote w:id="131">
    <w:p w14:paraId="0536DFD3" w14:textId="62703E59"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sz w:val="16"/>
          <w:szCs w:val="16"/>
          <w:lang w:val="es-CR"/>
        </w:rPr>
        <w:t>Comunicación de 17 de mayo de 1999 suscrita por Rafael Ipanaqué Centeno, dirigida a la SUNAT (expediente de prueba, folios 6236 y 6237). Comunicación de 1 de junio de 1999 suscrita por Rafael Ipanaqué Centeno, dirigida a la SUNAT (expediente de prueba, folios del 6238 al 6240).</w:t>
      </w:r>
    </w:p>
  </w:footnote>
  <w:footnote w:id="132">
    <w:p w14:paraId="07804226" w14:textId="6AB1AE8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Escrito de 14 de junio de 1999 suscrito por Rafael Ipanaqué Centeno, dirigido a la Sala Corporativa Transitoria Especializada de Derecho Público (expediente de prueba, folios del 6283 al 6286).  </w:t>
      </w:r>
    </w:p>
  </w:footnote>
  <w:footnote w:id="133">
    <w:p w14:paraId="5E7671B6" w14:textId="76919DB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Carta No.</w:t>
      </w:r>
      <w:r w:rsidRPr="000B33B9">
        <w:rPr>
          <w:rFonts w:ascii="Verdana" w:hAnsi="Verdana"/>
          <w:sz w:val="16"/>
          <w:szCs w:val="16"/>
          <w:vertAlign w:val="superscript"/>
          <w:lang w:val="es-DO"/>
        </w:rPr>
        <w:t xml:space="preserve"> </w:t>
      </w:r>
      <w:r w:rsidRPr="000B33B9">
        <w:rPr>
          <w:rFonts w:ascii="Verdana" w:hAnsi="Verdana"/>
          <w:sz w:val="16"/>
          <w:szCs w:val="16"/>
          <w:lang w:val="es-DO"/>
        </w:rPr>
        <w:t xml:space="preserve">4157-99-M00000, dirigida el 23 de junio de 1999 por la SUNAT a Rafael Ipanaqué Centeno (expediente de prueba, folios 6241 y 6242). </w:t>
      </w:r>
    </w:p>
  </w:footnote>
  <w:footnote w:id="134">
    <w:p w14:paraId="00F53F05" w14:textId="181057E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Comunicación de 5 de julio de 1999 suscrita por Rafael Ipanaqué Centeno, dirigida a la SUNAT (expediente de prueba, folios del 6243 al 6246). Comunicación de 1 de junio de 1999 suscrita por Rafael Ipanaqué Centeno, dirigida a la SUNAT (expediente de prueba, folio 6247).</w:t>
      </w:r>
    </w:p>
  </w:footnote>
  <w:footnote w:id="135">
    <w:p w14:paraId="5B7F4582" w14:textId="2A42E9F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Carta No.</w:t>
      </w:r>
      <w:r w:rsidRPr="000B33B9">
        <w:rPr>
          <w:rFonts w:ascii="Verdana" w:hAnsi="Verdana"/>
          <w:sz w:val="16"/>
          <w:szCs w:val="16"/>
          <w:vertAlign w:val="superscript"/>
          <w:lang w:val="es-DO"/>
        </w:rPr>
        <w:t xml:space="preserve"> </w:t>
      </w:r>
      <w:r w:rsidRPr="000B33B9">
        <w:rPr>
          <w:rFonts w:ascii="Verdana" w:hAnsi="Verdana"/>
          <w:sz w:val="16"/>
          <w:szCs w:val="16"/>
          <w:lang w:val="es-DO"/>
        </w:rPr>
        <w:t xml:space="preserve">5670-99-MD0100, dirigida el 20 de agosto de 1999 por la SUNAT a Rafael Ipanaqué Centeno (expediente de prueba, folio 6248). </w:t>
      </w:r>
    </w:p>
  </w:footnote>
  <w:footnote w:id="136">
    <w:p w14:paraId="5DD721DB" w14:textId="2C25FA0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 la Sala Corporativa Transitoria Especializada en Derecho Público de 30 de septiembre de 1999 (expediente de prueba, folio 6287). </w:t>
      </w:r>
    </w:p>
  </w:footnote>
  <w:footnote w:id="137">
    <w:p w14:paraId="213AC58C" w14:textId="1F48333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Carta de 21 de octubre de 1999 suscrita por Rafael Ipanaqué Centeno, dirigida al Presidente de Perú y recibida por el Despacho Presidencial el 22 de octubre de 1999 (expediente de prueba, folios del 6297 al 6299).</w:t>
      </w:r>
    </w:p>
  </w:footnote>
  <w:footnote w:id="138">
    <w:p w14:paraId="66B9506B" w14:textId="1AF2BB13"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Comunicación de 22 de octubre de 1999 suscrita por Rafael Ipanaqué Centeno, dirigida a la SUNAT (expediente de prueba, folio 6252 y 6253).</w:t>
      </w:r>
    </w:p>
  </w:footnote>
  <w:footnote w:id="139">
    <w:p w14:paraId="6E4EFA6D" w14:textId="536CFB3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Carta de 30 de octubre de 1999 suscrita por Rafael Ipanaqué Centeno, dirigida al Presidente de Perú y recibida por el Despacho Presidencial el 3 de noviembre de 1999 (expediente de prueba, folios del 6300 al 6302).</w:t>
      </w:r>
    </w:p>
  </w:footnote>
  <w:footnote w:id="140">
    <w:p w14:paraId="66EA1477" w14:textId="5D4B931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Recurso de reconsideración interpuesto por Rafael Ipanaqué Centeno el 30 de octubre de 1999 ante la SUNAT (expediente de prueba, folios del 6254 al 6256). </w:t>
      </w:r>
    </w:p>
  </w:footnote>
  <w:footnote w:id="141">
    <w:p w14:paraId="130F4DEA" w14:textId="23A613F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Carta No. 8377-99-M00100, dirigida el 1 de diciembre de 1999 por la SUNAT a Rafael Ipanaqué Centeno (expediente de prueba, folio 6257). </w:t>
      </w:r>
    </w:p>
  </w:footnote>
  <w:footnote w:id="142">
    <w:p w14:paraId="7F9A5C4D" w14:textId="7777777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Artículo 8.1 de la Convención Americana.</w:t>
      </w:r>
    </w:p>
  </w:footnote>
  <w:footnote w:id="143">
    <w:p w14:paraId="5FD3E04C"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t>Artículo 25 de la Convención Americana.</w:t>
      </w:r>
    </w:p>
  </w:footnote>
  <w:footnote w:id="144">
    <w:p w14:paraId="46A769C4" w14:textId="7777777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Artículo 26 de la Convención Americana.</w:t>
      </w:r>
    </w:p>
  </w:footnote>
  <w:footnote w:id="145">
    <w:p w14:paraId="1F916EFA"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t>Artículo 4.1 de la Convención Americana.</w:t>
      </w:r>
    </w:p>
  </w:footnote>
  <w:footnote w:id="146">
    <w:p w14:paraId="295B4071" w14:textId="7777777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Artículo 21 de la Convención Americana.</w:t>
      </w:r>
    </w:p>
  </w:footnote>
  <w:footnote w:id="147">
    <w:p w14:paraId="5A5C4B74"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t>Artículo 2 de la Convención Americana.</w:t>
      </w:r>
    </w:p>
  </w:footnote>
  <w:footnote w:id="148">
    <w:p w14:paraId="476AC8AA" w14:textId="47D2E596" w:rsidR="00223943" w:rsidRPr="000B33B9" w:rsidRDefault="00223943" w:rsidP="000B33B9">
      <w:pPr>
        <w:tabs>
          <w:tab w:val="left" w:pos="567"/>
        </w:tabs>
        <w:spacing w:after="120" w:line="240" w:lineRule="auto"/>
        <w:jc w:val="both"/>
        <w:rPr>
          <w:rFonts w:ascii="Verdana" w:hAnsi="Verdana"/>
          <w:i/>
          <w:sz w:val="16"/>
          <w:szCs w:val="16"/>
        </w:rPr>
      </w:pPr>
      <w:r w:rsidRPr="000B33B9">
        <w:rPr>
          <w:rStyle w:val="Refdenotaalpie"/>
          <w:rFonts w:ascii="Verdana" w:eastAsia="Times New Roman" w:hAnsi="Verdana"/>
          <w:spacing w:val="-4"/>
          <w:sz w:val="16"/>
          <w:szCs w:val="16"/>
        </w:rPr>
        <w:footnoteRef/>
      </w:r>
      <w:r w:rsidRPr="000B33B9">
        <w:rPr>
          <w:rFonts w:ascii="Verdana" w:hAnsi="Verdana"/>
          <w:spacing w:val="-4"/>
          <w:sz w:val="16"/>
          <w:szCs w:val="16"/>
        </w:rPr>
        <w:t xml:space="preserve"> </w:t>
      </w:r>
      <w:r w:rsidRPr="000B33B9">
        <w:rPr>
          <w:rFonts w:ascii="Verdana" w:hAnsi="Verdana"/>
          <w:spacing w:val="-4"/>
          <w:sz w:val="16"/>
          <w:szCs w:val="16"/>
        </w:rPr>
        <w:tab/>
      </w:r>
      <w:r w:rsidRPr="000B33B9">
        <w:rPr>
          <w:rFonts w:ascii="Verdana" w:hAnsi="Verdana"/>
          <w:i/>
          <w:spacing w:val="-4"/>
          <w:sz w:val="16"/>
          <w:szCs w:val="16"/>
        </w:rPr>
        <w:t xml:space="preserve">Cfr. </w:t>
      </w:r>
      <w:r w:rsidRPr="000B33B9">
        <w:rPr>
          <w:rFonts w:ascii="Verdana" w:hAnsi="Verdana"/>
          <w:i/>
          <w:sz w:val="16"/>
          <w:szCs w:val="16"/>
        </w:rPr>
        <w:t>Caso de los “Niños de la Calle” (Villagrán Morales y otros) Vs. Guatemala. Fondo</w:t>
      </w:r>
      <w:r w:rsidRPr="000B33B9">
        <w:rPr>
          <w:rFonts w:ascii="Verdana" w:hAnsi="Verdana"/>
          <w:sz w:val="16"/>
          <w:szCs w:val="16"/>
        </w:rPr>
        <w:t xml:space="preserve">. Sentencia de 19 de noviembre de 1999. Serie C No. 63, párr. 237,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134.</w:t>
      </w:r>
    </w:p>
  </w:footnote>
  <w:footnote w:id="149">
    <w:p w14:paraId="66A0EF02" w14:textId="58704B86" w:rsidR="00223943" w:rsidRPr="000B33B9" w:rsidRDefault="00223943" w:rsidP="000B33B9">
      <w:pPr>
        <w:tabs>
          <w:tab w:val="left" w:pos="567"/>
        </w:tabs>
        <w:spacing w:after="120" w:line="240" w:lineRule="auto"/>
        <w:jc w:val="both"/>
        <w:rPr>
          <w:rFonts w:ascii="Verdana" w:hAnsi="Verdana"/>
          <w:sz w:val="16"/>
          <w:szCs w:val="16"/>
        </w:rPr>
      </w:pPr>
      <w:r w:rsidRPr="000B33B9">
        <w:rPr>
          <w:rStyle w:val="Refdenotaalpie"/>
          <w:rFonts w:ascii="Verdana" w:eastAsia="Times New Roman" w:hAnsi="Verdana"/>
          <w:spacing w:val="-4"/>
          <w:sz w:val="16"/>
          <w:szCs w:val="16"/>
        </w:rPr>
        <w:footnoteRef/>
      </w:r>
      <w:r w:rsidRPr="000B33B9">
        <w:rPr>
          <w:rFonts w:ascii="Verdana" w:hAnsi="Verdana"/>
          <w:spacing w:val="-4"/>
          <w:sz w:val="16"/>
          <w:szCs w:val="16"/>
        </w:rPr>
        <w:t xml:space="preserve"> </w:t>
      </w:r>
      <w:r w:rsidRPr="000B33B9">
        <w:rPr>
          <w:rFonts w:ascii="Verdana" w:hAnsi="Verdana"/>
          <w:spacing w:val="-4"/>
          <w:sz w:val="16"/>
          <w:szCs w:val="16"/>
        </w:rPr>
        <w:tab/>
      </w:r>
      <w:r w:rsidRPr="000B33B9">
        <w:rPr>
          <w:rFonts w:ascii="Verdana" w:hAnsi="Verdana"/>
          <w:i/>
          <w:sz w:val="16"/>
          <w:szCs w:val="16"/>
        </w:rPr>
        <w:t>Cfr. Caso Baena Ricardo y otros Vs. Panamá. Competencia</w:t>
      </w:r>
      <w:r w:rsidRPr="000B33B9">
        <w:rPr>
          <w:rFonts w:ascii="Verdana" w:hAnsi="Verdana"/>
          <w:sz w:val="16"/>
          <w:szCs w:val="16"/>
        </w:rPr>
        <w:t xml:space="preserve">. Sentencia de 28 de noviembre de 2003. Serie C No. 104, párr. 79,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134.</w:t>
      </w:r>
    </w:p>
  </w:footnote>
  <w:footnote w:id="150">
    <w:p w14:paraId="7CE80B85" w14:textId="77777777" w:rsidR="00223943" w:rsidRPr="000B33B9" w:rsidRDefault="00223943" w:rsidP="000B33B9">
      <w:pPr>
        <w:pStyle w:val="Textonotapie"/>
        <w:spacing w:after="120"/>
        <w:jc w:val="both"/>
        <w:rPr>
          <w:rFonts w:ascii="Verdana" w:hAnsi="Verdana"/>
          <w:i/>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124.</w:t>
      </w:r>
    </w:p>
  </w:footnote>
  <w:footnote w:id="151">
    <w:p w14:paraId="6D0EEF9D" w14:textId="61E5FB99" w:rsidR="00223943" w:rsidRPr="000B33B9" w:rsidRDefault="00223943" w:rsidP="000B33B9">
      <w:pPr>
        <w:pStyle w:val="Textonotapie"/>
        <w:spacing w:after="120"/>
        <w:jc w:val="both"/>
        <w:rPr>
          <w:rFonts w:ascii="Verdana" w:hAnsi="Verdana"/>
          <w:spacing w:val="-4"/>
          <w:sz w:val="16"/>
          <w:szCs w:val="16"/>
          <w:lang w:val="es-PE"/>
        </w:rPr>
      </w:pPr>
      <w:r w:rsidRPr="000B33B9">
        <w:rPr>
          <w:rStyle w:val="Refdenotaalpie"/>
          <w:rFonts w:ascii="Verdana" w:eastAsia="Times New Roman" w:hAnsi="Verdana"/>
          <w:sz w:val="16"/>
          <w:szCs w:val="16"/>
          <w:lang w:val="es-CR"/>
        </w:rPr>
        <w:footnoteRef/>
      </w:r>
      <w:r w:rsidRPr="000B33B9">
        <w:rPr>
          <w:rFonts w:ascii="Verdana" w:hAnsi="Verdana"/>
          <w:sz w:val="16"/>
          <w:szCs w:val="16"/>
          <w:lang w:val="es-PE"/>
        </w:rPr>
        <w:tab/>
      </w:r>
      <w:r w:rsidRPr="000B33B9">
        <w:rPr>
          <w:rFonts w:ascii="Verdana" w:hAnsi="Verdana" w:cs="Calibri"/>
          <w:i/>
          <w:sz w:val="16"/>
          <w:szCs w:val="16"/>
          <w:lang w:val="es-PE"/>
        </w:rPr>
        <w:t>Cfr.</w:t>
      </w:r>
      <w:r w:rsidRPr="000B33B9">
        <w:rPr>
          <w:rFonts w:ascii="Verdana" w:hAnsi="Verdana" w:cs="Calibri"/>
          <w:sz w:val="16"/>
          <w:szCs w:val="16"/>
          <w:lang w:val="es-PE"/>
        </w:rPr>
        <w:t xml:space="preserve"> </w:t>
      </w:r>
      <w:r w:rsidRPr="000B33B9">
        <w:rPr>
          <w:rStyle w:val="Textoennegrita"/>
          <w:rFonts w:ascii="Verdana" w:hAnsi="Verdana"/>
          <w:b w:val="0"/>
          <w:sz w:val="16"/>
          <w:szCs w:val="16"/>
          <w:shd w:val="clear" w:color="auto" w:fill="FFFFFF"/>
          <w:lang w:val="es-CR"/>
        </w:rPr>
        <w:t>Garantías judiciales en estados de emergencia (Arts. 27.2, 25 y 8 Convención Americana sobre Derechos Humanos). Opinión Consultiva OC-9/87 de 6 de octubre de 1987. Serie A No. 9, párr. 24</w:t>
      </w:r>
      <w:r w:rsidRPr="000B33B9">
        <w:rPr>
          <w:rFonts w:ascii="Verdana" w:hAnsi="Verdana" w:cs="Calibri"/>
          <w:sz w:val="16"/>
          <w:szCs w:val="16"/>
          <w:lang w:val="es-PE"/>
        </w:rPr>
        <w:t xml:space="preserve">,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125.</w:t>
      </w:r>
    </w:p>
  </w:footnote>
  <w:footnote w:id="152">
    <w:p w14:paraId="710B5570" w14:textId="195C571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eastAsia="Times New Roman" w:hAnsi="Verdana"/>
          <w:spacing w:val="-4"/>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Caso Las Palmeras Vs. Colombia. Reparaciones y Costas</w:t>
      </w:r>
      <w:r w:rsidRPr="000B33B9">
        <w:rPr>
          <w:rFonts w:ascii="Verdana" w:hAnsi="Verdana"/>
          <w:sz w:val="16"/>
          <w:szCs w:val="16"/>
        </w:rPr>
        <w:t xml:space="preserve">. Sentencia de 26 noviembre de 2002. Serie C No. 96, párr. 58,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135.</w:t>
      </w:r>
    </w:p>
  </w:footnote>
  <w:footnote w:id="153">
    <w:p w14:paraId="5AD9B02F"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 Caso Mejía Idrovo Vs. Ecuador. Excepciones Preliminares, Fondo, Reparaciones y Costas</w:t>
      </w:r>
      <w:r w:rsidRPr="000B33B9">
        <w:rPr>
          <w:rFonts w:ascii="Verdana" w:hAnsi="Verdana"/>
          <w:sz w:val="16"/>
          <w:szCs w:val="16"/>
          <w:lang w:val="es-CR"/>
        </w:rPr>
        <w:t xml:space="preserve">. Sentencia de 5 de julio de 2011. Serie C No. 228, párr. 105,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125.</w:t>
      </w:r>
    </w:p>
  </w:footnote>
  <w:footnote w:id="154">
    <w:p w14:paraId="53554C60" w14:textId="6555E225"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Decreto Legislativo No. 276 de 6 de marzo de 1984 (expediente de prueba, folios del 1615 al 1628).</w:t>
      </w:r>
    </w:p>
  </w:footnote>
  <w:footnote w:id="155">
    <w:p w14:paraId="32A08586" w14:textId="251A0C5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Decreto Legislativo No. 673 de 23 de septiembre de 1991 </w:t>
      </w:r>
      <w:r w:rsidRPr="000B33B9">
        <w:rPr>
          <w:rFonts w:ascii="Verdana" w:hAnsi="Verdana"/>
          <w:sz w:val="16"/>
          <w:szCs w:val="16"/>
          <w:lang w:val="es-DO"/>
        </w:rPr>
        <w:t xml:space="preserve">(expediente de prueba, folios del 15094 al 15096). </w:t>
      </w:r>
    </w:p>
  </w:footnote>
  <w:footnote w:id="156">
    <w:p w14:paraId="18B3A58B" w14:textId="7955CF3A"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w:t>
      </w:r>
      <w:r w:rsidRPr="000B33B9">
        <w:rPr>
          <w:rFonts w:ascii="Verdana" w:hAnsi="Verdana"/>
          <w:sz w:val="16"/>
          <w:szCs w:val="16"/>
        </w:rPr>
        <w:t>Resolución No. R.S. N°638-91-EF/SUNAT-A00000 de la SUNAT de 10 de abril de 1991 a favor de Álvarez González Darma María (expediente de prueba, folio 6857); Resolución No. R.S. N°334-91-EF/SUNAT-A00000 de la SUNAT de 15 de febrero de 1991 a favor de Álvarez Ramírez Glicerio (expediente de prueba, folio 6861); Resolución No. R.S. N°517-91-EF/SUNAT-A00000 de la SUNAT de 21 de marzo de 1991 a favor de Antúnez Solís Eduardo Manuel (expediente de prueba, folio 6871); Resolución No. R.S. N°532-91-EF/SUNAT-A00000 de la SUNAT de 21 de marzo de 1991 a favor de Benavides Espinoza Fortunato Raúl (expediente de prueba, folio 6965); Resolución No. R.S. N°263-91-EF/SUNAT-A00000 de la SUNAT de 13 de febrero de 1991 a favor de Berrocal Barraza Nelly (expediente de prueba, folio 6974); Resolución No. R.S. N°527-91-EF/SUNAT-A00000 de la SUNAT de 21 de marzo de 1991 a favor de Candela Lévano Víctor Alfredo (expediente de prueba, folio 7025); Resolución No. R.S. N°291-91-EF/SUNAT-A00000 de la SUNAT de 14 de febrero de 1991 a favor de Carranza Alfaro Constantino Percy (expediente de prueba, folio 7033); Resolución No. R.S. N°2053-91-EF/SUNAT-A00000 de la SUNAT de 19 de agosto de 1991 a favor de Carranza Martínez Victoria Estela (expediente de prueba, folio 7043); Resolución No. R.S. N°219-91-EF/SUNAT-A00000 de la SUNAT de 12 de febrero de 1991 a favor de Carrasco Ferrel Eloy (expediente de prueba, folio 7047); Resolución No. R.S. N°181-91-EF/SUNAT-A00000 de la SUNAT de 11 de febrero de 1991 a favor de Carreño Llanos Judith Yolanda (expediente de prueba, folio 7053); Resolución No. R.S. N°214-91-EF/SUNAT-A00000 de la SUNAT de 12 de febrero de 1991 a favor de Carreño Llanos Luisa Elizabeth (expediente de prueba, folio 7057); Resolución No. R.S. N°284-91-EF/SUNAT-A00000 de la SUNAT de 13 de febrero de 1991 a favor de Cassana Bazán Mercedes Irma (expediente de prueba, folio 7069); Resolución No. R.S. N°622-91-EF/SUNAT-A00000 de la SUNAT de 10 de abril de 1991 a favor de Castillo Sánchez Julia Manuela (expediente de prueba, folio 7076); Resolución No. R.S. N°488-91-EF/SUNAT-A00000 de la SUNAT de 21 de marzo de 1991 a favor de Chávez Centti Miguel Ángel (expediente de prueba, folio P7118), y Resolución No. R.S. N°211-91-EF/SUNAT-A00000 de la SUNAT de 12 de febrero de 1991 a favor de Chiriboga Pardo Jesús Eduardo (expediente de prueba, folio 7129).</w:t>
      </w:r>
    </w:p>
  </w:footnote>
  <w:footnote w:id="157">
    <w:p w14:paraId="3EE29692" w14:textId="785B7064"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Decreto Legislativo No. 673 de 23 de septiembre de 1991. Tercera Disposición Transitoria </w:t>
      </w:r>
      <w:r w:rsidRPr="000B33B9">
        <w:rPr>
          <w:rFonts w:ascii="Verdana" w:hAnsi="Verdana"/>
          <w:sz w:val="16"/>
          <w:szCs w:val="16"/>
          <w:lang w:val="es-DO"/>
        </w:rPr>
        <w:t xml:space="preserve">(expediente de prueba, folios del 15094 al 15096). </w:t>
      </w:r>
      <w:r w:rsidRPr="000B33B9">
        <w:rPr>
          <w:rFonts w:ascii="Verdana" w:hAnsi="Verdana"/>
          <w:sz w:val="16"/>
          <w:szCs w:val="16"/>
        </w:rPr>
        <w:t xml:space="preserve"> </w:t>
      </w:r>
    </w:p>
  </w:footnote>
  <w:footnote w:id="158">
    <w:p w14:paraId="15B7270C" w14:textId="2BB724A5"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Decreto Legislativo No. 673 de 23 de septiembre de 1991. Artículo 2 </w:t>
      </w:r>
      <w:r w:rsidRPr="000B33B9">
        <w:rPr>
          <w:rFonts w:ascii="Verdana" w:hAnsi="Verdana"/>
          <w:sz w:val="16"/>
          <w:szCs w:val="16"/>
          <w:lang w:val="es-DO"/>
        </w:rPr>
        <w:t xml:space="preserve">(expediente de prueba, folios del 15094 al 15096). </w:t>
      </w:r>
    </w:p>
  </w:footnote>
  <w:footnote w:id="159">
    <w:p w14:paraId="2E61C031" w14:textId="32CF107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Sentencia de Corte Suprema de Justicia de la República de 25 de octubre de 1993 (expediente de prueba, folios del 23 al 25).</w:t>
      </w:r>
    </w:p>
  </w:footnote>
  <w:footnote w:id="160">
    <w:p w14:paraId="7716E08E" w14:textId="41A166DD"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Resolución del Tribunal Constitucional de 25 de junio de 1996 (expediente de prueba, folio 29).</w:t>
      </w:r>
    </w:p>
  </w:footnote>
  <w:footnote w:id="161">
    <w:p w14:paraId="43B18FBD" w14:textId="17B17E2D"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sz w:val="16"/>
          <w:szCs w:val="16"/>
          <w:lang w:val="es-DO"/>
        </w:rPr>
        <w:t>Resolución del Tribunal Constitucional de 10 de mayo de 2001, con relación al expediente No. 2001-AA/TC (expediente de prueba, folios del 70 al 73).</w:t>
      </w:r>
    </w:p>
  </w:footnote>
  <w:footnote w:id="162">
    <w:p w14:paraId="7115953C" w14:textId="71D89CBA"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 xml:space="preserve">Decreto Legislativo No. 673 de 23 de septiembre de 1991. </w:t>
      </w:r>
      <w:r w:rsidRPr="000B33B9">
        <w:rPr>
          <w:rFonts w:ascii="Verdana" w:hAnsi="Verdana"/>
          <w:sz w:val="16"/>
          <w:szCs w:val="16"/>
        </w:rPr>
        <w:t xml:space="preserve">Artículo 3 </w:t>
      </w:r>
      <w:r w:rsidRPr="000B33B9">
        <w:rPr>
          <w:rFonts w:ascii="Verdana" w:hAnsi="Verdana"/>
          <w:sz w:val="16"/>
          <w:szCs w:val="16"/>
          <w:lang w:val="es-DO"/>
        </w:rPr>
        <w:t xml:space="preserve">(expediente de prueba, folios del 15094 al 15096). </w:t>
      </w:r>
    </w:p>
  </w:footnote>
  <w:footnote w:id="163">
    <w:p w14:paraId="762C8BB9" w14:textId="5B30CDA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CR"/>
        </w:rPr>
        <w:t>Sentencia del Tribunal Constitucional de 9 de agosto de 2011, con relación al expediente No. 00649-2011-PA/TC (expediente de prueba, folios del 15858 al 15868).</w:t>
      </w:r>
    </w:p>
  </w:footnote>
  <w:footnote w:id="164">
    <w:p w14:paraId="517224FE" w14:textId="5EC4FA19" w:rsidR="00223943" w:rsidRPr="000B33B9" w:rsidRDefault="00223943" w:rsidP="000B33B9">
      <w:pPr>
        <w:pStyle w:val="Textonotapie"/>
        <w:widowControl w:val="0"/>
        <w:tabs>
          <w:tab w:val="left" w:pos="426"/>
          <w:tab w:val="left" w:pos="567"/>
        </w:tabs>
        <w:spacing w:after="120"/>
        <w:jc w:val="both"/>
        <w:rPr>
          <w:rFonts w:ascii="Verdana" w:hAnsi="Verdana"/>
          <w:spacing w:val="-4"/>
          <w:sz w:val="16"/>
          <w:szCs w:val="16"/>
          <w:lang w:val="es-CR"/>
        </w:rPr>
      </w:pPr>
      <w:r w:rsidRPr="00B756D7">
        <w:rPr>
          <w:rStyle w:val="Refdenotaalpie"/>
          <w:rFonts w:ascii="Verdana" w:eastAsiaTheme="majorEastAsia" w:hAnsi="Verdana"/>
          <w:spacing w:val="-4"/>
          <w:sz w:val="16"/>
          <w:szCs w:val="16"/>
        </w:rPr>
        <w:footnoteRef/>
      </w:r>
      <w:r w:rsidRPr="00B756D7">
        <w:rPr>
          <w:rFonts w:ascii="Verdana" w:hAnsi="Verdana"/>
          <w:i/>
          <w:spacing w:val="-4"/>
          <w:sz w:val="16"/>
          <w:szCs w:val="16"/>
          <w:lang w:val="es-CR"/>
        </w:rPr>
        <w:t xml:space="preserve"> </w:t>
      </w:r>
      <w:r w:rsidRPr="00B756D7">
        <w:rPr>
          <w:rFonts w:ascii="Verdana" w:hAnsi="Verdana"/>
          <w:i/>
          <w:spacing w:val="-4"/>
          <w:sz w:val="16"/>
          <w:szCs w:val="16"/>
          <w:lang w:val="es-CR"/>
        </w:rPr>
        <w:tab/>
      </w:r>
      <w:r w:rsidRPr="00B756D7">
        <w:rPr>
          <w:rFonts w:ascii="Verdana" w:hAnsi="Verdana"/>
          <w:i/>
          <w:spacing w:val="-4"/>
          <w:sz w:val="16"/>
          <w:szCs w:val="16"/>
          <w:lang w:val="es-CR"/>
        </w:rPr>
        <w:tab/>
      </w:r>
      <w:r w:rsidRPr="00B756D7">
        <w:rPr>
          <w:rFonts w:ascii="Verdana" w:hAnsi="Verdana"/>
          <w:i/>
          <w:spacing w:val="-4"/>
          <w:sz w:val="16"/>
          <w:szCs w:val="16"/>
          <w:lang w:val="es-CR"/>
        </w:rPr>
        <w:tab/>
        <w:t>Cfr.</w:t>
      </w:r>
      <w:r w:rsidRPr="00B756D7">
        <w:rPr>
          <w:rFonts w:ascii="Verdana" w:hAnsi="Verdana"/>
          <w:spacing w:val="-4"/>
          <w:sz w:val="16"/>
          <w:szCs w:val="16"/>
          <w:lang w:val="es-CR"/>
        </w:rPr>
        <w:t xml:space="preserve"> </w:t>
      </w:r>
      <w:r w:rsidRPr="00B756D7">
        <w:rPr>
          <w:rFonts w:ascii="Verdana" w:hAnsi="Verdana" w:cs="Tahoma"/>
          <w:i/>
          <w:sz w:val="16"/>
          <w:szCs w:val="16"/>
          <w:lang w:val="es-CR"/>
        </w:rPr>
        <w:t xml:space="preserve">Caso Apitz Barbera y otros (“Corte Primera de lo Contencioso Administrativo”) Vs. Venezuela. Excepción Preliminar, Fondo, Reparaciones y Costas. </w:t>
      </w:r>
      <w:r w:rsidRPr="00B756D7">
        <w:rPr>
          <w:rFonts w:ascii="Verdana" w:hAnsi="Verdana" w:cs="Tahoma"/>
          <w:sz w:val="16"/>
          <w:szCs w:val="16"/>
          <w:lang w:val="es-CR"/>
        </w:rPr>
        <w:t>Sentencia de 5 de agosto de 2008. Serie C No. 182</w:t>
      </w:r>
      <w:r w:rsidRPr="00B756D7">
        <w:rPr>
          <w:rFonts w:ascii="Verdana" w:hAnsi="Verdana"/>
          <w:i/>
          <w:spacing w:val="-4"/>
          <w:sz w:val="16"/>
          <w:szCs w:val="16"/>
          <w:lang w:val="es-CR"/>
        </w:rPr>
        <w:t xml:space="preserve">, </w:t>
      </w:r>
      <w:r w:rsidRPr="00B756D7">
        <w:rPr>
          <w:rFonts w:ascii="Verdana" w:hAnsi="Verdana"/>
          <w:spacing w:val="-4"/>
          <w:sz w:val="16"/>
          <w:szCs w:val="16"/>
          <w:lang w:val="es-CR"/>
        </w:rPr>
        <w:t xml:space="preserve">párr. 77, y </w:t>
      </w:r>
      <w:r w:rsidRPr="00B756D7">
        <w:rPr>
          <w:rFonts w:ascii="Verdana" w:hAnsi="Verdana"/>
          <w:i/>
          <w:sz w:val="16"/>
          <w:szCs w:val="16"/>
          <w:lang w:val="es-DO"/>
        </w:rPr>
        <w:t>Caso Perrone y Preckel Vs. Argentina. Excepciones Preliminares, Fondo, Reparaciones y Costas.</w:t>
      </w:r>
      <w:r w:rsidRPr="00B756D7">
        <w:rPr>
          <w:rFonts w:ascii="Verdana" w:hAnsi="Verdana"/>
          <w:sz w:val="16"/>
          <w:szCs w:val="16"/>
          <w:lang w:val="es-DO"/>
        </w:rPr>
        <w:t xml:space="preserve"> Sentencia de 8 de octubre de 2019.</w:t>
      </w:r>
      <w:r w:rsidRPr="000B33B9">
        <w:rPr>
          <w:rFonts w:ascii="Verdana" w:hAnsi="Verdana"/>
          <w:sz w:val="16"/>
          <w:szCs w:val="16"/>
          <w:lang w:val="es-DO"/>
        </w:rPr>
        <w:t xml:space="preserve"> Serie C No. 385, párr. 120.</w:t>
      </w:r>
    </w:p>
  </w:footnote>
  <w:footnote w:id="165">
    <w:p w14:paraId="23020682" w14:textId="0ECCFB44"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Claude Reyes y otros Vs. Chile. Fondo, Reparaciones y Costas</w:t>
      </w:r>
      <w:r w:rsidRPr="000B33B9">
        <w:rPr>
          <w:rFonts w:ascii="Verdana" w:hAnsi="Verdana"/>
          <w:sz w:val="16"/>
          <w:szCs w:val="16"/>
        </w:rPr>
        <w:t>. Sentencia de 19 de septiembre de 2006. Serie C No. 151, párr. 122,</w:t>
      </w:r>
      <w:r w:rsidRPr="000B33B9">
        <w:rPr>
          <w:rFonts w:ascii="Verdana" w:hAnsi="Verdana"/>
          <w:spacing w:val="-4"/>
          <w:sz w:val="16"/>
          <w:szCs w:val="16"/>
          <w:lang w:val="es-CR"/>
        </w:rPr>
        <w:t xml:space="preserve"> y </w:t>
      </w:r>
      <w:r w:rsidRPr="000B33B9">
        <w:rPr>
          <w:rFonts w:ascii="Verdana" w:hAnsi="Verdana"/>
          <w:i/>
          <w:sz w:val="16"/>
          <w:szCs w:val="16"/>
          <w:lang w:val="es-DO"/>
        </w:rPr>
        <w:t>Caso Perrone y Preckel Vs. Argentina. Excepciones Preliminares, Fondo, Reparaciones y Costas.</w:t>
      </w:r>
      <w:r w:rsidRPr="000B33B9">
        <w:rPr>
          <w:rFonts w:ascii="Verdana" w:hAnsi="Verdana"/>
          <w:sz w:val="16"/>
          <w:szCs w:val="16"/>
          <w:lang w:val="es-DO"/>
        </w:rPr>
        <w:t xml:space="preserve"> Sentencia de 8 de octubre de 2019. Serie C No. 385, párr. 120.</w:t>
      </w:r>
      <w:r w:rsidRPr="000B33B9">
        <w:rPr>
          <w:rFonts w:ascii="Verdana" w:hAnsi="Verdana"/>
          <w:sz w:val="16"/>
          <w:szCs w:val="16"/>
        </w:rPr>
        <w:t xml:space="preserve"> </w:t>
      </w:r>
    </w:p>
  </w:footnote>
  <w:footnote w:id="166">
    <w:p w14:paraId="1FC061BA" w14:textId="17669A9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Amparo interpuesto por ANCEJUB-SUNAT el 19 de diciembre de 1991, ante el </w:t>
      </w:r>
      <w:r w:rsidRPr="000B33B9">
        <w:rPr>
          <w:rFonts w:ascii="Verdana" w:hAnsi="Verdana" w:cs="Arial"/>
          <w:sz w:val="16"/>
          <w:szCs w:val="16"/>
          <w:lang w:val="es-CR"/>
        </w:rPr>
        <w:t xml:space="preserve">Quinto Juzgado Especializado en lo Civil de Lima (expediente de prueba, folios del 3 al 15). </w:t>
      </w:r>
    </w:p>
  </w:footnote>
  <w:footnote w:id="167">
    <w:p w14:paraId="3271CE66" w14:textId="628942A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Sentencia de la Corte Suprema de Justicia de la República de 25 de octubre de 1993 (expediente de prueba, folios del 23 al 25).</w:t>
      </w:r>
    </w:p>
  </w:footnote>
  <w:footnote w:id="168">
    <w:p w14:paraId="5307F0E0" w14:textId="7777777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García Ibarra y Otros Vs. Ecuador. Excepciones Preliminares, Fondo, Reparaciones y Costas.</w:t>
      </w:r>
      <w:r w:rsidRPr="000B33B9">
        <w:rPr>
          <w:rFonts w:ascii="Verdana" w:hAnsi="Verdana"/>
          <w:sz w:val="16"/>
          <w:szCs w:val="16"/>
        </w:rPr>
        <w:t xml:space="preserve"> Sentencia de 17 de noviembre de 2015. Serie C No. 306, párr. 151. </w:t>
      </w:r>
    </w:p>
  </w:footnote>
  <w:footnote w:id="169">
    <w:p w14:paraId="72B0A8B3" w14:textId="0AB8D039" w:rsidR="00223943" w:rsidRPr="000B33B9" w:rsidRDefault="00223943" w:rsidP="000B33B9">
      <w:pPr>
        <w:pStyle w:val="Textonotapie"/>
        <w:widowControl w:val="0"/>
        <w:tabs>
          <w:tab w:val="left" w:pos="426"/>
          <w:tab w:val="left" w:pos="567"/>
          <w:tab w:val="left" w:pos="709"/>
        </w:tabs>
        <w:spacing w:after="120"/>
        <w:jc w:val="both"/>
        <w:rPr>
          <w:rFonts w:ascii="Verdana" w:hAnsi="Verdana"/>
          <w:spacing w:val="-4"/>
          <w:sz w:val="16"/>
          <w:szCs w:val="16"/>
          <w:lang w:val="es-CR"/>
        </w:rPr>
      </w:pPr>
      <w:r w:rsidRPr="000B33B9">
        <w:rPr>
          <w:rStyle w:val="Refdenotaalpie"/>
          <w:rFonts w:ascii="Verdana" w:eastAsiaTheme="majorEastAsia" w:hAnsi="Verdana"/>
          <w:spacing w:val="-4"/>
          <w:sz w:val="16"/>
          <w:szCs w:val="16"/>
        </w:rPr>
        <w:footnoteRef/>
      </w:r>
      <w:r w:rsidRPr="000B33B9">
        <w:rPr>
          <w:rFonts w:ascii="Verdana" w:hAnsi="Verdana"/>
          <w:i/>
          <w:spacing w:val="-4"/>
          <w:sz w:val="16"/>
          <w:szCs w:val="16"/>
          <w:lang w:val="es-CR"/>
        </w:rPr>
        <w:tab/>
      </w:r>
      <w:r w:rsidRPr="000B33B9">
        <w:rPr>
          <w:rFonts w:ascii="Verdana" w:hAnsi="Verdana"/>
          <w:i/>
          <w:spacing w:val="-4"/>
          <w:sz w:val="16"/>
          <w:szCs w:val="16"/>
          <w:lang w:val="es-CR"/>
        </w:rPr>
        <w:tab/>
      </w:r>
      <w:r w:rsidRPr="000B33B9">
        <w:rPr>
          <w:rFonts w:ascii="Verdana" w:hAnsi="Verdana"/>
          <w:i/>
          <w:spacing w:val="-4"/>
          <w:sz w:val="16"/>
          <w:szCs w:val="16"/>
          <w:lang w:val="es-CR"/>
        </w:rPr>
        <w:tab/>
        <w:t>Cfr</w:t>
      </w:r>
      <w:r w:rsidRPr="000B33B9">
        <w:rPr>
          <w:rFonts w:ascii="Verdana" w:hAnsi="Verdana"/>
          <w:spacing w:val="-4"/>
          <w:sz w:val="16"/>
          <w:szCs w:val="16"/>
          <w:lang w:val="es-CR"/>
        </w:rPr>
        <w:t xml:space="preserve">. </w:t>
      </w:r>
      <w:r w:rsidRPr="000B33B9">
        <w:rPr>
          <w:rFonts w:ascii="Verdana" w:hAnsi="Verdana"/>
          <w:i/>
          <w:sz w:val="16"/>
          <w:szCs w:val="16"/>
        </w:rPr>
        <w:t>Caso López Álvarez Vs. Honduras. Fondo, Reparaciones y Costas</w:t>
      </w:r>
      <w:r w:rsidRPr="000B33B9">
        <w:rPr>
          <w:rFonts w:ascii="Verdana" w:hAnsi="Verdana"/>
          <w:sz w:val="16"/>
          <w:szCs w:val="16"/>
        </w:rPr>
        <w:t>. Sentencia de 1 de febrero de 2006. Serie C No. 141, párr. 96</w:t>
      </w:r>
      <w:r w:rsidRPr="000B33B9">
        <w:rPr>
          <w:rFonts w:ascii="Verdana" w:hAnsi="Verdana"/>
          <w:spacing w:val="-4"/>
          <w:sz w:val="16"/>
          <w:szCs w:val="16"/>
          <w:lang w:val="es-CR"/>
        </w:rPr>
        <w:t xml:space="preserve">, y </w:t>
      </w:r>
      <w:r w:rsidRPr="000B33B9">
        <w:rPr>
          <w:rFonts w:ascii="Verdana" w:hAnsi="Verdana"/>
          <w:i/>
          <w:sz w:val="16"/>
          <w:szCs w:val="16"/>
          <w:lang w:val="es-DO"/>
        </w:rPr>
        <w:t>Caso Perrone y Preckel Vs. Argentina. Excepciones Preliminares, Fondo, Reparaciones y Costas.</w:t>
      </w:r>
      <w:r w:rsidRPr="000B33B9">
        <w:rPr>
          <w:rFonts w:ascii="Verdana" w:hAnsi="Verdana"/>
          <w:sz w:val="16"/>
          <w:szCs w:val="16"/>
          <w:lang w:val="es-DO"/>
        </w:rPr>
        <w:t xml:space="preserve"> Sentencia de 8 de octubre de 2019. Serie C No. 385, párr. 121.</w:t>
      </w:r>
    </w:p>
  </w:footnote>
  <w:footnote w:id="170">
    <w:p w14:paraId="7E44C75F" w14:textId="3DEC8A36" w:rsidR="00223943" w:rsidRPr="000B33B9" w:rsidRDefault="00223943" w:rsidP="000B33B9">
      <w:pPr>
        <w:pStyle w:val="Textonotapie"/>
        <w:widowControl w:val="0"/>
        <w:tabs>
          <w:tab w:val="left" w:pos="709"/>
        </w:tabs>
        <w:spacing w:after="120"/>
        <w:jc w:val="both"/>
        <w:rPr>
          <w:rFonts w:ascii="Verdana" w:hAnsi="Verdana"/>
          <w:sz w:val="16"/>
          <w:szCs w:val="16"/>
          <w:lang w:val="es-CR"/>
        </w:rPr>
      </w:pPr>
      <w:r w:rsidRPr="000B33B9">
        <w:rPr>
          <w:rStyle w:val="Refdenotaalpie"/>
          <w:rFonts w:ascii="Verdana" w:eastAsiaTheme="majorEastAsia" w:hAnsi="Verdana"/>
          <w:sz w:val="16"/>
          <w:szCs w:val="16"/>
        </w:rPr>
        <w:footnoteRef/>
      </w:r>
      <w:r w:rsidRPr="000B33B9">
        <w:rPr>
          <w:rFonts w:ascii="Verdana" w:hAnsi="Verdana"/>
          <w:i/>
          <w:sz w:val="16"/>
          <w:szCs w:val="16"/>
          <w:lang w:val="es-CR"/>
        </w:rPr>
        <w:tab/>
        <w:t xml:space="preserve">Cfr. </w:t>
      </w:r>
      <w:r w:rsidRPr="000B33B9">
        <w:rPr>
          <w:rFonts w:ascii="Verdana" w:hAnsi="Verdana"/>
          <w:bCs/>
          <w:i/>
          <w:sz w:val="16"/>
          <w:szCs w:val="16"/>
          <w:lang w:val="es-CR"/>
        </w:rPr>
        <w:t xml:space="preserve">Caso Velásquez Rodríguez Vs. Honduras. Fondo. </w:t>
      </w:r>
      <w:r w:rsidRPr="000B33B9">
        <w:rPr>
          <w:rFonts w:ascii="Verdana" w:hAnsi="Verdana"/>
          <w:bCs/>
          <w:sz w:val="16"/>
          <w:szCs w:val="16"/>
          <w:lang w:val="es-CR"/>
        </w:rPr>
        <w:t>Sentencia de 29 de julio de 1988. Serie C No. 4, párr. 67</w:t>
      </w:r>
      <w:r w:rsidRPr="000B33B9">
        <w:rPr>
          <w:rFonts w:ascii="Verdana" w:hAnsi="Verdana"/>
          <w:sz w:val="16"/>
          <w:szCs w:val="16"/>
        </w:rPr>
        <w:t xml:space="preserve">, y </w:t>
      </w:r>
      <w:r w:rsidRPr="000B33B9">
        <w:rPr>
          <w:rFonts w:ascii="Verdana" w:hAnsi="Verdana"/>
          <w:i/>
          <w:sz w:val="16"/>
          <w:szCs w:val="16"/>
        </w:rPr>
        <w:t xml:space="preserve">Caso Romero Feris Vs. Argentina. Fondo, Reparaciones y Costas. </w:t>
      </w:r>
      <w:r w:rsidRPr="000B33B9">
        <w:rPr>
          <w:rFonts w:ascii="Verdana" w:hAnsi="Verdana"/>
          <w:sz w:val="16"/>
          <w:szCs w:val="16"/>
        </w:rPr>
        <w:t xml:space="preserve">Sentencia de 15 de octubre de 2019. Serie C No. 391, párr. 135. </w:t>
      </w:r>
    </w:p>
  </w:footnote>
  <w:footnote w:id="171">
    <w:p w14:paraId="2FA17A87" w14:textId="211451A3"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Barbani Duarte y Otros Vs. Uruguay. Fondo Reparaciones y Costas.</w:t>
      </w:r>
      <w:r w:rsidRPr="000B33B9">
        <w:rPr>
          <w:rFonts w:ascii="Verdana" w:hAnsi="Verdana"/>
          <w:sz w:val="16"/>
          <w:szCs w:val="16"/>
        </w:rPr>
        <w:t xml:space="preserve"> Sentencia de 13 de octubre de 2011. Serie C No. 234, párr. 122, y </w:t>
      </w:r>
      <w:r w:rsidRPr="000B33B9">
        <w:rPr>
          <w:rFonts w:ascii="Verdana" w:hAnsi="Verdana"/>
          <w:i/>
          <w:sz w:val="16"/>
          <w:szCs w:val="16"/>
          <w:lang w:val="es-CR"/>
        </w:rPr>
        <w:t xml:space="preserve">Cfr. Caso Duque Vs. Colombia. </w:t>
      </w:r>
      <w:r w:rsidRPr="000B33B9">
        <w:rPr>
          <w:rFonts w:ascii="Verdana" w:hAnsi="Verdana"/>
          <w:i/>
          <w:sz w:val="16"/>
          <w:szCs w:val="16"/>
          <w:lang w:val="es-DO"/>
        </w:rPr>
        <w:t>Excepciones Preliminares, Fondo, Reparaciones y Costas</w:t>
      </w:r>
      <w:r w:rsidRPr="000B33B9">
        <w:rPr>
          <w:rFonts w:ascii="Verdana" w:hAnsi="Verdana"/>
          <w:sz w:val="16"/>
          <w:szCs w:val="16"/>
          <w:lang w:val="es-CR"/>
        </w:rPr>
        <w:t>. Sentencia de 26 de febrero de 2016. Serie C No. 310, párr. 155.</w:t>
      </w:r>
      <w:r w:rsidRPr="000B33B9">
        <w:rPr>
          <w:rFonts w:ascii="Verdana" w:hAnsi="Verdana"/>
          <w:sz w:val="16"/>
          <w:szCs w:val="16"/>
        </w:rPr>
        <w:t xml:space="preserve"> </w:t>
      </w:r>
    </w:p>
  </w:footnote>
  <w:footnote w:id="172">
    <w:p w14:paraId="60E65FFD" w14:textId="65C4D44B"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Sentencia del Tribunal Constitucional de 23 de abril de 2019, con relación al expediente No. 00289-2018-PA/TC (prueba superviniente, depositada por el Estado en audiencia pública de fecha 7 de mayo de 2019).</w:t>
      </w:r>
    </w:p>
  </w:footnote>
  <w:footnote w:id="173">
    <w:p w14:paraId="4C66F6C5" w14:textId="412A4BB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Sentencia de la Corte Suprema de Justicia de la República de 25 de octubre de 1993 (expediente de prueba, folios del 23 al 25).</w:t>
      </w:r>
    </w:p>
  </w:footnote>
  <w:footnote w:id="174">
    <w:p w14:paraId="2515CBB8" w14:textId="117D3FC0"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Amparo interpuesto por ANCEJUB-SUNAT el 19 de diciembre de 1991, ante el </w:t>
      </w:r>
      <w:r w:rsidRPr="000B33B9">
        <w:rPr>
          <w:rFonts w:ascii="Verdana" w:hAnsi="Verdana" w:cs="Arial"/>
          <w:sz w:val="16"/>
          <w:szCs w:val="16"/>
          <w:lang w:val="es-CR"/>
        </w:rPr>
        <w:t xml:space="preserve">Quinto Juzgado Especializado en lo Civil de Lima (expediente de prueba, folios del 3 al 15). </w:t>
      </w:r>
    </w:p>
  </w:footnote>
  <w:footnote w:id="175">
    <w:p w14:paraId="503517C0" w14:textId="334BAFBE"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Resolución del Tribunal Constitucional de 10 de mayo de 2001, con relación al expediente No. 2001-AA/TC (expediente de prueba, folios del 70 al 73).</w:t>
      </w:r>
    </w:p>
  </w:footnote>
  <w:footnote w:id="176">
    <w:p w14:paraId="1FDD0CA6" w14:textId="56E6F47F"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sz w:val="16"/>
          <w:szCs w:val="16"/>
          <w:lang w:val="es-DO"/>
        </w:rPr>
        <w:t xml:space="preserve">Resolución del Sexagésimo Tercer Juzgado Especializado en lo Civil de Lima de 11 de abril de 2002 (expediente de prueba, folios del 77 al 79), y Resolución del Sexagésimo Tercer Juzgado Especializado en lo Civil de Lima de 30 de mayo de 2002 (expediente de prueba, folio 81). </w:t>
      </w:r>
    </w:p>
  </w:footnote>
  <w:footnote w:id="177">
    <w:p w14:paraId="7E3B055B" w14:textId="2AFA221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Escrito de 31 de mayo de 2002 suscrito por la SUNAT, dirigido al Sexagésimo Tercer Juzgado Especializado en lo Civil de Lima (expediente de prueba, folios del 83 al 86).</w:t>
      </w:r>
    </w:p>
  </w:footnote>
  <w:footnote w:id="178">
    <w:p w14:paraId="39497815" w14:textId="3BEBA59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Resolución del Sexagésimo Tercer Juzgado Especializado en lo Civil de Lima de 24 de junio de 2002 (expediente de prueba, folios del 88 al 91), y Resolución del Sexagésimo Tercer Juzgado Especializado en lo Civil de Lima de 23 de septiembre de 2002 (expediente de prueba, folios 113 y 114).</w:t>
      </w:r>
    </w:p>
  </w:footnote>
  <w:footnote w:id="179">
    <w:p w14:paraId="52909991" w14:textId="56F67E8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Resolución de la Sexta Sala Civil de la Corte Superior de Lima de 3 de junio de 2005 (expediente de prueba, folios del 15927 al 15935). </w:t>
      </w:r>
    </w:p>
  </w:footnote>
  <w:footnote w:id="180">
    <w:p w14:paraId="15583059" w14:textId="2E3EE335"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sz w:val="16"/>
          <w:szCs w:val="16"/>
          <w:lang w:val="es-DO"/>
        </w:rPr>
        <w:t>Sentencia del Tribunal Constitucional de 23 de abril de 2019, con relación al expediente No. 00289-2018-PA/TC (prueba superviniente, depositada por el Estado en audiencia pública de fecha 7 de mayo de 2019).</w:t>
      </w:r>
    </w:p>
  </w:footnote>
  <w:footnote w:id="181">
    <w:p w14:paraId="408CB38F" w14:textId="4BF63A6B"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El Tribunal advierte que de las 704 personas contempladas por la Comisión en su Informe de Fondo como presuntas víctimas, 598 fueron también consideradas como beneficiarias de la sentencia de 25 de octubre de 1993, conforme la resolución de 3 de junio de 2005 y el peritaje de 18 de octubre de 2011. Las personas no contempladas en el Informe de Fondo por parte de la Comisión pero sí contempladas en la sentencia de 3 de junio de 2005 o en peritaje de 18 de octubre de 2011 no constituyen presuntas víctimas del caso. </w:t>
      </w:r>
    </w:p>
  </w:footnote>
  <w:footnote w:id="182">
    <w:p w14:paraId="758B3F1F" w14:textId="715ADB86"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La Ley 23495 establece en su artículo 1, literal b, que “el importe de la nivelación se determinará por la diferencia entre el monto de la remuneración que corresponda al cargo o cargo similar determinado y al monto total de la pensión del cesante o jubilado”. Ley 23495 de 19 de noviembre de 1982.</w:t>
      </w:r>
    </w:p>
  </w:footnote>
  <w:footnote w:id="183">
    <w:p w14:paraId="7A01908E" w14:textId="49D6000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CR"/>
        </w:rPr>
        <w:t>Cfr.</w:t>
      </w:r>
      <w:r w:rsidRPr="000B33B9">
        <w:rPr>
          <w:rFonts w:ascii="Verdana" w:hAnsi="Verdana"/>
          <w:sz w:val="16"/>
          <w:szCs w:val="16"/>
          <w:lang w:val="es-CR"/>
        </w:rPr>
        <w:t xml:space="preserve"> Resolución No. 46 del Sexagésimo Sexto Juzgado Especializado en lo Civil de Lima de 5 de mayo de 2005 (expediente de prueba, folios del 161 al 164). </w:t>
      </w:r>
    </w:p>
  </w:footnote>
  <w:footnote w:id="184">
    <w:p w14:paraId="29138103" w14:textId="17639EE4"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Resolución de la </w:t>
      </w:r>
      <w:r w:rsidRPr="000B33B9">
        <w:rPr>
          <w:rFonts w:ascii="Verdana" w:eastAsia="Calibri" w:hAnsi="Verdana" w:cs="Times New Roman"/>
          <w:sz w:val="16"/>
          <w:szCs w:val="16"/>
          <w:lang w:val="es-ES" w:eastAsia="es-ES"/>
        </w:rPr>
        <w:t xml:space="preserve">Sexta Sala Civil de la Corte Superior de Justicia de Lima de </w:t>
      </w:r>
      <w:r w:rsidRPr="000B33B9">
        <w:rPr>
          <w:rFonts w:ascii="Verdana" w:hAnsi="Verdana"/>
          <w:sz w:val="16"/>
          <w:szCs w:val="16"/>
          <w:lang w:val="es-DO"/>
        </w:rPr>
        <w:t xml:space="preserve">24 de julio de 2006 </w:t>
      </w:r>
      <w:r w:rsidRPr="000B33B9">
        <w:rPr>
          <w:rFonts w:ascii="Verdana" w:hAnsi="Verdana"/>
          <w:sz w:val="16"/>
          <w:szCs w:val="16"/>
          <w:lang w:val="es-CR"/>
        </w:rPr>
        <w:t>(expediente de prueba, folios del 176 al 184).</w:t>
      </w:r>
    </w:p>
  </w:footnote>
  <w:footnote w:id="185">
    <w:p w14:paraId="6C491971" w14:textId="31EE27D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sz w:val="16"/>
          <w:szCs w:val="16"/>
          <w:lang w:val="es-DO"/>
        </w:rPr>
        <w:t xml:space="preserve">Resolución No. 138 del </w:t>
      </w:r>
      <w:r w:rsidRPr="000B33B9">
        <w:rPr>
          <w:rFonts w:ascii="Verdana" w:hAnsi="Verdana"/>
          <w:sz w:val="16"/>
          <w:szCs w:val="16"/>
          <w:lang w:val="es-CR"/>
        </w:rPr>
        <w:t xml:space="preserve">Sexagésimo Sexto Juzgado Especializado en lo Civil de Lima </w:t>
      </w:r>
      <w:r w:rsidRPr="000B33B9">
        <w:rPr>
          <w:rFonts w:ascii="Verdana" w:hAnsi="Verdana"/>
          <w:sz w:val="16"/>
          <w:szCs w:val="16"/>
          <w:lang w:val="es-DO"/>
        </w:rPr>
        <w:t xml:space="preserve">de 25 de octubre de 2006 </w:t>
      </w:r>
      <w:r w:rsidRPr="000B33B9">
        <w:rPr>
          <w:rFonts w:ascii="Verdana" w:hAnsi="Verdana"/>
          <w:sz w:val="16"/>
          <w:szCs w:val="16"/>
          <w:lang w:val="es-CR"/>
        </w:rPr>
        <w:t>(expediente de prueba, folios 173 y 174).</w:t>
      </w:r>
    </w:p>
  </w:footnote>
  <w:footnote w:id="186">
    <w:p w14:paraId="4B61FD96" w14:textId="1CDFA0A0"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Resolución No. 247 del Segundo Juzgado Especializado en lo Civil de Lima de 13 de junio de 2017 (expediente de prueba, folios del 15871 al 15878).</w:t>
      </w:r>
    </w:p>
  </w:footnote>
  <w:footnote w:id="187">
    <w:p w14:paraId="094A2EF3" w14:textId="0A1CBA61"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sz w:val="16"/>
          <w:szCs w:val="16"/>
          <w:lang w:val="es-DO"/>
        </w:rPr>
        <w:t xml:space="preserve">Informe pericial </w:t>
      </w:r>
      <w:r w:rsidRPr="000B33B9">
        <w:rPr>
          <w:rFonts w:ascii="Verdana" w:hAnsi="Verdana"/>
          <w:sz w:val="16"/>
          <w:szCs w:val="16"/>
          <w:lang w:val="es-ES"/>
        </w:rPr>
        <w:t xml:space="preserve">No. 092-2014-JAVM-PJ de 18 de marzo de 2014, elaborado por el </w:t>
      </w:r>
      <w:r w:rsidRPr="000B33B9">
        <w:rPr>
          <w:rFonts w:ascii="Verdana" w:eastAsia="Calibri" w:hAnsi="Verdana" w:cs="Times New Roman"/>
          <w:sz w:val="16"/>
          <w:szCs w:val="16"/>
          <w:lang w:val="es-ES" w:eastAsia="es-ES"/>
        </w:rPr>
        <w:t xml:space="preserve">Equipo Técnico Pericial </w:t>
      </w:r>
      <w:r w:rsidRPr="000B33B9">
        <w:rPr>
          <w:rFonts w:ascii="Verdana" w:hAnsi="Verdana"/>
          <w:sz w:val="16"/>
          <w:szCs w:val="16"/>
          <w:lang w:val="es-ES"/>
        </w:rPr>
        <w:t xml:space="preserve">de la Corte Superior de Justicia de Lima </w:t>
      </w:r>
      <w:r w:rsidRPr="000B33B9">
        <w:rPr>
          <w:rFonts w:ascii="Verdana" w:hAnsi="Verdana"/>
          <w:sz w:val="16"/>
          <w:szCs w:val="16"/>
          <w:lang w:val="es-CR"/>
        </w:rPr>
        <w:t>(expediente de prueba, folios del 258 al 262).</w:t>
      </w:r>
    </w:p>
  </w:footnote>
  <w:footnote w:id="188">
    <w:p w14:paraId="7DF7D061" w14:textId="7A49D673"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sz w:val="16"/>
          <w:szCs w:val="16"/>
          <w:lang w:val="es-DO"/>
        </w:rPr>
        <w:t xml:space="preserve">Informe pericial de 18 de octubre de 2011, elaborado por el </w:t>
      </w:r>
      <w:r w:rsidRPr="000B33B9">
        <w:rPr>
          <w:rFonts w:ascii="Verdana" w:hAnsi="Verdana"/>
          <w:sz w:val="16"/>
          <w:szCs w:val="16"/>
          <w:lang w:val="es-ES"/>
        </w:rPr>
        <w:t xml:space="preserve">Equipo Técnico Pericial de la Corte Superior de Justicia de Lima </w:t>
      </w:r>
      <w:r w:rsidRPr="000B33B9">
        <w:rPr>
          <w:rFonts w:ascii="Verdana" w:hAnsi="Verdana"/>
          <w:sz w:val="16"/>
          <w:szCs w:val="16"/>
          <w:lang w:val="es-CR"/>
        </w:rPr>
        <w:t xml:space="preserve">(expediente de prueba, folios del 225 al 238).  </w:t>
      </w:r>
    </w:p>
  </w:footnote>
  <w:footnote w:id="189">
    <w:p w14:paraId="27020A9B" w14:textId="3376F6EE"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247 del Segundo Juzgado Especializado en lo Civil de Lima de 13 de junio de 2017 (expediente de prueba, folios del 15871 al 15878).</w:t>
      </w:r>
    </w:p>
  </w:footnote>
  <w:footnote w:id="190">
    <w:p w14:paraId="145DAF68" w14:textId="5795B73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t xml:space="preserve">Certificado de depósito judicial No. 2017000203156, expedido el 14 de agosto de 2017 por el Banco La Nación por la suma de S/186,001.62 (expediente de prueba, folio 15904). </w:t>
      </w:r>
    </w:p>
  </w:footnote>
  <w:footnote w:id="191">
    <w:p w14:paraId="691EED1D" w14:textId="3DCB5E7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Escrito de 15 de agosto de 2017 suscrito por la SUNAT, dirigido al Segundo Juzgado Especializado en lo Civil de Lima (expediente de prueba, folio 15902), y Planilla de pago por mandato judicial No. 065-2017-SUNAT/8A1200, expedida por la División de Compensaciones de la Gerencia de Gestión del Empleo de la SUNAT (expediente de prueba, folio 15906). </w:t>
      </w:r>
    </w:p>
  </w:footnote>
  <w:footnote w:id="192">
    <w:p w14:paraId="627B648C" w14:textId="43120533"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Sentencia del Tribunal Constitucional de 23 de abril de 2019, con relación al expediente No. 00289-2018-PA/TC (prueba superviniente, depositada por el Estado en audiencia pública de fecha 7 de mayo de 2019).</w:t>
      </w:r>
    </w:p>
  </w:footnote>
  <w:footnote w:id="193">
    <w:p w14:paraId="32CD4818" w14:textId="6EC3E71B"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12 de la Tercera Sala Civil de la Corte Superior de Justicia de Lima de 15 de noviembre de 2017 (expediente de prueba, folios del 15886 al 15898).  </w:t>
      </w:r>
    </w:p>
  </w:footnote>
  <w:footnote w:id="194">
    <w:p w14:paraId="08539684" w14:textId="77777777" w:rsidR="00223943" w:rsidRPr="000B33B9" w:rsidRDefault="00223943" w:rsidP="000B33B9">
      <w:pPr>
        <w:pStyle w:val="Textonotapie"/>
        <w:spacing w:after="120"/>
        <w:jc w:val="both"/>
        <w:rPr>
          <w:rFonts w:ascii="Verdana" w:hAnsi="Verdana"/>
          <w:i/>
          <w:iCs/>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iCs/>
          <w:sz w:val="16"/>
          <w:szCs w:val="16"/>
        </w:rPr>
        <w:t>Cfr.</w:t>
      </w:r>
      <w:r w:rsidRPr="000B33B9">
        <w:rPr>
          <w:rFonts w:ascii="Verdana" w:hAnsi="Verdana"/>
          <w:sz w:val="16"/>
          <w:szCs w:val="16"/>
        </w:rPr>
        <w:t xml:space="preserve"> </w:t>
      </w:r>
      <w:r w:rsidRPr="000B33B9">
        <w:rPr>
          <w:rFonts w:ascii="Verdana" w:hAnsi="Verdana"/>
          <w:i/>
          <w:iCs/>
          <w:sz w:val="16"/>
          <w:szCs w:val="16"/>
        </w:rPr>
        <w:t>Caso Muelle Flores Vs. Per</w:t>
      </w:r>
      <w:r w:rsidRPr="000B33B9">
        <w:rPr>
          <w:rFonts w:ascii="Verdana" w:hAnsi="Verdana"/>
          <w:i/>
          <w:iCs/>
          <w:sz w:val="16"/>
          <w:szCs w:val="16"/>
          <w:lang w:val="es-DO"/>
        </w:rPr>
        <w:t>ú. Excepciones preliminares, fondo, reparaciones y costas</w:t>
      </w:r>
      <w:r w:rsidRPr="000B33B9">
        <w:rPr>
          <w:rFonts w:ascii="Verdana" w:hAnsi="Verdana"/>
          <w:sz w:val="16"/>
          <w:szCs w:val="16"/>
        </w:rPr>
        <w:t xml:space="preserve">. Sentencia de 6 de marzo de 2019. Serie C No. 375, párr. 148. </w:t>
      </w:r>
    </w:p>
  </w:footnote>
  <w:footnote w:id="195">
    <w:p w14:paraId="09C1F89C" w14:textId="7DB45CE2"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Por ejemplo, e</w:t>
      </w:r>
      <w:r w:rsidRPr="000B33B9">
        <w:rPr>
          <w:rFonts w:ascii="Verdana" w:hAnsi="Verdana"/>
          <w:sz w:val="16"/>
          <w:szCs w:val="16"/>
          <w:lang w:val="es-ES"/>
        </w:rPr>
        <w:t xml:space="preserve">l 20 de marzo de 2006, el </w:t>
      </w:r>
      <w:r w:rsidRPr="000B33B9">
        <w:rPr>
          <w:rFonts w:ascii="Verdana" w:eastAsia="Calibri" w:hAnsi="Verdana" w:cs="Times New Roman"/>
          <w:sz w:val="16"/>
          <w:szCs w:val="16"/>
          <w:lang w:val="es-ES" w:eastAsia="es-ES"/>
        </w:rPr>
        <w:t xml:space="preserve">Sexagésimo Sexto Juzgado Especializado en lo Civil de Lima expidió la resolución No. 81 que concedió “sin efecto suspensivo” el recurso de apelación interpuesto por la SUNAT. </w:t>
      </w:r>
      <w:r w:rsidRPr="000B33B9">
        <w:rPr>
          <w:rFonts w:ascii="Verdana" w:eastAsia="Calibri" w:hAnsi="Verdana" w:cs="Times New Roman"/>
          <w:i/>
          <w:sz w:val="16"/>
          <w:szCs w:val="16"/>
          <w:lang w:val="es-ES" w:eastAsia="es-ES"/>
        </w:rPr>
        <w:t>Cfr.</w:t>
      </w:r>
      <w:r w:rsidRPr="000B33B9">
        <w:rPr>
          <w:rFonts w:ascii="Verdana" w:eastAsia="Calibri" w:hAnsi="Verdana" w:cs="Times New Roman"/>
          <w:sz w:val="16"/>
          <w:szCs w:val="16"/>
          <w:lang w:val="es-ES" w:eastAsia="es-ES"/>
        </w:rPr>
        <w:t xml:space="preserve"> </w:t>
      </w:r>
      <w:r w:rsidRPr="000B33B9">
        <w:rPr>
          <w:rFonts w:ascii="Verdana" w:hAnsi="Verdana"/>
          <w:sz w:val="16"/>
          <w:szCs w:val="16"/>
          <w:lang w:val="es-DO"/>
        </w:rPr>
        <w:t xml:space="preserve">Resolución No. 81 del </w:t>
      </w:r>
      <w:r w:rsidRPr="000B33B9">
        <w:rPr>
          <w:rFonts w:ascii="Verdana" w:hAnsi="Verdana"/>
          <w:sz w:val="16"/>
          <w:szCs w:val="16"/>
          <w:lang w:val="es-CR"/>
        </w:rPr>
        <w:t xml:space="preserve">Sexagésimo Sexto Juzgado Especializado en lo Civil de Lima de </w:t>
      </w:r>
      <w:r w:rsidRPr="000B33B9">
        <w:rPr>
          <w:rFonts w:ascii="Verdana" w:hAnsi="Verdana"/>
          <w:sz w:val="16"/>
          <w:szCs w:val="16"/>
          <w:lang w:val="es-DO"/>
        </w:rPr>
        <w:t xml:space="preserve">20 de marzo de 2006 </w:t>
      </w:r>
      <w:r w:rsidRPr="000B33B9">
        <w:rPr>
          <w:rFonts w:ascii="Verdana" w:hAnsi="Verdana"/>
          <w:sz w:val="16"/>
          <w:szCs w:val="16"/>
          <w:lang w:val="es-CR"/>
        </w:rPr>
        <w:t>(expediente de prueba, folios 173 y 174).</w:t>
      </w:r>
    </w:p>
  </w:footnote>
  <w:footnote w:id="196">
    <w:p w14:paraId="716B240D" w14:textId="5E1B363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Código Procesal Civil de la República del Perú de 8 de enero de 1993, publicado el 24 de abril de 1993. Artículo 368. </w:t>
      </w:r>
    </w:p>
  </w:footnote>
  <w:footnote w:id="197">
    <w:p w14:paraId="36530D72" w14:textId="0346501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Declaración del perito Dante Ludwig Apolín Meza, rendida en la audiencia pública de 7 de mayo de 2019 (p. 108). </w:t>
      </w:r>
    </w:p>
  </w:footnote>
  <w:footnote w:id="198">
    <w:p w14:paraId="0A56DF5B" w14:textId="41C5E530"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 xml:space="preserve">Caso Ivcher Bronstein Vs. Perú. Fondo, Reparaciones y Costas. </w:t>
      </w:r>
      <w:r w:rsidRPr="000B33B9">
        <w:rPr>
          <w:rFonts w:ascii="Verdana" w:hAnsi="Verdana"/>
          <w:sz w:val="16"/>
          <w:szCs w:val="16"/>
        </w:rPr>
        <w:t xml:space="preserve">Sentencia de 6 de febrero de 2001. Serie C No. 74, párr. 137, y </w:t>
      </w:r>
      <w:r w:rsidRPr="000B33B9">
        <w:rPr>
          <w:rFonts w:ascii="Verdana" w:hAnsi="Verdana"/>
          <w:i/>
          <w:sz w:val="16"/>
          <w:szCs w:val="16"/>
        </w:rPr>
        <w:t xml:space="preserve">Caso Romero Feris Vs. Argentina. Fondo, Reparaciones y Costas. </w:t>
      </w:r>
      <w:r w:rsidRPr="000B33B9">
        <w:rPr>
          <w:rFonts w:ascii="Verdana" w:hAnsi="Verdana"/>
          <w:sz w:val="16"/>
          <w:szCs w:val="16"/>
        </w:rPr>
        <w:t xml:space="preserve">Sentencia de 15 de octubre de 2019. Serie C No. 391, párr. 135. </w:t>
      </w:r>
    </w:p>
  </w:footnote>
  <w:footnote w:id="199">
    <w:p w14:paraId="41C36765" w14:textId="2E1F9082"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iCs/>
          <w:sz w:val="16"/>
          <w:szCs w:val="16"/>
        </w:rPr>
        <w:t>Cfr. Caso Mejía Idovro Vs. Ecuador.</w:t>
      </w:r>
      <w:r w:rsidRPr="000B33B9">
        <w:rPr>
          <w:rFonts w:ascii="Verdana" w:hAnsi="Verdana"/>
          <w:i/>
          <w:iCs/>
          <w:sz w:val="16"/>
          <w:szCs w:val="16"/>
          <w:lang w:val="es-DO"/>
        </w:rPr>
        <w:t xml:space="preserve"> Excepciones Preliminares, Fondo, Reparaciones y Costas. </w:t>
      </w:r>
      <w:r w:rsidRPr="000B33B9">
        <w:rPr>
          <w:rFonts w:ascii="Verdana" w:hAnsi="Verdana"/>
          <w:iCs/>
          <w:sz w:val="16"/>
          <w:szCs w:val="16"/>
          <w:lang w:val="es-DO"/>
        </w:rPr>
        <w:t>Sentencia de 5 de julio de 2011. Serie C No. 228, párr. 106</w:t>
      </w:r>
      <w:r w:rsidRPr="000B33B9">
        <w:rPr>
          <w:rFonts w:ascii="Verdana" w:hAnsi="Verdana"/>
          <w:sz w:val="16"/>
          <w:szCs w:val="16"/>
          <w:lang w:val="es-DO"/>
        </w:rPr>
        <w:t xml:space="preserve">,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127.</w:t>
      </w:r>
    </w:p>
  </w:footnote>
  <w:footnote w:id="200">
    <w:p w14:paraId="38D721DC" w14:textId="2CDED474"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lang w:val="es-CR"/>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rPr>
        <w:t>Cfr.</w:t>
      </w:r>
      <w:r w:rsidRPr="000B33B9">
        <w:rPr>
          <w:rFonts w:ascii="Verdana" w:hAnsi="Verdana"/>
          <w:sz w:val="16"/>
          <w:szCs w:val="16"/>
        </w:rPr>
        <w:t xml:space="preserve"> </w:t>
      </w:r>
      <w:r w:rsidRPr="000B33B9">
        <w:rPr>
          <w:rStyle w:val="Textoennegrita"/>
          <w:rFonts w:ascii="Verdana" w:hAnsi="Verdana"/>
          <w:b w:val="0"/>
          <w:i/>
          <w:color w:val="000000"/>
          <w:sz w:val="16"/>
          <w:szCs w:val="16"/>
          <w:shd w:val="clear" w:color="auto" w:fill="FFFFFF"/>
        </w:rPr>
        <w:t>Caso Anzualdo Castro Vs. Perú. Excepción Preliminar, Fondo, Reparaciones y Costas.</w:t>
      </w:r>
      <w:r w:rsidRPr="000B33B9">
        <w:rPr>
          <w:rStyle w:val="Textoennegrita"/>
          <w:rFonts w:ascii="Verdana" w:hAnsi="Verdana"/>
          <w:b w:val="0"/>
          <w:color w:val="000000"/>
          <w:sz w:val="16"/>
          <w:szCs w:val="16"/>
          <w:shd w:val="clear" w:color="auto" w:fill="FFFFFF"/>
        </w:rPr>
        <w:t xml:space="preserve"> Sentencia de 22 de septiembre de 2009. Serie C No. 202</w:t>
      </w:r>
      <w:r w:rsidRPr="000B33B9">
        <w:rPr>
          <w:rFonts w:ascii="Verdana" w:hAnsi="Verdana"/>
          <w:sz w:val="16"/>
          <w:szCs w:val="16"/>
        </w:rPr>
        <w:t>, párr. 156, y</w:t>
      </w:r>
      <w:r w:rsidRPr="000B33B9">
        <w:rPr>
          <w:rFonts w:ascii="Verdana" w:hAnsi="Verdana"/>
          <w:b/>
          <w:sz w:val="16"/>
          <w:szCs w:val="16"/>
        </w:rPr>
        <w:t xml:space="preserve">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6 de marzo de 2019. Serie C No. 375, párr. 155.</w:t>
      </w:r>
    </w:p>
  </w:footnote>
  <w:footnote w:id="201">
    <w:p w14:paraId="303AB91C" w14:textId="21C36AC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i/>
          <w:sz w:val="16"/>
          <w:szCs w:val="16"/>
          <w:lang w:val="es-DO"/>
        </w:rPr>
        <w:t xml:space="preserve">Caso Genie Lacayo Vs. Nicaragua. </w:t>
      </w:r>
      <w:r w:rsidRPr="000B33B9">
        <w:rPr>
          <w:rFonts w:ascii="Verdana" w:hAnsi="Verdana"/>
          <w:i/>
          <w:sz w:val="16"/>
          <w:szCs w:val="16"/>
        </w:rPr>
        <w:t>Fondo, Reparaciones y Costas</w:t>
      </w:r>
      <w:r w:rsidRPr="000B33B9">
        <w:rPr>
          <w:rFonts w:ascii="Verdana" w:hAnsi="Verdana"/>
          <w:sz w:val="16"/>
          <w:szCs w:val="16"/>
        </w:rPr>
        <w:t xml:space="preserve">. Sentencia de 29 de enero de 1997. Serie C No. 30, párr. 78, y </w:t>
      </w:r>
      <w:r w:rsidRPr="000B33B9">
        <w:rPr>
          <w:rFonts w:ascii="Verdana" w:hAnsi="Verdana"/>
          <w:i/>
          <w:sz w:val="16"/>
          <w:szCs w:val="16"/>
          <w:lang w:val="es-DO"/>
        </w:rPr>
        <w:t>Caso Perrone y Preckel Vs. Argentina. Excepciones Preliminares, Fondo, Reparaciones y Costas.</w:t>
      </w:r>
      <w:r w:rsidRPr="000B33B9">
        <w:rPr>
          <w:rFonts w:ascii="Verdana" w:hAnsi="Verdana"/>
          <w:sz w:val="16"/>
          <w:szCs w:val="16"/>
          <w:lang w:val="es-DO"/>
        </w:rPr>
        <w:t xml:space="preserve"> Sentencia de 8 de octubre de 2019. Serie C No. 385, párr. 142.</w:t>
      </w:r>
    </w:p>
  </w:footnote>
  <w:footnote w:id="202">
    <w:p w14:paraId="57DC25E3" w14:textId="359CC8E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t>Sentencia de la Corte Suprema de Justicia de la República de 25 de octubre de 1993 (expediente de prueba, folios del 23 al 25).</w:t>
      </w:r>
    </w:p>
  </w:footnote>
  <w:footnote w:id="203">
    <w:p w14:paraId="33A65094" w14:textId="41277EDB"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Sexagésimo Tercer Juzgado Especializado en lo Civil de Lima de 30 de mayo de 2002 (expediente de prueba, folio 81).</w:t>
      </w:r>
    </w:p>
  </w:footnote>
  <w:footnote w:id="204">
    <w:p w14:paraId="0E6E12D0" w14:textId="551157B9"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Escrito de 31 de mayo de 2002 suscrito por la SUNAT, dirigido al Sexagésimo Tercer Juzgado Especializado en lo Civil de Lima (expediente de prueba, folios del 83 al 86). </w:t>
      </w:r>
    </w:p>
  </w:footnote>
  <w:footnote w:id="205">
    <w:p w14:paraId="2FD46F42" w14:textId="3252C86A"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Resolución de la Sexta Sala Civil de la Corte Superior de Lima de 3 de junio de 2005 (expediente de prueba, folios del 15927 al 15935).</w:t>
      </w:r>
    </w:p>
  </w:footnote>
  <w:footnote w:id="206">
    <w:p w14:paraId="03BD0B93" w14:textId="3E1F3BD3"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Cantos Vs. Argentina. Fondo, Reparaciones y Costas</w:t>
      </w:r>
      <w:r w:rsidRPr="000B33B9">
        <w:rPr>
          <w:rFonts w:ascii="Verdana" w:hAnsi="Verdana"/>
          <w:sz w:val="16"/>
          <w:szCs w:val="16"/>
        </w:rPr>
        <w:t xml:space="preserve">. Sentencia de 28 de noviembre de 2002. Serie C No. 97, párr. 57. </w:t>
      </w:r>
    </w:p>
  </w:footnote>
  <w:footnote w:id="207">
    <w:p w14:paraId="0671BCA7" w14:textId="2A3B8A5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Tribunal Constitucional de 10 de mayo de 2001, con relación al expediente No. 2001-AA/TC (expediente de prueba, folios del 70 al 73).</w:t>
      </w:r>
    </w:p>
  </w:footnote>
  <w:footnote w:id="208">
    <w:p w14:paraId="545F19A0" w14:textId="5E0F384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Dictamen No. 588-2000-MP-FN-FSCA de la Fiscalía Suprema en lo Contencioso Administrativo de 6 de abril de 2000 (expediente de prueba, folio 66). </w:t>
      </w:r>
    </w:p>
  </w:footnote>
  <w:footnote w:id="209">
    <w:p w14:paraId="5F66E97D" w14:textId="7E21905B"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Tribunal Constitucional de 10 de mayo de 2001, con relación al expediente No. 2001-AA/TC (expediente de prueba, folios del 70 al 73).</w:t>
      </w:r>
    </w:p>
  </w:footnote>
  <w:footnote w:id="210">
    <w:p w14:paraId="0A183C80" w14:textId="5CD6897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Sexagésimo Tercer Juzgado Especializado en lo Civil de Lima de 24 de junio de 2002 (expediente de prueba, folios del 88 al 91).</w:t>
      </w:r>
    </w:p>
  </w:footnote>
  <w:footnote w:id="211">
    <w:p w14:paraId="5ED5B70A" w14:textId="15480D2A"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Instancia de 22 de abril de 2003, contentiva de las observaciones de ANCEJUB-SUNAT al informe pericial de 3 de abril de 2003 (expediente de prueba, folios del 132 al 139), y Escrito de 2 de julio de 2010 suscrito por la SUNAT, dirigido al </w:t>
      </w:r>
      <w:r w:rsidRPr="000B33B9">
        <w:rPr>
          <w:rFonts w:ascii="Verdana" w:hAnsi="Verdana"/>
          <w:sz w:val="16"/>
          <w:szCs w:val="16"/>
          <w:lang w:val="es-CR"/>
        </w:rPr>
        <w:t>Vigésimo Tercer Juzgado Especializado en lo Civil de Lima (expediente de prueba, folios del 208 al 2010).</w:t>
      </w:r>
    </w:p>
  </w:footnote>
  <w:footnote w:id="212">
    <w:p w14:paraId="47DBF1D8" w14:textId="08F71DC8"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Mutatis mutandis, Caso Genie Lacayo Vs. Nicaragua. Fondo, Reparaciones y Costas</w:t>
      </w:r>
      <w:r w:rsidRPr="000B33B9">
        <w:rPr>
          <w:rFonts w:ascii="Verdana" w:hAnsi="Verdana"/>
          <w:sz w:val="16"/>
          <w:szCs w:val="16"/>
        </w:rPr>
        <w:t>. Sentencia de 29 de enero de 1997. Serie C No. 30, párr. 79.</w:t>
      </w:r>
    </w:p>
  </w:footnote>
  <w:footnote w:id="213">
    <w:p w14:paraId="758D9DC6" w14:textId="728C7A55" w:rsidR="00223943" w:rsidRPr="000B33B9" w:rsidRDefault="00223943" w:rsidP="000B33B9">
      <w:pPr>
        <w:pStyle w:val="Textonotapie"/>
        <w:spacing w:after="120"/>
        <w:jc w:val="both"/>
        <w:rPr>
          <w:rFonts w:ascii="Verdana" w:hAnsi="Verdana"/>
          <w:sz w:val="16"/>
          <w:szCs w:val="16"/>
        </w:rPr>
      </w:pPr>
      <w:r w:rsidRPr="009B2521">
        <w:rPr>
          <w:rStyle w:val="Refdenotaalpie"/>
          <w:rFonts w:ascii="Verdana" w:hAnsi="Verdana"/>
          <w:sz w:val="16"/>
          <w:szCs w:val="16"/>
        </w:rPr>
        <w:footnoteRef/>
      </w:r>
      <w:r w:rsidRPr="009B2521">
        <w:rPr>
          <w:rFonts w:ascii="Verdana" w:hAnsi="Verdana"/>
          <w:sz w:val="16"/>
          <w:szCs w:val="16"/>
        </w:rPr>
        <w:t xml:space="preserve"> </w:t>
      </w:r>
      <w:r w:rsidRPr="009B2521">
        <w:rPr>
          <w:rFonts w:ascii="Verdana" w:hAnsi="Verdana"/>
          <w:color w:val="222222"/>
          <w:sz w:val="16"/>
          <w:szCs w:val="16"/>
        </w:rPr>
        <w:t> </w:t>
      </w:r>
      <w:r w:rsidRPr="009B2521">
        <w:rPr>
          <w:rFonts w:ascii="Verdana" w:hAnsi="Verdana"/>
          <w:color w:val="222222"/>
          <w:sz w:val="16"/>
          <w:szCs w:val="16"/>
        </w:rPr>
        <w:tab/>
        <w:t>Resolución de la Sala Corporativa Transitoria Especializada de Derecho Público de 27 de agosto de 1998</w:t>
      </w:r>
      <w:r w:rsidRPr="000B33B9">
        <w:rPr>
          <w:rFonts w:ascii="Verdana" w:hAnsi="Verdana"/>
          <w:color w:val="222222"/>
          <w:sz w:val="16"/>
          <w:szCs w:val="16"/>
          <w:shd w:val="clear" w:color="auto" w:fill="FFFFFF"/>
        </w:rPr>
        <w:t xml:space="preserve"> (expediente de prueba, folios 46 y 47).</w:t>
      </w:r>
    </w:p>
  </w:footnote>
  <w:footnote w:id="214">
    <w:p w14:paraId="54EAA65F" w14:textId="19A54DBA" w:rsidR="00223943" w:rsidRPr="000B33B9" w:rsidRDefault="00223943" w:rsidP="000B33B9">
      <w:pPr>
        <w:pStyle w:val="Textonotapie"/>
        <w:spacing w:after="120"/>
        <w:jc w:val="both"/>
        <w:rPr>
          <w:rFonts w:ascii="Verdana" w:hAnsi="Verdana"/>
          <w:sz w:val="16"/>
          <w:szCs w:val="16"/>
        </w:rPr>
      </w:pPr>
      <w:r w:rsidRPr="009B2521">
        <w:rPr>
          <w:rStyle w:val="Refdenotaalpie"/>
          <w:rFonts w:ascii="Verdana" w:hAnsi="Verdana"/>
          <w:sz w:val="16"/>
          <w:szCs w:val="16"/>
        </w:rPr>
        <w:footnoteRef/>
      </w:r>
      <w:r w:rsidRPr="009B2521">
        <w:rPr>
          <w:rFonts w:ascii="Verdana" w:hAnsi="Verdana"/>
          <w:sz w:val="16"/>
          <w:szCs w:val="16"/>
        </w:rPr>
        <w:t xml:space="preserve"> </w:t>
      </w:r>
      <w:r w:rsidRPr="009B2521">
        <w:rPr>
          <w:rFonts w:ascii="Verdana" w:hAnsi="Verdana"/>
          <w:color w:val="222222"/>
          <w:sz w:val="16"/>
          <w:szCs w:val="16"/>
        </w:rPr>
        <w:t>  </w:t>
      </w:r>
      <w:r w:rsidRPr="009B2521">
        <w:rPr>
          <w:rFonts w:ascii="Verdana" w:hAnsi="Verdana"/>
          <w:color w:val="222222"/>
          <w:sz w:val="16"/>
          <w:szCs w:val="16"/>
        </w:rPr>
        <w:tab/>
        <w:t>Resolución del Primer Juzgado Corporativo Transitorio Especializado en Derecho Público de 2 de octubre de</w:t>
      </w:r>
      <w:r w:rsidRPr="000B33B9">
        <w:rPr>
          <w:rFonts w:ascii="Verdana" w:hAnsi="Verdana"/>
          <w:color w:val="222222"/>
          <w:sz w:val="16"/>
          <w:szCs w:val="16"/>
          <w:shd w:val="clear" w:color="auto" w:fill="FFFFFF"/>
        </w:rPr>
        <w:t xml:space="preserve"> 1998 (expediente de prueba, folios 49 y 50).</w:t>
      </w:r>
    </w:p>
  </w:footnote>
  <w:footnote w:id="215">
    <w:p w14:paraId="48FD64A6" w14:textId="166DA50D"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Si previo a la promulgación del Decreto 673 la autoridad encargada del pago de las pensiones era la SUNAT y la sentencia de 25 de octubre de 1993 declaró la inaplicación de la disposición del citado decreto que transfería dicha función al MEF, esto conlleva necesariamente la retrotracción de la situación al estado en que se encontraba antes de que dicha disposición entrara en vigor y, por consiguiente, reinstaura la competencia de la SUNAT.</w:t>
      </w:r>
    </w:p>
  </w:footnote>
  <w:footnote w:id="216">
    <w:p w14:paraId="3C0B21DA" w14:textId="3D72D736"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iCs/>
          <w:sz w:val="16"/>
          <w:szCs w:val="16"/>
        </w:rPr>
        <w:t xml:space="preserve">Cfr. Mutatis mutandis, Caso de la Comunidad </w:t>
      </w:r>
      <w:r w:rsidRPr="000B33B9">
        <w:rPr>
          <w:rFonts w:ascii="Verdana" w:hAnsi="Verdana"/>
          <w:i/>
          <w:iCs/>
          <w:sz w:val="16"/>
          <w:szCs w:val="16"/>
          <w:lang w:val="es-DO"/>
        </w:rPr>
        <w:t>Garífuna de Punta de Piedra y sus Miembros Vs. Honduras. Excepciones Preliminares, Fondo, Reparaciones y Costas</w:t>
      </w:r>
      <w:r w:rsidRPr="000B33B9">
        <w:rPr>
          <w:rFonts w:ascii="Verdana" w:hAnsi="Verdana"/>
          <w:sz w:val="16"/>
          <w:szCs w:val="16"/>
          <w:lang w:val="es-DO"/>
        </w:rPr>
        <w:t>. Sentencia de 8 de octubre de 2015. Serie C No. 304, párr. 249.</w:t>
      </w:r>
    </w:p>
  </w:footnote>
  <w:footnote w:id="217">
    <w:p w14:paraId="121E711B" w14:textId="33959761"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del Juzgado Previsional de Lima de 21 de enero de 1997 (expediente de prueba, folio 33); Resolución de la Sala Corporativa Transitoria Especializada de Derecho Público de 27 de agosto de 1998 (expediente de prueba, folios 46 y 47); Resolución del Primer Juzgado Corporativo Transitorio Especializado en Derecho Público de 2 de octubre de 1998 (expediente de prueba, folios 49 y 50), y Resolución de la Sala Corporativa Transitoria Especializada de Derecho Público de 21 de enero de 1999 (expediente de prueba, folio 60).</w:t>
      </w:r>
    </w:p>
  </w:footnote>
  <w:footnote w:id="218">
    <w:p w14:paraId="34E5C22C" w14:textId="06A5F50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lang w:val="es-DO"/>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de la Sala Corporativa Transitoria Especializada de Derecho Público de 25 de noviembre de 1999 (expediente de prueba, folios del 62 al 64). </w:t>
      </w:r>
    </w:p>
  </w:footnote>
  <w:footnote w:id="219">
    <w:p w14:paraId="6D56CFA6" w14:textId="364A872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Resolución del Tribunal Constitucional de 10 de mayo de 2001, con relación al expediente No. 2001-AA/TC (expediente de prueba, folios del 70 al 73).</w:t>
      </w:r>
    </w:p>
  </w:footnote>
  <w:footnote w:id="220">
    <w:p w14:paraId="3668FFF4" w14:textId="5148E1F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138 del </w:t>
      </w:r>
      <w:r w:rsidRPr="000B33B9">
        <w:rPr>
          <w:rFonts w:ascii="Verdana" w:hAnsi="Verdana"/>
          <w:sz w:val="16"/>
          <w:szCs w:val="16"/>
          <w:lang w:val="es-CR"/>
        </w:rPr>
        <w:t xml:space="preserve">Sexagésimo Sexto Juzgado Especializado en lo Civil de Lima de </w:t>
      </w:r>
      <w:r w:rsidRPr="000B33B9">
        <w:rPr>
          <w:rFonts w:ascii="Verdana" w:hAnsi="Verdana"/>
          <w:sz w:val="16"/>
          <w:szCs w:val="16"/>
          <w:lang w:val="es-DO"/>
        </w:rPr>
        <w:t xml:space="preserve">25 de octubre de 2006 </w:t>
      </w:r>
      <w:r w:rsidRPr="000B33B9">
        <w:rPr>
          <w:rFonts w:ascii="Verdana" w:hAnsi="Verdana"/>
          <w:sz w:val="16"/>
          <w:szCs w:val="16"/>
          <w:lang w:val="es-CR"/>
        </w:rPr>
        <w:t>(expediente de prueba, folios 173 y 174).</w:t>
      </w:r>
    </w:p>
  </w:footnote>
  <w:footnote w:id="221">
    <w:p w14:paraId="752FF5CD" w14:textId="3D14FB1C"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Cfr</w:t>
      </w:r>
      <w:r w:rsidRPr="000B33B9">
        <w:rPr>
          <w:rFonts w:ascii="Verdana" w:hAnsi="Verdana"/>
          <w:sz w:val="16"/>
          <w:szCs w:val="16"/>
          <w:lang w:val="es-CR"/>
        </w:rPr>
        <w:t xml:space="preserve">. Instancia de 21 de mayo de 2009 suscrita por ANCEJUB-SUNAT, dirigida al Vigésimo Tercer Juzgado Especializado en lo Civil de Lima (expediente de prueba, folios 188 y 189). </w:t>
      </w:r>
    </w:p>
  </w:footnote>
  <w:footnote w:id="222">
    <w:p w14:paraId="4BF5A239" w14:textId="6BFD917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Informe No.</w:t>
      </w:r>
      <w:r w:rsidRPr="000B33B9">
        <w:rPr>
          <w:rFonts w:ascii="Verdana" w:hAnsi="Verdana"/>
          <w:sz w:val="16"/>
          <w:szCs w:val="16"/>
          <w:vertAlign w:val="superscript"/>
          <w:lang w:val="es-DO"/>
        </w:rPr>
        <w:t xml:space="preserve"> </w:t>
      </w:r>
      <w:r w:rsidRPr="000B33B9">
        <w:rPr>
          <w:rFonts w:ascii="Verdana" w:hAnsi="Verdana"/>
          <w:sz w:val="16"/>
          <w:szCs w:val="16"/>
          <w:lang w:val="es-DO"/>
        </w:rPr>
        <w:t xml:space="preserve">001-2008-ETP-CSJLI de 6 de octubre de 2008 suscrito por Roger M. Santibáñez y Fernando Zeballos Velásquez, dirigido a la </w:t>
      </w:r>
      <w:r w:rsidRPr="000B33B9">
        <w:rPr>
          <w:rFonts w:ascii="Verdana" w:eastAsia="Calibri" w:hAnsi="Verdana" w:cs="Times New Roman"/>
          <w:sz w:val="16"/>
          <w:szCs w:val="16"/>
          <w:lang w:val="es-ES" w:eastAsia="es-ES"/>
        </w:rPr>
        <w:t xml:space="preserve">Coordinadora del Equipo Técnico Pericial de la Corte Superior de Justicia de Lima (expediente de prueba, folio 191). </w:t>
      </w:r>
    </w:p>
  </w:footnote>
  <w:footnote w:id="223">
    <w:p w14:paraId="295D3C26" w14:textId="5CF273AE"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CR"/>
        </w:rPr>
        <w:t>Cfr</w:t>
      </w:r>
      <w:r w:rsidRPr="000B33B9">
        <w:rPr>
          <w:rFonts w:ascii="Verdana" w:hAnsi="Verdana"/>
          <w:sz w:val="16"/>
          <w:szCs w:val="16"/>
          <w:lang w:val="es-CR"/>
        </w:rPr>
        <w:t xml:space="preserve">. </w:t>
      </w:r>
      <w:r w:rsidRPr="000B33B9">
        <w:rPr>
          <w:rFonts w:ascii="Verdana" w:hAnsi="Verdana"/>
          <w:sz w:val="16"/>
          <w:szCs w:val="16"/>
          <w:lang w:val="es-DO"/>
        </w:rPr>
        <w:t xml:space="preserve">Informe pericial de 18 de octubre de 2011, elaborado por el </w:t>
      </w:r>
      <w:r w:rsidRPr="000B33B9">
        <w:rPr>
          <w:rFonts w:ascii="Verdana" w:hAnsi="Verdana"/>
          <w:sz w:val="16"/>
          <w:szCs w:val="16"/>
          <w:lang w:val="es-ES"/>
        </w:rPr>
        <w:t xml:space="preserve">Equipo Técnico Pericial de la Corte Superior de Justicia de Lima </w:t>
      </w:r>
      <w:r w:rsidRPr="000B33B9">
        <w:rPr>
          <w:rFonts w:ascii="Verdana" w:hAnsi="Verdana"/>
          <w:sz w:val="16"/>
          <w:szCs w:val="16"/>
          <w:lang w:val="es-CR"/>
        </w:rPr>
        <w:t xml:space="preserve">(expediente de prueba, folios del 225 al 238).  </w:t>
      </w:r>
    </w:p>
  </w:footnote>
  <w:footnote w:id="224">
    <w:p w14:paraId="78D956AB" w14:textId="47038566"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sz w:val="16"/>
          <w:szCs w:val="16"/>
          <w:lang w:val="es-CR"/>
        </w:rPr>
        <w:t xml:space="preserve">Resolución No. 240 del Segundo Juzgado Especializado en lo Civil de Lima de 28 de mayo de 2015 (expediente de prueba, folio 268). </w:t>
      </w:r>
    </w:p>
  </w:footnote>
  <w:footnote w:id="225">
    <w:p w14:paraId="44DEC84B" w14:textId="52575384"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Resolución No. 247 del Segundo Juzgado Especializado en lo Civil de Lima de 13 de junio de 2017 (expediente de prueba, folios del 15871 al 15878).</w:t>
      </w:r>
    </w:p>
  </w:footnote>
  <w:footnote w:id="226">
    <w:p w14:paraId="31B6CDEC" w14:textId="5A70776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i/>
          <w:sz w:val="16"/>
          <w:szCs w:val="16"/>
          <w:lang w:val="es-DO"/>
        </w:rPr>
        <w:t>Mutatis mutandis,</w:t>
      </w:r>
      <w:r w:rsidRPr="000B33B9">
        <w:rPr>
          <w:rFonts w:ascii="Verdana" w:hAnsi="Verdana"/>
          <w:sz w:val="16"/>
          <w:szCs w:val="16"/>
          <w:lang w:val="es-DO"/>
        </w:rPr>
        <w:t xml:space="preserve"> </w:t>
      </w:r>
      <w:r w:rsidRPr="000B33B9">
        <w:rPr>
          <w:rFonts w:ascii="Verdana" w:hAnsi="Verdana"/>
          <w:i/>
          <w:sz w:val="16"/>
          <w:szCs w:val="16"/>
          <w:lang w:val="es-DO"/>
        </w:rPr>
        <w:t xml:space="preserve">Caso Muelle Flores Vs. Perú. Excepciones Preliminares, </w:t>
      </w:r>
      <w:r w:rsidRPr="000B33B9">
        <w:rPr>
          <w:rFonts w:ascii="Verdana" w:hAnsi="Verdana"/>
          <w:i/>
          <w:sz w:val="16"/>
          <w:szCs w:val="16"/>
        </w:rPr>
        <w:t xml:space="preserve">Fondo, Reparaciones y Costas. </w:t>
      </w:r>
      <w:r w:rsidRPr="000B33B9">
        <w:rPr>
          <w:rFonts w:ascii="Verdana" w:hAnsi="Verdana"/>
          <w:sz w:val="16"/>
          <w:szCs w:val="16"/>
        </w:rPr>
        <w:t xml:space="preserve">Sentencia de 6 de marzo de 2019. Serie C No. 375, párr. 161. </w:t>
      </w:r>
    </w:p>
  </w:footnote>
  <w:footnote w:id="227">
    <w:p w14:paraId="3EA2CEE4" w14:textId="0A4C5FD2"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 xml:space="preserve">Caso Valle Jaramillo y otros Vs. Colombia. Fondo, Reparaciones y Costas. </w:t>
      </w:r>
      <w:r w:rsidRPr="000B33B9">
        <w:rPr>
          <w:rFonts w:ascii="Verdana" w:hAnsi="Verdana"/>
          <w:sz w:val="16"/>
          <w:szCs w:val="16"/>
        </w:rPr>
        <w:t xml:space="preserve">Sentencia de 27 de noviembre de 2008. Serie C No. 192, párr. 155, y </w:t>
      </w:r>
      <w:r w:rsidRPr="000B33B9">
        <w:rPr>
          <w:rFonts w:ascii="Verdana" w:hAnsi="Verdana"/>
          <w:i/>
          <w:sz w:val="16"/>
          <w:szCs w:val="16"/>
        </w:rPr>
        <w:t>Caso Cuscul Pivaral y Otros Vs. Guatemala.</w:t>
      </w:r>
      <w:r w:rsidRPr="000B33B9">
        <w:rPr>
          <w:rFonts w:ascii="Verdana" w:hAnsi="Verdana"/>
          <w:sz w:val="16"/>
          <w:szCs w:val="16"/>
        </w:rPr>
        <w:t xml:space="preserve"> </w:t>
      </w:r>
      <w:r w:rsidRPr="000B33B9">
        <w:rPr>
          <w:rFonts w:ascii="Verdana" w:hAnsi="Verdana"/>
          <w:i/>
          <w:sz w:val="16"/>
          <w:szCs w:val="16"/>
        </w:rPr>
        <w:t>Excepción Preliminar, Fondo, Reparaciones y Costas</w:t>
      </w:r>
      <w:r w:rsidRPr="000B33B9">
        <w:rPr>
          <w:rFonts w:ascii="Verdana" w:hAnsi="Verdana"/>
          <w:sz w:val="16"/>
          <w:szCs w:val="16"/>
        </w:rPr>
        <w:t xml:space="preserve">. Sentencia de 23 de agosto de 2018. Serie C No. 359, párr. 185. </w:t>
      </w:r>
    </w:p>
  </w:footnote>
  <w:footnote w:id="228">
    <w:p w14:paraId="06E7E037" w14:textId="039F9330"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Poblete Vilches y Otros Vs. Chile</w:t>
      </w:r>
      <w:r w:rsidRPr="000B33B9">
        <w:rPr>
          <w:rFonts w:ascii="Verdana" w:hAnsi="Verdana"/>
          <w:sz w:val="16"/>
          <w:szCs w:val="16"/>
        </w:rPr>
        <w:t xml:space="preserve">. </w:t>
      </w:r>
      <w:r w:rsidRPr="000B33B9">
        <w:rPr>
          <w:rFonts w:ascii="Verdana" w:hAnsi="Verdana"/>
          <w:i/>
          <w:sz w:val="16"/>
          <w:szCs w:val="16"/>
        </w:rPr>
        <w:t>Fondo, Reparaciones y Costas</w:t>
      </w:r>
      <w:r w:rsidRPr="000B33B9">
        <w:rPr>
          <w:rFonts w:ascii="Verdana" w:hAnsi="Verdana"/>
          <w:sz w:val="16"/>
          <w:szCs w:val="16"/>
        </w:rPr>
        <w:t xml:space="preserve">. Sentencia de 8 de marzo de 2018. Serie C No. 349, párr. 143, y </w:t>
      </w:r>
      <w:r w:rsidRPr="000B33B9">
        <w:rPr>
          <w:rFonts w:ascii="Verdana" w:hAnsi="Verdana"/>
          <w:i/>
          <w:sz w:val="16"/>
          <w:szCs w:val="16"/>
          <w:lang w:val="es-DO"/>
        </w:rPr>
        <w:t xml:space="preserve">Caso Muelle Flores Vs. Perú. Excepciones Preliminares, </w:t>
      </w:r>
      <w:r w:rsidRPr="000B33B9">
        <w:rPr>
          <w:rFonts w:ascii="Verdana" w:hAnsi="Verdana"/>
          <w:i/>
          <w:sz w:val="16"/>
          <w:szCs w:val="16"/>
        </w:rPr>
        <w:t xml:space="preserve">Fondo, Reparaciones y Costas. </w:t>
      </w:r>
      <w:r w:rsidRPr="000B33B9">
        <w:rPr>
          <w:rFonts w:ascii="Verdana" w:hAnsi="Verdana"/>
          <w:sz w:val="16"/>
          <w:szCs w:val="16"/>
        </w:rPr>
        <w:t>Sentencia de 6 de marzo de 2019. Serie C No. 375, párr. 163.</w:t>
      </w:r>
    </w:p>
  </w:footnote>
  <w:footnote w:id="229">
    <w:p w14:paraId="4B3F180B" w14:textId="77777777"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DO"/>
        </w:rPr>
        <w:t>Cfr.</w:t>
      </w:r>
      <w:r w:rsidRPr="000B33B9">
        <w:rPr>
          <w:rFonts w:ascii="Verdana" w:hAnsi="Verdana"/>
          <w:sz w:val="16"/>
          <w:szCs w:val="16"/>
          <w:lang w:val="es-DO"/>
        </w:rPr>
        <w:t xml:space="preserve"> </w:t>
      </w:r>
      <w:r w:rsidRPr="000B33B9">
        <w:rPr>
          <w:rFonts w:ascii="Verdana" w:hAnsi="Verdana"/>
          <w:i/>
          <w:sz w:val="16"/>
          <w:szCs w:val="16"/>
          <w:lang w:val="es-DO"/>
        </w:rPr>
        <w:t xml:space="preserve">Muelle Flores Vs. Perú. Excepciones Preliminares, </w:t>
      </w:r>
      <w:r w:rsidRPr="000B33B9">
        <w:rPr>
          <w:rFonts w:ascii="Verdana" w:hAnsi="Verdana"/>
          <w:i/>
          <w:sz w:val="16"/>
          <w:szCs w:val="16"/>
        </w:rPr>
        <w:t xml:space="preserve">Fondo, Reparaciones y Costas. </w:t>
      </w:r>
      <w:r w:rsidRPr="000B33B9">
        <w:rPr>
          <w:rFonts w:ascii="Verdana" w:hAnsi="Verdana"/>
          <w:sz w:val="16"/>
          <w:szCs w:val="16"/>
        </w:rPr>
        <w:t>Sentencia de 6 de marzo de 2019. Serie C No. 375, párr. 162.</w:t>
      </w:r>
      <w:r w:rsidRPr="000B33B9">
        <w:rPr>
          <w:rFonts w:ascii="Verdana" w:hAnsi="Verdana"/>
          <w:i/>
          <w:sz w:val="16"/>
          <w:szCs w:val="16"/>
        </w:rPr>
        <w:t xml:space="preserve"> </w:t>
      </w:r>
    </w:p>
  </w:footnote>
  <w:footnote w:id="230">
    <w:p w14:paraId="396593D7" w14:textId="28FB05FD" w:rsidR="00223943" w:rsidRPr="000B33B9" w:rsidRDefault="00223943" w:rsidP="000B33B9">
      <w:pPr>
        <w:spacing w:after="120" w:line="240" w:lineRule="auto"/>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AR"/>
        </w:rPr>
        <w:t xml:space="preserve">Cfr. </w:t>
      </w:r>
      <w:r w:rsidRPr="000B33B9">
        <w:rPr>
          <w:rStyle w:val="Textoennegrita"/>
          <w:rFonts w:ascii="Verdana" w:hAnsi="Verdana"/>
          <w:b w:val="0"/>
          <w:i/>
          <w:color w:val="000000"/>
          <w:sz w:val="16"/>
          <w:szCs w:val="16"/>
          <w:shd w:val="clear" w:color="auto" w:fill="FFFFFF"/>
        </w:rPr>
        <w:t>Caso Lagos del Campo Vs. Perú. Excepciones Preliminares, Fondo, Reparaciones y Costas.</w:t>
      </w:r>
      <w:r w:rsidRPr="000B33B9">
        <w:rPr>
          <w:rStyle w:val="Textoennegrita"/>
          <w:rFonts w:ascii="Verdana" w:hAnsi="Verdana"/>
          <w:b w:val="0"/>
          <w:color w:val="000000"/>
          <w:sz w:val="16"/>
          <w:szCs w:val="16"/>
          <w:shd w:val="clear" w:color="auto" w:fill="FFFFFF"/>
        </w:rPr>
        <w:t xml:space="preserve"> Sentencia de 31 de agosto de 2017. Serie C No. 340, párrs. 141-150 y 154.</w:t>
      </w:r>
    </w:p>
  </w:footnote>
  <w:footnote w:id="231">
    <w:p w14:paraId="08E56504" w14:textId="6523B71B" w:rsidR="00223943" w:rsidRPr="000B33B9" w:rsidRDefault="00223943" w:rsidP="000B33B9">
      <w:pPr>
        <w:pStyle w:val="Textonotapie"/>
        <w:spacing w:after="120"/>
        <w:jc w:val="both"/>
        <w:rPr>
          <w:rFonts w:ascii="Verdana" w:hAnsi="Verdana"/>
          <w:sz w:val="16"/>
          <w:szCs w:val="16"/>
          <w:lang w:val="es-PE"/>
        </w:rPr>
      </w:pPr>
      <w:r w:rsidRPr="000B33B9">
        <w:rPr>
          <w:rStyle w:val="Refdenotaalpie"/>
          <w:rFonts w:ascii="Verdana" w:hAnsi="Verdana"/>
          <w:sz w:val="16"/>
          <w:szCs w:val="16"/>
        </w:rPr>
        <w:footnoteRef/>
      </w:r>
      <w:r w:rsidRPr="000B33B9">
        <w:rPr>
          <w:rFonts w:ascii="Verdana" w:hAnsi="Verdana"/>
          <w:sz w:val="16"/>
          <w:szCs w:val="16"/>
          <w:lang w:val="es-PE"/>
        </w:rPr>
        <w:tab/>
      </w:r>
      <w:r w:rsidRPr="000B33B9">
        <w:rPr>
          <w:rFonts w:ascii="Verdana" w:hAnsi="Verdana"/>
          <w:i/>
          <w:sz w:val="16"/>
          <w:szCs w:val="16"/>
          <w:lang w:val="es-PE"/>
        </w:rPr>
        <w:t>Cfr.</w:t>
      </w:r>
      <w:r w:rsidRPr="000B33B9">
        <w:rPr>
          <w:rFonts w:ascii="Verdana" w:hAnsi="Verdana"/>
          <w:sz w:val="16"/>
          <w:szCs w:val="16"/>
          <w:lang w:val="es-PE"/>
        </w:rPr>
        <w:t xml:space="preserve"> </w:t>
      </w:r>
      <w:r w:rsidRPr="000B33B9">
        <w:rPr>
          <w:rStyle w:val="Textoennegrita"/>
          <w:rFonts w:ascii="Verdana" w:hAnsi="Verdana"/>
          <w:b w:val="0"/>
          <w:i/>
          <w:color w:val="000000"/>
          <w:sz w:val="16"/>
          <w:szCs w:val="16"/>
          <w:shd w:val="clear" w:color="auto" w:fill="FFFFFF"/>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w:t>
      </w:r>
      <w:r w:rsidRPr="000B33B9">
        <w:rPr>
          <w:rStyle w:val="Textoennegrita"/>
          <w:rFonts w:ascii="Verdana" w:hAnsi="Verdana"/>
          <w:b w:val="0"/>
          <w:color w:val="000000"/>
          <w:sz w:val="16"/>
          <w:szCs w:val="16"/>
          <w:shd w:val="clear" w:color="auto" w:fill="FFFFFF"/>
          <w:lang w:val="es-CR"/>
        </w:rPr>
        <w:t xml:space="preserve">). Opinión Consultiva OC-23/17 de 15 de noviembre de 2017. Serie A No. 23, </w:t>
      </w:r>
      <w:r w:rsidRPr="000B33B9">
        <w:rPr>
          <w:rFonts w:ascii="Verdana" w:hAnsi="Verdana"/>
          <w:sz w:val="16"/>
          <w:szCs w:val="16"/>
          <w:lang w:val="es-PE"/>
        </w:rPr>
        <w:t xml:space="preserve">párr. 57; </w:t>
      </w:r>
      <w:r w:rsidRPr="000B33B9">
        <w:rPr>
          <w:rFonts w:ascii="Verdana" w:hAnsi="Verdana"/>
          <w:i/>
          <w:sz w:val="16"/>
          <w:szCs w:val="16"/>
        </w:rPr>
        <w:t>Caso Trabajadores Cesados de Petroperú y otros Vs. Perú. Excepciones Preliminares, Fondo, Reparaciones y Costas</w:t>
      </w:r>
      <w:r w:rsidRPr="000B33B9">
        <w:rPr>
          <w:rFonts w:ascii="Verdana" w:hAnsi="Verdana"/>
          <w:sz w:val="16"/>
          <w:szCs w:val="16"/>
        </w:rPr>
        <w:t xml:space="preserve">. Sentencia de 23 de noviembre de 2017. Serie C No. 344, párr. 192; </w:t>
      </w:r>
      <w:r w:rsidRPr="000B33B9">
        <w:rPr>
          <w:rFonts w:ascii="Verdana" w:hAnsi="Verdana"/>
          <w:i/>
          <w:sz w:val="16"/>
          <w:szCs w:val="16"/>
        </w:rPr>
        <w:t>Caso San Miguel Sosa y otras Vs. Venezuela. Fondo, Reparaciones y Costas</w:t>
      </w:r>
      <w:r w:rsidRPr="000B33B9">
        <w:rPr>
          <w:rFonts w:ascii="Verdana" w:hAnsi="Verdana"/>
          <w:sz w:val="16"/>
          <w:szCs w:val="16"/>
        </w:rPr>
        <w:t xml:space="preserve">. Sentencia de 8 de febrero de 2018. Serie C No. 348, párr. 220; </w:t>
      </w:r>
      <w:r w:rsidRPr="000B33B9">
        <w:rPr>
          <w:rFonts w:ascii="Verdana" w:hAnsi="Verdana"/>
          <w:i/>
          <w:sz w:val="16"/>
          <w:szCs w:val="16"/>
        </w:rPr>
        <w:t>Caso Poblete Vilches y otros Vs. Chile. Fondo, Reparaciones y Costas</w:t>
      </w:r>
      <w:r w:rsidRPr="000B33B9">
        <w:rPr>
          <w:rFonts w:ascii="Verdana" w:hAnsi="Verdana"/>
          <w:sz w:val="16"/>
          <w:szCs w:val="16"/>
        </w:rPr>
        <w:t xml:space="preserve">. Sentencia de 8 de marzo de 2018. Serie C No. 349, párr. 100; </w:t>
      </w:r>
      <w:r w:rsidRPr="000B33B9">
        <w:rPr>
          <w:rFonts w:ascii="Verdana" w:hAnsi="Verdana" w:cstheme="minorHAnsi"/>
          <w:i/>
          <w:sz w:val="16"/>
          <w:szCs w:val="16"/>
        </w:rPr>
        <w:t xml:space="preserve">Caso Cuscul Pivaral y otros Vs. Guatemala. Excepción Preliminar, Fondo, Reparaciones y Costas. </w:t>
      </w:r>
      <w:r w:rsidRPr="000B33B9">
        <w:rPr>
          <w:rFonts w:ascii="Verdana" w:hAnsi="Verdana" w:cstheme="minorHAnsi"/>
          <w:sz w:val="16"/>
          <w:szCs w:val="16"/>
        </w:rPr>
        <w:t xml:space="preserve">Sentencia de 23 de agosto de 2018. Serie C No. 359, párr. 73,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175</w:t>
      </w:r>
      <w:r w:rsidRPr="000B33B9">
        <w:rPr>
          <w:rFonts w:ascii="Verdana" w:hAnsi="Verdana"/>
          <w:sz w:val="16"/>
          <w:szCs w:val="16"/>
          <w:lang w:val="es-PE"/>
        </w:rPr>
        <w:t>.</w:t>
      </w:r>
    </w:p>
  </w:footnote>
  <w:footnote w:id="232">
    <w:p w14:paraId="63610FFC" w14:textId="76BD0379" w:rsidR="00223943" w:rsidRPr="000B33B9" w:rsidRDefault="00223943" w:rsidP="000B33B9">
      <w:pPr>
        <w:pStyle w:val="Textonotapie"/>
        <w:spacing w:after="120"/>
        <w:jc w:val="both"/>
        <w:rPr>
          <w:rFonts w:ascii="Verdana" w:hAnsi="Verdana"/>
          <w:sz w:val="16"/>
          <w:szCs w:val="16"/>
          <w:lang w:val="es-PE"/>
        </w:rPr>
      </w:pPr>
      <w:r w:rsidRPr="000B33B9">
        <w:rPr>
          <w:rStyle w:val="Refdenotaalpie"/>
          <w:rFonts w:ascii="Verdana" w:hAnsi="Verdana"/>
          <w:sz w:val="16"/>
          <w:szCs w:val="16"/>
        </w:rPr>
        <w:footnoteRef/>
      </w:r>
      <w:r w:rsidRPr="000B33B9">
        <w:rPr>
          <w:rFonts w:ascii="Verdana" w:hAnsi="Verdana"/>
          <w:sz w:val="16"/>
          <w:szCs w:val="16"/>
          <w:lang w:val="es-PE"/>
        </w:rPr>
        <w:t xml:space="preserve"> </w:t>
      </w:r>
      <w:r w:rsidRPr="000B33B9">
        <w:rPr>
          <w:rFonts w:ascii="Verdana" w:hAnsi="Verdana"/>
          <w:sz w:val="16"/>
          <w:szCs w:val="16"/>
          <w:lang w:val="es-PE"/>
        </w:rPr>
        <w:tab/>
      </w:r>
      <w:r w:rsidRPr="000B33B9">
        <w:rPr>
          <w:rStyle w:val="Textoennegrita"/>
          <w:rFonts w:ascii="Verdana" w:hAnsi="Verdana"/>
          <w:b w:val="0"/>
          <w:i/>
          <w:color w:val="000000"/>
          <w:sz w:val="16"/>
          <w:szCs w:val="16"/>
          <w:shd w:val="clear" w:color="auto" w:fill="FFFFFF"/>
        </w:rPr>
        <w:t>Caso Poblete Vilches y Otros Vs. Chile. Fondo, Reparaciones y Costas.</w:t>
      </w:r>
      <w:r w:rsidRPr="000B33B9">
        <w:rPr>
          <w:rStyle w:val="Textoennegrita"/>
          <w:rFonts w:ascii="Verdana" w:hAnsi="Verdana"/>
          <w:b w:val="0"/>
          <w:color w:val="000000"/>
          <w:sz w:val="16"/>
          <w:szCs w:val="16"/>
          <w:shd w:val="clear" w:color="auto" w:fill="FFFFFF"/>
        </w:rPr>
        <w:t xml:space="preserve"> Sentencia de 8 de marzo de 2018. Serie C No. 349, párr. 103, y </w:t>
      </w:r>
      <w:r w:rsidRPr="000B33B9">
        <w:rPr>
          <w:rStyle w:val="Textoennegrita"/>
          <w:rFonts w:ascii="Verdana" w:hAnsi="Verdana"/>
          <w:b w:val="0"/>
          <w:i/>
          <w:color w:val="000000"/>
          <w:sz w:val="16"/>
          <w:szCs w:val="16"/>
          <w:shd w:val="clear" w:color="auto" w:fill="FFFFFF"/>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párrs. 175 y 176</w:t>
      </w:r>
      <w:r w:rsidRPr="000B33B9">
        <w:rPr>
          <w:rFonts w:ascii="Verdana" w:hAnsi="Verdana"/>
          <w:sz w:val="16"/>
          <w:szCs w:val="16"/>
          <w:lang w:val="es-PE"/>
        </w:rPr>
        <w:t>.</w:t>
      </w:r>
    </w:p>
  </w:footnote>
  <w:footnote w:id="233">
    <w:p w14:paraId="1DAF25F8"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El artículo 3.j) de la Carta de la OEA establece: “[l]os Estados americanos reafirman los siguientes principios: </w:t>
      </w:r>
      <w:r w:rsidRPr="000B33B9">
        <w:rPr>
          <w:rFonts w:ascii="Verdana" w:hAnsi="Verdana" w:cs="Tahoma"/>
          <w:color w:val="000000"/>
          <w:sz w:val="16"/>
          <w:szCs w:val="16"/>
          <w:shd w:val="clear" w:color="auto" w:fill="FFFFFF"/>
          <w:lang w:val="es-CR"/>
        </w:rPr>
        <w:t>j) [l]a justicia y la seguridad social son bases de una paz duradera”.</w:t>
      </w:r>
    </w:p>
  </w:footnote>
  <w:footnote w:id="234">
    <w:p w14:paraId="63505264" w14:textId="77777777" w:rsidR="00223943" w:rsidRPr="000B33B9" w:rsidRDefault="00223943" w:rsidP="000B33B9">
      <w:pPr>
        <w:pStyle w:val="style10"/>
        <w:shd w:val="clear" w:color="auto" w:fill="FFFFFF"/>
        <w:spacing w:before="0" w:beforeAutospacing="0" w:after="120" w:afterAutospacing="0"/>
        <w:jc w:val="both"/>
        <w:rPr>
          <w:rFonts w:ascii="Verdana" w:hAnsi="Verdana" w:cs="Tahoma"/>
          <w:color w:val="333333"/>
          <w:sz w:val="16"/>
          <w:szCs w:val="16"/>
          <w:lang w:val="es-PE"/>
        </w:rPr>
      </w:pPr>
      <w:r w:rsidRPr="000B33B9">
        <w:rPr>
          <w:rStyle w:val="Refdenotaalpie"/>
          <w:rFonts w:ascii="Verdana" w:eastAsia="Batang"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El artículo 45.b) de la Carta de la OEA establece: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w:t>
      </w:r>
      <w:r w:rsidRPr="000B33B9">
        <w:rPr>
          <w:rFonts w:ascii="Verdana" w:hAnsi="Verdana" w:cs="Tahoma"/>
          <w:color w:val="000000"/>
          <w:sz w:val="16"/>
          <w:szCs w:val="16"/>
          <w:lang w:val="es-ES"/>
        </w:rPr>
        <w:t>b) [e]l trabajo es un derecho y un deber social, otorga dignidad a quien lo realiza y debe prestarse en condiciones que, incluyendo un régimen de salarios justos, aseguren la vida, la salud y un nivel económico decoroso para el trabajador y su familia, tanto en sus años de trabajo como en su vejez, o cuando cualquier circunstancia lo prive de la posibilidad de trabajar”.</w:t>
      </w:r>
    </w:p>
  </w:footnote>
  <w:footnote w:id="235">
    <w:p w14:paraId="1B75A21E"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El artículo 45.h) de la Carta de la OEA establece: “[l]os Estados miembros, convencidos de que el hombre sólo puede alcanzar la plena realización de sus aspiraciones dentro de un orden social justo, acompañado de desarrollo económico y verdadera paz, convienen en dedicar sus máximos esfuerzos a la aplicación de los siguientes principios y mecanismos: h) [d]esarrollo de una política eficiente de seguridad social”.</w:t>
      </w:r>
    </w:p>
  </w:footnote>
  <w:footnote w:id="236">
    <w:p w14:paraId="0AD91FEF"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173</w:t>
      </w:r>
      <w:r w:rsidRPr="000B33B9">
        <w:rPr>
          <w:rFonts w:ascii="Verdana" w:hAnsi="Verdana"/>
          <w:sz w:val="16"/>
          <w:szCs w:val="16"/>
          <w:lang w:val="es-PE"/>
        </w:rPr>
        <w:t>.</w:t>
      </w:r>
    </w:p>
  </w:footnote>
  <w:footnote w:id="237">
    <w:p w14:paraId="46AACECB"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CR"/>
        </w:rPr>
        <w:t>Cfr. Caso de la "Masacre de Mapiripán" Vs. Colombia</w:t>
      </w:r>
      <w:r w:rsidRPr="000B33B9">
        <w:rPr>
          <w:rFonts w:ascii="Verdana" w:hAnsi="Verdana"/>
          <w:sz w:val="16"/>
          <w:szCs w:val="16"/>
          <w:lang w:val="es-CR"/>
        </w:rPr>
        <w:t xml:space="preserve">. Sentencia de 15 de septiembre de 2005. Serie C No. 134, párr. 107,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174</w:t>
      </w:r>
      <w:r w:rsidRPr="000B33B9">
        <w:rPr>
          <w:rFonts w:ascii="Verdana" w:hAnsi="Verdana"/>
          <w:sz w:val="16"/>
          <w:szCs w:val="16"/>
          <w:lang w:val="es-CR"/>
        </w:rPr>
        <w:t>.</w:t>
      </w:r>
    </w:p>
  </w:footnote>
  <w:footnote w:id="238">
    <w:p w14:paraId="21CC19B7" w14:textId="6F7E9C2A"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DO"/>
        </w:rPr>
        <w:t xml:space="preserve">Cfr. Caso familia Pacheco Tineo Vs. </w:t>
      </w:r>
      <w:r w:rsidRPr="000B33B9">
        <w:rPr>
          <w:rFonts w:ascii="Verdana" w:hAnsi="Verdana"/>
          <w:i/>
          <w:sz w:val="16"/>
          <w:szCs w:val="16"/>
          <w:lang w:val="es-CR"/>
        </w:rPr>
        <w:t>Bolivia. Excepciones Preliminares, Fondo, Reparaciones y Costas</w:t>
      </w:r>
      <w:r w:rsidRPr="000B33B9">
        <w:rPr>
          <w:rFonts w:ascii="Verdana" w:hAnsi="Verdana"/>
          <w:sz w:val="16"/>
          <w:szCs w:val="16"/>
          <w:lang w:val="es-CR"/>
        </w:rPr>
        <w:t xml:space="preserve">. Sentencia de 25 de noviembre de 2013. Serie C No. 272, párr. 143,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174</w:t>
      </w:r>
      <w:r w:rsidRPr="000B33B9">
        <w:rPr>
          <w:rFonts w:ascii="Verdana" w:hAnsi="Verdana"/>
          <w:sz w:val="16"/>
          <w:szCs w:val="16"/>
          <w:lang w:val="es-PE"/>
        </w:rPr>
        <w:t>.</w:t>
      </w:r>
    </w:p>
  </w:footnote>
  <w:footnote w:id="239">
    <w:p w14:paraId="2E033E66" w14:textId="4CD4C74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CR"/>
        </w:rPr>
        <w:t>Cfr. Caso Gelman Vs. Uruguay. Fondo y Reparaciones</w:t>
      </w:r>
      <w:r w:rsidRPr="000B33B9">
        <w:rPr>
          <w:rFonts w:ascii="Verdana" w:hAnsi="Verdana"/>
          <w:sz w:val="16"/>
          <w:szCs w:val="16"/>
          <w:lang w:val="es-CR"/>
        </w:rPr>
        <w:t xml:space="preserve">. Sentencia de 24 de febrero de 2011. Serie C No. 221, párr. 78 y 121; </w:t>
      </w:r>
      <w:r w:rsidRPr="000B33B9">
        <w:rPr>
          <w:rFonts w:ascii="Verdana" w:hAnsi="Verdana"/>
          <w:i/>
          <w:sz w:val="16"/>
          <w:szCs w:val="16"/>
          <w:lang w:val="es-CR"/>
        </w:rPr>
        <w:t xml:space="preserve">Caso Atala Riffo y niñas Vs. </w:t>
      </w:r>
      <w:r w:rsidRPr="000B33B9">
        <w:rPr>
          <w:rFonts w:ascii="Verdana" w:hAnsi="Verdana"/>
          <w:i/>
          <w:sz w:val="16"/>
          <w:szCs w:val="16"/>
          <w:lang w:val="es-ES"/>
        </w:rPr>
        <w:t xml:space="preserve">Chile. </w:t>
      </w:r>
      <w:r w:rsidRPr="000B33B9">
        <w:rPr>
          <w:rFonts w:ascii="Verdana" w:hAnsi="Verdana"/>
          <w:i/>
          <w:sz w:val="16"/>
          <w:szCs w:val="16"/>
          <w:lang w:val="es-CR"/>
        </w:rPr>
        <w:t>Fondo, Reparaciones y Costas</w:t>
      </w:r>
      <w:r w:rsidRPr="000B33B9">
        <w:rPr>
          <w:rFonts w:ascii="Verdana" w:hAnsi="Verdana"/>
          <w:sz w:val="16"/>
          <w:szCs w:val="16"/>
          <w:lang w:val="es-CR"/>
        </w:rPr>
        <w:t xml:space="preserve">. Sentencia de 24 de febrero de 2012. Serie C No. 239, párr. 83; </w:t>
      </w:r>
      <w:r w:rsidRPr="000B33B9">
        <w:rPr>
          <w:rFonts w:ascii="Verdana" w:hAnsi="Verdana"/>
          <w:i/>
          <w:sz w:val="16"/>
          <w:szCs w:val="16"/>
          <w:lang w:val="es-DO"/>
        </w:rPr>
        <w:t xml:space="preserve">Caso familia Pacheco Tineo Vs. </w:t>
      </w:r>
      <w:r w:rsidRPr="000B33B9">
        <w:rPr>
          <w:rFonts w:ascii="Verdana" w:hAnsi="Verdana"/>
          <w:i/>
          <w:sz w:val="16"/>
          <w:szCs w:val="16"/>
          <w:lang w:val="es-CR"/>
        </w:rPr>
        <w:t>Bolivia. Excepciones Preliminares, Fondo, Reparaciones y Costas</w:t>
      </w:r>
      <w:r w:rsidRPr="000B33B9">
        <w:rPr>
          <w:rFonts w:ascii="Verdana" w:hAnsi="Verdana"/>
          <w:sz w:val="16"/>
          <w:szCs w:val="16"/>
          <w:lang w:val="es-CR"/>
        </w:rPr>
        <w:t xml:space="preserve">. Sentencia de 25 de noviembre de 2013. Serie C No. 272, párr. 129; </w:t>
      </w:r>
      <w:r w:rsidRPr="000B33B9">
        <w:rPr>
          <w:rFonts w:ascii="Verdana" w:hAnsi="Verdana"/>
          <w:i/>
          <w:sz w:val="16"/>
          <w:szCs w:val="16"/>
          <w:lang w:val="es-ES"/>
        </w:rPr>
        <w:t xml:space="preserve">Caso I.V. Vs. Bolivia. </w:t>
      </w:r>
      <w:r w:rsidRPr="000B33B9">
        <w:rPr>
          <w:rFonts w:ascii="Verdana" w:hAnsi="Verdana"/>
          <w:i/>
          <w:sz w:val="16"/>
          <w:szCs w:val="16"/>
          <w:lang w:val="es-CR"/>
        </w:rPr>
        <w:t>Excepciones Preliminares, Fondo, Reparaciones y Costas.</w:t>
      </w:r>
      <w:r w:rsidRPr="000B33B9">
        <w:rPr>
          <w:rFonts w:ascii="Verdana" w:hAnsi="Verdana"/>
          <w:sz w:val="16"/>
          <w:szCs w:val="16"/>
          <w:lang w:val="es-CR"/>
        </w:rPr>
        <w:t xml:space="preserve"> Sentencia de 30 de noviembre de 2016. Serie C No. 329, párr. 168; </w:t>
      </w:r>
      <w:r w:rsidRPr="000B33B9">
        <w:rPr>
          <w:rStyle w:val="Textoennegrita"/>
          <w:rFonts w:ascii="Verdana" w:hAnsi="Verdana" w:cstheme="minorHAnsi"/>
          <w:b w:val="0"/>
          <w:i/>
          <w:color w:val="000000"/>
          <w:sz w:val="16"/>
          <w:szCs w:val="16"/>
        </w:rPr>
        <w:t>Caso Lagos del Campo Vs. Perú.</w:t>
      </w:r>
      <w:r w:rsidRPr="000B33B9">
        <w:rPr>
          <w:rStyle w:val="Textoennegrita"/>
          <w:rFonts w:ascii="Verdana" w:hAnsi="Verdana" w:cstheme="minorHAnsi"/>
          <w:i/>
          <w:color w:val="000000"/>
          <w:sz w:val="16"/>
          <w:szCs w:val="16"/>
        </w:rPr>
        <w:t xml:space="preserve"> </w:t>
      </w:r>
      <w:r w:rsidRPr="000B33B9">
        <w:rPr>
          <w:rFonts w:ascii="Verdana" w:hAnsi="Verdana" w:cstheme="minorHAnsi"/>
          <w:bCs/>
          <w:i/>
          <w:color w:val="000000"/>
          <w:sz w:val="16"/>
          <w:szCs w:val="16"/>
        </w:rPr>
        <w:t xml:space="preserve">Excepciones Preliminares, Fondo, Reparaciones y Costas. </w:t>
      </w:r>
      <w:r w:rsidRPr="000B33B9">
        <w:rPr>
          <w:rFonts w:ascii="Verdana" w:hAnsi="Verdana" w:cstheme="minorHAnsi"/>
          <w:bCs/>
          <w:color w:val="000000"/>
          <w:sz w:val="16"/>
          <w:szCs w:val="16"/>
        </w:rPr>
        <w:t>Sentencia de 31 de</w:t>
      </w:r>
      <w:r w:rsidRPr="000B33B9">
        <w:rPr>
          <w:rFonts w:ascii="Verdana" w:hAnsi="Verdana" w:cstheme="minorHAnsi"/>
          <w:bCs/>
          <w:color w:val="000000"/>
          <w:sz w:val="16"/>
          <w:szCs w:val="16"/>
          <w:shd w:val="clear" w:color="auto" w:fill="FFFFFF"/>
        </w:rPr>
        <w:t xml:space="preserve"> </w:t>
      </w:r>
      <w:r w:rsidRPr="000B33B9">
        <w:rPr>
          <w:rFonts w:ascii="Verdana" w:hAnsi="Verdana" w:cstheme="minorHAnsi"/>
          <w:bCs/>
          <w:color w:val="000000"/>
          <w:sz w:val="16"/>
          <w:szCs w:val="16"/>
        </w:rPr>
        <w:t>agosto de 2017. Serie C No. 340</w:t>
      </w:r>
      <w:r w:rsidRPr="000B33B9">
        <w:rPr>
          <w:rFonts w:ascii="Verdana" w:hAnsi="Verdana"/>
          <w:i/>
          <w:sz w:val="16"/>
          <w:szCs w:val="16"/>
          <w:lang w:val="es-CR"/>
        </w:rPr>
        <w:t>,</w:t>
      </w:r>
      <w:r w:rsidRPr="000B33B9">
        <w:rPr>
          <w:rFonts w:ascii="Verdana" w:hAnsi="Verdana"/>
          <w:sz w:val="16"/>
          <w:szCs w:val="16"/>
          <w:lang w:val="es-ES"/>
        </w:rPr>
        <w:t xml:space="preserve"> párr. 145;</w:t>
      </w:r>
      <w:r w:rsidRPr="000B33B9">
        <w:rPr>
          <w:rStyle w:val="Textoennegrita"/>
          <w:rFonts w:ascii="Verdana" w:hAnsi="Verdana"/>
          <w:b w:val="0"/>
          <w:i/>
          <w:color w:val="000000"/>
          <w:sz w:val="16"/>
          <w:szCs w:val="16"/>
          <w:shd w:val="clear" w:color="auto" w:fill="FFFFFF"/>
        </w:rPr>
        <w:t xml:space="preserve"> Caso Poblete Vilches y Otros Vs. Chile. Fondo, Reparaciones y Costas.</w:t>
      </w:r>
      <w:r w:rsidRPr="000B33B9">
        <w:rPr>
          <w:rStyle w:val="Textoennegrita"/>
          <w:rFonts w:ascii="Verdana" w:hAnsi="Verdana"/>
          <w:b w:val="0"/>
          <w:color w:val="000000"/>
          <w:sz w:val="16"/>
          <w:szCs w:val="16"/>
          <w:shd w:val="clear" w:color="auto" w:fill="FFFFFF"/>
        </w:rPr>
        <w:t xml:space="preserve"> Sentencia de 8 de marzo de 2018. Serie C No. 349,</w:t>
      </w:r>
      <w:r w:rsidRPr="000B33B9">
        <w:rPr>
          <w:rFonts w:ascii="Verdana" w:hAnsi="Verdana"/>
          <w:sz w:val="16"/>
          <w:szCs w:val="16"/>
          <w:lang w:val="es-CR"/>
        </w:rPr>
        <w:t xml:space="preserve"> párr. 103, y </w:t>
      </w:r>
      <w:r w:rsidRPr="000B33B9">
        <w:rPr>
          <w:rFonts w:ascii="Verdana" w:hAnsi="Verdana" w:cstheme="minorHAnsi"/>
          <w:i/>
          <w:sz w:val="16"/>
          <w:szCs w:val="16"/>
        </w:rPr>
        <w:t xml:space="preserve">Caso Cuscul Pivaral y otros Vs. Guatemala. Excepción Preliminar, Fondo, Reparaciones y Costas. </w:t>
      </w:r>
      <w:r w:rsidRPr="000B33B9">
        <w:rPr>
          <w:rFonts w:ascii="Verdana" w:hAnsi="Verdana" w:cstheme="minorHAnsi"/>
          <w:sz w:val="16"/>
          <w:szCs w:val="16"/>
        </w:rPr>
        <w:t>Sentencia de 23 de agosto de 2018. Serie C No. 359</w:t>
      </w:r>
      <w:r w:rsidRPr="000B33B9">
        <w:rPr>
          <w:rFonts w:ascii="Verdana" w:hAnsi="Verdana"/>
          <w:sz w:val="16"/>
          <w:szCs w:val="16"/>
          <w:lang w:val="es-CR"/>
        </w:rPr>
        <w:t>, párr. 100.</w:t>
      </w:r>
    </w:p>
  </w:footnote>
  <w:footnote w:id="240">
    <w:p w14:paraId="4D7D9C61" w14:textId="562324C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176</w:t>
      </w:r>
      <w:r w:rsidRPr="000B33B9">
        <w:rPr>
          <w:rFonts w:ascii="Verdana" w:hAnsi="Verdana"/>
          <w:sz w:val="16"/>
          <w:szCs w:val="16"/>
          <w:lang w:val="es-PE"/>
        </w:rPr>
        <w:t>.</w:t>
      </w:r>
    </w:p>
  </w:footnote>
  <w:footnote w:id="241">
    <w:p w14:paraId="66E52075" w14:textId="3B9A4059"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DO"/>
        </w:rPr>
        <w:t xml:space="preserve">Cfr. Caso familia Pacheco Tineo Vs. </w:t>
      </w:r>
      <w:r w:rsidRPr="000B33B9">
        <w:rPr>
          <w:rFonts w:ascii="Verdana" w:hAnsi="Verdana"/>
          <w:i/>
          <w:sz w:val="16"/>
          <w:szCs w:val="16"/>
          <w:lang w:val="es-CR"/>
        </w:rPr>
        <w:t>Bolivia. Excepciones Preliminares, Fondo, Reparaciones y Costas</w:t>
      </w:r>
      <w:r w:rsidRPr="000B33B9">
        <w:rPr>
          <w:rFonts w:ascii="Verdana" w:hAnsi="Verdana"/>
          <w:sz w:val="16"/>
          <w:szCs w:val="16"/>
          <w:lang w:val="es-CR"/>
        </w:rPr>
        <w:t xml:space="preserve">. Sentencia de 25 de noviembre de 2013. Serie C No. 272, párr. 143,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176</w:t>
      </w:r>
      <w:r w:rsidRPr="000B33B9">
        <w:rPr>
          <w:rFonts w:ascii="Verdana" w:hAnsi="Verdana"/>
          <w:sz w:val="16"/>
          <w:szCs w:val="16"/>
          <w:lang w:val="es-PE"/>
        </w:rPr>
        <w:t>.</w:t>
      </w:r>
    </w:p>
  </w:footnote>
  <w:footnote w:id="242">
    <w:p w14:paraId="7F1B25EE" w14:textId="55D94AB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Interpretación de la Declaración Americana de los Derechos y Deberes del Hombre, en el marco del artículo 64 de la Convención Americana sobre Derechos Humanos. </w:t>
      </w:r>
      <w:r w:rsidRPr="000B33B9">
        <w:rPr>
          <w:rFonts w:ascii="Verdana" w:hAnsi="Verdana"/>
          <w:i/>
          <w:sz w:val="16"/>
          <w:szCs w:val="16"/>
          <w:lang w:val="es-CR"/>
        </w:rPr>
        <w:t>Opinión Consultiva OC-10/89</w:t>
      </w:r>
      <w:r w:rsidRPr="000B33B9">
        <w:rPr>
          <w:rFonts w:ascii="Verdana" w:hAnsi="Verdana"/>
          <w:sz w:val="16"/>
          <w:szCs w:val="16"/>
          <w:lang w:val="es-CR"/>
        </w:rPr>
        <w:t xml:space="preserve"> de 14 de julio de 1989. Serie A No. 10. párr. 43; </w:t>
      </w:r>
      <w:r w:rsidRPr="000B33B9">
        <w:rPr>
          <w:rFonts w:ascii="Verdana" w:hAnsi="Verdana" w:cstheme="minorHAnsi"/>
          <w:i/>
          <w:sz w:val="16"/>
          <w:szCs w:val="16"/>
        </w:rPr>
        <w:t xml:space="preserve">Caso Cuscul Pivaral y otros Vs. Guatemala. Excepción Preliminar, Fondo, Reparaciones y Costas. </w:t>
      </w:r>
      <w:r w:rsidRPr="000B33B9">
        <w:rPr>
          <w:rFonts w:ascii="Verdana" w:hAnsi="Verdana" w:cstheme="minorHAnsi"/>
          <w:sz w:val="16"/>
          <w:szCs w:val="16"/>
        </w:rPr>
        <w:t xml:space="preserve">Sentencia de 23 de agosto de 2018. Serie C No. 359, </w:t>
      </w:r>
      <w:r w:rsidRPr="000B33B9">
        <w:rPr>
          <w:rFonts w:ascii="Verdana" w:hAnsi="Verdana"/>
          <w:sz w:val="16"/>
          <w:szCs w:val="16"/>
          <w:lang w:val="es-CR"/>
        </w:rPr>
        <w:t xml:space="preserve">párr. 101,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175</w:t>
      </w:r>
      <w:r w:rsidRPr="000B33B9">
        <w:rPr>
          <w:rFonts w:ascii="Verdana" w:hAnsi="Verdana"/>
          <w:sz w:val="16"/>
          <w:szCs w:val="16"/>
          <w:lang w:val="es-PE"/>
        </w:rPr>
        <w:t>.</w:t>
      </w:r>
    </w:p>
  </w:footnote>
  <w:footnote w:id="243">
    <w:p w14:paraId="4F8B1E36" w14:textId="79656FB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El Derecho a la Información sobre la Asistencia Consular en el Marco de las Garantías del Debido Proceso Legal. </w:t>
      </w:r>
      <w:r w:rsidRPr="000B33B9">
        <w:rPr>
          <w:rFonts w:ascii="Verdana" w:hAnsi="Verdana"/>
          <w:i/>
          <w:sz w:val="16"/>
          <w:szCs w:val="16"/>
          <w:lang w:val="es-CR"/>
        </w:rPr>
        <w:t>Opinión Consultiva OC-16/99</w:t>
      </w:r>
      <w:r w:rsidRPr="000B33B9">
        <w:rPr>
          <w:rFonts w:ascii="Verdana" w:hAnsi="Verdana"/>
          <w:sz w:val="16"/>
          <w:szCs w:val="16"/>
          <w:lang w:val="es-CR"/>
        </w:rPr>
        <w:t xml:space="preserve"> de 1 de octubre de 1999. Serie A No. 16, párr. 114; </w:t>
      </w:r>
      <w:r w:rsidRPr="000B33B9">
        <w:rPr>
          <w:rStyle w:val="Textoennegrita"/>
          <w:rFonts w:ascii="Verdana" w:hAnsi="Verdana"/>
          <w:b w:val="0"/>
          <w:color w:val="000000"/>
          <w:sz w:val="16"/>
          <w:szCs w:val="16"/>
          <w:shd w:val="clear" w:color="auto" w:fill="FFFFFF"/>
          <w:lang w:val="es-CR"/>
        </w:rPr>
        <w:t>La institución del asilo y su reconocimi</w:t>
      </w:r>
      <w:r w:rsidR="0093785A" w:rsidRPr="000B33B9">
        <w:rPr>
          <w:rStyle w:val="Textoennegrita"/>
          <w:rFonts w:ascii="Verdana" w:hAnsi="Verdana"/>
          <w:b w:val="0"/>
          <w:color w:val="000000"/>
          <w:sz w:val="16"/>
          <w:szCs w:val="16"/>
          <w:shd w:val="clear" w:color="auto" w:fill="FFFFFF"/>
          <w:lang w:val="es-CR"/>
        </w:rPr>
        <w:t>ento como derecho humano en el Sistema I</w:t>
      </w:r>
      <w:r w:rsidRPr="000B33B9">
        <w:rPr>
          <w:rStyle w:val="Textoennegrita"/>
          <w:rFonts w:ascii="Verdana" w:hAnsi="Verdana"/>
          <w:b w:val="0"/>
          <w:color w:val="000000"/>
          <w:sz w:val="16"/>
          <w:szCs w:val="16"/>
          <w:shd w:val="clear" w:color="auto" w:fill="FFFFFF"/>
          <w:lang w:val="es-CR"/>
        </w:rPr>
        <w:t xml:space="preserve">nteramericano de protección (interpretación y alcance de los artículos 5, 22.7 y 22.8, en relación con el artículo 1.1 de la Convención Americana sobre Derechos Humanos). </w:t>
      </w:r>
      <w:r w:rsidRPr="000B33B9">
        <w:rPr>
          <w:rStyle w:val="Textoennegrita"/>
          <w:rFonts w:ascii="Verdana" w:hAnsi="Verdana"/>
          <w:b w:val="0"/>
          <w:i/>
          <w:color w:val="000000"/>
          <w:sz w:val="16"/>
          <w:szCs w:val="16"/>
          <w:shd w:val="clear" w:color="auto" w:fill="FFFFFF"/>
          <w:lang w:val="es-CR"/>
        </w:rPr>
        <w:t>Opinión Consultiva OC-25/18</w:t>
      </w:r>
      <w:r w:rsidRPr="000B33B9">
        <w:rPr>
          <w:rStyle w:val="Textoennegrita"/>
          <w:rFonts w:ascii="Verdana" w:hAnsi="Verdana"/>
          <w:b w:val="0"/>
          <w:color w:val="000000"/>
          <w:sz w:val="16"/>
          <w:szCs w:val="16"/>
          <w:shd w:val="clear" w:color="auto" w:fill="FFFFFF"/>
          <w:lang w:val="es-CR"/>
        </w:rPr>
        <w:t xml:space="preserve"> de 30 de mayo de 2018. Serie A No. 25, párr. 137,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176</w:t>
      </w:r>
      <w:r w:rsidRPr="000B33B9">
        <w:rPr>
          <w:rFonts w:ascii="Verdana" w:hAnsi="Verdana"/>
          <w:sz w:val="16"/>
          <w:szCs w:val="16"/>
          <w:lang w:val="es-PE"/>
        </w:rPr>
        <w:t>.</w:t>
      </w:r>
    </w:p>
  </w:footnote>
  <w:footnote w:id="244">
    <w:p w14:paraId="2712D61C"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Aprobada en la Novena Conferencia Panamericana celebrada en Bogotá, Colombia, 1948.</w:t>
      </w:r>
    </w:p>
  </w:footnote>
  <w:footnote w:id="245">
    <w:p w14:paraId="3683B93B" w14:textId="6EB6985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Adoptado en San Salvador, El Salvador</w:t>
      </w:r>
      <w:r w:rsidR="00D647B1" w:rsidRPr="000B33B9">
        <w:rPr>
          <w:rFonts w:ascii="Verdana" w:hAnsi="Verdana"/>
          <w:sz w:val="16"/>
          <w:szCs w:val="16"/>
          <w:lang w:val="es-CR"/>
        </w:rPr>
        <w:t>,</w:t>
      </w:r>
      <w:r w:rsidRPr="000B33B9">
        <w:rPr>
          <w:rFonts w:ascii="Verdana" w:hAnsi="Verdana"/>
          <w:sz w:val="16"/>
          <w:szCs w:val="16"/>
          <w:lang w:val="es-CR"/>
        </w:rPr>
        <w:t xml:space="preserve"> el 17 de noviembre de 1988, confirmado en la Asamblea de reunión de Asamblea General en el décimo octavo periodo ordinario de sesiones. Entró en vigor el 16 de noviembre de 1999. Perú lo firmó el 17 de noviembre de 1988 y ratificó el 17 de mayo de 1995. El artículo 9 establece que: “</w:t>
      </w:r>
      <w:r w:rsidRPr="000B33B9">
        <w:rPr>
          <w:rFonts w:ascii="Verdana" w:hAnsi="Verdana"/>
          <w:sz w:val="16"/>
          <w:szCs w:val="16"/>
          <w:lang w:val="es-ES"/>
        </w:rPr>
        <w:t>1) Toda persona tiene derecho a la seguridad social que la proteja contra las consecuencias de la vejez y de la incapacidad que la imposibilite física o mentalmente para obtener los medios para llevar una vida digna y decorosa. En caso de muerte del beneficiario, las prestaciones de seguridad social serán aplicadas a sus dependientes. 2) Cuando se trate de personas que se encuentran trabajando, el derecho a la seguridad social cubrirá al menos la atención médica y el subsidio o jubilación en casos de accidentes de trabajo o de enfermedad profesional y, cuando se trate de mujeres, licencia retribuida por maternidad antes y después del parto”.</w:t>
      </w:r>
    </w:p>
  </w:footnote>
  <w:footnote w:id="246">
    <w:p w14:paraId="3508A6B5" w14:textId="77777777" w:rsidR="00223943" w:rsidRPr="000B33B9" w:rsidRDefault="00223943" w:rsidP="000B33B9">
      <w:pPr>
        <w:spacing w:after="120" w:line="240" w:lineRule="auto"/>
        <w:jc w:val="both"/>
        <w:rPr>
          <w:rFonts w:ascii="Verdana" w:eastAsia="Times" w:hAnsi="Verdana" w:cs="Arial"/>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Adoptada y proclamada por la Resolución de la Asamblea General 217 A (iii) del 10 de diciembre de 1948 en París. El artículo 25 establece que: “</w:t>
      </w:r>
      <w:r w:rsidRPr="000B33B9">
        <w:rPr>
          <w:rFonts w:ascii="Verdana" w:hAnsi="Verdana"/>
          <w:sz w:val="16"/>
          <w:szCs w:val="16"/>
          <w:shd w:val="clear" w:color="auto" w:fill="FFFFFF"/>
        </w:rPr>
        <w:t>1.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 2. La maternidad y la infancia tienen derecho a cuidados y asistencia especiales. Todos los niños, nacidos de matrimonio o fuera de matrimonio, tienen derecho a igual protección social”.</w:t>
      </w:r>
    </w:p>
  </w:footnote>
  <w:footnote w:id="247">
    <w:p w14:paraId="10D2C5FA"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Adoptado y abierto a la firma, ratificación y adhesión por la Asamblea General en su resolución 2200 A (XXI), de 16 de diciembre de 1966. </w:t>
      </w:r>
      <w:r w:rsidRPr="000B33B9">
        <w:rPr>
          <w:rFonts w:ascii="Verdana" w:hAnsi="Verdana"/>
          <w:bCs/>
          <w:sz w:val="16"/>
          <w:szCs w:val="16"/>
          <w:lang w:val="es-CR"/>
        </w:rPr>
        <w:t xml:space="preserve">Entrada en vigor: 3 de enero de 1976. Ratificado por Perú el 28 de abril de 1978. En lo pertinente a la seguridad social, el artículo 10 señala que: “Los Estados Partes en el presente Pacto reconocen que: 2) Se debe conceder especial protección a las madres durante un período de tiempo razonable antes y después del parto. Durante dicho período, a las madres que trabajen se les debe conceder licencia con remuneración o con prestaciones adecuadas de seguridad social. </w:t>
      </w:r>
    </w:p>
  </w:footnote>
  <w:footnote w:id="248">
    <w:p w14:paraId="6F5CA401" w14:textId="71092FF8" w:rsidR="00223943" w:rsidRPr="000B33B9" w:rsidRDefault="00223943" w:rsidP="000B33B9">
      <w:pPr>
        <w:pStyle w:val="NormalWeb"/>
        <w:spacing w:after="120" w:line="240" w:lineRule="auto"/>
        <w:jc w:val="both"/>
        <w:rPr>
          <w:rFonts w:ascii="Verdana" w:hAnsi="Verdana" w:cs="Arial"/>
          <w:color w:val="000000"/>
          <w:sz w:val="16"/>
          <w:szCs w:val="16"/>
          <w:lang w:val="es-PE"/>
        </w:rPr>
      </w:pPr>
      <w:r w:rsidRPr="000B33B9">
        <w:rPr>
          <w:rStyle w:val="Refdenotaalpie"/>
          <w:rFonts w:ascii="Verdana" w:eastAsia="Calibri" w:hAnsi="Verdana"/>
          <w:sz w:val="16"/>
          <w:szCs w:val="16"/>
        </w:rPr>
        <w:footnoteRef/>
      </w:r>
      <w:r w:rsidRPr="000B33B9">
        <w:rPr>
          <w:rFonts w:ascii="Verdana" w:hAnsi="Verdana"/>
          <w:sz w:val="16"/>
          <w:szCs w:val="16"/>
          <w:lang w:val="es-PE"/>
        </w:rPr>
        <w:t xml:space="preserve"> </w:t>
      </w:r>
      <w:r w:rsidRPr="000B33B9">
        <w:rPr>
          <w:rFonts w:ascii="Verdana" w:hAnsi="Verdana"/>
          <w:sz w:val="16"/>
          <w:szCs w:val="16"/>
          <w:lang w:val="es-PE"/>
        </w:rPr>
        <w:tab/>
        <w:t>El artículo 10 establece que: “</w:t>
      </w:r>
      <w:r w:rsidRPr="000B33B9">
        <w:rPr>
          <w:rFonts w:ascii="Verdana" w:hAnsi="Verdana" w:cs="Arial"/>
          <w:bCs/>
          <w:color w:val="000000"/>
          <w:sz w:val="16"/>
          <w:szCs w:val="16"/>
          <w:lang w:val="es-PE"/>
        </w:rPr>
        <w:t>Derecho a la Seguridad Socia</w:t>
      </w:r>
      <w:bookmarkStart w:id="81" w:name="JD_salas1530"/>
      <w:bookmarkEnd w:id="81"/>
      <w:r w:rsidRPr="000B33B9">
        <w:rPr>
          <w:rFonts w:ascii="Verdana" w:hAnsi="Verdana" w:cs="Arial"/>
          <w:bCs/>
          <w:color w:val="000000"/>
          <w:sz w:val="16"/>
          <w:szCs w:val="16"/>
          <w:lang w:val="es-PE"/>
        </w:rPr>
        <w:t>l. Artículo 10.- </w:t>
      </w:r>
      <w:r w:rsidRPr="000B33B9">
        <w:rPr>
          <w:rFonts w:ascii="Verdana" w:hAnsi="Verdana" w:cs="Arial"/>
          <w:color w:val="000000"/>
          <w:sz w:val="16"/>
          <w:szCs w:val="16"/>
          <w:lang w:val="es-PE"/>
        </w:rPr>
        <w:t>El Estado reconoce el derecho universal y progresivo de toda persona a la seguridad social, para su protección frente a las contingencias que precise la ley y para la elevación de su calidad de vida. El artículo 11 establece que: “</w:t>
      </w:r>
      <w:r w:rsidRPr="000B33B9">
        <w:rPr>
          <w:rFonts w:ascii="Verdana" w:hAnsi="Verdana" w:cs="Arial"/>
          <w:bCs/>
          <w:color w:val="000000"/>
          <w:sz w:val="16"/>
          <w:szCs w:val="16"/>
          <w:lang w:val="es-PE"/>
        </w:rPr>
        <w:t>Libre acceso a las prestaciones de salud y pensione</w:t>
      </w:r>
      <w:bookmarkStart w:id="82" w:name="JD_Const.1993_A11"/>
      <w:bookmarkEnd w:id="82"/>
      <w:r w:rsidRPr="000B33B9">
        <w:rPr>
          <w:rFonts w:ascii="Verdana" w:hAnsi="Verdana" w:cs="Arial"/>
          <w:bCs/>
          <w:color w:val="000000"/>
          <w:sz w:val="16"/>
          <w:szCs w:val="16"/>
          <w:lang w:val="es-PE"/>
        </w:rPr>
        <w:t>s. Artículo 11.-</w:t>
      </w:r>
      <w:r w:rsidRPr="000B33B9">
        <w:rPr>
          <w:rFonts w:ascii="Verdana" w:hAnsi="Verdana" w:cs="Arial"/>
          <w:color w:val="000000"/>
          <w:sz w:val="16"/>
          <w:szCs w:val="16"/>
          <w:lang w:val="es-PE"/>
        </w:rPr>
        <w:t>El Estado garantiza el libre acceso a prestaciones de salud y a pensiones, a través de entidades públicas, privadas o mixtas. Supervisa asimismo su eficaz funcionamiento. La ley establece la entidad del Gobierno Nacional que administra los regímenes de pensiones a cargo del Estado</w:t>
      </w:r>
      <w:r w:rsidRPr="000B33B9">
        <w:rPr>
          <w:rFonts w:ascii="Verdana" w:hAnsi="Verdana" w:cs="Arial"/>
          <w:bCs/>
          <w:color w:val="000000"/>
          <w:sz w:val="16"/>
          <w:szCs w:val="16"/>
          <w:lang w:val="es-PE"/>
        </w:rPr>
        <w:t>”.</w:t>
      </w:r>
    </w:p>
  </w:footnote>
  <w:footnote w:id="249">
    <w:p w14:paraId="500C9FE4"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Grupo de Trabajo para el Análisis de los Informes Nacionales previstos en el Protocolo de San Salvador, </w:t>
      </w:r>
      <w:r w:rsidRPr="000B33B9">
        <w:rPr>
          <w:rFonts w:ascii="Verdana" w:hAnsi="Verdana"/>
          <w:i/>
          <w:sz w:val="16"/>
          <w:szCs w:val="16"/>
          <w:lang w:val="es-CR"/>
        </w:rPr>
        <w:t>Indicadores de progreso para medición de derechos contemplados en el Protocolo de San Salvador</w:t>
      </w:r>
      <w:r w:rsidRPr="000B33B9">
        <w:rPr>
          <w:rFonts w:ascii="Verdana" w:hAnsi="Verdana"/>
          <w:sz w:val="16"/>
          <w:szCs w:val="16"/>
          <w:lang w:val="es-CR"/>
        </w:rPr>
        <w:t xml:space="preserve">, OEA/Ser.L/XXV.2.1; GT/PSS/doc.2/11 rev.2, de 16 diciembre 2011, párr.62. Dicho documento fue realizado con base en las Normas y Lineamientos presentados por la Comisión Interamericana de Derechos Humanos, y </w:t>
      </w:r>
      <w:r w:rsidRPr="000B33B9">
        <w:rPr>
          <w:rStyle w:val="Textoennegrita"/>
          <w:rFonts w:ascii="Verdana" w:hAnsi="Verdana"/>
          <w:b w:val="0"/>
          <w:color w:val="000000"/>
          <w:sz w:val="16"/>
          <w:szCs w:val="16"/>
          <w:shd w:val="clear" w:color="auto" w:fill="FFFFFF"/>
          <w:lang w:val="es-CR"/>
        </w:rPr>
        <w:t>Caso Muelle Flores Vs. Perú. Excepciones Preliminares, Fondo, Reparaciones y Costas. Sentencia de 6 de marzo de 2019. Serie C No. 375, párr. 183</w:t>
      </w:r>
      <w:r w:rsidRPr="000B33B9">
        <w:rPr>
          <w:rFonts w:ascii="Verdana" w:hAnsi="Verdana"/>
          <w:sz w:val="16"/>
          <w:szCs w:val="16"/>
          <w:lang w:val="es-CR"/>
        </w:rPr>
        <w:t>.</w:t>
      </w:r>
    </w:p>
  </w:footnote>
  <w:footnote w:id="250">
    <w:p w14:paraId="0F5ECC77" w14:textId="33AAE9FE"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Grupo de Trabajo para el Análisis de los Informes Nacionales previstos en el Protocolo de San Salvador, </w:t>
      </w:r>
      <w:r w:rsidRPr="000B33B9">
        <w:rPr>
          <w:rFonts w:ascii="Verdana" w:hAnsi="Verdana"/>
          <w:i/>
          <w:sz w:val="16"/>
          <w:szCs w:val="16"/>
          <w:lang w:val="es-CR"/>
        </w:rPr>
        <w:t>Indicadores de progreso para medición de derechos contemplados en el Protocolo de San Salvador</w:t>
      </w:r>
      <w:r w:rsidRPr="000B33B9">
        <w:rPr>
          <w:rFonts w:ascii="Verdana" w:hAnsi="Verdana"/>
          <w:sz w:val="16"/>
          <w:szCs w:val="16"/>
          <w:lang w:val="es-CR"/>
        </w:rPr>
        <w:t xml:space="preserve">, OEA/Ser.L/XXV.2.1; GT/PSS/doc.2/11 rev.2, de 16 diciembre 2011, párr. 62. Dicho documento fue elaborado con base en las Normas y Lineamientos presentados por la Comisión Interamericana de Derechos Humanos,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183</w:t>
      </w:r>
      <w:r w:rsidRPr="000B33B9">
        <w:rPr>
          <w:rFonts w:ascii="Verdana" w:hAnsi="Verdana"/>
          <w:sz w:val="16"/>
          <w:szCs w:val="16"/>
          <w:lang w:val="es-CR"/>
        </w:rPr>
        <w:t>.</w:t>
      </w:r>
    </w:p>
  </w:footnote>
  <w:footnote w:id="251">
    <w:p w14:paraId="42D6B484" w14:textId="222B5B42"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Artículo 11 de la Declaración sobre el Progreso y el Desarrollo en lo Social</w:t>
      </w:r>
      <w:r w:rsidRPr="000B33B9">
        <w:rPr>
          <w:rFonts w:ascii="Verdana" w:hAnsi="Verdana" w:cs="Arial"/>
          <w:color w:val="666666"/>
          <w:sz w:val="16"/>
          <w:szCs w:val="16"/>
        </w:rPr>
        <w:t xml:space="preserve"> </w:t>
      </w:r>
      <w:r w:rsidRPr="000B33B9">
        <w:rPr>
          <w:rFonts w:ascii="Verdana" w:hAnsi="Verdana"/>
          <w:sz w:val="16"/>
          <w:szCs w:val="16"/>
        </w:rPr>
        <w:t>de las Naciones Unidas; artículos 11 y 13 de la Convención sobre la Eliminación de todas Formas de Discriminación contra la Mujer de las Naciones Unidas; artículo 26.1 de la Convención sobre los Derechos del Niño; artículo 5, apartado e), 1), iv) de la Convención Internacional sobre la Eliminación de todas Formas de Discriminación Racial; artículos 27 y 54 de la Convención Internacional sobre la Protección de los Derechos de todos los Trabajadores Migratorios y de sus Familiares, y artículos 12, 13 y 14 de la Carta Social Europea.</w:t>
      </w:r>
    </w:p>
  </w:footnote>
  <w:footnote w:id="252">
    <w:p w14:paraId="41D80A23" w14:textId="576234C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OIT, </w:t>
      </w:r>
      <w:r w:rsidRPr="000B33B9">
        <w:rPr>
          <w:rFonts w:ascii="Verdana" w:hAnsi="Verdana"/>
          <w:i/>
          <w:sz w:val="16"/>
          <w:szCs w:val="16"/>
          <w:lang w:val="es-CR"/>
        </w:rPr>
        <w:t xml:space="preserve">Convenio sobre la seguridad social (norma mínima), No. 102, </w:t>
      </w:r>
      <w:r w:rsidRPr="000B33B9">
        <w:rPr>
          <w:rFonts w:ascii="Verdana" w:hAnsi="Verdana"/>
          <w:sz w:val="16"/>
          <w:szCs w:val="16"/>
          <w:lang w:val="es-CR"/>
        </w:rPr>
        <w:t>adoptado en la 35ª Conferencia General de 28 de junio de 1952</w:t>
      </w:r>
      <w:r w:rsidRPr="000B33B9">
        <w:rPr>
          <w:rFonts w:ascii="Verdana" w:hAnsi="Verdana"/>
          <w:i/>
          <w:sz w:val="16"/>
          <w:szCs w:val="16"/>
          <w:lang w:val="es-CR"/>
        </w:rPr>
        <w:t xml:space="preserve">; </w:t>
      </w:r>
      <w:r w:rsidRPr="000B33B9">
        <w:rPr>
          <w:rFonts w:ascii="Verdana" w:hAnsi="Verdana"/>
          <w:sz w:val="16"/>
          <w:szCs w:val="16"/>
          <w:lang w:val="es-CR"/>
        </w:rPr>
        <w:t xml:space="preserve">OIT, </w:t>
      </w:r>
      <w:r w:rsidRPr="000B33B9">
        <w:rPr>
          <w:rFonts w:ascii="Verdana" w:hAnsi="Verdana"/>
          <w:i/>
          <w:sz w:val="16"/>
          <w:szCs w:val="16"/>
          <w:lang w:val="es-CR"/>
        </w:rPr>
        <w:t xml:space="preserve">Convenio sobre las prestaciones de invalidez, vejez y sobrevivientes, No. 128, </w:t>
      </w:r>
      <w:r w:rsidRPr="000B33B9">
        <w:rPr>
          <w:rFonts w:ascii="Verdana" w:hAnsi="Verdana"/>
          <w:sz w:val="16"/>
          <w:szCs w:val="16"/>
          <w:lang w:val="es-CR"/>
        </w:rPr>
        <w:t xml:space="preserve">adoptado en la 51ª Conferencia General de 29 de junio de 1967; OIT, </w:t>
      </w:r>
      <w:r w:rsidRPr="000B33B9">
        <w:rPr>
          <w:rFonts w:ascii="Verdana" w:hAnsi="Verdana"/>
          <w:i/>
          <w:sz w:val="16"/>
          <w:szCs w:val="16"/>
          <w:lang w:val="es-CR"/>
        </w:rPr>
        <w:t xml:space="preserve">Recomendación No. 67 sobre la seguridad social de los medios de vida, </w:t>
      </w:r>
      <w:r w:rsidRPr="000B33B9">
        <w:rPr>
          <w:rFonts w:ascii="Verdana" w:hAnsi="Verdana"/>
          <w:sz w:val="16"/>
          <w:szCs w:val="16"/>
          <w:lang w:val="es-CR"/>
        </w:rPr>
        <w:t xml:space="preserve">de 1944; OIT, </w:t>
      </w:r>
      <w:r w:rsidRPr="000B33B9">
        <w:rPr>
          <w:rFonts w:ascii="Verdana" w:hAnsi="Verdana"/>
          <w:i/>
          <w:sz w:val="16"/>
          <w:szCs w:val="16"/>
          <w:lang w:val="es-CR"/>
        </w:rPr>
        <w:t>Recomendación No. 167 sobre la conservación de los derechos en materia de seguridad social</w:t>
      </w:r>
      <w:r w:rsidRPr="000B33B9">
        <w:rPr>
          <w:rFonts w:ascii="Verdana" w:hAnsi="Verdana"/>
          <w:sz w:val="16"/>
          <w:szCs w:val="16"/>
          <w:lang w:val="es-CR"/>
        </w:rPr>
        <w:t xml:space="preserve">, de 1983, y OIT, </w:t>
      </w:r>
      <w:r w:rsidRPr="000B33B9">
        <w:rPr>
          <w:rFonts w:ascii="Verdana" w:hAnsi="Verdana"/>
          <w:i/>
          <w:sz w:val="16"/>
          <w:szCs w:val="16"/>
          <w:lang w:val="es-CR"/>
        </w:rPr>
        <w:t xml:space="preserve">Recomendación No. 202 sobre los pisos de protección social, </w:t>
      </w:r>
      <w:r w:rsidRPr="000B33B9">
        <w:rPr>
          <w:rFonts w:ascii="Verdana" w:hAnsi="Verdana"/>
          <w:sz w:val="16"/>
          <w:szCs w:val="16"/>
          <w:lang w:val="es-CR"/>
        </w:rPr>
        <w:t>de 2012.</w:t>
      </w:r>
    </w:p>
  </w:footnote>
  <w:footnote w:id="253">
    <w:p w14:paraId="1809C6EB"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184</w:t>
      </w:r>
      <w:r w:rsidRPr="000B33B9">
        <w:rPr>
          <w:rFonts w:ascii="Verdana" w:hAnsi="Verdana"/>
          <w:sz w:val="16"/>
          <w:szCs w:val="16"/>
          <w:lang w:val="es-CR"/>
        </w:rPr>
        <w:t>.</w:t>
      </w:r>
    </w:p>
  </w:footnote>
  <w:footnote w:id="254">
    <w:p w14:paraId="4A20F5EB" w14:textId="77777777" w:rsidR="00223943" w:rsidRPr="000B33B9" w:rsidRDefault="00223943" w:rsidP="000B33B9">
      <w:pPr>
        <w:autoSpaceDE w:val="0"/>
        <w:autoSpaceDN w:val="0"/>
        <w:spacing w:after="120" w:line="240" w:lineRule="auto"/>
        <w:jc w:val="both"/>
        <w:rPr>
          <w:rFonts w:ascii="Verdana" w:hAnsi="Verdana" w:cs="JansonTextLTStd-Roman"/>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185</w:t>
      </w:r>
      <w:r w:rsidRPr="000B33B9">
        <w:rPr>
          <w:rFonts w:ascii="Verdana" w:hAnsi="Verdana"/>
          <w:sz w:val="16"/>
          <w:szCs w:val="16"/>
          <w:lang w:val="es-CR"/>
        </w:rPr>
        <w:t xml:space="preserve">, y </w:t>
      </w:r>
      <w:r w:rsidRPr="000B33B9">
        <w:rPr>
          <w:rFonts w:ascii="Verdana" w:hAnsi="Verdana" w:cs="JansonTextLTStd-Roman"/>
          <w:sz w:val="16"/>
          <w:szCs w:val="16"/>
        </w:rPr>
        <w:t xml:space="preserve">OIT, </w:t>
      </w:r>
      <w:r w:rsidRPr="000B33B9">
        <w:rPr>
          <w:rFonts w:ascii="Verdana" w:hAnsi="Verdana" w:cs="JansonTextLTStd-Roman"/>
          <w:i/>
          <w:sz w:val="16"/>
          <w:szCs w:val="16"/>
        </w:rPr>
        <w:t>“Hechos concretos sobre la seguridad social”</w:t>
      </w:r>
      <w:r w:rsidRPr="000B33B9">
        <w:rPr>
          <w:rFonts w:ascii="Verdana" w:hAnsi="Verdana" w:cs="JansonTextLTStd-Roman"/>
          <w:sz w:val="16"/>
          <w:szCs w:val="16"/>
        </w:rPr>
        <w:t xml:space="preserve">, publicación de la Oficina Internacional del Trabajo, Ginebra, Suiza, 6 de junio de 2003, disponible en: </w:t>
      </w:r>
      <w:hyperlink r:id="rId2" w:history="1">
        <w:r w:rsidRPr="000B33B9">
          <w:rPr>
            <w:rStyle w:val="Hipervnculo"/>
            <w:rFonts w:ascii="Verdana" w:hAnsi="Verdana" w:cs="JansonTextLTStd-Roman"/>
            <w:sz w:val="16"/>
            <w:szCs w:val="16"/>
          </w:rPr>
          <w:t>https://www.ilo.org/wcmsp5/groups/public/---dgreports/---dcomm/documents/publication/wcms_067592.pdf</w:t>
        </w:r>
      </w:hyperlink>
      <w:r w:rsidRPr="000B33B9">
        <w:rPr>
          <w:rFonts w:ascii="Verdana" w:hAnsi="Verdana" w:cs="JansonTextLTStd-Roman"/>
          <w:sz w:val="16"/>
          <w:szCs w:val="16"/>
        </w:rPr>
        <w:t xml:space="preserve"> </w:t>
      </w:r>
    </w:p>
  </w:footnote>
  <w:footnote w:id="255">
    <w:p w14:paraId="6D871C53"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185</w:t>
      </w:r>
      <w:r w:rsidRPr="000B33B9">
        <w:rPr>
          <w:rFonts w:ascii="Verdana" w:hAnsi="Verdana"/>
          <w:sz w:val="16"/>
          <w:szCs w:val="16"/>
          <w:lang w:val="es-CR"/>
        </w:rPr>
        <w:t>.</w:t>
      </w:r>
    </w:p>
  </w:footnote>
  <w:footnote w:id="256">
    <w:p w14:paraId="735681D4"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186</w:t>
      </w:r>
      <w:r w:rsidRPr="000B33B9">
        <w:rPr>
          <w:rFonts w:ascii="Verdana" w:hAnsi="Verdana"/>
          <w:sz w:val="16"/>
          <w:szCs w:val="16"/>
          <w:lang w:val="es-CR"/>
        </w:rPr>
        <w:t xml:space="preserve">, y ONU, Comité de Derechos Económicos, Sociales y Culturales, </w:t>
      </w:r>
      <w:r w:rsidRPr="000B33B9">
        <w:rPr>
          <w:rFonts w:ascii="Verdana" w:hAnsi="Verdana"/>
          <w:i/>
          <w:sz w:val="16"/>
          <w:szCs w:val="16"/>
          <w:lang w:val="es-CR"/>
        </w:rPr>
        <w:t xml:space="preserve">Observación General No. 19, </w:t>
      </w:r>
      <w:r w:rsidRPr="000B33B9">
        <w:rPr>
          <w:rFonts w:ascii="Verdana" w:hAnsi="Verdana"/>
          <w:i/>
          <w:iCs/>
          <w:sz w:val="16"/>
          <w:szCs w:val="16"/>
          <w:lang w:val="es-CR"/>
        </w:rPr>
        <w:t>El derecho a la seguridad social (artículo 9)</w:t>
      </w:r>
      <w:r w:rsidRPr="000B33B9">
        <w:rPr>
          <w:rFonts w:ascii="Verdana" w:hAnsi="Verdana"/>
          <w:sz w:val="16"/>
          <w:szCs w:val="16"/>
          <w:lang w:val="es-CR"/>
        </w:rPr>
        <w:t>, 4 de febrero de 2008, párr. 2.</w:t>
      </w:r>
    </w:p>
  </w:footnote>
  <w:footnote w:id="257">
    <w:p w14:paraId="58BF8E96" w14:textId="3DB407FD"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187, y </w:t>
      </w:r>
      <w:r w:rsidRPr="000B33B9">
        <w:rPr>
          <w:rFonts w:ascii="Verdana" w:hAnsi="Verdana"/>
          <w:sz w:val="16"/>
          <w:szCs w:val="16"/>
          <w:lang w:val="es-CR"/>
        </w:rPr>
        <w:t xml:space="preserve">ONU, Comité de Derechos Económicos, Sociales y Culturales, </w:t>
      </w:r>
      <w:r w:rsidRPr="000B33B9">
        <w:rPr>
          <w:rFonts w:ascii="Verdana" w:hAnsi="Verdana"/>
          <w:i/>
          <w:sz w:val="16"/>
          <w:szCs w:val="16"/>
          <w:lang w:val="es-CR"/>
        </w:rPr>
        <w:t>Observación General No. 19</w:t>
      </w:r>
      <w:r w:rsidRPr="000B33B9">
        <w:rPr>
          <w:rFonts w:ascii="Verdana" w:hAnsi="Verdana"/>
          <w:sz w:val="16"/>
          <w:szCs w:val="16"/>
          <w:lang w:val="es-CR"/>
        </w:rPr>
        <w:t xml:space="preserve">, </w:t>
      </w:r>
      <w:r w:rsidRPr="000B33B9">
        <w:rPr>
          <w:rFonts w:ascii="Verdana" w:hAnsi="Verdana"/>
          <w:i/>
          <w:iCs/>
          <w:sz w:val="16"/>
          <w:szCs w:val="16"/>
          <w:lang w:val="es-CR"/>
        </w:rPr>
        <w:t>El derecho a la seguridad social (artículo 9)</w:t>
      </w:r>
      <w:r w:rsidRPr="000B33B9">
        <w:rPr>
          <w:rFonts w:ascii="Verdana" w:hAnsi="Verdana"/>
          <w:sz w:val="16"/>
          <w:szCs w:val="16"/>
          <w:lang w:val="es-CR"/>
        </w:rPr>
        <w:t>, 4 de febrero de 2008, párrs. 9 a 28.</w:t>
      </w:r>
    </w:p>
  </w:footnote>
  <w:footnote w:id="258">
    <w:p w14:paraId="47CDF1F9" w14:textId="1E84420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eastAsia="Times New Roman"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ONU, Comité de Derechos Económicos, Sociales y Culturales, </w:t>
      </w:r>
      <w:r w:rsidRPr="000B33B9">
        <w:rPr>
          <w:rFonts w:ascii="Verdana" w:hAnsi="Verdana"/>
          <w:i/>
          <w:sz w:val="16"/>
          <w:szCs w:val="16"/>
          <w:lang w:val="es-CR"/>
        </w:rPr>
        <w:t xml:space="preserve">Observación General No. 14, El derecho al disfrute del más alto nivel posible de salud (artículo 12), 11 de agosto de 2000. </w:t>
      </w:r>
      <w:r w:rsidRPr="000B33B9">
        <w:rPr>
          <w:rFonts w:ascii="Verdana" w:hAnsi="Verdana"/>
          <w:sz w:val="16"/>
          <w:szCs w:val="16"/>
          <w:lang w:val="es-CR"/>
        </w:rPr>
        <w:t>La cobertura debe incluir cualquier condición de morbilidad, con independencia de sus causas, el embarazo y el parto y sus consecuencias, la atención médica general y práctica y la hospitalización.</w:t>
      </w:r>
    </w:p>
  </w:footnote>
  <w:footnote w:id="259">
    <w:p w14:paraId="2AFB7B76" w14:textId="1D84ECE0" w:rsidR="00223943" w:rsidRPr="000B33B9" w:rsidRDefault="00223943" w:rsidP="000B33B9">
      <w:pPr>
        <w:pStyle w:val="Textonotapie"/>
        <w:spacing w:after="120"/>
        <w:jc w:val="both"/>
        <w:rPr>
          <w:rFonts w:ascii="Verdana" w:hAnsi="Verdana"/>
          <w:i/>
          <w:sz w:val="16"/>
          <w:szCs w:val="16"/>
          <w:lang w:val="es-CR"/>
        </w:rPr>
      </w:pPr>
      <w:r w:rsidRPr="000B33B9">
        <w:rPr>
          <w:rStyle w:val="Refdenotaalpie"/>
          <w:rFonts w:ascii="Verdana" w:eastAsia="Times New Roman"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t xml:space="preserve">Véase: ONU, Comité de Derechos Económicos, Sociales y Culturales, </w:t>
      </w:r>
      <w:r w:rsidRPr="000B33B9">
        <w:rPr>
          <w:rFonts w:ascii="Verdana" w:hAnsi="Verdana"/>
          <w:i/>
          <w:sz w:val="16"/>
          <w:szCs w:val="16"/>
          <w:lang w:val="es-CR"/>
        </w:rPr>
        <w:t xml:space="preserve">Observación General No. 6, Los derechos económicos, sociales y culturales de las personas mayores, </w:t>
      </w:r>
      <w:r w:rsidRPr="000B33B9">
        <w:rPr>
          <w:rFonts w:ascii="Verdana" w:hAnsi="Verdana"/>
          <w:sz w:val="16"/>
          <w:szCs w:val="16"/>
          <w:lang w:val="es-CR"/>
        </w:rPr>
        <w:t>de 1995.</w:t>
      </w:r>
    </w:p>
  </w:footnote>
  <w:footnote w:id="260">
    <w:p w14:paraId="624FB5E7" w14:textId="0224D143" w:rsidR="00223943" w:rsidRPr="000B33B9" w:rsidRDefault="00223943" w:rsidP="000B33B9">
      <w:pPr>
        <w:pStyle w:val="Textonotapie"/>
        <w:spacing w:after="120"/>
        <w:jc w:val="both"/>
        <w:rPr>
          <w:rFonts w:ascii="Verdana" w:hAnsi="Verdana"/>
          <w:iCs/>
          <w:sz w:val="16"/>
          <w:szCs w:val="16"/>
          <w:lang w:val="es-ES"/>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Fonts w:ascii="Verdana" w:hAnsi="Verdana"/>
          <w:sz w:val="16"/>
          <w:szCs w:val="16"/>
          <w:lang w:val="es-CR"/>
        </w:rPr>
        <w:t xml:space="preserve">OIT, </w:t>
      </w:r>
      <w:r w:rsidRPr="000B33B9">
        <w:rPr>
          <w:rFonts w:ascii="Verdana" w:hAnsi="Verdana"/>
          <w:i/>
          <w:sz w:val="16"/>
          <w:szCs w:val="16"/>
          <w:lang w:val="es-CR"/>
        </w:rPr>
        <w:t>Recomendación No. 167 sobre la conservación de los derechos en materia de seguridad social</w:t>
      </w:r>
      <w:r w:rsidRPr="000B33B9">
        <w:rPr>
          <w:rFonts w:ascii="Verdana" w:hAnsi="Verdana"/>
          <w:sz w:val="16"/>
          <w:szCs w:val="16"/>
          <w:lang w:val="es-CR"/>
        </w:rPr>
        <w:t xml:space="preserve">, de 1983. El principio directivo </w:t>
      </w:r>
      <w:r w:rsidRPr="000B33B9">
        <w:rPr>
          <w:rFonts w:ascii="Verdana" w:hAnsi="Verdana"/>
          <w:sz w:val="16"/>
          <w:szCs w:val="16"/>
          <w:lang w:val="es-ES"/>
        </w:rPr>
        <w:t xml:space="preserve">1 dispone que: “Los regímenes de seguridad de los medios de vida deberían aliviar el estado de necesidad e impedir la miseria, restableciendo, en un nivel razonable, las entradas perdidas a causa de la incapacidad para trabajar (comprendida la vejez), o para obtener trabajo remunerado o a causa de la muerte del jefe de familia”. Asimismo, véase </w:t>
      </w:r>
      <w:r w:rsidRPr="000B33B9">
        <w:rPr>
          <w:rFonts w:ascii="Verdana" w:hAnsi="Verdana"/>
          <w:sz w:val="16"/>
          <w:szCs w:val="16"/>
          <w:lang w:val="es-CR"/>
        </w:rPr>
        <w:t xml:space="preserve">OIT, </w:t>
      </w:r>
      <w:r w:rsidRPr="000B33B9">
        <w:rPr>
          <w:rFonts w:ascii="Verdana" w:hAnsi="Verdana"/>
          <w:i/>
          <w:sz w:val="16"/>
          <w:szCs w:val="16"/>
          <w:lang w:val="es-CR"/>
        </w:rPr>
        <w:t xml:space="preserve">Recomendación No. 202 sobre los pisos de protección social, </w:t>
      </w:r>
      <w:r w:rsidRPr="000B33B9">
        <w:rPr>
          <w:rFonts w:ascii="Verdana" w:hAnsi="Verdana"/>
          <w:sz w:val="16"/>
          <w:szCs w:val="16"/>
          <w:lang w:val="es-CR"/>
        </w:rPr>
        <w:t>de 2012, cuyo artículo 3, incisos b) y c), señala que: “</w:t>
      </w:r>
      <w:r w:rsidRPr="000B33B9">
        <w:rPr>
          <w:rFonts w:ascii="Verdana" w:hAnsi="Verdana"/>
          <w:sz w:val="16"/>
          <w:szCs w:val="16"/>
          <w:lang w:val="es-ES"/>
        </w:rPr>
        <w:t xml:space="preserve">3. </w:t>
      </w:r>
      <w:r w:rsidRPr="000B33B9">
        <w:rPr>
          <w:rFonts w:ascii="Verdana" w:hAnsi="Verdana"/>
          <w:iCs/>
          <w:sz w:val="16"/>
          <w:szCs w:val="16"/>
          <w:lang w:val="es-ES"/>
        </w:rPr>
        <w:t>Reconociendo la responsabilidad general y principal del Estado de poner en práctica la presente Recomendación, los Miembros deberían aplicar los siguientes principios: (…) b) derecho a las prestaciones prescrito por la legislación nacional, y c) adecuación y previsibilidad de las prestaciones”. El artículo 4 establece que: “4. Los Miembros, en función de sus circunstancias nacionales, deberían establecer lo más rápidamente posible y mantener pisos de protección social propios que incluyan garantías básicas en materia de seguridad social. Estas garantías deberían asegurar como mínimo que, durante el ciclo de vida, todas las personas necesitadas tengan acceso a una atención de salud esencial y a una seguridad básica del ingreso que aseguren conjuntamente un acceso efectivo a los bienes y servicios definidos como necesarios a nivel nacional”. El artículo 5, incisos a) y d), señala que: “</w:t>
      </w:r>
      <w:bookmarkStart w:id="83" w:name="AP5"/>
      <w:bookmarkEnd w:id="83"/>
      <w:r w:rsidRPr="000B33B9">
        <w:rPr>
          <w:rFonts w:ascii="Verdana" w:hAnsi="Verdana"/>
          <w:iCs/>
          <w:sz w:val="16"/>
          <w:szCs w:val="16"/>
          <w:lang w:val="es-ES"/>
        </w:rPr>
        <w:t>5. Los pisos de protección social mencionados en el párrafo 4 deberían comprender por lo menos las siguientes garantías básicas de seguridad social: a) acceso a un conjunto de bienes y servicios definido a nivel nacional, que constituyen la atención de salud esencial, incluida la atención de la maternidad, que cumpla los criterios de disponibilidad, accesibilidad, aceptabilidad y calidad, (…) d) seguridad básica del ingreso para las personas de edad, por lo menos equivalente a un nivel mínimo definido en el plano nacional”. Asimismo, el artículo 8, incisos b) y c), destaca que: “8.</w:t>
      </w:r>
      <w:r w:rsidRPr="000B33B9">
        <w:rPr>
          <w:rFonts w:ascii="Verdana" w:hAnsi="Verdana"/>
          <w:iCs/>
          <w:sz w:val="16"/>
          <w:szCs w:val="16"/>
          <w:lang w:val="es-CR"/>
        </w:rPr>
        <w:t xml:space="preserve"> </w:t>
      </w:r>
      <w:r w:rsidRPr="000B33B9">
        <w:rPr>
          <w:rFonts w:ascii="Verdana" w:hAnsi="Verdana"/>
          <w:iCs/>
          <w:sz w:val="16"/>
          <w:szCs w:val="16"/>
          <w:lang w:val="es-ES"/>
        </w:rPr>
        <w:t>Al definir las garantías básicas de seguridad social, los Miembros deberían tener debidamente en cuenta lo siguiente: (…) b) la seguridad básica del ingreso debería permitir vivir con dignidad. Los niveles mínimos de ingresos definidos a nivel nacional podrán corresponder al valor monetario de un conjunto de bienes y servicios necesarios, a los umbrales nacionales de pobreza, a los umbrales de ingresos que dan derecho a la asistencia social o a otros umbrales comparables establecidos por la legislación o la práctica nacionales, y podrán tener en cuenta las diferencias regionales; c) los niveles de las garantías básicas de seguridad social deberían ser revisados periódicamente mediante un procedimiento transparente establecido por la legislación o la práctica nacionales, según proceda (…)”.</w:t>
      </w:r>
    </w:p>
  </w:footnote>
  <w:footnote w:id="261">
    <w:p w14:paraId="29EEA0BB" w14:textId="424424A6"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Fonts w:ascii="Verdana" w:hAnsi="Verdana"/>
          <w:sz w:val="16"/>
          <w:szCs w:val="16"/>
          <w:lang w:val="es-CR"/>
        </w:rPr>
        <w:t xml:space="preserve">ONU, Comité de Derechos Económicos, Sociales y Culturales, </w:t>
      </w:r>
      <w:r w:rsidRPr="000B33B9">
        <w:rPr>
          <w:rFonts w:ascii="Verdana" w:hAnsi="Verdana"/>
          <w:i/>
          <w:sz w:val="16"/>
          <w:szCs w:val="16"/>
          <w:lang w:val="es-CR"/>
        </w:rPr>
        <w:t>Observación General No. 19,</w:t>
      </w:r>
      <w:r w:rsidRPr="000B33B9">
        <w:rPr>
          <w:rFonts w:ascii="Verdana" w:hAnsi="Verdana"/>
          <w:sz w:val="16"/>
          <w:szCs w:val="16"/>
          <w:lang w:val="es-CR"/>
        </w:rPr>
        <w:t xml:space="preserve"> </w:t>
      </w:r>
      <w:r w:rsidRPr="000B33B9">
        <w:rPr>
          <w:rFonts w:ascii="Verdana" w:hAnsi="Verdana"/>
          <w:i/>
          <w:iCs/>
          <w:sz w:val="16"/>
          <w:szCs w:val="16"/>
          <w:lang w:val="es-CR"/>
        </w:rPr>
        <w:t>El derecho a la seguridad social (artículo 9)</w:t>
      </w:r>
      <w:r w:rsidRPr="000B33B9">
        <w:rPr>
          <w:rFonts w:ascii="Verdana" w:hAnsi="Verdana"/>
          <w:sz w:val="16"/>
          <w:szCs w:val="16"/>
          <w:lang w:val="es-CR"/>
        </w:rPr>
        <w:t xml:space="preserve">, 4 de febrero de 2008, párr. 77. Véase también OIT, </w:t>
      </w:r>
      <w:r w:rsidRPr="000B33B9">
        <w:rPr>
          <w:rFonts w:ascii="Verdana" w:hAnsi="Verdana"/>
          <w:i/>
          <w:sz w:val="16"/>
          <w:szCs w:val="16"/>
          <w:lang w:val="es-CR"/>
        </w:rPr>
        <w:t xml:space="preserve">Convenio sobre la seguridad social (norma mínima), No. 102, </w:t>
      </w:r>
      <w:r w:rsidRPr="000B33B9">
        <w:rPr>
          <w:rFonts w:ascii="Verdana" w:hAnsi="Verdana"/>
          <w:sz w:val="16"/>
          <w:szCs w:val="16"/>
          <w:lang w:val="es-CR"/>
        </w:rPr>
        <w:t>adoptado en la 35ª Conferencia General de 28 de junio de 1952, artículo 70, inciso 1.</w:t>
      </w:r>
    </w:p>
  </w:footnote>
  <w:footnote w:id="262">
    <w:p w14:paraId="4298FA27" w14:textId="77777777" w:rsidR="00223943" w:rsidRPr="000B33B9" w:rsidRDefault="00223943" w:rsidP="000B33B9">
      <w:pPr>
        <w:tabs>
          <w:tab w:val="left" w:pos="630"/>
        </w:tabs>
        <w:snapToGrid w:val="0"/>
        <w:spacing w:after="120" w:line="240" w:lineRule="auto"/>
        <w:jc w:val="both"/>
        <w:rPr>
          <w:rFonts w:ascii="Verdana" w:hAnsi="Verdana"/>
          <w:snapToGrid w:val="0"/>
          <w:sz w:val="16"/>
          <w:szCs w:val="16"/>
        </w:rPr>
      </w:pPr>
      <w:r w:rsidRPr="000B33B9">
        <w:rPr>
          <w:rStyle w:val="Refdenotaalpie"/>
          <w:rFonts w:ascii="Verdana" w:hAnsi="Verdana"/>
          <w:sz w:val="16"/>
          <w:szCs w:val="16"/>
        </w:rPr>
        <w:footnoteRef/>
      </w:r>
      <w:r w:rsidRPr="000B33B9">
        <w:rPr>
          <w:rFonts w:ascii="Verdana" w:hAnsi="Verdana"/>
          <w:sz w:val="16"/>
          <w:szCs w:val="16"/>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188.</w:t>
      </w:r>
    </w:p>
  </w:footnote>
  <w:footnote w:id="263">
    <w:p w14:paraId="01C18A4E" w14:textId="2333CC9D"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188, y</w:t>
      </w:r>
      <w:r w:rsidRPr="000B33B9">
        <w:rPr>
          <w:rFonts w:ascii="Verdana" w:hAnsi="Verdana"/>
          <w:i/>
          <w:sz w:val="16"/>
          <w:szCs w:val="16"/>
          <w:lang w:val="es-CR"/>
        </w:rPr>
        <w:t xml:space="preserve"> </w:t>
      </w:r>
      <w:r w:rsidRPr="000B33B9">
        <w:rPr>
          <w:rFonts w:ascii="Verdana" w:hAnsi="Verdana"/>
          <w:sz w:val="16"/>
          <w:szCs w:val="16"/>
          <w:lang w:val="es-CR"/>
        </w:rPr>
        <w:t xml:space="preserve">ONU, Comité de Derechos Económicos, Sociales y Culturales, </w:t>
      </w:r>
      <w:r w:rsidRPr="000B33B9">
        <w:rPr>
          <w:rFonts w:ascii="Verdana" w:hAnsi="Verdana"/>
          <w:i/>
          <w:sz w:val="16"/>
          <w:szCs w:val="16"/>
          <w:lang w:val="es-CR"/>
        </w:rPr>
        <w:t>Observación General No. 19,</w:t>
      </w:r>
      <w:r w:rsidRPr="000B33B9">
        <w:rPr>
          <w:rFonts w:ascii="Verdana" w:hAnsi="Verdana"/>
          <w:sz w:val="16"/>
          <w:szCs w:val="16"/>
          <w:lang w:val="es-CR"/>
        </w:rPr>
        <w:t xml:space="preserve"> </w:t>
      </w:r>
      <w:r w:rsidRPr="000B33B9">
        <w:rPr>
          <w:rFonts w:ascii="Verdana" w:hAnsi="Verdana"/>
          <w:i/>
          <w:iCs/>
          <w:sz w:val="16"/>
          <w:szCs w:val="16"/>
          <w:lang w:val="es-CR"/>
        </w:rPr>
        <w:t>El derecho a la seguridad social (artículo 9)</w:t>
      </w:r>
      <w:r w:rsidRPr="000B33B9">
        <w:rPr>
          <w:rFonts w:ascii="Verdana" w:hAnsi="Verdana"/>
          <w:sz w:val="16"/>
          <w:szCs w:val="16"/>
          <w:lang w:val="es-CR"/>
        </w:rPr>
        <w:t>, 4 de febrero de 2008, párr. 78.</w:t>
      </w:r>
    </w:p>
  </w:footnote>
  <w:footnote w:id="264">
    <w:p w14:paraId="78E38788" w14:textId="501ADA72"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ab/>
      </w:r>
      <w:r w:rsidRPr="000B33B9">
        <w:rPr>
          <w:rFonts w:ascii="Verdana" w:hAnsi="Verdana"/>
          <w:i/>
          <w:sz w:val="16"/>
          <w:szCs w:val="16"/>
          <w:lang w:val="es-CR"/>
        </w:rPr>
        <w:t xml:space="preserve">Cfr. Mutatis mutandis. </w:t>
      </w:r>
      <w:r w:rsidRPr="000B33B9">
        <w:rPr>
          <w:rStyle w:val="Textoennegrita"/>
          <w:rFonts w:ascii="Verdana" w:hAnsi="Verdana"/>
          <w:b w:val="0"/>
          <w:i/>
          <w:color w:val="000000"/>
          <w:sz w:val="16"/>
          <w:szCs w:val="16"/>
          <w:shd w:val="clear" w:color="auto" w:fill="FFFFFF"/>
        </w:rPr>
        <w:t>Caso Poblete Vilches y Otros Vs. Chile. Fondo, Reparaciones y Costas.</w:t>
      </w:r>
      <w:r w:rsidRPr="000B33B9">
        <w:rPr>
          <w:rStyle w:val="Textoennegrita"/>
          <w:rFonts w:ascii="Verdana" w:hAnsi="Verdana"/>
          <w:b w:val="0"/>
          <w:color w:val="000000"/>
          <w:sz w:val="16"/>
          <w:szCs w:val="16"/>
          <w:shd w:val="clear" w:color="auto" w:fill="FFFFFF"/>
        </w:rPr>
        <w:t xml:space="preserve"> Sentencia de 8 de marzo de 2018. Serie C No. 349,</w:t>
      </w:r>
      <w:r w:rsidRPr="000B33B9">
        <w:rPr>
          <w:rFonts w:ascii="Verdana" w:hAnsi="Verdana"/>
          <w:sz w:val="16"/>
          <w:szCs w:val="16"/>
          <w:lang w:val="es-CR"/>
        </w:rPr>
        <w:t xml:space="preserve"> párr. 104; </w:t>
      </w:r>
      <w:r w:rsidRPr="000B33B9">
        <w:rPr>
          <w:rFonts w:ascii="Verdana" w:hAnsi="Verdana" w:cstheme="minorHAnsi"/>
          <w:i/>
          <w:sz w:val="16"/>
          <w:szCs w:val="16"/>
        </w:rPr>
        <w:t xml:space="preserve">Caso Cuscul Pivaral y otros Vs. Guatemala. Excepción Preliminar, Fondo, Reparaciones y Costas. </w:t>
      </w:r>
      <w:r w:rsidRPr="000B33B9">
        <w:rPr>
          <w:rFonts w:ascii="Verdana" w:hAnsi="Verdana" w:cstheme="minorHAnsi"/>
          <w:sz w:val="16"/>
          <w:szCs w:val="16"/>
        </w:rPr>
        <w:t>Sentencia de 23 de agosto de 2018. Serie C No. 359</w:t>
      </w:r>
      <w:r w:rsidRPr="000B33B9">
        <w:rPr>
          <w:rFonts w:ascii="Verdana" w:hAnsi="Verdana"/>
          <w:sz w:val="16"/>
          <w:szCs w:val="16"/>
          <w:lang w:val="es-CR"/>
        </w:rPr>
        <w:t xml:space="preserve">, párr. 98,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190.</w:t>
      </w:r>
    </w:p>
  </w:footnote>
  <w:footnote w:id="265">
    <w:p w14:paraId="4BD36B43" w14:textId="77777777"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190.</w:t>
      </w:r>
    </w:p>
  </w:footnote>
  <w:footnote w:id="266">
    <w:p w14:paraId="39A2EFBE" w14:textId="032AD625" w:rsidR="00223943" w:rsidRPr="000B33B9" w:rsidRDefault="00223943" w:rsidP="000B33B9">
      <w:pPr>
        <w:pStyle w:val="Textonotapie"/>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192.</w:t>
      </w:r>
    </w:p>
  </w:footnote>
  <w:footnote w:id="267">
    <w:p w14:paraId="5C959118" w14:textId="719C9A81"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 xml:space="preserve">Cfr. </w:t>
      </w:r>
      <w:r w:rsidRPr="000B33B9">
        <w:rPr>
          <w:rFonts w:ascii="Verdana" w:hAnsi="Verdana"/>
          <w:i/>
          <w:sz w:val="16"/>
          <w:szCs w:val="16"/>
          <w:lang w:val="es-PE"/>
        </w:rPr>
        <w:t xml:space="preserve">Caso </w:t>
      </w:r>
      <w:r w:rsidRPr="000B33B9">
        <w:rPr>
          <w:rFonts w:ascii="Verdana" w:hAnsi="Verdana"/>
          <w:i/>
          <w:sz w:val="16"/>
          <w:szCs w:val="16"/>
          <w:lang w:val="es-DO"/>
        </w:rPr>
        <w:t xml:space="preserve">Muelle Flores Vs. Perú. Excepciones Preliminares, </w:t>
      </w:r>
      <w:r w:rsidRPr="000B33B9">
        <w:rPr>
          <w:rFonts w:ascii="Verdana" w:hAnsi="Verdana"/>
          <w:i/>
          <w:sz w:val="16"/>
          <w:szCs w:val="16"/>
        </w:rPr>
        <w:t xml:space="preserve">Fondo, Reparaciones y Costas. </w:t>
      </w:r>
      <w:r w:rsidRPr="000B33B9">
        <w:rPr>
          <w:rFonts w:ascii="Verdana" w:hAnsi="Verdana"/>
          <w:sz w:val="16"/>
          <w:szCs w:val="16"/>
        </w:rPr>
        <w:t>Sentencia de 6 de marzo de 2019. Serie C No. 375,</w:t>
      </w:r>
      <w:r w:rsidRPr="000B33B9">
        <w:rPr>
          <w:rFonts w:ascii="Verdana" w:hAnsi="Verdana"/>
          <w:sz w:val="16"/>
          <w:szCs w:val="16"/>
          <w:lang w:val="es-PE"/>
        </w:rPr>
        <w:t xml:space="preserve"> párr. 194</w:t>
      </w:r>
      <w:r w:rsidRPr="000B33B9">
        <w:rPr>
          <w:rFonts w:ascii="Verdana" w:hAnsi="Verdana"/>
          <w:sz w:val="16"/>
          <w:szCs w:val="16"/>
          <w:lang w:val="es-CR"/>
        </w:rPr>
        <w:t>.</w:t>
      </w:r>
    </w:p>
  </w:footnote>
  <w:footnote w:id="268">
    <w:p w14:paraId="70EC36EF" w14:textId="7EBF10CC"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PE"/>
        </w:rPr>
        <w:t xml:space="preserve">Caso </w:t>
      </w:r>
      <w:r w:rsidRPr="000B33B9">
        <w:rPr>
          <w:rFonts w:ascii="Verdana" w:hAnsi="Verdana"/>
          <w:i/>
          <w:sz w:val="16"/>
          <w:szCs w:val="16"/>
          <w:lang w:val="es-DO"/>
        </w:rPr>
        <w:t xml:space="preserve">Muelle Flores Vs. Perú. Excepciones Preliminares, </w:t>
      </w:r>
      <w:r w:rsidRPr="000B33B9">
        <w:rPr>
          <w:rFonts w:ascii="Verdana" w:hAnsi="Verdana"/>
          <w:i/>
          <w:sz w:val="16"/>
          <w:szCs w:val="16"/>
        </w:rPr>
        <w:t xml:space="preserve">Fondo, Reparaciones y Costas. </w:t>
      </w:r>
      <w:r w:rsidRPr="000B33B9">
        <w:rPr>
          <w:rFonts w:ascii="Verdana" w:hAnsi="Verdana"/>
          <w:sz w:val="16"/>
          <w:szCs w:val="16"/>
        </w:rPr>
        <w:t>Sentencia de 6 de marzo de 2019. Serie C No. 375</w:t>
      </w:r>
      <w:r w:rsidRPr="000B33B9">
        <w:rPr>
          <w:rFonts w:ascii="Verdana" w:hAnsi="Verdana"/>
          <w:i/>
          <w:sz w:val="16"/>
          <w:szCs w:val="16"/>
        </w:rPr>
        <w:t xml:space="preserve">, </w:t>
      </w:r>
      <w:r w:rsidRPr="000B33B9">
        <w:rPr>
          <w:rFonts w:ascii="Verdana" w:hAnsi="Verdana"/>
          <w:sz w:val="16"/>
          <w:szCs w:val="16"/>
        </w:rPr>
        <w:t xml:space="preserve">párr. 187, y ONU, </w:t>
      </w:r>
      <w:r w:rsidRPr="000B33B9">
        <w:rPr>
          <w:rFonts w:ascii="Verdana" w:hAnsi="Verdana"/>
          <w:sz w:val="16"/>
          <w:szCs w:val="16"/>
          <w:lang w:val="es-CR"/>
        </w:rPr>
        <w:t xml:space="preserve">Comité de Derechos Económicos, Sociales y Culturales. </w:t>
      </w:r>
      <w:r w:rsidRPr="000B33B9">
        <w:rPr>
          <w:rFonts w:ascii="Verdana" w:hAnsi="Verdana"/>
          <w:i/>
          <w:sz w:val="16"/>
          <w:szCs w:val="16"/>
          <w:lang w:val="es-CR"/>
        </w:rPr>
        <w:t xml:space="preserve">Observación General No. 19: </w:t>
      </w:r>
      <w:r w:rsidRPr="000B33B9">
        <w:rPr>
          <w:rFonts w:ascii="Verdana" w:hAnsi="Verdana"/>
          <w:i/>
          <w:iCs/>
          <w:sz w:val="16"/>
          <w:szCs w:val="16"/>
          <w:lang w:val="es-CR"/>
        </w:rPr>
        <w:t>El derecho a la seguridad social (artículo 9)</w:t>
      </w:r>
      <w:r w:rsidRPr="000B33B9">
        <w:rPr>
          <w:rFonts w:ascii="Verdana" w:hAnsi="Verdana"/>
          <w:sz w:val="16"/>
          <w:szCs w:val="16"/>
          <w:lang w:val="es-CR"/>
        </w:rPr>
        <w:t xml:space="preserve">, 4 de febrero de 2008, </w:t>
      </w:r>
      <w:r w:rsidRPr="000B33B9">
        <w:rPr>
          <w:rFonts w:ascii="Verdana" w:hAnsi="Verdana"/>
          <w:sz w:val="16"/>
          <w:szCs w:val="16"/>
        </w:rPr>
        <w:t>párrs. 9 a 28.</w:t>
      </w:r>
    </w:p>
  </w:footnote>
  <w:footnote w:id="269">
    <w:p w14:paraId="31045A46" w14:textId="7416F015" w:rsidR="00223943" w:rsidRPr="000B33B9" w:rsidRDefault="00223943" w:rsidP="000B33B9">
      <w:pPr>
        <w:pStyle w:val="Textonotapie"/>
        <w:spacing w:after="12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lang w:val="es-DO"/>
        </w:rPr>
        <w:t xml:space="preserve">Perú. Constitución Política de fecha 12 de julio de 1979. Octava Disposición Transitoria. </w:t>
      </w:r>
    </w:p>
  </w:footnote>
  <w:footnote w:id="270">
    <w:p w14:paraId="0F07F531" w14:textId="39707EB2"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Decreto Legislativo No. 673 de fecha 23 de septiembre de 1991. Artículos 1 y 2 </w:t>
      </w:r>
      <w:r w:rsidRPr="000B33B9">
        <w:rPr>
          <w:rFonts w:ascii="Verdana" w:hAnsi="Verdana"/>
          <w:sz w:val="16"/>
          <w:szCs w:val="16"/>
          <w:lang w:val="es-DO"/>
        </w:rPr>
        <w:t xml:space="preserve">(expediente de prueba, folios del 15094 al 15096). </w:t>
      </w:r>
    </w:p>
  </w:footnote>
  <w:footnote w:id="271">
    <w:p w14:paraId="3F561066" w14:textId="35D343DF" w:rsidR="00223943" w:rsidRPr="000B33B9" w:rsidRDefault="00223943" w:rsidP="000B33B9">
      <w:pPr>
        <w:pStyle w:val="Prrafodelista"/>
        <w:spacing w:after="120" w:line="240" w:lineRule="auto"/>
        <w:ind w:left="0"/>
        <w:contextualSpacing w:val="0"/>
        <w:jc w:val="both"/>
        <w:rPr>
          <w:rFonts w:ascii="Verdana" w:hAnsi="Verdana"/>
          <w:sz w:val="16"/>
          <w:szCs w:val="16"/>
          <w:lang w:val="es-DO"/>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sz w:val="16"/>
          <w:szCs w:val="16"/>
          <w:lang w:val="es-DO"/>
        </w:rPr>
        <w:t>El Tribunal recuerda que la Ley 23495 disponía la nivelación progresiva de las pensiones conforme fueran aumentando las remuneraciones de los trabajadores activos, es decir que a medida que fueran incrementándose los salarios de dichos servidores el monto de las pensiones aumentaría correlativamente. Al haber establecido que, salvo el caso de los trabajadores que ya pertenecían al Decreto 276 y decidieran continuar acogidos al mismo, en lo adelante el régimen general aplicable a los servidores de la SUNAT sería el del Decreto 4916 y que las remuneraciones percibidas con arreglo al mismo no serían pensionables para los cesantes y jubilados comprendidos en el Decreto 20530, como tampoco lo sería el aumento que por concepto de la diferencia con dichos salarios recibirían los trabajadores sujetos al régimen del Decreto 276, el Decreto 673 impactó la progresividad de la nivelación de las pensiones de las víctimas. En otras palabras, como en lo adelante la mayoría de los servidores activos de la SUNAT pertenecerían al régimen laboral privado del Decreto 4916 y sus remuneraciones no tenían carácter pensionable a efectos del Decreto 20530</w:t>
      </w:r>
      <w:r w:rsidRPr="000B33B9">
        <w:rPr>
          <w:rStyle w:val="Refdenotaalpie"/>
          <w:rFonts w:ascii="Verdana" w:hAnsi="Verdana"/>
          <w:sz w:val="16"/>
          <w:szCs w:val="16"/>
          <w:lang w:val="es-DO"/>
        </w:rPr>
        <w:footnoteRef/>
      </w:r>
      <w:r w:rsidRPr="000B33B9">
        <w:rPr>
          <w:rFonts w:ascii="Verdana" w:hAnsi="Verdana"/>
          <w:sz w:val="16"/>
          <w:szCs w:val="16"/>
          <w:lang w:val="es-DO"/>
        </w:rPr>
        <w:t>, las pensiones de las víctimas no aumentarían en proporción a los incrementos salariales que recibirían los trabajadores activos de la SUNAT, como prescribe la Ley 23495, con la excepción de aquellos que pudieran suscitarse en el marco de las remuneraciones otorgadas según el Decreto 276 sin que esto tampoco incluyera los montos a pagar por la diferencia con los salarios del régimen laboral público. Lo anterior implicó necesariamente la limitación de los incrementos en las pensiones que, por concepto del derecho de nivelación progresiva, las víctimas tenían la expectativa de recibir.</w:t>
      </w:r>
    </w:p>
  </w:footnote>
  <w:footnote w:id="272">
    <w:p w14:paraId="63BFEA5A" w14:textId="20418FEE"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 </w:t>
      </w:r>
      <w:r w:rsidRPr="000B33B9">
        <w:rPr>
          <w:rFonts w:ascii="Verdana" w:hAnsi="Verdana"/>
          <w:sz w:val="16"/>
          <w:szCs w:val="16"/>
        </w:rPr>
        <w:t xml:space="preserve">En sus palabras: “No señor, no hubiéramos renunciado ni mi esposo ni yo, teníamos que ver por nuestros hijos, que tuvieran una educación digna para que luego ellos pudieran vivir bien y darles igual estudios a nuestros hijos”. </w:t>
      </w:r>
      <w:r w:rsidRPr="000B33B9">
        <w:rPr>
          <w:rFonts w:ascii="Verdana" w:hAnsi="Verdana"/>
          <w:i/>
          <w:sz w:val="16"/>
          <w:szCs w:val="16"/>
        </w:rPr>
        <w:t>Cfr.</w:t>
      </w:r>
      <w:r w:rsidR="0090641F" w:rsidRPr="000B33B9">
        <w:rPr>
          <w:rFonts w:ascii="Verdana" w:hAnsi="Verdana"/>
          <w:sz w:val="16"/>
          <w:szCs w:val="16"/>
        </w:rPr>
        <w:t xml:space="preserve"> Declaración</w:t>
      </w:r>
      <w:r w:rsidRPr="000B33B9">
        <w:rPr>
          <w:rFonts w:ascii="Verdana" w:hAnsi="Verdana"/>
          <w:sz w:val="16"/>
          <w:szCs w:val="16"/>
        </w:rPr>
        <w:t xml:space="preserve"> de la señora </w:t>
      </w:r>
      <w:r w:rsidR="0090641F" w:rsidRPr="000B33B9">
        <w:rPr>
          <w:rFonts w:ascii="Verdana" w:hAnsi="Verdana"/>
          <w:sz w:val="16"/>
          <w:szCs w:val="16"/>
        </w:rPr>
        <w:t>Ana María Ráez Guevara, rendida</w:t>
      </w:r>
      <w:r w:rsidRPr="000B33B9">
        <w:rPr>
          <w:rFonts w:ascii="Verdana" w:hAnsi="Verdana"/>
          <w:sz w:val="16"/>
          <w:szCs w:val="16"/>
        </w:rPr>
        <w:t xml:space="preserve"> en audiencia pública de 7 de mayo de 2019 (p. 15). </w:t>
      </w:r>
    </w:p>
  </w:footnote>
  <w:footnote w:id="273">
    <w:p w14:paraId="548E5B9B" w14:textId="3F78709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 xml:space="preserve">En el peritaje se recogen declaraciones como la siguiente: “Me engañaron, de haberlo imaginado nunca hubiera arriesgado la estabilidad de mi familia, fuimos engañados, eso no es justo”. </w:t>
      </w:r>
      <w:r w:rsidRPr="000B33B9">
        <w:rPr>
          <w:rFonts w:ascii="Verdana" w:hAnsi="Verdana"/>
          <w:i/>
          <w:sz w:val="16"/>
          <w:szCs w:val="16"/>
        </w:rPr>
        <w:t>Cfr.</w:t>
      </w:r>
      <w:r w:rsidRPr="000B33B9">
        <w:rPr>
          <w:rFonts w:ascii="Verdana" w:hAnsi="Verdana"/>
          <w:sz w:val="16"/>
          <w:szCs w:val="16"/>
        </w:rPr>
        <w:t xml:space="preserve"> Peritaje de Viviana Frida Vals Gen Rivera, rendido ante fedatario público el 31 de agosto de 2018 (expediente de prueba, folios del 942 al 959). </w:t>
      </w:r>
    </w:p>
  </w:footnote>
  <w:footnote w:id="274">
    <w:p w14:paraId="088F8DD0" w14:textId="55DE877D"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xml:space="preserve">. Sentencia de 6 de marzo de 2019. Serie C No. 375, párr. 187, y </w:t>
      </w:r>
      <w:r w:rsidRPr="000B33B9">
        <w:rPr>
          <w:rFonts w:ascii="Verdana" w:hAnsi="Verdana"/>
          <w:sz w:val="16"/>
          <w:szCs w:val="16"/>
          <w:lang w:val="es-CR"/>
        </w:rPr>
        <w:t xml:space="preserve">ONU, Comité de Derechos Económicos, Sociales y Culturales, </w:t>
      </w:r>
      <w:r w:rsidRPr="000B33B9">
        <w:rPr>
          <w:rFonts w:ascii="Verdana" w:hAnsi="Verdana"/>
          <w:i/>
          <w:sz w:val="16"/>
          <w:szCs w:val="16"/>
          <w:lang w:val="es-CR"/>
        </w:rPr>
        <w:t>Observación General No. 19,</w:t>
      </w:r>
      <w:r w:rsidRPr="000B33B9">
        <w:rPr>
          <w:rFonts w:ascii="Verdana" w:hAnsi="Verdana"/>
          <w:sz w:val="16"/>
          <w:szCs w:val="16"/>
          <w:lang w:val="es-CR"/>
        </w:rPr>
        <w:t xml:space="preserve"> </w:t>
      </w:r>
      <w:r w:rsidRPr="000B33B9">
        <w:rPr>
          <w:rFonts w:ascii="Verdana" w:hAnsi="Verdana"/>
          <w:i/>
          <w:iCs/>
          <w:sz w:val="16"/>
          <w:szCs w:val="16"/>
          <w:lang w:val="es-CR"/>
        </w:rPr>
        <w:t>El derecho a la seguridad social (artículo 9)</w:t>
      </w:r>
      <w:r w:rsidRPr="000B33B9">
        <w:rPr>
          <w:rFonts w:ascii="Verdana" w:hAnsi="Verdana"/>
          <w:sz w:val="16"/>
          <w:szCs w:val="16"/>
          <w:lang w:val="es-CR"/>
        </w:rPr>
        <w:t>, 4 de febrero de 2008, párrs. 9 a 28.</w:t>
      </w:r>
    </w:p>
  </w:footnote>
  <w:footnote w:id="275">
    <w:p w14:paraId="06400C6E" w14:textId="227AE589" w:rsidR="00223943" w:rsidRPr="000B33B9" w:rsidRDefault="00223943" w:rsidP="000B33B9">
      <w:pPr>
        <w:pStyle w:val="Textonotapie"/>
        <w:spacing w:after="120"/>
        <w:jc w:val="both"/>
        <w:rPr>
          <w:rFonts w:ascii="Verdana" w:hAnsi="Verdana"/>
          <w:i/>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Cfr.</w:t>
      </w:r>
      <w:r w:rsidRPr="000B33B9">
        <w:rPr>
          <w:rFonts w:ascii="Verdana" w:hAnsi="Verdana"/>
          <w:sz w:val="16"/>
          <w:szCs w:val="16"/>
        </w:rPr>
        <w:t xml:space="preserve">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párrs. 205 y 206.</w:t>
      </w:r>
    </w:p>
  </w:footnote>
  <w:footnote w:id="276">
    <w:p w14:paraId="62297D59" w14:textId="12B49D1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de los “Niños de la Calle” (Villagrán Morales y otros) Vs. Guatemala. Fondo</w:t>
      </w:r>
      <w:r w:rsidRPr="000B33B9">
        <w:rPr>
          <w:rFonts w:ascii="Verdana" w:hAnsi="Verdana"/>
          <w:sz w:val="16"/>
          <w:szCs w:val="16"/>
        </w:rPr>
        <w:t xml:space="preserve">. Sentencia de 19 de noviembre de 1999. Serie C No. 63, párr. 144, y </w:t>
      </w:r>
      <w:r w:rsidRPr="000B33B9">
        <w:rPr>
          <w:rFonts w:ascii="Verdana" w:hAnsi="Verdana" w:cstheme="minorHAnsi"/>
          <w:i/>
          <w:sz w:val="16"/>
          <w:szCs w:val="16"/>
        </w:rPr>
        <w:t xml:space="preserve">Caso Cuscul Pivaral y otros Vs. Guatemala. Excepción Preliminar, Fondo, Reparaciones y Costas. </w:t>
      </w:r>
      <w:r w:rsidRPr="000B33B9">
        <w:rPr>
          <w:rFonts w:ascii="Verdana" w:hAnsi="Verdana" w:cstheme="minorHAnsi"/>
          <w:sz w:val="16"/>
          <w:szCs w:val="16"/>
        </w:rPr>
        <w:t>Sentencia de 23 de agosto de 2018. Serie C No. 359</w:t>
      </w:r>
      <w:r w:rsidRPr="000B33B9">
        <w:rPr>
          <w:rFonts w:ascii="Verdana" w:hAnsi="Verdana"/>
          <w:sz w:val="16"/>
          <w:szCs w:val="16"/>
          <w:lang w:val="es-CR"/>
        </w:rPr>
        <w:t>, párr. 155.</w:t>
      </w:r>
    </w:p>
  </w:footnote>
  <w:footnote w:id="277">
    <w:p w14:paraId="6CBAB1AC" w14:textId="4029A447" w:rsidR="00223943" w:rsidRPr="000B33B9" w:rsidRDefault="00223943" w:rsidP="000B33B9">
      <w:pPr>
        <w:pStyle w:val="Textonotapie"/>
        <w:spacing w:after="120"/>
        <w:jc w:val="both"/>
        <w:rPr>
          <w:rFonts w:ascii="Verdana" w:hAnsi="Verdana"/>
          <w:i/>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Caso Myrna Mack Chang Vs. Guatemala. Fondo, Reparaciones y Costas. </w:t>
      </w:r>
      <w:r w:rsidRPr="000B33B9">
        <w:rPr>
          <w:rFonts w:ascii="Verdana" w:hAnsi="Verdana"/>
          <w:sz w:val="16"/>
          <w:szCs w:val="16"/>
        </w:rPr>
        <w:t xml:space="preserve">Sentencia de 25 de noviembre de 2003. Serie C No. 101, párr. 152, y </w:t>
      </w:r>
      <w:r w:rsidRPr="000B33B9">
        <w:rPr>
          <w:rFonts w:ascii="Verdana" w:hAnsi="Verdana"/>
          <w:i/>
          <w:sz w:val="16"/>
          <w:szCs w:val="16"/>
        </w:rPr>
        <w:t xml:space="preserve">Caso Comunidad Indígena Yakye Axa Vs. Paraguay. Fondo, Reparaciones y Costas. </w:t>
      </w:r>
      <w:r w:rsidRPr="000B33B9">
        <w:rPr>
          <w:rFonts w:ascii="Verdana" w:hAnsi="Verdana"/>
          <w:sz w:val="16"/>
          <w:szCs w:val="16"/>
        </w:rPr>
        <w:t>Sentencia de 17 de junio de 2005. Serie C No. 125, párr. 161.</w:t>
      </w:r>
    </w:p>
  </w:footnote>
  <w:footnote w:id="278">
    <w:p w14:paraId="513EF45E" w14:textId="53E7A4C0"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de los “Niños de la Calle” (Villagrán Morales y otros) Vs. Guatemala. Fondo</w:t>
      </w:r>
      <w:r w:rsidRPr="000B33B9">
        <w:rPr>
          <w:rFonts w:ascii="Verdana" w:hAnsi="Verdana"/>
          <w:sz w:val="16"/>
          <w:szCs w:val="16"/>
        </w:rPr>
        <w:t xml:space="preserve">. Sentencia de 19 de noviembre de 1999. Serie C No. 63, párr. 144, y </w:t>
      </w:r>
      <w:r w:rsidRPr="000B33B9">
        <w:rPr>
          <w:rFonts w:ascii="Verdana" w:hAnsi="Verdana"/>
          <w:i/>
          <w:sz w:val="16"/>
          <w:szCs w:val="16"/>
        </w:rPr>
        <w:t xml:space="preserve">Caso Comunidad Indígena Yakye Axa Vs. Paraguay. Fondo, Reparaciones y Costas. </w:t>
      </w:r>
      <w:r w:rsidRPr="000B33B9">
        <w:rPr>
          <w:rFonts w:ascii="Verdana" w:hAnsi="Verdana"/>
          <w:sz w:val="16"/>
          <w:szCs w:val="16"/>
        </w:rPr>
        <w:t>Sentencia de 17 de junio de 2005. Serie C No. 125, párr. 162.</w:t>
      </w:r>
    </w:p>
  </w:footnote>
  <w:footnote w:id="279">
    <w:p w14:paraId="77318EBD" w14:textId="4B48F005"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ab/>
      </w:r>
      <w:r w:rsidRPr="000B33B9">
        <w:rPr>
          <w:rFonts w:ascii="Verdana" w:hAnsi="Verdana"/>
          <w:i/>
          <w:sz w:val="16"/>
          <w:szCs w:val="16"/>
        </w:rPr>
        <w:t>Caso “Instituto de Reeducación del Menor” Vs. Paraguay. Excepciones Preliminares, Fondo, Reparaciones y Costas</w:t>
      </w:r>
      <w:r w:rsidRPr="000B33B9">
        <w:rPr>
          <w:rFonts w:ascii="Verdana" w:hAnsi="Verdana"/>
          <w:sz w:val="16"/>
          <w:szCs w:val="16"/>
        </w:rPr>
        <w:t xml:space="preserve">. Sentencia de 2 de septiembre de 2004. Serie C No. 112, párr. 159, y </w:t>
      </w:r>
      <w:r w:rsidRPr="000B33B9">
        <w:rPr>
          <w:rFonts w:ascii="Verdana" w:hAnsi="Verdana"/>
          <w:i/>
          <w:sz w:val="16"/>
          <w:szCs w:val="16"/>
        </w:rPr>
        <w:t>Caso</w:t>
      </w:r>
      <w:r w:rsidRPr="000B33B9">
        <w:rPr>
          <w:rFonts w:ascii="Verdana" w:hAnsi="Verdana"/>
          <w:sz w:val="16"/>
          <w:szCs w:val="16"/>
        </w:rPr>
        <w:t xml:space="preserve"> </w:t>
      </w:r>
      <w:r w:rsidRPr="000B33B9">
        <w:rPr>
          <w:rFonts w:ascii="Verdana" w:hAnsi="Verdana"/>
          <w:i/>
          <w:sz w:val="16"/>
          <w:szCs w:val="16"/>
        </w:rPr>
        <w:t xml:space="preserve">Comunidad Indígena Yakye Axa Vs. Paraguay. Fondo, Reparaciones y Costas. </w:t>
      </w:r>
      <w:r w:rsidRPr="000B33B9">
        <w:rPr>
          <w:rFonts w:ascii="Verdana" w:hAnsi="Verdana"/>
          <w:sz w:val="16"/>
          <w:szCs w:val="16"/>
        </w:rPr>
        <w:t>Sentencia de 17 de junio de 2005. Serie C No. 125, párr. 162.</w:t>
      </w:r>
    </w:p>
  </w:footnote>
  <w:footnote w:id="280">
    <w:p w14:paraId="433DEBA3" w14:textId="10721251" w:rsidR="00223943" w:rsidRPr="000B33B9" w:rsidRDefault="00223943" w:rsidP="000B33B9">
      <w:pPr>
        <w:pStyle w:val="Textonotapie"/>
        <w:spacing w:after="120"/>
        <w:jc w:val="both"/>
        <w:rPr>
          <w:rFonts w:ascii="Verdana" w:hAnsi="Verdana"/>
          <w:i/>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Caso</w:t>
      </w:r>
      <w:r w:rsidRPr="000B33B9">
        <w:rPr>
          <w:rFonts w:ascii="Verdana" w:hAnsi="Verdana"/>
          <w:sz w:val="16"/>
          <w:szCs w:val="16"/>
        </w:rPr>
        <w:t xml:space="preserve"> </w:t>
      </w:r>
      <w:r w:rsidRPr="000B33B9">
        <w:rPr>
          <w:rFonts w:ascii="Verdana" w:hAnsi="Verdana"/>
          <w:i/>
          <w:sz w:val="16"/>
          <w:szCs w:val="16"/>
        </w:rPr>
        <w:t xml:space="preserve">Comunidad Indígena Yakye Axa Vs. Paraguay. Fondo, Reparaciones y Costas. </w:t>
      </w:r>
      <w:r w:rsidRPr="000B33B9">
        <w:rPr>
          <w:rFonts w:ascii="Verdana" w:hAnsi="Verdana"/>
          <w:sz w:val="16"/>
          <w:szCs w:val="16"/>
        </w:rPr>
        <w:t>Sentencia de 17 de junio de 2005. Serie C No. 125, párr. 162.</w:t>
      </w:r>
    </w:p>
  </w:footnote>
  <w:footnote w:id="281">
    <w:p w14:paraId="2D0C31B6" w14:textId="39C4AAFF"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Style w:val="Textoennegrita"/>
          <w:rFonts w:ascii="Verdana" w:hAnsi="Verdana"/>
          <w:b w:val="0"/>
          <w:i/>
          <w:color w:val="000000"/>
          <w:sz w:val="16"/>
          <w:szCs w:val="16"/>
          <w:shd w:val="clear" w:color="auto" w:fill="FFFFFF"/>
        </w:rPr>
        <w:t>Cfr. Caso Poblete Vilches y Otros Vs. Chile. Fondo, Reparaciones y Costas.</w:t>
      </w:r>
      <w:r w:rsidRPr="000B33B9">
        <w:rPr>
          <w:rStyle w:val="Textoennegrita"/>
          <w:rFonts w:ascii="Verdana" w:hAnsi="Verdana"/>
          <w:b w:val="0"/>
          <w:color w:val="000000"/>
          <w:sz w:val="16"/>
          <w:szCs w:val="16"/>
          <w:shd w:val="clear" w:color="auto" w:fill="FFFFFF"/>
        </w:rPr>
        <w:t xml:space="preserve"> Sentencia de 8 de marzo de 2018. Serie C No. 349,</w:t>
      </w:r>
      <w:r w:rsidRPr="000B33B9">
        <w:rPr>
          <w:rFonts w:ascii="Verdana" w:hAnsi="Verdana"/>
          <w:sz w:val="16"/>
          <w:szCs w:val="16"/>
          <w:lang w:val="es-CR"/>
        </w:rPr>
        <w:t xml:space="preserve"> párr. 140,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163.</w:t>
      </w:r>
    </w:p>
  </w:footnote>
  <w:footnote w:id="282">
    <w:p w14:paraId="2E55B788" w14:textId="674CA998"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sz w:val="16"/>
          <w:szCs w:val="16"/>
        </w:rPr>
        <w:t xml:space="preserve">Pacto Internacional de Derechos Económicos, Sociales y Culturales. </w:t>
      </w:r>
      <w:r w:rsidRPr="000B33B9">
        <w:rPr>
          <w:rFonts w:ascii="Verdana" w:hAnsi="Verdana"/>
          <w:sz w:val="16"/>
          <w:szCs w:val="16"/>
          <w:lang w:val="es-CR"/>
        </w:rPr>
        <w:t xml:space="preserve">Adoptado y abierto a la firma, ratificación y adhesión por la Asamblea General en su resolución 2200 A (XXI), de 16 de diciembre de 1966. </w:t>
      </w:r>
      <w:r w:rsidRPr="000B33B9">
        <w:rPr>
          <w:rFonts w:ascii="Verdana" w:hAnsi="Verdana"/>
          <w:bCs/>
          <w:sz w:val="16"/>
          <w:szCs w:val="16"/>
          <w:lang w:val="es-CR"/>
        </w:rPr>
        <w:t>Entrada en vigor: 3 de enero de 1976. Ratificado por Perú el 28 de abril de 1978, artículo 11.</w:t>
      </w:r>
    </w:p>
  </w:footnote>
  <w:footnote w:id="283">
    <w:p w14:paraId="3985932C" w14:textId="46F8034C"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sz w:val="16"/>
          <w:szCs w:val="16"/>
        </w:rPr>
        <w:t xml:space="preserve">ONU. Asamblea General, </w:t>
      </w:r>
      <w:r w:rsidRPr="000B33B9">
        <w:rPr>
          <w:rFonts w:ascii="Verdana" w:hAnsi="Verdana"/>
          <w:i/>
          <w:sz w:val="16"/>
          <w:szCs w:val="16"/>
        </w:rPr>
        <w:t>Principios de las Naciones Unidas en Favor de las Personas de Edad</w:t>
      </w:r>
      <w:r w:rsidRPr="000B33B9">
        <w:rPr>
          <w:rFonts w:ascii="Verdana" w:hAnsi="Verdana"/>
          <w:sz w:val="16"/>
          <w:szCs w:val="16"/>
        </w:rPr>
        <w:t>. Aprobados mediante Resolución 46/91 de 16 de diciembre de 1991, principio 1.</w:t>
      </w:r>
    </w:p>
  </w:footnote>
  <w:footnote w:id="284">
    <w:p w14:paraId="487E076B" w14:textId="475E002A"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Cfr.</w:t>
      </w:r>
      <w:r w:rsidRPr="000B33B9">
        <w:rPr>
          <w:rFonts w:ascii="Verdana" w:hAnsi="Verdana"/>
          <w:sz w:val="16"/>
          <w:szCs w:val="16"/>
        </w:rPr>
        <w:t xml:space="preserve"> Peritaje de Viviana Frida Vals Gen Rivera, rendido ante fedatario público el 31 de agosto de 2018 (expediente de fondo, folios del 948 al 956).</w:t>
      </w:r>
    </w:p>
  </w:footnote>
  <w:footnote w:id="285">
    <w:p w14:paraId="25EF76C7" w14:textId="26A464F1"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 xml:space="preserve">Cfr. </w:t>
      </w:r>
      <w:r w:rsidRPr="000B33B9">
        <w:rPr>
          <w:rFonts w:ascii="Verdana" w:hAnsi="Verdana"/>
          <w:sz w:val="16"/>
          <w:szCs w:val="16"/>
        </w:rPr>
        <w:t>Peritaje de Viviana Frida Vals Gen Rivera, rendido ante fedatario público el 31 de agosto de 2018 (expediente de prueba, folio 948).</w:t>
      </w:r>
    </w:p>
  </w:footnote>
  <w:footnote w:id="286">
    <w:p w14:paraId="6EAC8123" w14:textId="7FDFC080"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w:t>
      </w:r>
      <w:r w:rsidRPr="000B33B9">
        <w:rPr>
          <w:rFonts w:ascii="Verdana" w:hAnsi="Verdana"/>
          <w:sz w:val="16"/>
          <w:szCs w:val="16"/>
        </w:rPr>
        <w:t>Peritaje de Viviana Frida Vals Gen Rivera, rendido ante fedatario público el 31 de agosto de 2018 (expediente de prueba, folio 954).</w:t>
      </w:r>
    </w:p>
  </w:footnote>
  <w:footnote w:id="287">
    <w:p w14:paraId="6AE31B8A" w14:textId="6758F6CD"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i/>
          <w:sz w:val="16"/>
          <w:szCs w:val="16"/>
          <w:lang w:val="es-ES"/>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 xml:space="preserve">Caso Ivcher Bronstein Vs. Perú. Fondo, Reparaciones y Costas. </w:t>
      </w:r>
      <w:r w:rsidRPr="000B33B9">
        <w:rPr>
          <w:rFonts w:ascii="Verdana" w:hAnsi="Verdana"/>
          <w:sz w:val="16"/>
          <w:szCs w:val="16"/>
        </w:rPr>
        <w:t xml:space="preserve">Sentencia de 6 de febrero de 2001. Serie C No. 74, párrs. 120 y 122,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212</w:t>
      </w:r>
      <w:r w:rsidRPr="000B33B9">
        <w:rPr>
          <w:rFonts w:ascii="Verdana" w:hAnsi="Verdana"/>
          <w:sz w:val="16"/>
          <w:szCs w:val="16"/>
        </w:rPr>
        <w:t>.</w:t>
      </w:r>
    </w:p>
  </w:footnote>
  <w:footnote w:id="288">
    <w:p w14:paraId="25A478D7" w14:textId="4D58045D"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 xml:space="preserve">Caso Ivcher Bronstein Vs. Perú. Fondo, Reparaciones y Costas. </w:t>
      </w:r>
      <w:r w:rsidRPr="000B33B9">
        <w:rPr>
          <w:rFonts w:ascii="Verdana" w:hAnsi="Verdana"/>
          <w:sz w:val="16"/>
          <w:szCs w:val="16"/>
        </w:rPr>
        <w:t xml:space="preserve">Sentencia de 6 de febrero de 2001. Serie C No. 74, párr. 122, y </w:t>
      </w:r>
      <w:r w:rsidRPr="000B33B9">
        <w:rPr>
          <w:rStyle w:val="Textoennegrita"/>
          <w:rFonts w:ascii="Verdana" w:hAnsi="Verdana"/>
          <w:b w:val="0"/>
          <w:i/>
          <w:color w:val="000000"/>
          <w:sz w:val="16"/>
          <w:szCs w:val="16"/>
          <w:shd w:val="clear" w:color="auto" w:fill="FFFFFF"/>
        </w:rPr>
        <w:t>Caso Muelle Flores Vs. Perú. Excepciones Preliminares, Fondo, Reparaciones y Costas</w:t>
      </w:r>
      <w:r w:rsidRPr="000B33B9">
        <w:rPr>
          <w:rStyle w:val="Textoennegrita"/>
          <w:rFonts w:ascii="Verdana" w:hAnsi="Verdana"/>
          <w:b w:val="0"/>
          <w:color w:val="000000"/>
          <w:sz w:val="16"/>
          <w:szCs w:val="16"/>
          <w:shd w:val="clear" w:color="auto" w:fill="FFFFFF"/>
        </w:rPr>
        <w:t>. Sentencia de 6 de marzo de 2019. Serie C No. 375, párr. 212</w:t>
      </w:r>
      <w:r w:rsidRPr="000B33B9">
        <w:rPr>
          <w:rFonts w:ascii="Verdana" w:hAnsi="Verdana"/>
          <w:sz w:val="16"/>
          <w:szCs w:val="16"/>
        </w:rPr>
        <w:t>.</w:t>
      </w:r>
    </w:p>
  </w:footnote>
  <w:footnote w:id="289">
    <w:p w14:paraId="31BCA5C0" w14:textId="08143AD2"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w:t>
      </w:r>
      <w:r w:rsidRPr="000B33B9">
        <w:rPr>
          <w:rFonts w:ascii="Verdana" w:hAnsi="Verdana"/>
          <w:sz w:val="16"/>
          <w:szCs w:val="16"/>
        </w:rPr>
        <w:t xml:space="preserve"> </w:t>
      </w:r>
      <w:r w:rsidRPr="000B33B9">
        <w:rPr>
          <w:rFonts w:ascii="Verdana" w:hAnsi="Verdana"/>
          <w:i/>
          <w:sz w:val="16"/>
          <w:szCs w:val="16"/>
        </w:rPr>
        <w:t xml:space="preserve">Caso Ivcher Bronstein Vs. Perú. Fondo, Reparaciones y Costas. </w:t>
      </w:r>
      <w:r w:rsidRPr="000B33B9">
        <w:rPr>
          <w:rFonts w:ascii="Verdana" w:hAnsi="Verdana"/>
          <w:sz w:val="16"/>
          <w:szCs w:val="16"/>
        </w:rPr>
        <w:t xml:space="preserve">Sentencia de 6 de febrero de 2001. Serie C No. 74, párr. 128, y </w:t>
      </w:r>
      <w:r w:rsidRPr="000B33B9">
        <w:rPr>
          <w:rFonts w:ascii="Verdana" w:hAnsi="Verdana"/>
          <w:i/>
          <w:sz w:val="16"/>
          <w:szCs w:val="16"/>
        </w:rPr>
        <w:t xml:space="preserve">Caso Andrade Salmón Vs. Bolivia. Fondo, Reparaciones y Costas. </w:t>
      </w:r>
      <w:r w:rsidRPr="000B33B9">
        <w:rPr>
          <w:rFonts w:ascii="Verdana" w:hAnsi="Verdana"/>
          <w:sz w:val="16"/>
          <w:szCs w:val="16"/>
        </w:rPr>
        <w:t>Sentencia de 1 de diciembre de 2016. Serie C No. 330, párr. 111.</w:t>
      </w:r>
    </w:p>
  </w:footnote>
  <w:footnote w:id="290">
    <w:p w14:paraId="2D2F81D4" w14:textId="235D40C8"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t>En igual sentido, y a manera de ejemplo, la Corte observa que el artículo 5 del Protocolo Adicional a la Convención Americana en materia de Derechos Económicos, Sociales y Culturales sólo permite a los Estados establecer limitaciones y restricciones al goce y ejercicio de los derechos económicos, sociales y culturales, “mediante leyes promulgadas con el objeto de preservar el bienestar general dentro de una sociedad democrática, en la medida que no contradigan el propósito y razón de los mismos”.</w:t>
      </w:r>
    </w:p>
  </w:footnote>
  <w:footnote w:id="291">
    <w:p w14:paraId="12947C02" w14:textId="4B74BEA4" w:rsidR="00223943" w:rsidRPr="000B33B9" w:rsidRDefault="00223943" w:rsidP="000B33B9">
      <w:pPr>
        <w:pStyle w:val="Textonotapie"/>
        <w:spacing w:after="120"/>
        <w:jc w:val="both"/>
        <w:rPr>
          <w:rFonts w:ascii="Verdana" w:hAnsi="Verdana"/>
          <w:sz w:val="16"/>
          <w:szCs w:val="16"/>
          <w:lang w:val="es-ES"/>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CR"/>
        </w:rPr>
        <w:t xml:space="preserve">Cfr. Caso Salvador Chiriboga Vs. Ecuador. Excepción Preliminar y Fondo. </w:t>
      </w:r>
      <w:r w:rsidRPr="000B33B9">
        <w:rPr>
          <w:rFonts w:ascii="Verdana" w:hAnsi="Verdana"/>
          <w:sz w:val="16"/>
          <w:szCs w:val="16"/>
          <w:lang w:val="es-CR"/>
        </w:rPr>
        <w:t xml:space="preserve">Sentencia de 6 de mayo de 2008. Serie C No. 179, párrs. 60 a 63; </w:t>
      </w:r>
      <w:r w:rsidRPr="000B33B9">
        <w:rPr>
          <w:rFonts w:ascii="Verdana" w:hAnsi="Verdana"/>
          <w:i/>
          <w:sz w:val="16"/>
          <w:szCs w:val="16"/>
          <w:lang w:val="es-CR"/>
        </w:rPr>
        <w:t xml:space="preserve">Caso Mémoli Vs. Argentina. Excepciones Preliminares, </w:t>
      </w:r>
      <w:r w:rsidRPr="000B33B9">
        <w:rPr>
          <w:rFonts w:ascii="Verdana" w:hAnsi="Verdana"/>
          <w:i/>
          <w:sz w:val="16"/>
          <w:szCs w:val="16"/>
        </w:rPr>
        <w:t xml:space="preserve">Fondo, Reparaciones y Costas. </w:t>
      </w:r>
      <w:r w:rsidRPr="000B33B9">
        <w:rPr>
          <w:rFonts w:ascii="Verdana" w:hAnsi="Verdana"/>
          <w:sz w:val="16"/>
          <w:szCs w:val="16"/>
        </w:rPr>
        <w:t xml:space="preserve">Sentencia de 22 de agosto de 2013. Serie C No. 265, párr. 170, y </w:t>
      </w:r>
      <w:r w:rsidRPr="000B33B9">
        <w:rPr>
          <w:rFonts w:ascii="Verdana" w:hAnsi="Verdana"/>
          <w:i/>
          <w:sz w:val="16"/>
          <w:szCs w:val="16"/>
        </w:rPr>
        <w:t xml:space="preserve">Caso Andrade Salmón Vs. Bolivia. Fondo, Reparaciones y Costas. </w:t>
      </w:r>
      <w:r w:rsidRPr="000B33B9">
        <w:rPr>
          <w:rFonts w:ascii="Verdana" w:hAnsi="Verdana"/>
          <w:sz w:val="16"/>
          <w:szCs w:val="16"/>
        </w:rPr>
        <w:t>Sentencia de 1 de diciembre de 2016. Serie C No. 330, párr. 111.</w:t>
      </w:r>
    </w:p>
  </w:footnote>
  <w:footnote w:id="292">
    <w:p w14:paraId="656611F8" w14:textId="4B3B16A1"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rPr>
        <w:t>Cfr. Caso Cinco Pensionistas Vs. Perú. Fondo, Reparaciones y Costas.</w:t>
      </w:r>
      <w:r w:rsidRPr="000B33B9">
        <w:rPr>
          <w:rFonts w:ascii="Verdana" w:hAnsi="Verdana"/>
          <w:sz w:val="16"/>
          <w:szCs w:val="16"/>
        </w:rPr>
        <w:t xml:space="preserve"> Sentencia de 28 de febrero de 2003. Serie C No. 98, párr. 103; </w:t>
      </w:r>
      <w:r w:rsidRPr="000B33B9">
        <w:rPr>
          <w:rFonts w:ascii="Verdana" w:hAnsi="Verdana"/>
          <w:i/>
          <w:sz w:val="16"/>
          <w:szCs w:val="16"/>
        </w:rPr>
        <w:t xml:space="preserve">Caso Acevedo Buendía y otros (“Cesantes y Jubilados de la Contraloría”) Vs. Perú. Excepción Preliminar, Fondo, Reparaciones y Costas. </w:t>
      </w:r>
      <w:r w:rsidRPr="000B33B9">
        <w:rPr>
          <w:rFonts w:ascii="Verdana" w:hAnsi="Verdana"/>
          <w:sz w:val="16"/>
          <w:szCs w:val="16"/>
        </w:rPr>
        <w:t xml:space="preserve">Sentencia de 1 de julio de 2009. Serie C No. 198, párr. 85,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 217.</w:t>
      </w:r>
    </w:p>
  </w:footnote>
  <w:footnote w:id="293">
    <w:p w14:paraId="17CC4E9B" w14:textId="0917998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VE"/>
        </w:rPr>
        <w:t>Cfr</w:t>
      </w:r>
      <w:r w:rsidRPr="000B33B9">
        <w:rPr>
          <w:rFonts w:ascii="Verdana" w:hAnsi="Verdana"/>
          <w:sz w:val="16"/>
          <w:szCs w:val="16"/>
          <w:lang w:val="es-VE"/>
        </w:rPr>
        <w:t xml:space="preserve">. Declaración de </w:t>
      </w:r>
      <w:r w:rsidRPr="000B33B9">
        <w:rPr>
          <w:rFonts w:ascii="Verdana" w:hAnsi="Verdana"/>
          <w:sz w:val="16"/>
          <w:szCs w:val="16"/>
          <w:lang w:val="es-CR"/>
        </w:rPr>
        <w:t>Christian Courtis, rendida ante fedatario público el 30 de agosto de 2018 (expediente de prueba, folio 1833).</w:t>
      </w:r>
    </w:p>
  </w:footnote>
  <w:footnote w:id="294">
    <w:p w14:paraId="48314748" w14:textId="4818E5BD" w:rsidR="00223943" w:rsidRPr="000B33B9" w:rsidRDefault="00223943" w:rsidP="000B33B9">
      <w:pPr>
        <w:pStyle w:val="Textonotapie"/>
        <w:spacing w:after="120"/>
        <w:jc w:val="both"/>
        <w:rPr>
          <w:rFonts w:ascii="Verdana" w:hAnsi="Verdana"/>
          <w:i/>
          <w:sz w:val="16"/>
          <w:szCs w:val="16"/>
          <w:lang w:val="es-CR"/>
        </w:rPr>
      </w:pPr>
      <w:r w:rsidRPr="000B33B9">
        <w:rPr>
          <w:rStyle w:val="Refdenotaalpie"/>
          <w:rFonts w:ascii="Verdana" w:eastAsiaTheme="majorEastAsia" w:hAnsi="Verdana"/>
          <w:sz w:val="16"/>
          <w:szCs w:val="16"/>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 xml:space="preserve">Cfr. Caso Castillo Petruzzi y otros Vs. Perú. Fondo, Reparaciones y Costas. </w:t>
      </w:r>
      <w:r w:rsidRPr="000B33B9">
        <w:rPr>
          <w:rFonts w:ascii="Verdana" w:hAnsi="Verdana"/>
          <w:sz w:val="16"/>
          <w:szCs w:val="16"/>
          <w:lang w:val="es-CR"/>
        </w:rPr>
        <w:t>Sentencia de 30 de mayo de 1999. Serie C No. 52</w:t>
      </w:r>
      <w:r w:rsidRPr="000B33B9">
        <w:rPr>
          <w:rFonts w:ascii="Verdana" w:hAnsi="Verdana"/>
          <w:i/>
          <w:sz w:val="16"/>
          <w:szCs w:val="16"/>
          <w:lang w:val="es-CR"/>
        </w:rPr>
        <w:t xml:space="preserve">, </w:t>
      </w:r>
      <w:r w:rsidRPr="000B33B9">
        <w:rPr>
          <w:rFonts w:ascii="Verdana" w:hAnsi="Verdana"/>
          <w:sz w:val="16"/>
          <w:szCs w:val="16"/>
          <w:lang w:val="es-CR"/>
        </w:rPr>
        <w:t>párr. 207</w:t>
      </w:r>
      <w:r w:rsidRPr="000B33B9">
        <w:rPr>
          <w:rFonts w:ascii="Verdana" w:hAnsi="Verdana"/>
          <w:i/>
          <w:sz w:val="16"/>
          <w:szCs w:val="16"/>
          <w:lang w:val="es-CR"/>
        </w:rPr>
        <w:t xml:space="preserve">, </w:t>
      </w:r>
      <w:r w:rsidRPr="000B33B9">
        <w:rPr>
          <w:rFonts w:ascii="Verdana" w:hAnsi="Verdana"/>
          <w:sz w:val="16"/>
          <w:szCs w:val="16"/>
          <w:lang w:val="es-CR"/>
        </w:rPr>
        <w:t xml:space="preserve">y </w:t>
      </w:r>
      <w:r w:rsidRPr="000B33B9">
        <w:rPr>
          <w:rFonts w:ascii="Verdana" w:hAnsi="Verdana"/>
          <w:i/>
          <w:sz w:val="16"/>
          <w:szCs w:val="16"/>
          <w:lang w:val="es-CR"/>
        </w:rPr>
        <w:t xml:space="preserve">Caso Gorigoitía Vs. Argentina. Excepción Preliminar, Fondo, Reparaciones y Costas. </w:t>
      </w:r>
      <w:r w:rsidRPr="000B33B9">
        <w:rPr>
          <w:rFonts w:ascii="Verdana" w:hAnsi="Verdana"/>
          <w:sz w:val="16"/>
          <w:szCs w:val="16"/>
          <w:lang w:val="es-CR"/>
        </w:rPr>
        <w:t>Sentencia de 2 de septiembre de 2019. Serie C No. 382, párr. 55.</w:t>
      </w:r>
      <w:r w:rsidRPr="000B33B9">
        <w:rPr>
          <w:rFonts w:ascii="Verdana" w:hAnsi="Verdana"/>
          <w:i/>
          <w:sz w:val="16"/>
          <w:szCs w:val="16"/>
          <w:lang w:val="es-CR"/>
        </w:rPr>
        <w:t xml:space="preserve"> </w:t>
      </w:r>
    </w:p>
  </w:footnote>
  <w:footnote w:id="295">
    <w:p w14:paraId="25887C2F" w14:textId="61161953"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iCs/>
          <w:sz w:val="16"/>
          <w:szCs w:val="16"/>
        </w:rPr>
        <w:t>Cfr. Caso Almonacid Arellano</w:t>
      </w:r>
      <w:r w:rsidRPr="000B33B9">
        <w:rPr>
          <w:rFonts w:ascii="Verdana" w:hAnsi="Verdana"/>
          <w:sz w:val="16"/>
          <w:szCs w:val="16"/>
        </w:rPr>
        <w:t xml:space="preserve"> </w:t>
      </w:r>
      <w:r w:rsidRPr="000B33B9">
        <w:rPr>
          <w:rFonts w:ascii="Verdana" w:hAnsi="Verdana"/>
          <w:i/>
          <w:iCs/>
          <w:sz w:val="16"/>
          <w:szCs w:val="16"/>
        </w:rPr>
        <w:t>y otros Vs. Chile</w:t>
      </w:r>
      <w:r w:rsidRPr="000B33B9">
        <w:rPr>
          <w:rFonts w:ascii="Verdana" w:hAnsi="Verdana"/>
          <w:sz w:val="16"/>
          <w:szCs w:val="16"/>
        </w:rPr>
        <w:t xml:space="preserve">. </w:t>
      </w:r>
      <w:r w:rsidRPr="000B33B9">
        <w:rPr>
          <w:rFonts w:ascii="Verdana" w:hAnsi="Verdana"/>
          <w:i/>
          <w:iCs/>
          <w:sz w:val="16"/>
          <w:szCs w:val="16"/>
        </w:rPr>
        <w:t>Excepciones Preliminares, Fondo, Reparaciones y costas</w:t>
      </w:r>
      <w:r w:rsidRPr="000B33B9">
        <w:rPr>
          <w:rFonts w:ascii="Verdana" w:hAnsi="Verdana"/>
          <w:sz w:val="16"/>
          <w:szCs w:val="16"/>
        </w:rPr>
        <w:t xml:space="preserve">. Sentencia de 26 de septiembre de 2006. Serie C No. 154, párr. 124, </w:t>
      </w:r>
      <w:r w:rsidRPr="000B33B9">
        <w:rPr>
          <w:rStyle w:val="Textoennegrita"/>
          <w:rFonts w:ascii="Verdana" w:hAnsi="Verdana"/>
          <w:b w:val="0"/>
          <w:color w:val="000000"/>
          <w:sz w:val="16"/>
          <w:szCs w:val="16"/>
          <w:shd w:val="clear" w:color="auto" w:fill="FFFFFF"/>
        </w:rPr>
        <w:t xml:space="preserve">y </w:t>
      </w:r>
      <w:r w:rsidRPr="000B33B9">
        <w:rPr>
          <w:rFonts w:ascii="Verdana" w:hAnsi="Verdana"/>
          <w:i/>
          <w:sz w:val="16"/>
          <w:szCs w:val="16"/>
          <w:lang w:val="es-CR"/>
        </w:rPr>
        <w:t xml:space="preserve">Caso Gorigoitía Vs. Argentina. Excepción Preliminar, Fondo, Reparaciones y Costas. </w:t>
      </w:r>
      <w:r w:rsidRPr="000B33B9">
        <w:rPr>
          <w:rFonts w:ascii="Verdana" w:hAnsi="Verdana"/>
          <w:sz w:val="16"/>
          <w:szCs w:val="16"/>
          <w:lang w:val="es-CR"/>
        </w:rPr>
        <w:t xml:space="preserve">Sentencia de 2 de septiembre de 2019. Serie C No. 382, párr. 55. </w:t>
      </w:r>
    </w:p>
  </w:footnote>
  <w:footnote w:id="296">
    <w:p w14:paraId="0010E78D" w14:textId="72A1E80A"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 xml:space="preserve">Cfr. </w:t>
      </w:r>
      <w:r w:rsidRPr="000B33B9">
        <w:rPr>
          <w:rStyle w:val="Textoennegrita"/>
          <w:rFonts w:ascii="Verdana" w:hAnsi="Verdana"/>
          <w:b w:val="0"/>
          <w:i/>
          <w:color w:val="000000"/>
          <w:sz w:val="16"/>
          <w:szCs w:val="16"/>
          <w:shd w:val="clear" w:color="auto" w:fill="FFFFFF"/>
        </w:rPr>
        <w:t>Caso Radilla Pacheco Vs. México. Excepciones Preliminares, Fondo, Reparaciones y Costas.</w:t>
      </w:r>
      <w:r w:rsidRPr="000B33B9">
        <w:rPr>
          <w:rStyle w:val="Textoennegrita"/>
          <w:rFonts w:ascii="Verdana" w:hAnsi="Verdana"/>
          <w:b w:val="0"/>
          <w:color w:val="000000"/>
          <w:sz w:val="16"/>
          <w:szCs w:val="16"/>
          <w:shd w:val="clear" w:color="auto" w:fill="FFFFFF"/>
        </w:rPr>
        <w:t xml:space="preserve"> Sentencia de 23 de noviembre de 2009. Serie C No. 209, párr. 340, y </w:t>
      </w:r>
      <w:r w:rsidRPr="000B33B9">
        <w:rPr>
          <w:rFonts w:ascii="Verdana" w:hAnsi="Verdana"/>
          <w:i/>
          <w:sz w:val="16"/>
          <w:szCs w:val="16"/>
          <w:lang w:val="es-CR"/>
        </w:rPr>
        <w:t xml:space="preserve">Caso Gorigoitía Vs. Argentina. Excepción Preliminar, Fondo, Reparaciones y Costas. </w:t>
      </w:r>
      <w:r w:rsidRPr="000B33B9">
        <w:rPr>
          <w:rFonts w:ascii="Verdana" w:hAnsi="Verdana"/>
          <w:sz w:val="16"/>
          <w:szCs w:val="16"/>
          <w:lang w:val="es-CR"/>
        </w:rPr>
        <w:t xml:space="preserve">Sentencia de 2 de septiembre de 2019. Serie C No. 382, párr. 55. </w:t>
      </w:r>
    </w:p>
  </w:footnote>
  <w:footnote w:id="297">
    <w:p w14:paraId="238FC2D9" w14:textId="129335F9"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lang w:val="es-CR"/>
        </w:rPr>
        <w:t xml:space="preserve">Cfr. </w:t>
      </w:r>
      <w:r w:rsidRPr="000B33B9">
        <w:rPr>
          <w:rFonts w:ascii="Verdana" w:hAnsi="Verdana"/>
          <w:i/>
          <w:sz w:val="16"/>
          <w:szCs w:val="16"/>
          <w:lang w:val="es-ES"/>
        </w:rPr>
        <w:t>Caso Acevedo Buendía y otros (“Cesantes y Jubilados de la Contraloría”) Vs. Perú. Excepciones Preliminares, Fondo, Reparaciones y Costas</w:t>
      </w:r>
      <w:r w:rsidRPr="000B33B9">
        <w:rPr>
          <w:rFonts w:ascii="Verdana" w:hAnsi="Verdana"/>
          <w:sz w:val="16"/>
          <w:szCs w:val="16"/>
          <w:lang w:val="es-ES"/>
        </w:rPr>
        <w:t>. Sentencia de 1 de julio de 2009. Serie C No. 198</w:t>
      </w:r>
      <w:r w:rsidRPr="000B33B9">
        <w:rPr>
          <w:rFonts w:ascii="Verdana" w:hAnsi="Verdana"/>
          <w:i/>
          <w:sz w:val="16"/>
          <w:szCs w:val="16"/>
          <w:lang w:val="es-CR"/>
        </w:rPr>
        <w:t xml:space="preserve">, </w:t>
      </w:r>
      <w:r w:rsidRPr="000B33B9">
        <w:rPr>
          <w:rFonts w:ascii="Verdana" w:hAnsi="Verdana"/>
          <w:sz w:val="16"/>
          <w:szCs w:val="16"/>
          <w:lang w:val="es-CR"/>
        </w:rPr>
        <w:t xml:space="preserve">párr. 77, y </w:t>
      </w:r>
      <w:r w:rsidRPr="000B33B9">
        <w:rPr>
          <w:rFonts w:ascii="Verdana" w:hAnsi="Verdana"/>
          <w:i/>
          <w:sz w:val="16"/>
          <w:szCs w:val="16"/>
          <w:lang w:val="es-PE"/>
        </w:rPr>
        <w:t xml:space="preserve">Caso </w:t>
      </w:r>
      <w:r w:rsidRPr="000B33B9">
        <w:rPr>
          <w:rFonts w:ascii="Verdana" w:hAnsi="Verdana"/>
          <w:i/>
          <w:sz w:val="16"/>
          <w:szCs w:val="16"/>
          <w:lang w:val="es-DO"/>
        </w:rPr>
        <w:t xml:space="preserve">Muelle Flores Vs. Perú. Excepciones Preliminares, </w:t>
      </w:r>
      <w:r w:rsidRPr="000B33B9">
        <w:rPr>
          <w:rFonts w:ascii="Verdana" w:hAnsi="Verdana"/>
          <w:i/>
          <w:sz w:val="16"/>
          <w:szCs w:val="16"/>
        </w:rPr>
        <w:t xml:space="preserve">Fondo, Reparaciones y Costas. </w:t>
      </w:r>
      <w:r w:rsidRPr="000B33B9">
        <w:rPr>
          <w:rFonts w:ascii="Verdana" w:hAnsi="Verdana"/>
          <w:sz w:val="16"/>
          <w:szCs w:val="16"/>
        </w:rPr>
        <w:t>Sentencia de 6 de marzo de 2019. Serie C No. 375,</w:t>
      </w:r>
      <w:r w:rsidRPr="000B33B9">
        <w:rPr>
          <w:rFonts w:ascii="Verdana" w:hAnsi="Verdana"/>
          <w:i/>
          <w:sz w:val="16"/>
          <w:szCs w:val="16"/>
          <w:lang w:val="es-CR"/>
        </w:rPr>
        <w:t xml:space="preserve"> </w:t>
      </w:r>
      <w:r w:rsidRPr="000B33B9">
        <w:rPr>
          <w:rFonts w:ascii="Verdana" w:hAnsi="Verdana"/>
          <w:sz w:val="16"/>
          <w:szCs w:val="16"/>
          <w:lang w:val="es-CR"/>
        </w:rPr>
        <w:t>párr. 149.</w:t>
      </w:r>
    </w:p>
  </w:footnote>
  <w:footnote w:id="298">
    <w:p w14:paraId="5D32C244" w14:textId="77777777" w:rsidR="00223943" w:rsidRPr="000B33B9" w:rsidRDefault="00223943" w:rsidP="000B33B9">
      <w:pPr>
        <w:pStyle w:val="Textonotapie"/>
        <w:tabs>
          <w:tab w:val="left" w:pos="709"/>
        </w:tabs>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Style w:val="Textoennegrita"/>
          <w:rFonts w:ascii="Verdana" w:hAnsi="Verdana"/>
          <w:b w:val="0"/>
          <w:i/>
          <w:color w:val="000000"/>
          <w:sz w:val="16"/>
          <w:szCs w:val="16"/>
          <w:shd w:val="clear" w:color="auto" w:fill="FFFFFF"/>
        </w:rPr>
        <w:t>Caso J. Vs. Perú. Excepción Preliminar, Fondo, Reparaciones y Costas.</w:t>
      </w:r>
      <w:r w:rsidRPr="000B33B9">
        <w:rPr>
          <w:rStyle w:val="Textoennegrita"/>
          <w:rFonts w:ascii="Verdana" w:hAnsi="Verdana"/>
          <w:b w:val="0"/>
          <w:color w:val="000000"/>
          <w:sz w:val="16"/>
          <w:szCs w:val="16"/>
          <w:shd w:val="clear" w:color="auto" w:fill="FFFFFF"/>
        </w:rPr>
        <w:t xml:space="preserve"> Sentencia de 27 de noviembre de 2013. Serie C No. 275., párr. 53, </w:t>
      </w:r>
      <w:r w:rsidRPr="000B33B9">
        <w:rPr>
          <w:rFonts w:ascii="Verdana" w:hAnsi="Verdana"/>
          <w:sz w:val="16"/>
          <w:szCs w:val="16"/>
        </w:rPr>
        <w:t xml:space="preserve">y </w:t>
      </w:r>
      <w:r w:rsidRPr="000B33B9">
        <w:rPr>
          <w:rFonts w:ascii="Verdana" w:eastAsia="Calibri" w:hAnsi="Verdana"/>
          <w:bCs/>
          <w:i/>
          <w:color w:val="000000"/>
          <w:sz w:val="16"/>
          <w:szCs w:val="16"/>
          <w:shd w:val="clear" w:color="auto" w:fill="FFFFFF"/>
          <w:lang w:val="es-CR" w:eastAsia="es-CR"/>
        </w:rPr>
        <w:t>Caso Yarce y otras Vs. Colombia. Excepción Preliminar, Fondo, Reparaciones y Costas.</w:t>
      </w:r>
      <w:r w:rsidRPr="000B33B9">
        <w:rPr>
          <w:rFonts w:ascii="Verdana" w:eastAsia="Calibri" w:hAnsi="Verdana"/>
          <w:bCs/>
          <w:color w:val="000000"/>
          <w:sz w:val="16"/>
          <w:szCs w:val="16"/>
          <w:shd w:val="clear" w:color="auto" w:fill="FFFFFF"/>
          <w:lang w:val="es-CR" w:eastAsia="es-CR"/>
        </w:rPr>
        <w:t xml:space="preserve"> Sentencia de 22 de noviembre de 2016. Serie C No. 325, párr. 75.</w:t>
      </w:r>
    </w:p>
  </w:footnote>
  <w:footnote w:id="299">
    <w:p w14:paraId="2144DCC7" w14:textId="659E9089"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lang w:val="es-CR"/>
        </w:rPr>
        <w:footnoteRef/>
      </w:r>
      <w:r w:rsidRPr="000B33B9">
        <w:rPr>
          <w:rFonts w:ascii="Verdana" w:hAnsi="Verdana"/>
          <w:sz w:val="16"/>
          <w:szCs w:val="16"/>
          <w:lang w:val="es-CR"/>
        </w:rPr>
        <w:t xml:space="preserve"> </w:t>
      </w:r>
      <w:r w:rsidRPr="000B33B9">
        <w:rPr>
          <w:rFonts w:ascii="Verdana" w:hAnsi="Verdana"/>
          <w:sz w:val="16"/>
          <w:szCs w:val="16"/>
          <w:lang w:val="es-CR"/>
        </w:rPr>
        <w:tab/>
      </w:r>
      <w:r w:rsidRPr="000B33B9">
        <w:rPr>
          <w:rFonts w:ascii="Verdana" w:hAnsi="Verdana"/>
          <w:i/>
          <w:sz w:val="16"/>
          <w:szCs w:val="16"/>
          <w:lang w:val="es-CR"/>
        </w:rPr>
        <w:t>Cfr</w:t>
      </w:r>
      <w:r w:rsidRPr="000B33B9">
        <w:rPr>
          <w:rFonts w:ascii="Verdana" w:hAnsi="Verdana"/>
          <w:sz w:val="16"/>
          <w:szCs w:val="16"/>
          <w:lang w:val="es-CR"/>
        </w:rPr>
        <w:t xml:space="preserve">. Responsabilidad internacional por expedición y aplicación de leyes violatorias de la Convención (Arts. 1 y 2 Convención Americana sobre Derechos Humanos). </w:t>
      </w:r>
      <w:r w:rsidRPr="000B33B9">
        <w:rPr>
          <w:rFonts w:ascii="Verdana" w:hAnsi="Verdana"/>
          <w:i/>
          <w:sz w:val="16"/>
          <w:szCs w:val="16"/>
          <w:lang w:val="es-CR"/>
        </w:rPr>
        <w:t>Opinión Consultiva OC-14/94</w:t>
      </w:r>
      <w:r w:rsidRPr="000B33B9">
        <w:rPr>
          <w:rFonts w:ascii="Verdana" w:hAnsi="Verdana"/>
          <w:sz w:val="16"/>
          <w:szCs w:val="16"/>
          <w:lang w:val="es-CR"/>
        </w:rPr>
        <w:t xml:space="preserve"> de 9 de diciembre de 1994. Serie A No. 14, párr. 48</w:t>
      </w:r>
      <w:r w:rsidRPr="000B33B9">
        <w:rPr>
          <w:rFonts w:ascii="Verdana" w:hAnsi="Verdana"/>
          <w:sz w:val="16"/>
          <w:szCs w:val="16"/>
        </w:rPr>
        <w:t xml:space="preserve">, y </w:t>
      </w:r>
      <w:r w:rsidRPr="000B33B9">
        <w:rPr>
          <w:rFonts w:ascii="Verdana" w:hAnsi="Verdana"/>
          <w:i/>
          <w:sz w:val="16"/>
          <w:szCs w:val="16"/>
        </w:rPr>
        <w:t xml:space="preserve">Caso Pueblo Indígena Xucuru y sus Miembros Vs. Brasil. Excepciones Preliminares, Fondo, Reparaciones y Costas. </w:t>
      </w:r>
      <w:r w:rsidRPr="000B33B9">
        <w:rPr>
          <w:rFonts w:ascii="Verdana" w:hAnsi="Verdana"/>
          <w:sz w:val="16"/>
          <w:szCs w:val="16"/>
        </w:rPr>
        <w:t>Sentencia de 5 de febrero de 2018. Serie C No. 346, párr. 165.</w:t>
      </w:r>
    </w:p>
  </w:footnote>
  <w:footnote w:id="300">
    <w:p w14:paraId="1B0F4C64" w14:textId="231AE0C9"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ab/>
      </w:r>
      <w:r w:rsidRPr="000B33B9">
        <w:rPr>
          <w:rFonts w:ascii="Verdana" w:hAnsi="Verdana"/>
          <w:i/>
          <w:sz w:val="16"/>
          <w:szCs w:val="16"/>
        </w:rPr>
        <w:t>Cfr. Caso Velásquez Rodríguez Vs. Honduras. Reparaciones y Costas</w:t>
      </w:r>
      <w:r w:rsidRPr="000B33B9">
        <w:rPr>
          <w:rFonts w:ascii="Verdana" w:hAnsi="Verdana"/>
          <w:sz w:val="16"/>
          <w:szCs w:val="16"/>
        </w:rPr>
        <w:t>. Sentencia de 21 de julio de 1989. Serie C No. 7, párr. 26, y</w:t>
      </w:r>
      <w:r w:rsidRPr="000B33B9">
        <w:rPr>
          <w:rFonts w:ascii="Verdana" w:hAnsi="Verdana"/>
          <w:i/>
          <w:sz w:val="16"/>
          <w:szCs w:val="16"/>
        </w:rPr>
        <w:t xml:space="preserve"> Caso Romero Feris Vs. Argentina. Fondo, Reparaciones y Costas. </w:t>
      </w:r>
      <w:r w:rsidRPr="000B33B9">
        <w:rPr>
          <w:rFonts w:ascii="Verdana" w:hAnsi="Verdana"/>
          <w:sz w:val="16"/>
          <w:szCs w:val="16"/>
        </w:rPr>
        <w:t>Sentencia de 15 de octubre de 2019. Serie C No. 391, párr. 176.</w:t>
      </w:r>
    </w:p>
  </w:footnote>
  <w:footnote w:id="301">
    <w:p w14:paraId="34F25FA9" w14:textId="2EA122C4"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Velásquez Rodríguez Vs. Honduras. Reparaciones y Costas</w:t>
      </w:r>
      <w:r w:rsidRPr="000B33B9">
        <w:rPr>
          <w:rFonts w:ascii="Verdana" w:hAnsi="Verdana"/>
          <w:sz w:val="16"/>
          <w:szCs w:val="16"/>
        </w:rPr>
        <w:t>. Sentencia de 21 de julio de 1989. Serie C No. 7, párr. 26, y</w:t>
      </w:r>
      <w:r w:rsidRPr="000B33B9">
        <w:rPr>
          <w:rFonts w:ascii="Verdana" w:hAnsi="Verdana"/>
          <w:i/>
          <w:sz w:val="16"/>
          <w:szCs w:val="16"/>
        </w:rPr>
        <w:t xml:space="preserve"> Caso Romero Feris Vs. Argentina. Fondo, Reparaciones y Costas. </w:t>
      </w:r>
      <w:r w:rsidRPr="000B33B9">
        <w:rPr>
          <w:rFonts w:ascii="Verdana" w:hAnsi="Verdana"/>
          <w:sz w:val="16"/>
          <w:szCs w:val="16"/>
        </w:rPr>
        <w:t>Sentencia de 15 de octubre de 2019. Serie C No. 391, párr. 177.</w:t>
      </w:r>
    </w:p>
  </w:footnote>
  <w:footnote w:id="302">
    <w:p w14:paraId="514CAD3C" w14:textId="0A333B97"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CR"/>
        </w:rPr>
        <w:t>C</w:t>
      </w:r>
      <w:r w:rsidRPr="000B33B9">
        <w:rPr>
          <w:rFonts w:ascii="Verdana" w:hAnsi="Verdana"/>
          <w:i/>
          <w:sz w:val="16"/>
          <w:szCs w:val="16"/>
        </w:rPr>
        <w:t>fr. Caso Velásquez Rodríguez Vs. Honduras. Reparaciones y Costas</w:t>
      </w:r>
      <w:r w:rsidRPr="000B33B9">
        <w:rPr>
          <w:rFonts w:ascii="Verdana" w:hAnsi="Verdana"/>
          <w:sz w:val="16"/>
          <w:szCs w:val="16"/>
        </w:rPr>
        <w:t>. Sentencia de 21 de julio de 1989. Serie C No. 7, párr. 26, y</w:t>
      </w:r>
      <w:r w:rsidRPr="000B33B9">
        <w:rPr>
          <w:rFonts w:ascii="Verdana" w:hAnsi="Verdana"/>
          <w:i/>
          <w:sz w:val="16"/>
          <w:szCs w:val="16"/>
        </w:rPr>
        <w:t xml:space="preserve"> Caso Romero Feris Vs. Argentina. Fondo, Reparaciones y Costas. </w:t>
      </w:r>
      <w:r w:rsidRPr="000B33B9">
        <w:rPr>
          <w:rFonts w:ascii="Verdana" w:hAnsi="Verdana"/>
          <w:sz w:val="16"/>
          <w:szCs w:val="16"/>
        </w:rPr>
        <w:t>Sentencia de 15 de octubre de 2019. Serie C No. 391, párr. 177.</w:t>
      </w:r>
    </w:p>
  </w:footnote>
  <w:footnote w:id="303">
    <w:p w14:paraId="059EC4A5" w14:textId="44EE41E0"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de la Masacre de Las Dos Erres Vs. Guatemala. Excepción Preliminar, Fondo, Reparaciones y Costas</w:t>
      </w:r>
      <w:r w:rsidRPr="000B33B9">
        <w:rPr>
          <w:rFonts w:ascii="Verdana" w:hAnsi="Verdana"/>
          <w:sz w:val="16"/>
          <w:szCs w:val="16"/>
        </w:rPr>
        <w:t xml:space="preserve">. Sentencia de 24 de noviembre de 2009. Serie C No. 211, párr. 226, y </w:t>
      </w:r>
      <w:r w:rsidRPr="000B33B9">
        <w:rPr>
          <w:rFonts w:ascii="Verdana" w:hAnsi="Verdana"/>
          <w:i/>
          <w:sz w:val="16"/>
          <w:szCs w:val="16"/>
        </w:rPr>
        <w:t xml:space="preserve">Caso Romero Feris Vs. Argentina. Fondo, Reparaciones y Costas. </w:t>
      </w:r>
      <w:r w:rsidRPr="000B33B9">
        <w:rPr>
          <w:rFonts w:ascii="Verdana" w:hAnsi="Verdana"/>
          <w:sz w:val="16"/>
          <w:szCs w:val="16"/>
        </w:rPr>
        <w:t xml:space="preserve">Sentencia de 15 de octubre de 2019. Serie C No. 391, párr. 177. </w:t>
      </w:r>
    </w:p>
  </w:footnote>
  <w:footnote w:id="304">
    <w:p w14:paraId="36EAAC5C" w14:textId="0DCC581D"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ab/>
      </w:r>
      <w:r w:rsidRPr="000B33B9">
        <w:rPr>
          <w:rFonts w:ascii="Verdana" w:hAnsi="Verdana"/>
          <w:i/>
          <w:sz w:val="16"/>
          <w:szCs w:val="16"/>
        </w:rPr>
        <w:t>Cfr. Caso Ticona Estrada y otros Vs. Bolivia. Fondo, Reparaciones y Costas</w:t>
      </w:r>
      <w:r w:rsidRPr="000B33B9">
        <w:rPr>
          <w:rFonts w:ascii="Verdana" w:hAnsi="Verdana"/>
          <w:sz w:val="16"/>
          <w:szCs w:val="16"/>
        </w:rPr>
        <w:t xml:space="preserve">. Sentencia de 27 de noviembre de 2008. Serie C No. 191, párr. 110,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178.</w:t>
      </w:r>
    </w:p>
  </w:footnote>
  <w:footnote w:id="305">
    <w:p w14:paraId="63E304A9" w14:textId="467C7BC4"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lang w:val="es-DO"/>
        </w:rPr>
        <w:t xml:space="preserve"> </w:t>
      </w:r>
      <w:r w:rsidRPr="000B33B9">
        <w:rPr>
          <w:rFonts w:ascii="Verdana" w:hAnsi="Verdana"/>
          <w:sz w:val="16"/>
          <w:szCs w:val="16"/>
          <w:lang w:val="es-DO"/>
        </w:rPr>
        <w:tab/>
      </w:r>
      <w:r w:rsidRPr="000B33B9">
        <w:rPr>
          <w:rFonts w:ascii="Verdana" w:hAnsi="Verdana"/>
          <w:i/>
          <w:sz w:val="16"/>
          <w:szCs w:val="16"/>
          <w:lang w:val="es-DO"/>
        </w:rPr>
        <w:t xml:space="preserve">Cfr. Caso Andrade Salmón Vs. </w:t>
      </w:r>
      <w:r w:rsidRPr="000B33B9">
        <w:rPr>
          <w:rFonts w:ascii="Verdana" w:hAnsi="Verdana"/>
          <w:i/>
          <w:sz w:val="16"/>
          <w:szCs w:val="16"/>
        </w:rPr>
        <w:t>Bolivia. Fondo, Reparaciones y Costas</w:t>
      </w:r>
      <w:r w:rsidRPr="000B33B9">
        <w:rPr>
          <w:rFonts w:ascii="Verdana" w:hAnsi="Verdana"/>
          <w:sz w:val="16"/>
          <w:szCs w:val="16"/>
        </w:rPr>
        <w:t xml:space="preserve">. Sentencia de 1 de diciembre de 2016. Serie C No. 330, párr. 189,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179.</w:t>
      </w:r>
    </w:p>
  </w:footnote>
  <w:footnote w:id="306">
    <w:p w14:paraId="1736ACED" w14:textId="0654069A"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sz w:val="16"/>
          <w:szCs w:val="16"/>
        </w:rPr>
        <w:tab/>
      </w:r>
      <w:r w:rsidRPr="000B33B9">
        <w:rPr>
          <w:rFonts w:ascii="Verdana" w:hAnsi="Verdana"/>
          <w:i/>
          <w:sz w:val="16"/>
          <w:szCs w:val="16"/>
        </w:rPr>
        <w:t>Cfr. Caso Neira Alegría y otros Vs. Perú. Reparaciones y Costas</w:t>
      </w:r>
      <w:r w:rsidRPr="000B33B9">
        <w:rPr>
          <w:rFonts w:ascii="Verdana" w:hAnsi="Verdana"/>
          <w:sz w:val="16"/>
          <w:szCs w:val="16"/>
        </w:rPr>
        <w:t xml:space="preserve">. Sentencia de 19 de septiembre de 1996. Serie C No. 29, párr. 56,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180.</w:t>
      </w:r>
    </w:p>
  </w:footnote>
  <w:footnote w:id="307">
    <w:p w14:paraId="2794B84C" w14:textId="4A50CC98"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ES"/>
        </w:rPr>
        <w:tab/>
      </w:r>
      <w:r w:rsidRPr="000B33B9">
        <w:rPr>
          <w:rFonts w:ascii="Verdana" w:hAnsi="Verdana"/>
          <w:i/>
          <w:sz w:val="16"/>
          <w:szCs w:val="16"/>
        </w:rPr>
        <w:t>Cfr. Inter alia</w:t>
      </w:r>
      <w:r w:rsidRPr="000B33B9">
        <w:rPr>
          <w:rFonts w:ascii="Verdana" w:hAnsi="Verdana"/>
          <w:sz w:val="16"/>
          <w:szCs w:val="16"/>
        </w:rPr>
        <w:t xml:space="preserve">, </w:t>
      </w:r>
      <w:r w:rsidRPr="000B33B9">
        <w:rPr>
          <w:rFonts w:ascii="Verdana" w:hAnsi="Verdana"/>
          <w:i/>
          <w:sz w:val="16"/>
          <w:szCs w:val="16"/>
        </w:rPr>
        <w:t>Caso Cantoral Benavides Vs. Perú. Reparaciones y Costas</w:t>
      </w:r>
      <w:r w:rsidRPr="000B33B9">
        <w:rPr>
          <w:rFonts w:ascii="Verdana" w:hAnsi="Verdana"/>
          <w:sz w:val="16"/>
          <w:szCs w:val="16"/>
        </w:rPr>
        <w:t xml:space="preserve">. </w:t>
      </w:r>
      <w:r w:rsidRPr="000B33B9">
        <w:rPr>
          <w:rFonts w:ascii="Verdana" w:hAnsi="Verdana"/>
          <w:sz w:val="16"/>
          <w:szCs w:val="16"/>
          <w:lang w:val="es-DO"/>
        </w:rPr>
        <w:t xml:space="preserve">Sentencia de 3 de diciembre de 2001. </w:t>
      </w:r>
      <w:r w:rsidRPr="000B33B9">
        <w:rPr>
          <w:rFonts w:ascii="Verdana" w:hAnsi="Verdana"/>
          <w:sz w:val="16"/>
          <w:szCs w:val="16"/>
          <w:lang w:val="pt-BR"/>
        </w:rPr>
        <w:t xml:space="preserve">Serie C No. 88, párr. 79; </w:t>
      </w:r>
      <w:r w:rsidRPr="000B33B9">
        <w:rPr>
          <w:rFonts w:ascii="Verdana" w:hAnsi="Verdana"/>
          <w:i/>
          <w:sz w:val="16"/>
          <w:szCs w:val="16"/>
          <w:lang w:val="pt-BR"/>
        </w:rPr>
        <w:t xml:space="preserve">Caso Favela Nova Brasília Vs. Brasil. </w:t>
      </w:r>
      <w:r w:rsidRPr="000B33B9">
        <w:rPr>
          <w:rFonts w:ascii="Verdana" w:hAnsi="Verdana"/>
          <w:i/>
          <w:sz w:val="16"/>
          <w:szCs w:val="16"/>
        </w:rPr>
        <w:t>Excepciones Preliminares, Fondo, Reparaciones y Costas</w:t>
      </w:r>
      <w:r w:rsidRPr="000B33B9">
        <w:rPr>
          <w:rFonts w:ascii="Verdana" w:hAnsi="Verdana"/>
          <w:sz w:val="16"/>
          <w:szCs w:val="16"/>
        </w:rPr>
        <w:t xml:space="preserve">. Sentencia de 16 de febrero de 2017. Serie C No. 333, párr. 300; </w:t>
      </w:r>
      <w:r w:rsidRPr="000B33B9">
        <w:rPr>
          <w:rFonts w:ascii="Verdana" w:hAnsi="Verdana"/>
          <w:i/>
          <w:sz w:val="16"/>
          <w:szCs w:val="16"/>
        </w:rPr>
        <w:t>Caso López Soto y otros Vs. Venezuela. Fondo, Reparaciones y Costas</w:t>
      </w:r>
      <w:r w:rsidRPr="000B33B9">
        <w:rPr>
          <w:rFonts w:ascii="Verdana" w:hAnsi="Verdana"/>
          <w:sz w:val="16"/>
          <w:szCs w:val="16"/>
        </w:rPr>
        <w:t xml:space="preserve">. Sentencia de 26 de septiembre de 2018. Serie C No. 362, párr. 299,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185.</w:t>
      </w:r>
    </w:p>
  </w:footnote>
  <w:footnote w:id="308">
    <w:p w14:paraId="0F6EF7EE" w14:textId="402139B6" w:rsidR="00223943" w:rsidRPr="000B33B9" w:rsidRDefault="00223943" w:rsidP="000B33B9">
      <w:pPr>
        <w:pStyle w:val="Textonotapie"/>
        <w:spacing w:after="120"/>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Radilla Pacheco Vs. México. Excepciones Preliminares, Fondo, Reparaciones y Costas.</w:t>
      </w:r>
      <w:r w:rsidRPr="000B33B9">
        <w:rPr>
          <w:rFonts w:ascii="Verdana" w:hAnsi="Verdana"/>
          <w:sz w:val="16"/>
          <w:szCs w:val="16"/>
        </w:rPr>
        <w:t xml:space="preserve"> Sentencia de 23 de noviembre de 2009. Serie C No. 209, párr. 353</w:t>
      </w:r>
      <w:r w:rsidRPr="000B33B9">
        <w:rPr>
          <w:rFonts w:ascii="Verdana" w:hAnsi="Verdana"/>
          <w:i/>
          <w:sz w:val="16"/>
          <w:szCs w:val="16"/>
        </w:rPr>
        <w:t xml:space="preserve">, y Caso Mujeres Víctimas de Tortura Sexual en Atenco Vs. México. Excepción Preliminar, Fondo, Reparaciones y Costas. </w:t>
      </w:r>
      <w:r w:rsidRPr="000B33B9">
        <w:rPr>
          <w:rFonts w:ascii="Verdana" w:hAnsi="Verdana"/>
          <w:sz w:val="16"/>
          <w:szCs w:val="16"/>
        </w:rPr>
        <w:t xml:space="preserve">Sentencia de 28 de noviembre de 2018. Serie C No. 371, párrs. 347 y 348. </w:t>
      </w:r>
    </w:p>
  </w:footnote>
  <w:footnote w:id="309">
    <w:p w14:paraId="2F2A2168" w14:textId="77777777"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ES"/>
        </w:rPr>
        <w:tab/>
      </w:r>
      <w:r w:rsidRPr="000B33B9">
        <w:rPr>
          <w:rFonts w:ascii="Verdana" w:hAnsi="Verdana"/>
          <w:i/>
          <w:sz w:val="16"/>
          <w:szCs w:val="16"/>
        </w:rPr>
        <w:t>Cfr. Caso de los “Niños de la Calle” (Villagrán Morales y otros) Vs. Guatemala. Reparaciones y Costas.</w:t>
      </w:r>
      <w:r w:rsidRPr="000B33B9">
        <w:rPr>
          <w:rFonts w:ascii="Verdana" w:hAnsi="Verdana"/>
          <w:sz w:val="16"/>
          <w:szCs w:val="16"/>
        </w:rPr>
        <w:t xml:space="preserve"> Sentencia de 26 de mayo de 2001. Serie C No. 77, párr. 84, y </w:t>
      </w:r>
      <w:r w:rsidRPr="000B33B9">
        <w:rPr>
          <w:rFonts w:ascii="Verdana" w:hAnsi="Verdana"/>
          <w:i/>
          <w:sz w:val="16"/>
          <w:szCs w:val="16"/>
        </w:rPr>
        <w:t>Caso Martínez Coronado Vs. Guatemala. Fondo, Reparaciones y Costas.</w:t>
      </w:r>
      <w:r w:rsidRPr="000B33B9">
        <w:rPr>
          <w:rFonts w:ascii="Verdana" w:hAnsi="Verdana"/>
          <w:sz w:val="16"/>
          <w:szCs w:val="16"/>
        </w:rPr>
        <w:t xml:space="preserve"> Sentencia de 10 de mayo de 2019. Serie C No. 376, párr.114.</w:t>
      </w:r>
    </w:p>
  </w:footnote>
  <w:footnote w:id="310">
    <w:p w14:paraId="7E50523E" w14:textId="731F93E1" w:rsidR="00223943" w:rsidRPr="000B33B9" w:rsidRDefault="00223943" w:rsidP="000B33B9">
      <w:pPr>
        <w:pStyle w:val="Textonotapie"/>
        <w:spacing w:after="120"/>
        <w:jc w:val="both"/>
        <w:rPr>
          <w:rFonts w:ascii="Verdana" w:hAnsi="Verdana"/>
          <w:sz w:val="16"/>
          <w:szCs w:val="16"/>
          <w:lang w:val="es-ES"/>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lang w:val="es-ES"/>
        </w:rPr>
        <w:t>Cfr. Caso Acevedo Buendía y otros (“Cesantes y Jubilados de la Contraloría”) Vs. Perú. Excepciones Preliminares, Fondo, Reparaciones y Costas</w:t>
      </w:r>
      <w:r w:rsidRPr="000B33B9">
        <w:rPr>
          <w:rFonts w:ascii="Verdana" w:hAnsi="Verdana"/>
          <w:sz w:val="16"/>
          <w:szCs w:val="16"/>
          <w:lang w:val="es-ES"/>
        </w:rPr>
        <w:t xml:space="preserve">. Sentencia de 1 de julio de 2009. Serie C No. 198, párr. 133, y </w:t>
      </w:r>
      <w:r w:rsidRPr="000B33B9">
        <w:rPr>
          <w:rStyle w:val="Textoennegrita"/>
          <w:rFonts w:ascii="Verdana" w:hAnsi="Verdana"/>
          <w:b w:val="0"/>
          <w:i/>
          <w:color w:val="000000"/>
          <w:sz w:val="16"/>
          <w:szCs w:val="16"/>
          <w:shd w:val="clear" w:color="auto" w:fill="FFFFFF"/>
          <w:lang w:val="es-CR"/>
        </w:rPr>
        <w:t>Caso Muelle Flores Vs. Perú. Excepciones Preliminares, Fondo, Reparaciones y Costas</w:t>
      </w:r>
      <w:r w:rsidRPr="000B33B9">
        <w:rPr>
          <w:rStyle w:val="Textoennegrita"/>
          <w:rFonts w:ascii="Verdana" w:hAnsi="Verdana"/>
          <w:b w:val="0"/>
          <w:color w:val="000000"/>
          <w:sz w:val="16"/>
          <w:szCs w:val="16"/>
          <w:shd w:val="clear" w:color="auto" w:fill="FFFFFF"/>
          <w:lang w:val="es-CR"/>
        </w:rPr>
        <w:t>. Sentencia de 6 de marzo de 2019. Serie C No. 375, párrs. 266 y 267.</w:t>
      </w:r>
    </w:p>
  </w:footnote>
  <w:footnote w:id="311">
    <w:p w14:paraId="530857B5" w14:textId="551B17F4"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Garrido y Baigorria Vs. Argentina. Reparaciones y Costas</w:t>
      </w:r>
      <w:r w:rsidRPr="000B33B9">
        <w:rPr>
          <w:rFonts w:ascii="Verdana" w:hAnsi="Verdana"/>
          <w:sz w:val="16"/>
          <w:szCs w:val="16"/>
        </w:rPr>
        <w:t xml:space="preserve">. Sentencia de 27 de agosto de 1998. Serie C No. 39, párr. 79, </w:t>
      </w:r>
      <w:r w:rsidRPr="000B33B9">
        <w:rPr>
          <w:rFonts w:ascii="Verdana" w:hAnsi="Verdana"/>
          <w:i/>
          <w:sz w:val="16"/>
          <w:szCs w:val="16"/>
        </w:rPr>
        <w:t xml:space="preserve">y Caso Romero Feris Vs. Argentina. Fondo, Reparaciones y Costas. </w:t>
      </w:r>
      <w:r w:rsidRPr="000B33B9">
        <w:rPr>
          <w:rFonts w:ascii="Verdana" w:hAnsi="Verdana"/>
          <w:sz w:val="16"/>
          <w:szCs w:val="16"/>
        </w:rPr>
        <w:t>Sentencia de 15 de octubre de 2019. Serie C No. 391, párr. 196.</w:t>
      </w:r>
    </w:p>
  </w:footnote>
  <w:footnote w:id="312">
    <w:p w14:paraId="02199340" w14:textId="3D749931"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Garrido y Baigorria Vs. Argentina. Reparaciones y Costas</w:t>
      </w:r>
      <w:r w:rsidRPr="000B33B9">
        <w:rPr>
          <w:rFonts w:ascii="Verdana" w:hAnsi="Verdana"/>
          <w:sz w:val="16"/>
          <w:szCs w:val="16"/>
        </w:rPr>
        <w:t xml:space="preserve">. Sentencia de 27 de agosto de 1998. Serie C No. 39, párr. 82,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196.</w:t>
      </w:r>
    </w:p>
  </w:footnote>
  <w:footnote w:id="313">
    <w:p w14:paraId="2A329F38" w14:textId="1FAA275D"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eastAsia="Verdana" w:hAnsi="Verdana" w:cs="Verdana"/>
          <w:i/>
          <w:sz w:val="16"/>
          <w:szCs w:val="16"/>
          <w:lang w:val="es-ES"/>
        </w:rPr>
        <w:t xml:space="preserve">Cfr. Caso Chaparro Álvarez y Lapo Íñiguez Vs. Ecuador. Excepciones Preliminares, Fondo, Reparaciones y Costas. </w:t>
      </w:r>
      <w:r w:rsidRPr="000B33B9">
        <w:rPr>
          <w:rFonts w:ascii="Verdana" w:eastAsia="Verdana" w:hAnsi="Verdana" w:cs="Verdana"/>
          <w:iCs/>
          <w:sz w:val="16"/>
          <w:szCs w:val="16"/>
          <w:lang w:val="es-ES"/>
        </w:rPr>
        <w:t>Sentencia de 21 de noviembre de 2007. Serie C No. 170</w:t>
      </w:r>
      <w:r w:rsidRPr="000B33B9">
        <w:rPr>
          <w:rFonts w:ascii="Verdana" w:eastAsia="Verdana" w:hAnsi="Verdana" w:cs="Verdana"/>
          <w:sz w:val="16"/>
          <w:szCs w:val="16"/>
          <w:lang w:val="es-ES"/>
        </w:rPr>
        <w:t xml:space="preserve">, párr. 275, y </w:t>
      </w:r>
      <w:r w:rsidRPr="000B33B9">
        <w:rPr>
          <w:rFonts w:ascii="Verdana" w:hAnsi="Verdana"/>
          <w:i/>
          <w:sz w:val="16"/>
          <w:szCs w:val="16"/>
        </w:rPr>
        <w:t xml:space="preserve">Caso Romero Feris Vs. Argentina. Fondo, Reparaciones y Costas. </w:t>
      </w:r>
      <w:r w:rsidRPr="000B33B9">
        <w:rPr>
          <w:rFonts w:ascii="Verdana" w:hAnsi="Verdana"/>
          <w:sz w:val="16"/>
          <w:szCs w:val="16"/>
        </w:rPr>
        <w:t>Sentencia de 15 de octubre de 2019. Serie C No. 391, párr. 197.</w:t>
      </w:r>
    </w:p>
  </w:footnote>
  <w:footnote w:id="314">
    <w:p w14:paraId="7312FE2F" w14:textId="1B1B2B50" w:rsidR="00223943" w:rsidRPr="000B33B9" w:rsidRDefault="00223943" w:rsidP="000B33B9">
      <w:pPr>
        <w:spacing w:after="120" w:line="240" w:lineRule="auto"/>
        <w:jc w:val="both"/>
        <w:rPr>
          <w:rFonts w:ascii="Verdana" w:hAnsi="Verdana"/>
          <w:sz w:val="16"/>
          <w:szCs w:val="16"/>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rPr>
        <w:tab/>
      </w:r>
      <w:r w:rsidRPr="000B33B9">
        <w:rPr>
          <w:rFonts w:ascii="Verdana" w:hAnsi="Verdana"/>
          <w:i/>
          <w:sz w:val="16"/>
          <w:szCs w:val="16"/>
        </w:rPr>
        <w:t>Cfr. Caso Chaparro Álvarez y Lapo Íñiguez Vs. Ecuador. Excepciones Preliminares, Fondo, Reparaciones y Costas</w:t>
      </w:r>
      <w:r w:rsidRPr="000B33B9">
        <w:rPr>
          <w:rFonts w:ascii="Verdana" w:hAnsi="Verdana"/>
          <w:sz w:val="16"/>
          <w:szCs w:val="16"/>
        </w:rPr>
        <w:t xml:space="preserve">. Sentencia de 21 de noviembre de 2007. Serie C No. 170, párr. 277, y </w:t>
      </w:r>
      <w:r w:rsidRPr="000B33B9">
        <w:rPr>
          <w:rFonts w:ascii="Verdana" w:hAnsi="Verdana"/>
          <w:i/>
          <w:sz w:val="16"/>
          <w:szCs w:val="16"/>
        </w:rPr>
        <w:t xml:space="preserve">Caso Romero Feris Vs. Argentina. Fondo, Reparaciones y Costas. </w:t>
      </w:r>
      <w:r w:rsidRPr="000B33B9">
        <w:rPr>
          <w:rFonts w:ascii="Verdana" w:hAnsi="Verdana"/>
          <w:sz w:val="16"/>
          <w:szCs w:val="16"/>
        </w:rPr>
        <w:t xml:space="preserve">Sentencia de 15 de octubre de 2019. Serie C No. 391, párr. 197. </w:t>
      </w:r>
    </w:p>
  </w:footnote>
  <w:footnote w:id="315">
    <w:p w14:paraId="3AAE55EC" w14:textId="4B6FACF5" w:rsidR="00223943" w:rsidRPr="000B33B9" w:rsidRDefault="00223943" w:rsidP="000B33B9">
      <w:pPr>
        <w:pStyle w:val="Textonotapie"/>
        <w:spacing w:after="120"/>
        <w:jc w:val="both"/>
        <w:rPr>
          <w:rFonts w:ascii="Verdana" w:hAnsi="Verdana"/>
          <w:sz w:val="16"/>
          <w:szCs w:val="16"/>
          <w:lang w:val="es-CR"/>
        </w:rPr>
      </w:pPr>
      <w:r w:rsidRPr="000B33B9">
        <w:rPr>
          <w:rStyle w:val="Refdenotaalpie"/>
          <w:rFonts w:ascii="Verdana" w:hAnsi="Verdana"/>
          <w:sz w:val="16"/>
          <w:szCs w:val="16"/>
        </w:rPr>
        <w:footnoteRef/>
      </w:r>
      <w:r w:rsidRPr="000B33B9">
        <w:rPr>
          <w:rFonts w:ascii="Verdana" w:hAnsi="Verdana"/>
          <w:sz w:val="16"/>
          <w:szCs w:val="16"/>
        </w:rPr>
        <w:t xml:space="preserve"> </w:t>
      </w:r>
      <w:r w:rsidRPr="000B33B9">
        <w:rPr>
          <w:rFonts w:ascii="Verdana" w:hAnsi="Verdana"/>
          <w:sz w:val="16"/>
          <w:szCs w:val="16"/>
          <w:lang w:val="es-CR"/>
        </w:rPr>
        <w:tab/>
      </w:r>
      <w:r w:rsidRPr="000B33B9">
        <w:rPr>
          <w:rFonts w:ascii="Verdana" w:hAnsi="Verdana"/>
          <w:i/>
          <w:sz w:val="16"/>
          <w:szCs w:val="16"/>
        </w:rPr>
        <w:t>Cfr. Caso Comunidad Indígena Xákmok Kásek Vs. Paraguay. Fondo, Reparaciones y Costas</w:t>
      </w:r>
      <w:r w:rsidRPr="000B33B9">
        <w:rPr>
          <w:rFonts w:ascii="Verdana" w:hAnsi="Verdana"/>
          <w:sz w:val="16"/>
          <w:szCs w:val="16"/>
        </w:rPr>
        <w:t>. Sentencia de 24 de agosto de 2010. Serie C No. 214, párr. 331</w:t>
      </w:r>
      <w:r w:rsidRPr="000B33B9">
        <w:rPr>
          <w:rFonts w:ascii="Verdana" w:hAnsi="Verdana"/>
          <w:sz w:val="16"/>
          <w:szCs w:val="16"/>
          <w:lang w:val="es-ES"/>
        </w:rPr>
        <w:t xml:space="preserve">, y </w:t>
      </w:r>
      <w:r w:rsidRPr="000B33B9">
        <w:rPr>
          <w:rFonts w:ascii="Verdana" w:hAnsi="Verdana"/>
          <w:i/>
          <w:sz w:val="16"/>
          <w:szCs w:val="16"/>
          <w:lang w:val="es-DO"/>
        </w:rPr>
        <w:t xml:space="preserve">Caso Perrone y Preckel Vs. Argentina. Excepciones Preliminares, Fondo, Reparaciones y Costas. </w:t>
      </w:r>
      <w:r w:rsidRPr="000B33B9">
        <w:rPr>
          <w:rFonts w:ascii="Verdana" w:hAnsi="Verdana"/>
          <w:sz w:val="16"/>
          <w:szCs w:val="16"/>
          <w:lang w:val="es-DO"/>
        </w:rPr>
        <w:t>Sentencia de 8 de octubre de 2019. Serie C No. 385, párr. 177.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A833F" w14:textId="21690BE1" w:rsidR="00223943" w:rsidRPr="003155BE" w:rsidRDefault="00223943" w:rsidP="00FE4657">
    <w:pPr>
      <w:pStyle w:val="Encabezado"/>
      <w:jc w:val="center"/>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015D1" w14:textId="77777777" w:rsidR="00223943" w:rsidRPr="00F83241" w:rsidRDefault="00223943" w:rsidP="00FE4657">
    <w:pPr>
      <w:pStyle w:val="Encabezado"/>
      <w:tabs>
        <w:tab w:val="center" w:pos="8931"/>
        <w:tab w:val="left" w:pos="9498"/>
        <w:tab w:val="left" w:pos="9639"/>
        <w:tab w:val="right" w:pos="10065"/>
      </w:tabs>
      <w:jc w:val="right"/>
      <w:rPr>
        <w:rFonts w:ascii="Verdana" w:hAnsi="Verdana"/>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30BBC"/>
    <w:multiLevelType w:val="hybridMultilevel"/>
    <w:tmpl w:val="DAB00F72"/>
    <w:lvl w:ilvl="0" w:tplc="0F3CB792">
      <w:start w:val="1"/>
      <w:numFmt w:val="decimal"/>
      <w:pStyle w:val="Ttulo9"/>
      <w:lvlText w:val="B.2.%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48E27BF"/>
    <w:multiLevelType w:val="hybridMultilevel"/>
    <w:tmpl w:val="C1A8BF66"/>
    <w:lvl w:ilvl="0" w:tplc="2AE2873E">
      <w:start w:val="1"/>
      <w:numFmt w:val="decimal"/>
      <w:pStyle w:val="Ttulo8"/>
      <w:lvlText w:val="D.6.%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F237F54"/>
    <w:multiLevelType w:val="hybridMultilevel"/>
    <w:tmpl w:val="3104C38A"/>
    <w:lvl w:ilvl="0" w:tplc="76261A50">
      <w:start w:val="1"/>
      <w:numFmt w:val="upperLetter"/>
      <w:lvlText w:val="%1."/>
      <w:lvlJc w:val="left"/>
      <w:pPr>
        <w:ind w:left="1068" w:hanging="360"/>
      </w:pPr>
      <w:rPr>
        <w:rFonts w:hint="default"/>
      </w:rPr>
    </w:lvl>
    <w:lvl w:ilvl="1" w:tplc="140A0019">
      <w:start w:val="1"/>
      <w:numFmt w:val="lowerLetter"/>
      <w:lvlText w:val="%2."/>
      <w:lvlJc w:val="left"/>
      <w:pPr>
        <w:ind w:left="-5592" w:hanging="360"/>
      </w:pPr>
    </w:lvl>
    <w:lvl w:ilvl="2" w:tplc="140A001B">
      <w:start w:val="1"/>
      <w:numFmt w:val="lowerRoman"/>
      <w:lvlText w:val="%3."/>
      <w:lvlJc w:val="right"/>
      <w:pPr>
        <w:ind w:left="-4872" w:hanging="180"/>
      </w:pPr>
    </w:lvl>
    <w:lvl w:ilvl="3" w:tplc="140A000F">
      <w:start w:val="1"/>
      <w:numFmt w:val="decimal"/>
      <w:lvlText w:val="%4."/>
      <w:lvlJc w:val="left"/>
      <w:pPr>
        <w:ind w:left="-4152" w:hanging="360"/>
      </w:pPr>
    </w:lvl>
    <w:lvl w:ilvl="4" w:tplc="140A0019">
      <w:start w:val="1"/>
      <w:numFmt w:val="lowerLetter"/>
      <w:lvlText w:val="%5."/>
      <w:lvlJc w:val="left"/>
      <w:pPr>
        <w:ind w:left="-3432" w:hanging="360"/>
      </w:pPr>
    </w:lvl>
    <w:lvl w:ilvl="5" w:tplc="140A001B">
      <w:start w:val="1"/>
      <w:numFmt w:val="lowerRoman"/>
      <w:lvlText w:val="%6."/>
      <w:lvlJc w:val="right"/>
      <w:pPr>
        <w:ind w:left="-2712" w:hanging="180"/>
      </w:pPr>
    </w:lvl>
    <w:lvl w:ilvl="6" w:tplc="140A000F">
      <w:start w:val="1"/>
      <w:numFmt w:val="decimal"/>
      <w:lvlText w:val="%7."/>
      <w:lvlJc w:val="left"/>
      <w:pPr>
        <w:ind w:left="-1992" w:hanging="360"/>
      </w:pPr>
    </w:lvl>
    <w:lvl w:ilvl="7" w:tplc="140A0019">
      <w:start w:val="1"/>
      <w:numFmt w:val="lowerLetter"/>
      <w:lvlText w:val="%8."/>
      <w:lvlJc w:val="left"/>
      <w:pPr>
        <w:ind w:left="-1272" w:hanging="360"/>
      </w:pPr>
    </w:lvl>
    <w:lvl w:ilvl="8" w:tplc="140A001B">
      <w:start w:val="1"/>
      <w:numFmt w:val="lowerRoman"/>
      <w:lvlText w:val="%9."/>
      <w:lvlJc w:val="right"/>
      <w:pPr>
        <w:ind w:left="-552" w:hanging="180"/>
      </w:pPr>
    </w:lvl>
  </w:abstractNum>
  <w:abstractNum w:abstractNumId="3" w15:restartNumberingAfterBreak="0">
    <w:nsid w:val="36A7656C"/>
    <w:multiLevelType w:val="hybridMultilevel"/>
    <w:tmpl w:val="C866A2A8"/>
    <w:lvl w:ilvl="0" w:tplc="AC06FEA2">
      <w:start w:val="1"/>
      <w:numFmt w:val="decimal"/>
      <w:pStyle w:val="Ttulo3"/>
      <w:lvlText w:val="A.%1"/>
      <w:lvlJc w:val="left"/>
      <w:pPr>
        <w:ind w:left="1353" w:hanging="360"/>
      </w:pPr>
      <w:rPr>
        <w:rFonts w:hint="default"/>
        <w:b/>
        <w:i/>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4" w15:restartNumberingAfterBreak="0">
    <w:nsid w:val="37CE29B4"/>
    <w:multiLevelType w:val="hybridMultilevel"/>
    <w:tmpl w:val="BE7EA024"/>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3A8C5AAE"/>
    <w:multiLevelType w:val="hybridMultilevel"/>
    <w:tmpl w:val="C32E5DF8"/>
    <w:lvl w:ilvl="0" w:tplc="722EF180">
      <w:start w:val="1"/>
      <w:numFmt w:val="upperLetter"/>
      <w:pStyle w:val="Ttulo"/>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484F45A4"/>
    <w:multiLevelType w:val="hybridMultilevel"/>
    <w:tmpl w:val="2892B620"/>
    <w:lvl w:ilvl="0" w:tplc="0E924352">
      <w:start w:val="1"/>
      <w:numFmt w:val="decimal"/>
      <w:pStyle w:val="Ttulo7"/>
      <w:lvlText w:val="D.%1."/>
      <w:lvlJc w:val="left"/>
      <w:pPr>
        <w:ind w:left="1776" w:hanging="360"/>
      </w:pPr>
      <w:rPr>
        <w:rFonts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9" w15:restartNumberingAfterBreak="0">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10" w15:restartNumberingAfterBreak="0">
    <w:nsid w:val="64402BA7"/>
    <w:multiLevelType w:val="hybridMultilevel"/>
    <w:tmpl w:val="978C5604"/>
    <w:lvl w:ilvl="0" w:tplc="6A664822">
      <w:start w:val="1"/>
      <w:numFmt w:val="upperLetter"/>
      <w:pStyle w:val="Ttulo2"/>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1" w15:restartNumberingAfterBreak="0">
    <w:nsid w:val="66342309"/>
    <w:multiLevelType w:val="hybridMultilevel"/>
    <w:tmpl w:val="56DE160C"/>
    <w:lvl w:ilvl="0" w:tplc="95CADDD2">
      <w:start w:val="1"/>
      <w:numFmt w:val="decimal"/>
      <w:pStyle w:val="Ttulo6"/>
      <w:lvlText w:val="C.3.%1."/>
      <w:lvlJc w:val="left"/>
      <w:pPr>
        <w:ind w:left="2484" w:hanging="360"/>
      </w:pPr>
      <w:rPr>
        <w:rFonts w:hint="default"/>
        <w:b w:val="0"/>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12" w15:restartNumberingAfterBreak="0">
    <w:nsid w:val="6C5B3CD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69C045C"/>
    <w:multiLevelType w:val="hybridMultilevel"/>
    <w:tmpl w:val="ED5ED4B6"/>
    <w:lvl w:ilvl="0" w:tplc="C1D6EA0E">
      <w:start w:val="1"/>
      <w:numFmt w:val="decimal"/>
      <w:pStyle w:val="Ttulo4"/>
      <w:lvlText w:val="A.2.%1."/>
      <w:lvlJc w:val="left"/>
      <w:pPr>
        <w:ind w:left="1068" w:hanging="360"/>
      </w:pPr>
      <w:rPr>
        <w:rFonts w:hint="default"/>
        <w:b w:val="0"/>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9354707"/>
    <w:multiLevelType w:val="hybridMultilevel"/>
    <w:tmpl w:val="62D26802"/>
    <w:lvl w:ilvl="0" w:tplc="98A461BC">
      <w:start w:val="1"/>
      <w:numFmt w:val="decimal"/>
      <w:lvlText w:val="%1."/>
      <w:lvlJc w:val="left"/>
      <w:pPr>
        <w:ind w:left="6070"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num w:numId="1">
    <w:abstractNumId w:val="5"/>
  </w:num>
  <w:num w:numId="2">
    <w:abstractNumId w:val="11"/>
  </w:num>
  <w:num w:numId="3">
    <w:abstractNumId w:val="8"/>
  </w:num>
  <w:num w:numId="4">
    <w:abstractNumId w:val="13"/>
  </w:num>
  <w:num w:numId="5">
    <w:abstractNumId w:val="1"/>
  </w:num>
  <w:num w:numId="6">
    <w:abstractNumId w:val="0"/>
  </w:num>
  <w:num w:numId="7">
    <w:abstractNumId w:val="12"/>
  </w:num>
  <w:num w:numId="8">
    <w:abstractNumId w:val="6"/>
  </w:num>
  <w:num w:numId="9">
    <w:abstractNumId w:val="7"/>
  </w:num>
  <w:num w:numId="10">
    <w:abstractNumId w:val="14"/>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lvlOverride w:ilvl="0">
      <w:startOverride w:val="1"/>
    </w:lvlOverride>
  </w:num>
  <w:num w:numId="14">
    <w:abstractNumId w:val="10"/>
    <w:lvlOverride w:ilvl="0">
      <w:startOverride w:val="1"/>
    </w:lvlOverride>
  </w:num>
  <w:num w:numId="15">
    <w:abstractNumId w:val="2"/>
  </w:num>
  <w:num w:numId="16">
    <w:abstractNumId w:val="10"/>
    <w:lvlOverride w:ilvl="0">
      <w:startOverride w:val="1"/>
    </w:lvlOverride>
  </w:num>
  <w:num w:numId="17">
    <w:abstractNumId w:val="10"/>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6" w:nlCheck="1" w:checkStyle="0"/>
  <w:activeWritingStyle w:appName="MSWord" w:lang="es-MX" w:vendorID="64" w:dllVersion="6" w:nlCheck="1" w:checkStyle="1"/>
  <w:activeWritingStyle w:appName="MSWord" w:lang="es-CR" w:vendorID="64" w:dllVersion="6" w:nlCheck="1" w:checkStyle="1"/>
  <w:activeWritingStyle w:appName="MSWord" w:lang="en-US" w:vendorID="64" w:dllVersion="6" w:nlCheck="1" w:checkStyle="1"/>
  <w:activeWritingStyle w:appName="MSWord" w:lang="es-ES" w:vendorID="64" w:dllVersion="6" w:nlCheck="1" w:checkStyle="1"/>
  <w:activeWritingStyle w:appName="MSWord" w:lang="es-DO" w:vendorID="64" w:dllVersion="6" w:nlCheck="1" w:checkStyle="1"/>
  <w:activeWritingStyle w:appName="MSWord" w:lang="en-GB"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PE" w:vendorID="64" w:dllVersion="6" w:nlCheck="1" w:checkStyle="1"/>
  <w:activeWritingStyle w:appName="MSWord" w:lang="es-VE"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D8"/>
    <w:rsid w:val="00002A1A"/>
    <w:rsid w:val="00005499"/>
    <w:rsid w:val="000065A8"/>
    <w:rsid w:val="00010024"/>
    <w:rsid w:val="000101C1"/>
    <w:rsid w:val="00010512"/>
    <w:rsid w:val="000106BD"/>
    <w:rsid w:val="00010CD8"/>
    <w:rsid w:val="00014862"/>
    <w:rsid w:val="000149E0"/>
    <w:rsid w:val="00016B0C"/>
    <w:rsid w:val="0001711B"/>
    <w:rsid w:val="000178DB"/>
    <w:rsid w:val="0002025B"/>
    <w:rsid w:val="0002065C"/>
    <w:rsid w:val="00022002"/>
    <w:rsid w:val="000233EC"/>
    <w:rsid w:val="00023F97"/>
    <w:rsid w:val="00025674"/>
    <w:rsid w:val="00031854"/>
    <w:rsid w:val="0003291C"/>
    <w:rsid w:val="00032FB7"/>
    <w:rsid w:val="0003409F"/>
    <w:rsid w:val="00034E18"/>
    <w:rsid w:val="00041686"/>
    <w:rsid w:val="0004490E"/>
    <w:rsid w:val="0004797E"/>
    <w:rsid w:val="00052609"/>
    <w:rsid w:val="00053435"/>
    <w:rsid w:val="00053A3B"/>
    <w:rsid w:val="000574C9"/>
    <w:rsid w:val="00057F15"/>
    <w:rsid w:val="0006055E"/>
    <w:rsid w:val="000610B2"/>
    <w:rsid w:val="00062D88"/>
    <w:rsid w:val="00063CD1"/>
    <w:rsid w:val="0006475E"/>
    <w:rsid w:val="0006508C"/>
    <w:rsid w:val="0006544D"/>
    <w:rsid w:val="00067313"/>
    <w:rsid w:val="00070F24"/>
    <w:rsid w:val="00080CCF"/>
    <w:rsid w:val="00081E89"/>
    <w:rsid w:val="00082152"/>
    <w:rsid w:val="000821DA"/>
    <w:rsid w:val="000853B4"/>
    <w:rsid w:val="00085FF5"/>
    <w:rsid w:val="000864AE"/>
    <w:rsid w:val="0008710C"/>
    <w:rsid w:val="00091F4B"/>
    <w:rsid w:val="0009318D"/>
    <w:rsid w:val="00094F32"/>
    <w:rsid w:val="00095F61"/>
    <w:rsid w:val="00095FC2"/>
    <w:rsid w:val="000965F4"/>
    <w:rsid w:val="000A0F03"/>
    <w:rsid w:val="000A12A3"/>
    <w:rsid w:val="000A2A64"/>
    <w:rsid w:val="000B042E"/>
    <w:rsid w:val="000B0439"/>
    <w:rsid w:val="000B07EF"/>
    <w:rsid w:val="000B33B9"/>
    <w:rsid w:val="000B432C"/>
    <w:rsid w:val="000B4A4B"/>
    <w:rsid w:val="000B54D7"/>
    <w:rsid w:val="000B6357"/>
    <w:rsid w:val="000C088D"/>
    <w:rsid w:val="000C09BE"/>
    <w:rsid w:val="000C0D46"/>
    <w:rsid w:val="000C2A35"/>
    <w:rsid w:val="000C41A8"/>
    <w:rsid w:val="000C585F"/>
    <w:rsid w:val="000C7E04"/>
    <w:rsid w:val="000D00FB"/>
    <w:rsid w:val="000D03CA"/>
    <w:rsid w:val="000D0A3E"/>
    <w:rsid w:val="000D0F56"/>
    <w:rsid w:val="000D5FA5"/>
    <w:rsid w:val="000D6EC7"/>
    <w:rsid w:val="000D76FC"/>
    <w:rsid w:val="000E3906"/>
    <w:rsid w:val="000E3998"/>
    <w:rsid w:val="000F0CDE"/>
    <w:rsid w:val="000F1113"/>
    <w:rsid w:val="000F30BD"/>
    <w:rsid w:val="000F53F1"/>
    <w:rsid w:val="000F5400"/>
    <w:rsid w:val="000F682A"/>
    <w:rsid w:val="001002AE"/>
    <w:rsid w:val="00101C0F"/>
    <w:rsid w:val="0010301D"/>
    <w:rsid w:val="0010344D"/>
    <w:rsid w:val="00111B66"/>
    <w:rsid w:val="00111EE8"/>
    <w:rsid w:val="00114242"/>
    <w:rsid w:val="00116681"/>
    <w:rsid w:val="00116F33"/>
    <w:rsid w:val="00117906"/>
    <w:rsid w:val="001200AE"/>
    <w:rsid w:val="001217FD"/>
    <w:rsid w:val="00121A80"/>
    <w:rsid w:val="0012229F"/>
    <w:rsid w:val="0012316A"/>
    <w:rsid w:val="00130BEF"/>
    <w:rsid w:val="00132173"/>
    <w:rsid w:val="00132F59"/>
    <w:rsid w:val="001335CC"/>
    <w:rsid w:val="00133E9D"/>
    <w:rsid w:val="0013585E"/>
    <w:rsid w:val="001375DD"/>
    <w:rsid w:val="00140182"/>
    <w:rsid w:val="00140F0F"/>
    <w:rsid w:val="00141A6D"/>
    <w:rsid w:val="00146232"/>
    <w:rsid w:val="00151008"/>
    <w:rsid w:val="0015446E"/>
    <w:rsid w:val="00154697"/>
    <w:rsid w:val="00155D18"/>
    <w:rsid w:val="001579B2"/>
    <w:rsid w:val="00157A51"/>
    <w:rsid w:val="00157BEA"/>
    <w:rsid w:val="00157C6A"/>
    <w:rsid w:val="00157CD7"/>
    <w:rsid w:val="00161E94"/>
    <w:rsid w:val="001635AC"/>
    <w:rsid w:val="00163A84"/>
    <w:rsid w:val="0016592A"/>
    <w:rsid w:val="00165D00"/>
    <w:rsid w:val="0017273A"/>
    <w:rsid w:val="00172DD1"/>
    <w:rsid w:val="00173B56"/>
    <w:rsid w:val="00173EF1"/>
    <w:rsid w:val="001741F7"/>
    <w:rsid w:val="00187F77"/>
    <w:rsid w:val="001901D6"/>
    <w:rsid w:val="00191E9C"/>
    <w:rsid w:val="00192244"/>
    <w:rsid w:val="00192542"/>
    <w:rsid w:val="0019256B"/>
    <w:rsid w:val="00193485"/>
    <w:rsid w:val="00196D41"/>
    <w:rsid w:val="001975B4"/>
    <w:rsid w:val="00197D93"/>
    <w:rsid w:val="00197E27"/>
    <w:rsid w:val="001A2E49"/>
    <w:rsid w:val="001A5331"/>
    <w:rsid w:val="001A70B5"/>
    <w:rsid w:val="001A7205"/>
    <w:rsid w:val="001B0711"/>
    <w:rsid w:val="001B2451"/>
    <w:rsid w:val="001B2E8D"/>
    <w:rsid w:val="001B3833"/>
    <w:rsid w:val="001B77C3"/>
    <w:rsid w:val="001C05D8"/>
    <w:rsid w:val="001C1233"/>
    <w:rsid w:val="001C210E"/>
    <w:rsid w:val="001C3B78"/>
    <w:rsid w:val="001C45D2"/>
    <w:rsid w:val="001C4AF6"/>
    <w:rsid w:val="001C67BD"/>
    <w:rsid w:val="001D2B31"/>
    <w:rsid w:val="001D465E"/>
    <w:rsid w:val="001D7001"/>
    <w:rsid w:val="001D7AA2"/>
    <w:rsid w:val="001E07BF"/>
    <w:rsid w:val="001E14D8"/>
    <w:rsid w:val="001E2D22"/>
    <w:rsid w:val="001E3851"/>
    <w:rsid w:val="001F301D"/>
    <w:rsid w:val="001F35FA"/>
    <w:rsid w:val="001F62BD"/>
    <w:rsid w:val="00201CBB"/>
    <w:rsid w:val="002022BC"/>
    <w:rsid w:val="00202F41"/>
    <w:rsid w:val="0020414E"/>
    <w:rsid w:val="00204520"/>
    <w:rsid w:val="00204C4E"/>
    <w:rsid w:val="002219CE"/>
    <w:rsid w:val="00223943"/>
    <w:rsid w:val="0022397A"/>
    <w:rsid w:val="0022514D"/>
    <w:rsid w:val="0022623B"/>
    <w:rsid w:val="002270FD"/>
    <w:rsid w:val="002304C4"/>
    <w:rsid w:val="002308E1"/>
    <w:rsid w:val="00232EAD"/>
    <w:rsid w:val="00235DD5"/>
    <w:rsid w:val="0023636C"/>
    <w:rsid w:val="002370A6"/>
    <w:rsid w:val="0024211C"/>
    <w:rsid w:val="00243386"/>
    <w:rsid w:val="00245F2A"/>
    <w:rsid w:val="00251AB4"/>
    <w:rsid w:val="002549B7"/>
    <w:rsid w:val="00255266"/>
    <w:rsid w:val="00256A6F"/>
    <w:rsid w:val="00257882"/>
    <w:rsid w:val="00257B5E"/>
    <w:rsid w:val="002632B5"/>
    <w:rsid w:val="00264901"/>
    <w:rsid w:val="00265133"/>
    <w:rsid w:val="00265A2D"/>
    <w:rsid w:val="00267D91"/>
    <w:rsid w:val="00274C5B"/>
    <w:rsid w:val="00275D73"/>
    <w:rsid w:val="002767A8"/>
    <w:rsid w:val="002801E6"/>
    <w:rsid w:val="002821B4"/>
    <w:rsid w:val="002828B5"/>
    <w:rsid w:val="00283EBD"/>
    <w:rsid w:val="0028401E"/>
    <w:rsid w:val="00284E87"/>
    <w:rsid w:val="0029213B"/>
    <w:rsid w:val="0029378E"/>
    <w:rsid w:val="00293C2D"/>
    <w:rsid w:val="00293C8E"/>
    <w:rsid w:val="0029737C"/>
    <w:rsid w:val="00297878"/>
    <w:rsid w:val="002A019E"/>
    <w:rsid w:val="002A06C8"/>
    <w:rsid w:val="002A13E5"/>
    <w:rsid w:val="002A27EA"/>
    <w:rsid w:val="002A2F2C"/>
    <w:rsid w:val="002B063D"/>
    <w:rsid w:val="002B1759"/>
    <w:rsid w:val="002B25FD"/>
    <w:rsid w:val="002B6281"/>
    <w:rsid w:val="002B648D"/>
    <w:rsid w:val="002B69D5"/>
    <w:rsid w:val="002B76BF"/>
    <w:rsid w:val="002B7FC1"/>
    <w:rsid w:val="002C3678"/>
    <w:rsid w:val="002C47FC"/>
    <w:rsid w:val="002C4B85"/>
    <w:rsid w:val="002C580E"/>
    <w:rsid w:val="002D3ACB"/>
    <w:rsid w:val="002D4820"/>
    <w:rsid w:val="002D5050"/>
    <w:rsid w:val="002D6FFB"/>
    <w:rsid w:val="002E0CC2"/>
    <w:rsid w:val="002E4BB4"/>
    <w:rsid w:val="002E5C7E"/>
    <w:rsid w:val="002F1913"/>
    <w:rsid w:val="002F20D8"/>
    <w:rsid w:val="002F2575"/>
    <w:rsid w:val="002F36FF"/>
    <w:rsid w:val="002F6BB6"/>
    <w:rsid w:val="002F7F52"/>
    <w:rsid w:val="00302E1A"/>
    <w:rsid w:val="00304F1F"/>
    <w:rsid w:val="003066D4"/>
    <w:rsid w:val="0031071D"/>
    <w:rsid w:val="00310DA2"/>
    <w:rsid w:val="00312E94"/>
    <w:rsid w:val="00313979"/>
    <w:rsid w:val="00313EE5"/>
    <w:rsid w:val="003163CE"/>
    <w:rsid w:val="00320517"/>
    <w:rsid w:val="00322DCD"/>
    <w:rsid w:val="00322E11"/>
    <w:rsid w:val="00324D97"/>
    <w:rsid w:val="003256D6"/>
    <w:rsid w:val="003268FB"/>
    <w:rsid w:val="00326CF7"/>
    <w:rsid w:val="00327F03"/>
    <w:rsid w:val="00334026"/>
    <w:rsid w:val="00334748"/>
    <w:rsid w:val="0033532B"/>
    <w:rsid w:val="00336ED7"/>
    <w:rsid w:val="00345E12"/>
    <w:rsid w:val="003464DC"/>
    <w:rsid w:val="00347E77"/>
    <w:rsid w:val="00351CEC"/>
    <w:rsid w:val="003523AA"/>
    <w:rsid w:val="003541DB"/>
    <w:rsid w:val="00356381"/>
    <w:rsid w:val="003571A5"/>
    <w:rsid w:val="0035743B"/>
    <w:rsid w:val="00361CAD"/>
    <w:rsid w:val="003622FD"/>
    <w:rsid w:val="003628B8"/>
    <w:rsid w:val="003636FF"/>
    <w:rsid w:val="003646AC"/>
    <w:rsid w:val="00364FDC"/>
    <w:rsid w:val="00365034"/>
    <w:rsid w:val="003655AA"/>
    <w:rsid w:val="0037184D"/>
    <w:rsid w:val="0037315C"/>
    <w:rsid w:val="00383ED0"/>
    <w:rsid w:val="0038654D"/>
    <w:rsid w:val="00387453"/>
    <w:rsid w:val="0039102C"/>
    <w:rsid w:val="00394732"/>
    <w:rsid w:val="00396986"/>
    <w:rsid w:val="00397A38"/>
    <w:rsid w:val="003A0415"/>
    <w:rsid w:val="003A17A6"/>
    <w:rsid w:val="003A3F6A"/>
    <w:rsid w:val="003A421C"/>
    <w:rsid w:val="003A4E35"/>
    <w:rsid w:val="003B1CB4"/>
    <w:rsid w:val="003B2DD9"/>
    <w:rsid w:val="003B2E08"/>
    <w:rsid w:val="003B7141"/>
    <w:rsid w:val="003B7162"/>
    <w:rsid w:val="003C0487"/>
    <w:rsid w:val="003C1641"/>
    <w:rsid w:val="003C20DA"/>
    <w:rsid w:val="003D17B7"/>
    <w:rsid w:val="003D20B9"/>
    <w:rsid w:val="003D2A72"/>
    <w:rsid w:val="003D2E9B"/>
    <w:rsid w:val="003D4670"/>
    <w:rsid w:val="003D6B2E"/>
    <w:rsid w:val="003D70BE"/>
    <w:rsid w:val="003D7AE9"/>
    <w:rsid w:val="003E041D"/>
    <w:rsid w:val="003E4B02"/>
    <w:rsid w:val="003E51C3"/>
    <w:rsid w:val="003E598A"/>
    <w:rsid w:val="003E758F"/>
    <w:rsid w:val="003E771D"/>
    <w:rsid w:val="003F2C29"/>
    <w:rsid w:val="003F33A5"/>
    <w:rsid w:val="003F5991"/>
    <w:rsid w:val="00404BD4"/>
    <w:rsid w:val="00406718"/>
    <w:rsid w:val="00406957"/>
    <w:rsid w:val="00410A1D"/>
    <w:rsid w:val="004114DB"/>
    <w:rsid w:val="00414121"/>
    <w:rsid w:val="00415BB4"/>
    <w:rsid w:val="004207C1"/>
    <w:rsid w:val="0042135F"/>
    <w:rsid w:val="00421B53"/>
    <w:rsid w:val="00421CB6"/>
    <w:rsid w:val="00424626"/>
    <w:rsid w:val="00425175"/>
    <w:rsid w:val="00425643"/>
    <w:rsid w:val="00425AD6"/>
    <w:rsid w:val="00430C9B"/>
    <w:rsid w:val="00431290"/>
    <w:rsid w:val="00431B3A"/>
    <w:rsid w:val="00431CA1"/>
    <w:rsid w:val="004331BF"/>
    <w:rsid w:val="00433AF5"/>
    <w:rsid w:val="00435AF6"/>
    <w:rsid w:val="00442A42"/>
    <w:rsid w:val="00442BF9"/>
    <w:rsid w:val="0044343A"/>
    <w:rsid w:val="00443FCC"/>
    <w:rsid w:val="00444481"/>
    <w:rsid w:val="004460A2"/>
    <w:rsid w:val="004461D8"/>
    <w:rsid w:val="004567DC"/>
    <w:rsid w:val="00456CC2"/>
    <w:rsid w:val="0045716E"/>
    <w:rsid w:val="004622C7"/>
    <w:rsid w:val="00462864"/>
    <w:rsid w:val="00465D9F"/>
    <w:rsid w:val="004732FB"/>
    <w:rsid w:val="00474F89"/>
    <w:rsid w:val="00480477"/>
    <w:rsid w:val="0048065B"/>
    <w:rsid w:val="004827CC"/>
    <w:rsid w:val="00482FCB"/>
    <w:rsid w:val="00487B84"/>
    <w:rsid w:val="004901D0"/>
    <w:rsid w:val="00490472"/>
    <w:rsid w:val="00490757"/>
    <w:rsid w:val="00491182"/>
    <w:rsid w:val="004916CC"/>
    <w:rsid w:val="00492D33"/>
    <w:rsid w:val="00492FA2"/>
    <w:rsid w:val="004933DC"/>
    <w:rsid w:val="00493FF7"/>
    <w:rsid w:val="0049488A"/>
    <w:rsid w:val="0049586E"/>
    <w:rsid w:val="00496510"/>
    <w:rsid w:val="0049710E"/>
    <w:rsid w:val="00497461"/>
    <w:rsid w:val="004A3E0F"/>
    <w:rsid w:val="004A43C2"/>
    <w:rsid w:val="004A7693"/>
    <w:rsid w:val="004B1EBE"/>
    <w:rsid w:val="004B204D"/>
    <w:rsid w:val="004B3676"/>
    <w:rsid w:val="004C06FE"/>
    <w:rsid w:val="004C22C1"/>
    <w:rsid w:val="004C2796"/>
    <w:rsid w:val="004E00F7"/>
    <w:rsid w:val="004E0927"/>
    <w:rsid w:val="004E0B3D"/>
    <w:rsid w:val="004E103A"/>
    <w:rsid w:val="004E4D34"/>
    <w:rsid w:val="004E5DE0"/>
    <w:rsid w:val="004F3B08"/>
    <w:rsid w:val="004F4D8C"/>
    <w:rsid w:val="004F5559"/>
    <w:rsid w:val="005002FB"/>
    <w:rsid w:val="00500A60"/>
    <w:rsid w:val="0051368E"/>
    <w:rsid w:val="00520084"/>
    <w:rsid w:val="0052180A"/>
    <w:rsid w:val="00521900"/>
    <w:rsid w:val="0053518E"/>
    <w:rsid w:val="00536467"/>
    <w:rsid w:val="00536736"/>
    <w:rsid w:val="005407F0"/>
    <w:rsid w:val="00545E89"/>
    <w:rsid w:val="005479FB"/>
    <w:rsid w:val="00551F35"/>
    <w:rsid w:val="00552D3C"/>
    <w:rsid w:val="00553B4B"/>
    <w:rsid w:val="00555834"/>
    <w:rsid w:val="00555B63"/>
    <w:rsid w:val="005567D5"/>
    <w:rsid w:val="005577D7"/>
    <w:rsid w:val="00562EE0"/>
    <w:rsid w:val="00564690"/>
    <w:rsid w:val="00564C0E"/>
    <w:rsid w:val="0056578A"/>
    <w:rsid w:val="005704B1"/>
    <w:rsid w:val="00571012"/>
    <w:rsid w:val="0057250F"/>
    <w:rsid w:val="00572A0B"/>
    <w:rsid w:val="00574DFE"/>
    <w:rsid w:val="00576FE8"/>
    <w:rsid w:val="00581379"/>
    <w:rsid w:val="005857CC"/>
    <w:rsid w:val="00585FFF"/>
    <w:rsid w:val="00586BD7"/>
    <w:rsid w:val="005875BA"/>
    <w:rsid w:val="00590819"/>
    <w:rsid w:val="00592093"/>
    <w:rsid w:val="00595E1A"/>
    <w:rsid w:val="005A137B"/>
    <w:rsid w:val="005A5088"/>
    <w:rsid w:val="005A6DD6"/>
    <w:rsid w:val="005A753A"/>
    <w:rsid w:val="005B1820"/>
    <w:rsid w:val="005B1FF2"/>
    <w:rsid w:val="005B3F02"/>
    <w:rsid w:val="005B5586"/>
    <w:rsid w:val="005B6713"/>
    <w:rsid w:val="005C10B4"/>
    <w:rsid w:val="005C2E49"/>
    <w:rsid w:val="005C4357"/>
    <w:rsid w:val="005C6E9B"/>
    <w:rsid w:val="005D19A7"/>
    <w:rsid w:val="005D1D0B"/>
    <w:rsid w:val="005D2D7F"/>
    <w:rsid w:val="005D317B"/>
    <w:rsid w:val="005D4BD7"/>
    <w:rsid w:val="005D50F7"/>
    <w:rsid w:val="005D5ED3"/>
    <w:rsid w:val="005D5ED8"/>
    <w:rsid w:val="005E0119"/>
    <w:rsid w:val="005E0FA1"/>
    <w:rsid w:val="005E20DF"/>
    <w:rsid w:val="005E3160"/>
    <w:rsid w:val="005E51CD"/>
    <w:rsid w:val="005E51F2"/>
    <w:rsid w:val="005E5302"/>
    <w:rsid w:val="005E6948"/>
    <w:rsid w:val="005E7B47"/>
    <w:rsid w:val="005F07C8"/>
    <w:rsid w:val="005F08BB"/>
    <w:rsid w:val="005F43C3"/>
    <w:rsid w:val="005F5C55"/>
    <w:rsid w:val="006013A4"/>
    <w:rsid w:val="00604B8A"/>
    <w:rsid w:val="00606B56"/>
    <w:rsid w:val="00607E6D"/>
    <w:rsid w:val="00610BC5"/>
    <w:rsid w:val="00614120"/>
    <w:rsid w:val="00614398"/>
    <w:rsid w:val="00615425"/>
    <w:rsid w:val="006161CF"/>
    <w:rsid w:val="00621C29"/>
    <w:rsid w:val="00630108"/>
    <w:rsid w:val="006323AC"/>
    <w:rsid w:val="00632A5F"/>
    <w:rsid w:val="00635D4F"/>
    <w:rsid w:val="00636561"/>
    <w:rsid w:val="00636809"/>
    <w:rsid w:val="00636AEF"/>
    <w:rsid w:val="00637034"/>
    <w:rsid w:val="0064020B"/>
    <w:rsid w:val="0064020F"/>
    <w:rsid w:val="00640C2A"/>
    <w:rsid w:val="00640F74"/>
    <w:rsid w:val="0064198F"/>
    <w:rsid w:val="006506EB"/>
    <w:rsid w:val="006512B6"/>
    <w:rsid w:val="00654EBF"/>
    <w:rsid w:val="00655238"/>
    <w:rsid w:val="00655B32"/>
    <w:rsid w:val="00657A37"/>
    <w:rsid w:val="00657DD2"/>
    <w:rsid w:val="00661093"/>
    <w:rsid w:val="00663E14"/>
    <w:rsid w:val="0066704A"/>
    <w:rsid w:val="00667115"/>
    <w:rsid w:val="00667CEA"/>
    <w:rsid w:val="006710A8"/>
    <w:rsid w:val="00671A0B"/>
    <w:rsid w:val="006747AE"/>
    <w:rsid w:val="0067485F"/>
    <w:rsid w:val="00680AB4"/>
    <w:rsid w:val="00682582"/>
    <w:rsid w:val="00684CCE"/>
    <w:rsid w:val="00685A67"/>
    <w:rsid w:val="006933A3"/>
    <w:rsid w:val="00694879"/>
    <w:rsid w:val="006A0135"/>
    <w:rsid w:val="006A566E"/>
    <w:rsid w:val="006A5CC2"/>
    <w:rsid w:val="006A799F"/>
    <w:rsid w:val="006B0067"/>
    <w:rsid w:val="006B1EC8"/>
    <w:rsid w:val="006B271D"/>
    <w:rsid w:val="006B4675"/>
    <w:rsid w:val="006B4D61"/>
    <w:rsid w:val="006B6BA7"/>
    <w:rsid w:val="006B7C55"/>
    <w:rsid w:val="006C06C3"/>
    <w:rsid w:val="006C2CBA"/>
    <w:rsid w:val="006C3E5B"/>
    <w:rsid w:val="006C5D32"/>
    <w:rsid w:val="006D1198"/>
    <w:rsid w:val="006D2C6E"/>
    <w:rsid w:val="006D4002"/>
    <w:rsid w:val="006E163B"/>
    <w:rsid w:val="006E3152"/>
    <w:rsid w:val="006E41A8"/>
    <w:rsid w:val="006E43C9"/>
    <w:rsid w:val="006E489E"/>
    <w:rsid w:val="006E4A9C"/>
    <w:rsid w:val="006E670C"/>
    <w:rsid w:val="006E6931"/>
    <w:rsid w:val="006F14DB"/>
    <w:rsid w:val="006F20BB"/>
    <w:rsid w:val="006F56FD"/>
    <w:rsid w:val="006F5D6E"/>
    <w:rsid w:val="006F5E65"/>
    <w:rsid w:val="006F60B2"/>
    <w:rsid w:val="00701B13"/>
    <w:rsid w:val="007021A7"/>
    <w:rsid w:val="00704BE8"/>
    <w:rsid w:val="00706CF1"/>
    <w:rsid w:val="00713053"/>
    <w:rsid w:val="00713E16"/>
    <w:rsid w:val="0071493D"/>
    <w:rsid w:val="00721095"/>
    <w:rsid w:val="00721252"/>
    <w:rsid w:val="00721329"/>
    <w:rsid w:val="0072745D"/>
    <w:rsid w:val="007309E0"/>
    <w:rsid w:val="00730CA4"/>
    <w:rsid w:val="00731B4A"/>
    <w:rsid w:val="00731DB8"/>
    <w:rsid w:val="0073300F"/>
    <w:rsid w:val="00734C23"/>
    <w:rsid w:val="00736532"/>
    <w:rsid w:val="00745789"/>
    <w:rsid w:val="00745BB3"/>
    <w:rsid w:val="00745BB5"/>
    <w:rsid w:val="00750CE6"/>
    <w:rsid w:val="00755798"/>
    <w:rsid w:val="00761B06"/>
    <w:rsid w:val="00764169"/>
    <w:rsid w:val="00764351"/>
    <w:rsid w:val="00765704"/>
    <w:rsid w:val="00767159"/>
    <w:rsid w:val="00767A63"/>
    <w:rsid w:val="00770FF7"/>
    <w:rsid w:val="00773381"/>
    <w:rsid w:val="00773541"/>
    <w:rsid w:val="00775A04"/>
    <w:rsid w:val="00775B23"/>
    <w:rsid w:val="0077644B"/>
    <w:rsid w:val="00781FA1"/>
    <w:rsid w:val="007838F6"/>
    <w:rsid w:val="007864A6"/>
    <w:rsid w:val="00790FE3"/>
    <w:rsid w:val="00791A52"/>
    <w:rsid w:val="00791AF0"/>
    <w:rsid w:val="00795BE5"/>
    <w:rsid w:val="007A2EAC"/>
    <w:rsid w:val="007A2FFB"/>
    <w:rsid w:val="007A3AB8"/>
    <w:rsid w:val="007A5487"/>
    <w:rsid w:val="007A55EB"/>
    <w:rsid w:val="007B37E0"/>
    <w:rsid w:val="007B74AD"/>
    <w:rsid w:val="007B74B8"/>
    <w:rsid w:val="007C2FBE"/>
    <w:rsid w:val="007C4186"/>
    <w:rsid w:val="007C487A"/>
    <w:rsid w:val="007C64DA"/>
    <w:rsid w:val="007C76FE"/>
    <w:rsid w:val="007D227B"/>
    <w:rsid w:val="007F0E38"/>
    <w:rsid w:val="007F0FE3"/>
    <w:rsid w:val="007F1865"/>
    <w:rsid w:val="007F6256"/>
    <w:rsid w:val="008009BA"/>
    <w:rsid w:val="00801E19"/>
    <w:rsid w:val="00802B50"/>
    <w:rsid w:val="00804A58"/>
    <w:rsid w:val="00804A6C"/>
    <w:rsid w:val="00805A66"/>
    <w:rsid w:val="00806348"/>
    <w:rsid w:val="008073EA"/>
    <w:rsid w:val="008120E3"/>
    <w:rsid w:val="0081491E"/>
    <w:rsid w:val="00815402"/>
    <w:rsid w:val="00815985"/>
    <w:rsid w:val="008166FA"/>
    <w:rsid w:val="008174BD"/>
    <w:rsid w:val="008215EC"/>
    <w:rsid w:val="00822057"/>
    <w:rsid w:val="0082292F"/>
    <w:rsid w:val="00825C06"/>
    <w:rsid w:val="0082670E"/>
    <w:rsid w:val="008314A4"/>
    <w:rsid w:val="0083239C"/>
    <w:rsid w:val="008324C1"/>
    <w:rsid w:val="00832C55"/>
    <w:rsid w:val="008333F3"/>
    <w:rsid w:val="008342AF"/>
    <w:rsid w:val="008351F9"/>
    <w:rsid w:val="008379B6"/>
    <w:rsid w:val="008404E0"/>
    <w:rsid w:val="008404ED"/>
    <w:rsid w:val="008414A4"/>
    <w:rsid w:val="0084247E"/>
    <w:rsid w:val="00843376"/>
    <w:rsid w:val="0084468A"/>
    <w:rsid w:val="00847A68"/>
    <w:rsid w:val="00851757"/>
    <w:rsid w:val="00851BFC"/>
    <w:rsid w:val="008549CC"/>
    <w:rsid w:val="00854DA8"/>
    <w:rsid w:val="00855036"/>
    <w:rsid w:val="00860FB9"/>
    <w:rsid w:val="0086155A"/>
    <w:rsid w:val="00863505"/>
    <w:rsid w:val="00863BC5"/>
    <w:rsid w:val="008745CC"/>
    <w:rsid w:val="008749A3"/>
    <w:rsid w:val="0087526C"/>
    <w:rsid w:val="00875D1F"/>
    <w:rsid w:val="00880825"/>
    <w:rsid w:val="0088184E"/>
    <w:rsid w:val="00883F51"/>
    <w:rsid w:val="008853EA"/>
    <w:rsid w:val="00885563"/>
    <w:rsid w:val="0088656D"/>
    <w:rsid w:val="008A351B"/>
    <w:rsid w:val="008A4331"/>
    <w:rsid w:val="008A43CB"/>
    <w:rsid w:val="008A5826"/>
    <w:rsid w:val="008A672B"/>
    <w:rsid w:val="008A76A8"/>
    <w:rsid w:val="008B00A1"/>
    <w:rsid w:val="008B1B9E"/>
    <w:rsid w:val="008B2C05"/>
    <w:rsid w:val="008B5531"/>
    <w:rsid w:val="008B727A"/>
    <w:rsid w:val="008B78CD"/>
    <w:rsid w:val="008C1342"/>
    <w:rsid w:val="008C28DA"/>
    <w:rsid w:val="008C333B"/>
    <w:rsid w:val="008C5235"/>
    <w:rsid w:val="008D0CC2"/>
    <w:rsid w:val="008D124C"/>
    <w:rsid w:val="008D202F"/>
    <w:rsid w:val="008D454E"/>
    <w:rsid w:val="008E052C"/>
    <w:rsid w:val="008E0EDB"/>
    <w:rsid w:val="008E45D0"/>
    <w:rsid w:val="008E7DF5"/>
    <w:rsid w:val="008F083A"/>
    <w:rsid w:val="008F0C15"/>
    <w:rsid w:val="008F0DEC"/>
    <w:rsid w:val="008F18D9"/>
    <w:rsid w:val="008F22E5"/>
    <w:rsid w:val="008F2FE2"/>
    <w:rsid w:val="008F4C07"/>
    <w:rsid w:val="008F5A3C"/>
    <w:rsid w:val="008F5A53"/>
    <w:rsid w:val="008F68AE"/>
    <w:rsid w:val="008F7AFD"/>
    <w:rsid w:val="00902077"/>
    <w:rsid w:val="009038C8"/>
    <w:rsid w:val="00904755"/>
    <w:rsid w:val="009052B7"/>
    <w:rsid w:val="0090641F"/>
    <w:rsid w:val="00906EE8"/>
    <w:rsid w:val="009109ED"/>
    <w:rsid w:val="009114F5"/>
    <w:rsid w:val="00911F1B"/>
    <w:rsid w:val="00912E28"/>
    <w:rsid w:val="009140E3"/>
    <w:rsid w:val="00916B58"/>
    <w:rsid w:val="00917BB0"/>
    <w:rsid w:val="00921D5A"/>
    <w:rsid w:val="00922848"/>
    <w:rsid w:val="00922870"/>
    <w:rsid w:val="00923B77"/>
    <w:rsid w:val="009257B3"/>
    <w:rsid w:val="009270AB"/>
    <w:rsid w:val="00932941"/>
    <w:rsid w:val="009346C0"/>
    <w:rsid w:val="00935645"/>
    <w:rsid w:val="00935FF1"/>
    <w:rsid w:val="00936D30"/>
    <w:rsid w:val="0093785A"/>
    <w:rsid w:val="00942597"/>
    <w:rsid w:val="00942A5B"/>
    <w:rsid w:val="00942DC1"/>
    <w:rsid w:val="00944B7F"/>
    <w:rsid w:val="00945526"/>
    <w:rsid w:val="009506B4"/>
    <w:rsid w:val="00951B2B"/>
    <w:rsid w:val="00953A15"/>
    <w:rsid w:val="009552DF"/>
    <w:rsid w:val="009577D8"/>
    <w:rsid w:val="0096005C"/>
    <w:rsid w:val="009601D7"/>
    <w:rsid w:val="00962281"/>
    <w:rsid w:val="009642A0"/>
    <w:rsid w:val="009706F2"/>
    <w:rsid w:val="009726DC"/>
    <w:rsid w:val="00976FD7"/>
    <w:rsid w:val="009770E7"/>
    <w:rsid w:val="0097754C"/>
    <w:rsid w:val="00977ACB"/>
    <w:rsid w:val="0098189A"/>
    <w:rsid w:val="0098473C"/>
    <w:rsid w:val="009856B4"/>
    <w:rsid w:val="00985E48"/>
    <w:rsid w:val="00987A08"/>
    <w:rsid w:val="00990210"/>
    <w:rsid w:val="0099289E"/>
    <w:rsid w:val="00994138"/>
    <w:rsid w:val="00996EEB"/>
    <w:rsid w:val="009A09B7"/>
    <w:rsid w:val="009A1066"/>
    <w:rsid w:val="009A1DDB"/>
    <w:rsid w:val="009A42FD"/>
    <w:rsid w:val="009A4984"/>
    <w:rsid w:val="009A4F4F"/>
    <w:rsid w:val="009A787C"/>
    <w:rsid w:val="009A7E6F"/>
    <w:rsid w:val="009B004A"/>
    <w:rsid w:val="009B0400"/>
    <w:rsid w:val="009B05B8"/>
    <w:rsid w:val="009B2521"/>
    <w:rsid w:val="009B573F"/>
    <w:rsid w:val="009B5815"/>
    <w:rsid w:val="009B6C73"/>
    <w:rsid w:val="009B7062"/>
    <w:rsid w:val="009B7184"/>
    <w:rsid w:val="009B7999"/>
    <w:rsid w:val="009C1DC6"/>
    <w:rsid w:val="009C3415"/>
    <w:rsid w:val="009C4B15"/>
    <w:rsid w:val="009C5808"/>
    <w:rsid w:val="009C600B"/>
    <w:rsid w:val="009C6B30"/>
    <w:rsid w:val="009C6E35"/>
    <w:rsid w:val="009C71B6"/>
    <w:rsid w:val="009D0881"/>
    <w:rsid w:val="009D0DFF"/>
    <w:rsid w:val="009D33F0"/>
    <w:rsid w:val="009D3559"/>
    <w:rsid w:val="009D502E"/>
    <w:rsid w:val="009D5ADF"/>
    <w:rsid w:val="009E3A45"/>
    <w:rsid w:val="009E46F2"/>
    <w:rsid w:val="009E5158"/>
    <w:rsid w:val="009F2010"/>
    <w:rsid w:val="009F2EFD"/>
    <w:rsid w:val="009F55DF"/>
    <w:rsid w:val="009F6EA9"/>
    <w:rsid w:val="00A01D26"/>
    <w:rsid w:val="00A02AC3"/>
    <w:rsid w:val="00A055A7"/>
    <w:rsid w:val="00A074B7"/>
    <w:rsid w:val="00A14B24"/>
    <w:rsid w:val="00A23770"/>
    <w:rsid w:val="00A2430D"/>
    <w:rsid w:val="00A2567A"/>
    <w:rsid w:val="00A37614"/>
    <w:rsid w:val="00A4003C"/>
    <w:rsid w:val="00A43B48"/>
    <w:rsid w:val="00A47665"/>
    <w:rsid w:val="00A47FA2"/>
    <w:rsid w:val="00A500E4"/>
    <w:rsid w:val="00A50374"/>
    <w:rsid w:val="00A50810"/>
    <w:rsid w:val="00A524D4"/>
    <w:rsid w:val="00A533E5"/>
    <w:rsid w:val="00A53EE4"/>
    <w:rsid w:val="00A53EEB"/>
    <w:rsid w:val="00A54A1A"/>
    <w:rsid w:val="00A555B9"/>
    <w:rsid w:val="00A56DA6"/>
    <w:rsid w:val="00A627FA"/>
    <w:rsid w:val="00A665AF"/>
    <w:rsid w:val="00A6683A"/>
    <w:rsid w:val="00A66F44"/>
    <w:rsid w:val="00A675EC"/>
    <w:rsid w:val="00A7367D"/>
    <w:rsid w:val="00A7462B"/>
    <w:rsid w:val="00A74C1D"/>
    <w:rsid w:val="00A7522C"/>
    <w:rsid w:val="00A804FE"/>
    <w:rsid w:val="00A80AC4"/>
    <w:rsid w:val="00A80AF9"/>
    <w:rsid w:val="00A82B59"/>
    <w:rsid w:val="00A8766A"/>
    <w:rsid w:val="00A90ADB"/>
    <w:rsid w:val="00A90E5F"/>
    <w:rsid w:val="00A9170A"/>
    <w:rsid w:val="00A91CD4"/>
    <w:rsid w:val="00A937B4"/>
    <w:rsid w:val="00A93FE5"/>
    <w:rsid w:val="00A945B6"/>
    <w:rsid w:val="00A95232"/>
    <w:rsid w:val="00A97868"/>
    <w:rsid w:val="00AA0357"/>
    <w:rsid w:val="00AA0B94"/>
    <w:rsid w:val="00AA4B6F"/>
    <w:rsid w:val="00AA541A"/>
    <w:rsid w:val="00AA5948"/>
    <w:rsid w:val="00AA5989"/>
    <w:rsid w:val="00AA7D38"/>
    <w:rsid w:val="00AB0FF3"/>
    <w:rsid w:val="00AB2981"/>
    <w:rsid w:val="00AC0031"/>
    <w:rsid w:val="00AC0C51"/>
    <w:rsid w:val="00AC1C2A"/>
    <w:rsid w:val="00AC3BDC"/>
    <w:rsid w:val="00AC7F89"/>
    <w:rsid w:val="00AD1402"/>
    <w:rsid w:val="00AD25A3"/>
    <w:rsid w:val="00AD6B72"/>
    <w:rsid w:val="00AE2B44"/>
    <w:rsid w:val="00AE50C3"/>
    <w:rsid w:val="00AE566E"/>
    <w:rsid w:val="00AE60AA"/>
    <w:rsid w:val="00AE62F4"/>
    <w:rsid w:val="00AF0B74"/>
    <w:rsid w:val="00AF1D36"/>
    <w:rsid w:val="00AF1F59"/>
    <w:rsid w:val="00AF2EBB"/>
    <w:rsid w:val="00AF79A9"/>
    <w:rsid w:val="00B029D3"/>
    <w:rsid w:val="00B0353E"/>
    <w:rsid w:val="00B05765"/>
    <w:rsid w:val="00B06AD2"/>
    <w:rsid w:val="00B0702A"/>
    <w:rsid w:val="00B073FA"/>
    <w:rsid w:val="00B075C4"/>
    <w:rsid w:val="00B07750"/>
    <w:rsid w:val="00B10023"/>
    <w:rsid w:val="00B1167A"/>
    <w:rsid w:val="00B11A5C"/>
    <w:rsid w:val="00B128F9"/>
    <w:rsid w:val="00B12AAE"/>
    <w:rsid w:val="00B134BA"/>
    <w:rsid w:val="00B14315"/>
    <w:rsid w:val="00B15068"/>
    <w:rsid w:val="00B15331"/>
    <w:rsid w:val="00B16B69"/>
    <w:rsid w:val="00B21367"/>
    <w:rsid w:val="00B22D15"/>
    <w:rsid w:val="00B231C1"/>
    <w:rsid w:val="00B240D4"/>
    <w:rsid w:val="00B25FA5"/>
    <w:rsid w:val="00B308B4"/>
    <w:rsid w:val="00B343E6"/>
    <w:rsid w:val="00B405FE"/>
    <w:rsid w:val="00B45EA2"/>
    <w:rsid w:val="00B46C93"/>
    <w:rsid w:val="00B51263"/>
    <w:rsid w:val="00B53B32"/>
    <w:rsid w:val="00B552FF"/>
    <w:rsid w:val="00B5653E"/>
    <w:rsid w:val="00B56FC1"/>
    <w:rsid w:val="00B57243"/>
    <w:rsid w:val="00B616A3"/>
    <w:rsid w:val="00B61799"/>
    <w:rsid w:val="00B61C8C"/>
    <w:rsid w:val="00B62132"/>
    <w:rsid w:val="00B67C33"/>
    <w:rsid w:val="00B70260"/>
    <w:rsid w:val="00B711DF"/>
    <w:rsid w:val="00B749C8"/>
    <w:rsid w:val="00B74BA6"/>
    <w:rsid w:val="00B7511E"/>
    <w:rsid w:val="00B756D7"/>
    <w:rsid w:val="00B7662F"/>
    <w:rsid w:val="00B81C19"/>
    <w:rsid w:val="00B85254"/>
    <w:rsid w:val="00B86B27"/>
    <w:rsid w:val="00B87186"/>
    <w:rsid w:val="00B90811"/>
    <w:rsid w:val="00B91D74"/>
    <w:rsid w:val="00B93B17"/>
    <w:rsid w:val="00B948EF"/>
    <w:rsid w:val="00B9696D"/>
    <w:rsid w:val="00B96B3B"/>
    <w:rsid w:val="00B96E11"/>
    <w:rsid w:val="00BA1095"/>
    <w:rsid w:val="00BB0BC9"/>
    <w:rsid w:val="00BB2501"/>
    <w:rsid w:val="00BB2BA5"/>
    <w:rsid w:val="00BB407F"/>
    <w:rsid w:val="00BB5287"/>
    <w:rsid w:val="00BB6280"/>
    <w:rsid w:val="00BB7F32"/>
    <w:rsid w:val="00BC0595"/>
    <w:rsid w:val="00BC1D76"/>
    <w:rsid w:val="00BC2217"/>
    <w:rsid w:val="00BC239B"/>
    <w:rsid w:val="00BC2760"/>
    <w:rsid w:val="00BC388F"/>
    <w:rsid w:val="00BC42FC"/>
    <w:rsid w:val="00BC5D04"/>
    <w:rsid w:val="00BD05A6"/>
    <w:rsid w:val="00BD08B8"/>
    <w:rsid w:val="00BD1163"/>
    <w:rsid w:val="00BD156F"/>
    <w:rsid w:val="00BD1786"/>
    <w:rsid w:val="00BD4F44"/>
    <w:rsid w:val="00BE24D0"/>
    <w:rsid w:val="00BE32C0"/>
    <w:rsid w:val="00BE3A86"/>
    <w:rsid w:val="00BE57AA"/>
    <w:rsid w:val="00BE5D95"/>
    <w:rsid w:val="00BF0B14"/>
    <w:rsid w:val="00BF5893"/>
    <w:rsid w:val="00BF5DF9"/>
    <w:rsid w:val="00BF7B40"/>
    <w:rsid w:val="00C006CC"/>
    <w:rsid w:val="00C022DE"/>
    <w:rsid w:val="00C050C1"/>
    <w:rsid w:val="00C05DD2"/>
    <w:rsid w:val="00C06400"/>
    <w:rsid w:val="00C06BD9"/>
    <w:rsid w:val="00C12F40"/>
    <w:rsid w:val="00C14F2F"/>
    <w:rsid w:val="00C14FB0"/>
    <w:rsid w:val="00C157A7"/>
    <w:rsid w:val="00C16366"/>
    <w:rsid w:val="00C166ED"/>
    <w:rsid w:val="00C219AA"/>
    <w:rsid w:val="00C25FED"/>
    <w:rsid w:val="00C27554"/>
    <w:rsid w:val="00C27650"/>
    <w:rsid w:val="00C2779B"/>
    <w:rsid w:val="00C27C71"/>
    <w:rsid w:val="00C313CA"/>
    <w:rsid w:val="00C343F4"/>
    <w:rsid w:val="00C401E4"/>
    <w:rsid w:val="00C41E32"/>
    <w:rsid w:val="00C43012"/>
    <w:rsid w:val="00C45EFD"/>
    <w:rsid w:val="00C50ED9"/>
    <w:rsid w:val="00C52349"/>
    <w:rsid w:val="00C52CB3"/>
    <w:rsid w:val="00C53912"/>
    <w:rsid w:val="00C604E8"/>
    <w:rsid w:val="00C61306"/>
    <w:rsid w:val="00C61F6B"/>
    <w:rsid w:val="00C643B7"/>
    <w:rsid w:val="00C658EA"/>
    <w:rsid w:val="00C66BDD"/>
    <w:rsid w:val="00C70633"/>
    <w:rsid w:val="00C71807"/>
    <w:rsid w:val="00C71B2D"/>
    <w:rsid w:val="00C729BF"/>
    <w:rsid w:val="00C7592A"/>
    <w:rsid w:val="00C75932"/>
    <w:rsid w:val="00C77A2E"/>
    <w:rsid w:val="00C818BD"/>
    <w:rsid w:val="00C87792"/>
    <w:rsid w:val="00C90B11"/>
    <w:rsid w:val="00C92253"/>
    <w:rsid w:val="00C962FE"/>
    <w:rsid w:val="00CA226C"/>
    <w:rsid w:val="00CA7237"/>
    <w:rsid w:val="00CA7586"/>
    <w:rsid w:val="00CA7747"/>
    <w:rsid w:val="00CA7A59"/>
    <w:rsid w:val="00CB297F"/>
    <w:rsid w:val="00CB5F3B"/>
    <w:rsid w:val="00CB7833"/>
    <w:rsid w:val="00CC03A1"/>
    <w:rsid w:val="00CC56B0"/>
    <w:rsid w:val="00CC60F6"/>
    <w:rsid w:val="00CC6E22"/>
    <w:rsid w:val="00CD1EC2"/>
    <w:rsid w:val="00CD2A15"/>
    <w:rsid w:val="00CD2D3D"/>
    <w:rsid w:val="00CD6B75"/>
    <w:rsid w:val="00CE081A"/>
    <w:rsid w:val="00CE0C33"/>
    <w:rsid w:val="00CE2829"/>
    <w:rsid w:val="00CE4CDC"/>
    <w:rsid w:val="00CE4F03"/>
    <w:rsid w:val="00CE7982"/>
    <w:rsid w:val="00CE7ADE"/>
    <w:rsid w:val="00CF0C7F"/>
    <w:rsid w:val="00CF0F81"/>
    <w:rsid w:val="00CF374A"/>
    <w:rsid w:val="00CF4411"/>
    <w:rsid w:val="00D067C6"/>
    <w:rsid w:val="00D101E5"/>
    <w:rsid w:val="00D101F5"/>
    <w:rsid w:val="00D10BCA"/>
    <w:rsid w:val="00D12C23"/>
    <w:rsid w:val="00D144F0"/>
    <w:rsid w:val="00D1499D"/>
    <w:rsid w:val="00D17468"/>
    <w:rsid w:val="00D22B06"/>
    <w:rsid w:val="00D23743"/>
    <w:rsid w:val="00D243D4"/>
    <w:rsid w:val="00D247CE"/>
    <w:rsid w:val="00D24BDD"/>
    <w:rsid w:val="00D311D1"/>
    <w:rsid w:val="00D3330E"/>
    <w:rsid w:val="00D35009"/>
    <w:rsid w:val="00D3501C"/>
    <w:rsid w:val="00D352D0"/>
    <w:rsid w:val="00D36630"/>
    <w:rsid w:val="00D37269"/>
    <w:rsid w:val="00D37A3B"/>
    <w:rsid w:val="00D45E21"/>
    <w:rsid w:val="00D46BB8"/>
    <w:rsid w:val="00D523D2"/>
    <w:rsid w:val="00D52DFE"/>
    <w:rsid w:val="00D53464"/>
    <w:rsid w:val="00D56E97"/>
    <w:rsid w:val="00D57525"/>
    <w:rsid w:val="00D615D4"/>
    <w:rsid w:val="00D62737"/>
    <w:rsid w:val="00D6354B"/>
    <w:rsid w:val="00D647B1"/>
    <w:rsid w:val="00D64AF7"/>
    <w:rsid w:val="00D65DDB"/>
    <w:rsid w:val="00D66117"/>
    <w:rsid w:val="00D678D6"/>
    <w:rsid w:val="00D702AD"/>
    <w:rsid w:val="00D73493"/>
    <w:rsid w:val="00D84B9E"/>
    <w:rsid w:val="00D87AE1"/>
    <w:rsid w:val="00D90394"/>
    <w:rsid w:val="00D9328A"/>
    <w:rsid w:val="00D95C90"/>
    <w:rsid w:val="00DA1C22"/>
    <w:rsid w:val="00DA39FE"/>
    <w:rsid w:val="00DA5453"/>
    <w:rsid w:val="00DA6263"/>
    <w:rsid w:val="00DB2AA4"/>
    <w:rsid w:val="00DB2DE3"/>
    <w:rsid w:val="00DB444A"/>
    <w:rsid w:val="00DB5ABD"/>
    <w:rsid w:val="00DC1341"/>
    <w:rsid w:val="00DC29ED"/>
    <w:rsid w:val="00DC4147"/>
    <w:rsid w:val="00DD293F"/>
    <w:rsid w:val="00DD2C17"/>
    <w:rsid w:val="00DD3C33"/>
    <w:rsid w:val="00DD5365"/>
    <w:rsid w:val="00DD6C38"/>
    <w:rsid w:val="00DD7C51"/>
    <w:rsid w:val="00DE45AC"/>
    <w:rsid w:val="00DE5B74"/>
    <w:rsid w:val="00DF0BAA"/>
    <w:rsid w:val="00DF242D"/>
    <w:rsid w:val="00DF60B0"/>
    <w:rsid w:val="00E01829"/>
    <w:rsid w:val="00E02655"/>
    <w:rsid w:val="00E02A5C"/>
    <w:rsid w:val="00E03CFE"/>
    <w:rsid w:val="00E04C34"/>
    <w:rsid w:val="00E05C81"/>
    <w:rsid w:val="00E05FB3"/>
    <w:rsid w:val="00E10008"/>
    <w:rsid w:val="00E112A2"/>
    <w:rsid w:val="00E112A8"/>
    <w:rsid w:val="00E114B0"/>
    <w:rsid w:val="00E1296F"/>
    <w:rsid w:val="00E14D45"/>
    <w:rsid w:val="00E15BE2"/>
    <w:rsid w:val="00E167B3"/>
    <w:rsid w:val="00E176B2"/>
    <w:rsid w:val="00E17AE9"/>
    <w:rsid w:val="00E201D1"/>
    <w:rsid w:val="00E21E3E"/>
    <w:rsid w:val="00E23FAD"/>
    <w:rsid w:val="00E249C1"/>
    <w:rsid w:val="00E30CCF"/>
    <w:rsid w:val="00E327EC"/>
    <w:rsid w:val="00E32879"/>
    <w:rsid w:val="00E3367A"/>
    <w:rsid w:val="00E33698"/>
    <w:rsid w:val="00E33DF4"/>
    <w:rsid w:val="00E448E6"/>
    <w:rsid w:val="00E45D11"/>
    <w:rsid w:val="00E47A6B"/>
    <w:rsid w:val="00E50ABE"/>
    <w:rsid w:val="00E510AB"/>
    <w:rsid w:val="00E5193C"/>
    <w:rsid w:val="00E53C10"/>
    <w:rsid w:val="00E5561D"/>
    <w:rsid w:val="00E56D84"/>
    <w:rsid w:val="00E60821"/>
    <w:rsid w:val="00E6103C"/>
    <w:rsid w:val="00E62462"/>
    <w:rsid w:val="00E62C2B"/>
    <w:rsid w:val="00E729D1"/>
    <w:rsid w:val="00E746FE"/>
    <w:rsid w:val="00E75FBA"/>
    <w:rsid w:val="00E77742"/>
    <w:rsid w:val="00E8134D"/>
    <w:rsid w:val="00E82025"/>
    <w:rsid w:val="00E83A1C"/>
    <w:rsid w:val="00E846EA"/>
    <w:rsid w:val="00E85C71"/>
    <w:rsid w:val="00E87C57"/>
    <w:rsid w:val="00E92DE9"/>
    <w:rsid w:val="00E934D6"/>
    <w:rsid w:val="00E93B7C"/>
    <w:rsid w:val="00E93CBC"/>
    <w:rsid w:val="00E93EC3"/>
    <w:rsid w:val="00E9510C"/>
    <w:rsid w:val="00E95E20"/>
    <w:rsid w:val="00E964AA"/>
    <w:rsid w:val="00E97455"/>
    <w:rsid w:val="00EA096F"/>
    <w:rsid w:val="00EA0D57"/>
    <w:rsid w:val="00EA2621"/>
    <w:rsid w:val="00EA32EE"/>
    <w:rsid w:val="00EA38F6"/>
    <w:rsid w:val="00EB0959"/>
    <w:rsid w:val="00EB5567"/>
    <w:rsid w:val="00EC54B2"/>
    <w:rsid w:val="00EC7911"/>
    <w:rsid w:val="00EC79A5"/>
    <w:rsid w:val="00EC7B91"/>
    <w:rsid w:val="00ED040B"/>
    <w:rsid w:val="00ED4730"/>
    <w:rsid w:val="00ED764B"/>
    <w:rsid w:val="00EE1C37"/>
    <w:rsid w:val="00EE343A"/>
    <w:rsid w:val="00EE634C"/>
    <w:rsid w:val="00EE69C2"/>
    <w:rsid w:val="00EE7BA1"/>
    <w:rsid w:val="00EF04C2"/>
    <w:rsid w:val="00EF0872"/>
    <w:rsid w:val="00EF2453"/>
    <w:rsid w:val="00EF54D9"/>
    <w:rsid w:val="00EF567E"/>
    <w:rsid w:val="00EF740D"/>
    <w:rsid w:val="00EF7E33"/>
    <w:rsid w:val="00F017FC"/>
    <w:rsid w:val="00F064D1"/>
    <w:rsid w:val="00F06991"/>
    <w:rsid w:val="00F06D56"/>
    <w:rsid w:val="00F11CC4"/>
    <w:rsid w:val="00F12172"/>
    <w:rsid w:val="00F12E2B"/>
    <w:rsid w:val="00F1306D"/>
    <w:rsid w:val="00F17E77"/>
    <w:rsid w:val="00F2232F"/>
    <w:rsid w:val="00F22B98"/>
    <w:rsid w:val="00F249ED"/>
    <w:rsid w:val="00F2547E"/>
    <w:rsid w:val="00F26234"/>
    <w:rsid w:val="00F27910"/>
    <w:rsid w:val="00F30664"/>
    <w:rsid w:val="00F30992"/>
    <w:rsid w:val="00F3194F"/>
    <w:rsid w:val="00F31BAA"/>
    <w:rsid w:val="00F33F8D"/>
    <w:rsid w:val="00F34A49"/>
    <w:rsid w:val="00F36E51"/>
    <w:rsid w:val="00F406CA"/>
    <w:rsid w:val="00F41014"/>
    <w:rsid w:val="00F42084"/>
    <w:rsid w:val="00F43E6F"/>
    <w:rsid w:val="00F46836"/>
    <w:rsid w:val="00F5189F"/>
    <w:rsid w:val="00F51E1B"/>
    <w:rsid w:val="00F559E6"/>
    <w:rsid w:val="00F61EEC"/>
    <w:rsid w:val="00F64C46"/>
    <w:rsid w:val="00F64F56"/>
    <w:rsid w:val="00F65D74"/>
    <w:rsid w:val="00F67EE3"/>
    <w:rsid w:val="00F71F04"/>
    <w:rsid w:val="00F755DE"/>
    <w:rsid w:val="00F75608"/>
    <w:rsid w:val="00F7666D"/>
    <w:rsid w:val="00F76776"/>
    <w:rsid w:val="00F80567"/>
    <w:rsid w:val="00F82822"/>
    <w:rsid w:val="00F82A54"/>
    <w:rsid w:val="00F836EA"/>
    <w:rsid w:val="00F8433A"/>
    <w:rsid w:val="00F84C31"/>
    <w:rsid w:val="00F8530D"/>
    <w:rsid w:val="00F8536F"/>
    <w:rsid w:val="00F91F1D"/>
    <w:rsid w:val="00F95A6A"/>
    <w:rsid w:val="00F96A54"/>
    <w:rsid w:val="00F9795F"/>
    <w:rsid w:val="00FA0F95"/>
    <w:rsid w:val="00FA1C69"/>
    <w:rsid w:val="00FA2965"/>
    <w:rsid w:val="00FA2C9F"/>
    <w:rsid w:val="00FA2D7C"/>
    <w:rsid w:val="00FA301B"/>
    <w:rsid w:val="00FA3F93"/>
    <w:rsid w:val="00FA4CB1"/>
    <w:rsid w:val="00FA511D"/>
    <w:rsid w:val="00FB0348"/>
    <w:rsid w:val="00FB1A73"/>
    <w:rsid w:val="00FB4805"/>
    <w:rsid w:val="00FB5780"/>
    <w:rsid w:val="00FB71FC"/>
    <w:rsid w:val="00FC12F5"/>
    <w:rsid w:val="00FC1345"/>
    <w:rsid w:val="00FC4350"/>
    <w:rsid w:val="00FC49BC"/>
    <w:rsid w:val="00FC608C"/>
    <w:rsid w:val="00FC6F25"/>
    <w:rsid w:val="00FC76E0"/>
    <w:rsid w:val="00FD1855"/>
    <w:rsid w:val="00FE306A"/>
    <w:rsid w:val="00FE372D"/>
    <w:rsid w:val="00FE4657"/>
    <w:rsid w:val="00FE46F1"/>
    <w:rsid w:val="00FF1FF4"/>
    <w:rsid w:val="00FF4FAD"/>
    <w:rsid w:val="00FF6C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65BBB"/>
  <w15:docId w15:val="{2126274A-7552-3B4E-B86F-BF1F114F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5D8"/>
    <w:rPr>
      <w:rFonts w:eastAsia="Batang"/>
      <w:lang w:val="es-MX"/>
    </w:rPr>
  </w:style>
  <w:style w:type="paragraph" w:styleId="Ttulo1">
    <w:name w:val="heading 1"/>
    <w:aliases w:val="Título Verdana"/>
    <w:basedOn w:val="Normal"/>
    <w:next w:val="Normal"/>
    <w:link w:val="Ttulo1Car"/>
    <w:uiPriority w:val="9"/>
    <w:qFormat/>
    <w:rsid w:val="001C05D8"/>
    <w:pPr>
      <w:spacing w:after="0" w:line="240" w:lineRule="auto"/>
      <w:ind w:right="6"/>
      <w:jc w:val="center"/>
      <w:outlineLvl w:val="0"/>
    </w:pPr>
    <w:rPr>
      <w:rFonts w:ascii="Verdana" w:hAnsi="Verdana"/>
      <w:b/>
      <w:sz w:val="20"/>
      <w:szCs w:val="20"/>
    </w:rPr>
  </w:style>
  <w:style w:type="paragraph" w:styleId="Ttulo2">
    <w:name w:val="heading 2"/>
    <w:basedOn w:val="Normal"/>
    <w:next w:val="Normal"/>
    <w:link w:val="Ttulo2Car"/>
    <w:unhideWhenUsed/>
    <w:qFormat/>
    <w:rsid w:val="001C05D8"/>
    <w:pPr>
      <w:keepNext/>
      <w:keepLines/>
      <w:widowControl w:val="0"/>
      <w:numPr>
        <w:numId w:val="17"/>
      </w:numPr>
      <w:adjustRightInd w:val="0"/>
      <w:spacing w:after="0" w:line="240" w:lineRule="auto"/>
      <w:jc w:val="both"/>
      <w:textAlignment w:val="baseline"/>
      <w:outlineLvl w:val="1"/>
    </w:pPr>
    <w:rPr>
      <w:rFonts w:ascii="Verdana" w:eastAsia="MS Mincho" w:hAnsi="Verdana" w:cs="Times New Roman"/>
      <w:b/>
      <w:i/>
      <w:sz w:val="20"/>
      <w:szCs w:val="20"/>
      <w:lang w:val="es-CR" w:eastAsia="es-CR"/>
    </w:rPr>
  </w:style>
  <w:style w:type="paragraph" w:styleId="Ttulo3">
    <w:name w:val="heading 3"/>
    <w:basedOn w:val="Prrafodelista"/>
    <w:next w:val="Normal"/>
    <w:link w:val="Ttulo3Car"/>
    <w:uiPriority w:val="9"/>
    <w:unhideWhenUsed/>
    <w:qFormat/>
    <w:rsid w:val="001C05D8"/>
    <w:pPr>
      <w:numPr>
        <w:numId w:val="12"/>
      </w:numPr>
      <w:tabs>
        <w:tab w:val="left" w:pos="1276"/>
      </w:tabs>
      <w:spacing w:after="0" w:line="240" w:lineRule="auto"/>
      <w:jc w:val="both"/>
      <w:outlineLvl w:val="2"/>
    </w:pPr>
    <w:rPr>
      <w:rFonts w:ascii="Verdana" w:hAnsi="Verdana"/>
      <w:b/>
      <w:i/>
      <w:sz w:val="20"/>
      <w:szCs w:val="20"/>
    </w:rPr>
  </w:style>
  <w:style w:type="paragraph" w:styleId="Ttulo4">
    <w:name w:val="heading 4"/>
    <w:basedOn w:val="Prrafodelista"/>
    <w:next w:val="Normal"/>
    <w:link w:val="Ttulo4Car"/>
    <w:uiPriority w:val="9"/>
    <w:unhideWhenUsed/>
    <w:qFormat/>
    <w:rsid w:val="001C05D8"/>
    <w:pPr>
      <w:numPr>
        <w:numId w:val="4"/>
      </w:numPr>
      <w:tabs>
        <w:tab w:val="left" w:pos="1418"/>
      </w:tabs>
      <w:spacing w:after="0" w:line="240" w:lineRule="auto"/>
      <w:jc w:val="both"/>
      <w:outlineLvl w:val="3"/>
    </w:pPr>
    <w:rPr>
      <w:rFonts w:ascii="Verdana" w:hAnsi="Verdana"/>
      <w:i/>
      <w:sz w:val="20"/>
      <w:szCs w:val="20"/>
      <w:u w:val="single"/>
    </w:rPr>
  </w:style>
  <w:style w:type="paragraph" w:styleId="Ttulo5">
    <w:name w:val="heading 5"/>
    <w:basedOn w:val="Prrafodelista"/>
    <w:link w:val="Ttulo5Car"/>
    <w:uiPriority w:val="9"/>
    <w:qFormat/>
    <w:rsid w:val="001C05D8"/>
    <w:pPr>
      <w:numPr>
        <w:ilvl w:val="1"/>
        <w:numId w:val="1"/>
      </w:numPr>
      <w:tabs>
        <w:tab w:val="left" w:pos="1418"/>
      </w:tabs>
      <w:spacing w:after="0" w:line="240" w:lineRule="auto"/>
      <w:jc w:val="both"/>
      <w:outlineLvl w:val="4"/>
    </w:pPr>
    <w:rPr>
      <w:rFonts w:ascii="Verdana" w:hAnsi="Verdana"/>
      <w:i/>
      <w:sz w:val="20"/>
      <w:szCs w:val="20"/>
    </w:rPr>
  </w:style>
  <w:style w:type="paragraph" w:styleId="Ttulo6">
    <w:name w:val="heading 6"/>
    <w:basedOn w:val="Prrafodelista"/>
    <w:next w:val="Normal"/>
    <w:link w:val="Ttulo6Car"/>
    <w:uiPriority w:val="9"/>
    <w:unhideWhenUsed/>
    <w:qFormat/>
    <w:rsid w:val="001C05D8"/>
    <w:pPr>
      <w:numPr>
        <w:numId w:val="2"/>
      </w:numPr>
      <w:jc w:val="both"/>
      <w:outlineLvl w:val="5"/>
    </w:pPr>
    <w:rPr>
      <w:rFonts w:ascii="Verdana" w:hAnsi="Verdana"/>
      <w:i/>
      <w:sz w:val="20"/>
      <w:szCs w:val="20"/>
      <w:lang w:val="es-CR"/>
    </w:rPr>
  </w:style>
  <w:style w:type="paragraph" w:styleId="Ttulo7">
    <w:name w:val="heading 7"/>
    <w:basedOn w:val="Prrafodelista"/>
    <w:next w:val="Normal"/>
    <w:link w:val="Ttulo7Car"/>
    <w:uiPriority w:val="9"/>
    <w:unhideWhenUsed/>
    <w:qFormat/>
    <w:rsid w:val="001C05D8"/>
    <w:pPr>
      <w:numPr>
        <w:numId w:val="3"/>
      </w:numPr>
      <w:spacing w:after="0" w:line="240" w:lineRule="auto"/>
      <w:jc w:val="both"/>
      <w:outlineLvl w:val="6"/>
    </w:pPr>
    <w:rPr>
      <w:rFonts w:ascii="Verdana" w:hAnsi="Verdana"/>
      <w:i/>
      <w:sz w:val="20"/>
      <w:szCs w:val="20"/>
      <w:u w:val="single"/>
      <w:lang w:val="es-AR"/>
    </w:rPr>
  </w:style>
  <w:style w:type="paragraph" w:styleId="Ttulo8">
    <w:name w:val="heading 8"/>
    <w:basedOn w:val="Prrafodelista"/>
    <w:next w:val="Normal"/>
    <w:link w:val="Ttulo8Car"/>
    <w:uiPriority w:val="9"/>
    <w:unhideWhenUsed/>
    <w:qFormat/>
    <w:rsid w:val="001C05D8"/>
    <w:pPr>
      <w:numPr>
        <w:numId w:val="5"/>
      </w:numPr>
      <w:spacing w:after="0" w:line="240" w:lineRule="auto"/>
      <w:jc w:val="both"/>
      <w:outlineLvl w:val="7"/>
    </w:pPr>
    <w:rPr>
      <w:rFonts w:ascii="Verdana" w:hAnsi="Verdana" w:cs="Cambria"/>
      <w:i/>
      <w:sz w:val="20"/>
      <w:szCs w:val="20"/>
    </w:rPr>
  </w:style>
  <w:style w:type="paragraph" w:styleId="Ttulo9">
    <w:name w:val="heading 9"/>
    <w:basedOn w:val="Prrafodelista"/>
    <w:next w:val="Normal"/>
    <w:link w:val="Ttulo9Car"/>
    <w:uiPriority w:val="9"/>
    <w:unhideWhenUsed/>
    <w:qFormat/>
    <w:rsid w:val="001C05D8"/>
    <w:pPr>
      <w:numPr>
        <w:numId w:val="6"/>
      </w:numPr>
      <w:autoSpaceDE w:val="0"/>
      <w:autoSpaceDN w:val="0"/>
      <w:adjustRightInd w:val="0"/>
      <w:spacing w:after="0" w:line="240" w:lineRule="auto"/>
      <w:jc w:val="both"/>
      <w:outlineLvl w:val="8"/>
    </w:pPr>
    <w:rPr>
      <w:rFonts w:ascii="Verdana" w:eastAsiaTheme="minorHAnsi"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1C05D8"/>
    <w:rPr>
      <w:rFonts w:ascii="Verdana" w:eastAsia="Batang" w:hAnsi="Verdana"/>
      <w:b/>
      <w:sz w:val="20"/>
      <w:szCs w:val="20"/>
      <w:lang w:val="es-MX"/>
    </w:rPr>
  </w:style>
  <w:style w:type="character" w:customStyle="1" w:styleId="Ttulo2Car">
    <w:name w:val="Título 2 Car"/>
    <w:basedOn w:val="Fuentedeprrafopredeter"/>
    <w:link w:val="Ttulo2"/>
    <w:rsid w:val="001C05D8"/>
    <w:rPr>
      <w:rFonts w:ascii="Verdana" w:eastAsia="MS Mincho" w:hAnsi="Verdana" w:cs="Times New Roman"/>
      <w:b/>
      <w:i/>
      <w:sz w:val="20"/>
      <w:szCs w:val="20"/>
      <w:lang w:val="es-CR" w:eastAsia="es-CR"/>
    </w:rPr>
  </w:style>
  <w:style w:type="character" w:customStyle="1" w:styleId="Ttulo3Car">
    <w:name w:val="Título 3 Car"/>
    <w:basedOn w:val="Fuentedeprrafopredeter"/>
    <w:link w:val="Ttulo3"/>
    <w:uiPriority w:val="9"/>
    <w:rsid w:val="001C05D8"/>
    <w:rPr>
      <w:rFonts w:ascii="Verdana" w:eastAsia="Batang" w:hAnsi="Verdana"/>
      <w:b/>
      <w:i/>
      <w:sz w:val="20"/>
      <w:szCs w:val="20"/>
      <w:lang w:val="es-MX"/>
    </w:rPr>
  </w:style>
  <w:style w:type="character" w:customStyle="1" w:styleId="Ttulo4Car">
    <w:name w:val="Título 4 Car"/>
    <w:basedOn w:val="Fuentedeprrafopredeter"/>
    <w:link w:val="Ttulo4"/>
    <w:uiPriority w:val="9"/>
    <w:rsid w:val="001C05D8"/>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1C05D8"/>
    <w:rPr>
      <w:rFonts w:ascii="Verdana" w:eastAsia="Batang" w:hAnsi="Verdana"/>
      <w:i/>
      <w:sz w:val="20"/>
      <w:szCs w:val="20"/>
      <w:lang w:val="es-MX"/>
    </w:rPr>
  </w:style>
  <w:style w:type="character" w:customStyle="1" w:styleId="Ttulo6Car">
    <w:name w:val="Título 6 Car"/>
    <w:basedOn w:val="Fuentedeprrafopredeter"/>
    <w:link w:val="Ttulo6"/>
    <w:uiPriority w:val="9"/>
    <w:rsid w:val="001C05D8"/>
    <w:rPr>
      <w:rFonts w:ascii="Verdana" w:eastAsia="Batang" w:hAnsi="Verdana"/>
      <w:i/>
      <w:sz w:val="20"/>
      <w:szCs w:val="20"/>
      <w:lang w:val="es-CR"/>
    </w:rPr>
  </w:style>
  <w:style w:type="character" w:customStyle="1" w:styleId="Ttulo7Car">
    <w:name w:val="Título 7 Car"/>
    <w:basedOn w:val="Fuentedeprrafopredeter"/>
    <w:link w:val="Ttulo7"/>
    <w:uiPriority w:val="9"/>
    <w:rsid w:val="001C05D8"/>
    <w:rPr>
      <w:rFonts w:ascii="Verdana" w:eastAsia="Batang" w:hAnsi="Verdana"/>
      <w:i/>
      <w:sz w:val="20"/>
      <w:szCs w:val="20"/>
      <w:u w:val="single"/>
      <w:lang w:val="es-AR"/>
    </w:rPr>
  </w:style>
  <w:style w:type="character" w:customStyle="1" w:styleId="Ttulo8Car">
    <w:name w:val="Título 8 Car"/>
    <w:basedOn w:val="Fuentedeprrafopredeter"/>
    <w:link w:val="Ttulo8"/>
    <w:uiPriority w:val="9"/>
    <w:rsid w:val="001C05D8"/>
    <w:rPr>
      <w:rFonts w:ascii="Verdana" w:eastAsia="Batang" w:hAnsi="Verdana" w:cs="Cambria"/>
      <w:i/>
      <w:sz w:val="20"/>
      <w:szCs w:val="20"/>
      <w:lang w:val="es-MX"/>
    </w:rPr>
  </w:style>
  <w:style w:type="character" w:customStyle="1" w:styleId="Ttulo9Car">
    <w:name w:val="Título 9 Car"/>
    <w:basedOn w:val="Fuentedeprrafopredeter"/>
    <w:link w:val="Ttulo9"/>
    <w:uiPriority w:val="9"/>
    <w:rsid w:val="001C05D8"/>
    <w:rPr>
      <w:rFonts w:ascii="Verdana" w:hAnsi="Verdana"/>
      <w:i/>
      <w:sz w:val="20"/>
      <w:szCs w:val="20"/>
      <w:lang w:val="es-MX"/>
    </w:rPr>
  </w:style>
  <w:style w:type="paragraph" w:styleId="Prrafodelista">
    <w:name w:val="List Paragraph"/>
    <w:aliases w:val="List Paragraph1,Colorful List - Accent 11,Párrafo de lista1,List Paragraph2,Lista vistosa - Énfasis 11,Footnote,Subtle Emphasis1,Footnote1"/>
    <w:basedOn w:val="Normal"/>
    <w:link w:val="PrrafodelistaCar"/>
    <w:uiPriority w:val="99"/>
    <w:qFormat/>
    <w:rsid w:val="001C05D8"/>
    <w:pPr>
      <w:ind w:left="720"/>
      <w:contextualSpacing/>
    </w:pPr>
  </w:style>
  <w:style w:type="character" w:styleId="Refdecomentario">
    <w:name w:val="annotation reference"/>
    <w:basedOn w:val="Fuentedeprrafopredeter"/>
    <w:uiPriority w:val="99"/>
    <w:unhideWhenUsed/>
    <w:rsid w:val="001C05D8"/>
    <w:rPr>
      <w:sz w:val="16"/>
      <w:szCs w:val="16"/>
    </w:rPr>
  </w:style>
  <w:style w:type="paragraph" w:styleId="Textocomentario">
    <w:name w:val="annotation text"/>
    <w:basedOn w:val="Normal"/>
    <w:link w:val="TextocomentarioCar"/>
    <w:uiPriority w:val="99"/>
    <w:unhideWhenUsed/>
    <w:rsid w:val="001C05D8"/>
    <w:pPr>
      <w:spacing w:line="240" w:lineRule="auto"/>
    </w:pPr>
    <w:rPr>
      <w:sz w:val="20"/>
      <w:szCs w:val="20"/>
    </w:rPr>
  </w:style>
  <w:style w:type="character" w:customStyle="1" w:styleId="TextocomentarioCar">
    <w:name w:val="Texto comentario Car"/>
    <w:basedOn w:val="Fuentedeprrafopredeter"/>
    <w:link w:val="Textocomentario"/>
    <w:uiPriority w:val="99"/>
    <w:rsid w:val="001C05D8"/>
    <w:rPr>
      <w:rFonts w:eastAsia="Batang"/>
      <w:sz w:val="20"/>
      <w:szCs w:val="20"/>
      <w:lang w:val="es-MX"/>
    </w:rPr>
  </w:style>
  <w:style w:type="paragraph" w:styleId="Textodeglobo">
    <w:name w:val="Balloon Text"/>
    <w:basedOn w:val="Normal"/>
    <w:link w:val="TextodegloboCar"/>
    <w:uiPriority w:val="99"/>
    <w:semiHidden/>
    <w:unhideWhenUsed/>
    <w:rsid w:val="001C05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05D8"/>
    <w:rPr>
      <w:rFonts w:ascii="Tahoma" w:eastAsia="Batang" w:hAnsi="Tahoma" w:cs="Tahoma"/>
      <w:sz w:val="16"/>
      <w:szCs w:val="16"/>
      <w:lang w:val="es-MX"/>
    </w:rPr>
  </w:style>
  <w:style w:type="paragraph" w:styleId="Textonotapie">
    <w:name w:val="footnote text"/>
    <w:aliases w:val="Footnote Text Char Char Char Char Char,Footnote Text Char Char Char Char,Footnote reference,FA Fu,FA Fußnotentext,FA Fu§notentext,FA Fu?notentext,?notentext,Footnote Text Char Char Char,§notentext,FA,Footnote Text Char Char,?notent,ft,C,5"/>
    <w:basedOn w:val="Normal"/>
    <w:link w:val="TextonotapieCar"/>
    <w:unhideWhenUsed/>
    <w:qFormat/>
    <w:rsid w:val="001C05D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A Fußnotentext Car,FA Fu§notentext Car,FA Fu?notentext Car,?notentext Car,Footnote Text Char Char Char Car,FA Car1"/>
    <w:basedOn w:val="Fuentedeprrafopredeter"/>
    <w:link w:val="Textonotapie"/>
    <w:qFormat/>
    <w:rsid w:val="001C05D8"/>
    <w:rPr>
      <w:rFonts w:eastAsia="Batang"/>
      <w:sz w:val="20"/>
      <w:szCs w:val="20"/>
      <w:lang w:val="es-MX"/>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iPriority w:val="99"/>
    <w:unhideWhenUsed/>
    <w:qFormat/>
    <w:rsid w:val="001C05D8"/>
    <w:rPr>
      <w:vertAlign w:val="superscript"/>
    </w:rPr>
  </w:style>
  <w:style w:type="character" w:styleId="Hipervnculo">
    <w:name w:val="Hyperlink"/>
    <w:aliases w:val="Heading 3 caso"/>
    <w:basedOn w:val="Fuentedeprrafopredeter"/>
    <w:uiPriority w:val="99"/>
    <w:unhideWhenUsed/>
    <w:rsid w:val="001C05D8"/>
    <w:rPr>
      <w:color w:val="0000FF"/>
      <w:u w:val="single"/>
    </w:rPr>
  </w:style>
  <w:style w:type="paragraph" w:styleId="Asuntodelcomentario">
    <w:name w:val="annotation subject"/>
    <w:basedOn w:val="Textocomentario"/>
    <w:next w:val="Textocomentario"/>
    <w:link w:val="AsuntodelcomentarioCar"/>
    <w:uiPriority w:val="99"/>
    <w:semiHidden/>
    <w:unhideWhenUsed/>
    <w:rsid w:val="001C05D8"/>
    <w:rPr>
      <w:b/>
      <w:bCs/>
    </w:rPr>
  </w:style>
  <w:style w:type="character" w:customStyle="1" w:styleId="AsuntodelcomentarioCar">
    <w:name w:val="Asunto del comentario Car"/>
    <w:basedOn w:val="TextocomentarioCar"/>
    <w:link w:val="Asuntodelcomentario"/>
    <w:uiPriority w:val="99"/>
    <w:semiHidden/>
    <w:rsid w:val="001C05D8"/>
    <w:rPr>
      <w:rFonts w:eastAsia="Batang"/>
      <w:b/>
      <w:bCs/>
      <w:sz w:val="20"/>
      <w:szCs w:val="20"/>
      <w:lang w:val="es-MX"/>
    </w:rPr>
  </w:style>
  <w:style w:type="paragraph" w:styleId="Encabezado">
    <w:name w:val="header"/>
    <w:aliases w:val="encabezado"/>
    <w:basedOn w:val="Normal"/>
    <w:link w:val="EncabezadoCar"/>
    <w:uiPriority w:val="99"/>
    <w:unhideWhenUsed/>
    <w:rsid w:val="001C05D8"/>
    <w:pPr>
      <w:tabs>
        <w:tab w:val="center" w:pos="4680"/>
        <w:tab w:val="right" w:pos="9360"/>
      </w:tabs>
      <w:spacing w:after="0" w:line="240" w:lineRule="auto"/>
    </w:pPr>
  </w:style>
  <w:style w:type="character" w:customStyle="1" w:styleId="EncabezadoCar">
    <w:name w:val="Encabezado Car"/>
    <w:aliases w:val="encabezado Car"/>
    <w:basedOn w:val="Fuentedeprrafopredeter"/>
    <w:link w:val="Encabezado"/>
    <w:uiPriority w:val="99"/>
    <w:rsid w:val="001C05D8"/>
    <w:rPr>
      <w:rFonts w:eastAsia="Batang"/>
      <w:lang w:val="es-MX"/>
    </w:rPr>
  </w:style>
  <w:style w:type="paragraph" w:styleId="Piedepgina">
    <w:name w:val="footer"/>
    <w:basedOn w:val="Normal"/>
    <w:link w:val="PiedepginaCar"/>
    <w:uiPriority w:val="99"/>
    <w:unhideWhenUsed/>
    <w:rsid w:val="001C05D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C05D8"/>
    <w:rPr>
      <w:rFonts w:eastAsia="Batang"/>
      <w:lang w:val="es-MX"/>
    </w:rPr>
  </w:style>
  <w:style w:type="character" w:styleId="Hipervnculovisitado">
    <w:name w:val="FollowedHyperlink"/>
    <w:basedOn w:val="Fuentedeprrafopredeter"/>
    <w:uiPriority w:val="99"/>
    <w:semiHidden/>
    <w:unhideWhenUsed/>
    <w:rsid w:val="001C05D8"/>
    <w:rPr>
      <w:color w:val="800080" w:themeColor="followedHyperlink"/>
      <w:u w:val="single"/>
    </w:rPr>
  </w:style>
  <w:style w:type="character" w:styleId="Textoennegrita">
    <w:name w:val="Strong"/>
    <w:aliases w:val="Heading 2.1"/>
    <w:basedOn w:val="Fuentedeprrafopredeter"/>
    <w:uiPriority w:val="22"/>
    <w:qFormat/>
    <w:rsid w:val="001C05D8"/>
    <w:rPr>
      <w:b/>
      <w:bCs/>
    </w:rPr>
  </w:style>
  <w:style w:type="paragraph" w:styleId="Textonotaalfinal">
    <w:name w:val="endnote text"/>
    <w:basedOn w:val="Normal"/>
    <w:link w:val="TextonotaalfinalCar"/>
    <w:uiPriority w:val="99"/>
    <w:unhideWhenUsed/>
    <w:rsid w:val="001C05D8"/>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1C05D8"/>
    <w:rPr>
      <w:rFonts w:eastAsia="Batang"/>
      <w:sz w:val="20"/>
      <w:szCs w:val="20"/>
      <w:lang w:val="es-MX"/>
    </w:rPr>
  </w:style>
  <w:style w:type="character" w:styleId="Refdenotaalfinal">
    <w:name w:val="endnote reference"/>
    <w:basedOn w:val="Fuentedeprrafopredeter"/>
    <w:uiPriority w:val="99"/>
    <w:semiHidden/>
    <w:unhideWhenUsed/>
    <w:rsid w:val="001C05D8"/>
    <w:rPr>
      <w:vertAlign w:val="superscript"/>
    </w:rPr>
  </w:style>
  <w:style w:type="paragraph" w:customStyle="1" w:styleId="Default">
    <w:name w:val="Default"/>
    <w:uiPriority w:val="99"/>
    <w:rsid w:val="001C05D8"/>
    <w:pPr>
      <w:autoSpaceDE w:val="0"/>
      <w:autoSpaceDN w:val="0"/>
      <w:adjustRightInd w:val="0"/>
      <w:spacing w:after="0" w:line="240" w:lineRule="auto"/>
    </w:pPr>
    <w:rPr>
      <w:rFonts w:ascii="Verdana" w:hAnsi="Verdana" w:cs="Verdana"/>
      <w:color w:val="000000"/>
      <w:sz w:val="24"/>
      <w:szCs w:val="24"/>
      <w:lang w:val="es-MX"/>
    </w:rPr>
  </w:style>
  <w:style w:type="paragraph" w:styleId="Revisin">
    <w:name w:val="Revision"/>
    <w:hidden/>
    <w:uiPriority w:val="99"/>
    <w:semiHidden/>
    <w:rsid w:val="001C05D8"/>
    <w:pPr>
      <w:spacing w:after="0" w:line="240" w:lineRule="auto"/>
    </w:pPr>
    <w:rPr>
      <w:rFonts w:eastAsia="Batang"/>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05D8"/>
    <w:pPr>
      <w:spacing w:after="0" w:line="240" w:lineRule="auto"/>
      <w:jc w:val="both"/>
    </w:pPr>
    <w:rPr>
      <w:rFonts w:eastAsiaTheme="minorHAnsi"/>
      <w:vertAlign w:val="superscript"/>
      <w:lang w:val="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uiPriority w:val="99"/>
    <w:rsid w:val="001C05D8"/>
    <w:pPr>
      <w:spacing w:before="200" w:after="160" w:line="240" w:lineRule="exact"/>
      <w:ind w:left="357" w:right="51" w:hanging="357"/>
      <w:jc w:val="both"/>
    </w:pPr>
    <w:rPr>
      <w:rFonts w:eastAsiaTheme="minorHAnsi"/>
      <w:vertAlign w:val="superscript"/>
      <w:lang w:val="es-CR"/>
    </w:rPr>
  </w:style>
  <w:style w:type="character" w:customStyle="1" w:styleId="lblnewsfulltext">
    <w:name w:val="lblnewsfulltext"/>
    <w:basedOn w:val="Fuentedeprrafopredeter"/>
    <w:rsid w:val="001C05D8"/>
  </w:style>
  <w:style w:type="character" w:customStyle="1" w:styleId="PrrafodelistaCar">
    <w:name w:val="Párrafo de lista Car"/>
    <w:aliases w:val="List Paragraph1 Car,Colorful List - Accent 11 Car,Párrafo de lista1 Car,List Paragraph2 Car,Lista vistosa - Énfasis 11 Car,Footnote Car,Subtle Emphasis1 Car,Footnote1 Car"/>
    <w:basedOn w:val="Fuentedeprrafopredeter"/>
    <w:link w:val="Prrafodelista"/>
    <w:uiPriority w:val="99"/>
    <w:locked/>
    <w:rsid w:val="001C05D8"/>
    <w:rPr>
      <w:rFonts w:eastAsia="Batang"/>
      <w:lang w:val="es-MX"/>
    </w:rPr>
  </w:style>
  <w:style w:type="character" w:customStyle="1" w:styleId="lblnewstitle">
    <w:name w:val="lblnewstitle"/>
    <w:basedOn w:val="Fuentedeprrafopredeter"/>
    <w:rsid w:val="001C05D8"/>
  </w:style>
  <w:style w:type="character" w:customStyle="1" w:styleId="apple-converted-space">
    <w:name w:val="apple-converted-space"/>
    <w:basedOn w:val="Fuentedeprrafopredeter"/>
    <w:rsid w:val="001C05D8"/>
  </w:style>
  <w:style w:type="paragraph" w:customStyle="1" w:styleId="Style1">
    <w:name w:val="Style1"/>
    <w:basedOn w:val="Textonotapie"/>
    <w:uiPriority w:val="99"/>
    <w:rsid w:val="001C05D8"/>
    <w:pPr>
      <w:ind w:left="357" w:right="51" w:hanging="357"/>
      <w:jc w:val="both"/>
    </w:pPr>
    <w:rPr>
      <w:rFonts w:ascii="Times New Roman" w:eastAsia="Times" w:hAnsi="Times New Roman" w:cs="Times New Roman"/>
      <w:position w:val="6"/>
      <w:sz w:val="18"/>
      <w:lang w:val="es-ES_tradnl" w:bidi="en-US"/>
    </w:rPr>
  </w:style>
  <w:style w:type="paragraph" w:styleId="HTMLconformatoprevio">
    <w:name w:val="HTML Preformatted"/>
    <w:basedOn w:val="Normal"/>
    <w:link w:val="HTMLconformatoprevioCar"/>
    <w:uiPriority w:val="99"/>
    <w:unhideWhenUsed/>
    <w:rsid w:val="001C05D8"/>
    <w:pPr>
      <w:spacing w:after="0" w:line="240" w:lineRule="auto"/>
    </w:pPr>
    <w:rPr>
      <w:rFonts w:ascii="Consolas" w:eastAsiaTheme="minorHAnsi" w:hAnsi="Consolas" w:cs="Consolas"/>
      <w:sz w:val="20"/>
      <w:szCs w:val="20"/>
      <w:lang w:val="es-CR"/>
    </w:rPr>
  </w:style>
  <w:style w:type="character" w:customStyle="1" w:styleId="HTMLconformatoprevioCar">
    <w:name w:val="HTML con formato previo Car"/>
    <w:basedOn w:val="Fuentedeprrafopredeter"/>
    <w:link w:val="HTMLconformatoprevio"/>
    <w:uiPriority w:val="99"/>
    <w:rsid w:val="001C05D8"/>
    <w:rPr>
      <w:rFonts w:ascii="Consolas" w:hAnsi="Consolas" w:cs="Consolas"/>
      <w:sz w:val="20"/>
      <w:szCs w:val="20"/>
      <w:lang w:val="es-CR"/>
    </w:rPr>
  </w:style>
  <w:style w:type="paragraph" w:customStyle="1" w:styleId="style10">
    <w:name w:val="style1"/>
    <w:basedOn w:val="Normal"/>
    <w:uiPriority w:val="99"/>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gn-justify">
    <w:name w:val="align-justify"/>
    <w:basedOn w:val="Normal"/>
    <w:uiPriority w:val="99"/>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aliases w:val="Normal (Web) Char1,Normal (Web) Char Char,Normal (Web) Char1 Char,Normal (Web) Char Char Char"/>
    <w:basedOn w:val="Normal"/>
    <w:uiPriority w:val="39"/>
    <w:unhideWhenUsed/>
    <w:qFormat/>
    <w:rsid w:val="001C05D8"/>
    <w:rPr>
      <w:rFonts w:ascii="Times New Roman" w:eastAsiaTheme="minorHAnsi" w:hAnsi="Times New Roman" w:cs="Times New Roman"/>
      <w:sz w:val="24"/>
      <w:szCs w:val="24"/>
    </w:rPr>
  </w:style>
  <w:style w:type="paragraph" w:customStyle="1" w:styleId="Footnotes">
    <w:name w:val="**. Footnotes"/>
    <w:basedOn w:val="Textonotapie"/>
    <w:link w:val="FootnotesChar"/>
    <w:autoRedefine/>
    <w:qFormat/>
    <w:rsid w:val="001C05D8"/>
    <w:pPr>
      <w:widowControl w:val="0"/>
      <w:tabs>
        <w:tab w:val="left" w:pos="567"/>
      </w:tabs>
      <w:spacing w:before="120" w:after="40"/>
      <w:jc w:val="both"/>
    </w:pPr>
    <w:rPr>
      <w:rFonts w:ascii="Verdana" w:hAnsi="Verdana" w:cs="Palatino-Italic"/>
      <w:i/>
      <w:iCs/>
      <w:sz w:val="16"/>
      <w:szCs w:val="16"/>
      <w:lang w:val="en-US"/>
    </w:rPr>
  </w:style>
  <w:style w:type="character" w:customStyle="1" w:styleId="FootnotesChar">
    <w:name w:val="**. Footnotes Char"/>
    <w:basedOn w:val="Fuentedeprrafopredeter"/>
    <w:link w:val="Footnotes"/>
    <w:rsid w:val="001C05D8"/>
    <w:rPr>
      <w:rFonts w:ascii="Verdana" w:eastAsia="Batang" w:hAnsi="Verdana" w:cs="Palatino-Italic"/>
      <w:i/>
      <w:iCs/>
      <w:sz w:val="16"/>
      <w:szCs w:val="16"/>
    </w:rPr>
  </w:style>
  <w:style w:type="character" w:customStyle="1" w:styleId="Smbolodenotaalpie">
    <w:name w:val="Símbolo de nota al pie"/>
    <w:rsid w:val="001C05D8"/>
    <w:rPr>
      <w:rFonts w:cs="Times New Roman"/>
      <w:szCs w:val="20"/>
      <w:vertAlign w:val="superscript"/>
    </w:rPr>
  </w:style>
  <w:style w:type="numbering" w:styleId="111111">
    <w:name w:val="Outline List 2"/>
    <w:basedOn w:val="Sinlista"/>
    <w:uiPriority w:val="99"/>
    <w:semiHidden/>
    <w:unhideWhenUsed/>
    <w:rsid w:val="001C05D8"/>
    <w:pPr>
      <w:numPr>
        <w:numId w:val="7"/>
      </w:numPr>
    </w:pPr>
  </w:style>
  <w:style w:type="character" w:customStyle="1" w:styleId="Estilo1Car">
    <w:name w:val="Estilo1 Car"/>
    <w:link w:val="Estilo1"/>
    <w:locked/>
    <w:rsid w:val="001C05D8"/>
    <w:rPr>
      <w:rFonts w:ascii="Verdana" w:hAnsi="Verdana"/>
    </w:rPr>
  </w:style>
  <w:style w:type="paragraph" w:customStyle="1" w:styleId="Estilo1">
    <w:name w:val="Estilo1"/>
    <w:basedOn w:val="Normal"/>
    <w:link w:val="Estilo1Car"/>
    <w:qFormat/>
    <w:rsid w:val="001C05D8"/>
    <w:pPr>
      <w:tabs>
        <w:tab w:val="left" w:pos="567"/>
        <w:tab w:val="left" w:pos="1134"/>
        <w:tab w:val="num" w:pos="6042"/>
      </w:tabs>
      <w:spacing w:after="120" w:line="240" w:lineRule="auto"/>
      <w:jc w:val="both"/>
    </w:pPr>
    <w:rPr>
      <w:rFonts w:ascii="Verdana" w:eastAsiaTheme="minorHAnsi" w:hAnsi="Verdana"/>
      <w:lang w:val="en-US"/>
    </w:rPr>
  </w:style>
  <w:style w:type="character" w:customStyle="1" w:styleId="Caracteresdenotaalpie">
    <w:name w:val="Caracteres de nota al pie"/>
    <w:rsid w:val="001C05D8"/>
    <w:rPr>
      <w:vertAlign w:val="superscript"/>
    </w:rPr>
  </w:style>
  <w:style w:type="paragraph" w:customStyle="1" w:styleId="Prrafodelista2">
    <w:name w:val="Párrafo de lista2"/>
    <w:basedOn w:val="Normal"/>
    <w:uiPriority w:val="99"/>
    <w:rsid w:val="001C05D8"/>
    <w:pPr>
      <w:spacing w:after="0" w:line="240" w:lineRule="auto"/>
      <w:ind w:left="720"/>
    </w:pPr>
    <w:rPr>
      <w:rFonts w:ascii="Verdana" w:eastAsia="MS Mincho" w:hAnsi="Verdana" w:cs="Times New Roman"/>
      <w:sz w:val="20"/>
      <w:szCs w:val="20"/>
      <w:lang w:val="es-ES_tradnl" w:bidi="en-US"/>
    </w:rPr>
  </w:style>
  <w:style w:type="character" w:customStyle="1" w:styleId="Caracteresdenotafinal">
    <w:name w:val="Caracteres de nota final"/>
    <w:rsid w:val="001C05D8"/>
    <w:rPr>
      <w:vertAlign w:val="superscript"/>
    </w:rPr>
  </w:style>
  <w:style w:type="character" w:styleId="Nmerodelnea">
    <w:name w:val="line number"/>
    <w:basedOn w:val="Fuentedeprrafopredeter"/>
    <w:uiPriority w:val="99"/>
    <w:unhideWhenUsed/>
    <w:rsid w:val="001C05D8"/>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qFormat/>
    <w:locked/>
    <w:rsid w:val="001C05D8"/>
    <w:rPr>
      <w:rFonts w:ascii="Verdana" w:eastAsia="MS Mincho" w:hAnsi="Verdana" w:cs="Times"/>
      <w:sz w:val="16"/>
      <w:szCs w:val="24"/>
      <w:lang w:val="es-ES_tradnl"/>
    </w:rPr>
  </w:style>
  <w:style w:type="paragraph" w:styleId="Sinespaciado">
    <w:name w:val="No Spacing"/>
    <w:link w:val="SinespaciadoCar"/>
    <w:uiPriority w:val="1"/>
    <w:qFormat/>
    <w:rsid w:val="001C05D8"/>
    <w:pPr>
      <w:spacing w:after="0" w:line="240" w:lineRule="auto"/>
    </w:pPr>
    <w:rPr>
      <w:lang w:val="es-CR"/>
    </w:rPr>
  </w:style>
  <w:style w:type="paragraph" w:styleId="TtuloTDC">
    <w:name w:val="TOC Heading"/>
    <w:basedOn w:val="Ttulo1"/>
    <w:next w:val="Normal"/>
    <w:uiPriority w:val="39"/>
    <w:unhideWhenUsed/>
    <w:qFormat/>
    <w:rsid w:val="001C05D8"/>
    <w:pPr>
      <w:spacing w:line="276" w:lineRule="auto"/>
      <w:outlineLvl w:val="9"/>
    </w:pPr>
    <w:rPr>
      <w:lang w:val="en-US" w:eastAsia="ja-JP"/>
    </w:rPr>
  </w:style>
  <w:style w:type="paragraph" w:styleId="TDC2">
    <w:name w:val="toc 2"/>
    <w:basedOn w:val="Normal"/>
    <w:next w:val="Normal"/>
    <w:autoRedefine/>
    <w:uiPriority w:val="39"/>
    <w:unhideWhenUsed/>
    <w:qFormat/>
    <w:rsid w:val="0006475E"/>
    <w:pPr>
      <w:tabs>
        <w:tab w:val="left" w:pos="880"/>
        <w:tab w:val="right" w:leader="dot" w:pos="9792"/>
      </w:tabs>
      <w:spacing w:after="0" w:line="240" w:lineRule="auto"/>
      <w:ind w:left="220"/>
      <w:jc w:val="both"/>
    </w:pPr>
    <w:rPr>
      <w:rFonts w:ascii="Verdana" w:eastAsia="MS Mincho" w:hAnsi="Verdana" w:cs="Times New Roman"/>
      <w:bCs/>
      <w:i/>
      <w:smallCaps/>
      <w:noProof/>
      <w:sz w:val="18"/>
      <w:szCs w:val="18"/>
      <w:lang w:val="es-AR" w:eastAsia="es-CR"/>
    </w:rPr>
  </w:style>
  <w:style w:type="paragraph" w:styleId="TDC1">
    <w:name w:val="toc 1"/>
    <w:basedOn w:val="Normal"/>
    <w:next w:val="Normal"/>
    <w:autoRedefine/>
    <w:uiPriority w:val="39"/>
    <w:unhideWhenUsed/>
    <w:qFormat/>
    <w:rsid w:val="00AD25A3"/>
    <w:pPr>
      <w:tabs>
        <w:tab w:val="right" w:leader="dot" w:pos="9792"/>
      </w:tabs>
      <w:spacing w:after="0" w:line="240" w:lineRule="auto"/>
    </w:pPr>
    <w:rPr>
      <w:rFonts w:ascii="Verdana" w:eastAsia="Times New Roman" w:hAnsi="Verdana" w:cs="Verdana"/>
      <w:b/>
      <w:bCs/>
      <w:caps/>
      <w:noProof/>
      <w:snapToGrid w:val="0"/>
      <w:sz w:val="18"/>
      <w:szCs w:val="18"/>
      <w:lang w:val="es-ES_tradnl"/>
    </w:rPr>
  </w:style>
  <w:style w:type="paragraph" w:styleId="TDC3">
    <w:name w:val="toc 3"/>
    <w:basedOn w:val="Normal"/>
    <w:next w:val="Normal"/>
    <w:autoRedefine/>
    <w:uiPriority w:val="39"/>
    <w:unhideWhenUsed/>
    <w:qFormat/>
    <w:rsid w:val="001C05D8"/>
    <w:pPr>
      <w:spacing w:after="0"/>
      <w:ind w:left="440"/>
    </w:pPr>
    <w:rPr>
      <w:i/>
      <w:iCs/>
      <w:sz w:val="20"/>
      <w:szCs w:val="20"/>
    </w:rPr>
  </w:style>
  <w:style w:type="paragraph" w:styleId="Ttulo">
    <w:name w:val="Title"/>
    <w:basedOn w:val="Prrafodelista"/>
    <w:next w:val="Normal"/>
    <w:link w:val="TtuloCar"/>
    <w:uiPriority w:val="10"/>
    <w:qFormat/>
    <w:rsid w:val="001C05D8"/>
    <w:pPr>
      <w:keepNext/>
      <w:keepLines/>
      <w:widowControl w:val="0"/>
      <w:numPr>
        <w:numId w:val="8"/>
      </w:numPr>
      <w:adjustRightInd w:val="0"/>
      <w:spacing w:before="120" w:after="120" w:line="240" w:lineRule="auto"/>
      <w:jc w:val="both"/>
      <w:textAlignment w:val="baseline"/>
      <w:outlineLvl w:val="1"/>
    </w:pPr>
    <w:rPr>
      <w:rFonts w:ascii="Verdana" w:hAnsi="Verdana"/>
      <w:b/>
      <w:i/>
      <w:sz w:val="20"/>
      <w:szCs w:val="20"/>
    </w:rPr>
  </w:style>
  <w:style w:type="character" w:customStyle="1" w:styleId="TtuloCar">
    <w:name w:val="Título Car"/>
    <w:basedOn w:val="Fuentedeprrafopredeter"/>
    <w:link w:val="Ttulo"/>
    <w:uiPriority w:val="10"/>
    <w:rsid w:val="001C05D8"/>
    <w:rPr>
      <w:rFonts w:ascii="Verdana" w:eastAsia="Batang" w:hAnsi="Verdana"/>
      <w:b/>
      <w:i/>
      <w:sz w:val="20"/>
      <w:szCs w:val="20"/>
      <w:lang w:val="es-MX"/>
    </w:rPr>
  </w:style>
  <w:style w:type="paragraph" w:styleId="Subttulo">
    <w:name w:val="Subtitle"/>
    <w:basedOn w:val="Ttulo"/>
    <w:next w:val="Normal"/>
    <w:link w:val="SubttuloCar"/>
    <w:uiPriority w:val="11"/>
    <w:qFormat/>
    <w:rsid w:val="001C05D8"/>
    <w:pPr>
      <w:numPr>
        <w:numId w:val="0"/>
      </w:numPr>
    </w:pPr>
  </w:style>
  <w:style w:type="character" w:customStyle="1" w:styleId="SubttuloCar">
    <w:name w:val="Subtítulo Car"/>
    <w:basedOn w:val="Fuentedeprrafopredeter"/>
    <w:link w:val="Subttulo"/>
    <w:uiPriority w:val="11"/>
    <w:rsid w:val="001C05D8"/>
    <w:rPr>
      <w:rFonts w:ascii="Verdana" w:eastAsia="Batang" w:hAnsi="Verdana"/>
      <w:b/>
      <w:i/>
      <w:sz w:val="20"/>
      <w:szCs w:val="20"/>
      <w:lang w:val="es-MX"/>
    </w:rPr>
  </w:style>
  <w:style w:type="character" w:styleId="nfasissutil">
    <w:name w:val="Subtle Emphasis"/>
    <w:uiPriority w:val="19"/>
    <w:qFormat/>
    <w:rsid w:val="001C05D8"/>
  </w:style>
  <w:style w:type="character" w:styleId="nfasis">
    <w:name w:val="Emphasis"/>
    <w:basedOn w:val="nfasissutil"/>
    <w:uiPriority w:val="20"/>
    <w:qFormat/>
    <w:rsid w:val="001C05D8"/>
  </w:style>
  <w:style w:type="paragraph" w:styleId="TDC5">
    <w:name w:val="toc 5"/>
    <w:basedOn w:val="Normal"/>
    <w:next w:val="Normal"/>
    <w:autoRedefine/>
    <w:uiPriority w:val="39"/>
    <w:unhideWhenUsed/>
    <w:rsid w:val="001C05D8"/>
    <w:pPr>
      <w:spacing w:after="0"/>
      <w:ind w:left="880"/>
    </w:pPr>
    <w:rPr>
      <w:sz w:val="18"/>
      <w:szCs w:val="18"/>
    </w:rPr>
  </w:style>
  <w:style w:type="paragraph" w:styleId="TDC6">
    <w:name w:val="toc 6"/>
    <w:basedOn w:val="Normal"/>
    <w:next w:val="Normal"/>
    <w:autoRedefine/>
    <w:uiPriority w:val="39"/>
    <w:unhideWhenUsed/>
    <w:rsid w:val="001C05D8"/>
    <w:pPr>
      <w:spacing w:after="0"/>
      <w:ind w:left="1100"/>
    </w:pPr>
    <w:rPr>
      <w:sz w:val="18"/>
      <w:szCs w:val="18"/>
    </w:rPr>
  </w:style>
  <w:style w:type="paragraph" w:styleId="TDC7">
    <w:name w:val="toc 7"/>
    <w:basedOn w:val="Normal"/>
    <w:next w:val="Normal"/>
    <w:autoRedefine/>
    <w:uiPriority w:val="39"/>
    <w:unhideWhenUsed/>
    <w:rsid w:val="001C05D8"/>
    <w:pPr>
      <w:spacing w:after="0"/>
      <w:ind w:left="1320"/>
    </w:pPr>
    <w:rPr>
      <w:sz w:val="18"/>
      <w:szCs w:val="18"/>
    </w:rPr>
  </w:style>
  <w:style w:type="paragraph" w:styleId="TDC4">
    <w:name w:val="toc 4"/>
    <w:basedOn w:val="Normal"/>
    <w:next w:val="Normal"/>
    <w:autoRedefine/>
    <w:uiPriority w:val="39"/>
    <w:unhideWhenUsed/>
    <w:rsid w:val="001C05D8"/>
    <w:pPr>
      <w:spacing w:after="0"/>
      <w:ind w:left="660"/>
    </w:pPr>
    <w:rPr>
      <w:sz w:val="18"/>
      <w:szCs w:val="18"/>
    </w:rPr>
  </w:style>
  <w:style w:type="paragraph" w:styleId="TDC8">
    <w:name w:val="toc 8"/>
    <w:basedOn w:val="Normal"/>
    <w:next w:val="Normal"/>
    <w:autoRedefine/>
    <w:uiPriority w:val="39"/>
    <w:unhideWhenUsed/>
    <w:rsid w:val="001C05D8"/>
    <w:pPr>
      <w:spacing w:after="0"/>
      <w:ind w:left="1540"/>
    </w:pPr>
    <w:rPr>
      <w:sz w:val="18"/>
      <w:szCs w:val="18"/>
    </w:rPr>
  </w:style>
  <w:style w:type="paragraph" w:styleId="TDC9">
    <w:name w:val="toc 9"/>
    <w:basedOn w:val="Normal"/>
    <w:next w:val="Normal"/>
    <w:autoRedefine/>
    <w:uiPriority w:val="39"/>
    <w:unhideWhenUsed/>
    <w:rsid w:val="001C05D8"/>
    <w:pPr>
      <w:spacing w:after="0"/>
      <w:ind w:left="1760"/>
    </w:pPr>
    <w:rPr>
      <w:sz w:val="18"/>
      <w:szCs w:val="18"/>
    </w:rPr>
  </w:style>
  <w:style w:type="character" w:customStyle="1" w:styleId="PrrafodeSentenciaChar">
    <w:name w:val="*. Párrafo de Sentencia Char"/>
    <w:link w:val="PrrafodeSentencia"/>
    <w:locked/>
    <w:rsid w:val="001C05D8"/>
    <w:rPr>
      <w:rFonts w:ascii="Verdana" w:eastAsia="Batang" w:hAnsi="Verdana"/>
      <w:spacing w:val="-4"/>
      <w:sz w:val="20"/>
      <w:lang w:eastAsia="es-MX"/>
    </w:rPr>
  </w:style>
  <w:style w:type="paragraph" w:customStyle="1" w:styleId="PrrafodeSentencia">
    <w:name w:val="*. Párrafo de Sentencia"/>
    <w:basedOn w:val="Normal"/>
    <w:next w:val="Normal"/>
    <w:link w:val="PrrafodeSentenciaChar"/>
    <w:qFormat/>
    <w:rsid w:val="001C05D8"/>
    <w:pPr>
      <w:tabs>
        <w:tab w:val="left" w:pos="567"/>
      </w:tabs>
      <w:spacing w:after="0" w:line="240" w:lineRule="auto"/>
      <w:jc w:val="both"/>
    </w:pPr>
    <w:rPr>
      <w:rFonts w:ascii="Verdana" w:hAnsi="Verdana"/>
      <w:spacing w:val="-4"/>
      <w:sz w:val="20"/>
      <w:lang w:val="en-US" w:eastAsia="es-MX"/>
    </w:rPr>
  </w:style>
  <w:style w:type="numbering" w:customStyle="1" w:styleId="NoList1">
    <w:name w:val="No List1"/>
    <w:next w:val="Sinlista"/>
    <w:uiPriority w:val="99"/>
    <w:semiHidden/>
    <w:unhideWhenUsed/>
    <w:rsid w:val="001C05D8"/>
  </w:style>
  <w:style w:type="character" w:customStyle="1" w:styleId="CommentTextChar1">
    <w:name w:val="Comment Text Char1"/>
    <w:basedOn w:val="Fuentedeprrafopredeter"/>
    <w:uiPriority w:val="99"/>
    <w:semiHidden/>
    <w:rsid w:val="001C05D8"/>
    <w:rPr>
      <w:rFonts w:ascii="Times New Roman" w:eastAsia="Calibri" w:hAnsi="Times New Roman" w:cs="Times New Roman"/>
      <w:sz w:val="20"/>
      <w:szCs w:val="20"/>
      <w:lang w:val="es-ES_tradnl"/>
    </w:rPr>
  </w:style>
  <w:style w:type="character" w:customStyle="1" w:styleId="BalloonTextChar1">
    <w:name w:val="Balloon Text Char1"/>
    <w:basedOn w:val="Fuentedeprrafopredeter"/>
    <w:uiPriority w:val="99"/>
    <w:semiHidden/>
    <w:rsid w:val="001C05D8"/>
    <w:rPr>
      <w:rFonts w:ascii="Tahoma" w:eastAsia="Calibri" w:hAnsi="Tahoma" w:cs="Tahoma"/>
      <w:sz w:val="16"/>
      <w:szCs w:val="16"/>
      <w:lang w:val="es-ES_tradnl"/>
    </w:rPr>
  </w:style>
  <w:style w:type="character" w:customStyle="1" w:styleId="apple-style-span">
    <w:name w:val="apple-style-span"/>
    <w:basedOn w:val="Fuentedeprrafopredeter"/>
    <w:rsid w:val="001C05D8"/>
    <w:rPr>
      <w:rFonts w:cs="Times New Roman"/>
    </w:rPr>
  </w:style>
  <w:style w:type="character" w:customStyle="1" w:styleId="Ttulo10">
    <w:name w:val="Título1"/>
    <w:basedOn w:val="Fuentedeprrafopredeter"/>
    <w:rsid w:val="001C05D8"/>
  </w:style>
  <w:style w:type="character" w:customStyle="1" w:styleId="hps">
    <w:name w:val="hps"/>
    <w:basedOn w:val="Fuentedeprrafopredeter"/>
    <w:rsid w:val="001C05D8"/>
  </w:style>
  <w:style w:type="paragraph" w:customStyle="1" w:styleId="2Footnotes">
    <w:name w:val="2. Footnotes"/>
    <w:basedOn w:val="Textonotapie"/>
    <w:link w:val="2FootnotesChar"/>
    <w:autoRedefine/>
    <w:qFormat/>
    <w:rsid w:val="001C05D8"/>
    <w:pPr>
      <w:widowControl w:val="0"/>
      <w:spacing w:before="120" w:after="40"/>
      <w:jc w:val="both"/>
    </w:pPr>
    <w:rPr>
      <w:rFonts w:ascii="Verdana" w:eastAsia="Times New Roman" w:hAnsi="Verdana" w:cs="Palatino-Italic"/>
      <w:iCs/>
      <w:noProof/>
      <w:sz w:val="16"/>
      <w:szCs w:val="18"/>
      <w:lang w:val="en-US"/>
    </w:rPr>
  </w:style>
  <w:style w:type="character" w:customStyle="1" w:styleId="2FootnotesChar">
    <w:name w:val="2. Footnotes Char"/>
    <w:link w:val="2Footnotes"/>
    <w:rsid w:val="001C05D8"/>
    <w:rPr>
      <w:rFonts w:ascii="Verdana" w:eastAsia="Times New Roman" w:hAnsi="Verdana" w:cs="Palatino-Italic"/>
      <w:iCs/>
      <w:noProof/>
      <w:sz w:val="16"/>
      <w:szCs w:val="18"/>
    </w:rPr>
  </w:style>
  <w:style w:type="paragraph" w:customStyle="1" w:styleId="xmsonormal">
    <w:name w:val="x_msonormal"/>
    <w:basedOn w:val="Normal"/>
    <w:uiPriority w:val="99"/>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ChG">
    <w:name w:val="_ H _Ch_G"/>
    <w:basedOn w:val="Normal"/>
    <w:next w:val="Normal"/>
    <w:uiPriority w:val="99"/>
    <w:rsid w:val="001C05D8"/>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lang w:val="es-ES" w:eastAsia="es-ES"/>
    </w:rPr>
  </w:style>
  <w:style w:type="paragraph" w:customStyle="1" w:styleId="H1G">
    <w:name w:val="_ H_1_G"/>
    <w:basedOn w:val="Normal"/>
    <w:next w:val="Normal"/>
    <w:uiPriority w:val="99"/>
    <w:rsid w:val="001C05D8"/>
    <w:pPr>
      <w:keepNext/>
      <w:keepLines/>
      <w:tabs>
        <w:tab w:val="right" w:pos="851"/>
      </w:tabs>
      <w:suppressAutoHyphens/>
      <w:spacing w:before="360" w:after="240" w:line="270" w:lineRule="exact"/>
      <w:ind w:left="1134" w:right="1134" w:hanging="1134"/>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iPriority w:val="99"/>
    <w:semiHidden/>
    <w:unhideWhenUsed/>
    <w:rsid w:val="001C05D8"/>
    <w:pPr>
      <w:spacing w:after="0" w:line="240" w:lineRule="auto"/>
      <w:jc w:val="both"/>
    </w:pPr>
    <w:rPr>
      <w:rFonts w:ascii="Garamond" w:eastAsia="Times" w:hAnsi="Garamond" w:cs="Times New Roman"/>
      <w:noProof/>
      <w:szCs w:val="20"/>
      <w:lang w:val="es-ES_tradnl"/>
    </w:rPr>
  </w:style>
  <w:style w:type="character" w:customStyle="1" w:styleId="TextoindependienteCar">
    <w:name w:val="Texto independiente Car"/>
    <w:basedOn w:val="Fuentedeprrafopredeter"/>
    <w:link w:val="Textoindependiente"/>
    <w:uiPriority w:val="99"/>
    <w:semiHidden/>
    <w:rsid w:val="001C05D8"/>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1C05D8"/>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1C05D8"/>
    <w:pPr>
      <w:spacing w:after="120" w:line="240" w:lineRule="auto"/>
      <w:ind w:left="283"/>
    </w:pPr>
    <w:rPr>
      <w:rFonts w:ascii="Times New Roman" w:eastAsia="Calibri" w:hAnsi="Times New Roman" w:cs="Times New Roman"/>
      <w:sz w:val="24"/>
      <w:szCs w:val="24"/>
      <w:lang w:val="es-ES_tradnl"/>
    </w:rPr>
  </w:style>
  <w:style w:type="character" w:customStyle="1" w:styleId="BodyTextIndentChar1">
    <w:name w:val="Body Text Indent Char1"/>
    <w:basedOn w:val="Fuentedeprrafopredeter"/>
    <w:uiPriority w:val="99"/>
    <w:semiHidden/>
    <w:rsid w:val="001C05D8"/>
    <w:rPr>
      <w:rFonts w:eastAsia="Batang"/>
      <w:lang w:val="es-MX"/>
    </w:rPr>
  </w:style>
  <w:style w:type="character" w:customStyle="1" w:styleId="Estilo1Char">
    <w:name w:val="Estilo1 Char"/>
    <w:rsid w:val="001C05D8"/>
    <w:rPr>
      <w:rFonts w:ascii="Verdana" w:eastAsia="Calibri" w:hAnsi="Verdana" w:cs="Times New Roman"/>
      <w:sz w:val="20"/>
      <w:szCs w:val="20"/>
      <w:lang w:val="es-ES"/>
    </w:rPr>
  </w:style>
  <w:style w:type="paragraph" w:customStyle="1" w:styleId="Estilo2">
    <w:name w:val="Estilo2"/>
    <w:basedOn w:val="Normal"/>
    <w:uiPriority w:val="99"/>
    <w:qFormat/>
    <w:rsid w:val="001C05D8"/>
    <w:pPr>
      <w:tabs>
        <w:tab w:val="left" w:pos="567"/>
        <w:tab w:val="left" w:pos="1134"/>
        <w:tab w:val="num" w:pos="4767"/>
      </w:tabs>
      <w:spacing w:after="120" w:line="240" w:lineRule="auto"/>
      <w:ind w:left="4767" w:hanging="360"/>
      <w:jc w:val="both"/>
    </w:pPr>
    <w:rPr>
      <w:rFonts w:ascii="Verdana" w:eastAsia="Calibri" w:hAnsi="Verdana" w:cs="Times New Roman"/>
      <w:sz w:val="20"/>
      <w:szCs w:val="20"/>
      <w:lang w:val="es-ES"/>
    </w:rPr>
  </w:style>
  <w:style w:type="paragraph" w:styleId="Sangra3detindependiente">
    <w:name w:val="Body Text Indent 3"/>
    <w:basedOn w:val="Normal"/>
    <w:link w:val="Sangra3detindependienteCar"/>
    <w:rsid w:val="001C05D8"/>
    <w:pPr>
      <w:spacing w:after="0" w:line="240" w:lineRule="auto"/>
      <w:ind w:left="720"/>
      <w:jc w:val="both"/>
    </w:pPr>
    <w:rPr>
      <w:rFonts w:ascii="Verdana" w:eastAsia="Times" w:hAnsi="Verdana" w:cs="Times New Roman"/>
      <w:b/>
      <w:szCs w:val="20"/>
      <w:lang w:val="es-ES_tradnl" w:eastAsia="es-ES"/>
    </w:rPr>
  </w:style>
  <w:style w:type="character" w:customStyle="1" w:styleId="Sangra3detindependienteCar">
    <w:name w:val="Sangría 3 de t. independiente Car"/>
    <w:basedOn w:val="Fuentedeprrafopredeter"/>
    <w:link w:val="Sangra3detindependiente"/>
    <w:rsid w:val="001C05D8"/>
    <w:rPr>
      <w:rFonts w:ascii="Verdana" w:eastAsia="Times" w:hAnsi="Verdana" w:cs="Times New Roman"/>
      <w:b/>
      <w:szCs w:val="20"/>
      <w:lang w:val="es-ES_tradnl" w:eastAsia="es-ES"/>
    </w:rPr>
  </w:style>
  <w:style w:type="paragraph" w:customStyle="1" w:styleId="Estilo7">
    <w:name w:val="Estilo7"/>
    <w:basedOn w:val="Normal"/>
    <w:uiPriority w:val="99"/>
    <w:qFormat/>
    <w:rsid w:val="001C05D8"/>
    <w:pPr>
      <w:tabs>
        <w:tab w:val="left" w:pos="567"/>
        <w:tab w:val="left" w:pos="851"/>
        <w:tab w:val="num" w:pos="2160"/>
      </w:tabs>
      <w:spacing w:before="120" w:after="120" w:line="240" w:lineRule="auto"/>
      <w:ind w:left="2160" w:hanging="180"/>
      <w:jc w:val="both"/>
    </w:pPr>
    <w:rPr>
      <w:rFonts w:ascii="Verdana" w:hAnsi="Verdana" w:cs="Times New Roman"/>
      <w:b/>
      <w:i/>
      <w:sz w:val="20"/>
      <w:szCs w:val="20"/>
      <w:lang w:val="es-ES_tradnl" w:eastAsia="es-MX"/>
    </w:rPr>
  </w:style>
  <w:style w:type="paragraph" w:customStyle="1" w:styleId="Sangradetindependiente">
    <w:name w:val="Sangr’a de t. independiente"/>
    <w:basedOn w:val="Normal"/>
    <w:uiPriority w:val="99"/>
    <w:rsid w:val="001C05D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customStyle="1" w:styleId="normalchar1">
    <w:name w:val="normal__char1"/>
    <w:basedOn w:val="Fuentedeprrafopredeter"/>
    <w:rsid w:val="001C05D8"/>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1C05D8"/>
  </w:style>
  <w:style w:type="character" w:customStyle="1" w:styleId="sb8d990e2">
    <w:name w:val="sb8d990e2"/>
    <w:uiPriority w:val="99"/>
    <w:rsid w:val="001C05D8"/>
  </w:style>
  <w:style w:type="character" w:customStyle="1" w:styleId="st1">
    <w:name w:val="st1"/>
    <w:basedOn w:val="Fuentedeprrafopredeter"/>
    <w:rsid w:val="001C05D8"/>
  </w:style>
  <w:style w:type="paragraph" w:customStyle="1" w:styleId="NormalNumbered">
    <w:name w:val="Normal Numbered"/>
    <w:basedOn w:val="Normal"/>
    <w:uiPriority w:val="99"/>
    <w:qFormat/>
    <w:rsid w:val="001C05D8"/>
    <w:pPr>
      <w:numPr>
        <w:numId w:val="9"/>
      </w:numPr>
      <w:spacing w:after="0" w:line="240" w:lineRule="auto"/>
      <w:ind w:left="0" w:firstLine="0"/>
      <w:jc w:val="both"/>
    </w:pPr>
    <w:rPr>
      <w:rFonts w:ascii="Verdana" w:eastAsia="Times New Roman" w:hAnsi="Verdana" w:cs="Times New Roman"/>
      <w:sz w:val="20"/>
      <w:szCs w:val="20"/>
    </w:rPr>
  </w:style>
  <w:style w:type="numbering" w:customStyle="1" w:styleId="NoList11">
    <w:name w:val="No List11"/>
    <w:next w:val="Sinlista"/>
    <w:uiPriority w:val="99"/>
    <w:semiHidden/>
    <w:unhideWhenUsed/>
    <w:rsid w:val="001C05D8"/>
  </w:style>
  <w:style w:type="paragraph" w:customStyle="1" w:styleId="ju-005fpara-002cleft-002cfirst-0020line-003a-0020-00200-0020cm">
    <w:name w:val="ju-005fpara-002cleft-002cfirst-0020line-003a-0020-00200-0020cm"/>
    <w:basedOn w:val="Normal"/>
    <w:uiPriority w:val="99"/>
    <w:rsid w:val="001C05D8"/>
    <w:pPr>
      <w:spacing w:after="135" w:line="240" w:lineRule="auto"/>
    </w:pPr>
    <w:rPr>
      <w:rFonts w:ascii="Times New Roman" w:eastAsia="Times New Roman" w:hAnsi="Times New Roman" w:cs="Times New Roman"/>
      <w:sz w:val="24"/>
      <w:szCs w:val="24"/>
      <w:lang w:eastAsia="es-MX"/>
    </w:rPr>
  </w:style>
  <w:style w:type="character" w:customStyle="1" w:styleId="ju-005fpara-002cleft-002cfirst-0020line-003a-0020-00200-0020cm--char">
    <w:name w:val="ju-005fpara-002cleft-002cfirst-0020line-003a-0020-00200-0020cm--char"/>
    <w:rsid w:val="001C05D8"/>
  </w:style>
  <w:style w:type="character" w:customStyle="1" w:styleId="PrrafodelistaCar1">
    <w:name w:val="Párrafo de lista Car1"/>
    <w:basedOn w:val="Fuentedeprrafopredeter"/>
    <w:uiPriority w:val="99"/>
    <w:locked/>
    <w:rsid w:val="001C05D8"/>
    <w:rPr>
      <w:rFonts w:ascii="Verdana" w:hAnsi="Verdana" w:cs="Verdana"/>
      <w:lang w:eastAsia="en-US"/>
    </w:rPr>
  </w:style>
  <w:style w:type="character" w:customStyle="1" w:styleId="TextocomentarioCar1">
    <w:name w:val="Texto comentario Car1"/>
    <w:basedOn w:val="Fuentedeprrafopredeter"/>
    <w:uiPriority w:val="99"/>
    <w:semiHidden/>
    <w:rsid w:val="001C05D8"/>
    <w:rPr>
      <w:sz w:val="20"/>
      <w:szCs w:val="20"/>
    </w:rPr>
  </w:style>
  <w:style w:type="paragraph" w:customStyle="1" w:styleId="Body1">
    <w:name w:val="Body 1"/>
    <w:link w:val="Body1Char"/>
    <w:rsid w:val="001C05D8"/>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1C05D8"/>
    <w:rPr>
      <w:rFonts w:ascii="Helvetica" w:eastAsia="ヒラギノ角ゴ Pro W3" w:hAnsi="Helvetica" w:cs="Times New Roman"/>
      <w:color w:val="000000"/>
      <w:szCs w:val="20"/>
      <w:lang w:eastAsia="es-CR"/>
    </w:rPr>
  </w:style>
  <w:style w:type="paragraph" w:customStyle="1" w:styleId="style11">
    <w:name w:val="style11"/>
    <w:basedOn w:val="Normal"/>
    <w:uiPriority w:val="99"/>
    <w:rsid w:val="001C05D8"/>
    <w:pPr>
      <w:spacing w:before="192" w:after="192" w:line="240" w:lineRule="auto"/>
      <w:ind w:left="120" w:right="144"/>
      <w:jc w:val="both"/>
    </w:pPr>
    <w:rPr>
      <w:rFonts w:ascii="Times New Roman" w:eastAsia="Times New Roman" w:hAnsi="Times New Roman" w:cs="Times New Roman"/>
      <w:sz w:val="24"/>
      <w:szCs w:val="24"/>
      <w:lang w:eastAsia="es-MX"/>
    </w:rPr>
  </w:style>
  <w:style w:type="character" w:customStyle="1" w:styleId="SinespaciadoCar">
    <w:name w:val="Sin espaciado Car"/>
    <w:basedOn w:val="Fuentedeprrafopredeter"/>
    <w:link w:val="Sinespaciado"/>
    <w:uiPriority w:val="1"/>
    <w:rsid w:val="00574DFE"/>
    <w:rPr>
      <w:lang w:val="es-CR"/>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500A60"/>
    <w:pPr>
      <w:spacing w:after="160" w:line="240" w:lineRule="exact"/>
    </w:pPr>
    <w:rPr>
      <w:rFonts w:ascii="Verdana" w:eastAsiaTheme="minorHAnsi" w:hAnsi="Verdana"/>
      <w:sz w:val="20"/>
      <w:szCs w:val="20"/>
      <w:vertAlign w:val="superscript"/>
      <w:lang w:val="en-US"/>
    </w:rPr>
  </w:style>
  <w:style w:type="paragraph" w:customStyle="1" w:styleId="xl65">
    <w:name w:val="xl65"/>
    <w:basedOn w:val="Normal"/>
    <w:uiPriority w:val="99"/>
    <w:rsid w:val="0017273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20"/>
      <w:szCs w:val="20"/>
      <w:lang w:eastAsia="es-MX"/>
    </w:rPr>
  </w:style>
  <w:style w:type="paragraph" w:customStyle="1" w:styleId="xl66">
    <w:name w:val="xl66"/>
    <w:basedOn w:val="Normal"/>
    <w:uiPriority w:val="99"/>
    <w:rsid w:val="0017273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pPr>
    <w:rPr>
      <w:rFonts w:ascii="Arial" w:eastAsia="Times New Roman" w:hAnsi="Arial" w:cs="Arial"/>
      <w:b/>
      <w:bCs/>
      <w:sz w:val="20"/>
      <w:szCs w:val="20"/>
      <w:lang w:eastAsia="es-MX"/>
    </w:rPr>
  </w:style>
  <w:style w:type="paragraph" w:customStyle="1" w:styleId="xl67">
    <w:name w:val="xl67"/>
    <w:basedOn w:val="Normal"/>
    <w:uiPriority w:val="99"/>
    <w:rsid w:val="0017273A"/>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Arial" w:eastAsia="Times New Roman" w:hAnsi="Arial" w:cs="Arial"/>
      <w:b/>
      <w:bCs/>
      <w:sz w:val="20"/>
      <w:szCs w:val="20"/>
      <w:lang w:eastAsia="es-MX"/>
    </w:rPr>
  </w:style>
  <w:style w:type="paragraph" w:customStyle="1" w:styleId="xl68">
    <w:name w:val="xl68"/>
    <w:basedOn w:val="Normal"/>
    <w:uiPriority w:val="99"/>
    <w:rsid w:val="0017273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es-MX"/>
    </w:rPr>
  </w:style>
  <w:style w:type="paragraph" w:customStyle="1" w:styleId="xl69">
    <w:name w:val="xl69"/>
    <w:basedOn w:val="Normal"/>
    <w:uiPriority w:val="99"/>
    <w:rsid w:val="0017273A"/>
    <w:pPr>
      <w:pBdr>
        <w:top w:val="single" w:sz="4" w:space="0" w:color="auto"/>
        <w:left w:val="single" w:sz="4" w:space="0" w:color="auto"/>
        <w:bottom w:val="single" w:sz="4" w:space="0" w:color="auto"/>
      </w:pBdr>
      <w:shd w:val="clear" w:color="000000" w:fill="E6B8B7"/>
      <w:spacing w:before="100" w:beforeAutospacing="1" w:after="100" w:afterAutospacing="1" w:line="240" w:lineRule="auto"/>
    </w:pPr>
    <w:rPr>
      <w:rFonts w:ascii="Arial" w:eastAsia="Times New Roman" w:hAnsi="Arial" w:cs="Arial"/>
      <w:sz w:val="20"/>
      <w:szCs w:val="20"/>
      <w:lang w:eastAsia="es-MX"/>
    </w:rPr>
  </w:style>
  <w:style w:type="paragraph" w:customStyle="1" w:styleId="xl70">
    <w:name w:val="xl70"/>
    <w:basedOn w:val="Normal"/>
    <w:uiPriority w:val="99"/>
    <w:rsid w:val="0017273A"/>
    <w:pPr>
      <w:pBdr>
        <w:top w:val="single" w:sz="4" w:space="0" w:color="auto"/>
        <w:left w:val="single" w:sz="4" w:space="0" w:color="auto"/>
        <w:bottom w:val="single" w:sz="4" w:space="0" w:color="auto"/>
      </w:pBdr>
      <w:shd w:val="clear" w:color="000000" w:fill="E6B8B7"/>
      <w:spacing w:before="100" w:beforeAutospacing="1" w:after="100" w:afterAutospacing="1" w:line="240" w:lineRule="auto"/>
    </w:pPr>
    <w:rPr>
      <w:rFonts w:ascii="Roboto" w:eastAsia="Times New Roman" w:hAnsi="Roboto" w:cs="Times New Roman"/>
      <w:color w:val="000000"/>
      <w:sz w:val="20"/>
      <w:szCs w:val="20"/>
      <w:lang w:eastAsia="es-MX"/>
    </w:rPr>
  </w:style>
  <w:style w:type="paragraph" w:customStyle="1" w:styleId="xl71">
    <w:name w:val="xl71"/>
    <w:basedOn w:val="Normal"/>
    <w:uiPriority w:val="99"/>
    <w:rsid w:val="0017273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Roboto" w:eastAsia="Times New Roman" w:hAnsi="Roboto" w:cs="Times New Roman"/>
      <w:color w:val="000000"/>
      <w:sz w:val="20"/>
      <w:szCs w:val="20"/>
      <w:lang w:eastAsia="es-MX"/>
    </w:rPr>
  </w:style>
  <w:style w:type="table" w:styleId="Tablaconcuadrcula">
    <w:name w:val="Table Grid"/>
    <w:basedOn w:val="Tablanormal"/>
    <w:uiPriority w:val="59"/>
    <w:rsid w:val="0017273A"/>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Título Verdana Char1"/>
    <w:basedOn w:val="Fuentedeprrafopredeter"/>
    <w:uiPriority w:val="9"/>
    <w:rsid w:val="007B74B8"/>
    <w:rPr>
      <w:rFonts w:asciiTheme="majorHAnsi" w:eastAsiaTheme="majorEastAsia" w:hAnsiTheme="majorHAnsi" w:cstheme="majorBidi"/>
      <w:b/>
      <w:bCs/>
      <w:color w:val="365F91" w:themeColor="accent1" w:themeShade="BF"/>
      <w:sz w:val="28"/>
      <w:szCs w:val="28"/>
      <w:lang w:val="es-MX"/>
    </w:rPr>
  </w:style>
  <w:style w:type="character" w:customStyle="1" w:styleId="FootnoteTextChar1">
    <w:name w:val="Footnote Text Char1"/>
    <w:aliases w:val="Footnote Text Char Char Char Char Char Char1,Footnote Text Char Char Char Char Char2,Footnote reference Char1,FA Fu Char1,FA Fußnotentext Char1,FA Fu§notentext Char1,FA Fu?notentext Char1,?notentext Char1,§notentext Char,FA Char"/>
    <w:basedOn w:val="Fuentedeprrafopredeter"/>
    <w:uiPriority w:val="99"/>
    <w:semiHidden/>
    <w:rsid w:val="007B74B8"/>
    <w:rPr>
      <w:rFonts w:eastAsia="Batang"/>
      <w:sz w:val="20"/>
      <w:szCs w:val="20"/>
      <w:lang w:val="es-MX"/>
    </w:rPr>
  </w:style>
  <w:style w:type="character" w:customStyle="1" w:styleId="HeaderChar1">
    <w:name w:val="Header Char1"/>
    <w:aliases w:val="encabezado Char1"/>
    <w:basedOn w:val="Fuentedeprrafopredeter"/>
    <w:uiPriority w:val="99"/>
    <w:semiHidden/>
    <w:rsid w:val="007B74B8"/>
    <w:rPr>
      <w:rFonts w:eastAsia="Batang"/>
      <w:lang w:val="es-MX"/>
    </w:rPr>
  </w:style>
  <w:style w:type="character" w:customStyle="1" w:styleId="TitleChar1">
    <w:name w:val="Title Char1"/>
    <w:basedOn w:val="Fuentedeprrafopredeter"/>
    <w:uiPriority w:val="10"/>
    <w:rsid w:val="007B74B8"/>
    <w:rPr>
      <w:rFonts w:asciiTheme="majorHAnsi" w:eastAsiaTheme="majorEastAsia" w:hAnsiTheme="majorHAnsi" w:cstheme="majorBidi"/>
      <w:color w:val="17365D" w:themeColor="text2" w:themeShade="BF"/>
      <w:spacing w:val="5"/>
      <w:kern w:val="28"/>
      <w:sz w:val="52"/>
      <w:szCs w:val="52"/>
      <w:lang w:val="es-MX"/>
    </w:rPr>
  </w:style>
  <w:style w:type="character" w:customStyle="1" w:styleId="Heading7Char1">
    <w:name w:val="Heading 7 Char1"/>
    <w:basedOn w:val="Fuentedeprrafopredeter"/>
    <w:uiPriority w:val="9"/>
    <w:semiHidden/>
    <w:rsid w:val="007B74B8"/>
    <w:rPr>
      <w:rFonts w:asciiTheme="majorHAnsi" w:eastAsiaTheme="majorEastAsia" w:hAnsiTheme="majorHAnsi" w:cstheme="majorBidi"/>
      <w:i/>
      <w:iCs/>
      <w:color w:val="404040" w:themeColor="text1" w:themeTint="BF"/>
      <w:sz w:val="22"/>
      <w:szCs w:val="22"/>
      <w:lang w:val="es-MX"/>
    </w:rPr>
  </w:style>
  <w:style w:type="character" w:customStyle="1" w:styleId="Heading8Char1">
    <w:name w:val="Heading 8 Char1"/>
    <w:basedOn w:val="Fuentedeprrafopredeter"/>
    <w:uiPriority w:val="9"/>
    <w:semiHidden/>
    <w:rsid w:val="007B74B8"/>
    <w:rPr>
      <w:rFonts w:asciiTheme="majorHAnsi" w:eastAsiaTheme="majorEastAsia" w:hAnsiTheme="majorHAnsi" w:cstheme="majorBidi"/>
      <w:color w:val="404040" w:themeColor="text1" w:themeTint="BF"/>
      <w:lang w:val="es-MX"/>
    </w:rPr>
  </w:style>
  <w:style w:type="character" w:customStyle="1" w:styleId="Heading9Char1">
    <w:name w:val="Heading 9 Char1"/>
    <w:basedOn w:val="Fuentedeprrafopredeter"/>
    <w:uiPriority w:val="9"/>
    <w:semiHidden/>
    <w:rsid w:val="007B74B8"/>
    <w:rPr>
      <w:rFonts w:asciiTheme="majorHAnsi" w:eastAsiaTheme="majorEastAsia" w:hAnsiTheme="majorHAnsi" w:cstheme="majorBidi"/>
      <w:i/>
      <w:iCs/>
      <w:color w:val="404040" w:themeColor="text1" w:themeTint="BF"/>
      <w:lang w:val="es-MX"/>
    </w:rPr>
  </w:style>
  <w:style w:type="character" w:customStyle="1" w:styleId="CommentSubjectChar1">
    <w:name w:val="Comment Subject Char1"/>
    <w:basedOn w:val="CommentTextChar1"/>
    <w:uiPriority w:val="99"/>
    <w:semiHidden/>
    <w:rsid w:val="007B74B8"/>
    <w:rPr>
      <w:rFonts w:ascii="Times New Roman" w:eastAsia="Batang" w:hAnsi="Times New Roman" w:cs="Times New Roman"/>
      <w:b/>
      <w:bCs/>
      <w:sz w:val="20"/>
      <w:szCs w:val="20"/>
      <w:lang w:val="es-MX"/>
    </w:rPr>
  </w:style>
  <w:style w:type="character" w:customStyle="1" w:styleId="FooterChar1">
    <w:name w:val="Footer Char1"/>
    <w:basedOn w:val="Fuentedeprrafopredeter"/>
    <w:uiPriority w:val="99"/>
    <w:semiHidden/>
    <w:rsid w:val="007B74B8"/>
    <w:rPr>
      <w:rFonts w:eastAsia="Batang"/>
      <w:lang w:val="es-MX"/>
    </w:rPr>
  </w:style>
  <w:style w:type="character" w:customStyle="1" w:styleId="EndnoteTextChar1">
    <w:name w:val="Endnote Text Char1"/>
    <w:basedOn w:val="Fuentedeprrafopredeter"/>
    <w:uiPriority w:val="99"/>
    <w:semiHidden/>
    <w:rsid w:val="007B74B8"/>
    <w:rPr>
      <w:rFonts w:eastAsia="Batang"/>
      <w:sz w:val="20"/>
      <w:szCs w:val="20"/>
      <w:lang w:val="es-MX"/>
    </w:rPr>
  </w:style>
  <w:style w:type="character" w:customStyle="1" w:styleId="SubtitleChar1">
    <w:name w:val="Subtitle Char1"/>
    <w:basedOn w:val="Fuentedeprrafopredeter"/>
    <w:uiPriority w:val="11"/>
    <w:rsid w:val="007B74B8"/>
    <w:rPr>
      <w:rFonts w:asciiTheme="majorHAnsi" w:eastAsiaTheme="majorEastAsia" w:hAnsiTheme="majorHAnsi" w:cstheme="majorBidi"/>
      <w:i/>
      <w:iCs/>
      <w:color w:val="4F81BD" w:themeColor="accent1"/>
      <w:spacing w:val="15"/>
      <w:sz w:val="24"/>
      <w:szCs w:val="24"/>
      <w:lang w:val="es-MX"/>
    </w:rPr>
  </w:style>
  <w:style w:type="character" w:customStyle="1" w:styleId="BodyTextChar1">
    <w:name w:val="Body Text Char1"/>
    <w:basedOn w:val="Fuentedeprrafopredeter"/>
    <w:uiPriority w:val="99"/>
    <w:semiHidden/>
    <w:rsid w:val="007B74B8"/>
    <w:rPr>
      <w:rFonts w:eastAsia="Batang"/>
      <w:lang w:val="es-MX"/>
    </w:rPr>
  </w:style>
  <w:style w:type="character" w:customStyle="1" w:styleId="BodyTextIndent3Char1">
    <w:name w:val="Body Text Indent 3 Char1"/>
    <w:basedOn w:val="Fuentedeprrafopredeter"/>
    <w:semiHidden/>
    <w:rsid w:val="007B74B8"/>
    <w:rPr>
      <w:rFonts w:eastAsia="Batang"/>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1613">
      <w:bodyDiv w:val="1"/>
      <w:marLeft w:val="0"/>
      <w:marRight w:val="0"/>
      <w:marTop w:val="0"/>
      <w:marBottom w:val="0"/>
      <w:divBdr>
        <w:top w:val="none" w:sz="0" w:space="0" w:color="auto"/>
        <w:left w:val="none" w:sz="0" w:space="0" w:color="auto"/>
        <w:bottom w:val="none" w:sz="0" w:space="0" w:color="auto"/>
        <w:right w:val="none" w:sz="0" w:space="0" w:color="auto"/>
      </w:divBdr>
    </w:div>
    <w:div w:id="54859877">
      <w:bodyDiv w:val="1"/>
      <w:marLeft w:val="0"/>
      <w:marRight w:val="0"/>
      <w:marTop w:val="0"/>
      <w:marBottom w:val="0"/>
      <w:divBdr>
        <w:top w:val="none" w:sz="0" w:space="0" w:color="auto"/>
        <w:left w:val="none" w:sz="0" w:space="0" w:color="auto"/>
        <w:bottom w:val="none" w:sz="0" w:space="0" w:color="auto"/>
        <w:right w:val="none" w:sz="0" w:space="0" w:color="auto"/>
      </w:divBdr>
    </w:div>
    <w:div w:id="59980975">
      <w:bodyDiv w:val="1"/>
      <w:marLeft w:val="0"/>
      <w:marRight w:val="0"/>
      <w:marTop w:val="0"/>
      <w:marBottom w:val="0"/>
      <w:divBdr>
        <w:top w:val="none" w:sz="0" w:space="0" w:color="auto"/>
        <w:left w:val="none" w:sz="0" w:space="0" w:color="auto"/>
        <w:bottom w:val="none" w:sz="0" w:space="0" w:color="auto"/>
        <w:right w:val="none" w:sz="0" w:space="0" w:color="auto"/>
      </w:divBdr>
    </w:div>
    <w:div w:id="71054178">
      <w:bodyDiv w:val="1"/>
      <w:marLeft w:val="0"/>
      <w:marRight w:val="0"/>
      <w:marTop w:val="0"/>
      <w:marBottom w:val="0"/>
      <w:divBdr>
        <w:top w:val="none" w:sz="0" w:space="0" w:color="auto"/>
        <w:left w:val="none" w:sz="0" w:space="0" w:color="auto"/>
        <w:bottom w:val="none" w:sz="0" w:space="0" w:color="auto"/>
        <w:right w:val="none" w:sz="0" w:space="0" w:color="auto"/>
      </w:divBdr>
    </w:div>
    <w:div w:id="329989529">
      <w:bodyDiv w:val="1"/>
      <w:marLeft w:val="0"/>
      <w:marRight w:val="0"/>
      <w:marTop w:val="0"/>
      <w:marBottom w:val="0"/>
      <w:divBdr>
        <w:top w:val="none" w:sz="0" w:space="0" w:color="auto"/>
        <w:left w:val="none" w:sz="0" w:space="0" w:color="auto"/>
        <w:bottom w:val="none" w:sz="0" w:space="0" w:color="auto"/>
        <w:right w:val="none" w:sz="0" w:space="0" w:color="auto"/>
      </w:divBdr>
    </w:div>
    <w:div w:id="348331928">
      <w:bodyDiv w:val="1"/>
      <w:marLeft w:val="0"/>
      <w:marRight w:val="0"/>
      <w:marTop w:val="0"/>
      <w:marBottom w:val="0"/>
      <w:divBdr>
        <w:top w:val="none" w:sz="0" w:space="0" w:color="auto"/>
        <w:left w:val="none" w:sz="0" w:space="0" w:color="auto"/>
        <w:bottom w:val="none" w:sz="0" w:space="0" w:color="auto"/>
        <w:right w:val="none" w:sz="0" w:space="0" w:color="auto"/>
      </w:divBdr>
    </w:div>
    <w:div w:id="392047320">
      <w:bodyDiv w:val="1"/>
      <w:marLeft w:val="0"/>
      <w:marRight w:val="0"/>
      <w:marTop w:val="0"/>
      <w:marBottom w:val="0"/>
      <w:divBdr>
        <w:top w:val="none" w:sz="0" w:space="0" w:color="auto"/>
        <w:left w:val="none" w:sz="0" w:space="0" w:color="auto"/>
        <w:bottom w:val="none" w:sz="0" w:space="0" w:color="auto"/>
        <w:right w:val="none" w:sz="0" w:space="0" w:color="auto"/>
      </w:divBdr>
    </w:div>
    <w:div w:id="481459649">
      <w:bodyDiv w:val="1"/>
      <w:marLeft w:val="0"/>
      <w:marRight w:val="0"/>
      <w:marTop w:val="0"/>
      <w:marBottom w:val="0"/>
      <w:divBdr>
        <w:top w:val="none" w:sz="0" w:space="0" w:color="auto"/>
        <w:left w:val="none" w:sz="0" w:space="0" w:color="auto"/>
        <w:bottom w:val="none" w:sz="0" w:space="0" w:color="auto"/>
        <w:right w:val="none" w:sz="0" w:space="0" w:color="auto"/>
      </w:divBdr>
    </w:div>
    <w:div w:id="533276630">
      <w:bodyDiv w:val="1"/>
      <w:marLeft w:val="0"/>
      <w:marRight w:val="0"/>
      <w:marTop w:val="0"/>
      <w:marBottom w:val="0"/>
      <w:divBdr>
        <w:top w:val="none" w:sz="0" w:space="0" w:color="auto"/>
        <w:left w:val="none" w:sz="0" w:space="0" w:color="auto"/>
        <w:bottom w:val="none" w:sz="0" w:space="0" w:color="auto"/>
        <w:right w:val="none" w:sz="0" w:space="0" w:color="auto"/>
      </w:divBdr>
    </w:div>
    <w:div w:id="720398249">
      <w:bodyDiv w:val="1"/>
      <w:marLeft w:val="0"/>
      <w:marRight w:val="0"/>
      <w:marTop w:val="0"/>
      <w:marBottom w:val="0"/>
      <w:divBdr>
        <w:top w:val="none" w:sz="0" w:space="0" w:color="auto"/>
        <w:left w:val="none" w:sz="0" w:space="0" w:color="auto"/>
        <w:bottom w:val="none" w:sz="0" w:space="0" w:color="auto"/>
        <w:right w:val="none" w:sz="0" w:space="0" w:color="auto"/>
      </w:divBdr>
    </w:div>
    <w:div w:id="757866255">
      <w:bodyDiv w:val="1"/>
      <w:marLeft w:val="0"/>
      <w:marRight w:val="0"/>
      <w:marTop w:val="0"/>
      <w:marBottom w:val="0"/>
      <w:divBdr>
        <w:top w:val="none" w:sz="0" w:space="0" w:color="auto"/>
        <w:left w:val="none" w:sz="0" w:space="0" w:color="auto"/>
        <w:bottom w:val="none" w:sz="0" w:space="0" w:color="auto"/>
        <w:right w:val="none" w:sz="0" w:space="0" w:color="auto"/>
      </w:divBdr>
    </w:div>
    <w:div w:id="780028280">
      <w:bodyDiv w:val="1"/>
      <w:marLeft w:val="0"/>
      <w:marRight w:val="0"/>
      <w:marTop w:val="0"/>
      <w:marBottom w:val="0"/>
      <w:divBdr>
        <w:top w:val="none" w:sz="0" w:space="0" w:color="auto"/>
        <w:left w:val="none" w:sz="0" w:space="0" w:color="auto"/>
        <w:bottom w:val="none" w:sz="0" w:space="0" w:color="auto"/>
        <w:right w:val="none" w:sz="0" w:space="0" w:color="auto"/>
      </w:divBdr>
    </w:div>
    <w:div w:id="797260138">
      <w:bodyDiv w:val="1"/>
      <w:marLeft w:val="0"/>
      <w:marRight w:val="0"/>
      <w:marTop w:val="0"/>
      <w:marBottom w:val="0"/>
      <w:divBdr>
        <w:top w:val="none" w:sz="0" w:space="0" w:color="auto"/>
        <w:left w:val="none" w:sz="0" w:space="0" w:color="auto"/>
        <w:bottom w:val="none" w:sz="0" w:space="0" w:color="auto"/>
        <w:right w:val="none" w:sz="0" w:space="0" w:color="auto"/>
      </w:divBdr>
    </w:div>
    <w:div w:id="903175621">
      <w:bodyDiv w:val="1"/>
      <w:marLeft w:val="0"/>
      <w:marRight w:val="0"/>
      <w:marTop w:val="0"/>
      <w:marBottom w:val="0"/>
      <w:divBdr>
        <w:top w:val="none" w:sz="0" w:space="0" w:color="auto"/>
        <w:left w:val="none" w:sz="0" w:space="0" w:color="auto"/>
        <w:bottom w:val="none" w:sz="0" w:space="0" w:color="auto"/>
        <w:right w:val="none" w:sz="0" w:space="0" w:color="auto"/>
      </w:divBdr>
    </w:div>
    <w:div w:id="927345337">
      <w:bodyDiv w:val="1"/>
      <w:marLeft w:val="0"/>
      <w:marRight w:val="0"/>
      <w:marTop w:val="0"/>
      <w:marBottom w:val="0"/>
      <w:divBdr>
        <w:top w:val="none" w:sz="0" w:space="0" w:color="auto"/>
        <w:left w:val="none" w:sz="0" w:space="0" w:color="auto"/>
        <w:bottom w:val="none" w:sz="0" w:space="0" w:color="auto"/>
        <w:right w:val="none" w:sz="0" w:space="0" w:color="auto"/>
      </w:divBdr>
      <w:divsChild>
        <w:div w:id="1579514917">
          <w:marLeft w:val="0"/>
          <w:marRight w:val="0"/>
          <w:marTop w:val="0"/>
          <w:marBottom w:val="0"/>
          <w:divBdr>
            <w:top w:val="none" w:sz="0" w:space="0" w:color="auto"/>
            <w:left w:val="none" w:sz="0" w:space="0" w:color="auto"/>
            <w:bottom w:val="none" w:sz="0" w:space="0" w:color="auto"/>
            <w:right w:val="none" w:sz="0" w:space="0" w:color="auto"/>
          </w:divBdr>
          <w:divsChild>
            <w:div w:id="2022392809">
              <w:marLeft w:val="0"/>
              <w:marRight w:val="0"/>
              <w:marTop w:val="0"/>
              <w:marBottom w:val="0"/>
              <w:divBdr>
                <w:top w:val="none" w:sz="0" w:space="0" w:color="auto"/>
                <w:left w:val="none" w:sz="0" w:space="0" w:color="auto"/>
                <w:bottom w:val="none" w:sz="0" w:space="0" w:color="auto"/>
                <w:right w:val="none" w:sz="0" w:space="0" w:color="auto"/>
              </w:divBdr>
              <w:divsChild>
                <w:div w:id="10661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160448">
      <w:bodyDiv w:val="1"/>
      <w:marLeft w:val="0"/>
      <w:marRight w:val="0"/>
      <w:marTop w:val="0"/>
      <w:marBottom w:val="0"/>
      <w:divBdr>
        <w:top w:val="none" w:sz="0" w:space="0" w:color="auto"/>
        <w:left w:val="none" w:sz="0" w:space="0" w:color="auto"/>
        <w:bottom w:val="none" w:sz="0" w:space="0" w:color="auto"/>
        <w:right w:val="none" w:sz="0" w:space="0" w:color="auto"/>
      </w:divBdr>
    </w:div>
    <w:div w:id="1022442801">
      <w:bodyDiv w:val="1"/>
      <w:marLeft w:val="0"/>
      <w:marRight w:val="0"/>
      <w:marTop w:val="0"/>
      <w:marBottom w:val="0"/>
      <w:divBdr>
        <w:top w:val="none" w:sz="0" w:space="0" w:color="auto"/>
        <w:left w:val="none" w:sz="0" w:space="0" w:color="auto"/>
        <w:bottom w:val="none" w:sz="0" w:space="0" w:color="auto"/>
        <w:right w:val="none" w:sz="0" w:space="0" w:color="auto"/>
      </w:divBdr>
    </w:div>
    <w:div w:id="1097561632">
      <w:bodyDiv w:val="1"/>
      <w:marLeft w:val="0"/>
      <w:marRight w:val="0"/>
      <w:marTop w:val="0"/>
      <w:marBottom w:val="0"/>
      <w:divBdr>
        <w:top w:val="none" w:sz="0" w:space="0" w:color="auto"/>
        <w:left w:val="none" w:sz="0" w:space="0" w:color="auto"/>
        <w:bottom w:val="none" w:sz="0" w:space="0" w:color="auto"/>
        <w:right w:val="none" w:sz="0" w:space="0" w:color="auto"/>
      </w:divBdr>
    </w:div>
    <w:div w:id="1152718611">
      <w:bodyDiv w:val="1"/>
      <w:marLeft w:val="0"/>
      <w:marRight w:val="0"/>
      <w:marTop w:val="0"/>
      <w:marBottom w:val="0"/>
      <w:divBdr>
        <w:top w:val="none" w:sz="0" w:space="0" w:color="auto"/>
        <w:left w:val="none" w:sz="0" w:space="0" w:color="auto"/>
        <w:bottom w:val="none" w:sz="0" w:space="0" w:color="auto"/>
        <w:right w:val="none" w:sz="0" w:space="0" w:color="auto"/>
      </w:divBdr>
    </w:div>
    <w:div w:id="1251231783">
      <w:bodyDiv w:val="1"/>
      <w:marLeft w:val="0"/>
      <w:marRight w:val="0"/>
      <w:marTop w:val="0"/>
      <w:marBottom w:val="0"/>
      <w:divBdr>
        <w:top w:val="none" w:sz="0" w:space="0" w:color="auto"/>
        <w:left w:val="none" w:sz="0" w:space="0" w:color="auto"/>
        <w:bottom w:val="none" w:sz="0" w:space="0" w:color="auto"/>
        <w:right w:val="none" w:sz="0" w:space="0" w:color="auto"/>
      </w:divBdr>
    </w:div>
    <w:div w:id="1293747543">
      <w:bodyDiv w:val="1"/>
      <w:marLeft w:val="0"/>
      <w:marRight w:val="0"/>
      <w:marTop w:val="0"/>
      <w:marBottom w:val="0"/>
      <w:divBdr>
        <w:top w:val="none" w:sz="0" w:space="0" w:color="auto"/>
        <w:left w:val="none" w:sz="0" w:space="0" w:color="auto"/>
        <w:bottom w:val="none" w:sz="0" w:space="0" w:color="auto"/>
        <w:right w:val="none" w:sz="0" w:space="0" w:color="auto"/>
      </w:divBdr>
    </w:div>
    <w:div w:id="1320234791">
      <w:bodyDiv w:val="1"/>
      <w:marLeft w:val="0"/>
      <w:marRight w:val="0"/>
      <w:marTop w:val="0"/>
      <w:marBottom w:val="0"/>
      <w:divBdr>
        <w:top w:val="none" w:sz="0" w:space="0" w:color="auto"/>
        <w:left w:val="none" w:sz="0" w:space="0" w:color="auto"/>
        <w:bottom w:val="none" w:sz="0" w:space="0" w:color="auto"/>
        <w:right w:val="none" w:sz="0" w:space="0" w:color="auto"/>
      </w:divBdr>
    </w:div>
    <w:div w:id="1423136902">
      <w:bodyDiv w:val="1"/>
      <w:marLeft w:val="0"/>
      <w:marRight w:val="0"/>
      <w:marTop w:val="0"/>
      <w:marBottom w:val="0"/>
      <w:divBdr>
        <w:top w:val="none" w:sz="0" w:space="0" w:color="auto"/>
        <w:left w:val="none" w:sz="0" w:space="0" w:color="auto"/>
        <w:bottom w:val="none" w:sz="0" w:space="0" w:color="auto"/>
        <w:right w:val="none" w:sz="0" w:space="0" w:color="auto"/>
      </w:divBdr>
    </w:div>
    <w:div w:id="1940986051">
      <w:bodyDiv w:val="1"/>
      <w:marLeft w:val="0"/>
      <w:marRight w:val="0"/>
      <w:marTop w:val="0"/>
      <w:marBottom w:val="0"/>
      <w:divBdr>
        <w:top w:val="none" w:sz="0" w:space="0" w:color="auto"/>
        <w:left w:val="none" w:sz="0" w:space="0" w:color="auto"/>
        <w:bottom w:val="none" w:sz="0" w:space="0" w:color="auto"/>
        <w:right w:val="none" w:sz="0" w:space="0" w:color="auto"/>
      </w:divBdr>
    </w:div>
    <w:div w:id="209127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T:\Tramitacion\01_Pendientes_Sentencia\Ancejub_Sunat_Vs_Per&#250;\9_Notificacion\Proyecto.Sentencia.21.11.ANCEJUB.Validacio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T:\Tramitacion\01_Pendientes_Sentencia\Ancejub_Sunat_Vs_Per&#250;\9_Notificacion\Proyecto.Sentencia.21.11.ANCEJUB.Validacion.docx"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lo.org/wcmsp5/groups/public/---dgreports/---dcomm/documents/publication/wcms_067592.pdf" TargetMode="External"/><Relationship Id="rId1" Type="http://schemas.openxmlformats.org/officeDocument/2006/relationships/hyperlink" Target="http://www.corteidh.or.cr/docs/asuntos/ancejub-sunat_21_03_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56079-6B69-4AB3-87FF-DFB4CE62FE03}">
  <ds:schemaRefs>
    <ds:schemaRef ds:uri="http://schemas.microsoft.com/office/2006/metadata/properties"/>
  </ds:schemaRefs>
</ds:datastoreItem>
</file>

<file path=customXml/itemProps2.xml><?xml version="1.0" encoding="utf-8"?>
<ds:datastoreItem xmlns:ds="http://schemas.openxmlformats.org/officeDocument/2006/customXml" ds:itemID="{83F0BB85-7482-48C8-BADC-80C002D9A8B1}">
  <ds:schemaRefs>
    <ds:schemaRef ds:uri="http://schemas.microsoft.com/sharepoint/v3/contenttype/forms"/>
  </ds:schemaRefs>
</ds:datastoreItem>
</file>

<file path=customXml/itemProps3.xml><?xml version="1.0" encoding="utf-8"?>
<ds:datastoreItem xmlns:ds="http://schemas.openxmlformats.org/officeDocument/2006/customXml" ds:itemID="{68BE8408-19C7-40FC-8770-CA62BBD0B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11661A5-2DD9-468A-A26E-A4851975A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42671</Words>
  <Characters>243226</Characters>
  <Application>Microsoft Office Word</Application>
  <DocSecurity>0</DocSecurity>
  <Lines>2026</Lines>
  <Paragraphs>570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Corte IDH</vt:lpstr>
      <vt:lpstr/>
    </vt:vector>
  </TitlesOfParts>
  <Company/>
  <LinksUpToDate>false</LinksUpToDate>
  <CharactersWithSpaces>285327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IDH</dc:title>
  <dc:creator>cla</dc:creator>
  <cp:lastModifiedBy>Liliana Tojo</cp:lastModifiedBy>
  <cp:revision>2</cp:revision>
  <cp:lastPrinted>2019-12-19T23:33:00Z</cp:lastPrinted>
  <dcterms:created xsi:type="dcterms:W3CDTF">2020-01-08T16:49:00Z</dcterms:created>
  <dcterms:modified xsi:type="dcterms:W3CDTF">2020-01-08T16:49:00Z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