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6494AA" w14:textId="77777777" w:rsidR="00DA5CA2" w:rsidRPr="000F1E4F" w:rsidRDefault="00DA5CA2" w:rsidP="00ED0B5F">
      <w:pPr>
        <w:jc w:val="center"/>
        <w:rPr>
          <w:rFonts w:ascii="Verdana" w:hAnsi="Verdana"/>
          <w:b/>
          <w:sz w:val="20"/>
          <w:lang w:val="es-MX"/>
        </w:rPr>
      </w:pPr>
      <w:r w:rsidRPr="000F1E4F">
        <w:rPr>
          <w:rFonts w:ascii="Verdana" w:hAnsi="Verdana"/>
          <w:b/>
          <w:sz w:val="20"/>
          <w:lang w:val="es-MX"/>
        </w:rPr>
        <w:t>RESOLUCIÓN DE LA</w:t>
      </w:r>
    </w:p>
    <w:p w14:paraId="2EA8429B" w14:textId="77777777" w:rsidR="00DA5CA2" w:rsidRDefault="00DA5CA2" w:rsidP="00ED0B5F">
      <w:pPr>
        <w:jc w:val="center"/>
        <w:rPr>
          <w:rFonts w:eastAsia="Calibri"/>
          <w:lang w:eastAsia="es-CR"/>
        </w:rPr>
      </w:pPr>
      <w:r w:rsidRPr="00B71CCB">
        <w:rPr>
          <w:rFonts w:ascii="Verdana" w:hAnsi="Verdana"/>
          <w:b/>
          <w:sz w:val="20"/>
          <w:lang w:val="es-MX"/>
        </w:rPr>
        <w:t xml:space="preserve">CORTE </w:t>
      </w:r>
      <w:r w:rsidRPr="0017363E">
        <w:rPr>
          <w:rFonts w:ascii="Verdana" w:hAnsi="Verdana"/>
          <w:b/>
          <w:sz w:val="20"/>
          <w:lang w:val="es-MX"/>
        </w:rPr>
        <w:t>INTERAMERICANA</w:t>
      </w:r>
      <w:r w:rsidRPr="00B71CCB">
        <w:rPr>
          <w:rFonts w:ascii="Verdana" w:hAnsi="Verdana"/>
          <w:b/>
          <w:sz w:val="20"/>
          <w:lang w:val="es-MX"/>
        </w:rPr>
        <w:t xml:space="preserve"> DE DERECHOS HUMANOS</w:t>
      </w:r>
      <w:r w:rsidRPr="00826239">
        <w:rPr>
          <w:rStyle w:val="Refdenotaalpie"/>
          <w:rFonts w:ascii="Verdana" w:hAnsi="Verdana"/>
          <w:b/>
          <w:smallCaps/>
          <w:sz w:val="20"/>
          <w:lang w:val="es-CO"/>
        </w:rPr>
        <w:footnoteReference w:customMarkFollows="1" w:id="1"/>
        <w:sym w:font="Symbol" w:char="F02A"/>
      </w:r>
      <w:r>
        <w:rPr>
          <w:rFonts w:eastAsia="Calibri"/>
          <w:lang w:eastAsia="es-CR"/>
        </w:rPr>
        <w:t xml:space="preserve"> </w:t>
      </w:r>
    </w:p>
    <w:p w14:paraId="08101019" w14:textId="77777777" w:rsidR="00DA5CA2" w:rsidRDefault="00DA5CA2" w:rsidP="00ED0B5F">
      <w:pPr>
        <w:jc w:val="center"/>
        <w:rPr>
          <w:rFonts w:eastAsia="Calibri"/>
          <w:lang w:eastAsia="es-CR"/>
        </w:rPr>
      </w:pPr>
    </w:p>
    <w:p w14:paraId="6B46561D" w14:textId="60330487" w:rsidR="00DA5CA2" w:rsidRDefault="00DA5CA2" w:rsidP="00ED0B5F">
      <w:pPr>
        <w:spacing w:before="60"/>
        <w:jc w:val="center"/>
        <w:rPr>
          <w:rFonts w:ascii="Verdana" w:hAnsi="Verdana"/>
          <w:b/>
          <w:smallCaps/>
          <w:sz w:val="20"/>
        </w:rPr>
      </w:pPr>
      <w:r>
        <w:rPr>
          <w:rFonts w:ascii="Verdana" w:hAnsi="Verdana"/>
          <w:b/>
          <w:smallCaps/>
          <w:sz w:val="20"/>
        </w:rPr>
        <w:t xml:space="preserve">DE </w:t>
      </w:r>
      <w:r w:rsidR="00121B80">
        <w:rPr>
          <w:rFonts w:ascii="Verdana" w:hAnsi="Verdana"/>
          <w:b/>
          <w:smallCaps/>
          <w:sz w:val="20"/>
        </w:rPr>
        <w:t xml:space="preserve">12 </w:t>
      </w:r>
      <w:r w:rsidRPr="00AB04CC">
        <w:rPr>
          <w:rFonts w:ascii="Verdana" w:hAnsi="Verdana"/>
          <w:b/>
          <w:smallCaps/>
          <w:sz w:val="20"/>
        </w:rPr>
        <w:t xml:space="preserve">DE </w:t>
      </w:r>
      <w:r w:rsidR="000B5F53">
        <w:rPr>
          <w:rFonts w:ascii="Verdana" w:hAnsi="Verdana"/>
          <w:b/>
          <w:smallCaps/>
          <w:sz w:val="20"/>
        </w:rPr>
        <w:t>MARZO</w:t>
      </w:r>
      <w:r w:rsidR="0084796A">
        <w:rPr>
          <w:rFonts w:ascii="Verdana" w:hAnsi="Verdana"/>
          <w:b/>
          <w:smallCaps/>
          <w:sz w:val="20"/>
        </w:rPr>
        <w:t xml:space="preserve"> </w:t>
      </w:r>
      <w:r w:rsidR="000B5F53">
        <w:rPr>
          <w:rFonts w:ascii="Verdana" w:hAnsi="Verdana"/>
          <w:b/>
          <w:smallCaps/>
          <w:sz w:val="20"/>
        </w:rPr>
        <w:t>DE 2020</w:t>
      </w:r>
    </w:p>
    <w:p w14:paraId="046277DF" w14:textId="77777777" w:rsidR="00ED0B5F" w:rsidRDefault="00ED0B5F" w:rsidP="00ED0B5F">
      <w:pPr>
        <w:spacing w:before="60"/>
        <w:jc w:val="center"/>
        <w:rPr>
          <w:rFonts w:ascii="Verdana" w:hAnsi="Verdana"/>
          <w:b/>
          <w:i/>
          <w:sz w:val="20"/>
          <w:szCs w:val="20"/>
        </w:rPr>
      </w:pPr>
    </w:p>
    <w:p w14:paraId="509D57B0" w14:textId="77777777" w:rsidR="00D21802" w:rsidRPr="006D3AC4" w:rsidRDefault="00D21802" w:rsidP="00ED0B5F">
      <w:pPr>
        <w:spacing w:before="60"/>
        <w:jc w:val="center"/>
        <w:rPr>
          <w:rFonts w:ascii="Verdana" w:hAnsi="Verdana"/>
          <w:b/>
          <w:i/>
          <w:sz w:val="20"/>
          <w:szCs w:val="20"/>
        </w:rPr>
      </w:pPr>
      <w:r w:rsidRPr="006D3AC4">
        <w:rPr>
          <w:rFonts w:ascii="Verdana" w:hAnsi="Verdana"/>
          <w:b/>
          <w:i/>
          <w:sz w:val="20"/>
          <w:szCs w:val="20"/>
        </w:rPr>
        <w:t>CASO DUQUE VS. COLOMBIA</w:t>
      </w:r>
    </w:p>
    <w:p w14:paraId="3F39E530" w14:textId="77777777" w:rsidR="00DA5CA2" w:rsidRPr="00F10321" w:rsidRDefault="00DA5CA2" w:rsidP="00ED0B5F">
      <w:pPr>
        <w:jc w:val="center"/>
        <w:rPr>
          <w:rFonts w:ascii="Verdana" w:hAnsi="Verdana"/>
          <w:b/>
          <w:smallCaps/>
          <w:sz w:val="20"/>
        </w:rPr>
      </w:pPr>
    </w:p>
    <w:p w14:paraId="2B1A2BA5" w14:textId="77777777" w:rsidR="009F2E69" w:rsidRPr="00D21802" w:rsidRDefault="009F2E69" w:rsidP="00ED0B5F">
      <w:pPr>
        <w:jc w:val="center"/>
        <w:rPr>
          <w:rFonts w:ascii="Verdana" w:hAnsi="Verdana"/>
          <w:b/>
          <w:sz w:val="20"/>
          <w:lang w:val="es-MX"/>
        </w:rPr>
      </w:pPr>
      <w:r w:rsidRPr="00D21802">
        <w:rPr>
          <w:rFonts w:ascii="Verdana" w:hAnsi="Verdana"/>
          <w:b/>
          <w:sz w:val="20"/>
          <w:lang w:val="es-MX"/>
        </w:rPr>
        <w:t>SUPERVISIÓ</w:t>
      </w:r>
      <w:r w:rsidR="000B5F53">
        <w:rPr>
          <w:rFonts w:ascii="Verdana" w:hAnsi="Verdana"/>
          <w:b/>
          <w:sz w:val="20"/>
          <w:lang w:val="es-MX"/>
        </w:rPr>
        <w:t xml:space="preserve">N DE CUMPLIMIENTO DE SENTENCIA </w:t>
      </w:r>
    </w:p>
    <w:p w14:paraId="26091E2D" w14:textId="77777777" w:rsidR="00C44D3E" w:rsidRPr="00066893" w:rsidRDefault="00C44D3E" w:rsidP="007C0E2D">
      <w:pPr>
        <w:jc w:val="both"/>
        <w:rPr>
          <w:rFonts w:ascii="Verdana" w:hAnsi="Verdana"/>
          <w:sz w:val="20"/>
          <w:szCs w:val="20"/>
        </w:rPr>
      </w:pPr>
    </w:p>
    <w:p w14:paraId="46D777E5" w14:textId="77777777" w:rsidR="007C0E2D" w:rsidRPr="00162C69" w:rsidRDefault="007C0E2D" w:rsidP="007C0E2D">
      <w:pPr>
        <w:spacing w:after="200"/>
        <w:rPr>
          <w:rFonts w:ascii="Verdana" w:hAnsi="Verdana"/>
          <w:b/>
          <w:sz w:val="20"/>
        </w:rPr>
      </w:pPr>
      <w:r>
        <w:rPr>
          <w:rFonts w:ascii="Verdana" w:hAnsi="Verdana"/>
          <w:b/>
          <w:sz w:val="20"/>
        </w:rPr>
        <w:t>VISTO:</w:t>
      </w:r>
    </w:p>
    <w:p w14:paraId="531F53F9" w14:textId="5079F784" w:rsidR="00DA5BE4" w:rsidRPr="004C037D" w:rsidRDefault="007C0E2D" w:rsidP="00ED0B5F">
      <w:pPr>
        <w:numPr>
          <w:ilvl w:val="0"/>
          <w:numId w:val="4"/>
        </w:numPr>
        <w:spacing w:before="120" w:after="120"/>
        <w:ind w:left="0" w:firstLine="0"/>
        <w:jc w:val="both"/>
        <w:rPr>
          <w:rFonts w:ascii="Verdana" w:hAnsi="Verdana"/>
          <w:sz w:val="20"/>
          <w:szCs w:val="20"/>
        </w:rPr>
      </w:pPr>
      <w:bookmarkStart w:id="0" w:name="_Ref536711835"/>
      <w:bookmarkStart w:id="1" w:name="_Ref26177734"/>
      <w:r w:rsidRPr="004510E4">
        <w:rPr>
          <w:rFonts w:ascii="Verdana" w:eastAsia="Calibri" w:hAnsi="Verdana"/>
          <w:sz w:val="20"/>
          <w:szCs w:val="20"/>
          <w:lang w:eastAsia="en-US"/>
        </w:rPr>
        <w:t xml:space="preserve">La Sentencia de excepciones preliminares, fondo, reparaciones y costas </w:t>
      </w:r>
      <w:r w:rsidR="00BB0A49" w:rsidRPr="004510E4">
        <w:rPr>
          <w:rFonts w:ascii="Verdana" w:eastAsia="Calibri" w:hAnsi="Verdana"/>
          <w:sz w:val="20"/>
          <w:szCs w:val="20"/>
          <w:lang w:eastAsia="en-US"/>
        </w:rPr>
        <w:t>(en adelante “la Sentencia”</w:t>
      </w:r>
      <w:r w:rsidR="0027195E">
        <w:rPr>
          <w:rFonts w:ascii="Verdana" w:eastAsia="Calibri" w:hAnsi="Verdana"/>
          <w:sz w:val="20"/>
          <w:szCs w:val="20"/>
          <w:lang w:eastAsia="en-US"/>
        </w:rPr>
        <w:t xml:space="preserve"> o “el Fallo”</w:t>
      </w:r>
      <w:r w:rsidR="00BB0A49" w:rsidRPr="004510E4">
        <w:rPr>
          <w:rFonts w:ascii="Verdana" w:eastAsia="Calibri" w:hAnsi="Verdana"/>
          <w:sz w:val="20"/>
          <w:szCs w:val="20"/>
          <w:lang w:eastAsia="en-US"/>
        </w:rPr>
        <w:t xml:space="preserve">) </w:t>
      </w:r>
      <w:r w:rsidRPr="004510E4">
        <w:rPr>
          <w:rFonts w:ascii="Verdana" w:eastAsia="Calibri" w:hAnsi="Verdana"/>
          <w:sz w:val="20"/>
          <w:szCs w:val="20"/>
          <w:lang w:eastAsia="en-US"/>
        </w:rPr>
        <w:t>dictada por la Corte Interamericana de Derechos Humanos (en adelante “la Corte”, “la Corte Interamericana” o “el Tribunal”) el 26 de febrero de 2016</w:t>
      </w:r>
      <w:bookmarkStart w:id="2" w:name="_Ref26181301"/>
      <w:r w:rsidR="00BB0A49">
        <w:rPr>
          <w:rStyle w:val="Refdenotaalpie"/>
          <w:rFonts w:ascii="Verdana" w:eastAsia="Calibri" w:hAnsi="Verdana"/>
          <w:sz w:val="20"/>
          <w:szCs w:val="20"/>
          <w:lang w:eastAsia="en-US"/>
        </w:rPr>
        <w:footnoteReference w:id="2"/>
      </w:r>
      <w:bookmarkEnd w:id="2"/>
      <w:r w:rsidR="00BB0A49" w:rsidRPr="004510E4">
        <w:rPr>
          <w:rFonts w:ascii="Verdana" w:eastAsia="Calibri" w:hAnsi="Verdana"/>
          <w:sz w:val="20"/>
          <w:szCs w:val="20"/>
          <w:lang w:eastAsia="en-US"/>
        </w:rPr>
        <w:t>.</w:t>
      </w:r>
      <w:r w:rsidRPr="004510E4">
        <w:rPr>
          <w:rFonts w:ascii="Verdana" w:eastAsia="Calibri" w:hAnsi="Verdana"/>
          <w:sz w:val="20"/>
          <w:szCs w:val="20"/>
          <w:lang w:eastAsia="en-US"/>
        </w:rPr>
        <w:t xml:space="preserve"> La Corte declaró </w:t>
      </w:r>
      <w:bookmarkEnd w:id="0"/>
      <w:r w:rsidR="00C32540" w:rsidRPr="004510E4">
        <w:rPr>
          <w:rFonts w:ascii="Verdana" w:eastAsia="Calibri" w:hAnsi="Verdana"/>
          <w:sz w:val="20"/>
          <w:szCs w:val="20"/>
          <w:lang w:eastAsia="en-US"/>
        </w:rPr>
        <w:t>que la República de</w:t>
      </w:r>
      <w:r w:rsidR="00C97C73" w:rsidRPr="004510E4">
        <w:rPr>
          <w:rFonts w:ascii="Verdana" w:eastAsia="Calibri" w:hAnsi="Verdana"/>
          <w:sz w:val="20"/>
          <w:szCs w:val="20"/>
          <w:lang w:eastAsia="en-US"/>
        </w:rPr>
        <w:t xml:space="preserve"> Colombia </w:t>
      </w:r>
      <w:r w:rsidRPr="004510E4">
        <w:rPr>
          <w:rFonts w:ascii="Verdana" w:eastAsia="Calibri" w:hAnsi="Verdana"/>
          <w:sz w:val="20"/>
          <w:szCs w:val="20"/>
          <w:lang w:eastAsia="en-US"/>
        </w:rPr>
        <w:t>(en adelante “el Estado” o “</w:t>
      </w:r>
      <w:r w:rsidR="00C97C73" w:rsidRPr="004510E4">
        <w:rPr>
          <w:rFonts w:ascii="Verdana" w:eastAsia="Calibri" w:hAnsi="Verdana"/>
          <w:sz w:val="20"/>
          <w:szCs w:val="20"/>
          <w:lang w:eastAsia="en-US"/>
        </w:rPr>
        <w:t>Colombia</w:t>
      </w:r>
      <w:r w:rsidRPr="004510E4">
        <w:rPr>
          <w:rFonts w:ascii="Verdana" w:eastAsia="Calibri" w:hAnsi="Verdana"/>
          <w:sz w:val="20"/>
          <w:szCs w:val="20"/>
          <w:lang w:eastAsia="en-US"/>
        </w:rPr>
        <w:t xml:space="preserve">”) </w:t>
      </w:r>
      <w:r w:rsidR="004510E4" w:rsidRPr="00DF5EE9">
        <w:rPr>
          <w:rFonts w:ascii="Verdana" w:hAnsi="Verdana"/>
          <w:sz w:val="20"/>
          <w:szCs w:val="20"/>
        </w:rPr>
        <w:t>era internacionalmente responsable de haber violado el derecho a la igualdad ante la ley y a la no discriminación en perjuicio de Ángel Alberto Duque, por no haberle permitido acceder en condiciones de igualdad a la pensión de sobrevivencia</w:t>
      </w:r>
      <w:r w:rsidR="00121B80">
        <w:rPr>
          <w:rFonts w:ascii="Verdana" w:hAnsi="Verdana"/>
          <w:sz w:val="20"/>
          <w:szCs w:val="20"/>
        </w:rPr>
        <w:t xml:space="preserve"> establecida en la normatividad interna colombiana</w:t>
      </w:r>
      <w:r w:rsidR="004510E4" w:rsidRPr="00DF5EE9">
        <w:rPr>
          <w:rFonts w:ascii="Verdana" w:hAnsi="Verdana"/>
          <w:sz w:val="20"/>
          <w:szCs w:val="20"/>
        </w:rPr>
        <w:t xml:space="preserve">, luego de la defunción de su pareja, con base en el hecho de que se trataba de una pareja </w:t>
      </w:r>
      <w:r w:rsidR="004510E4" w:rsidRPr="004C037D">
        <w:rPr>
          <w:rFonts w:ascii="Verdana" w:hAnsi="Verdana"/>
          <w:sz w:val="20"/>
          <w:szCs w:val="20"/>
        </w:rPr>
        <w:t xml:space="preserve">del mismo sexo. La </w:t>
      </w:r>
      <w:r w:rsidR="0027195E" w:rsidRPr="004C037D">
        <w:rPr>
          <w:rFonts w:ascii="Verdana" w:hAnsi="Verdana"/>
          <w:sz w:val="20"/>
          <w:szCs w:val="20"/>
        </w:rPr>
        <w:t xml:space="preserve">normativa </w:t>
      </w:r>
      <w:r w:rsidR="004510E4" w:rsidRPr="004C037D">
        <w:rPr>
          <w:rFonts w:ascii="Verdana" w:hAnsi="Verdana"/>
          <w:sz w:val="20"/>
          <w:szCs w:val="20"/>
        </w:rPr>
        <w:t>vigente en el 2002 no permitía el pago de pensiones de sobrevivencia a parejas del mismo sexo.</w:t>
      </w:r>
      <w:r w:rsidR="00850D62" w:rsidRPr="004C037D">
        <w:rPr>
          <w:rFonts w:ascii="Verdana" w:hAnsi="Verdana"/>
          <w:sz w:val="20"/>
          <w:szCs w:val="20"/>
        </w:rPr>
        <w:t xml:space="preserve"> La Corte estableció que su</w:t>
      </w:r>
      <w:r w:rsidR="004510E4" w:rsidRPr="004C037D">
        <w:rPr>
          <w:rFonts w:ascii="Verdana" w:eastAsia="Calibri" w:hAnsi="Verdana"/>
          <w:sz w:val="20"/>
          <w:szCs w:val="20"/>
          <w:lang w:eastAsia="en-US"/>
        </w:rPr>
        <w:t xml:space="preserve"> </w:t>
      </w:r>
      <w:r w:rsidR="00DA5BE4" w:rsidRPr="004C037D">
        <w:rPr>
          <w:rFonts w:ascii="Verdana" w:eastAsia="Calibri" w:hAnsi="Verdana"/>
          <w:sz w:val="20"/>
          <w:szCs w:val="20"/>
          <w:lang w:eastAsia="en-US"/>
        </w:rPr>
        <w:t xml:space="preserve">Sentencia </w:t>
      </w:r>
      <w:r w:rsidR="00850D62" w:rsidRPr="004C037D">
        <w:rPr>
          <w:rFonts w:ascii="Verdana" w:eastAsia="Calibri" w:hAnsi="Verdana"/>
          <w:sz w:val="20"/>
          <w:szCs w:val="20"/>
          <w:lang w:eastAsia="en-US"/>
        </w:rPr>
        <w:t xml:space="preserve">constituía por sí misma una forma de reparación y </w:t>
      </w:r>
      <w:r w:rsidR="00DA5BE4" w:rsidRPr="004C037D">
        <w:rPr>
          <w:rFonts w:ascii="Verdana" w:eastAsia="Calibri" w:hAnsi="Verdana"/>
          <w:sz w:val="20"/>
          <w:szCs w:val="20"/>
          <w:lang w:eastAsia="en-US"/>
        </w:rPr>
        <w:t xml:space="preserve">ordenó al Estado </w:t>
      </w:r>
      <w:r w:rsidR="00850D62" w:rsidRPr="004C037D">
        <w:rPr>
          <w:rFonts w:ascii="Verdana" w:eastAsia="Calibri" w:hAnsi="Verdana"/>
          <w:sz w:val="20"/>
          <w:szCs w:val="20"/>
          <w:lang w:eastAsia="en-US"/>
        </w:rPr>
        <w:t>la adopción de</w:t>
      </w:r>
      <w:r w:rsidR="00DA5BE4" w:rsidRPr="004C037D">
        <w:rPr>
          <w:rFonts w:ascii="Verdana" w:eastAsia="Calibri" w:hAnsi="Verdana"/>
          <w:sz w:val="20"/>
          <w:szCs w:val="20"/>
          <w:lang w:eastAsia="en-US"/>
        </w:rPr>
        <w:t xml:space="preserve"> medidas </w:t>
      </w:r>
      <w:r w:rsidR="00850D62" w:rsidRPr="004C037D">
        <w:rPr>
          <w:rFonts w:ascii="Verdana" w:eastAsia="Calibri" w:hAnsi="Verdana"/>
          <w:sz w:val="20"/>
          <w:szCs w:val="20"/>
          <w:lang w:eastAsia="en-US"/>
        </w:rPr>
        <w:t xml:space="preserve">adicionales </w:t>
      </w:r>
      <w:r w:rsidR="00DA5BE4" w:rsidRPr="004C037D">
        <w:rPr>
          <w:rFonts w:ascii="Verdana" w:eastAsia="Calibri" w:hAnsi="Verdana"/>
          <w:sz w:val="20"/>
          <w:szCs w:val="20"/>
          <w:lang w:eastAsia="en-US"/>
        </w:rPr>
        <w:t xml:space="preserve">de reparación, así como el </w:t>
      </w:r>
      <w:r w:rsidR="00DA5BE4" w:rsidRPr="004C037D">
        <w:rPr>
          <w:rFonts w:ascii="Verdana" w:hAnsi="Verdana"/>
          <w:sz w:val="20"/>
          <w:szCs w:val="20"/>
        </w:rPr>
        <w:t xml:space="preserve">reintegro al Fondo de Asistencia Legal de Víctimas de la Corte </w:t>
      </w:r>
      <w:r w:rsidR="004510E4" w:rsidRPr="004C037D">
        <w:rPr>
          <w:rFonts w:ascii="Verdana" w:hAnsi="Verdana"/>
          <w:sz w:val="20"/>
          <w:szCs w:val="20"/>
        </w:rPr>
        <w:t xml:space="preserve">Interamericana </w:t>
      </w:r>
      <w:r w:rsidR="00DA5BE4" w:rsidRPr="004C037D">
        <w:rPr>
          <w:rFonts w:ascii="Verdana" w:hAnsi="Verdana"/>
          <w:sz w:val="20"/>
          <w:szCs w:val="20"/>
        </w:rPr>
        <w:t>(en adelante el “Fondo de Asistencia”)</w:t>
      </w:r>
      <w:r w:rsidR="004510E4" w:rsidRPr="004C037D">
        <w:rPr>
          <w:rFonts w:ascii="Verdana" w:hAnsi="Verdana"/>
          <w:sz w:val="20"/>
          <w:szCs w:val="20"/>
        </w:rPr>
        <w:t xml:space="preserve"> (</w:t>
      </w:r>
      <w:r w:rsidR="004510E4" w:rsidRPr="004C037D">
        <w:rPr>
          <w:rFonts w:ascii="Verdana" w:hAnsi="Verdana"/>
          <w:i/>
          <w:sz w:val="20"/>
          <w:szCs w:val="20"/>
        </w:rPr>
        <w:t>infra</w:t>
      </w:r>
      <w:r w:rsidR="004510E4" w:rsidRPr="004C037D">
        <w:rPr>
          <w:rFonts w:ascii="Verdana" w:hAnsi="Verdana"/>
          <w:sz w:val="20"/>
          <w:szCs w:val="20"/>
        </w:rPr>
        <w:t xml:space="preserve"> Considerando </w:t>
      </w:r>
      <w:r w:rsidR="00DF4F7F" w:rsidRPr="004C037D">
        <w:rPr>
          <w:rFonts w:ascii="Verdana" w:hAnsi="Verdana"/>
          <w:sz w:val="20"/>
          <w:szCs w:val="20"/>
        </w:rPr>
        <w:t>1</w:t>
      </w:r>
      <w:r w:rsidR="004510E4" w:rsidRPr="004C037D">
        <w:rPr>
          <w:rFonts w:ascii="Verdana" w:hAnsi="Verdana"/>
          <w:sz w:val="20"/>
          <w:szCs w:val="20"/>
        </w:rPr>
        <w:t>)</w:t>
      </w:r>
      <w:r w:rsidR="00DA5BE4" w:rsidRPr="004C037D">
        <w:rPr>
          <w:rFonts w:ascii="Verdana" w:hAnsi="Verdana"/>
          <w:sz w:val="20"/>
          <w:szCs w:val="20"/>
        </w:rPr>
        <w:t>.</w:t>
      </w:r>
      <w:bookmarkEnd w:id="1"/>
    </w:p>
    <w:p w14:paraId="73E551BE" w14:textId="77777777" w:rsidR="00156213" w:rsidRPr="004C037D" w:rsidRDefault="00156213" w:rsidP="00ED0B5F">
      <w:pPr>
        <w:numPr>
          <w:ilvl w:val="0"/>
          <w:numId w:val="4"/>
        </w:numPr>
        <w:spacing w:before="120" w:after="120"/>
        <w:ind w:left="0" w:firstLine="0"/>
        <w:jc w:val="both"/>
        <w:rPr>
          <w:rFonts w:ascii="Verdana" w:eastAsia="Calibri" w:hAnsi="Verdana"/>
          <w:sz w:val="20"/>
          <w:szCs w:val="20"/>
          <w:lang w:eastAsia="en-US"/>
        </w:rPr>
      </w:pPr>
      <w:r w:rsidRPr="004C037D">
        <w:rPr>
          <w:rFonts w:ascii="Verdana" w:eastAsia="Calibri" w:hAnsi="Verdana"/>
          <w:sz w:val="20"/>
          <w:szCs w:val="20"/>
          <w:lang w:eastAsia="en-US"/>
        </w:rPr>
        <w:t>La Sentencia de interpretación emitida por la Corte el 21 de noviembre de 2016</w:t>
      </w:r>
      <w:r w:rsidRPr="004C037D">
        <w:rPr>
          <w:rFonts w:ascii="Verdana" w:eastAsia="Calibri" w:hAnsi="Verdana"/>
          <w:sz w:val="20"/>
          <w:szCs w:val="20"/>
          <w:vertAlign w:val="superscript"/>
          <w:lang w:eastAsia="en-US"/>
        </w:rPr>
        <w:footnoteReference w:id="3"/>
      </w:r>
      <w:r w:rsidRPr="004C037D">
        <w:rPr>
          <w:rFonts w:ascii="Verdana" w:eastAsia="Calibri" w:hAnsi="Verdana"/>
          <w:sz w:val="20"/>
          <w:szCs w:val="20"/>
          <w:lang w:eastAsia="en-US"/>
        </w:rPr>
        <w:t>.</w:t>
      </w:r>
    </w:p>
    <w:p w14:paraId="6FCB6198" w14:textId="392412DE" w:rsidR="00121B80" w:rsidRDefault="00054F88" w:rsidP="00CD71A9">
      <w:pPr>
        <w:numPr>
          <w:ilvl w:val="0"/>
          <w:numId w:val="4"/>
        </w:numPr>
        <w:spacing w:before="120" w:after="120"/>
        <w:ind w:left="0" w:firstLine="0"/>
        <w:jc w:val="both"/>
        <w:rPr>
          <w:rFonts w:ascii="Verdana" w:eastAsia="Calibri" w:hAnsi="Verdana"/>
          <w:sz w:val="20"/>
          <w:szCs w:val="20"/>
          <w:lang w:eastAsia="en-US"/>
        </w:rPr>
      </w:pPr>
      <w:r w:rsidRPr="004C037D">
        <w:rPr>
          <w:rFonts w:ascii="Verdana" w:eastAsia="Calibri" w:hAnsi="Verdana"/>
          <w:sz w:val="20"/>
          <w:szCs w:val="20"/>
          <w:lang w:eastAsia="en-US"/>
        </w:rPr>
        <w:t>La</w:t>
      </w:r>
      <w:r w:rsidR="00121B80">
        <w:rPr>
          <w:rFonts w:ascii="Verdana" w:eastAsia="Calibri" w:hAnsi="Verdana"/>
          <w:sz w:val="20"/>
          <w:szCs w:val="20"/>
          <w:lang w:eastAsia="en-US"/>
        </w:rPr>
        <w:t xml:space="preserve"> Resolución de </w:t>
      </w:r>
      <w:r w:rsidR="00DB266A">
        <w:rPr>
          <w:rFonts w:ascii="Verdana" w:eastAsia="Calibri" w:hAnsi="Verdana"/>
          <w:sz w:val="20"/>
          <w:szCs w:val="20"/>
          <w:lang w:eastAsia="en-US"/>
        </w:rPr>
        <w:t xml:space="preserve">reintegro al Fondo de Asistencia Legal de Víctimas emitida por </w:t>
      </w:r>
      <w:r w:rsidR="003E3E1F">
        <w:rPr>
          <w:rFonts w:ascii="Verdana" w:eastAsia="Calibri" w:hAnsi="Verdana"/>
          <w:sz w:val="20"/>
          <w:szCs w:val="20"/>
          <w:lang w:eastAsia="en-US"/>
        </w:rPr>
        <w:t>la Presidencia</w:t>
      </w:r>
      <w:r w:rsidR="00DB266A">
        <w:rPr>
          <w:rFonts w:ascii="Verdana" w:eastAsia="Calibri" w:hAnsi="Verdana"/>
          <w:sz w:val="20"/>
          <w:szCs w:val="20"/>
          <w:lang w:eastAsia="en-US"/>
        </w:rPr>
        <w:t xml:space="preserve"> de la Corte el 7 de octubre de 2016</w:t>
      </w:r>
      <w:r w:rsidR="00DB266A">
        <w:rPr>
          <w:rStyle w:val="Refdenotaalpie"/>
          <w:rFonts w:ascii="Verdana" w:eastAsia="Calibri" w:hAnsi="Verdana"/>
          <w:sz w:val="20"/>
          <w:szCs w:val="20"/>
          <w:lang w:eastAsia="en-US"/>
        </w:rPr>
        <w:footnoteReference w:id="4"/>
      </w:r>
      <w:r w:rsidR="00DB266A">
        <w:rPr>
          <w:rFonts w:ascii="Verdana" w:eastAsia="Calibri" w:hAnsi="Verdana"/>
          <w:sz w:val="20"/>
          <w:szCs w:val="20"/>
          <w:lang w:eastAsia="en-US"/>
        </w:rPr>
        <w:t>.</w:t>
      </w:r>
    </w:p>
    <w:p w14:paraId="3F7DE181" w14:textId="68853836" w:rsidR="00CD71A9" w:rsidRPr="004C037D" w:rsidRDefault="00DB266A" w:rsidP="00CD71A9">
      <w:pPr>
        <w:numPr>
          <w:ilvl w:val="0"/>
          <w:numId w:val="4"/>
        </w:numPr>
        <w:spacing w:before="120" w:after="120"/>
        <w:ind w:left="0" w:firstLine="0"/>
        <w:jc w:val="both"/>
        <w:rPr>
          <w:rFonts w:ascii="Verdana" w:eastAsia="Calibri" w:hAnsi="Verdana"/>
          <w:sz w:val="20"/>
          <w:szCs w:val="20"/>
          <w:lang w:eastAsia="en-US"/>
        </w:rPr>
      </w:pPr>
      <w:r>
        <w:rPr>
          <w:rFonts w:ascii="Verdana" w:eastAsia="Calibri" w:hAnsi="Verdana"/>
          <w:sz w:val="20"/>
          <w:szCs w:val="20"/>
          <w:lang w:eastAsia="en-US"/>
        </w:rPr>
        <w:t xml:space="preserve">Las </w:t>
      </w:r>
      <w:r w:rsidR="00054F88" w:rsidRPr="004C037D">
        <w:rPr>
          <w:rFonts w:ascii="Verdana" w:eastAsia="Calibri" w:hAnsi="Verdana"/>
          <w:sz w:val="20"/>
          <w:szCs w:val="20"/>
          <w:lang w:eastAsia="en-US"/>
        </w:rPr>
        <w:t xml:space="preserve">Resoluciones </w:t>
      </w:r>
      <w:r>
        <w:rPr>
          <w:rFonts w:ascii="Verdana" w:eastAsia="Calibri" w:hAnsi="Verdana"/>
          <w:sz w:val="20"/>
          <w:szCs w:val="20"/>
          <w:lang w:eastAsia="en-US"/>
        </w:rPr>
        <w:t xml:space="preserve">de supervisión de cumplimiento de Sentencia </w:t>
      </w:r>
      <w:r w:rsidR="00054F88" w:rsidRPr="004C037D">
        <w:rPr>
          <w:rFonts w:ascii="Verdana" w:eastAsia="Calibri" w:hAnsi="Verdana"/>
          <w:sz w:val="20"/>
          <w:szCs w:val="20"/>
          <w:lang w:eastAsia="en-US"/>
        </w:rPr>
        <w:t>emitidas</w:t>
      </w:r>
      <w:r>
        <w:rPr>
          <w:rFonts w:ascii="Verdana" w:eastAsia="Calibri" w:hAnsi="Verdana"/>
          <w:sz w:val="20"/>
          <w:szCs w:val="20"/>
          <w:lang w:eastAsia="en-US"/>
        </w:rPr>
        <w:t xml:space="preserve"> por el Tribunal</w:t>
      </w:r>
      <w:r w:rsidR="00054F88" w:rsidRPr="004C037D">
        <w:rPr>
          <w:rFonts w:ascii="Verdana" w:eastAsia="Calibri" w:hAnsi="Verdana"/>
          <w:sz w:val="20"/>
          <w:szCs w:val="20"/>
          <w:lang w:eastAsia="en-US"/>
        </w:rPr>
        <w:t xml:space="preserve"> </w:t>
      </w:r>
      <w:r w:rsidR="00CD71A9" w:rsidRPr="004C037D">
        <w:rPr>
          <w:rFonts w:ascii="Verdana" w:eastAsia="Calibri" w:hAnsi="Verdana"/>
          <w:sz w:val="20"/>
          <w:szCs w:val="20"/>
          <w:lang w:eastAsia="en-US"/>
        </w:rPr>
        <w:t>el 22 de noviembre de 2018</w:t>
      </w:r>
      <w:r w:rsidR="00945A87">
        <w:rPr>
          <w:rStyle w:val="Refdenotaalpie"/>
          <w:rFonts w:ascii="Verdana" w:eastAsia="Calibri" w:hAnsi="Verdana"/>
          <w:sz w:val="20"/>
          <w:szCs w:val="20"/>
          <w:lang w:eastAsia="en-US"/>
        </w:rPr>
        <w:footnoteReference w:id="5"/>
      </w:r>
      <w:r w:rsidR="00CD71A9" w:rsidRPr="004C037D">
        <w:rPr>
          <w:rFonts w:ascii="Verdana" w:eastAsia="Calibri" w:hAnsi="Verdana"/>
          <w:sz w:val="20"/>
          <w:szCs w:val="20"/>
          <w:lang w:eastAsia="en-US"/>
        </w:rPr>
        <w:t xml:space="preserve"> y </w:t>
      </w:r>
      <w:bookmarkStart w:id="3" w:name="_Ref26188114"/>
      <w:r>
        <w:rPr>
          <w:rFonts w:ascii="Verdana" w:eastAsia="Calibri" w:hAnsi="Verdana"/>
          <w:sz w:val="20"/>
          <w:szCs w:val="20"/>
          <w:lang w:eastAsia="en-US"/>
        </w:rPr>
        <w:t xml:space="preserve">el </w:t>
      </w:r>
      <w:r w:rsidR="00CD71A9" w:rsidRPr="004C037D">
        <w:rPr>
          <w:rFonts w:ascii="Verdana" w:eastAsia="Calibri" w:hAnsi="Verdana"/>
          <w:sz w:val="20"/>
          <w:szCs w:val="20"/>
          <w:lang w:eastAsia="en-US"/>
        </w:rPr>
        <w:t>22 de noviembre de 2019</w:t>
      </w:r>
      <w:r w:rsidR="00945A87">
        <w:rPr>
          <w:rStyle w:val="Refdenotaalpie"/>
          <w:rFonts w:ascii="Verdana" w:eastAsia="Calibri" w:hAnsi="Verdana"/>
          <w:sz w:val="20"/>
          <w:szCs w:val="20"/>
          <w:lang w:eastAsia="en-US"/>
        </w:rPr>
        <w:footnoteReference w:id="6"/>
      </w:r>
      <w:r w:rsidR="004C037D" w:rsidRPr="004C037D">
        <w:rPr>
          <w:rFonts w:ascii="Verdana" w:eastAsia="Calibri" w:hAnsi="Verdana"/>
          <w:sz w:val="20"/>
          <w:szCs w:val="20"/>
          <w:lang w:eastAsia="en-US"/>
        </w:rPr>
        <w:t>.</w:t>
      </w:r>
    </w:p>
    <w:p w14:paraId="5B40F8E3" w14:textId="458EEBB4" w:rsidR="00A436AE" w:rsidRPr="00402EEB" w:rsidRDefault="00A436AE" w:rsidP="00402EEB">
      <w:pPr>
        <w:numPr>
          <w:ilvl w:val="0"/>
          <w:numId w:val="4"/>
        </w:numPr>
        <w:spacing w:before="120" w:after="120"/>
        <w:ind w:left="0" w:firstLine="0"/>
        <w:jc w:val="both"/>
        <w:rPr>
          <w:rFonts w:ascii="Verdana" w:eastAsia="Calibri" w:hAnsi="Verdana"/>
          <w:sz w:val="20"/>
          <w:szCs w:val="20"/>
          <w:lang w:eastAsia="en-US"/>
        </w:rPr>
      </w:pPr>
      <w:r w:rsidRPr="00402EEB">
        <w:rPr>
          <w:rFonts w:ascii="Verdana" w:eastAsia="Calibri" w:hAnsi="Verdana"/>
          <w:sz w:val="20"/>
          <w:szCs w:val="20"/>
          <w:lang w:eastAsia="en-US"/>
        </w:rPr>
        <w:t>El informe presentado por el Estado</w:t>
      </w:r>
      <w:r w:rsidR="003A2190" w:rsidRPr="00402EEB">
        <w:rPr>
          <w:rFonts w:ascii="Verdana" w:eastAsia="Calibri" w:hAnsi="Verdana"/>
          <w:sz w:val="20"/>
          <w:szCs w:val="20"/>
          <w:lang w:eastAsia="en-US"/>
        </w:rPr>
        <w:t xml:space="preserve"> el </w:t>
      </w:r>
      <w:r w:rsidR="0060026E" w:rsidRPr="00402EEB">
        <w:rPr>
          <w:rFonts w:ascii="Verdana" w:eastAsia="Calibri" w:hAnsi="Verdana"/>
          <w:sz w:val="20"/>
          <w:szCs w:val="20"/>
          <w:lang w:eastAsia="en-US"/>
        </w:rPr>
        <w:t>1</w:t>
      </w:r>
      <w:r w:rsidR="00DB266A">
        <w:rPr>
          <w:rFonts w:ascii="Verdana" w:eastAsia="Calibri" w:hAnsi="Verdana"/>
          <w:sz w:val="20"/>
          <w:szCs w:val="20"/>
          <w:lang w:eastAsia="en-US"/>
        </w:rPr>
        <w:t>2</w:t>
      </w:r>
      <w:r w:rsidR="0060026E" w:rsidRPr="00402EEB">
        <w:rPr>
          <w:rFonts w:ascii="Verdana" w:eastAsia="Calibri" w:hAnsi="Verdana"/>
          <w:sz w:val="20"/>
          <w:szCs w:val="20"/>
          <w:lang w:eastAsia="en-US"/>
        </w:rPr>
        <w:t xml:space="preserve"> de febrero de 2020.</w:t>
      </w:r>
    </w:p>
    <w:p w14:paraId="6699134D" w14:textId="16F53874" w:rsidR="00A436AE" w:rsidRPr="00402EEB" w:rsidRDefault="00A436AE" w:rsidP="00402EEB">
      <w:pPr>
        <w:numPr>
          <w:ilvl w:val="0"/>
          <w:numId w:val="4"/>
        </w:numPr>
        <w:spacing w:before="120" w:after="120"/>
        <w:ind w:left="0" w:firstLine="0"/>
        <w:jc w:val="both"/>
        <w:rPr>
          <w:rFonts w:ascii="Verdana" w:eastAsia="Calibri" w:hAnsi="Verdana"/>
          <w:sz w:val="20"/>
          <w:szCs w:val="20"/>
          <w:lang w:eastAsia="en-US"/>
        </w:rPr>
      </w:pPr>
      <w:r w:rsidRPr="00402EEB">
        <w:rPr>
          <w:rFonts w:ascii="Verdana" w:eastAsia="Calibri" w:hAnsi="Verdana"/>
          <w:sz w:val="20"/>
          <w:szCs w:val="20"/>
          <w:lang w:eastAsia="en-US"/>
        </w:rPr>
        <w:lastRenderedPageBreak/>
        <w:t xml:space="preserve">El escrito de observaciones presentado por </w:t>
      </w:r>
      <w:r w:rsidR="0060026E" w:rsidRPr="00402EEB">
        <w:rPr>
          <w:rFonts w:ascii="Verdana" w:eastAsia="Calibri" w:hAnsi="Verdana"/>
          <w:sz w:val="20"/>
          <w:szCs w:val="20"/>
          <w:lang w:eastAsia="en-US"/>
        </w:rPr>
        <w:t>los representantes de la víctima</w:t>
      </w:r>
      <w:r w:rsidR="005C0F03">
        <w:rPr>
          <w:rStyle w:val="Refdenotaalpie"/>
          <w:rFonts w:ascii="Verdana" w:eastAsia="Calibri" w:hAnsi="Verdana"/>
          <w:sz w:val="20"/>
          <w:szCs w:val="20"/>
          <w:lang w:eastAsia="en-US"/>
        </w:rPr>
        <w:footnoteReference w:id="7"/>
      </w:r>
      <w:r w:rsidR="00DB266A">
        <w:rPr>
          <w:rFonts w:ascii="Verdana" w:eastAsia="Calibri" w:hAnsi="Verdana"/>
          <w:sz w:val="20"/>
          <w:szCs w:val="20"/>
          <w:lang w:eastAsia="en-US"/>
        </w:rPr>
        <w:t xml:space="preserve"> </w:t>
      </w:r>
      <w:r w:rsidR="0060026E" w:rsidRPr="00402EEB">
        <w:rPr>
          <w:rFonts w:ascii="Verdana" w:eastAsia="Calibri" w:hAnsi="Verdana"/>
          <w:sz w:val="20"/>
          <w:szCs w:val="20"/>
          <w:lang w:eastAsia="en-US"/>
        </w:rPr>
        <w:t>el 18</w:t>
      </w:r>
      <w:r w:rsidRPr="00402EEB">
        <w:rPr>
          <w:rFonts w:ascii="Verdana" w:eastAsia="Calibri" w:hAnsi="Verdana"/>
          <w:sz w:val="20"/>
          <w:szCs w:val="20"/>
          <w:lang w:eastAsia="en-US"/>
        </w:rPr>
        <w:t xml:space="preserve"> de </w:t>
      </w:r>
      <w:r w:rsidR="0060026E" w:rsidRPr="00402EEB">
        <w:rPr>
          <w:rFonts w:ascii="Verdana" w:eastAsia="Calibri" w:hAnsi="Verdana"/>
          <w:sz w:val="20"/>
          <w:szCs w:val="20"/>
          <w:lang w:eastAsia="en-US"/>
        </w:rPr>
        <w:t>febrero de 2020.</w:t>
      </w:r>
    </w:p>
    <w:bookmarkEnd w:id="3"/>
    <w:p w14:paraId="7E3E3997" w14:textId="77777777" w:rsidR="008F1752" w:rsidRDefault="008F1752" w:rsidP="00090031">
      <w:pPr>
        <w:tabs>
          <w:tab w:val="left" w:pos="680"/>
        </w:tabs>
        <w:spacing w:before="120" w:after="120"/>
        <w:jc w:val="both"/>
        <w:rPr>
          <w:rFonts w:ascii="Verdana" w:hAnsi="Verdana"/>
          <w:b/>
          <w:sz w:val="20"/>
        </w:rPr>
      </w:pPr>
    </w:p>
    <w:p w14:paraId="34345A2E" w14:textId="77777777" w:rsidR="006C6FA8" w:rsidRPr="009743FA" w:rsidRDefault="006C6FA8" w:rsidP="00090031">
      <w:pPr>
        <w:tabs>
          <w:tab w:val="left" w:pos="680"/>
        </w:tabs>
        <w:spacing w:before="120" w:after="120"/>
        <w:jc w:val="both"/>
        <w:rPr>
          <w:rFonts w:ascii="Verdana" w:hAnsi="Verdana"/>
          <w:sz w:val="20"/>
        </w:rPr>
      </w:pPr>
      <w:r w:rsidRPr="009743FA">
        <w:rPr>
          <w:rFonts w:ascii="Verdana" w:hAnsi="Verdana"/>
          <w:b/>
          <w:sz w:val="20"/>
        </w:rPr>
        <w:t>CONSIDERANDO QUE:</w:t>
      </w:r>
    </w:p>
    <w:p w14:paraId="57746828" w14:textId="18D36FAC" w:rsidR="00E555AE" w:rsidRDefault="00E555AE" w:rsidP="00090031">
      <w:pPr>
        <w:tabs>
          <w:tab w:val="left" w:pos="567"/>
        </w:tabs>
        <w:spacing w:before="120" w:after="120"/>
        <w:jc w:val="both"/>
        <w:rPr>
          <w:rFonts w:ascii="Verdana" w:hAnsi="Verdana"/>
          <w:sz w:val="20"/>
          <w:szCs w:val="20"/>
          <w:lang w:eastAsia="en-US"/>
        </w:rPr>
      </w:pPr>
      <w:bookmarkStart w:id="4" w:name="_Ref536717730"/>
      <w:r>
        <w:rPr>
          <w:rFonts w:ascii="Verdana" w:hAnsi="Verdana"/>
          <w:sz w:val="20"/>
          <w:szCs w:val="20"/>
        </w:rPr>
        <w:t>1.</w:t>
      </w:r>
      <w:r>
        <w:rPr>
          <w:rFonts w:ascii="Verdana" w:hAnsi="Verdana"/>
          <w:sz w:val="20"/>
          <w:szCs w:val="20"/>
        </w:rPr>
        <w:tab/>
      </w:r>
      <w:r w:rsidR="006C6FA8" w:rsidRPr="00E555AE">
        <w:rPr>
          <w:rFonts w:ascii="Verdana" w:hAnsi="Verdana"/>
          <w:sz w:val="20"/>
          <w:szCs w:val="20"/>
        </w:rPr>
        <w:t>En el ejercicio de su función jurisdiccional de su</w:t>
      </w:r>
      <w:r w:rsidRPr="00E555AE">
        <w:rPr>
          <w:rFonts w:ascii="Verdana" w:hAnsi="Verdana"/>
          <w:sz w:val="20"/>
          <w:szCs w:val="20"/>
        </w:rPr>
        <w:t xml:space="preserve">pervisar el cumplimiento de sus </w:t>
      </w:r>
      <w:r w:rsidR="006C6FA8" w:rsidRPr="00E555AE">
        <w:rPr>
          <w:rFonts w:ascii="Verdana" w:hAnsi="Verdana"/>
          <w:sz w:val="20"/>
          <w:szCs w:val="20"/>
        </w:rPr>
        <w:t>decisiones</w:t>
      </w:r>
      <w:r w:rsidR="00DB5FB8">
        <w:rPr>
          <w:rStyle w:val="Refdenotaalpie"/>
          <w:rFonts w:ascii="Verdana" w:hAnsi="Verdana"/>
          <w:sz w:val="20"/>
          <w:szCs w:val="20"/>
        </w:rPr>
        <w:footnoteReference w:id="8"/>
      </w:r>
      <w:r w:rsidR="006C6FA8" w:rsidRPr="00E555AE">
        <w:rPr>
          <w:rFonts w:ascii="Verdana" w:hAnsi="Verdana"/>
          <w:sz w:val="20"/>
          <w:szCs w:val="20"/>
        </w:rPr>
        <w:t xml:space="preserve">, </w:t>
      </w:r>
      <w:r w:rsidR="009F2E69" w:rsidRPr="00E555AE">
        <w:rPr>
          <w:rFonts w:ascii="Verdana" w:hAnsi="Verdana"/>
          <w:sz w:val="20"/>
          <w:szCs w:val="20"/>
        </w:rPr>
        <w:t>la Corte ha venido supervisando la ejecución de la Sentencia emitida en el presente caso en el 2016 (</w:t>
      </w:r>
      <w:r w:rsidR="009F2E69" w:rsidRPr="00E555AE">
        <w:rPr>
          <w:rFonts w:ascii="Verdana" w:hAnsi="Verdana"/>
          <w:i/>
          <w:sz w:val="20"/>
          <w:szCs w:val="20"/>
        </w:rPr>
        <w:t>supra</w:t>
      </w:r>
      <w:r w:rsidR="009F2E69" w:rsidRPr="00E555AE">
        <w:rPr>
          <w:rFonts w:ascii="Verdana" w:hAnsi="Verdana"/>
          <w:sz w:val="20"/>
          <w:szCs w:val="20"/>
        </w:rPr>
        <w:t xml:space="preserve"> Visto </w:t>
      </w:r>
      <w:r w:rsidR="00ED0CAD" w:rsidRPr="00E555AE">
        <w:rPr>
          <w:rFonts w:ascii="Verdana" w:hAnsi="Verdana"/>
          <w:sz w:val="20"/>
          <w:szCs w:val="20"/>
        </w:rPr>
        <w:fldChar w:fldCharType="begin"/>
      </w:r>
      <w:r w:rsidR="00ED0CAD" w:rsidRPr="00E555AE">
        <w:rPr>
          <w:rFonts w:ascii="Verdana" w:hAnsi="Verdana"/>
          <w:sz w:val="20"/>
          <w:szCs w:val="20"/>
        </w:rPr>
        <w:instrText xml:space="preserve"> REF _Ref26177734 \r \h </w:instrText>
      </w:r>
      <w:r w:rsidR="00ED0CAD" w:rsidRPr="00E555AE">
        <w:rPr>
          <w:rFonts w:ascii="Verdana" w:hAnsi="Verdana"/>
          <w:sz w:val="20"/>
          <w:szCs w:val="20"/>
        </w:rPr>
      </w:r>
      <w:r w:rsidR="00ED0CAD" w:rsidRPr="00E555AE">
        <w:rPr>
          <w:rFonts w:ascii="Verdana" w:hAnsi="Verdana"/>
          <w:sz w:val="20"/>
          <w:szCs w:val="20"/>
        </w:rPr>
        <w:fldChar w:fldCharType="separate"/>
      </w:r>
      <w:r w:rsidR="009251DB">
        <w:rPr>
          <w:rFonts w:ascii="Verdana" w:hAnsi="Verdana"/>
          <w:sz w:val="20"/>
          <w:szCs w:val="20"/>
        </w:rPr>
        <w:t>1</w:t>
      </w:r>
      <w:r w:rsidR="00ED0CAD" w:rsidRPr="00E555AE">
        <w:rPr>
          <w:rFonts w:ascii="Verdana" w:hAnsi="Verdana"/>
          <w:sz w:val="20"/>
          <w:szCs w:val="20"/>
        </w:rPr>
        <w:fldChar w:fldCharType="end"/>
      </w:r>
      <w:r w:rsidR="009F2E69" w:rsidRPr="00E555AE">
        <w:rPr>
          <w:rFonts w:ascii="Verdana" w:hAnsi="Verdana"/>
          <w:sz w:val="20"/>
          <w:szCs w:val="20"/>
        </w:rPr>
        <w:t xml:space="preserve">). </w:t>
      </w:r>
      <w:r w:rsidR="00F41EC9" w:rsidRPr="00E555AE">
        <w:rPr>
          <w:rFonts w:ascii="Verdana" w:hAnsi="Verdana"/>
          <w:sz w:val="20"/>
          <w:szCs w:val="20"/>
        </w:rPr>
        <w:t>En di</w:t>
      </w:r>
      <w:r w:rsidR="00D21F1A" w:rsidRPr="00E555AE">
        <w:rPr>
          <w:rFonts w:ascii="Verdana" w:hAnsi="Verdana"/>
          <w:sz w:val="20"/>
          <w:szCs w:val="20"/>
        </w:rPr>
        <w:t xml:space="preserve">cho fallo la Corte dispuso cuatro medidas de reparación. </w:t>
      </w:r>
      <w:r w:rsidR="002D347A" w:rsidRPr="00E555AE">
        <w:rPr>
          <w:rFonts w:ascii="Verdana" w:hAnsi="Verdana"/>
          <w:sz w:val="20"/>
          <w:szCs w:val="20"/>
        </w:rPr>
        <w:t>El Tribunal ha emitido dos resoluciones</w:t>
      </w:r>
      <w:r w:rsidR="00D21F1A" w:rsidRPr="00E555AE">
        <w:rPr>
          <w:rFonts w:ascii="Verdana" w:hAnsi="Verdana"/>
          <w:sz w:val="20"/>
          <w:szCs w:val="20"/>
        </w:rPr>
        <w:t xml:space="preserve"> de </w:t>
      </w:r>
      <w:r w:rsidR="00090031">
        <w:rPr>
          <w:rFonts w:ascii="Verdana" w:hAnsi="Verdana"/>
          <w:sz w:val="20"/>
          <w:szCs w:val="20"/>
        </w:rPr>
        <w:t>s</w:t>
      </w:r>
      <w:r w:rsidR="00D21F1A" w:rsidRPr="00E555AE">
        <w:rPr>
          <w:rFonts w:ascii="Verdana" w:hAnsi="Verdana"/>
          <w:sz w:val="20"/>
          <w:szCs w:val="20"/>
        </w:rPr>
        <w:t>upervisión de cumplimiento</w:t>
      </w:r>
      <w:r w:rsidR="002D347A" w:rsidRPr="00E555AE">
        <w:rPr>
          <w:rFonts w:ascii="Verdana" w:hAnsi="Verdana"/>
          <w:sz w:val="20"/>
          <w:szCs w:val="20"/>
        </w:rPr>
        <w:t xml:space="preserve"> en relación con este caso, en 2018 y 2019 (supra Visto</w:t>
      </w:r>
      <w:r w:rsidR="00D94612">
        <w:rPr>
          <w:rFonts w:ascii="Verdana" w:hAnsi="Verdana"/>
          <w:sz w:val="20"/>
          <w:szCs w:val="20"/>
        </w:rPr>
        <w:t xml:space="preserve"> </w:t>
      </w:r>
      <w:r w:rsidR="00945A87">
        <w:rPr>
          <w:rFonts w:ascii="Verdana" w:hAnsi="Verdana"/>
          <w:sz w:val="20"/>
          <w:szCs w:val="20"/>
        </w:rPr>
        <w:t>4</w:t>
      </w:r>
      <w:r w:rsidR="00841C46" w:rsidRPr="00E555AE">
        <w:rPr>
          <w:rFonts w:ascii="Verdana" w:hAnsi="Verdana"/>
          <w:sz w:val="20"/>
          <w:szCs w:val="20"/>
        </w:rPr>
        <w:t>)</w:t>
      </w:r>
      <w:r w:rsidR="00090031">
        <w:rPr>
          <w:rFonts w:ascii="Verdana" w:hAnsi="Verdana"/>
          <w:sz w:val="20"/>
          <w:szCs w:val="20"/>
        </w:rPr>
        <w:t xml:space="preserve">, en las cuales declaró que </w:t>
      </w:r>
      <w:r w:rsidR="00841C46" w:rsidRPr="00E555AE">
        <w:rPr>
          <w:rFonts w:ascii="Verdana" w:hAnsi="Verdana"/>
          <w:sz w:val="20"/>
          <w:szCs w:val="20"/>
        </w:rPr>
        <w:t>Colombia</w:t>
      </w:r>
      <w:r w:rsidR="00F97A26" w:rsidRPr="00E555AE">
        <w:rPr>
          <w:rFonts w:ascii="Verdana" w:hAnsi="Verdana"/>
          <w:sz w:val="20"/>
          <w:szCs w:val="20"/>
          <w:lang w:eastAsia="en-US"/>
        </w:rPr>
        <w:t xml:space="preserve"> </w:t>
      </w:r>
      <w:r w:rsidR="00D21F1A" w:rsidRPr="00E555AE">
        <w:rPr>
          <w:rFonts w:ascii="Verdana" w:hAnsi="Verdana"/>
          <w:sz w:val="20"/>
          <w:szCs w:val="20"/>
          <w:lang w:eastAsia="en-US"/>
        </w:rPr>
        <w:t xml:space="preserve">dio cumplimiento total a tres </w:t>
      </w:r>
      <w:r w:rsidR="00090031">
        <w:rPr>
          <w:rFonts w:ascii="Verdana" w:hAnsi="Verdana"/>
          <w:sz w:val="20"/>
          <w:szCs w:val="20"/>
          <w:lang w:eastAsia="en-US"/>
        </w:rPr>
        <w:t>reparaciones</w:t>
      </w:r>
      <w:r w:rsidR="00090031">
        <w:rPr>
          <w:rStyle w:val="Refdenotaalpie"/>
          <w:rFonts w:ascii="Verdana" w:hAnsi="Verdana"/>
          <w:sz w:val="20"/>
          <w:szCs w:val="20"/>
        </w:rPr>
        <w:footnoteReference w:id="9"/>
      </w:r>
      <w:r w:rsidR="00D21F1A" w:rsidRPr="00E555AE">
        <w:rPr>
          <w:rFonts w:ascii="Verdana" w:hAnsi="Verdana"/>
          <w:sz w:val="20"/>
          <w:szCs w:val="20"/>
          <w:lang w:eastAsia="en-US"/>
        </w:rPr>
        <w:t xml:space="preserve"> y cumplimiento parcial a </w:t>
      </w:r>
      <w:r w:rsidR="00090031">
        <w:rPr>
          <w:rFonts w:ascii="Verdana" w:hAnsi="Verdana"/>
          <w:sz w:val="20"/>
          <w:szCs w:val="20"/>
          <w:lang w:eastAsia="en-US"/>
        </w:rPr>
        <w:t xml:space="preserve">la </w:t>
      </w:r>
      <w:r w:rsidR="00D21F1A" w:rsidRPr="00E555AE">
        <w:rPr>
          <w:rFonts w:ascii="Verdana" w:hAnsi="Verdana"/>
          <w:sz w:val="20"/>
          <w:szCs w:val="20"/>
          <w:lang w:eastAsia="en-US"/>
        </w:rPr>
        <w:t xml:space="preserve">medida </w:t>
      </w:r>
      <w:r w:rsidR="00945A87">
        <w:rPr>
          <w:rFonts w:ascii="Verdana" w:hAnsi="Verdana"/>
          <w:sz w:val="20"/>
          <w:szCs w:val="20"/>
          <w:lang w:eastAsia="en-US"/>
        </w:rPr>
        <w:t xml:space="preserve">de restitución </w:t>
      </w:r>
      <w:r w:rsidR="00D21F1A" w:rsidRPr="00E555AE">
        <w:rPr>
          <w:rFonts w:ascii="Verdana" w:hAnsi="Verdana"/>
          <w:sz w:val="20"/>
          <w:szCs w:val="20"/>
          <w:lang w:eastAsia="en-US"/>
        </w:rPr>
        <w:t xml:space="preserve">relativa al trámite en la solicitud de pensión </w:t>
      </w:r>
      <w:r w:rsidR="00945A87">
        <w:rPr>
          <w:rFonts w:ascii="Verdana" w:hAnsi="Verdana"/>
          <w:sz w:val="20"/>
          <w:szCs w:val="20"/>
          <w:lang w:eastAsia="en-US"/>
        </w:rPr>
        <w:t xml:space="preserve">de sobrevivencia </w:t>
      </w:r>
      <w:r w:rsidR="00D21F1A" w:rsidRPr="00E555AE">
        <w:rPr>
          <w:rFonts w:ascii="Verdana" w:hAnsi="Verdana"/>
          <w:sz w:val="20"/>
          <w:szCs w:val="20"/>
          <w:lang w:eastAsia="en-US"/>
        </w:rPr>
        <w:t>del señor Duque (</w:t>
      </w:r>
      <w:r w:rsidR="00D21F1A" w:rsidRPr="00E555AE">
        <w:rPr>
          <w:rFonts w:ascii="Verdana" w:hAnsi="Verdana"/>
          <w:i/>
          <w:sz w:val="20"/>
          <w:szCs w:val="20"/>
          <w:lang w:eastAsia="en-US"/>
        </w:rPr>
        <w:t>infra</w:t>
      </w:r>
      <w:r w:rsidR="00D21F1A" w:rsidRPr="00E555AE">
        <w:rPr>
          <w:rFonts w:ascii="Verdana" w:hAnsi="Verdana"/>
          <w:sz w:val="20"/>
          <w:szCs w:val="20"/>
          <w:lang w:eastAsia="en-US"/>
        </w:rPr>
        <w:t xml:space="preserve"> Considerand</w:t>
      </w:r>
      <w:r w:rsidR="009743FA" w:rsidRPr="00E555AE">
        <w:rPr>
          <w:rFonts w:ascii="Verdana" w:hAnsi="Verdana"/>
          <w:sz w:val="20"/>
          <w:szCs w:val="20"/>
          <w:lang w:eastAsia="en-US"/>
        </w:rPr>
        <w:t xml:space="preserve">o </w:t>
      </w:r>
      <w:r w:rsidR="00945A87">
        <w:rPr>
          <w:rFonts w:ascii="Verdana" w:hAnsi="Verdana"/>
          <w:sz w:val="20"/>
          <w:szCs w:val="20"/>
          <w:lang w:eastAsia="en-US"/>
        </w:rPr>
        <w:t>4</w:t>
      </w:r>
      <w:r w:rsidR="00D21F1A" w:rsidRPr="00E555AE">
        <w:rPr>
          <w:rFonts w:ascii="Verdana" w:hAnsi="Verdana"/>
          <w:sz w:val="20"/>
          <w:szCs w:val="20"/>
          <w:lang w:eastAsia="en-US"/>
        </w:rPr>
        <w:t>)</w:t>
      </w:r>
      <w:r w:rsidRPr="00E555AE">
        <w:rPr>
          <w:rFonts w:ascii="Verdana" w:hAnsi="Verdana"/>
          <w:sz w:val="20"/>
          <w:szCs w:val="20"/>
          <w:lang w:eastAsia="en-US"/>
        </w:rPr>
        <w:t>.</w:t>
      </w:r>
    </w:p>
    <w:bookmarkEnd w:id="4"/>
    <w:p w14:paraId="27CCB161" w14:textId="77777777" w:rsidR="009F2E69" w:rsidRDefault="009743FA" w:rsidP="00090031">
      <w:pPr>
        <w:spacing w:before="120" w:after="120"/>
        <w:jc w:val="both"/>
        <w:rPr>
          <w:rFonts w:ascii="Verdana" w:hAnsi="Verdana"/>
          <w:sz w:val="20"/>
          <w:szCs w:val="20"/>
        </w:rPr>
      </w:pPr>
      <w:r w:rsidRPr="00E555AE">
        <w:rPr>
          <w:rFonts w:ascii="Verdana" w:hAnsi="Verdana"/>
          <w:sz w:val="20"/>
          <w:szCs w:val="20"/>
        </w:rPr>
        <w:t>2.</w:t>
      </w:r>
      <w:r w:rsidRPr="00E555AE">
        <w:rPr>
          <w:rFonts w:ascii="Verdana" w:hAnsi="Verdana"/>
          <w:sz w:val="20"/>
          <w:szCs w:val="20"/>
        </w:rPr>
        <w:tab/>
      </w:r>
      <w:r w:rsidR="00B87F21" w:rsidRPr="00E555AE">
        <w:rPr>
          <w:rFonts w:ascii="Verdana" w:hAnsi="Verdana"/>
          <w:sz w:val="20"/>
          <w:szCs w:val="20"/>
        </w:rPr>
        <w:t>De conformidad con lo establecido en el artículo 68.1 de la Convención Americana sobre Derechos Humanos, “[l]os Estados Partes en la Convención se comprometen a cumplir la decisión de la Corte en todo caso en que sean partes”. Esta obligación incluye el deber del Estado de informar a la Corte sobre las medidas adoptadas para cumplir cada uno de los puntos ordenados, lo cual es fundamental para evaluar el estado de cumplimiento de la Sentencia en su conjunto</w:t>
      </w:r>
      <w:r w:rsidR="00B87F21" w:rsidRPr="00E555AE">
        <w:rPr>
          <w:rStyle w:val="Refdenotaalpie"/>
          <w:rFonts w:ascii="Verdana" w:hAnsi="Verdana"/>
          <w:sz w:val="20"/>
          <w:szCs w:val="20"/>
        </w:rPr>
        <w:footnoteReference w:id="10"/>
      </w:r>
      <w:r w:rsidR="00B87F21" w:rsidRPr="00E555AE">
        <w:rPr>
          <w:rFonts w:ascii="Verdana" w:hAnsi="Verdana"/>
          <w:sz w:val="20"/>
          <w:szCs w:val="20"/>
        </w:rPr>
        <w:t>. Los Estados Parte en la Convención deben garantizar el cumplimiento de las disposiciones convencionales y sus efectos propios (</w:t>
      </w:r>
      <w:proofErr w:type="spellStart"/>
      <w:r w:rsidR="00B87F21" w:rsidRPr="00E555AE">
        <w:rPr>
          <w:rFonts w:ascii="Verdana" w:hAnsi="Verdana"/>
          <w:i/>
          <w:sz w:val="20"/>
          <w:szCs w:val="20"/>
        </w:rPr>
        <w:t>effet</w:t>
      </w:r>
      <w:proofErr w:type="spellEnd"/>
      <w:r w:rsidR="00B87F21" w:rsidRPr="00E555AE">
        <w:rPr>
          <w:rFonts w:ascii="Verdana" w:hAnsi="Verdana"/>
          <w:i/>
          <w:sz w:val="20"/>
          <w:szCs w:val="20"/>
        </w:rPr>
        <w:t xml:space="preserve"> </w:t>
      </w:r>
      <w:proofErr w:type="spellStart"/>
      <w:r w:rsidR="00B87F21" w:rsidRPr="00E555AE">
        <w:rPr>
          <w:rFonts w:ascii="Verdana" w:hAnsi="Verdana"/>
          <w:i/>
          <w:sz w:val="20"/>
          <w:szCs w:val="20"/>
        </w:rPr>
        <w:t>utile</w:t>
      </w:r>
      <w:proofErr w:type="spellEnd"/>
      <w:r w:rsidR="00B87F21" w:rsidRPr="00E555AE">
        <w:rPr>
          <w:rFonts w:ascii="Verdana" w:hAnsi="Verdana"/>
          <w:sz w:val="20"/>
          <w:szCs w:val="20"/>
        </w:rPr>
        <w:t>) en el plano de sus respectivos derechos internos. Estas obligaciones deben ser interpretadas y aplicadas de manera que la garantía protegida sea verdaderamente práctica y eficaz, teniendo presente la naturaleza especial de los tratados de derechos humanos</w:t>
      </w:r>
      <w:r w:rsidR="00B87F21" w:rsidRPr="00E555AE">
        <w:rPr>
          <w:rStyle w:val="Refdenotaalpie"/>
          <w:rFonts w:ascii="Verdana" w:hAnsi="Verdana"/>
          <w:sz w:val="20"/>
          <w:szCs w:val="20"/>
        </w:rPr>
        <w:footnoteReference w:id="11"/>
      </w:r>
      <w:r w:rsidR="00B87F21" w:rsidRPr="00E555AE">
        <w:rPr>
          <w:rFonts w:ascii="Verdana" w:hAnsi="Verdana"/>
          <w:sz w:val="20"/>
          <w:szCs w:val="20"/>
        </w:rPr>
        <w:t>.</w:t>
      </w:r>
    </w:p>
    <w:p w14:paraId="72BDB0D3" w14:textId="36B4F3B5" w:rsidR="00E555AE" w:rsidRDefault="00E555AE" w:rsidP="00090031">
      <w:pPr>
        <w:spacing w:before="120" w:after="120"/>
        <w:jc w:val="both"/>
        <w:rPr>
          <w:rFonts w:ascii="Verdana" w:hAnsi="Verdana"/>
          <w:sz w:val="20"/>
          <w:szCs w:val="20"/>
        </w:rPr>
      </w:pPr>
      <w:r>
        <w:rPr>
          <w:rFonts w:ascii="Verdana" w:hAnsi="Verdana"/>
          <w:sz w:val="20"/>
          <w:szCs w:val="20"/>
        </w:rPr>
        <w:t>3.</w:t>
      </w:r>
      <w:r>
        <w:rPr>
          <w:rFonts w:ascii="Verdana" w:hAnsi="Verdana"/>
          <w:sz w:val="20"/>
          <w:szCs w:val="20"/>
        </w:rPr>
        <w:tab/>
      </w:r>
      <w:r w:rsidRPr="00E555AE">
        <w:rPr>
          <w:rFonts w:ascii="Verdana" w:hAnsi="Verdana"/>
          <w:sz w:val="20"/>
          <w:szCs w:val="20"/>
        </w:rPr>
        <w:t xml:space="preserve">Seguidamente, la Corte valorará la información presentada por </w:t>
      </w:r>
      <w:r w:rsidR="00BF1E9F">
        <w:rPr>
          <w:rFonts w:ascii="Verdana" w:hAnsi="Verdana"/>
          <w:sz w:val="20"/>
          <w:szCs w:val="20"/>
        </w:rPr>
        <w:t>Colombia y los representantes de la víctima</w:t>
      </w:r>
      <w:r w:rsidRPr="00E555AE">
        <w:rPr>
          <w:rFonts w:ascii="Verdana" w:hAnsi="Verdana"/>
          <w:sz w:val="20"/>
          <w:szCs w:val="20"/>
        </w:rPr>
        <w:t xml:space="preserve"> respecto de</w:t>
      </w:r>
      <w:r w:rsidR="00BF1E9F">
        <w:rPr>
          <w:rFonts w:ascii="Verdana" w:hAnsi="Verdana"/>
          <w:sz w:val="20"/>
          <w:szCs w:val="20"/>
        </w:rPr>
        <w:t>l cumplimiento total de</w:t>
      </w:r>
      <w:r w:rsidRPr="00E555AE">
        <w:rPr>
          <w:rFonts w:ascii="Verdana" w:hAnsi="Verdana"/>
          <w:sz w:val="20"/>
          <w:szCs w:val="20"/>
        </w:rPr>
        <w:t xml:space="preserve"> la única medida de reparación pendiente en este caso.</w:t>
      </w:r>
      <w:r w:rsidR="00BF1E9F">
        <w:rPr>
          <w:rFonts w:ascii="Verdana" w:hAnsi="Verdana"/>
          <w:sz w:val="20"/>
          <w:szCs w:val="20"/>
        </w:rPr>
        <w:t xml:space="preserve"> La Comisión Interamericana de Derechos Humanos no presentó observaciones al respecto.</w:t>
      </w:r>
    </w:p>
    <w:p w14:paraId="72357FA4" w14:textId="77777777" w:rsidR="00E555AE" w:rsidRDefault="00E555AE" w:rsidP="00090031">
      <w:pPr>
        <w:spacing w:before="120" w:after="120"/>
        <w:jc w:val="both"/>
        <w:rPr>
          <w:rFonts w:ascii="Verdana" w:hAnsi="Verdana"/>
          <w:sz w:val="20"/>
          <w:szCs w:val="20"/>
        </w:rPr>
      </w:pPr>
    </w:p>
    <w:p w14:paraId="096EB37D" w14:textId="56F6302F" w:rsidR="00090031" w:rsidRPr="00090031" w:rsidRDefault="00090031" w:rsidP="00090031">
      <w:pPr>
        <w:pStyle w:val="Prrafodelista"/>
        <w:numPr>
          <w:ilvl w:val="0"/>
          <w:numId w:val="24"/>
        </w:numPr>
        <w:spacing w:before="120" w:after="120"/>
        <w:jc w:val="both"/>
        <w:rPr>
          <w:rFonts w:ascii="Verdana" w:hAnsi="Verdana"/>
          <w:b/>
          <w:i/>
          <w:sz w:val="20"/>
          <w:szCs w:val="20"/>
        </w:rPr>
      </w:pPr>
      <w:r w:rsidRPr="00090031">
        <w:rPr>
          <w:rFonts w:ascii="Verdana" w:hAnsi="Verdana"/>
          <w:b/>
          <w:i/>
          <w:sz w:val="20"/>
          <w:szCs w:val="20"/>
        </w:rPr>
        <w:t xml:space="preserve">Medida ordenada por la Corte y supervisión realizada en resolución </w:t>
      </w:r>
      <w:r w:rsidR="00DC45C0">
        <w:rPr>
          <w:rFonts w:ascii="Verdana" w:hAnsi="Verdana"/>
          <w:b/>
          <w:i/>
          <w:sz w:val="20"/>
          <w:szCs w:val="20"/>
        </w:rPr>
        <w:t>de noviembre de 2018</w:t>
      </w:r>
    </w:p>
    <w:p w14:paraId="76E86E17" w14:textId="3DA35537" w:rsidR="00E555AE" w:rsidRDefault="00E555AE" w:rsidP="00090031">
      <w:pPr>
        <w:spacing w:before="120" w:after="120"/>
        <w:jc w:val="both"/>
        <w:rPr>
          <w:rFonts w:ascii="Verdana" w:hAnsi="Verdana"/>
          <w:sz w:val="20"/>
          <w:szCs w:val="20"/>
        </w:rPr>
      </w:pPr>
      <w:r>
        <w:rPr>
          <w:rFonts w:ascii="Verdana" w:hAnsi="Verdana"/>
          <w:sz w:val="20"/>
          <w:szCs w:val="20"/>
        </w:rPr>
        <w:t>4.</w:t>
      </w:r>
      <w:r>
        <w:rPr>
          <w:rFonts w:ascii="Verdana" w:hAnsi="Verdana"/>
          <w:sz w:val="20"/>
          <w:szCs w:val="20"/>
        </w:rPr>
        <w:tab/>
      </w:r>
      <w:r w:rsidRPr="00E555AE">
        <w:rPr>
          <w:rFonts w:ascii="Verdana" w:hAnsi="Verdana"/>
          <w:sz w:val="20"/>
          <w:szCs w:val="20"/>
        </w:rPr>
        <w:t xml:space="preserve">En el punto dispositivo noveno y en los párrafos 199 y 200 de la Sentencia, la Corte dispuso que el Estado “debe garantizar al señor Duque, una vez que presente la solicitud de reconocimiento de la pensión de sobrevivencia, que </w:t>
      </w:r>
      <w:r w:rsidR="00DC45C0">
        <w:rPr>
          <w:rFonts w:ascii="Verdana" w:hAnsi="Verdana"/>
          <w:sz w:val="20"/>
          <w:szCs w:val="20"/>
        </w:rPr>
        <w:t>é</w:t>
      </w:r>
      <w:r w:rsidRPr="00E555AE">
        <w:rPr>
          <w:rFonts w:ascii="Verdana" w:hAnsi="Verdana"/>
          <w:sz w:val="20"/>
          <w:szCs w:val="20"/>
        </w:rPr>
        <w:t xml:space="preserve">sta será tramitada de forma prioritaria, en un plazo de tres meses”. Asimismo, la Corte estableció que, “en caso de otorgársele la pensión […], la misma deberá comprender la suma equivalente a todos los pagos, incluyendo los intereses correspondientes de conformidad con la </w:t>
      </w:r>
      <w:r w:rsidRPr="00E555AE">
        <w:rPr>
          <w:rFonts w:ascii="Verdana" w:hAnsi="Verdana"/>
          <w:sz w:val="20"/>
          <w:szCs w:val="20"/>
        </w:rPr>
        <w:lastRenderedPageBreak/>
        <w:t>normatividad interna colombiana, que no se percibieron desde que el señor Duque presentó la solicitud de información a COLFONDOS el 3 de abril de 2002”.</w:t>
      </w:r>
    </w:p>
    <w:p w14:paraId="4DD46496" w14:textId="3636170C" w:rsidR="00E555AE" w:rsidRDefault="00E555AE" w:rsidP="00090031">
      <w:pPr>
        <w:spacing w:before="120" w:after="120"/>
        <w:jc w:val="both"/>
        <w:rPr>
          <w:rFonts w:ascii="Verdana" w:hAnsi="Verdana" w:cs="Verdana"/>
          <w:sz w:val="20"/>
          <w:szCs w:val="20"/>
        </w:rPr>
      </w:pPr>
      <w:r w:rsidRPr="00E555AE">
        <w:rPr>
          <w:rFonts w:ascii="Verdana" w:hAnsi="Verdana" w:cs="Verdana"/>
          <w:sz w:val="20"/>
          <w:szCs w:val="20"/>
        </w:rPr>
        <w:t>5</w:t>
      </w:r>
      <w:r w:rsidR="00090031">
        <w:rPr>
          <w:rFonts w:ascii="Verdana" w:hAnsi="Verdana" w:cs="Verdana"/>
          <w:sz w:val="20"/>
          <w:szCs w:val="20"/>
        </w:rPr>
        <w:t>.</w:t>
      </w:r>
      <w:r w:rsidRPr="00E555AE">
        <w:rPr>
          <w:rFonts w:ascii="Verdana" w:hAnsi="Verdana" w:cs="Verdana"/>
          <w:sz w:val="20"/>
          <w:szCs w:val="20"/>
        </w:rPr>
        <w:tab/>
        <w:t xml:space="preserve">En la Resolución de noviembre de </w:t>
      </w:r>
      <w:r w:rsidRPr="00C41627">
        <w:rPr>
          <w:rFonts w:ascii="Verdana" w:hAnsi="Verdana" w:cs="Verdana"/>
          <w:sz w:val="20"/>
          <w:szCs w:val="20"/>
        </w:rPr>
        <w:t>2018</w:t>
      </w:r>
      <w:r w:rsidR="00DC45C0" w:rsidRPr="00C41627">
        <w:rPr>
          <w:rStyle w:val="Refdenotaalpie"/>
          <w:rFonts w:ascii="Verdana" w:hAnsi="Verdana" w:cs="Verdana"/>
          <w:sz w:val="20"/>
          <w:szCs w:val="20"/>
        </w:rPr>
        <w:footnoteReference w:id="12"/>
      </w:r>
      <w:r w:rsidR="00C41627" w:rsidRPr="00C41627">
        <w:rPr>
          <w:rFonts w:ascii="Verdana" w:hAnsi="Verdana" w:cs="Verdana"/>
          <w:sz w:val="20"/>
          <w:szCs w:val="20"/>
        </w:rPr>
        <w:t>,</w:t>
      </w:r>
      <w:r w:rsidRPr="00C41627">
        <w:rPr>
          <w:rFonts w:ascii="Verdana" w:hAnsi="Verdana" w:cs="Verdana"/>
          <w:sz w:val="20"/>
          <w:szCs w:val="20"/>
        </w:rPr>
        <w:t xml:space="preserve"> la Corte</w:t>
      </w:r>
      <w:r w:rsidRPr="00E555AE">
        <w:rPr>
          <w:rFonts w:ascii="Verdana" w:hAnsi="Verdana" w:cs="Verdana"/>
          <w:sz w:val="20"/>
          <w:szCs w:val="20"/>
        </w:rPr>
        <w:t xml:space="preserve"> declaró el cumplimiento parcial de esta medida</w:t>
      </w:r>
      <w:r w:rsidR="00D94612">
        <w:rPr>
          <w:rFonts w:ascii="Verdana" w:hAnsi="Verdana" w:cs="Verdana"/>
          <w:sz w:val="20"/>
          <w:szCs w:val="20"/>
        </w:rPr>
        <w:t>,</w:t>
      </w:r>
      <w:r w:rsidR="00DC45C0">
        <w:rPr>
          <w:rFonts w:ascii="Verdana" w:hAnsi="Verdana" w:cs="Verdana"/>
          <w:sz w:val="20"/>
          <w:szCs w:val="20"/>
        </w:rPr>
        <w:t xml:space="preserve"> debido al reconocimiento de la pensión de sobrevivencia y el pago retroactivo de mesadas</w:t>
      </w:r>
      <w:r w:rsidR="00DC45C0" w:rsidRPr="00DC45C0">
        <w:rPr>
          <w:rFonts w:ascii="Verdana" w:hAnsi="Verdana" w:cs="Verdana"/>
          <w:sz w:val="20"/>
          <w:szCs w:val="20"/>
        </w:rPr>
        <w:t xml:space="preserve"> </w:t>
      </w:r>
      <w:r w:rsidR="00DC45C0">
        <w:rPr>
          <w:rFonts w:ascii="Verdana" w:hAnsi="Verdana" w:cs="Verdana"/>
          <w:sz w:val="20"/>
          <w:szCs w:val="20"/>
        </w:rPr>
        <w:t>al señor Duque</w:t>
      </w:r>
      <w:r w:rsidRPr="00E555AE">
        <w:rPr>
          <w:rFonts w:ascii="Verdana" w:hAnsi="Verdana" w:cs="Verdana"/>
          <w:sz w:val="20"/>
          <w:szCs w:val="20"/>
        </w:rPr>
        <w:t xml:space="preserve">. Al respecto, el Tribunal constató que </w:t>
      </w:r>
      <w:r w:rsidR="008A471B">
        <w:rPr>
          <w:rFonts w:ascii="Verdana" w:hAnsi="Verdana"/>
          <w:sz w:val="20"/>
          <w:szCs w:val="20"/>
          <w:lang w:val="es-ES"/>
        </w:rPr>
        <w:t>e</w:t>
      </w:r>
      <w:r w:rsidR="008A471B" w:rsidRPr="00D063D9">
        <w:rPr>
          <w:rFonts w:ascii="Verdana" w:hAnsi="Verdana"/>
          <w:sz w:val="20"/>
          <w:szCs w:val="20"/>
          <w:lang w:val="es-ES"/>
        </w:rPr>
        <w:t xml:space="preserve">l señor Duque </w:t>
      </w:r>
      <w:r w:rsidR="008A471B" w:rsidRPr="00D063D9">
        <w:rPr>
          <w:rFonts w:ascii="Verdana" w:hAnsi="Verdana"/>
          <w:sz w:val="20"/>
          <w:szCs w:val="20"/>
        </w:rPr>
        <w:t xml:space="preserve">presentó la solicitud </w:t>
      </w:r>
      <w:r w:rsidR="00090031" w:rsidRPr="00E555AE">
        <w:rPr>
          <w:rFonts w:ascii="Verdana" w:hAnsi="Verdana"/>
          <w:sz w:val="20"/>
          <w:szCs w:val="20"/>
        </w:rPr>
        <w:t>de reconocimiento de la pensión de sobrevivencia</w:t>
      </w:r>
      <w:r w:rsidR="00090031" w:rsidRPr="00D063D9">
        <w:rPr>
          <w:rFonts w:ascii="Verdana" w:hAnsi="Verdana"/>
          <w:sz w:val="20"/>
          <w:szCs w:val="20"/>
        </w:rPr>
        <w:t xml:space="preserve"> </w:t>
      </w:r>
      <w:r w:rsidR="008A471B" w:rsidRPr="00D063D9">
        <w:rPr>
          <w:rFonts w:ascii="Verdana" w:hAnsi="Verdana"/>
          <w:sz w:val="20"/>
          <w:szCs w:val="20"/>
        </w:rPr>
        <w:t>el 19 de julio de 2016, y que Colombia cumplió con re</w:t>
      </w:r>
      <w:r w:rsidR="008A471B">
        <w:rPr>
          <w:rFonts w:ascii="Verdana" w:hAnsi="Verdana"/>
          <w:sz w:val="20"/>
          <w:szCs w:val="20"/>
        </w:rPr>
        <w:t xml:space="preserve">solverla en dos meses, de forma </w:t>
      </w:r>
      <w:r w:rsidR="008A471B" w:rsidRPr="00D063D9">
        <w:rPr>
          <w:rFonts w:ascii="Verdana" w:hAnsi="Verdana"/>
          <w:sz w:val="20"/>
          <w:szCs w:val="20"/>
        </w:rPr>
        <w:t>expedita, tal como fue dispuesto al ordenarse esta reparación</w:t>
      </w:r>
      <w:r w:rsidR="008A471B">
        <w:t>.</w:t>
      </w:r>
      <w:r w:rsidR="008A471B">
        <w:rPr>
          <w:rFonts w:ascii="Verdana" w:hAnsi="Verdana" w:cs="Verdana"/>
          <w:sz w:val="20"/>
          <w:szCs w:val="20"/>
        </w:rPr>
        <w:t xml:space="preserve"> </w:t>
      </w:r>
      <w:r w:rsidR="00DC45C0">
        <w:rPr>
          <w:rFonts w:ascii="Verdana" w:hAnsi="Verdana" w:cs="Verdana"/>
          <w:sz w:val="20"/>
          <w:szCs w:val="20"/>
        </w:rPr>
        <w:t>Según ello, le fue concedida la pensión de sobrevivencia “en calidad de compañero” y recibe la totalidad del valor de la pensión por parte de la Sociedad Administradora de Fondos de Pensiones y Cesantías Colfondos S.A. La pensión se le reconoció a partir del 15 de septiembre de 2001 y se le realizó un pago único retroactivo de mesadas entre dicha fecha y el 30 de septiembre de 20</w:t>
      </w:r>
      <w:r w:rsidR="00D94612">
        <w:rPr>
          <w:rFonts w:ascii="Verdana" w:hAnsi="Verdana" w:cs="Verdana"/>
          <w:sz w:val="20"/>
          <w:szCs w:val="20"/>
        </w:rPr>
        <w:t>1</w:t>
      </w:r>
      <w:r w:rsidR="00DC45C0">
        <w:rPr>
          <w:rFonts w:ascii="Verdana" w:hAnsi="Verdana" w:cs="Verdana"/>
          <w:sz w:val="20"/>
          <w:szCs w:val="20"/>
        </w:rPr>
        <w:t xml:space="preserve">6. </w:t>
      </w:r>
      <w:r w:rsidRPr="00E555AE">
        <w:rPr>
          <w:rFonts w:ascii="Verdana" w:hAnsi="Verdana" w:cs="Verdana"/>
          <w:sz w:val="20"/>
          <w:szCs w:val="20"/>
        </w:rPr>
        <w:t xml:space="preserve">No obstante, </w:t>
      </w:r>
      <w:r w:rsidR="00D94612">
        <w:rPr>
          <w:rFonts w:ascii="Verdana" w:hAnsi="Verdana" w:cs="Verdana"/>
          <w:sz w:val="20"/>
          <w:szCs w:val="20"/>
        </w:rPr>
        <w:t>el Tribunal</w:t>
      </w:r>
      <w:r w:rsidRPr="00E555AE">
        <w:rPr>
          <w:rFonts w:ascii="Verdana" w:hAnsi="Verdana" w:cs="Verdana"/>
          <w:sz w:val="20"/>
          <w:szCs w:val="20"/>
        </w:rPr>
        <w:t xml:space="preserve"> determinó que estaba pendiente de cumplimiento lo correspondiente al pago de los intereses</w:t>
      </w:r>
      <w:r w:rsidR="00DC45C0">
        <w:rPr>
          <w:rFonts w:ascii="Verdana" w:hAnsi="Verdana" w:cs="Verdana"/>
          <w:sz w:val="20"/>
          <w:szCs w:val="20"/>
        </w:rPr>
        <w:t xml:space="preserve"> moratorios,</w:t>
      </w:r>
      <w:r w:rsidRPr="00E555AE">
        <w:rPr>
          <w:rFonts w:ascii="Verdana" w:hAnsi="Verdana" w:cs="Verdana"/>
          <w:sz w:val="20"/>
          <w:szCs w:val="20"/>
        </w:rPr>
        <w:t xml:space="preserve"> de conformidad con la normativa interna colombiana, respecto de los pagos de la pensión de sobrevivencia que no se percibieron desde que el señor Duque presentó la solicitud </w:t>
      </w:r>
      <w:r w:rsidR="00D337CE">
        <w:rPr>
          <w:rFonts w:ascii="Verdana" w:hAnsi="Verdana" w:cs="Verdana"/>
          <w:sz w:val="20"/>
          <w:szCs w:val="20"/>
        </w:rPr>
        <w:t xml:space="preserve">inicial </w:t>
      </w:r>
      <w:r w:rsidRPr="00E555AE">
        <w:rPr>
          <w:rFonts w:ascii="Verdana" w:hAnsi="Verdana" w:cs="Verdana"/>
          <w:sz w:val="20"/>
          <w:szCs w:val="20"/>
        </w:rPr>
        <w:t>de información a COLFONDOS en marzo de 2002</w:t>
      </w:r>
      <w:r w:rsidR="00D337CE">
        <w:rPr>
          <w:rStyle w:val="Refdenotaalpie"/>
          <w:rFonts w:ascii="Verdana" w:hAnsi="Verdana" w:cs="Verdana"/>
          <w:sz w:val="20"/>
          <w:szCs w:val="20"/>
        </w:rPr>
        <w:footnoteReference w:id="13"/>
      </w:r>
      <w:r w:rsidRPr="00E555AE">
        <w:rPr>
          <w:rFonts w:ascii="Verdana" w:hAnsi="Verdana" w:cs="Verdana"/>
          <w:sz w:val="20"/>
          <w:szCs w:val="20"/>
        </w:rPr>
        <w:t>.</w:t>
      </w:r>
    </w:p>
    <w:p w14:paraId="6823AEA0" w14:textId="77777777" w:rsidR="005D1CC1" w:rsidRPr="005D1CC1" w:rsidRDefault="005D1CC1" w:rsidP="00090031">
      <w:pPr>
        <w:spacing w:before="120" w:after="120"/>
        <w:jc w:val="both"/>
        <w:rPr>
          <w:rFonts w:ascii="Verdana" w:hAnsi="Verdana" w:cs="Verdana"/>
          <w:b/>
          <w:sz w:val="20"/>
          <w:szCs w:val="20"/>
        </w:rPr>
      </w:pPr>
    </w:p>
    <w:p w14:paraId="3BEF0BB0" w14:textId="77777777" w:rsidR="005D1CC1" w:rsidRPr="00090031" w:rsidRDefault="005D1CC1" w:rsidP="00090031">
      <w:pPr>
        <w:pStyle w:val="Prrafodelista"/>
        <w:numPr>
          <w:ilvl w:val="0"/>
          <w:numId w:val="24"/>
        </w:numPr>
        <w:spacing w:before="120" w:after="120"/>
        <w:jc w:val="both"/>
        <w:rPr>
          <w:rFonts w:ascii="Verdana" w:hAnsi="Verdana" w:cs="Verdana"/>
          <w:b/>
          <w:i/>
          <w:sz w:val="20"/>
          <w:szCs w:val="20"/>
        </w:rPr>
      </w:pPr>
      <w:r w:rsidRPr="00090031">
        <w:rPr>
          <w:rFonts w:ascii="Verdana" w:hAnsi="Verdana"/>
          <w:b/>
          <w:i/>
          <w:sz w:val="20"/>
          <w:szCs w:val="20"/>
        </w:rPr>
        <w:t>Consideraciones de la Corte</w:t>
      </w:r>
    </w:p>
    <w:p w14:paraId="5CA0376D" w14:textId="06635EDF" w:rsidR="00E555AE" w:rsidRDefault="008A471B" w:rsidP="00090031">
      <w:pPr>
        <w:spacing w:before="120" w:after="120"/>
        <w:jc w:val="both"/>
        <w:rPr>
          <w:rFonts w:ascii="Verdana" w:hAnsi="Verdana" w:cs="Verdana"/>
          <w:sz w:val="20"/>
          <w:szCs w:val="20"/>
        </w:rPr>
      </w:pPr>
      <w:r>
        <w:rPr>
          <w:rFonts w:ascii="Verdana" w:hAnsi="Verdana" w:cs="Verdana"/>
          <w:sz w:val="20"/>
          <w:szCs w:val="20"/>
        </w:rPr>
        <w:t>6</w:t>
      </w:r>
      <w:r w:rsidR="00090031">
        <w:rPr>
          <w:rFonts w:ascii="Verdana" w:hAnsi="Verdana" w:cs="Verdana"/>
          <w:sz w:val="20"/>
          <w:szCs w:val="20"/>
        </w:rPr>
        <w:t>.</w:t>
      </w:r>
      <w:r>
        <w:rPr>
          <w:rFonts w:ascii="Verdana" w:hAnsi="Verdana" w:cs="Verdana"/>
          <w:sz w:val="20"/>
          <w:szCs w:val="20"/>
        </w:rPr>
        <w:tab/>
        <w:t>El Estado “</w:t>
      </w:r>
      <w:proofErr w:type="spellStart"/>
      <w:r>
        <w:rPr>
          <w:rFonts w:ascii="Verdana" w:hAnsi="Verdana" w:cs="Verdana"/>
          <w:sz w:val="20"/>
          <w:szCs w:val="20"/>
        </w:rPr>
        <w:t>solicit</w:t>
      </w:r>
      <w:proofErr w:type="spellEnd"/>
      <w:r>
        <w:rPr>
          <w:rFonts w:ascii="Verdana" w:hAnsi="Verdana" w:cs="Verdana"/>
          <w:sz w:val="20"/>
          <w:szCs w:val="20"/>
        </w:rPr>
        <w:t>[</w:t>
      </w:r>
      <w:proofErr w:type="spellStart"/>
      <w:r>
        <w:rPr>
          <w:rFonts w:ascii="Verdana" w:hAnsi="Verdana" w:cs="Verdana"/>
          <w:sz w:val="20"/>
          <w:szCs w:val="20"/>
        </w:rPr>
        <w:t>ó</w:t>
      </w:r>
      <w:proofErr w:type="spellEnd"/>
      <w:r>
        <w:rPr>
          <w:rFonts w:ascii="Verdana" w:hAnsi="Verdana" w:cs="Verdana"/>
          <w:sz w:val="20"/>
          <w:szCs w:val="20"/>
        </w:rPr>
        <w:t xml:space="preserve">] </w:t>
      </w:r>
      <w:r w:rsidR="00D337CE">
        <w:rPr>
          <w:rFonts w:ascii="Verdana" w:hAnsi="Verdana" w:cs="Verdana"/>
          <w:sz w:val="20"/>
          <w:szCs w:val="20"/>
        </w:rPr>
        <w:t>a la Corte […]</w:t>
      </w:r>
      <w:r w:rsidR="00C41627">
        <w:rPr>
          <w:rFonts w:ascii="Verdana" w:hAnsi="Verdana" w:cs="Verdana"/>
          <w:sz w:val="20"/>
          <w:szCs w:val="20"/>
        </w:rPr>
        <w:t xml:space="preserve"> </w:t>
      </w:r>
      <w:r>
        <w:rPr>
          <w:rFonts w:ascii="Verdana" w:hAnsi="Verdana" w:cs="Verdana"/>
          <w:sz w:val="20"/>
          <w:szCs w:val="20"/>
        </w:rPr>
        <w:t xml:space="preserve">declarar el cumplimiento total de la orden contenida </w:t>
      </w:r>
      <w:r w:rsidR="005D1CC1">
        <w:rPr>
          <w:rFonts w:ascii="Verdana" w:hAnsi="Verdana" w:cs="Verdana"/>
          <w:sz w:val="20"/>
          <w:szCs w:val="20"/>
        </w:rPr>
        <w:t>en el numeral 9 de la Sentencia”</w:t>
      </w:r>
      <w:r w:rsidR="00D337CE">
        <w:rPr>
          <w:rFonts w:ascii="Verdana" w:hAnsi="Verdana" w:cs="Verdana"/>
          <w:sz w:val="20"/>
          <w:szCs w:val="20"/>
        </w:rPr>
        <w:t>, ya</w:t>
      </w:r>
      <w:r w:rsidR="005D1CC1">
        <w:rPr>
          <w:rFonts w:ascii="Verdana" w:hAnsi="Verdana" w:cs="Verdana"/>
          <w:sz w:val="20"/>
          <w:szCs w:val="20"/>
        </w:rPr>
        <w:t xml:space="preserve"> que “el pago de los intereses precitados se efectuó conforme a lo previsto en el ordenamiento interno”</w:t>
      </w:r>
      <w:r w:rsidR="00C41627">
        <w:rPr>
          <w:rFonts w:ascii="Verdana" w:hAnsi="Verdana" w:cs="Verdana"/>
          <w:sz w:val="20"/>
          <w:szCs w:val="20"/>
        </w:rPr>
        <w:t>.</w:t>
      </w:r>
      <w:r w:rsidR="00090031">
        <w:rPr>
          <w:rFonts w:ascii="Verdana" w:hAnsi="Verdana" w:cs="Verdana"/>
          <w:sz w:val="20"/>
          <w:szCs w:val="20"/>
        </w:rPr>
        <w:t xml:space="preserve"> </w:t>
      </w:r>
      <w:r w:rsidR="00D337CE">
        <w:rPr>
          <w:rFonts w:ascii="Verdana" w:hAnsi="Verdana" w:cs="Verdana"/>
          <w:sz w:val="20"/>
          <w:szCs w:val="20"/>
        </w:rPr>
        <w:t>Al respecto</w:t>
      </w:r>
      <w:r w:rsidR="00090031">
        <w:rPr>
          <w:rFonts w:ascii="Verdana" w:hAnsi="Verdana" w:cs="Verdana"/>
          <w:sz w:val="20"/>
          <w:szCs w:val="20"/>
        </w:rPr>
        <w:t xml:space="preserve">, indicó que </w:t>
      </w:r>
      <w:r w:rsidR="006909F7">
        <w:rPr>
          <w:rFonts w:ascii="Verdana" w:hAnsi="Verdana" w:cs="Verdana"/>
          <w:sz w:val="20"/>
          <w:szCs w:val="20"/>
        </w:rPr>
        <w:t>e</w:t>
      </w:r>
      <w:r w:rsidR="00090031">
        <w:rPr>
          <w:rFonts w:ascii="Verdana" w:hAnsi="Verdana" w:cs="Verdana"/>
          <w:sz w:val="20"/>
          <w:szCs w:val="20"/>
        </w:rPr>
        <w:t>l</w:t>
      </w:r>
      <w:r w:rsidR="006909F7">
        <w:rPr>
          <w:rFonts w:ascii="Verdana" w:hAnsi="Verdana" w:cs="Verdana"/>
          <w:sz w:val="20"/>
          <w:szCs w:val="20"/>
        </w:rPr>
        <w:t xml:space="preserve"> Ministerio de Relaciones Exteriores emitió una Resolución el 23 de diciembre de 2019 en la cual resolvió </w:t>
      </w:r>
      <w:r w:rsidR="00D337CE">
        <w:rPr>
          <w:rFonts w:ascii="Verdana" w:hAnsi="Verdana" w:cs="Verdana"/>
          <w:sz w:val="20"/>
          <w:szCs w:val="20"/>
        </w:rPr>
        <w:t>“[r]</w:t>
      </w:r>
      <w:proofErr w:type="spellStart"/>
      <w:r w:rsidR="00D337CE">
        <w:rPr>
          <w:rFonts w:ascii="Verdana" w:hAnsi="Verdana" w:cs="Verdana"/>
          <w:sz w:val="20"/>
          <w:szCs w:val="20"/>
        </w:rPr>
        <w:t>econocer</w:t>
      </w:r>
      <w:proofErr w:type="spellEnd"/>
      <w:r w:rsidR="00D337CE">
        <w:rPr>
          <w:rFonts w:ascii="Verdana" w:hAnsi="Verdana" w:cs="Verdana"/>
          <w:sz w:val="20"/>
          <w:szCs w:val="20"/>
        </w:rPr>
        <w:t xml:space="preserve"> y </w:t>
      </w:r>
      <w:r w:rsidR="000447D7">
        <w:rPr>
          <w:rFonts w:ascii="Verdana" w:hAnsi="Verdana" w:cs="Verdana"/>
          <w:sz w:val="20"/>
          <w:szCs w:val="20"/>
        </w:rPr>
        <w:t>ordenar el pago de [</w:t>
      </w:r>
      <w:r w:rsidR="00090031">
        <w:rPr>
          <w:rFonts w:ascii="Verdana" w:hAnsi="Verdana" w:cs="Verdana"/>
          <w:sz w:val="20"/>
          <w:szCs w:val="20"/>
        </w:rPr>
        <w:t>determinado monto</w:t>
      </w:r>
      <w:r w:rsidR="000447D7">
        <w:rPr>
          <w:rFonts w:ascii="Verdana" w:hAnsi="Verdana" w:cs="Verdana"/>
          <w:sz w:val="20"/>
          <w:szCs w:val="20"/>
        </w:rPr>
        <w:t xml:space="preserve"> en pesos colombianos] al señor Ángel Alberto Duque</w:t>
      </w:r>
      <w:r w:rsidR="00090031">
        <w:rPr>
          <w:rFonts w:ascii="Verdana" w:hAnsi="Verdana" w:cs="Verdana"/>
          <w:sz w:val="20"/>
          <w:szCs w:val="20"/>
        </w:rPr>
        <w:t xml:space="preserve"> </w:t>
      </w:r>
      <w:r w:rsidR="009A7854">
        <w:rPr>
          <w:rFonts w:ascii="Verdana" w:hAnsi="Verdana" w:cs="Verdana"/>
          <w:sz w:val="20"/>
          <w:szCs w:val="20"/>
        </w:rPr>
        <w:t>por concepto de intereses correspondientes a las mesadas pensionales impagadas entre 2002 y 2016”</w:t>
      </w:r>
      <w:r w:rsidR="000447D7">
        <w:rPr>
          <w:rStyle w:val="Refdenotaalpie"/>
          <w:rFonts w:ascii="Verdana" w:hAnsi="Verdana" w:cs="Verdana"/>
          <w:sz w:val="20"/>
          <w:szCs w:val="20"/>
        </w:rPr>
        <w:footnoteReference w:id="14"/>
      </w:r>
      <w:r w:rsidR="000447D7">
        <w:rPr>
          <w:rFonts w:ascii="Verdana" w:hAnsi="Verdana" w:cs="Verdana"/>
          <w:sz w:val="20"/>
          <w:szCs w:val="20"/>
        </w:rPr>
        <w:t>.</w:t>
      </w:r>
      <w:r w:rsidR="009A7854">
        <w:rPr>
          <w:rFonts w:ascii="Verdana" w:hAnsi="Verdana" w:cs="Verdana"/>
          <w:sz w:val="20"/>
          <w:szCs w:val="20"/>
        </w:rPr>
        <w:t xml:space="preserve"> </w:t>
      </w:r>
      <w:r w:rsidR="000447D7">
        <w:rPr>
          <w:rFonts w:ascii="Verdana" w:hAnsi="Verdana" w:cs="Verdana"/>
          <w:sz w:val="20"/>
          <w:szCs w:val="20"/>
        </w:rPr>
        <w:t xml:space="preserve">También informó </w:t>
      </w:r>
      <w:r w:rsidR="009A7854">
        <w:rPr>
          <w:rFonts w:ascii="Verdana" w:hAnsi="Verdana" w:cs="Verdana"/>
          <w:sz w:val="20"/>
          <w:szCs w:val="20"/>
        </w:rPr>
        <w:t xml:space="preserve">que </w:t>
      </w:r>
      <w:r w:rsidR="000447D7">
        <w:rPr>
          <w:rFonts w:ascii="Verdana" w:hAnsi="Verdana" w:cs="Verdana"/>
          <w:sz w:val="20"/>
          <w:szCs w:val="20"/>
        </w:rPr>
        <w:t>“[</w:t>
      </w:r>
      <w:r w:rsidR="009A7854">
        <w:rPr>
          <w:rFonts w:ascii="Verdana" w:hAnsi="Verdana" w:cs="Verdana"/>
          <w:sz w:val="20"/>
          <w:szCs w:val="20"/>
        </w:rPr>
        <w:t>e</w:t>
      </w:r>
      <w:r w:rsidR="000447D7">
        <w:rPr>
          <w:rFonts w:ascii="Verdana" w:hAnsi="Verdana" w:cs="Verdana"/>
          <w:sz w:val="20"/>
          <w:szCs w:val="20"/>
        </w:rPr>
        <w:t>]</w:t>
      </w:r>
      <w:r w:rsidR="009A7854">
        <w:rPr>
          <w:rFonts w:ascii="Verdana" w:hAnsi="Verdana" w:cs="Verdana"/>
          <w:sz w:val="20"/>
          <w:szCs w:val="20"/>
        </w:rPr>
        <w:t>l</w:t>
      </w:r>
      <w:r w:rsidR="000447D7">
        <w:rPr>
          <w:rFonts w:ascii="Verdana" w:hAnsi="Verdana" w:cs="Verdana"/>
          <w:sz w:val="20"/>
          <w:szCs w:val="20"/>
        </w:rPr>
        <w:t xml:space="preserve"> día</w:t>
      </w:r>
      <w:r w:rsidR="009A7854">
        <w:rPr>
          <w:rFonts w:ascii="Verdana" w:hAnsi="Verdana" w:cs="Verdana"/>
          <w:sz w:val="20"/>
          <w:szCs w:val="20"/>
        </w:rPr>
        <w:t xml:space="preserve"> 23 de enero de 2020</w:t>
      </w:r>
      <w:r w:rsidR="000447D7">
        <w:rPr>
          <w:rFonts w:ascii="Verdana" w:hAnsi="Verdana" w:cs="Verdana"/>
          <w:sz w:val="20"/>
          <w:szCs w:val="20"/>
        </w:rPr>
        <w:t>, se realizó el pago respectivo al apoderado [del señor Duque, la] Comisión Colombiana de Juristas”</w:t>
      </w:r>
      <w:r w:rsidR="000447D7">
        <w:rPr>
          <w:rStyle w:val="Refdenotaalpie"/>
          <w:rFonts w:ascii="Verdana" w:hAnsi="Verdana" w:cs="Verdana"/>
          <w:sz w:val="20"/>
          <w:szCs w:val="20"/>
        </w:rPr>
        <w:footnoteReference w:id="15"/>
      </w:r>
      <w:r w:rsidR="009A7854">
        <w:rPr>
          <w:rFonts w:ascii="Verdana" w:hAnsi="Verdana" w:cs="Verdana"/>
          <w:sz w:val="20"/>
          <w:szCs w:val="20"/>
        </w:rPr>
        <w:t>.</w:t>
      </w:r>
      <w:r w:rsidR="005D1CC1">
        <w:rPr>
          <w:rFonts w:ascii="Verdana" w:hAnsi="Verdana" w:cs="Verdana"/>
          <w:sz w:val="20"/>
          <w:szCs w:val="20"/>
        </w:rPr>
        <w:t xml:space="preserve"> Los representantes de la víctima confirmaron que se realizó el referido pago</w:t>
      </w:r>
      <w:r w:rsidR="000447D7">
        <w:rPr>
          <w:rFonts w:ascii="Verdana" w:hAnsi="Verdana" w:cs="Verdana"/>
          <w:sz w:val="20"/>
          <w:szCs w:val="20"/>
        </w:rPr>
        <w:t xml:space="preserve"> en los términos informados por el Estado</w:t>
      </w:r>
      <w:r w:rsidR="000447D7">
        <w:rPr>
          <w:rStyle w:val="Refdenotaalpie"/>
          <w:rFonts w:ascii="Verdana" w:hAnsi="Verdana" w:cs="Verdana"/>
          <w:sz w:val="20"/>
          <w:szCs w:val="20"/>
        </w:rPr>
        <w:footnoteReference w:id="16"/>
      </w:r>
      <w:r w:rsidR="005D1CC1">
        <w:rPr>
          <w:rFonts w:ascii="Verdana" w:hAnsi="Verdana" w:cs="Verdana"/>
          <w:sz w:val="20"/>
          <w:szCs w:val="20"/>
        </w:rPr>
        <w:t>.</w:t>
      </w:r>
    </w:p>
    <w:p w14:paraId="097B3E4C" w14:textId="2D3B4324" w:rsidR="005D1CC1" w:rsidRDefault="005D1CC1" w:rsidP="00090031">
      <w:pPr>
        <w:spacing w:before="120" w:after="120"/>
        <w:jc w:val="both"/>
        <w:rPr>
          <w:rFonts w:ascii="Verdana" w:hAnsi="Verdana" w:cs="Verdana"/>
          <w:sz w:val="20"/>
          <w:szCs w:val="20"/>
        </w:rPr>
      </w:pPr>
      <w:r>
        <w:rPr>
          <w:rFonts w:ascii="Verdana" w:hAnsi="Verdana" w:cs="Verdana"/>
          <w:sz w:val="20"/>
          <w:szCs w:val="20"/>
        </w:rPr>
        <w:t>7</w:t>
      </w:r>
      <w:r w:rsidR="00090031">
        <w:rPr>
          <w:rFonts w:ascii="Verdana" w:hAnsi="Verdana" w:cs="Verdana"/>
          <w:sz w:val="20"/>
          <w:szCs w:val="20"/>
        </w:rPr>
        <w:t>.</w:t>
      </w:r>
      <w:r>
        <w:rPr>
          <w:rFonts w:ascii="Verdana" w:hAnsi="Verdana" w:cs="Verdana"/>
          <w:sz w:val="20"/>
          <w:szCs w:val="20"/>
        </w:rPr>
        <w:tab/>
      </w:r>
      <w:r w:rsidR="00176ADC">
        <w:rPr>
          <w:rFonts w:ascii="Verdana" w:hAnsi="Verdana" w:cs="Verdana"/>
          <w:sz w:val="20"/>
          <w:szCs w:val="20"/>
        </w:rPr>
        <w:t xml:space="preserve">Tomando en cuenta </w:t>
      </w:r>
      <w:r w:rsidR="005B54B4">
        <w:rPr>
          <w:rFonts w:ascii="Verdana" w:hAnsi="Verdana" w:cs="Verdana"/>
          <w:sz w:val="20"/>
          <w:szCs w:val="20"/>
        </w:rPr>
        <w:t>la información y documentos aportados por el Estado, así como las observaciones de los representantes en cuanto al cumplimiento de la reparación</w:t>
      </w:r>
      <w:r w:rsidR="00176ADC">
        <w:rPr>
          <w:rFonts w:ascii="Verdana" w:hAnsi="Verdana" w:cs="Verdana"/>
          <w:sz w:val="20"/>
          <w:szCs w:val="20"/>
        </w:rPr>
        <w:t xml:space="preserve">, la Corte constata que Colombia pagó a la víctima los intereses correspondientes, de conformidad con la normativa interna colombiana, respecto de los pagos de la pensión de sobrevivencia que no se percibieron desde que el señor </w:t>
      </w:r>
      <w:r w:rsidR="00176ADC">
        <w:rPr>
          <w:rFonts w:ascii="Verdana" w:hAnsi="Verdana" w:cs="Verdana"/>
          <w:sz w:val="20"/>
          <w:szCs w:val="20"/>
        </w:rPr>
        <w:lastRenderedPageBreak/>
        <w:t xml:space="preserve">Duque presentó la solicitud </w:t>
      </w:r>
      <w:r w:rsidR="005B54B4">
        <w:rPr>
          <w:rFonts w:ascii="Verdana" w:hAnsi="Verdana" w:cs="Verdana"/>
          <w:sz w:val="20"/>
          <w:szCs w:val="20"/>
        </w:rPr>
        <w:t xml:space="preserve">inicial </w:t>
      </w:r>
      <w:r w:rsidR="00176ADC">
        <w:rPr>
          <w:rFonts w:ascii="Verdana" w:hAnsi="Verdana" w:cs="Verdana"/>
          <w:sz w:val="20"/>
          <w:szCs w:val="20"/>
        </w:rPr>
        <w:t>de información</w:t>
      </w:r>
      <w:r w:rsidR="008F1752">
        <w:rPr>
          <w:rFonts w:ascii="Verdana" w:hAnsi="Verdana" w:cs="Verdana"/>
          <w:sz w:val="20"/>
          <w:szCs w:val="20"/>
        </w:rPr>
        <w:t xml:space="preserve"> a COLFONDOS en marzo de 2002</w:t>
      </w:r>
      <w:r w:rsidR="005B54B4">
        <w:rPr>
          <w:rFonts w:ascii="Verdana" w:hAnsi="Verdana" w:cs="Verdana"/>
          <w:sz w:val="20"/>
          <w:szCs w:val="20"/>
        </w:rPr>
        <w:t xml:space="preserve"> hasta 2016</w:t>
      </w:r>
      <w:r w:rsidR="008F1752">
        <w:rPr>
          <w:rFonts w:ascii="Verdana" w:hAnsi="Verdana" w:cs="Verdana"/>
          <w:sz w:val="20"/>
          <w:szCs w:val="20"/>
        </w:rPr>
        <w:t xml:space="preserve">. </w:t>
      </w:r>
      <w:r w:rsidR="00176ADC">
        <w:rPr>
          <w:rFonts w:ascii="Verdana" w:hAnsi="Verdana" w:cs="Verdana"/>
          <w:sz w:val="20"/>
          <w:szCs w:val="20"/>
        </w:rPr>
        <w:t xml:space="preserve">Por lo </w:t>
      </w:r>
      <w:r w:rsidR="008F1752">
        <w:rPr>
          <w:rFonts w:ascii="Verdana" w:hAnsi="Verdana" w:cs="Verdana"/>
          <w:sz w:val="20"/>
          <w:szCs w:val="20"/>
        </w:rPr>
        <w:t>tanto</w:t>
      </w:r>
      <w:r w:rsidR="00176ADC">
        <w:rPr>
          <w:rFonts w:ascii="Verdana" w:hAnsi="Verdana" w:cs="Verdana"/>
          <w:sz w:val="20"/>
          <w:szCs w:val="20"/>
        </w:rPr>
        <w:t xml:space="preserve">, este Tribunal considera que </w:t>
      </w:r>
      <w:r w:rsidR="005B54B4">
        <w:rPr>
          <w:rFonts w:ascii="Verdana" w:hAnsi="Verdana" w:cs="Verdana"/>
          <w:sz w:val="20"/>
          <w:szCs w:val="20"/>
        </w:rPr>
        <w:t xml:space="preserve">el </w:t>
      </w:r>
      <w:r w:rsidR="00176ADC">
        <w:rPr>
          <w:rFonts w:ascii="Verdana" w:hAnsi="Verdana" w:cs="Verdana"/>
          <w:sz w:val="20"/>
          <w:szCs w:val="20"/>
        </w:rPr>
        <w:t>Estado ha dado cumplimiento total a la medida de reparación ordenada en el punto resolutivo noveno de la Sentencia.</w:t>
      </w:r>
    </w:p>
    <w:p w14:paraId="58119A16" w14:textId="77777777" w:rsidR="005D1CC1" w:rsidRPr="00F97A26" w:rsidRDefault="005D1CC1" w:rsidP="008F1752">
      <w:pPr>
        <w:spacing w:before="120" w:after="120"/>
        <w:jc w:val="both"/>
        <w:rPr>
          <w:rFonts w:ascii="Verdana" w:hAnsi="Verdana" w:cs="Verdana"/>
          <w:sz w:val="20"/>
          <w:szCs w:val="20"/>
          <w:highlight w:val="lightGray"/>
        </w:rPr>
      </w:pPr>
    </w:p>
    <w:p w14:paraId="36512BD7" w14:textId="77777777" w:rsidR="00D24534" w:rsidRPr="00CB2BE5" w:rsidRDefault="00D24534" w:rsidP="008F1752">
      <w:pPr>
        <w:pStyle w:val="Sinespaciado"/>
        <w:spacing w:before="120" w:after="120"/>
        <w:jc w:val="both"/>
        <w:rPr>
          <w:rFonts w:ascii="Verdana" w:hAnsi="Verdana"/>
          <w:b/>
          <w:sz w:val="20"/>
          <w:szCs w:val="20"/>
        </w:rPr>
      </w:pPr>
      <w:r w:rsidRPr="00CB2BE5">
        <w:rPr>
          <w:rFonts w:ascii="Verdana" w:hAnsi="Verdana"/>
          <w:b/>
          <w:sz w:val="20"/>
          <w:szCs w:val="20"/>
        </w:rPr>
        <w:t>POR TANTO:</w:t>
      </w:r>
    </w:p>
    <w:p w14:paraId="630B9585" w14:textId="77777777" w:rsidR="00D24534" w:rsidRPr="00CB2BE5" w:rsidRDefault="00D24534" w:rsidP="008F1752">
      <w:pPr>
        <w:pStyle w:val="Sinespaciado"/>
        <w:spacing w:before="120" w:after="120"/>
        <w:jc w:val="both"/>
        <w:rPr>
          <w:rFonts w:ascii="Verdana" w:hAnsi="Verdana"/>
          <w:b/>
          <w:sz w:val="20"/>
          <w:szCs w:val="20"/>
        </w:rPr>
      </w:pPr>
      <w:r w:rsidRPr="00CB2BE5">
        <w:rPr>
          <w:rFonts w:ascii="Verdana" w:hAnsi="Verdana"/>
          <w:b/>
          <w:sz w:val="20"/>
          <w:szCs w:val="20"/>
        </w:rPr>
        <w:t xml:space="preserve">LA CORTE INTERAMERICANA DE DERECHOS HUMANOS, </w:t>
      </w:r>
    </w:p>
    <w:p w14:paraId="4E73F4EB" w14:textId="77777777" w:rsidR="00D24534" w:rsidRDefault="00D24534" w:rsidP="008F1752">
      <w:pPr>
        <w:pStyle w:val="Sinespaciado"/>
        <w:spacing w:before="120" w:after="120"/>
        <w:jc w:val="both"/>
        <w:rPr>
          <w:rFonts w:ascii="Verdana" w:hAnsi="Verdana"/>
          <w:sz w:val="20"/>
          <w:szCs w:val="20"/>
        </w:rPr>
      </w:pPr>
      <w:r>
        <w:rPr>
          <w:rFonts w:ascii="Verdana" w:hAnsi="Verdana"/>
          <w:sz w:val="20"/>
          <w:szCs w:val="20"/>
        </w:rPr>
        <w:t>en el ejercicio de sus atribuciones de supervisión del cumplimiento de sus decisiones, de conformidad con los artículos 33, 62.1, 62.3, 65, 67 y 68.1 de la Convención Americana sobre Derechos Humanos, 24, 25 y 30 del Estatuto, y 31.2 y 69 de su Reglamento,</w:t>
      </w:r>
    </w:p>
    <w:p w14:paraId="5187C0E6" w14:textId="77777777" w:rsidR="00D24534" w:rsidRPr="00CB2BE5" w:rsidRDefault="00D24534" w:rsidP="008F1752">
      <w:pPr>
        <w:pStyle w:val="Sinespaciado"/>
        <w:spacing w:before="120" w:after="120"/>
        <w:jc w:val="both"/>
        <w:rPr>
          <w:rFonts w:ascii="Verdana" w:hAnsi="Verdana"/>
          <w:b/>
          <w:sz w:val="20"/>
          <w:szCs w:val="20"/>
        </w:rPr>
      </w:pPr>
      <w:r w:rsidRPr="00CB2BE5">
        <w:rPr>
          <w:rFonts w:ascii="Verdana" w:hAnsi="Verdana"/>
          <w:b/>
          <w:sz w:val="20"/>
          <w:szCs w:val="20"/>
        </w:rPr>
        <w:t>RESUELVE:</w:t>
      </w:r>
    </w:p>
    <w:p w14:paraId="6000161D" w14:textId="3667640B" w:rsidR="00D24534" w:rsidRDefault="00D24534" w:rsidP="008F1752">
      <w:pPr>
        <w:pStyle w:val="Sinespaciado"/>
        <w:numPr>
          <w:ilvl w:val="0"/>
          <w:numId w:val="21"/>
        </w:numPr>
        <w:spacing w:before="120" w:after="120"/>
        <w:ind w:left="0" w:firstLine="0"/>
        <w:jc w:val="both"/>
        <w:rPr>
          <w:rFonts w:ascii="Verdana" w:hAnsi="Verdana"/>
          <w:sz w:val="20"/>
          <w:szCs w:val="20"/>
        </w:rPr>
      </w:pPr>
      <w:r>
        <w:rPr>
          <w:rFonts w:ascii="Verdana" w:hAnsi="Verdana"/>
          <w:sz w:val="20"/>
          <w:szCs w:val="20"/>
        </w:rPr>
        <w:t>Declarar, de conformidad con l</w:t>
      </w:r>
      <w:r w:rsidR="00C131B2">
        <w:rPr>
          <w:rFonts w:ascii="Verdana" w:hAnsi="Verdana"/>
          <w:sz w:val="20"/>
          <w:szCs w:val="20"/>
        </w:rPr>
        <w:t>o indicado en los Considerando</w:t>
      </w:r>
      <w:r w:rsidR="005B54B4">
        <w:rPr>
          <w:rFonts w:ascii="Verdana" w:hAnsi="Verdana"/>
          <w:sz w:val="20"/>
          <w:szCs w:val="20"/>
        </w:rPr>
        <w:t>s</w:t>
      </w:r>
      <w:r w:rsidR="00C131B2">
        <w:rPr>
          <w:rFonts w:ascii="Verdana" w:hAnsi="Verdana"/>
          <w:sz w:val="20"/>
          <w:szCs w:val="20"/>
        </w:rPr>
        <w:t xml:space="preserve"> </w:t>
      </w:r>
      <w:r w:rsidR="008F1752">
        <w:rPr>
          <w:rFonts w:ascii="Verdana" w:hAnsi="Verdana"/>
          <w:sz w:val="20"/>
          <w:szCs w:val="20"/>
        </w:rPr>
        <w:t>6 y 7</w:t>
      </w:r>
      <w:r w:rsidR="00C131B2">
        <w:rPr>
          <w:rFonts w:ascii="Verdana" w:hAnsi="Verdana"/>
          <w:sz w:val="20"/>
          <w:szCs w:val="20"/>
        </w:rPr>
        <w:t xml:space="preserve"> </w:t>
      </w:r>
      <w:r>
        <w:rPr>
          <w:rFonts w:ascii="Verdana" w:hAnsi="Verdana"/>
          <w:sz w:val="20"/>
          <w:szCs w:val="20"/>
        </w:rPr>
        <w:t xml:space="preserve">de la presente Resolución, que el Estado </w:t>
      </w:r>
      <w:r w:rsidR="00072FEF">
        <w:rPr>
          <w:rFonts w:ascii="Verdana" w:hAnsi="Verdana"/>
          <w:sz w:val="20"/>
          <w:szCs w:val="20"/>
        </w:rPr>
        <w:t>ha dado cumplimiento total a la medida</w:t>
      </w:r>
      <w:r>
        <w:rPr>
          <w:rFonts w:ascii="Verdana" w:hAnsi="Verdana"/>
          <w:sz w:val="20"/>
          <w:szCs w:val="20"/>
        </w:rPr>
        <w:t xml:space="preserve"> de reparación</w:t>
      </w:r>
      <w:r w:rsidR="008F1752">
        <w:rPr>
          <w:rFonts w:ascii="Verdana" w:hAnsi="Verdana"/>
          <w:sz w:val="20"/>
          <w:szCs w:val="20"/>
        </w:rPr>
        <w:t xml:space="preserve"> relativa al </w:t>
      </w:r>
      <w:r w:rsidR="008F1752" w:rsidRPr="00E555AE">
        <w:rPr>
          <w:rFonts w:ascii="Verdana" w:hAnsi="Verdana"/>
          <w:sz w:val="20"/>
          <w:szCs w:val="20"/>
        </w:rPr>
        <w:t>trámite en la solicitud de pensión de sobrevivencia del señor Duque</w:t>
      </w:r>
      <w:r w:rsidR="008F1752">
        <w:rPr>
          <w:rFonts w:ascii="Verdana" w:hAnsi="Verdana"/>
          <w:sz w:val="20"/>
          <w:szCs w:val="20"/>
        </w:rPr>
        <w:t xml:space="preserve">, ordenada en el </w:t>
      </w:r>
      <w:r w:rsidRPr="00F23197">
        <w:rPr>
          <w:rFonts w:ascii="Verdana" w:hAnsi="Verdana"/>
          <w:iCs/>
          <w:sz w:val="20"/>
          <w:szCs w:val="20"/>
        </w:rPr>
        <w:t xml:space="preserve">punto resolutivo </w:t>
      </w:r>
      <w:r w:rsidR="00B66CD9" w:rsidRPr="00F23197">
        <w:rPr>
          <w:rFonts w:ascii="Verdana" w:hAnsi="Verdana"/>
          <w:iCs/>
          <w:sz w:val="20"/>
          <w:szCs w:val="20"/>
        </w:rPr>
        <w:t>noveno</w:t>
      </w:r>
      <w:r w:rsidRPr="00F23197">
        <w:rPr>
          <w:rFonts w:ascii="Verdana" w:hAnsi="Verdana"/>
          <w:iCs/>
          <w:sz w:val="20"/>
          <w:szCs w:val="20"/>
        </w:rPr>
        <w:t xml:space="preserve"> de la Sentencia</w:t>
      </w:r>
      <w:r>
        <w:rPr>
          <w:rFonts w:ascii="Verdana" w:hAnsi="Verdana"/>
          <w:sz w:val="20"/>
          <w:szCs w:val="20"/>
        </w:rPr>
        <w:t>.</w:t>
      </w:r>
    </w:p>
    <w:p w14:paraId="7E5D3936" w14:textId="77777777" w:rsidR="00D24534" w:rsidRDefault="00D24534" w:rsidP="008F1752">
      <w:pPr>
        <w:pStyle w:val="Sinespaciado"/>
        <w:numPr>
          <w:ilvl w:val="0"/>
          <w:numId w:val="21"/>
        </w:numPr>
        <w:spacing w:before="120" w:after="120"/>
        <w:ind w:left="0" w:firstLine="0"/>
        <w:jc w:val="both"/>
        <w:rPr>
          <w:rFonts w:ascii="Verdana" w:hAnsi="Verdana"/>
          <w:sz w:val="20"/>
          <w:szCs w:val="20"/>
        </w:rPr>
      </w:pPr>
      <w:r>
        <w:rPr>
          <w:rFonts w:ascii="Verdana" w:hAnsi="Verdana"/>
          <w:sz w:val="20"/>
          <w:szCs w:val="20"/>
        </w:rPr>
        <w:t xml:space="preserve">Dar por concluido el caso </w:t>
      </w:r>
      <w:r w:rsidR="00C131B2">
        <w:rPr>
          <w:rFonts w:ascii="Verdana" w:hAnsi="Verdana"/>
          <w:i/>
          <w:sz w:val="20"/>
          <w:szCs w:val="20"/>
        </w:rPr>
        <w:t>Duque</w:t>
      </w:r>
      <w:r>
        <w:rPr>
          <w:rFonts w:ascii="Verdana" w:hAnsi="Verdana"/>
          <w:sz w:val="20"/>
          <w:szCs w:val="20"/>
        </w:rPr>
        <w:t xml:space="preserve"> dado que la República de </w:t>
      </w:r>
      <w:r w:rsidR="00C131B2">
        <w:rPr>
          <w:rFonts w:ascii="Verdana" w:hAnsi="Verdana"/>
          <w:sz w:val="20"/>
          <w:szCs w:val="20"/>
        </w:rPr>
        <w:t>Colombia</w:t>
      </w:r>
      <w:r>
        <w:rPr>
          <w:rFonts w:ascii="Verdana" w:hAnsi="Verdana"/>
          <w:sz w:val="20"/>
          <w:szCs w:val="20"/>
        </w:rPr>
        <w:t xml:space="preserve"> ha dado cumplimiento a lo dispuesto en la Sentencia de </w:t>
      </w:r>
      <w:r>
        <w:rPr>
          <w:rFonts w:ascii="Verdana" w:hAnsi="Verdana"/>
          <w:color w:val="000000"/>
          <w:sz w:val="20"/>
          <w:szCs w:val="20"/>
          <w:shd w:val="clear" w:color="auto" w:fill="FFFFFF"/>
        </w:rPr>
        <w:t xml:space="preserve">excepciones preliminares, fondo, reparaciones y costas </w:t>
      </w:r>
      <w:r w:rsidR="00D6066B">
        <w:rPr>
          <w:rFonts w:ascii="Verdana" w:hAnsi="Verdana"/>
          <w:sz w:val="20"/>
          <w:szCs w:val="20"/>
        </w:rPr>
        <w:t>emitida por la Corte el 26</w:t>
      </w:r>
      <w:r>
        <w:rPr>
          <w:rFonts w:ascii="Verdana" w:hAnsi="Verdana"/>
          <w:sz w:val="20"/>
          <w:szCs w:val="20"/>
        </w:rPr>
        <w:t xml:space="preserve"> de </w:t>
      </w:r>
      <w:r w:rsidR="00D6066B">
        <w:rPr>
          <w:rFonts w:ascii="Verdana" w:hAnsi="Verdana"/>
          <w:sz w:val="20"/>
          <w:szCs w:val="20"/>
        </w:rPr>
        <w:t>febrero</w:t>
      </w:r>
      <w:r>
        <w:rPr>
          <w:rFonts w:ascii="Verdana" w:hAnsi="Verdana"/>
          <w:sz w:val="20"/>
          <w:szCs w:val="20"/>
        </w:rPr>
        <w:t xml:space="preserve"> d</w:t>
      </w:r>
      <w:r w:rsidR="00D6066B">
        <w:rPr>
          <w:rFonts w:ascii="Verdana" w:hAnsi="Verdana"/>
          <w:sz w:val="20"/>
          <w:szCs w:val="20"/>
        </w:rPr>
        <w:t>e 2016.</w:t>
      </w:r>
    </w:p>
    <w:p w14:paraId="5968D549" w14:textId="77777777" w:rsidR="00D24534" w:rsidRDefault="00D24534" w:rsidP="008F1752">
      <w:pPr>
        <w:pStyle w:val="Sinespaciado"/>
        <w:numPr>
          <w:ilvl w:val="0"/>
          <w:numId w:val="21"/>
        </w:numPr>
        <w:spacing w:before="120" w:after="120"/>
        <w:ind w:left="0" w:firstLine="0"/>
        <w:jc w:val="both"/>
        <w:rPr>
          <w:rFonts w:ascii="Verdana" w:hAnsi="Verdana"/>
          <w:sz w:val="20"/>
          <w:szCs w:val="20"/>
        </w:rPr>
      </w:pPr>
      <w:r>
        <w:rPr>
          <w:rFonts w:ascii="Verdana" w:hAnsi="Verdana"/>
          <w:sz w:val="20"/>
          <w:szCs w:val="20"/>
        </w:rPr>
        <w:t>Comunicar esta Resolución a la Asamblea General de la Organización de los Estados Americanos por conducto del Informe Anual de la Corte Interamericana de Derechos Humanos del año 2020.</w:t>
      </w:r>
    </w:p>
    <w:p w14:paraId="25CB3759" w14:textId="77777777" w:rsidR="00D24534" w:rsidRDefault="00D24534" w:rsidP="008F1752">
      <w:pPr>
        <w:pStyle w:val="Sinespaciado"/>
        <w:numPr>
          <w:ilvl w:val="0"/>
          <w:numId w:val="21"/>
        </w:numPr>
        <w:spacing w:before="120" w:after="120"/>
        <w:ind w:left="0" w:firstLine="0"/>
        <w:jc w:val="both"/>
        <w:rPr>
          <w:rFonts w:ascii="Verdana" w:hAnsi="Verdana"/>
          <w:sz w:val="20"/>
          <w:szCs w:val="20"/>
        </w:rPr>
      </w:pPr>
      <w:r>
        <w:rPr>
          <w:rFonts w:ascii="Verdana" w:hAnsi="Verdana"/>
          <w:sz w:val="20"/>
          <w:szCs w:val="20"/>
        </w:rPr>
        <w:t xml:space="preserve">Archivar el expediente del </w:t>
      </w:r>
      <w:r w:rsidRPr="00031392">
        <w:rPr>
          <w:rFonts w:ascii="Verdana" w:hAnsi="Verdana"/>
          <w:i/>
          <w:sz w:val="20"/>
          <w:szCs w:val="20"/>
        </w:rPr>
        <w:t xml:space="preserve">Caso </w:t>
      </w:r>
      <w:r w:rsidR="00C131B2">
        <w:rPr>
          <w:rFonts w:ascii="Verdana" w:hAnsi="Verdana"/>
          <w:i/>
          <w:sz w:val="20"/>
          <w:szCs w:val="20"/>
        </w:rPr>
        <w:t>Duque</w:t>
      </w:r>
      <w:r w:rsidRPr="00031392">
        <w:rPr>
          <w:rFonts w:ascii="Verdana" w:hAnsi="Verdana"/>
          <w:i/>
          <w:sz w:val="20"/>
          <w:szCs w:val="20"/>
        </w:rPr>
        <w:t xml:space="preserve"> Vs. </w:t>
      </w:r>
      <w:r w:rsidR="00C131B2">
        <w:rPr>
          <w:rFonts w:ascii="Verdana" w:hAnsi="Verdana"/>
          <w:i/>
          <w:sz w:val="20"/>
          <w:szCs w:val="20"/>
        </w:rPr>
        <w:t>Colombia</w:t>
      </w:r>
      <w:r>
        <w:rPr>
          <w:rFonts w:ascii="Verdana" w:hAnsi="Verdana"/>
          <w:sz w:val="20"/>
          <w:szCs w:val="20"/>
        </w:rPr>
        <w:t>.</w:t>
      </w:r>
    </w:p>
    <w:p w14:paraId="00172568" w14:textId="31A32124" w:rsidR="00D24534" w:rsidRDefault="00D24534" w:rsidP="008F1752">
      <w:pPr>
        <w:pStyle w:val="Sinespaciado"/>
        <w:numPr>
          <w:ilvl w:val="0"/>
          <w:numId w:val="21"/>
        </w:numPr>
        <w:spacing w:before="120" w:after="120"/>
        <w:ind w:left="0" w:firstLine="0"/>
        <w:jc w:val="both"/>
        <w:rPr>
          <w:rFonts w:ascii="Verdana" w:hAnsi="Verdana"/>
          <w:sz w:val="20"/>
          <w:szCs w:val="20"/>
        </w:rPr>
      </w:pPr>
      <w:r>
        <w:rPr>
          <w:rFonts w:ascii="Verdana" w:hAnsi="Verdana"/>
          <w:sz w:val="20"/>
          <w:szCs w:val="20"/>
        </w:rPr>
        <w:t>Disponer que la Secretaría de la Corte notifique la presente Resolución al Estado, a</w:t>
      </w:r>
      <w:r w:rsidR="005E1D0D">
        <w:rPr>
          <w:rFonts w:ascii="Verdana" w:hAnsi="Verdana"/>
          <w:sz w:val="20"/>
          <w:szCs w:val="20"/>
        </w:rPr>
        <w:t xml:space="preserve"> los representantes de</w:t>
      </w:r>
      <w:r>
        <w:rPr>
          <w:rFonts w:ascii="Verdana" w:hAnsi="Verdana"/>
          <w:sz w:val="20"/>
          <w:szCs w:val="20"/>
        </w:rPr>
        <w:t xml:space="preserve"> la víctima y a la Comisión Interamericana de Derechos Humanos.</w:t>
      </w:r>
    </w:p>
    <w:p w14:paraId="1302B29E" w14:textId="02E077E9" w:rsidR="00146757" w:rsidRDefault="00146757" w:rsidP="008F1752">
      <w:pPr>
        <w:spacing w:before="120" w:after="120"/>
        <w:rPr>
          <w:rFonts w:ascii="Verdana" w:hAnsi="Verdana"/>
          <w:sz w:val="20"/>
          <w:szCs w:val="20"/>
        </w:rPr>
      </w:pPr>
    </w:p>
    <w:p w14:paraId="1CA0A1FA" w14:textId="77777777" w:rsidR="00B85764" w:rsidRPr="00B85764" w:rsidRDefault="00B85764" w:rsidP="00B85764">
      <w:pPr>
        <w:keepNext/>
        <w:jc w:val="both"/>
        <w:outlineLvl w:val="0"/>
        <w:rPr>
          <w:rFonts w:ascii="Verdana" w:eastAsia="Times" w:hAnsi="Verdana" w:cs="Verdana"/>
          <w:b/>
          <w:bCs/>
          <w:sz w:val="20"/>
          <w:szCs w:val="20"/>
          <w:lang w:val="es-ES" w:eastAsia="en-US"/>
        </w:rPr>
      </w:pPr>
      <w:r w:rsidRPr="008102F9">
        <w:rPr>
          <w:rFonts w:ascii="Verdana" w:eastAsia="Times" w:hAnsi="Verdana" w:cs="Courier New"/>
          <w:noProof/>
          <w:sz w:val="20"/>
          <w:szCs w:val="20"/>
          <w:lang w:val="pt-BR" w:eastAsia="en-US"/>
        </w:rPr>
        <w:t xml:space="preserve">Corte IDH. </w:t>
      </w:r>
      <w:r w:rsidRPr="008102F9">
        <w:rPr>
          <w:rFonts w:ascii="Verdana" w:eastAsia="Times" w:hAnsi="Verdana"/>
          <w:bCs/>
          <w:i/>
          <w:sz w:val="20"/>
          <w:szCs w:val="20"/>
          <w:lang w:val="pt-BR" w:eastAsia="en-US"/>
        </w:rPr>
        <w:t xml:space="preserve">Caso Duque Vs. </w:t>
      </w:r>
      <w:r w:rsidRPr="00B85764">
        <w:rPr>
          <w:rFonts w:ascii="Verdana" w:eastAsia="Times" w:hAnsi="Verdana"/>
          <w:bCs/>
          <w:i/>
          <w:sz w:val="20"/>
          <w:szCs w:val="20"/>
          <w:lang w:eastAsia="en-US"/>
        </w:rPr>
        <w:t xml:space="preserve">Colombia. </w:t>
      </w:r>
      <w:r w:rsidRPr="00B85764">
        <w:rPr>
          <w:rFonts w:ascii="Verdana" w:eastAsia="Times" w:hAnsi="Verdana" w:cs="Arial"/>
          <w:sz w:val="20"/>
          <w:szCs w:val="20"/>
          <w:lang w:eastAsia="en-US"/>
        </w:rPr>
        <w:t>Supervisión de Cumplimiento de Sentencia.</w:t>
      </w:r>
      <w:r w:rsidRPr="00B85764">
        <w:rPr>
          <w:rFonts w:ascii="Verdana" w:eastAsia="Times" w:hAnsi="Verdana" w:cs="Arial"/>
          <w:i/>
          <w:sz w:val="20"/>
          <w:szCs w:val="20"/>
          <w:lang w:eastAsia="en-US"/>
        </w:rPr>
        <w:t xml:space="preserve"> </w:t>
      </w:r>
      <w:r w:rsidRPr="00B85764">
        <w:rPr>
          <w:rFonts w:ascii="Verdana" w:eastAsia="Times" w:hAnsi="Verdana"/>
          <w:sz w:val="20"/>
          <w:szCs w:val="20"/>
          <w:lang w:val="es-ES" w:eastAsia="en-US"/>
        </w:rPr>
        <w:t xml:space="preserve">Resolución de la Corte Interamericana de Derechos Humanos de 12 </w:t>
      </w:r>
      <w:r w:rsidRPr="00B85764">
        <w:rPr>
          <w:rFonts w:ascii="Verdana" w:eastAsia="Times" w:hAnsi="Verdana"/>
          <w:sz w:val="20"/>
          <w:szCs w:val="20"/>
          <w:lang w:eastAsia="en-US"/>
        </w:rPr>
        <w:t>de marzo de 2020</w:t>
      </w:r>
      <w:r w:rsidRPr="00B85764">
        <w:rPr>
          <w:rFonts w:ascii="Verdana" w:eastAsia="Times" w:hAnsi="Verdana"/>
          <w:sz w:val="20"/>
          <w:szCs w:val="20"/>
          <w:lang w:val="es-ES" w:eastAsia="en-US"/>
        </w:rPr>
        <w:t xml:space="preserve">. </w:t>
      </w:r>
    </w:p>
    <w:p w14:paraId="5972A905" w14:textId="77777777" w:rsidR="00B85764" w:rsidRPr="00B85764" w:rsidRDefault="00B85764" w:rsidP="00B85764">
      <w:pPr>
        <w:jc w:val="center"/>
        <w:rPr>
          <w:rFonts w:ascii="Verdana" w:eastAsia="Times" w:hAnsi="Verdana"/>
          <w:sz w:val="20"/>
          <w:szCs w:val="20"/>
          <w:lang w:val="es-ES" w:eastAsia="en-US"/>
        </w:rPr>
      </w:pPr>
    </w:p>
    <w:p w14:paraId="1031D14F" w14:textId="77777777" w:rsidR="00B85764" w:rsidRPr="00B85764" w:rsidRDefault="00B85764" w:rsidP="00B85764">
      <w:pPr>
        <w:jc w:val="center"/>
        <w:rPr>
          <w:rFonts w:ascii="Verdana" w:eastAsia="Times" w:hAnsi="Verdana"/>
          <w:sz w:val="20"/>
          <w:szCs w:val="20"/>
          <w:lang w:val="es-ES" w:eastAsia="en-US"/>
        </w:rPr>
      </w:pPr>
    </w:p>
    <w:p w14:paraId="62378915" w14:textId="77777777" w:rsidR="00B85764" w:rsidRPr="008102F9" w:rsidRDefault="00B85764" w:rsidP="00B85764">
      <w:pPr>
        <w:jc w:val="center"/>
        <w:rPr>
          <w:rFonts w:ascii="Verdana" w:eastAsia="Times" w:hAnsi="Verdana"/>
          <w:sz w:val="20"/>
          <w:szCs w:val="20"/>
          <w:lang w:val="pt-BR" w:eastAsia="en-US"/>
        </w:rPr>
      </w:pPr>
      <w:r w:rsidRPr="00B85764">
        <w:rPr>
          <w:rFonts w:ascii="Verdana" w:eastAsia="Times" w:hAnsi="Verdana"/>
          <w:sz w:val="20"/>
          <w:szCs w:val="20"/>
          <w:lang w:val="pt-BR" w:eastAsia="en-US"/>
        </w:rPr>
        <w:t xml:space="preserve">Elizabeth </w:t>
      </w:r>
      <w:proofErr w:type="spellStart"/>
      <w:r w:rsidRPr="00B85764">
        <w:rPr>
          <w:rFonts w:ascii="Verdana" w:eastAsia="Times" w:hAnsi="Verdana"/>
          <w:sz w:val="20"/>
          <w:szCs w:val="20"/>
          <w:lang w:val="pt-BR" w:eastAsia="en-US"/>
        </w:rPr>
        <w:t>Odio</w:t>
      </w:r>
      <w:proofErr w:type="spellEnd"/>
      <w:r w:rsidRPr="00B85764">
        <w:rPr>
          <w:rFonts w:ascii="Verdana" w:eastAsia="Times" w:hAnsi="Verdana"/>
          <w:sz w:val="20"/>
          <w:szCs w:val="20"/>
          <w:lang w:val="pt-BR" w:eastAsia="en-US"/>
        </w:rPr>
        <w:t xml:space="preserve"> Benito</w:t>
      </w:r>
    </w:p>
    <w:p w14:paraId="0792CC1D" w14:textId="77777777" w:rsidR="00B85764" w:rsidRPr="00B85764" w:rsidRDefault="00B85764" w:rsidP="00B85764">
      <w:pPr>
        <w:jc w:val="center"/>
        <w:rPr>
          <w:rFonts w:ascii="Verdana" w:eastAsia="Times" w:hAnsi="Verdana"/>
          <w:sz w:val="20"/>
          <w:szCs w:val="20"/>
          <w:lang w:val="pt-BR" w:eastAsia="en-US"/>
        </w:rPr>
      </w:pPr>
      <w:r w:rsidRPr="00B85764">
        <w:rPr>
          <w:rFonts w:ascii="Verdana" w:eastAsia="Times" w:hAnsi="Verdana"/>
          <w:sz w:val="20"/>
          <w:szCs w:val="20"/>
          <w:lang w:val="pt-BR" w:eastAsia="en-US"/>
        </w:rPr>
        <w:t>Presidenta</w:t>
      </w:r>
    </w:p>
    <w:p w14:paraId="671F55E1" w14:textId="77777777" w:rsidR="00B85764" w:rsidRPr="00B85764" w:rsidRDefault="00B85764" w:rsidP="00B85764">
      <w:pPr>
        <w:rPr>
          <w:rFonts w:ascii="Verdana" w:eastAsia="Times" w:hAnsi="Verdana"/>
          <w:sz w:val="20"/>
          <w:szCs w:val="20"/>
          <w:lang w:val="pt-BR" w:eastAsia="en-US"/>
        </w:rPr>
      </w:pPr>
      <w:bookmarkStart w:id="5" w:name="_GoBack"/>
      <w:bookmarkEnd w:id="5"/>
    </w:p>
    <w:p w14:paraId="382E7F00" w14:textId="77777777" w:rsidR="00B85764" w:rsidRPr="00B85764" w:rsidRDefault="00B85764" w:rsidP="00B85764">
      <w:pPr>
        <w:rPr>
          <w:rFonts w:ascii="Verdana" w:eastAsia="Times" w:hAnsi="Verdana"/>
          <w:sz w:val="20"/>
          <w:szCs w:val="20"/>
          <w:lang w:val="pt-BR" w:eastAsia="en-US"/>
        </w:rPr>
      </w:pPr>
    </w:p>
    <w:p w14:paraId="6ACAF305" w14:textId="77777777" w:rsidR="00B85764" w:rsidRPr="00B85764" w:rsidRDefault="00B85764" w:rsidP="00B85764">
      <w:pPr>
        <w:jc w:val="both"/>
        <w:rPr>
          <w:rFonts w:ascii="Verdana" w:eastAsia="Times" w:hAnsi="Verdana"/>
          <w:sz w:val="20"/>
          <w:szCs w:val="20"/>
          <w:lang w:val="pt-BR" w:eastAsia="en-US"/>
        </w:rPr>
      </w:pPr>
      <w:r w:rsidRPr="00B85764">
        <w:rPr>
          <w:rFonts w:ascii="Verdana" w:eastAsia="Times" w:hAnsi="Verdana"/>
          <w:sz w:val="20"/>
          <w:szCs w:val="20"/>
          <w:lang w:val="pt-BR" w:eastAsia="en-US"/>
        </w:rPr>
        <w:t xml:space="preserve">L. </w:t>
      </w:r>
      <w:proofErr w:type="spellStart"/>
      <w:r w:rsidRPr="00B85764">
        <w:rPr>
          <w:rFonts w:ascii="Verdana" w:eastAsia="Times" w:hAnsi="Verdana"/>
          <w:sz w:val="20"/>
          <w:szCs w:val="20"/>
          <w:lang w:val="pt-BR" w:eastAsia="en-US"/>
        </w:rPr>
        <w:t>Patricio</w:t>
      </w:r>
      <w:proofErr w:type="spellEnd"/>
      <w:r w:rsidRPr="00B85764">
        <w:rPr>
          <w:rFonts w:ascii="Verdana" w:eastAsia="Times" w:hAnsi="Verdana"/>
          <w:sz w:val="20"/>
          <w:szCs w:val="20"/>
          <w:lang w:val="pt-BR" w:eastAsia="en-US"/>
        </w:rPr>
        <w:t xml:space="preserve"> </w:t>
      </w:r>
      <w:proofErr w:type="spellStart"/>
      <w:r w:rsidRPr="00B85764">
        <w:rPr>
          <w:rFonts w:ascii="Verdana" w:eastAsia="Times" w:hAnsi="Verdana"/>
          <w:sz w:val="20"/>
          <w:szCs w:val="20"/>
          <w:lang w:val="pt-BR" w:eastAsia="en-US"/>
        </w:rPr>
        <w:t>Pazmiño</w:t>
      </w:r>
      <w:proofErr w:type="spellEnd"/>
      <w:r w:rsidRPr="00B85764">
        <w:rPr>
          <w:rFonts w:ascii="Verdana" w:eastAsia="Times" w:hAnsi="Verdana"/>
          <w:sz w:val="20"/>
          <w:szCs w:val="20"/>
          <w:lang w:val="pt-BR" w:eastAsia="en-US"/>
        </w:rPr>
        <w:t xml:space="preserve"> Freire </w:t>
      </w:r>
      <w:r w:rsidRPr="00B85764">
        <w:rPr>
          <w:rFonts w:ascii="Verdana" w:eastAsia="Times" w:hAnsi="Verdana"/>
          <w:sz w:val="20"/>
          <w:szCs w:val="20"/>
          <w:lang w:val="pt-BR" w:eastAsia="en-US"/>
        </w:rPr>
        <w:tab/>
      </w:r>
      <w:r w:rsidRPr="00B85764">
        <w:rPr>
          <w:rFonts w:ascii="Verdana" w:eastAsia="Times" w:hAnsi="Verdana"/>
          <w:sz w:val="20"/>
          <w:szCs w:val="20"/>
          <w:lang w:val="pt-BR" w:eastAsia="en-US"/>
        </w:rPr>
        <w:tab/>
      </w:r>
      <w:r w:rsidRPr="00B85764">
        <w:rPr>
          <w:rFonts w:ascii="Verdana" w:eastAsia="Times" w:hAnsi="Verdana"/>
          <w:sz w:val="20"/>
          <w:szCs w:val="20"/>
          <w:lang w:val="pt-BR" w:eastAsia="en-US"/>
        </w:rPr>
        <w:tab/>
      </w:r>
      <w:r w:rsidRPr="00B85764">
        <w:rPr>
          <w:rFonts w:ascii="Verdana" w:eastAsia="Times" w:hAnsi="Verdana"/>
          <w:sz w:val="20"/>
          <w:szCs w:val="20"/>
          <w:lang w:val="pt-BR" w:eastAsia="en-US"/>
        </w:rPr>
        <w:tab/>
        <w:t xml:space="preserve"> Eduardo Ferrer </w:t>
      </w:r>
      <w:proofErr w:type="spellStart"/>
      <w:r w:rsidRPr="00B85764">
        <w:rPr>
          <w:rFonts w:ascii="Verdana" w:eastAsia="Times" w:hAnsi="Verdana"/>
          <w:sz w:val="20"/>
          <w:szCs w:val="20"/>
          <w:lang w:val="pt-BR" w:eastAsia="en-US"/>
        </w:rPr>
        <w:t>Mac-Gregor</w:t>
      </w:r>
      <w:proofErr w:type="spellEnd"/>
      <w:r w:rsidRPr="00B85764">
        <w:rPr>
          <w:rFonts w:ascii="Verdana" w:eastAsia="Times" w:hAnsi="Verdana"/>
          <w:sz w:val="20"/>
          <w:szCs w:val="20"/>
          <w:lang w:val="pt-BR" w:eastAsia="en-US"/>
        </w:rPr>
        <w:t xml:space="preserve"> </w:t>
      </w:r>
      <w:proofErr w:type="spellStart"/>
      <w:r w:rsidRPr="00B85764">
        <w:rPr>
          <w:rFonts w:ascii="Verdana" w:eastAsia="Times" w:hAnsi="Verdana"/>
          <w:sz w:val="20"/>
          <w:szCs w:val="20"/>
          <w:lang w:val="pt-BR" w:eastAsia="en-US"/>
        </w:rPr>
        <w:t>Poisot</w:t>
      </w:r>
      <w:proofErr w:type="spellEnd"/>
      <w:r w:rsidRPr="00B85764">
        <w:rPr>
          <w:rFonts w:ascii="Verdana" w:eastAsia="Times" w:hAnsi="Verdana"/>
          <w:sz w:val="20"/>
          <w:szCs w:val="20"/>
          <w:lang w:val="pt-BR" w:eastAsia="en-US"/>
        </w:rPr>
        <w:t xml:space="preserve"> </w:t>
      </w:r>
      <w:r w:rsidRPr="00B85764">
        <w:rPr>
          <w:rFonts w:ascii="Verdana" w:eastAsia="Times" w:hAnsi="Verdana"/>
          <w:sz w:val="20"/>
          <w:szCs w:val="20"/>
          <w:lang w:val="pt-BR" w:eastAsia="en-US"/>
        </w:rPr>
        <w:tab/>
      </w:r>
    </w:p>
    <w:p w14:paraId="1E56C029" w14:textId="77777777" w:rsidR="00B85764" w:rsidRPr="00B85764" w:rsidRDefault="00B85764" w:rsidP="00B85764">
      <w:pPr>
        <w:jc w:val="both"/>
        <w:rPr>
          <w:rFonts w:ascii="Verdana" w:eastAsia="Times" w:hAnsi="Verdana"/>
          <w:sz w:val="20"/>
          <w:szCs w:val="20"/>
          <w:lang w:val="pt-BR" w:eastAsia="en-US"/>
        </w:rPr>
      </w:pPr>
    </w:p>
    <w:p w14:paraId="0116AA6F" w14:textId="77777777" w:rsidR="00B85764" w:rsidRPr="00B85764" w:rsidRDefault="00B85764" w:rsidP="00B85764">
      <w:pPr>
        <w:rPr>
          <w:rFonts w:ascii="Verdana" w:eastAsia="Times" w:hAnsi="Verdana"/>
          <w:sz w:val="20"/>
          <w:szCs w:val="20"/>
          <w:lang w:val="pt-BR" w:eastAsia="en-US"/>
        </w:rPr>
      </w:pPr>
      <w:r w:rsidRPr="00B85764">
        <w:rPr>
          <w:rFonts w:ascii="Verdana" w:eastAsia="Times" w:hAnsi="Verdana"/>
          <w:sz w:val="20"/>
          <w:szCs w:val="20"/>
          <w:lang w:val="pt-BR" w:eastAsia="en-US"/>
        </w:rPr>
        <w:t xml:space="preserve">Eugenio </w:t>
      </w:r>
      <w:proofErr w:type="spellStart"/>
      <w:r w:rsidRPr="00B85764">
        <w:rPr>
          <w:rFonts w:ascii="Verdana" w:eastAsia="Times" w:hAnsi="Verdana"/>
          <w:sz w:val="20"/>
          <w:szCs w:val="20"/>
          <w:lang w:val="pt-BR" w:eastAsia="en-US"/>
        </w:rPr>
        <w:t>Raúl</w:t>
      </w:r>
      <w:proofErr w:type="spellEnd"/>
      <w:r w:rsidRPr="00B85764">
        <w:rPr>
          <w:rFonts w:ascii="Verdana" w:eastAsia="Times" w:hAnsi="Verdana"/>
          <w:sz w:val="20"/>
          <w:szCs w:val="20"/>
          <w:lang w:val="pt-BR" w:eastAsia="en-US"/>
        </w:rPr>
        <w:t xml:space="preserve"> </w:t>
      </w:r>
      <w:proofErr w:type="spellStart"/>
      <w:r w:rsidRPr="00B85764">
        <w:rPr>
          <w:rFonts w:ascii="Verdana" w:eastAsia="Times" w:hAnsi="Verdana"/>
          <w:sz w:val="20"/>
          <w:szCs w:val="20"/>
          <w:lang w:val="pt-BR" w:eastAsia="en-US"/>
        </w:rPr>
        <w:t>Zaffaroni</w:t>
      </w:r>
      <w:proofErr w:type="spellEnd"/>
      <w:r w:rsidRPr="008102F9">
        <w:rPr>
          <w:rFonts w:ascii="Verdana" w:eastAsia="Times" w:hAnsi="Verdana"/>
          <w:sz w:val="20"/>
          <w:szCs w:val="20"/>
          <w:lang w:val="pt-BR" w:eastAsia="en-US"/>
        </w:rPr>
        <w:t xml:space="preserve">                                                       Ricardo C. Pérez </w:t>
      </w:r>
      <w:proofErr w:type="spellStart"/>
      <w:r w:rsidRPr="008102F9">
        <w:rPr>
          <w:rFonts w:ascii="Verdana" w:eastAsia="Times" w:hAnsi="Verdana"/>
          <w:sz w:val="20"/>
          <w:szCs w:val="20"/>
          <w:lang w:val="pt-BR" w:eastAsia="en-US"/>
        </w:rPr>
        <w:t>Manrique</w:t>
      </w:r>
      <w:proofErr w:type="spellEnd"/>
    </w:p>
    <w:p w14:paraId="5D950704" w14:textId="77777777" w:rsidR="00B85764" w:rsidRPr="008102F9" w:rsidRDefault="00B85764" w:rsidP="00B85764">
      <w:pPr>
        <w:jc w:val="both"/>
        <w:rPr>
          <w:rFonts w:ascii="Verdana" w:eastAsia="Times" w:hAnsi="Verdana"/>
          <w:sz w:val="20"/>
          <w:szCs w:val="20"/>
          <w:lang w:val="pt-BR" w:eastAsia="en-US"/>
        </w:rPr>
      </w:pPr>
    </w:p>
    <w:p w14:paraId="5754EDC5" w14:textId="77777777" w:rsidR="00B85764" w:rsidRPr="00B85764" w:rsidRDefault="00B85764" w:rsidP="00B85764">
      <w:pPr>
        <w:jc w:val="both"/>
        <w:rPr>
          <w:rFonts w:ascii="Verdana" w:eastAsia="Times" w:hAnsi="Verdana"/>
          <w:sz w:val="20"/>
          <w:szCs w:val="20"/>
          <w:lang w:val="pt-BR" w:eastAsia="en-US"/>
        </w:rPr>
      </w:pPr>
    </w:p>
    <w:p w14:paraId="7032801F" w14:textId="77777777" w:rsidR="00B85764" w:rsidRPr="00B85764" w:rsidRDefault="00B85764" w:rsidP="00B85764">
      <w:pPr>
        <w:jc w:val="center"/>
        <w:rPr>
          <w:rFonts w:ascii="Verdana" w:eastAsia="Times" w:hAnsi="Verdana"/>
          <w:sz w:val="20"/>
          <w:szCs w:val="20"/>
          <w:lang w:val="pt-BR" w:eastAsia="en-US"/>
        </w:rPr>
      </w:pPr>
      <w:r w:rsidRPr="00B85764">
        <w:rPr>
          <w:rFonts w:ascii="Verdana" w:eastAsia="Times" w:hAnsi="Verdana"/>
          <w:sz w:val="20"/>
          <w:szCs w:val="20"/>
          <w:lang w:val="pt-BR" w:eastAsia="en-US"/>
        </w:rPr>
        <w:t xml:space="preserve">Pablo Saavedra </w:t>
      </w:r>
      <w:proofErr w:type="spellStart"/>
      <w:r w:rsidRPr="00B85764">
        <w:rPr>
          <w:rFonts w:ascii="Verdana" w:eastAsia="Times" w:hAnsi="Verdana"/>
          <w:sz w:val="20"/>
          <w:szCs w:val="20"/>
          <w:lang w:val="pt-BR" w:eastAsia="en-US"/>
        </w:rPr>
        <w:t>Alessandri</w:t>
      </w:r>
      <w:proofErr w:type="spellEnd"/>
    </w:p>
    <w:p w14:paraId="5C6A1222" w14:textId="77777777" w:rsidR="00B85764" w:rsidRPr="00B85764" w:rsidRDefault="00B85764" w:rsidP="00B85764">
      <w:pPr>
        <w:jc w:val="center"/>
        <w:rPr>
          <w:rFonts w:ascii="Verdana" w:eastAsia="Times" w:hAnsi="Verdana"/>
          <w:sz w:val="20"/>
          <w:szCs w:val="20"/>
          <w:lang w:val="pt-BR" w:eastAsia="en-US"/>
        </w:rPr>
      </w:pPr>
      <w:r w:rsidRPr="00B85764">
        <w:rPr>
          <w:rFonts w:ascii="Verdana" w:eastAsia="Times" w:hAnsi="Verdana"/>
          <w:sz w:val="20"/>
          <w:szCs w:val="20"/>
          <w:lang w:val="pt-BR" w:eastAsia="en-US"/>
        </w:rPr>
        <w:t>Secretario</w:t>
      </w:r>
    </w:p>
    <w:p w14:paraId="6C467957" w14:textId="77777777" w:rsidR="00B85764" w:rsidRPr="00B85764" w:rsidRDefault="00B85764" w:rsidP="00B85764">
      <w:pPr>
        <w:jc w:val="center"/>
        <w:rPr>
          <w:rFonts w:ascii="Verdana" w:eastAsia="Times" w:hAnsi="Verdana"/>
          <w:sz w:val="20"/>
          <w:szCs w:val="20"/>
          <w:lang w:val="pt-BR" w:eastAsia="en-US"/>
        </w:rPr>
      </w:pPr>
    </w:p>
    <w:p w14:paraId="1C9771AF" w14:textId="77777777" w:rsidR="00B85764" w:rsidRPr="00B85764" w:rsidRDefault="00B85764" w:rsidP="00B85764">
      <w:pPr>
        <w:jc w:val="both"/>
        <w:rPr>
          <w:rFonts w:ascii="Verdana" w:eastAsia="Times" w:hAnsi="Verdana"/>
          <w:sz w:val="20"/>
          <w:szCs w:val="20"/>
          <w:lang w:val="pt-BR" w:eastAsia="en-US"/>
        </w:rPr>
      </w:pPr>
      <w:proofErr w:type="spellStart"/>
      <w:r w:rsidRPr="00B85764">
        <w:rPr>
          <w:rFonts w:ascii="Verdana" w:eastAsia="Times" w:hAnsi="Verdana"/>
          <w:sz w:val="20"/>
          <w:szCs w:val="20"/>
          <w:lang w:val="pt-BR" w:eastAsia="en-US"/>
        </w:rPr>
        <w:t>Comuníquese</w:t>
      </w:r>
      <w:proofErr w:type="spellEnd"/>
      <w:r w:rsidRPr="00B85764">
        <w:rPr>
          <w:rFonts w:ascii="Verdana" w:eastAsia="Times" w:hAnsi="Verdana"/>
          <w:sz w:val="20"/>
          <w:szCs w:val="20"/>
          <w:lang w:val="pt-BR" w:eastAsia="en-US"/>
        </w:rPr>
        <w:t xml:space="preserve"> y </w:t>
      </w:r>
      <w:proofErr w:type="spellStart"/>
      <w:r w:rsidRPr="00B85764">
        <w:rPr>
          <w:rFonts w:ascii="Verdana" w:eastAsia="Times" w:hAnsi="Verdana"/>
          <w:sz w:val="20"/>
          <w:szCs w:val="20"/>
          <w:lang w:val="pt-BR" w:eastAsia="en-US"/>
        </w:rPr>
        <w:t>ejecútese</w:t>
      </w:r>
      <w:proofErr w:type="spellEnd"/>
      <w:r w:rsidRPr="00B85764">
        <w:rPr>
          <w:rFonts w:ascii="Verdana" w:eastAsia="Times" w:hAnsi="Verdana"/>
          <w:sz w:val="20"/>
          <w:szCs w:val="20"/>
          <w:lang w:val="pt-BR" w:eastAsia="en-US"/>
        </w:rPr>
        <w:t>,</w:t>
      </w:r>
    </w:p>
    <w:p w14:paraId="78F0FBEC" w14:textId="77777777" w:rsidR="00B85764" w:rsidRPr="00B85764" w:rsidRDefault="00B85764" w:rsidP="00B85764">
      <w:pPr>
        <w:jc w:val="both"/>
        <w:rPr>
          <w:rFonts w:ascii="Verdana" w:eastAsia="Times" w:hAnsi="Verdana"/>
          <w:sz w:val="20"/>
          <w:szCs w:val="20"/>
          <w:lang w:val="pt-BR" w:eastAsia="en-US"/>
        </w:rPr>
      </w:pPr>
    </w:p>
    <w:p w14:paraId="4FFD7329" w14:textId="77777777" w:rsidR="00B85764" w:rsidRPr="00B85764" w:rsidRDefault="00B85764" w:rsidP="00B85764">
      <w:pPr>
        <w:jc w:val="both"/>
        <w:rPr>
          <w:rFonts w:ascii="Verdana" w:eastAsia="Times" w:hAnsi="Verdana"/>
          <w:sz w:val="20"/>
          <w:szCs w:val="20"/>
          <w:lang w:val="pt-BR" w:eastAsia="en-US"/>
        </w:rPr>
      </w:pPr>
    </w:p>
    <w:p w14:paraId="4937D16C" w14:textId="77777777" w:rsidR="00B85764" w:rsidRPr="00B85764" w:rsidRDefault="00B85764" w:rsidP="00B85764">
      <w:pPr>
        <w:jc w:val="both"/>
        <w:rPr>
          <w:rFonts w:ascii="Verdana" w:eastAsia="Times" w:hAnsi="Verdana"/>
          <w:sz w:val="20"/>
          <w:szCs w:val="20"/>
          <w:lang w:val="pt-BR" w:eastAsia="en-US"/>
        </w:rPr>
      </w:pPr>
    </w:p>
    <w:p w14:paraId="7D69FACA" w14:textId="77777777" w:rsidR="00B85764" w:rsidRPr="00B85764" w:rsidRDefault="00B85764" w:rsidP="00B85764">
      <w:pPr>
        <w:jc w:val="both"/>
        <w:rPr>
          <w:rFonts w:ascii="Verdana" w:eastAsia="Times" w:hAnsi="Verdana"/>
          <w:sz w:val="20"/>
          <w:szCs w:val="20"/>
          <w:lang w:val="pt-BR" w:eastAsia="en-US"/>
        </w:rPr>
      </w:pPr>
    </w:p>
    <w:p w14:paraId="65C7206D" w14:textId="77777777" w:rsidR="00B85764" w:rsidRPr="008102F9" w:rsidRDefault="00B85764" w:rsidP="00B85764">
      <w:pPr>
        <w:ind w:left="4248" w:firstLine="708"/>
        <w:jc w:val="center"/>
        <w:rPr>
          <w:rFonts w:ascii="Verdana" w:eastAsia="Times" w:hAnsi="Verdana"/>
          <w:sz w:val="20"/>
          <w:szCs w:val="20"/>
          <w:lang w:val="pt-BR" w:eastAsia="en-US"/>
        </w:rPr>
      </w:pPr>
      <w:r w:rsidRPr="00B85764">
        <w:rPr>
          <w:rFonts w:ascii="Verdana" w:eastAsia="Times" w:hAnsi="Verdana"/>
          <w:sz w:val="20"/>
          <w:szCs w:val="20"/>
          <w:lang w:val="pt-BR" w:eastAsia="en-US"/>
        </w:rPr>
        <w:t xml:space="preserve">Elizabeth </w:t>
      </w:r>
      <w:proofErr w:type="spellStart"/>
      <w:r w:rsidRPr="00B85764">
        <w:rPr>
          <w:rFonts w:ascii="Verdana" w:eastAsia="Times" w:hAnsi="Verdana"/>
          <w:sz w:val="20"/>
          <w:szCs w:val="20"/>
          <w:lang w:val="pt-BR" w:eastAsia="en-US"/>
        </w:rPr>
        <w:t>Odio</w:t>
      </w:r>
      <w:proofErr w:type="spellEnd"/>
      <w:r w:rsidRPr="00B85764">
        <w:rPr>
          <w:rFonts w:ascii="Verdana" w:eastAsia="Times" w:hAnsi="Verdana"/>
          <w:sz w:val="20"/>
          <w:szCs w:val="20"/>
          <w:lang w:val="pt-BR" w:eastAsia="en-US"/>
        </w:rPr>
        <w:t xml:space="preserve"> Benito</w:t>
      </w:r>
    </w:p>
    <w:p w14:paraId="2333D7FB" w14:textId="77777777" w:rsidR="00B85764" w:rsidRPr="00B85764" w:rsidRDefault="00B85764" w:rsidP="00B85764">
      <w:pPr>
        <w:ind w:left="4248" w:firstLine="708"/>
        <w:jc w:val="center"/>
        <w:rPr>
          <w:rFonts w:ascii="Verdana" w:eastAsia="Times" w:hAnsi="Verdana"/>
          <w:sz w:val="20"/>
          <w:szCs w:val="20"/>
          <w:lang w:val="pt-BR" w:eastAsia="en-US"/>
        </w:rPr>
      </w:pPr>
      <w:r w:rsidRPr="00B85764">
        <w:rPr>
          <w:rFonts w:ascii="Verdana" w:eastAsia="Times" w:hAnsi="Verdana"/>
          <w:sz w:val="20"/>
          <w:szCs w:val="20"/>
          <w:lang w:val="pt-BR" w:eastAsia="en-US"/>
        </w:rPr>
        <w:t>Presidenta</w:t>
      </w:r>
    </w:p>
    <w:p w14:paraId="16F17E9E" w14:textId="77777777" w:rsidR="00B85764" w:rsidRPr="00B85764" w:rsidRDefault="00B85764" w:rsidP="00B85764">
      <w:pPr>
        <w:jc w:val="both"/>
        <w:rPr>
          <w:rFonts w:ascii="Verdana" w:eastAsia="Times" w:hAnsi="Verdana"/>
          <w:sz w:val="20"/>
          <w:szCs w:val="20"/>
          <w:lang w:val="pt-BR" w:eastAsia="en-US"/>
        </w:rPr>
      </w:pPr>
    </w:p>
    <w:p w14:paraId="49934359" w14:textId="77777777" w:rsidR="00B85764" w:rsidRPr="00B85764" w:rsidRDefault="00B85764" w:rsidP="00B85764">
      <w:pPr>
        <w:jc w:val="both"/>
        <w:rPr>
          <w:rFonts w:ascii="Verdana" w:eastAsia="Times" w:hAnsi="Verdana"/>
          <w:sz w:val="20"/>
          <w:szCs w:val="20"/>
          <w:lang w:val="pt-BR" w:eastAsia="en-US"/>
        </w:rPr>
      </w:pPr>
    </w:p>
    <w:p w14:paraId="318B7FE7" w14:textId="77777777" w:rsidR="00B85764" w:rsidRPr="00B85764" w:rsidRDefault="00B85764" w:rsidP="00B85764">
      <w:pPr>
        <w:jc w:val="both"/>
        <w:rPr>
          <w:rFonts w:ascii="Verdana" w:eastAsia="Times" w:hAnsi="Verdana"/>
          <w:sz w:val="20"/>
          <w:szCs w:val="20"/>
          <w:lang w:val="pt-BR" w:eastAsia="en-US"/>
        </w:rPr>
      </w:pPr>
    </w:p>
    <w:p w14:paraId="4FB6A133" w14:textId="77777777" w:rsidR="00B85764" w:rsidRPr="008102F9" w:rsidRDefault="00B85764" w:rsidP="00B85764">
      <w:pPr>
        <w:jc w:val="both"/>
        <w:rPr>
          <w:rFonts w:ascii="Verdana" w:eastAsia="Times" w:hAnsi="Verdana"/>
          <w:sz w:val="20"/>
          <w:szCs w:val="20"/>
          <w:lang w:val="pt-BR" w:eastAsia="en-US"/>
        </w:rPr>
      </w:pPr>
      <w:r w:rsidRPr="008102F9">
        <w:rPr>
          <w:rFonts w:ascii="Verdana" w:eastAsia="Times" w:hAnsi="Verdana"/>
          <w:sz w:val="20"/>
          <w:szCs w:val="20"/>
          <w:lang w:val="pt-BR" w:eastAsia="en-US"/>
        </w:rPr>
        <w:t xml:space="preserve">Pablo Saavedra </w:t>
      </w:r>
      <w:proofErr w:type="spellStart"/>
      <w:r w:rsidRPr="008102F9">
        <w:rPr>
          <w:rFonts w:ascii="Verdana" w:eastAsia="Times" w:hAnsi="Verdana"/>
          <w:sz w:val="20"/>
          <w:szCs w:val="20"/>
          <w:lang w:val="pt-BR" w:eastAsia="en-US"/>
        </w:rPr>
        <w:t>Alessandri</w:t>
      </w:r>
      <w:proofErr w:type="spellEnd"/>
    </w:p>
    <w:p w14:paraId="2C530B07" w14:textId="77777777" w:rsidR="00B85764" w:rsidRPr="00B85764" w:rsidRDefault="00B85764" w:rsidP="00B85764">
      <w:pPr>
        <w:rPr>
          <w:rFonts w:ascii="Verdana" w:eastAsia="Times" w:hAnsi="Verdana"/>
          <w:sz w:val="20"/>
          <w:szCs w:val="20"/>
          <w:lang w:val="en-US" w:eastAsia="en-US"/>
        </w:rPr>
      </w:pPr>
      <w:r w:rsidRPr="008102F9">
        <w:rPr>
          <w:rFonts w:ascii="Verdana" w:eastAsia="Times" w:hAnsi="Verdana"/>
          <w:sz w:val="20"/>
          <w:szCs w:val="20"/>
          <w:lang w:val="pt-BR" w:eastAsia="en-US"/>
        </w:rPr>
        <w:tab/>
      </w:r>
      <w:proofErr w:type="spellStart"/>
      <w:r w:rsidRPr="00B85764">
        <w:rPr>
          <w:rFonts w:ascii="Verdana" w:eastAsia="Times" w:hAnsi="Verdana"/>
          <w:sz w:val="20"/>
          <w:szCs w:val="20"/>
          <w:lang w:val="en-US" w:eastAsia="en-US"/>
        </w:rPr>
        <w:t>Secretario</w:t>
      </w:r>
      <w:proofErr w:type="spellEnd"/>
    </w:p>
    <w:p w14:paraId="08DADBCB" w14:textId="77777777" w:rsidR="00B85764" w:rsidRPr="00B85764" w:rsidRDefault="00B85764" w:rsidP="00B85764">
      <w:pPr>
        <w:rPr>
          <w:rFonts w:ascii="Verdana" w:eastAsia="Times" w:hAnsi="Verdana"/>
          <w:sz w:val="20"/>
          <w:szCs w:val="20"/>
          <w:lang w:val="en-US" w:eastAsia="en-US"/>
        </w:rPr>
      </w:pPr>
    </w:p>
    <w:p w14:paraId="4F2EC2D4" w14:textId="77777777" w:rsidR="00B85764" w:rsidRPr="00B85764" w:rsidRDefault="00B85764" w:rsidP="00B85764">
      <w:pPr>
        <w:rPr>
          <w:rFonts w:ascii="Verdana" w:eastAsia="Times" w:hAnsi="Verdana"/>
          <w:sz w:val="20"/>
          <w:szCs w:val="20"/>
          <w:lang w:val="en-US" w:eastAsia="en-US"/>
        </w:rPr>
      </w:pPr>
    </w:p>
    <w:p w14:paraId="0F1B3274" w14:textId="77777777" w:rsidR="00B85764" w:rsidRPr="000F041A" w:rsidRDefault="00B85764" w:rsidP="008F1752">
      <w:pPr>
        <w:spacing w:before="120" w:after="120"/>
        <w:rPr>
          <w:rFonts w:ascii="Verdana" w:hAnsi="Verdana"/>
          <w:sz w:val="20"/>
          <w:szCs w:val="20"/>
        </w:rPr>
      </w:pPr>
    </w:p>
    <w:sectPr w:rsidR="00B85764" w:rsidRPr="000F041A" w:rsidSect="00F23197">
      <w:headerReference w:type="default" r:id="rId9"/>
      <w:footerReference w:type="default" r:id="rId10"/>
      <w:headerReference w:type="first" r:id="rId11"/>
      <w:pgSz w:w="12242" w:h="15842" w:code="1"/>
      <w:pgMar w:top="1418" w:right="1701"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132BED" w14:textId="77777777" w:rsidR="00D67EB7" w:rsidRDefault="00D67EB7" w:rsidP="00DA5CA2">
      <w:r>
        <w:separator/>
      </w:r>
    </w:p>
  </w:endnote>
  <w:endnote w:type="continuationSeparator" w:id="0">
    <w:p w14:paraId="409886B5" w14:textId="77777777" w:rsidR="00D67EB7" w:rsidRDefault="00D67EB7" w:rsidP="00DA5C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893228"/>
      <w:docPartObj>
        <w:docPartGallery w:val="Page Numbers (Bottom of Page)"/>
        <w:docPartUnique/>
      </w:docPartObj>
    </w:sdtPr>
    <w:sdtEndPr>
      <w:rPr>
        <w:rFonts w:ascii="Verdana" w:hAnsi="Verdana"/>
        <w:sz w:val="20"/>
        <w:szCs w:val="20"/>
      </w:rPr>
    </w:sdtEndPr>
    <w:sdtContent>
      <w:p w14:paraId="35CDB6B9" w14:textId="6BD972F0" w:rsidR="00DC45C0" w:rsidRPr="008F1752" w:rsidRDefault="00DC45C0" w:rsidP="008F1752">
        <w:pPr>
          <w:pStyle w:val="Piedepgina"/>
          <w:jc w:val="center"/>
          <w:rPr>
            <w:rFonts w:ascii="Verdana" w:hAnsi="Verdana"/>
            <w:sz w:val="20"/>
            <w:szCs w:val="20"/>
          </w:rPr>
        </w:pPr>
        <w:r w:rsidRPr="006F4C93">
          <w:rPr>
            <w:rFonts w:ascii="Verdana" w:hAnsi="Verdana"/>
            <w:sz w:val="20"/>
            <w:szCs w:val="20"/>
          </w:rPr>
          <w:t>-</w:t>
        </w:r>
        <w:r w:rsidRPr="006F4C93">
          <w:rPr>
            <w:rFonts w:ascii="Verdana" w:hAnsi="Verdana"/>
            <w:sz w:val="20"/>
            <w:szCs w:val="20"/>
          </w:rPr>
          <w:fldChar w:fldCharType="begin"/>
        </w:r>
        <w:r w:rsidRPr="006F4C93">
          <w:rPr>
            <w:rFonts w:ascii="Verdana" w:hAnsi="Verdana"/>
            <w:sz w:val="20"/>
            <w:szCs w:val="20"/>
          </w:rPr>
          <w:instrText>PAGE   \* MERGEFORMAT</w:instrText>
        </w:r>
        <w:r w:rsidRPr="006F4C93">
          <w:rPr>
            <w:rFonts w:ascii="Verdana" w:hAnsi="Verdana"/>
            <w:sz w:val="20"/>
            <w:szCs w:val="20"/>
          </w:rPr>
          <w:fldChar w:fldCharType="separate"/>
        </w:r>
        <w:r w:rsidR="009251DB" w:rsidRPr="009251DB">
          <w:rPr>
            <w:rFonts w:ascii="Verdana" w:hAnsi="Verdana"/>
            <w:noProof/>
            <w:sz w:val="20"/>
            <w:szCs w:val="20"/>
            <w:lang w:val="es-ES"/>
          </w:rPr>
          <w:t>5</w:t>
        </w:r>
        <w:r w:rsidRPr="006F4C93">
          <w:rPr>
            <w:rFonts w:ascii="Verdana" w:hAnsi="Verdana"/>
            <w:sz w:val="20"/>
            <w:szCs w:val="20"/>
          </w:rPr>
          <w:fldChar w:fldCharType="end"/>
        </w:r>
        <w:r w:rsidRPr="006F4C93">
          <w:rPr>
            <w:rFonts w:ascii="Verdana" w:hAnsi="Verdana"/>
            <w:sz w:val="20"/>
            <w:szCs w:val="20"/>
          </w:rPr>
          <w:t>-</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4B1B62" w14:textId="77777777" w:rsidR="00D67EB7" w:rsidRDefault="00D67EB7" w:rsidP="00DA5CA2">
      <w:r>
        <w:separator/>
      </w:r>
    </w:p>
  </w:footnote>
  <w:footnote w:type="continuationSeparator" w:id="0">
    <w:p w14:paraId="0E98988A" w14:textId="77777777" w:rsidR="00D67EB7" w:rsidRDefault="00D67EB7" w:rsidP="00DA5CA2">
      <w:r>
        <w:continuationSeparator/>
      </w:r>
    </w:p>
  </w:footnote>
  <w:footnote w:id="1">
    <w:p w14:paraId="2D0B249B" w14:textId="6D525439" w:rsidR="00DC45C0" w:rsidRPr="00090031" w:rsidRDefault="00DC45C0" w:rsidP="00DA5CA2">
      <w:pPr>
        <w:pStyle w:val="Textonotapie"/>
        <w:jc w:val="both"/>
        <w:rPr>
          <w:rFonts w:ascii="Verdana" w:hAnsi="Verdana" w:cs="Verdana"/>
          <w:sz w:val="16"/>
          <w:szCs w:val="16"/>
          <w:lang w:val="es-CO"/>
        </w:rPr>
      </w:pPr>
      <w:r w:rsidRPr="004510E4">
        <w:rPr>
          <w:rFonts w:ascii="Verdana" w:hAnsi="Verdana"/>
          <w:sz w:val="16"/>
          <w:szCs w:val="16"/>
          <w:vertAlign w:val="superscript"/>
          <w:lang w:val="es-CR"/>
        </w:rPr>
        <w:t>*</w:t>
      </w:r>
      <w:r w:rsidRPr="00090031">
        <w:rPr>
          <w:rFonts w:ascii="Verdana" w:hAnsi="Verdana"/>
          <w:sz w:val="16"/>
          <w:szCs w:val="16"/>
          <w:lang w:val="es-CR"/>
        </w:rPr>
        <w:tab/>
      </w:r>
      <w:r w:rsidRPr="00090031">
        <w:rPr>
          <w:rFonts w:ascii="Verdana" w:hAnsi="Verdana"/>
          <w:sz w:val="16"/>
          <w:szCs w:val="16"/>
        </w:rPr>
        <w:t xml:space="preserve">El Juez </w:t>
      </w:r>
      <w:r w:rsidR="008F5318">
        <w:rPr>
          <w:rFonts w:ascii="Verdana" w:hAnsi="Verdana"/>
          <w:sz w:val="16"/>
          <w:szCs w:val="16"/>
          <w:lang w:val="es-AR"/>
        </w:rPr>
        <w:t xml:space="preserve">Humberto A. </w:t>
      </w:r>
      <w:r w:rsidRPr="00090031">
        <w:rPr>
          <w:rFonts w:ascii="Verdana" w:hAnsi="Verdana"/>
          <w:sz w:val="16"/>
          <w:szCs w:val="16"/>
          <w:lang w:val="es-CR"/>
        </w:rPr>
        <w:t>Sierra Porto</w:t>
      </w:r>
      <w:r w:rsidRPr="00090031">
        <w:rPr>
          <w:rFonts w:ascii="Verdana" w:hAnsi="Verdana"/>
          <w:sz w:val="16"/>
          <w:szCs w:val="16"/>
        </w:rPr>
        <w:t xml:space="preserve">, de nacionalidad </w:t>
      </w:r>
      <w:r w:rsidRPr="00090031">
        <w:rPr>
          <w:rFonts w:ascii="Verdana" w:hAnsi="Verdana"/>
          <w:sz w:val="16"/>
          <w:szCs w:val="16"/>
          <w:lang w:val="es-CR"/>
        </w:rPr>
        <w:t>colombiana</w:t>
      </w:r>
      <w:r w:rsidRPr="00090031">
        <w:rPr>
          <w:rFonts w:ascii="Verdana" w:hAnsi="Verdana" w:cs="Verdana"/>
          <w:sz w:val="16"/>
          <w:szCs w:val="16"/>
          <w:lang w:val="es-CO"/>
        </w:rPr>
        <w:t xml:space="preserve">, </w:t>
      </w:r>
      <w:r w:rsidRPr="00090031">
        <w:rPr>
          <w:rFonts w:ascii="Verdana" w:hAnsi="Verdana"/>
          <w:sz w:val="16"/>
          <w:szCs w:val="16"/>
          <w:lang w:val="es-CR"/>
        </w:rPr>
        <w:t xml:space="preserve">no participó en la deliberación y firma de la Sentencia del presente caso, ni en el conocimiento y deliberación de la presente Resolución, de conformidad con lo dispuesto en el artículo </w:t>
      </w:r>
      <w:r w:rsidRPr="00090031">
        <w:rPr>
          <w:rFonts w:ascii="Verdana" w:hAnsi="Verdana" w:cs="Verdana"/>
          <w:sz w:val="16"/>
          <w:szCs w:val="16"/>
          <w:lang w:val="es-CO"/>
        </w:rPr>
        <w:t xml:space="preserve">artículos 19.2 del Estatuto y 19.1 del Reglamento de la Corte. </w:t>
      </w:r>
      <w:r>
        <w:rPr>
          <w:rFonts w:ascii="Verdana" w:hAnsi="Verdana" w:cs="Verdana"/>
          <w:sz w:val="16"/>
          <w:szCs w:val="16"/>
          <w:lang w:val="es-CO"/>
        </w:rPr>
        <w:t>E</w:t>
      </w:r>
      <w:r w:rsidRPr="00F23197">
        <w:rPr>
          <w:rFonts w:ascii="Verdana" w:hAnsi="Verdana" w:cs="Verdana"/>
          <w:sz w:val="16"/>
          <w:szCs w:val="16"/>
          <w:lang w:val="es-CO"/>
        </w:rPr>
        <w:t>l Juez Eduardo Vio Grossi no participó en la deliberación y firma de la presente Resolución por razones de fuerza mayor.</w:t>
      </w:r>
    </w:p>
  </w:footnote>
  <w:footnote w:id="2">
    <w:p w14:paraId="1F880E4D" w14:textId="77777777" w:rsidR="00DC45C0" w:rsidRPr="00090031" w:rsidRDefault="00DC45C0" w:rsidP="00BB0A49">
      <w:pPr>
        <w:pStyle w:val="Textonotapie"/>
        <w:jc w:val="both"/>
        <w:rPr>
          <w:rFonts w:ascii="Verdana" w:hAnsi="Verdana"/>
          <w:sz w:val="16"/>
          <w:szCs w:val="16"/>
          <w:lang w:val="es-CR"/>
        </w:rPr>
      </w:pPr>
      <w:r w:rsidRPr="00090031">
        <w:rPr>
          <w:rStyle w:val="Refdenotaalpie"/>
          <w:rFonts w:ascii="Verdana" w:hAnsi="Verdana"/>
          <w:sz w:val="16"/>
          <w:szCs w:val="16"/>
        </w:rPr>
        <w:footnoteRef/>
      </w:r>
      <w:r w:rsidRPr="00090031">
        <w:rPr>
          <w:rFonts w:ascii="Verdana" w:hAnsi="Verdana"/>
          <w:sz w:val="16"/>
          <w:szCs w:val="16"/>
        </w:rPr>
        <w:t xml:space="preserve"> </w:t>
      </w:r>
      <w:r w:rsidRPr="00090031">
        <w:rPr>
          <w:rFonts w:ascii="Verdana" w:hAnsi="Verdana"/>
          <w:sz w:val="16"/>
          <w:szCs w:val="16"/>
        </w:rPr>
        <w:tab/>
      </w:r>
      <w:r w:rsidRPr="00090031">
        <w:rPr>
          <w:rFonts w:ascii="Verdana" w:hAnsi="Verdana"/>
          <w:i/>
          <w:sz w:val="16"/>
          <w:szCs w:val="16"/>
        </w:rPr>
        <w:t>Cfr. Caso Duque Vs. Colombia. Excepciones Preliminares, Fondo, Reparaciones y Costas.</w:t>
      </w:r>
      <w:r w:rsidRPr="00090031">
        <w:rPr>
          <w:rFonts w:ascii="Verdana" w:hAnsi="Verdana"/>
          <w:sz w:val="16"/>
          <w:szCs w:val="16"/>
        </w:rPr>
        <w:t xml:space="preserve"> Sentencia de 26 de febrero de 2016. Serie C No. 310. </w:t>
      </w:r>
      <w:r w:rsidRPr="00090031">
        <w:rPr>
          <w:rFonts w:ascii="Verdana" w:hAnsi="Verdana"/>
          <w:sz w:val="16"/>
          <w:szCs w:val="16"/>
          <w:lang w:val="es-CR"/>
        </w:rPr>
        <w:t>D</w:t>
      </w:r>
      <w:r w:rsidRPr="00090031">
        <w:rPr>
          <w:rFonts w:ascii="Verdana" w:hAnsi="Verdana"/>
          <w:sz w:val="16"/>
          <w:szCs w:val="16"/>
        </w:rPr>
        <w:t xml:space="preserve">isponible en: </w:t>
      </w:r>
      <w:hyperlink r:id="rId1" w:history="1">
        <w:r w:rsidRPr="00090031">
          <w:rPr>
            <w:rStyle w:val="Hipervnculo"/>
            <w:rFonts w:ascii="Verdana" w:hAnsi="Verdana"/>
            <w:sz w:val="16"/>
            <w:szCs w:val="16"/>
          </w:rPr>
          <w:t>http://www.corteidh.or.cr/docs/casos/articulos/seriec_310_esp.pdf</w:t>
        </w:r>
      </w:hyperlink>
      <w:r w:rsidRPr="00090031">
        <w:rPr>
          <w:rFonts w:ascii="Verdana" w:hAnsi="Verdana"/>
          <w:sz w:val="16"/>
          <w:szCs w:val="16"/>
          <w:lang w:val="es-CR"/>
        </w:rPr>
        <w:t xml:space="preserve">. </w:t>
      </w:r>
      <w:r w:rsidRPr="00090031">
        <w:rPr>
          <w:rFonts w:ascii="Verdana" w:hAnsi="Verdana"/>
          <w:sz w:val="16"/>
          <w:szCs w:val="16"/>
        </w:rPr>
        <w:t>La Sentencia fue notificada al Estado el 15 de abril de 2016.</w:t>
      </w:r>
    </w:p>
  </w:footnote>
  <w:footnote w:id="3">
    <w:p w14:paraId="41995818" w14:textId="77777777" w:rsidR="00DC45C0" w:rsidRPr="00090031" w:rsidRDefault="00DC45C0" w:rsidP="00156213">
      <w:pPr>
        <w:pStyle w:val="Textonotapie"/>
        <w:jc w:val="both"/>
        <w:rPr>
          <w:rFonts w:ascii="Verdana" w:hAnsi="Verdana"/>
          <w:sz w:val="16"/>
          <w:szCs w:val="16"/>
        </w:rPr>
      </w:pPr>
      <w:r w:rsidRPr="00090031">
        <w:rPr>
          <w:rStyle w:val="Refdenotaalpie"/>
          <w:rFonts w:ascii="Verdana" w:hAnsi="Verdana"/>
          <w:sz w:val="16"/>
          <w:szCs w:val="16"/>
        </w:rPr>
        <w:footnoteRef/>
      </w:r>
      <w:r w:rsidRPr="00090031">
        <w:rPr>
          <w:rFonts w:ascii="Verdana" w:hAnsi="Verdana"/>
          <w:sz w:val="16"/>
          <w:szCs w:val="16"/>
        </w:rPr>
        <w:t xml:space="preserve"> </w:t>
      </w:r>
      <w:r w:rsidRPr="00090031">
        <w:rPr>
          <w:rFonts w:ascii="Verdana" w:hAnsi="Verdana"/>
          <w:sz w:val="16"/>
          <w:szCs w:val="16"/>
        </w:rPr>
        <w:tab/>
      </w:r>
      <w:r w:rsidRPr="00090031">
        <w:rPr>
          <w:rFonts w:ascii="Verdana" w:hAnsi="Verdana"/>
          <w:i/>
          <w:sz w:val="16"/>
          <w:szCs w:val="16"/>
        </w:rPr>
        <w:t>Cfr. Caso Duque Vs. Colombia. Interpretación de la Sentencia de Excepciones Preliminares, Fondo, Reparaciones y Costas</w:t>
      </w:r>
      <w:r w:rsidRPr="00090031">
        <w:rPr>
          <w:rFonts w:ascii="Verdana" w:hAnsi="Verdana"/>
          <w:sz w:val="16"/>
          <w:szCs w:val="16"/>
        </w:rPr>
        <w:t>. Sentencia de 21 de noviembre de 2016. Serie C No. 322</w:t>
      </w:r>
      <w:r w:rsidRPr="00090031">
        <w:rPr>
          <w:rFonts w:ascii="Verdana" w:hAnsi="Verdana"/>
          <w:sz w:val="16"/>
          <w:szCs w:val="16"/>
          <w:lang w:val="es-CR"/>
        </w:rPr>
        <w:t>.</w:t>
      </w:r>
      <w:r w:rsidRPr="00090031">
        <w:rPr>
          <w:rFonts w:ascii="Verdana" w:hAnsi="Verdana"/>
          <w:sz w:val="16"/>
          <w:szCs w:val="16"/>
        </w:rPr>
        <w:t xml:space="preserve"> </w:t>
      </w:r>
      <w:r w:rsidRPr="00090031">
        <w:rPr>
          <w:rFonts w:ascii="Verdana" w:hAnsi="Verdana"/>
          <w:sz w:val="16"/>
          <w:szCs w:val="16"/>
          <w:lang w:val="es-CR"/>
        </w:rPr>
        <w:t>D</w:t>
      </w:r>
      <w:r w:rsidRPr="00090031">
        <w:rPr>
          <w:rFonts w:ascii="Verdana" w:hAnsi="Verdana"/>
          <w:sz w:val="16"/>
          <w:szCs w:val="16"/>
        </w:rPr>
        <w:t xml:space="preserve">isponible en: </w:t>
      </w:r>
      <w:hyperlink r:id="rId2" w:history="1">
        <w:r w:rsidRPr="00090031">
          <w:rPr>
            <w:rStyle w:val="Hipervnculo"/>
            <w:rFonts w:ascii="Verdana" w:hAnsi="Verdana"/>
            <w:sz w:val="16"/>
            <w:szCs w:val="16"/>
          </w:rPr>
          <w:t>http://www.corteidh.or.cr/docs/casos/articulos/seriec_322_esp.pdf</w:t>
        </w:r>
      </w:hyperlink>
      <w:r w:rsidRPr="00090031">
        <w:rPr>
          <w:rFonts w:ascii="Verdana" w:hAnsi="Verdana"/>
          <w:sz w:val="16"/>
          <w:szCs w:val="16"/>
          <w:lang w:val="es-CR"/>
        </w:rPr>
        <w:t xml:space="preserve">. </w:t>
      </w:r>
    </w:p>
  </w:footnote>
  <w:footnote w:id="4">
    <w:p w14:paraId="04338E12" w14:textId="5B1D86A4" w:rsidR="00DC45C0" w:rsidRPr="00F23197" w:rsidRDefault="00DC45C0" w:rsidP="00F23197">
      <w:pPr>
        <w:pStyle w:val="Textonotapie"/>
        <w:jc w:val="both"/>
        <w:rPr>
          <w:rFonts w:ascii="Verdana" w:hAnsi="Verdana"/>
          <w:sz w:val="16"/>
          <w:szCs w:val="16"/>
          <w:lang w:val="es-ES"/>
        </w:rPr>
      </w:pPr>
      <w:r w:rsidRPr="00F23197">
        <w:rPr>
          <w:rStyle w:val="Refdenotaalpie"/>
          <w:rFonts w:ascii="Verdana" w:hAnsi="Verdana"/>
          <w:sz w:val="16"/>
          <w:szCs w:val="16"/>
        </w:rPr>
        <w:footnoteRef/>
      </w:r>
      <w:r w:rsidRPr="00F23197">
        <w:rPr>
          <w:rFonts w:ascii="Verdana" w:hAnsi="Verdana"/>
          <w:sz w:val="16"/>
          <w:szCs w:val="16"/>
        </w:rPr>
        <w:t xml:space="preserve"> </w:t>
      </w:r>
      <w:r w:rsidRPr="00F23197">
        <w:rPr>
          <w:rFonts w:ascii="Verdana" w:hAnsi="Verdana"/>
          <w:sz w:val="16"/>
          <w:szCs w:val="16"/>
          <w:lang w:val="es-ES"/>
        </w:rPr>
        <w:tab/>
      </w:r>
      <w:r w:rsidRPr="00F23197">
        <w:rPr>
          <w:rFonts w:ascii="Verdana" w:hAnsi="Verdana"/>
          <w:i/>
          <w:iCs/>
          <w:sz w:val="16"/>
          <w:szCs w:val="16"/>
          <w:lang w:val="es-ES"/>
        </w:rPr>
        <w:t xml:space="preserve">Cfr. </w:t>
      </w:r>
      <w:r w:rsidRPr="00F23197">
        <w:rPr>
          <w:rStyle w:val="Textoennegrita"/>
          <w:rFonts w:ascii="Verdana" w:hAnsi="Verdana"/>
          <w:b w:val="0"/>
          <w:bCs w:val="0"/>
          <w:i/>
          <w:iCs/>
          <w:color w:val="000000"/>
          <w:sz w:val="16"/>
          <w:szCs w:val="16"/>
          <w:shd w:val="clear" w:color="auto" w:fill="FFFFFF"/>
        </w:rPr>
        <w:t>Caso Duque Vs. Colombia. Supervisión de Cumplimiento de Sentencia.</w:t>
      </w:r>
      <w:r w:rsidRPr="00F23197">
        <w:rPr>
          <w:rStyle w:val="Textoennegrita"/>
          <w:rFonts w:ascii="Verdana" w:hAnsi="Verdana"/>
          <w:b w:val="0"/>
          <w:bCs w:val="0"/>
          <w:color w:val="000000"/>
          <w:sz w:val="16"/>
          <w:szCs w:val="16"/>
          <w:shd w:val="clear" w:color="auto" w:fill="FFFFFF"/>
        </w:rPr>
        <w:t xml:space="preserve"> Resolución del Presidente de la Corte Interamericana de Derechos Humanos de 7 de octubre de 2016.</w:t>
      </w:r>
      <w:r w:rsidRPr="00DB266A">
        <w:rPr>
          <w:rStyle w:val="Textoennegrita"/>
          <w:rFonts w:ascii="Verdana" w:hAnsi="Verdana"/>
          <w:b w:val="0"/>
          <w:bCs w:val="0"/>
          <w:color w:val="000000"/>
          <w:sz w:val="16"/>
          <w:szCs w:val="16"/>
          <w:shd w:val="clear" w:color="auto" w:fill="FFFFFF"/>
          <w:lang w:val="es-ES"/>
        </w:rPr>
        <w:t xml:space="preserve"> Disponible en</w:t>
      </w:r>
      <w:r w:rsidRPr="00945A87">
        <w:rPr>
          <w:rStyle w:val="Textoennegrita"/>
          <w:rFonts w:ascii="Verdana" w:hAnsi="Verdana"/>
          <w:b w:val="0"/>
          <w:bCs w:val="0"/>
          <w:color w:val="000000"/>
          <w:sz w:val="16"/>
          <w:szCs w:val="16"/>
          <w:shd w:val="clear" w:color="auto" w:fill="FFFFFF"/>
          <w:lang w:val="es-ES"/>
        </w:rPr>
        <w:t xml:space="preserve">: </w:t>
      </w:r>
      <w:hyperlink r:id="rId3" w:history="1">
        <w:r w:rsidRPr="00F23197">
          <w:rPr>
            <w:rStyle w:val="Hipervnculo"/>
            <w:rFonts w:ascii="Verdana" w:hAnsi="Verdana"/>
            <w:sz w:val="16"/>
            <w:szCs w:val="16"/>
          </w:rPr>
          <w:t>http://corteidh.or.cr/docs/asuntos/duque_fv_16.pdf</w:t>
        </w:r>
      </w:hyperlink>
      <w:r w:rsidRPr="00F23197">
        <w:rPr>
          <w:rFonts w:ascii="Verdana" w:hAnsi="Verdana"/>
          <w:sz w:val="16"/>
          <w:szCs w:val="16"/>
          <w:lang w:val="es-ES"/>
        </w:rPr>
        <w:t xml:space="preserve">. </w:t>
      </w:r>
    </w:p>
  </w:footnote>
  <w:footnote w:id="5">
    <w:p w14:paraId="2407D29C" w14:textId="25CCFEEB" w:rsidR="00DC45C0" w:rsidRPr="00F23197" w:rsidRDefault="00DC45C0" w:rsidP="00F23197">
      <w:pPr>
        <w:pStyle w:val="Textonotapie"/>
        <w:jc w:val="both"/>
        <w:rPr>
          <w:rFonts w:ascii="Verdana" w:hAnsi="Verdana"/>
          <w:sz w:val="16"/>
          <w:szCs w:val="16"/>
          <w:lang w:val="es-ES"/>
        </w:rPr>
      </w:pPr>
      <w:r w:rsidRPr="00F23197">
        <w:rPr>
          <w:rStyle w:val="Refdenotaalpie"/>
          <w:rFonts w:ascii="Verdana" w:hAnsi="Verdana"/>
          <w:sz w:val="16"/>
          <w:szCs w:val="16"/>
        </w:rPr>
        <w:footnoteRef/>
      </w:r>
      <w:r w:rsidRPr="00F23197">
        <w:rPr>
          <w:rFonts w:ascii="Verdana" w:hAnsi="Verdana"/>
          <w:sz w:val="16"/>
          <w:szCs w:val="16"/>
        </w:rPr>
        <w:t xml:space="preserve"> </w:t>
      </w:r>
      <w:r w:rsidRPr="00F23197">
        <w:rPr>
          <w:rFonts w:ascii="Verdana" w:hAnsi="Verdana"/>
          <w:sz w:val="16"/>
          <w:szCs w:val="16"/>
          <w:lang w:val="es-ES"/>
        </w:rPr>
        <w:tab/>
      </w:r>
      <w:r w:rsidRPr="00F23197">
        <w:rPr>
          <w:rFonts w:ascii="Verdana" w:hAnsi="Verdana"/>
          <w:i/>
          <w:iCs/>
          <w:sz w:val="16"/>
          <w:szCs w:val="16"/>
          <w:lang w:val="es-ES"/>
        </w:rPr>
        <w:t xml:space="preserve">Cfr. </w:t>
      </w:r>
      <w:r w:rsidRPr="00F23197">
        <w:rPr>
          <w:rStyle w:val="Textoennegrita"/>
          <w:rFonts w:ascii="Verdana" w:hAnsi="Verdana"/>
          <w:b w:val="0"/>
          <w:bCs w:val="0"/>
          <w:i/>
          <w:iCs/>
          <w:color w:val="000000"/>
          <w:sz w:val="16"/>
          <w:szCs w:val="16"/>
          <w:shd w:val="clear" w:color="auto" w:fill="FFFFFF"/>
        </w:rPr>
        <w:t>Caso Duque Vs. Colombia. Supervisión de Cumplimiento de Sentencia.</w:t>
      </w:r>
      <w:r w:rsidRPr="00F23197">
        <w:rPr>
          <w:rStyle w:val="Textoennegrita"/>
          <w:rFonts w:ascii="Verdana" w:hAnsi="Verdana"/>
          <w:b w:val="0"/>
          <w:bCs w:val="0"/>
          <w:color w:val="000000"/>
          <w:sz w:val="16"/>
          <w:szCs w:val="16"/>
          <w:shd w:val="clear" w:color="auto" w:fill="FFFFFF"/>
        </w:rPr>
        <w:t xml:space="preserve"> Resolución de la Corte Interamericana de Derechos Humanos de 22 de noviembre de 2018.</w:t>
      </w:r>
      <w:r w:rsidRPr="00F23197">
        <w:rPr>
          <w:rStyle w:val="Textoennegrita"/>
          <w:rFonts w:ascii="Verdana" w:hAnsi="Verdana"/>
          <w:b w:val="0"/>
          <w:bCs w:val="0"/>
          <w:color w:val="000000"/>
          <w:sz w:val="16"/>
          <w:szCs w:val="16"/>
          <w:shd w:val="clear" w:color="auto" w:fill="FFFFFF"/>
          <w:lang w:val="es-ES"/>
        </w:rPr>
        <w:t xml:space="preserve"> Disponible en: </w:t>
      </w:r>
      <w:hyperlink r:id="rId4" w:history="1">
        <w:r w:rsidRPr="00F23197">
          <w:rPr>
            <w:rStyle w:val="Hipervnculo"/>
            <w:rFonts w:ascii="Verdana" w:hAnsi="Verdana"/>
            <w:sz w:val="16"/>
            <w:szCs w:val="16"/>
          </w:rPr>
          <w:t>http://www.corteidh.or.cr/docs/supervisiones/duque_22_11_18.pdf</w:t>
        </w:r>
      </w:hyperlink>
      <w:r w:rsidRPr="00F23197">
        <w:rPr>
          <w:rFonts w:ascii="Verdana" w:hAnsi="Verdana"/>
          <w:sz w:val="16"/>
          <w:szCs w:val="16"/>
          <w:lang w:val="es-ES"/>
        </w:rPr>
        <w:t xml:space="preserve">. </w:t>
      </w:r>
    </w:p>
  </w:footnote>
  <w:footnote w:id="6">
    <w:p w14:paraId="3100E5B3" w14:textId="4BC7144A" w:rsidR="00DC45C0" w:rsidRPr="00F23197" w:rsidRDefault="00DC45C0" w:rsidP="00F23197">
      <w:pPr>
        <w:pStyle w:val="Textonotapie"/>
        <w:jc w:val="both"/>
        <w:rPr>
          <w:rFonts w:ascii="Verdana" w:hAnsi="Verdana"/>
          <w:sz w:val="16"/>
          <w:szCs w:val="16"/>
          <w:lang w:val="es-ES"/>
        </w:rPr>
      </w:pPr>
      <w:r w:rsidRPr="00F23197">
        <w:rPr>
          <w:rStyle w:val="Refdenotaalpie"/>
          <w:rFonts w:ascii="Verdana" w:hAnsi="Verdana"/>
          <w:sz w:val="16"/>
          <w:szCs w:val="16"/>
        </w:rPr>
        <w:footnoteRef/>
      </w:r>
      <w:r w:rsidRPr="00F23197">
        <w:rPr>
          <w:rFonts w:ascii="Verdana" w:hAnsi="Verdana"/>
          <w:sz w:val="16"/>
          <w:szCs w:val="16"/>
        </w:rPr>
        <w:t xml:space="preserve"> </w:t>
      </w:r>
      <w:r w:rsidRPr="00F23197">
        <w:rPr>
          <w:rFonts w:ascii="Verdana" w:hAnsi="Verdana"/>
          <w:sz w:val="16"/>
          <w:szCs w:val="16"/>
        </w:rPr>
        <w:tab/>
      </w:r>
      <w:r w:rsidRPr="00F23197">
        <w:rPr>
          <w:rFonts w:ascii="Verdana" w:hAnsi="Verdana"/>
          <w:i/>
          <w:iCs/>
          <w:sz w:val="16"/>
          <w:szCs w:val="16"/>
          <w:lang w:val="es-ES"/>
        </w:rPr>
        <w:t xml:space="preserve">Cfr. </w:t>
      </w:r>
      <w:r w:rsidRPr="00F23197">
        <w:rPr>
          <w:rStyle w:val="Textoennegrita"/>
          <w:rFonts w:ascii="Verdana" w:hAnsi="Verdana"/>
          <w:b w:val="0"/>
          <w:bCs w:val="0"/>
          <w:i/>
          <w:iCs/>
          <w:color w:val="000000"/>
          <w:sz w:val="16"/>
          <w:szCs w:val="16"/>
          <w:shd w:val="clear" w:color="auto" w:fill="FFFFFF"/>
        </w:rPr>
        <w:t>Caso Duque Vs Colombia. Supervisión de Cumplimiento de Sentencia y Reintegro al Fondo de Asistencia Legal de Víctimas.</w:t>
      </w:r>
      <w:r w:rsidRPr="00F23197">
        <w:rPr>
          <w:rStyle w:val="Textoennegrita"/>
          <w:rFonts w:ascii="Verdana" w:hAnsi="Verdana"/>
          <w:b w:val="0"/>
          <w:bCs w:val="0"/>
          <w:color w:val="000000"/>
          <w:sz w:val="16"/>
          <w:szCs w:val="16"/>
          <w:shd w:val="clear" w:color="auto" w:fill="FFFFFF"/>
        </w:rPr>
        <w:t xml:space="preserve"> Resolución de la Corte Interamericana de Derechos Humanos de 22 de noviembre de 2019</w:t>
      </w:r>
      <w:r w:rsidRPr="00F23197">
        <w:rPr>
          <w:rStyle w:val="Textoennegrita"/>
          <w:rFonts w:ascii="Verdana" w:hAnsi="Verdana"/>
          <w:b w:val="0"/>
          <w:bCs w:val="0"/>
          <w:color w:val="000000"/>
          <w:sz w:val="16"/>
          <w:szCs w:val="16"/>
          <w:shd w:val="clear" w:color="auto" w:fill="FFFFFF"/>
          <w:lang w:val="es-ES"/>
        </w:rPr>
        <w:t xml:space="preserve">. Disponible en: </w:t>
      </w:r>
      <w:hyperlink r:id="rId5" w:history="1">
        <w:r w:rsidRPr="00F23197">
          <w:rPr>
            <w:rStyle w:val="Hipervnculo"/>
            <w:rFonts w:ascii="Verdana" w:hAnsi="Verdana"/>
            <w:sz w:val="16"/>
            <w:szCs w:val="16"/>
          </w:rPr>
          <w:t>http://corteidh.or.cr/docs/asuntos/duque_fv_19.pdf</w:t>
        </w:r>
      </w:hyperlink>
      <w:r w:rsidRPr="00F23197">
        <w:rPr>
          <w:rFonts w:ascii="Verdana" w:hAnsi="Verdana"/>
          <w:sz w:val="16"/>
          <w:szCs w:val="16"/>
          <w:lang w:val="es-ES"/>
        </w:rPr>
        <w:t xml:space="preserve">. </w:t>
      </w:r>
    </w:p>
  </w:footnote>
  <w:footnote w:id="7">
    <w:p w14:paraId="32D56C6F" w14:textId="6A1B7AD8" w:rsidR="00DC45C0" w:rsidRPr="00090031" w:rsidRDefault="00DC45C0" w:rsidP="00F23197">
      <w:pPr>
        <w:pStyle w:val="Textonotapie"/>
        <w:jc w:val="both"/>
        <w:rPr>
          <w:rFonts w:ascii="Verdana" w:hAnsi="Verdana"/>
          <w:sz w:val="16"/>
          <w:szCs w:val="16"/>
          <w:lang w:val="es-CR"/>
        </w:rPr>
      </w:pPr>
      <w:r w:rsidRPr="00945A87">
        <w:rPr>
          <w:rStyle w:val="Refdenotaalpie"/>
          <w:rFonts w:ascii="Verdana" w:hAnsi="Verdana"/>
          <w:sz w:val="16"/>
          <w:szCs w:val="16"/>
        </w:rPr>
        <w:footnoteRef/>
      </w:r>
      <w:r w:rsidRPr="00945A87">
        <w:rPr>
          <w:rFonts w:ascii="Verdana" w:hAnsi="Verdana"/>
          <w:sz w:val="16"/>
          <w:szCs w:val="16"/>
        </w:rPr>
        <w:t xml:space="preserve"> </w:t>
      </w:r>
      <w:r w:rsidRPr="00F23197">
        <w:rPr>
          <w:rFonts w:ascii="Verdana" w:hAnsi="Verdana"/>
          <w:sz w:val="16"/>
          <w:szCs w:val="16"/>
        </w:rPr>
        <w:tab/>
      </w:r>
      <w:r w:rsidRPr="00F23197">
        <w:rPr>
          <w:rFonts w:ascii="Verdana" w:hAnsi="Verdana"/>
          <w:sz w:val="16"/>
          <w:szCs w:val="16"/>
          <w:lang w:val="es-CR"/>
        </w:rPr>
        <w:t>La Comisión Colombiana de Juristas</w:t>
      </w:r>
      <w:r>
        <w:rPr>
          <w:rFonts w:ascii="Verdana" w:hAnsi="Verdana"/>
          <w:sz w:val="16"/>
          <w:szCs w:val="16"/>
          <w:lang w:val="es-CR"/>
        </w:rPr>
        <w:t>.</w:t>
      </w:r>
    </w:p>
  </w:footnote>
  <w:footnote w:id="8">
    <w:p w14:paraId="40AD9E63" w14:textId="77777777" w:rsidR="00DC45C0" w:rsidRPr="00DB5FB8" w:rsidRDefault="00DC45C0" w:rsidP="00ED0B5F">
      <w:pPr>
        <w:pStyle w:val="Textonotapie"/>
        <w:jc w:val="both"/>
        <w:rPr>
          <w:rFonts w:ascii="Verdana" w:hAnsi="Verdana"/>
          <w:sz w:val="16"/>
          <w:szCs w:val="16"/>
        </w:rPr>
      </w:pPr>
      <w:r w:rsidRPr="00DB5FB8">
        <w:rPr>
          <w:rStyle w:val="Refdenotaalpie"/>
          <w:rFonts w:ascii="Verdana" w:hAnsi="Verdana"/>
          <w:sz w:val="16"/>
          <w:szCs w:val="16"/>
        </w:rPr>
        <w:footnoteRef/>
      </w:r>
      <w:r w:rsidRPr="00DB5FB8">
        <w:rPr>
          <w:rFonts w:ascii="Verdana" w:hAnsi="Verdana"/>
          <w:sz w:val="16"/>
          <w:szCs w:val="16"/>
        </w:rPr>
        <w:t xml:space="preserve"> </w:t>
      </w:r>
      <w:r w:rsidRPr="00DB5FB8">
        <w:rPr>
          <w:rFonts w:ascii="Verdana" w:hAnsi="Verdana"/>
          <w:sz w:val="16"/>
          <w:szCs w:val="16"/>
        </w:rPr>
        <w:tab/>
      </w:r>
      <w:r w:rsidRPr="00DB5FB8">
        <w:rPr>
          <w:rFonts w:ascii="Verdana" w:hAnsi="Verdana"/>
          <w:sz w:val="16"/>
          <w:szCs w:val="16"/>
          <w:lang w:val="es-CR"/>
        </w:rPr>
        <w:t xml:space="preserve">Facultad que además se desprende de lo dispuesto en los artículos 33, 62.1, 62.3 y 65 de la Convención Americana </w:t>
      </w:r>
      <w:r>
        <w:rPr>
          <w:rFonts w:ascii="Verdana" w:hAnsi="Verdana"/>
          <w:sz w:val="16"/>
          <w:szCs w:val="16"/>
          <w:lang w:val="es-CR"/>
        </w:rPr>
        <w:t xml:space="preserve">sobre Derechos Humanos </w:t>
      </w:r>
      <w:r w:rsidRPr="00DB5FB8">
        <w:rPr>
          <w:rFonts w:ascii="Verdana" w:hAnsi="Verdana"/>
          <w:sz w:val="16"/>
          <w:szCs w:val="16"/>
          <w:lang w:val="es-CR"/>
        </w:rPr>
        <w:t>y 30 de su Estatuto y se encuentra regulada en el artículo 69 de su Reglamento.</w:t>
      </w:r>
    </w:p>
  </w:footnote>
  <w:footnote w:id="9">
    <w:p w14:paraId="5FA2216B" w14:textId="77777777" w:rsidR="00DC45C0" w:rsidRPr="009743FA" w:rsidRDefault="00DC45C0" w:rsidP="00090031">
      <w:pPr>
        <w:pStyle w:val="Default"/>
        <w:jc w:val="both"/>
        <w:rPr>
          <w:sz w:val="16"/>
          <w:szCs w:val="16"/>
        </w:rPr>
      </w:pPr>
      <w:r w:rsidRPr="009743FA">
        <w:rPr>
          <w:rStyle w:val="Refdenotaalpie"/>
          <w:sz w:val="16"/>
          <w:szCs w:val="16"/>
        </w:rPr>
        <w:footnoteRef/>
      </w:r>
      <w:r w:rsidRPr="009743FA">
        <w:rPr>
          <w:sz w:val="16"/>
          <w:szCs w:val="16"/>
        </w:rPr>
        <w:t xml:space="preserve"> </w:t>
      </w:r>
      <w:r>
        <w:rPr>
          <w:sz w:val="16"/>
          <w:szCs w:val="16"/>
        </w:rPr>
        <w:tab/>
      </w:r>
      <w:r w:rsidRPr="009743FA">
        <w:rPr>
          <w:sz w:val="16"/>
          <w:szCs w:val="16"/>
        </w:rPr>
        <w:t>El Estado dio cumplimiento total a</w:t>
      </w:r>
      <w:r>
        <w:rPr>
          <w:sz w:val="16"/>
          <w:szCs w:val="16"/>
        </w:rPr>
        <w:t>: i)</w:t>
      </w:r>
      <w:r w:rsidRPr="009743FA">
        <w:rPr>
          <w:sz w:val="16"/>
          <w:szCs w:val="16"/>
        </w:rPr>
        <w:t xml:space="preserve"> las medidas relativas a la publicac</w:t>
      </w:r>
      <w:r>
        <w:rPr>
          <w:sz w:val="16"/>
          <w:szCs w:val="16"/>
        </w:rPr>
        <w:t>ión y difusión de la Sentencia (</w:t>
      </w:r>
      <w:r w:rsidRPr="00090031">
        <w:rPr>
          <w:i/>
          <w:sz w:val="16"/>
          <w:szCs w:val="16"/>
        </w:rPr>
        <w:t>punto dispositivo octavo de la Sentencia</w:t>
      </w:r>
      <w:r>
        <w:rPr>
          <w:i/>
          <w:sz w:val="16"/>
          <w:szCs w:val="16"/>
        </w:rPr>
        <w:t>);</w:t>
      </w:r>
      <w:r w:rsidRPr="009743FA">
        <w:rPr>
          <w:sz w:val="16"/>
          <w:szCs w:val="16"/>
        </w:rPr>
        <w:t xml:space="preserve"> </w:t>
      </w:r>
      <w:r>
        <w:rPr>
          <w:sz w:val="16"/>
          <w:szCs w:val="16"/>
        </w:rPr>
        <w:t>ii</w:t>
      </w:r>
      <w:r w:rsidRPr="009743FA">
        <w:rPr>
          <w:sz w:val="16"/>
          <w:szCs w:val="16"/>
        </w:rPr>
        <w:t>) pagar las cantidades fijadas en la Sentencia por concepto de indem</w:t>
      </w:r>
      <w:r>
        <w:rPr>
          <w:sz w:val="16"/>
          <w:szCs w:val="16"/>
        </w:rPr>
        <w:t>nización de daño inmaterial (</w:t>
      </w:r>
      <w:r w:rsidRPr="00090031">
        <w:rPr>
          <w:i/>
          <w:sz w:val="16"/>
          <w:szCs w:val="16"/>
        </w:rPr>
        <w:t>punto dispositivo décimo de la Sentencia</w:t>
      </w:r>
      <w:r>
        <w:rPr>
          <w:sz w:val="16"/>
          <w:szCs w:val="16"/>
        </w:rPr>
        <w:t>), y iii</w:t>
      </w:r>
      <w:r w:rsidRPr="009743FA">
        <w:rPr>
          <w:sz w:val="16"/>
          <w:szCs w:val="16"/>
        </w:rPr>
        <w:t>) realizar el</w:t>
      </w:r>
      <w:r>
        <w:rPr>
          <w:sz w:val="16"/>
          <w:szCs w:val="16"/>
        </w:rPr>
        <w:t xml:space="preserve"> reintegro de costas y gastos (</w:t>
      </w:r>
      <w:r w:rsidRPr="00090031">
        <w:rPr>
          <w:i/>
          <w:sz w:val="16"/>
          <w:szCs w:val="16"/>
        </w:rPr>
        <w:t>punto dispositivo décimo de la Sentencia</w:t>
      </w:r>
      <w:r>
        <w:rPr>
          <w:sz w:val="16"/>
          <w:szCs w:val="16"/>
        </w:rPr>
        <w:t xml:space="preserve">). </w:t>
      </w:r>
    </w:p>
  </w:footnote>
  <w:footnote w:id="10">
    <w:p w14:paraId="69E8DD76" w14:textId="6C46888E" w:rsidR="00DC45C0" w:rsidRPr="00DB5FB8" w:rsidRDefault="00DC45C0" w:rsidP="00414985">
      <w:pPr>
        <w:pStyle w:val="Textonotapie"/>
        <w:jc w:val="both"/>
        <w:rPr>
          <w:rFonts w:ascii="Verdana" w:hAnsi="Verdana"/>
          <w:sz w:val="16"/>
          <w:szCs w:val="16"/>
          <w:lang w:val="es-CR"/>
        </w:rPr>
      </w:pPr>
      <w:r w:rsidRPr="00DB5FB8">
        <w:rPr>
          <w:rStyle w:val="Refdenotaalpie"/>
          <w:rFonts w:ascii="Verdana" w:hAnsi="Verdana"/>
          <w:sz w:val="16"/>
          <w:szCs w:val="16"/>
        </w:rPr>
        <w:footnoteRef/>
      </w:r>
      <w:r w:rsidRPr="00DB5FB8">
        <w:rPr>
          <w:rFonts w:ascii="Verdana" w:hAnsi="Verdana"/>
          <w:sz w:val="16"/>
          <w:szCs w:val="16"/>
        </w:rPr>
        <w:t xml:space="preserve"> </w:t>
      </w:r>
      <w:r w:rsidRPr="00DB5FB8">
        <w:rPr>
          <w:rFonts w:ascii="Verdana" w:hAnsi="Verdana"/>
          <w:sz w:val="16"/>
          <w:szCs w:val="16"/>
          <w:lang w:val="es-CR"/>
        </w:rPr>
        <w:tab/>
      </w:r>
      <w:r w:rsidRPr="00DB5FB8">
        <w:rPr>
          <w:rFonts w:ascii="Verdana" w:hAnsi="Verdana"/>
          <w:i/>
          <w:sz w:val="16"/>
          <w:szCs w:val="16"/>
        </w:rPr>
        <w:t>Cfr. Caso Cinco Pensionistas Vs. Perú. Supervisión de cumplimiento de Sentencia.</w:t>
      </w:r>
      <w:r w:rsidRPr="00DB5FB8">
        <w:rPr>
          <w:rFonts w:ascii="Verdana" w:hAnsi="Verdana"/>
          <w:sz w:val="16"/>
          <w:szCs w:val="16"/>
        </w:rPr>
        <w:t xml:space="preserve"> Resolución de la Corte Interamericana de Derechos Humanos de 17 de noviembre de 2004, Considerando 5, y</w:t>
      </w:r>
      <w:r>
        <w:rPr>
          <w:rStyle w:val="Textoennegrita"/>
          <w:rFonts w:ascii="Verdana" w:hAnsi="Verdana"/>
          <w:b w:val="0"/>
          <w:color w:val="000000"/>
          <w:sz w:val="16"/>
          <w:szCs w:val="16"/>
          <w:shd w:val="clear" w:color="auto" w:fill="FFFFFF"/>
          <w:lang w:val="es-ES"/>
        </w:rPr>
        <w:t xml:space="preserve"> </w:t>
      </w:r>
      <w:r w:rsidRPr="00F23197">
        <w:rPr>
          <w:rStyle w:val="Textoennegrita"/>
          <w:rFonts w:ascii="Verdana" w:hAnsi="Verdana"/>
          <w:b w:val="0"/>
          <w:i/>
          <w:iCs/>
          <w:color w:val="000000"/>
          <w:sz w:val="16"/>
          <w:szCs w:val="16"/>
          <w:shd w:val="clear" w:color="auto" w:fill="FFFFFF"/>
        </w:rPr>
        <w:t>Caso Gómez Murillo y otros Vs. Costa Rica. Supervisión de Cumplimiento de Sentencia.</w:t>
      </w:r>
      <w:r w:rsidRPr="00F23197">
        <w:rPr>
          <w:rStyle w:val="Textoennegrita"/>
          <w:rFonts w:ascii="Verdana" w:hAnsi="Verdana"/>
          <w:b w:val="0"/>
          <w:color w:val="000000"/>
          <w:sz w:val="16"/>
          <w:szCs w:val="16"/>
          <w:shd w:val="clear" w:color="auto" w:fill="FFFFFF"/>
        </w:rPr>
        <w:t xml:space="preserve"> Resolución de la Corte Interamericana de Derechos Humanos de 22 de noviembre de 2019</w:t>
      </w:r>
      <w:r w:rsidRPr="00BF1E9F">
        <w:rPr>
          <w:rStyle w:val="Textoennegrita"/>
          <w:rFonts w:ascii="Verdana" w:hAnsi="Verdana"/>
          <w:b w:val="0"/>
          <w:color w:val="000000"/>
          <w:sz w:val="16"/>
          <w:szCs w:val="16"/>
          <w:shd w:val="clear" w:color="auto" w:fill="FFFFFF"/>
          <w:lang w:val="es-CR"/>
        </w:rPr>
        <w:t>,</w:t>
      </w:r>
      <w:r w:rsidRPr="00DB5FB8">
        <w:rPr>
          <w:rStyle w:val="Textoennegrita"/>
          <w:rFonts w:ascii="Verdana" w:hAnsi="Verdana"/>
          <w:b w:val="0"/>
          <w:color w:val="000000"/>
          <w:sz w:val="16"/>
          <w:szCs w:val="16"/>
          <w:shd w:val="clear" w:color="auto" w:fill="FFFFFF"/>
          <w:lang w:val="es-CR"/>
        </w:rPr>
        <w:t xml:space="preserve"> Considerando 2. </w:t>
      </w:r>
    </w:p>
  </w:footnote>
  <w:footnote w:id="11">
    <w:p w14:paraId="2584DEAC" w14:textId="68F18E11" w:rsidR="00DC45C0" w:rsidRPr="00830F84" w:rsidRDefault="00DC45C0" w:rsidP="00B87F21">
      <w:pPr>
        <w:pStyle w:val="Textonotapie"/>
        <w:jc w:val="both"/>
        <w:rPr>
          <w:rFonts w:ascii="Verdana" w:hAnsi="Verdana"/>
          <w:sz w:val="16"/>
          <w:szCs w:val="16"/>
        </w:rPr>
      </w:pPr>
      <w:r w:rsidRPr="00830F84">
        <w:rPr>
          <w:rStyle w:val="Refdenotaalpie"/>
          <w:rFonts w:ascii="Verdana" w:hAnsi="Verdana"/>
          <w:sz w:val="16"/>
          <w:szCs w:val="16"/>
        </w:rPr>
        <w:footnoteRef/>
      </w:r>
      <w:r w:rsidRPr="00830F84">
        <w:rPr>
          <w:rFonts w:ascii="Verdana" w:hAnsi="Verdana"/>
          <w:sz w:val="16"/>
          <w:szCs w:val="16"/>
        </w:rPr>
        <w:t xml:space="preserve"> </w:t>
      </w:r>
      <w:r w:rsidRPr="00830F84">
        <w:rPr>
          <w:rFonts w:ascii="Verdana" w:hAnsi="Verdana"/>
          <w:sz w:val="16"/>
          <w:szCs w:val="16"/>
        </w:rPr>
        <w:tab/>
      </w:r>
      <w:r w:rsidRPr="00830F84">
        <w:rPr>
          <w:rFonts w:ascii="Verdana" w:hAnsi="Verdana"/>
          <w:i/>
          <w:sz w:val="16"/>
          <w:szCs w:val="16"/>
        </w:rPr>
        <w:t xml:space="preserve">Cfr. Caso </w:t>
      </w:r>
      <w:proofErr w:type="spellStart"/>
      <w:r w:rsidRPr="00830F84">
        <w:rPr>
          <w:rFonts w:ascii="Verdana" w:hAnsi="Verdana"/>
          <w:i/>
          <w:sz w:val="16"/>
          <w:szCs w:val="16"/>
        </w:rPr>
        <w:t>Ivcher</w:t>
      </w:r>
      <w:proofErr w:type="spellEnd"/>
      <w:r w:rsidRPr="00830F84">
        <w:rPr>
          <w:rFonts w:ascii="Verdana" w:hAnsi="Verdana"/>
          <w:i/>
          <w:sz w:val="16"/>
          <w:szCs w:val="16"/>
        </w:rPr>
        <w:t xml:space="preserve"> </w:t>
      </w:r>
      <w:proofErr w:type="spellStart"/>
      <w:r w:rsidRPr="00830F84">
        <w:rPr>
          <w:rFonts w:ascii="Verdana" w:hAnsi="Verdana"/>
          <w:i/>
          <w:sz w:val="16"/>
          <w:szCs w:val="16"/>
        </w:rPr>
        <w:t>Bronstein</w:t>
      </w:r>
      <w:proofErr w:type="spellEnd"/>
      <w:r w:rsidRPr="00830F84">
        <w:rPr>
          <w:rFonts w:ascii="Verdana" w:hAnsi="Verdana"/>
          <w:i/>
          <w:sz w:val="16"/>
          <w:szCs w:val="16"/>
        </w:rPr>
        <w:t xml:space="preserve"> Vs. Perú. Competencia.</w:t>
      </w:r>
      <w:r w:rsidRPr="00830F84">
        <w:rPr>
          <w:rFonts w:ascii="Verdana" w:hAnsi="Verdana"/>
          <w:sz w:val="16"/>
          <w:szCs w:val="16"/>
        </w:rPr>
        <w:t xml:space="preserve"> Sentencia de la Corte Interamericana de Derechos Humanos de 24 de septiembre de 1999. Serie C No. 54, párr. 37, y</w:t>
      </w:r>
      <w:r w:rsidRPr="00830F84">
        <w:rPr>
          <w:rFonts w:ascii="Verdana" w:hAnsi="Verdana"/>
          <w:sz w:val="16"/>
          <w:szCs w:val="16"/>
          <w:lang w:val="es-CR"/>
        </w:rPr>
        <w:t xml:space="preserve"> </w:t>
      </w:r>
      <w:r w:rsidRPr="00830F84">
        <w:rPr>
          <w:rFonts w:ascii="Verdana" w:hAnsi="Verdana"/>
          <w:i/>
          <w:sz w:val="16"/>
          <w:szCs w:val="16"/>
          <w:lang w:val="es-CR"/>
        </w:rPr>
        <w:t>C</w:t>
      </w:r>
      <w:r w:rsidRPr="00830F84">
        <w:rPr>
          <w:rStyle w:val="Textoennegrita"/>
          <w:rFonts w:ascii="Verdana" w:hAnsi="Verdana"/>
          <w:b w:val="0"/>
          <w:i/>
          <w:color w:val="000000"/>
          <w:sz w:val="16"/>
          <w:szCs w:val="16"/>
          <w:shd w:val="clear" w:color="auto" w:fill="FFFFFF"/>
        </w:rPr>
        <w:t xml:space="preserve">aso </w:t>
      </w:r>
      <w:r>
        <w:rPr>
          <w:rStyle w:val="Textoennegrita"/>
          <w:rFonts w:ascii="Verdana" w:hAnsi="Verdana"/>
          <w:b w:val="0"/>
          <w:i/>
          <w:color w:val="000000"/>
          <w:sz w:val="16"/>
          <w:szCs w:val="16"/>
          <w:shd w:val="clear" w:color="auto" w:fill="FFFFFF"/>
          <w:lang w:val="es-ES"/>
        </w:rPr>
        <w:t>Gómez Murillo</w:t>
      </w:r>
      <w:r w:rsidRPr="00830F84">
        <w:rPr>
          <w:rStyle w:val="Textoennegrita"/>
          <w:rFonts w:ascii="Verdana" w:hAnsi="Verdana"/>
          <w:b w:val="0"/>
          <w:i/>
          <w:color w:val="000000"/>
          <w:sz w:val="16"/>
          <w:szCs w:val="16"/>
          <w:shd w:val="clear" w:color="auto" w:fill="FFFFFF"/>
        </w:rPr>
        <w:t xml:space="preserve"> y otros Vs. Costa Rica</w:t>
      </w:r>
      <w:r w:rsidRPr="00830F84">
        <w:rPr>
          <w:rStyle w:val="Textoennegrita"/>
          <w:rFonts w:ascii="Verdana" w:hAnsi="Verdana"/>
          <w:b w:val="0"/>
          <w:color w:val="000000"/>
          <w:sz w:val="16"/>
          <w:szCs w:val="16"/>
          <w:shd w:val="clear" w:color="auto" w:fill="FFFFFF"/>
          <w:lang w:val="es-CR"/>
        </w:rPr>
        <w:t xml:space="preserve">, </w:t>
      </w:r>
      <w:r>
        <w:rPr>
          <w:rStyle w:val="Textoennegrita"/>
          <w:rFonts w:ascii="Verdana" w:hAnsi="Verdana"/>
          <w:b w:val="0"/>
          <w:i/>
          <w:color w:val="000000"/>
          <w:sz w:val="16"/>
          <w:szCs w:val="16"/>
          <w:shd w:val="clear" w:color="auto" w:fill="FFFFFF"/>
          <w:lang w:val="es-CR"/>
        </w:rPr>
        <w:t xml:space="preserve">supra </w:t>
      </w:r>
      <w:r>
        <w:rPr>
          <w:rStyle w:val="Textoennegrita"/>
          <w:rFonts w:ascii="Verdana" w:hAnsi="Verdana"/>
          <w:b w:val="0"/>
          <w:color w:val="000000"/>
          <w:sz w:val="16"/>
          <w:szCs w:val="16"/>
          <w:shd w:val="clear" w:color="auto" w:fill="FFFFFF"/>
          <w:lang w:val="es-CR"/>
        </w:rPr>
        <w:t xml:space="preserve">nota 9, </w:t>
      </w:r>
      <w:r w:rsidRPr="00830F84">
        <w:rPr>
          <w:rStyle w:val="Textoennegrita"/>
          <w:rFonts w:ascii="Verdana" w:hAnsi="Verdana"/>
          <w:b w:val="0"/>
          <w:color w:val="000000"/>
          <w:sz w:val="16"/>
          <w:szCs w:val="16"/>
          <w:shd w:val="clear" w:color="auto" w:fill="FFFFFF"/>
          <w:lang w:val="es-CR"/>
        </w:rPr>
        <w:t>Considerando 2.</w:t>
      </w:r>
    </w:p>
  </w:footnote>
  <w:footnote w:id="12">
    <w:p w14:paraId="32990628" w14:textId="46906C98" w:rsidR="00DC45C0" w:rsidRPr="008F1752" w:rsidRDefault="00DC45C0" w:rsidP="00DC45C0">
      <w:pPr>
        <w:pStyle w:val="Textonotapie"/>
        <w:rPr>
          <w:rFonts w:ascii="Verdana" w:hAnsi="Verdana"/>
          <w:sz w:val="16"/>
          <w:szCs w:val="16"/>
          <w:lang w:val="es-CR"/>
        </w:rPr>
      </w:pPr>
      <w:r w:rsidRPr="008F1752">
        <w:rPr>
          <w:rStyle w:val="Refdenotaalpie"/>
          <w:rFonts w:ascii="Verdana" w:hAnsi="Verdana"/>
          <w:sz w:val="16"/>
          <w:szCs w:val="16"/>
        </w:rPr>
        <w:footnoteRef/>
      </w:r>
      <w:r w:rsidRPr="008F1752">
        <w:rPr>
          <w:rFonts w:ascii="Verdana" w:hAnsi="Verdana"/>
          <w:sz w:val="16"/>
          <w:szCs w:val="16"/>
        </w:rPr>
        <w:t xml:space="preserve"> </w:t>
      </w:r>
      <w:r w:rsidRPr="008F1752">
        <w:rPr>
          <w:rFonts w:ascii="Verdana" w:hAnsi="Verdana"/>
          <w:i/>
          <w:sz w:val="16"/>
          <w:szCs w:val="16"/>
          <w:lang w:val="es-CR"/>
        </w:rPr>
        <w:tab/>
      </w:r>
      <w:r w:rsidR="00D337CE" w:rsidRPr="00D20CD0">
        <w:rPr>
          <w:rFonts w:ascii="Verdana" w:hAnsi="Verdana"/>
          <w:i/>
          <w:iCs/>
          <w:sz w:val="16"/>
          <w:szCs w:val="16"/>
          <w:lang w:val="es-ES"/>
        </w:rPr>
        <w:t xml:space="preserve">Cfr. </w:t>
      </w:r>
      <w:r w:rsidR="00D337CE" w:rsidRPr="00D20CD0">
        <w:rPr>
          <w:rStyle w:val="Textoennegrita"/>
          <w:rFonts w:ascii="Verdana" w:hAnsi="Verdana"/>
          <w:b w:val="0"/>
          <w:bCs w:val="0"/>
          <w:i/>
          <w:iCs/>
          <w:color w:val="000000"/>
          <w:sz w:val="16"/>
          <w:szCs w:val="16"/>
          <w:shd w:val="clear" w:color="auto" w:fill="FFFFFF"/>
        </w:rPr>
        <w:t>Caso Duque Vs. Colombia</w:t>
      </w:r>
      <w:r w:rsidR="00D337CE">
        <w:rPr>
          <w:rStyle w:val="Textoennegrita"/>
          <w:rFonts w:ascii="Verdana" w:hAnsi="Verdana"/>
          <w:b w:val="0"/>
          <w:bCs w:val="0"/>
          <w:i/>
          <w:iCs/>
          <w:color w:val="000000"/>
          <w:sz w:val="16"/>
          <w:szCs w:val="16"/>
          <w:shd w:val="clear" w:color="auto" w:fill="FFFFFF"/>
          <w:lang w:val="es-ES"/>
        </w:rPr>
        <w:t xml:space="preserve">, supra </w:t>
      </w:r>
      <w:r w:rsidR="00D337CE">
        <w:rPr>
          <w:rStyle w:val="Textoennegrita"/>
          <w:rFonts w:ascii="Verdana" w:hAnsi="Verdana"/>
          <w:b w:val="0"/>
          <w:bCs w:val="0"/>
          <w:color w:val="000000"/>
          <w:sz w:val="16"/>
          <w:szCs w:val="16"/>
          <w:shd w:val="clear" w:color="auto" w:fill="FFFFFF"/>
          <w:lang w:val="es-ES"/>
        </w:rPr>
        <w:t>nota 4,</w:t>
      </w:r>
      <w:r w:rsidR="00D337CE" w:rsidRPr="008F1752">
        <w:rPr>
          <w:rFonts w:ascii="Verdana" w:hAnsi="Verdana"/>
          <w:sz w:val="16"/>
          <w:szCs w:val="16"/>
          <w:lang w:val="es-CR"/>
        </w:rPr>
        <w:t xml:space="preserve"> </w:t>
      </w:r>
      <w:r w:rsidRPr="008F1752">
        <w:rPr>
          <w:rFonts w:ascii="Verdana" w:hAnsi="Verdana"/>
          <w:sz w:val="16"/>
          <w:szCs w:val="16"/>
          <w:lang w:val="es-CR"/>
        </w:rPr>
        <w:t>Considerando</w:t>
      </w:r>
      <w:r>
        <w:rPr>
          <w:rFonts w:ascii="Verdana" w:hAnsi="Verdana"/>
          <w:sz w:val="16"/>
          <w:szCs w:val="16"/>
          <w:lang w:val="es-CR"/>
        </w:rPr>
        <w:t>s</w:t>
      </w:r>
      <w:r w:rsidRPr="008F1752">
        <w:rPr>
          <w:rFonts w:ascii="Verdana" w:hAnsi="Verdana"/>
          <w:sz w:val="16"/>
          <w:szCs w:val="16"/>
          <w:lang w:val="es-CR"/>
        </w:rPr>
        <w:t xml:space="preserve"> 8 al 17.</w:t>
      </w:r>
      <w:r w:rsidRPr="008F1752">
        <w:rPr>
          <w:rFonts w:ascii="Verdana" w:hAnsi="Verdana"/>
          <w:i/>
          <w:sz w:val="16"/>
          <w:szCs w:val="16"/>
          <w:lang w:val="es-CR"/>
        </w:rPr>
        <w:t xml:space="preserve"> </w:t>
      </w:r>
    </w:p>
  </w:footnote>
  <w:footnote w:id="13">
    <w:p w14:paraId="11923626" w14:textId="53F559DD" w:rsidR="00D337CE" w:rsidRPr="00F23197" w:rsidRDefault="00D337CE" w:rsidP="00F23197">
      <w:pPr>
        <w:pStyle w:val="Textonotapie"/>
        <w:jc w:val="both"/>
        <w:rPr>
          <w:rFonts w:ascii="Verdana" w:hAnsi="Verdana"/>
          <w:sz w:val="16"/>
          <w:szCs w:val="16"/>
          <w:lang w:val="es-ES"/>
        </w:rPr>
      </w:pPr>
      <w:r w:rsidRPr="00F23197">
        <w:rPr>
          <w:rStyle w:val="Refdenotaalpie"/>
          <w:rFonts w:ascii="Verdana" w:hAnsi="Verdana"/>
          <w:sz w:val="16"/>
          <w:szCs w:val="16"/>
        </w:rPr>
        <w:footnoteRef/>
      </w:r>
      <w:r w:rsidRPr="00F23197">
        <w:rPr>
          <w:rFonts w:ascii="Verdana" w:hAnsi="Verdana"/>
          <w:sz w:val="16"/>
          <w:szCs w:val="16"/>
        </w:rPr>
        <w:t xml:space="preserve"> </w:t>
      </w:r>
      <w:r w:rsidRPr="00F23197">
        <w:rPr>
          <w:rFonts w:ascii="Verdana" w:hAnsi="Verdana"/>
          <w:sz w:val="16"/>
          <w:szCs w:val="16"/>
          <w:lang w:val="es-ES"/>
        </w:rPr>
        <w:tab/>
        <w:t>En la</w:t>
      </w:r>
      <w:r w:rsidRPr="00F23197">
        <w:rPr>
          <w:rFonts w:ascii="Verdana" w:hAnsi="Verdana"/>
          <w:sz w:val="16"/>
          <w:szCs w:val="16"/>
        </w:rPr>
        <w:t xml:space="preserve"> Sentencia </w:t>
      </w:r>
      <w:r w:rsidRPr="00F23197">
        <w:rPr>
          <w:rFonts w:ascii="Verdana" w:hAnsi="Verdana"/>
          <w:sz w:val="16"/>
          <w:szCs w:val="16"/>
          <w:lang w:val="es-ES"/>
        </w:rPr>
        <w:t xml:space="preserve">se </w:t>
      </w:r>
      <w:r w:rsidRPr="00F23197">
        <w:rPr>
          <w:rFonts w:ascii="Verdana" w:hAnsi="Verdana"/>
          <w:sz w:val="16"/>
          <w:szCs w:val="16"/>
        </w:rPr>
        <w:t>estableció que era un hecho probado que “el 19 de marzo de 2002, el señor Duque solicitó por medio de un escrito que se le indicaran los requisitos que debía gestionar para obtener la pensión de sobrevivencia de su compañero”</w:t>
      </w:r>
      <w:r w:rsidRPr="00F23197">
        <w:rPr>
          <w:rFonts w:ascii="Verdana" w:hAnsi="Verdana"/>
          <w:sz w:val="16"/>
          <w:szCs w:val="16"/>
          <w:lang w:val="es-ES"/>
        </w:rPr>
        <w:t>.</w:t>
      </w:r>
      <w:r w:rsidRPr="00F23197">
        <w:rPr>
          <w:rFonts w:ascii="Verdana" w:hAnsi="Verdana"/>
          <w:sz w:val="16"/>
          <w:szCs w:val="16"/>
        </w:rPr>
        <w:t xml:space="preserve"> Asimismo, en el fallo se hizo constar que el Secretario General de COLFONDOS indicó durante la audiencia pública del caso “que si bien [el escrito presentado por el señor Duque en marzo de 2002] no fue una solicitud formal en los términos de la ley, s[í] hubo una intención directa y expresa del señor […] Duque de interrumpir la prescripción de las mesadas y de reclamar su derecho”</w:t>
      </w:r>
      <w:r w:rsidRPr="00F23197">
        <w:rPr>
          <w:rFonts w:ascii="Verdana" w:hAnsi="Verdana"/>
          <w:sz w:val="16"/>
          <w:szCs w:val="16"/>
          <w:lang w:val="es-ES"/>
        </w:rPr>
        <w:t>.</w:t>
      </w:r>
      <w:r w:rsidRPr="00F23197">
        <w:rPr>
          <w:rFonts w:ascii="Verdana" w:hAnsi="Verdana"/>
          <w:sz w:val="16"/>
          <w:szCs w:val="16"/>
        </w:rPr>
        <w:t xml:space="preserve"> Es decir, en la Sentencia se hizo constar que el escrito presentado por el señor Duque en marzo de 2002 tenía como finalidad recibir la pensión de sobrevivencia y si la misma no fue otorgada se debió a que a la víctima “no se le permitió acceder en condiciones de igualdad a la pensión de sobrevivencia”</w:t>
      </w:r>
      <w:r w:rsidRPr="00F23197">
        <w:rPr>
          <w:rFonts w:ascii="Verdana" w:hAnsi="Verdana"/>
          <w:sz w:val="16"/>
          <w:szCs w:val="16"/>
          <w:lang w:val="es-ES"/>
        </w:rPr>
        <w:t>.</w:t>
      </w:r>
      <w:r>
        <w:rPr>
          <w:rFonts w:ascii="Verdana" w:hAnsi="Verdana"/>
          <w:sz w:val="16"/>
          <w:szCs w:val="16"/>
          <w:lang w:val="es-ES"/>
        </w:rPr>
        <w:t xml:space="preserve"> </w:t>
      </w:r>
      <w:r w:rsidRPr="00D20CD0">
        <w:rPr>
          <w:rFonts w:ascii="Verdana" w:hAnsi="Verdana"/>
          <w:i/>
          <w:iCs/>
          <w:sz w:val="16"/>
          <w:szCs w:val="16"/>
          <w:lang w:val="es-ES"/>
        </w:rPr>
        <w:t xml:space="preserve">Cfr. </w:t>
      </w:r>
      <w:r w:rsidRPr="00D20CD0">
        <w:rPr>
          <w:rStyle w:val="Textoennegrita"/>
          <w:rFonts w:ascii="Verdana" w:hAnsi="Verdana"/>
          <w:b w:val="0"/>
          <w:bCs w:val="0"/>
          <w:i/>
          <w:iCs/>
          <w:color w:val="000000"/>
          <w:sz w:val="16"/>
          <w:szCs w:val="16"/>
          <w:shd w:val="clear" w:color="auto" w:fill="FFFFFF"/>
        </w:rPr>
        <w:t>Caso Duque Vs. Colombia</w:t>
      </w:r>
      <w:r>
        <w:rPr>
          <w:rStyle w:val="Textoennegrita"/>
          <w:rFonts w:ascii="Verdana" w:hAnsi="Verdana"/>
          <w:b w:val="0"/>
          <w:bCs w:val="0"/>
          <w:i/>
          <w:iCs/>
          <w:color w:val="000000"/>
          <w:sz w:val="16"/>
          <w:szCs w:val="16"/>
          <w:shd w:val="clear" w:color="auto" w:fill="FFFFFF"/>
          <w:lang w:val="es-ES"/>
        </w:rPr>
        <w:t xml:space="preserve">, supra </w:t>
      </w:r>
      <w:r>
        <w:rPr>
          <w:rStyle w:val="Textoennegrita"/>
          <w:rFonts w:ascii="Verdana" w:hAnsi="Verdana"/>
          <w:b w:val="0"/>
          <w:bCs w:val="0"/>
          <w:color w:val="000000"/>
          <w:sz w:val="16"/>
          <w:szCs w:val="16"/>
          <w:shd w:val="clear" w:color="auto" w:fill="FFFFFF"/>
          <w:lang w:val="es-ES"/>
        </w:rPr>
        <w:t>nota 1, párr. 199 y</w:t>
      </w:r>
      <w:r w:rsidRPr="008F1752">
        <w:rPr>
          <w:rFonts w:ascii="Verdana" w:hAnsi="Verdana"/>
          <w:sz w:val="16"/>
          <w:szCs w:val="16"/>
          <w:lang w:val="es-CR"/>
        </w:rPr>
        <w:t xml:space="preserve"> </w:t>
      </w:r>
      <w:r w:rsidRPr="00D20CD0">
        <w:rPr>
          <w:rStyle w:val="Textoennegrita"/>
          <w:rFonts w:ascii="Verdana" w:hAnsi="Verdana"/>
          <w:b w:val="0"/>
          <w:bCs w:val="0"/>
          <w:i/>
          <w:iCs/>
          <w:color w:val="000000"/>
          <w:sz w:val="16"/>
          <w:szCs w:val="16"/>
          <w:shd w:val="clear" w:color="auto" w:fill="FFFFFF"/>
        </w:rPr>
        <w:t>Caso Duque Vs. Colombia</w:t>
      </w:r>
      <w:r>
        <w:rPr>
          <w:rStyle w:val="Textoennegrita"/>
          <w:rFonts w:ascii="Verdana" w:hAnsi="Verdana"/>
          <w:b w:val="0"/>
          <w:bCs w:val="0"/>
          <w:i/>
          <w:iCs/>
          <w:color w:val="000000"/>
          <w:sz w:val="16"/>
          <w:szCs w:val="16"/>
          <w:shd w:val="clear" w:color="auto" w:fill="FFFFFF"/>
          <w:lang w:val="es-ES"/>
        </w:rPr>
        <w:t xml:space="preserve">, supra </w:t>
      </w:r>
      <w:r>
        <w:rPr>
          <w:rStyle w:val="Textoennegrita"/>
          <w:rFonts w:ascii="Verdana" w:hAnsi="Verdana"/>
          <w:b w:val="0"/>
          <w:bCs w:val="0"/>
          <w:color w:val="000000"/>
          <w:sz w:val="16"/>
          <w:szCs w:val="16"/>
          <w:shd w:val="clear" w:color="auto" w:fill="FFFFFF"/>
          <w:lang w:val="es-ES"/>
        </w:rPr>
        <w:t>nota 4,</w:t>
      </w:r>
      <w:r w:rsidRPr="008F1752">
        <w:rPr>
          <w:rFonts w:ascii="Verdana" w:hAnsi="Verdana"/>
          <w:sz w:val="16"/>
          <w:szCs w:val="16"/>
          <w:lang w:val="es-CR"/>
        </w:rPr>
        <w:t xml:space="preserve"> Considerando</w:t>
      </w:r>
      <w:r>
        <w:rPr>
          <w:rFonts w:ascii="Verdana" w:hAnsi="Verdana"/>
          <w:sz w:val="16"/>
          <w:szCs w:val="16"/>
          <w:lang w:val="es-CR"/>
        </w:rPr>
        <w:t xml:space="preserve"> 13.</w:t>
      </w:r>
    </w:p>
  </w:footnote>
  <w:footnote w:id="14">
    <w:p w14:paraId="50935BF7" w14:textId="7BFD9B80" w:rsidR="000447D7" w:rsidRPr="00F23197" w:rsidRDefault="000447D7" w:rsidP="00F23197">
      <w:pPr>
        <w:pStyle w:val="Textonotapie"/>
        <w:jc w:val="both"/>
        <w:rPr>
          <w:rFonts w:ascii="Verdana" w:hAnsi="Verdana"/>
          <w:sz w:val="16"/>
          <w:szCs w:val="16"/>
          <w:lang w:val="es-ES"/>
        </w:rPr>
      </w:pPr>
      <w:r w:rsidRPr="00F23197">
        <w:rPr>
          <w:rStyle w:val="Refdenotaalpie"/>
          <w:rFonts w:ascii="Verdana" w:hAnsi="Verdana"/>
          <w:sz w:val="16"/>
          <w:szCs w:val="16"/>
        </w:rPr>
        <w:footnoteRef/>
      </w:r>
      <w:r w:rsidRPr="00F23197">
        <w:rPr>
          <w:rFonts w:ascii="Verdana" w:hAnsi="Verdana"/>
          <w:sz w:val="16"/>
          <w:szCs w:val="16"/>
        </w:rPr>
        <w:t xml:space="preserve"> </w:t>
      </w:r>
      <w:r>
        <w:rPr>
          <w:rFonts w:ascii="Verdana" w:hAnsi="Verdana"/>
          <w:sz w:val="16"/>
          <w:szCs w:val="16"/>
        </w:rPr>
        <w:tab/>
      </w:r>
      <w:r w:rsidRPr="00F23197">
        <w:rPr>
          <w:rFonts w:ascii="Verdana" w:hAnsi="Verdana"/>
          <w:i/>
          <w:iCs/>
          <w:sz w:val="16"/>
          <w:szCs w:val="16"/>
          <w:lang w:val="es-ES"/>
        </w:rPr>
        <w:t>Cfr</w:t>
      </w:r>
      <w:r>
        <w:rPr>
          <w:rFonts w:ascii="Verdana" w:hAnsi="Verdana"/>
          <w:sz w:val="16"/>
          <w:szCs w:val="16"/>
          <w:lang w:val="es-ES"/>
        </w:rPr>
        <w:t>. Resolución No. 6801 del 23 de diciembre de 2019 del Ministerio de Relaciones Exteriores (anexo al informe estatal de febrero de 2020).</w:t>
      </w:r>
    </w:p>
  </w:footnote>
  <w:footnote w:id="15">
    <w:p w14:paraId="26FB88A3" w14:textId="1B96635F" w:rsidR="000447D7" w:rsidRPr="00F23197" w:rsidRDefault="000447D7" w:rsidP="00F23197">
      <w:pPr>
        <w:pStyle w:val="Textonotapie"/>
        <w:jc w:val="both"/>
        <w:rPr>
          <w:rFonts w:ascii="Verdana" w:hAnsi="Verdana"/>
          <w:sz w:val="16"/>
          <w:szCs w:val="16"/>
          <w:lang w:val="es-ES"/>
        </w:rPr>
      </w:pPr>
      <w:r w:rsidRPr="00F23197">
        <w:rPr>
          <w:rStyle w:val="Refdenotaalpie"/>
          <w:rFonts w:ascii="Verdana" w:hAnsi="Verdana"/>
          <w:sz w:val="16"/>
          <w:szCs w:val="16"/>
        </w:rPr>
        <w:footnoteRef/>
      </w:r>
      <w:r w:rsidRPr="00F23197">
        <w:rPr>
          <w:rFonts w:ascii="Verdana" w:hAnsi="Verdana"/>
          <w:sz w:val="16"/>
          <w:szCs w:val="16"/>
        </w:rPr>
        <w:t xml:space="preserve"> </w:t>
      </w:r>
      <w:r>
        <w:rPr>
          <w:rFonts w:ascii="Verdana" w:hAnsi="Verdana"/>
          <w:sz w:val="16"/>
          <w:szCs w:val="16"/>
        </w:rPr>
        <w:tab/>
      </w:r>
      <w:r w:rsidRPr="00F23197">
        <w:rPr>
          <w:rFonts w:ascii="Verdana" w:hAnsi="Verdana"/>
          <w:i/>
          <w:iCs/>
          <w:sz w:val="16"/>
          <w:szCs w:val="16"/>
          <w:lang w:val="es-ES"/>
        </w:rPr>
        <w:t>Cfr</w:t>
      </w:r>
      <w:r>
        <w:rPr>
          <w:rFonts w:ascii="Verdana" w:hAnsi="Verdana"/>
          <w:sz w:val="16"/>
          <w:szCs w:val="16"/>
          <w:lang w:val="es-ES"/>
        </w:rPr>
        <w:t>. Certificación emitida por el Pagador del Ministerio de Relaciones Exteriores de 27 de diciembre de 2019 (anexo al informe estatal de febrero de 2020).</w:t>
      </w:r>
    </w:p>
  </w:footnote>
  <w:footnote w:id="16">
    <w:p w14:paraId="4BA98951" w14:textId="19048CCD" w:rsidR="000447D7" w:rsidRPr="00F23197" w:rsidRDefault="000447D7">
      <w:pPr>
        <w:pStyle w:val="Textonotapie"/>
        <w:rPr>
          <w:rFonts w:ascii="Verdana" w:hAnsi="Verdana"/>
          <w:sz w:val="16"/>
          <w:szCs w:val="16"/>
          <w:lang w:val="es-ES"/>
        </w:rPr>
      </w:pPr>
      <w:r w:rsidRPr="00F23197">
        <w:rPr>
          <w:rStyle w:val="Refdenotaalpie"/>
          <w:rFonts w:ascii="Verdana" w:hAnsi="Verdana"/>
          <w:sz w:val="16"/>
          <w:szCs w:val="16"/>
        </w:rPr>
        <w:footnoteRef/>
      </w:r>
      <w:r w:rsidRPr="00F23197">
        <w:rPr>
          <w:rFonts w:ascii="Verdana" w:hAnsi="Verdana"/>
          <w:sz w:val="16"/>
          <w:szCs w:val="16"/>
        </w:rPr>
        <w:t xml:space="preserve"> </w:t>
      </w:r>
      <w:r>
        <w:rPr>
          <w:rFonts w:ascii="Verdana" w:hAnsi="Verdana"/>
          <w:sz w:val="16"/>
          <w:szCs w:val="16"/>
        </w:rPr>
        <w:tab/>
      </w:r>
      <w:r>
        <w:rPr>
          <w:rFonts w:ascii="Verdana" w:hAnsi="Verdana"/>
          <w:sz w:val="16"/>
          <w:szCs w:val="16"/>
          <w:lang w:val="es-ES"/>
        </w:rPr>
        <w:t>Los representantes “inform</w:t>
      </w:r>
      <w:r w:rsidR="005B54B4">
        <w:rPr>
          <w:rFonts w:ascii="Verdana" w:hAnsi="Verdana"/>
          <w:sz w:val="16"/>
          <w:szCs w:val="16"/>
          <w:lang w:val="es-ES"/>
        </w:rPr>
        <w:t>ar[</w:t>
      </w:r>
      <w:proofErr w:type="spellStart"/>
      <w:r w:rsidR="005B54B4">
        <w:rPr>
          <w:rFonts w:ascii="Verdana" w:hAnsi="Verdana"/>
          <w:sz w:val="16"/>
          <w:szCs w:val="16"/>
          <w:lang w:val="es-ES"/>
        </w:rPr>
        <w:t>on</w:t>
      </w:r>
      <w:proofErr w:type="spellEnd"/>
      <w:r w:rsidR="005B54B4">
        <w:rPr>
          <w:rFonts w:ascii="Verdana" w:hAnsi="Verdana"/>
          <w:sz w:val="16"/>
          <w:szCs w:val="16"/>
          <w:lang w:val="es-ES"/>
        </w:rPr>
        <w:t>] que el pago mencionado [por el Estado] se ha realizado y recibido en fecha 23 de enero de 2020 por el monto de ciento ochenta y dos millones cuatrocientos un mil noventa y tres pesos ($182.401.093,00)”.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F0A99B" w14:textId="77777777" w:rsidR="00DC45C0" w:rsidRPr="00EC534B" w:rsidRDefault="00DC45C0" w:rsidP="00EC534B">
    <w:pPr>
      <w:pStyle w:val="Encabezado"/>
      <w:jc w:val="right"/>
      <w:rPr>
        <w:rFonts w:ascii="Verdana" w:hAnsi="Verdana"/>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881408" w14:textId="1B27E874" w:rsidR="00DC45C0" w:rsidRPr="004C037D" w:rsidRDefault="00DC45C0" w:rsidP="004C037D">
    <w:pPr>
      <w:pStyle w:val="Encabezado"/>
      <w:jc w:val="right"/>
      <w:rPr>
        <w:rFonts w:ascii="Verdana" w:hAnsi="Verdana"/>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E3732"/>
    <w:multiLevelType w:val="hybridMultilevel"/>
    <w:tmpl w:val="102AA23E"/>
    <w:lvl w:ilvl="0" w:tplc="A4F4C140">
      <w:start w:val="1"/>
      <w:numFmt w:val="upperLetter"/>
      <w:lvlText w:val="%1."/>
      <w:lvlJc w:val="left"/>
      <w:pPr>
        <w:ind w:left="720" w:hanging="360"/>
      </w:pPr>
      <w:rPr>
        <w:b/>
        <w:i/>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nsid w:val="04542FAD"/>
    <w:multiLevelType w:val="hybridMultilevel"/>
    <w:tmpl w:val="825A5436"/>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nsid w:val="149A1D04"/>
    <w:multiLevelType w:val="hybridMultilevel"/>
    <w:tmpl w:val="699A8F0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188F68DD"/>
    <w:multiLevelType w:val="hybridMultilevel"/>
    <w:tmpl w:val="5EBE15E0"/>
    <w:lvl w:ilvl="0" w:tplc="924E4690">
      <w:start w:val="1"/>
      <w:numFmt w:val="decimal"/>
      <w:lvlText w:val="%1."/>
      <w:lvlJc w:val="left"/>
      <w:pPr>
        <w:ind w:left="1440" w:hanging="360"/>
      </w:pPr>
      <w:rPr>
        <w:rFonts w:cs="Times New Roman"/>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1ADC1221"/>
    <w:multiLevelType w:val="hybridMultilevel"/>
    <w:tmpl w:val="1548F176"/>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nsid w:val="1B681FF0"/>
    <w:multiLevelType w:val="hybridMultilevel"/>
    <w:tmpl w:val="1548F176"/>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nsid w:val="1BD86AD4"/>
    <w:multiLevelType w:val="hybridMultilevel"/>
    <w:tmpl w:val="0E38C9B2"/>
    <w:lvl w:ilvl="0" w:tplc="04BE5374">
      <w:start w:val="1"/>
      <w:numFmt w:val="decimal"/>
      <w:lvlText w:val="%1."/>
      <w:lvlJc w:val="left"/>
      <w:pPr>
        <w:ind w:left="720" w:hanging="360"/>
      </w:pPr>
      <w:rPr>
        <w:rFonts w:eastAsia="Calibri"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nsid w:val="1F1E685B"/>
    <w:multiLevelType w:val="hybridMultilevel"/>
    <w:tmpl w:val="8BC0D6AA"/>
    <w:lvl w:ilvl="0" w:tplc="4D02B7EC">
      <w:start w:val="1"/>
      <w:numFmt w:val="upperLetter"/>
      <w:lvlText w:val="%1."/>
      <w:lvlJc w:val="left"/>
      <w:pPr>
        <w:ind w:left="1020" w:hanging="360"/>
      </w:pPr>
      <w:rPr>
        <w:rFonts w:eastAsia="Times New Roman" w:cs="Times New Roman" w:hint="default"/>
        <w:i/>
        <w:color w:val="0000FF"/>
        <w:u w:val="single"/>
      </w:rPr>
    </w:lvl>
    <w:lvl w:ilvl="1" w:tplc="0C0A0019" w:tentative="1">
      <w:start w:val="1"/>
      <w:numFmt w:val="lowerLetter"/>
      <w:lvlText w:val="%2."/>
      <w:lvlJc w:val="left"/>
      <w:pPr>
        <w:ind w:left="1740" w:hanging="360"/>
      </w:pPr>
    </w:lvl>
    <w:lvl w:ilvl="2" w:tplc="0C0A001B" w:tentative="1">
      <w:start w:val="1"/>
      <w:numFmt w:val="lowerRoman"/>
      <w:lvlText w:val="%3."/>
      <w:lvlJc w:val="right"/>
      <w:pPr>
        <w:ind w:left="2460" w:hanging="180"/>
      </w:pPr>
    </w:lvl>
    <w:lvl w:ilvl="3" w:tplc="0C0A000F" w:tentative="1">
      <w:start w:val="1"/>
      <w:numFmt w:val="decimal"/>
      <w:lvlText w:val="%4."/>
      <w:lvlJc w:val="left"/>
      <w:pPr>
        <w:ind w:left="3180" w:hanging="360"/>
      </w:pPr>
    </w:lvl>
    <w:lvl w:ilvl="4" w:tplc="0C0A0019" w:tentative="1">
      <w:start w:val="1"/>
      <w:numFmt w:val="lowerLetter"/>
      <w:lvlText w:val="%5."/>
      <w:lvlJc w:val="left"/>
      <w:pPr>
        <w:ind w:left="3900" w:hanging="360"/>
      </w:pPr>
    </w:lvl>
    <w:lvl w:ilvl="5" w:tplc="0C0A001B" w:tentative="1">
      <w:start w:val="1"/>
      <w:numFmt w:val="lowerRoman"/>
      <w:lvlText w:val="%6."/>
      <w:lvlJc w:val="right"/>
      <w:pPr>
        <w:ind w:left="4620" w:hanging="180"/>
      </w:pPr>
    </w:lvl>
    <w:lvl w:ilvl="6" w:tplc="0C0A000F" w:tentative="1">
      <w:start w:val="1"/>
      <w:numFmt w:val="decimal"/>
      <w:lvlText w:val="%7."/>
      <w:lvlJc w:val="left"/>
      <w:pPr>
        <w:ind w:left="5340" w:hanging="360"/>
      </w:pPr>
    </w:lvl>
    <w:lvl w:ilvl="7" w:tplc="0C0A0019" w:tentative="1">
      <w:start w:val="1"/>
      <w:numFmt w:val="lowerLetter"/>
      <w:lvlText w:val="%8."/>
      <w:lvlJc w:val="left"/>
      <w:pPr>
        <w:ind w:left="6060" w:hanging="360"/>
      </w:pPr>
    </w:lvl>
    <w:lvl w:ilvl="8" w:tplc="0C0A001B" w:tentative="1">
      <w:start w:val="1"/>
      <w:numFmt w:val="lowerRoman"/>
      <w:lvlText w:val="%9."/>
      <w:lvlJc w:val="right"/>
      <w:pPr>
        <w:ind w:left="6780" w:hanging="180"/>
      </w:pPr>
    </w:lvl>
  </w:abstractNum>
  <w:abstractNum w:abstractNumId="8">
    <w:nsid w:val="21185F3C"/>
    <w:multiLevelType w:val="hybridMultilevel"/>
    <w:tmpl w:val="902A296E"/>
    <w:lvl w:ilvl="0" w:tplc="BAA01236">
      <w:start w:val="1"/>
      <w:numFmt w:val="decimal"/>
      <w:lvlText w:val="%1."/>
      <w:lvlJc w:val="left"/>
      <w:pPr>
        <w:ind w:left="502" w:hanging="360"/>
      </w:pPr>
      <w:rPr>
        <w:rFonts w:hint="default"/>
        <w:b w:val="0"/>
        <w:color w:val="auto"/>
        <w:sz w:val="20"/>
        <w:szCs w:val="20"/>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nsid w:val="2274683C"/>
    <w:multiLevelType w:val="hybridMultilevel"/>
    <w:tmpl w:val="816A393A"/>
    <w:lvl w:ilvl="0" w:tplc="BAA01236">
      <w:start w:val="1"/>
      <w:numFmt w:val="decimal"/>
      <w:lvlText w:val="%1."/>
      <w:lvlJc w:val="left"/>
      <w:pPr>
        <w:ind w:left="720" w:hanging="360"/>
      </w:pPr>
      <w:rPr>
        <w:rFonts w:hint="default"/>
        <w:b w:val="0"/>
        <w:color w:val="auto"/>
        <w:sz w:val="20"/>
        <w:szCs w:val="20"/>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nsid w:val="284F1F02"/>
    <w:multiLevelType w:val="hybridMultilevel"/>
    <w:tmpl w:val="9A4E079A"/>
    <w:lvl w:ilvl="0" w:tplc="B10C97CE">
      <w:start w:val="3"/>
      <w:numFmt w:val="decimal"/>
      <w:lvlText w:val="%1."/>
      <w:lvlJc w:val="left"/>
      <w:pPr>
        <w:ind w:left="720" w:hanging="360"/>
      </w:pPr>
      <w:rPr>
        <w:b w:val="0"/>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1">
    <w:nsid w:val="299A3416"/>
    <w:multiLevelType w:val="hybridMultilevel"/>
    <w:tmpl w:val="E6109454"/>
    <w:lvl w:ilvl="0" w:tplc="0C0A0015">
      <w:start w:val="1"/>
      <w:numFmt w:val="upp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2CB6108B"/>
    <w:multiLevelType w:val="hybridMultilevel"/>
    <w:tmpl w:val="ADE82194"/>
    <w:lvl w:ilvl="0" w:tplc="4E40841C">
      <w:start w:val="1"/>
      <w:numFmt w:val="decimal"/>
      <w:lvlText w:val="%1."/>
      <w:lvlJc w:val="left"/>
      <w:pPr>
        <w:ind w:left="1290" w:hanging="57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3">
    <w:nsid w:val="30AE4BA0"/>
    <w:multiLevelType w:val="hybridMultilevel"/>
    <w:tmpl w:val="583C7A92"/>
    <w:lvl w:ilvl="0" w:tplc="964EBDAE">
      <w:start w:val="1"/>
      <w:numFmt w:val="decimal"/>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393014FD"/>
    <w:multiLevelType w:val="hybridMultilevel"/>
    <w:tmpl w:val="5358EB4C"/>
    <w:lvl w:ilvl="0" w:tplc="5B600142">
      <w:start w:val="1"/>
      <w:numFmt w:val="decimal"/>
      <w:lvlText w:val="%1."/>
      <w:lvlJc w:val="left"/>
      <w:pPr>
        <w:ind w:left="644" w:hanging="360"/>
      </w:pPr>
      <w:rPr>
        <w:rFonts w:cs="Times New Roman" w:hint="default"/>
        <w:i w:val="0"/>
      </w:rPr>
    </w:lvl>
    <w:lvl w:ilvl="1" w:tplc="140A0019">
      <w:start w:val="1"/>
      <w:numFmt w:val="lowerLetter"/>
      <w:lvlText w:val="%2."/>
      <w:lvlJc w:val="left"/>
      <w:pPr>
        <w:ind w:left="1364" w:hanging="360"/>
      </w:pPr>
      <w:rPr>
        <w:rFonts w:cs="Times New Roman"/>
      </w:rPr>
    </w:lvl>
    <w:lvl w:ilvl="2" w:tplc="140A001B" w:tentative="1">
      <w:start w:val="1"/>
      <w:numFmt w:val="lowerRoman"/>
      <w:lvlText w:val="%3."/>
      <w:lvlJc w:val="right"/>
      <w:pPr>
        <w:ind w:left="2084" w:hanging="180"/>
      </w:pPr>
      <w:rPr>
        <w:rFonts w:cs="Times New Roman"/>
      </w:rPr>
    </w:lvl>
    <w:lvl w:ilvl="3" w:tplc="140A000F" w:tentative="1">
      <w:start w:val="1"/>
      <w:numFmt w:val="decimal"/>
      <w:lvlText w:val="%4."/>
      <w:lvlJc w:val="left"/>
      <w:pPr>
        <w:ind w:left="2804" w:hanging="360"/>
      </w:pPr>
      <w:rPr>
        <w:rFonts w:cs="Times New Roman"/>
      </w:rPr>
    </w:lvl>
    <w:lvl w:ilvl="4" w:tplc="140A0019" w:tentative="1">
      <w:start w:val="1"/>
      <w:numFmt w:val="lowerLetter"/>
      <w:lvlText w:val="%5."/>
      <w:lvlJc w:val="left"/>
      <w:pPr>
        <w:ind w:left="3524" w:hanging="360"/>
      </w:pPr>
      <w:rPr>
        <w:rFonts w:cs="Times New Roman"/>
      </w:rPr>
    </w:lvl>
    <w:lvl w:ilvl="5" w:tplc="140A001B" w:tentative="1">
      <w:start w:val="1"/>
      <w:numFmt w:val="lowerRoman"/>
      <w:lvlText w:val="%6."/>
      <w:lvlJc w:val="right"/>
      <w:pPr>
        <w:ind w:left="4244" w:hanging="180"/>
      </w:pPr>
      <w:rPr>
        <w:rFonts w:cs="Times New Roman"/>
      </w:rPr>
    </w:lvl>
    <w:lvl w:ilvl="6" w:tplc="140A000F" w:tentative="1">
      <w:start w:val="1"/>
      <w:numFmt w:val="decimal"/>
      <w:lvlText w:val="%7."/>
      <w:lvlJc w:val="left"/>
      <w:pPr>
        <w:ind w:left="4964" w:hanging="360"/>
      </w:pPr>
      <w:rPr>
        <w:rFonts w:cs="Times New Roman"/>
      </w:rPr>
    </w:lvl>
    <w:lvl w:ilvl="7" w:tplc="140A0019" w:tentative="1">
      <w:start w:val="1"/>
      <w:numFmt w:val="lowerLetter"/>
      <w:lvlText w:val="%8."/>
      <w:lvlJc w:val="left"/>
      <w:pPr>
        <w:ind w:left="5684" w:hanging="360"/>
      </w:pPr>
      <w:rPr>
        <w:rFonts w:cs="Times New Roman"/>
      </w:rPr>
    </w:lvl>
    <w:lvl w:ilvl="8" w:tplc="140A001B" w:tentative="1">
      <w:start w:val="1"/>
      <w:numFmt w:val="lowerRoman"/>
      <w:lvlText w:val="%9."/>
      <w:lvlJc w:val="right"/>
      <w:pPr>
        <w:ind w:left="6404" w:hanging="180"/>
      </w:pPr>
      <w:rPr>
        <w:rFonts w:cs="Times New Roman"/>
      </w:rPr>
    </w:lvl>
  </w:abstractNum>
  <w:abstractNum w:abstractNumId="15">
    <w:nsid w:val="3AB32BCA"/>
    <w:multiLevelType w:val="hybridMultilevel"/>
    <w:tmpl w:val="4B4033B4"/>
    <w:lvl w:ilvl="0" w:tplc="CF208CA6">
      <w:start w:val="1"/>
      <w:numFmt w:val="upp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6">
    <w:nsid w:val="43C23403"/>
    <w:multiLevelType w:val="hybridMultilevel"/>
    <w:tmpl w:val="3A7623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5040ED5"/>
    <w:multiLevelType w:val="hybridMultilevel"/>
    <w:tmpl w:val="E3D041B6"/>
    <w:lvl w:ilvl="0" w:tplc="0C50AD68">
      <w:start w:val="4"/>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8">
    <w:nsid w:val="652629FB"/>
    <w:multiLevelType w:val="hybridMultilevel"/>
    <w:tmpl w:val="B9604FBC"/>
    <w:lvl w:ilvl="0" w:tplc="4E40841C">
      <w:start w:val="1"/>
      <w:numFmt w:val="decimal"/>
      <w:lvlText w:val="%1."/>
      <w:lvlJc w:val="left"/>
      <w:pPr>
        <w:ind w:left="930" w:hanging="57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76753A80"/>
    <w:multiLevelType w:val="hybridMultilevel"/>
    <w:tmpl w:val="B9B8489E"/>
    <w:lvl w:ilvl="0" w:tplc="5126705A">
      <w:start w:val="1"/>
      <w:numFmt w:val="decimal"/>
      <w:pStyle w:val="PrrafodeSentencia"/>
      <w:lvlText w:val="%1."/>
      <w:lvlJc w:val="left"/>
      <w:pPr>
        <w:ind w:left="0" w:firstLine="0"/>
      </w:pPr>
      <w:rPr>
        <w:rFonts w:ascii="Verdana" w:hAnsi="Verdana" w:hint="default"/>
        <w:b w:val="0"/>
        <w:i w:val="0"/>
        <w:strike w:val="0"/>
        <w:color w:val="auto"/>
        <w:sz w:val="20"/>
        <w:szCs w:val="20"/>
        <w:lang w:val="es-ES"/>
      </w:rPr>
    </w:lvl>
    <w:lvl w:ilvl="1" w:tplc="2C0A0019">
      <w:start w:val="1"/>
      <w:numFmt w:val="lowerLetter"/>
      <w:lvlText w:val="%2."/>
      <w:lvlJc w:val="left"/>
      <w:pPr>
        <w:ind w:left="1298" w:hanging="360"/>
      </w:pPr>
      <w:rPr>
        <w:rFonts w:hint="default"/>
        <w:lang w:val="es-CR"/>
      </w:rPr>
    </w:lvl>
    <w:lvl w:ilvl="2" w:tplc="4202A1AC">
      <w:start w:val="1"/>
      <w:numFmt w:val="lowerRoman"/>
      <w:lvlText w:val="%3."/>
      <w:lvlJc w:val="right"/>
      <w:pPr>
        <w:ind w:left="2018" w:hanging="180"/>
      </w:pPr>
      <w:rPr>
        <w:i/>
      </w:rPr>
    </w:lvl>
    <w:lvl w:ilvl="3" w:tplc="3F0893E6" w:tentative="1">
      <w:start w:val="1"/>
      <w:numFmt w:val="decimal"/>
      <w:lvlText w:val="%4."/>
      <w:lvlJc w:val="left"/>
      <w:pPr>
        <w:ind w:left="2738" w:hanging="360"/>
      </w:pPr>
    </w:lvl>
    <w:lvl w:ilvl="4" w:tplc="E7BA4BB6" w:tentative="1">
      <w:start w:val="1"/>
      <w:numFmt w:val="lowerLetter"/>
      <w:lvlText w:val="%5."/>
      <w:lvlJc w:val="left"/>
      <w:pPr>
        <w:ind w:left="3458" w:hanging="360"/>
      </w:pPr>
    </w:lvl>
    <w:lvl w:ilvl="5" w:tplc="2C0A001B" w:tentative="1">
      <w:start w:val="1"/>
      <w:numFmt w:val="lowerRoman"/>
      <w:lvlText w:val="%6."/>
      <w:lvlJc w:val="right"/>
      <w:pPr>
        <w:ind w:left="4178" w:hanging="180"/>
      </w:pPr>
    </w:lvl>
    <w:lvl w:ilvl="6" w:tplc="2C0A000F" w:tentative="1">
      <w:start w:val="1"/>
      <w:numFmt w:val="decimal"/>
      <w:lvlText w:val="%7."/>
      <w:lvlJc w:val="left"/>
      <w:pPr>
        <w:ind w:left="4898" w:hanging="360"/>
      </w:pPr>
    </w:lvl>
    <w:lvl w:ilvl="7" w:tplc="2C0A0019" w:tentative="1">
      <w:start w:val="1"/>
      <w:numFmt w:val="lowerLetter"/>
      <w:lvlText w:val="%8."/>
      <w:lvlJc w:val="left"/>
      <w:pPr>
        <w:ind w:left="5618" w:hanging="360"/>
      </w:pPr>
    </w:lvl>
    <w:lvl w:ilvl="8" w:tplc="2C0A001B" w:tentative="1">
      <w:start w:val="1"/>
      <w:numFmt w:val="lowerRoman"/>
      <w:lvlText w:val="%9."/>
      <w:lvlJc w:val="right"/>
      <w:pPr>
        <w:ind w:left="6338" w:hanging="180"/>
      </w:pPr>
    </w:lvl>
  </w:abstractNum>
  <w:abstractNum w:abstractNumId="20">
    <w:nsid w:val="7C121A9D"/>
    <w:multiLevelType w:val="hybridMultilevel"/>
    <w:tmpl w:val="F17CB6A4"/>
    <w:lvl w:ilvl="0" w:tplc="6C883648">
      <w:start w:val="1"/>
      <w:numFmt w:val="decimal"/>
      <w:lvlText w:val="%1."/>
      <w:lvlJc w:val="left"/>
      <w:pPr>
        <w:ind w:left="360" w:hanging="360"/>
      </w:pPr>
      <w:rPr>
        <w:rFonts w:ascii="Verdana" w:hAnsi="Verdana" w:hint="default"/>
        <w:b w:val="0"/>
        <w:color w:val="auto"/>
        <w:sz w:val="20"/>
        <w:szCs w:val="20"/>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nsid w:val="7CEA0147"/>
    <w:multiLevelType w:val="hybridMultilevel"/>
    <w:tmpl w:val="842AB588"/>
    <w:lvl w:ilvl="0" w:tplc="0C0A0015">
      <w:start w:val="1"/>
      <w:numFmt w:val="upp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7EA42050"/>
    <w:multiLevelType w:val="hybridMultilevel"/>
    <w:tmpl w:val="A6BE59A0"/>
    <w:lvl w:ilvl="0" w:tplc="1B88ABCA">
      <w:start w:val="4"/>
      <w:numFmt w:val="decimal"/>
      <w:lvlText w:val="%1."/>
      <w:lvlJc w:val="left"/>
      <w:pPr>
        <w:ind w:left="720" w:hanging="360"/>
      </w:pPr>
      <w:rPr>
        <w:rFonts w:hint="default"/>
        <w:b w:val="0"/>
        <w:i w:val="0"/>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13"/>
  </w:num>
  <w:num w:numId="2">
    <w:abstractNumId w:val="19"/>
  </w:num>
  <w:num w:numId="3">
    <w:abstractNumId w:val="3"/>
  </w:num>
  <w:num w:numId="4">
    <w:abstractNumId w:val="8"/>
  </w:num>
  <w:num w:numId="5">
    <w:abstractNumId w:val="6"/>
  </w:num>
  <w:num w:numId="6">
    <w:abstractNumId w:val="16"/>
  </w:num>
  <w:num w:numId="7">
    <w:abstractNumId w:val="22"/>
  </w:num>
  <w:num w:numId="8">
    <w:abstractNumId w:val="1"/>
  </w:num>
  <w:num w:numId="9">
    <w:abstractNumId w:val="9"/>
  </w:num>
  <w:num w:numId="10">
    <w:abstractNumId w:val="5"/>
  </w:num>
  <w:num w:numId="11">
    <w:abstractNumId w:val="20"/>
  </w:num>
  <w:num w:numId="12">
    <w:abstractNumId w:val="14"/>
  </w:num>
  <w:num w:numId="13">
    <w:abstractNumId w:val="4"/>
  </w:num>
  <w:num w:numId="14">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num>
  <w:num w:numId="17">
    <w:abstractNumId w:val="7"/>
  </w:num>
  <w:num w:numId="18">
    <w:abstractNumId w:val="15"/>
  </w:num>
  <w:num w:numId="19">
    <w:abstractNumId w:val="21"/>
  </w:num>
  <w:num w:numId="20">
    <w:abstractNumId w:val="11"/>
  </w:num>
  <w:num w:numId="21">
    <w:abstractNumId w:val="2"/>
  </w:num>
  <w:num w:numId="22">
    <w:abstractNumId w:val="18"/>
  </w:num>
  <w:num w:numId="23">
    <w:abstractNumId w:val="12"/>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5CA2"/>
    <w:rsid w:val="000067A7"/>
    <w:rsid w:val="00022D1D"/>
    <w:rsid w:val="000447D7"/>
    <w:rsid w:val="000516D3"/>
    <w:rsid w:val="00054F88"/>
    <w:rsid w:val="00054F8B"/>
    <w:rsid w:val="00072FEF"/>
    <w:rsid w:val="00090031"/>
    <w:rsid w:val="000A0C34"/>
    <w:rsid w:val="000B5F53"/>
    <w:rsid w:val="000C0133"/>
    <w:rsid w:val="000F041A"/>
    <w:rsid w:val="00121B80"/>
    <w:rsid w:val="00146757"/>
    <w:rsid w:val="00156213"/>
    <w:rsid w:val="00163801"/>
    <w:rsid w:val="00166140"/>
    <w:rsid w:val="00176ADC"/>
    <w:rsid w:val="001D2EC0"/>
    <w:rsid w:val="001E2629"/>
    <w:rsid w:val="001F6943"/>
    <w:rsid w:val="00237094"/>
    <w:rsid w:val="00261FDA"/>
    <w:rsid w:val="0027195E"/>
    <w:rsid w:val="002836F4"/>
    <w:rsid w:val="0028534A"/>
    <w:rsid w:val="002B0AB6"/>
    <w:rsid w:val="002C0938"/>
    <w:rsid w:val="002D347A"/>
    <w:rsid w:val="00320ED0"/>
    <w:rsid w:val="00342F5E"/>
    <w:rsid w:val="003574F1"/>
    <w:rsid w:val="00360CB4"/>
    <w:rsid w:val="0037290D"/>
    <w:rsid w:val="003A2190"/>
    <w:rsid w:val="003D6CC5"/>
    <w:rsid w:val="003E3E1F"/>
    <w:rsid w:val="003F6321"/>
    <w:rsid w:val="00402EEB"/>
    <w:rsid w:val="00414985"/>
    <w:rsid w:val="004379DE"/>
    <w:rsid w:val="004510E4"/>
    <w:rsid w:val="00457846"/>
    <w:rsid w:val="00476406"/>
    <w:rsid w:val="00482431"/>
    <w:rsid w:val="004A360F"/>
    <w:rsid w:val="004A47BD"/>
    <w:rsid w:val="004C037D"/>
    <w:rsid w:val="004D7EF5"/>
    <w:rsid w:val="004E468D"/>
    <w:rsid w:val="005074A1"/>
    <w:rsid w:val="00532A06"/>
    <w:rsid w:val="00562274"/>
    <w:rsid w:val="005B54B4"/>
    <w:rsid w:val="005C0F03"/>
    <w:rsid w:val="005D1CC1"/>
    <w:rsid w:val="005E1D0D"/>
    <w:rsid w:val="0060000D"/>
    <w:rsid w:val="0060026E"/>
    <w:rsid w:val="00643AA9"/>
    <w:rsid w:val="006616BA"/>
    <w:rsid w:val="00664D6D"/>
    <w:rsid w:val="006909F7"/>
    <w:rsid w:val="0069627D"/>
    <w:rsid w:val="006973F1"/>
    <w:rsid w:val="006C6FA8"/>
    <w:rsid w:val="006D34CA"/>
    <w:rsid w:val="006D3AC4"/>
    <w:rsid w:val="006F4C93"/>
    <w:rsid w:val="00712E12"/>
    <w:rsid w:val="0073184D"/>
    <w:rsid w:val="00733D39"/>
    <w:rsid w:val="00755400"/>
    <w:rsid w:val="00770907"/>
    <w:rsid w:val="007C0E2D"/>
    <w:rsid w:val="007E70F3"/>
    <w:rsid w:val="007F1F5D"/>
    <w:rsid w:val="008102F9"/>
    <w:rsid w:val="00821353"/>
    <w:rsid w:val="00830F84"/>
    <w:rsid w:val="00832D78"/>
    <w:rsid w:val="00841C46"/>
    <w:rsid w:val="0084796A"/>
    <w:rsid w:val="00850D62"/>
    <w:rsid w:val="008743E7"/>
    <w:rsid w:val="008A471B"/>
    <w:rsid w:val="008D5828"/>
    <w:rsid w:val="008E150E"/>
    <w:rsid w:val="008F1752"/>
    <w:rsid w:val="008F5318"/>
    <w:rsid w:val="008F7281"/>
    <w:rsid w:val="00911B91"/>
    <w:rsid w:val="009251DB"/>
    <w:rsid w:val="00925981"/>
    <w:rsid w:val="00926D4A"/>
    <w:rsid w:val="00941E20"/>
    <w:rsid w:val="00945A87"/>
    <w:rsid w:val="0094754C"/>
    <w:rsid w:val="009743FA"/>
    <w:rsid w:val="00996F70"/>
    <w:rsid w:val="009A7854"/>
    <w:rsid w:val="009B1ED1"/>
    <w:rsid w:val="009B7DB2"/>
    <w:rsid w:val="009C747D"/>
    <w:rsid w:val="009D0508"/>
    <w:rsid w:val="009E4C1A"/>
    <w:rsid w:val="009F2E69"/>
    <w:rsid w:val="00A00EEB"/>
    <w:rsid w:val="00A05EF8"/>
    <w:rsid w:val="00A1373E"/>
    <w:rsid w:val="00A436AE"/>
    <w:rsid w:val="00A75F03"/>
    <w:rsid w:val="00A94AD0"/>
    <w:rsid w:val="00AF0910"/>
    <w:rsid w:val="00B3703F"/>
    <w:rsid w:val="00B42693"/>
    <w:rsid w:val="00B5002B"/>
    <w:rsid w:val="00B66CD9"/>
    <w:rsid w:val="00B85764"/>
    <w:rsid w:val="00B87F21"/>
    <w:rsid w:val="00BB0A49"/>
    <w:rsid w:val="00BF1E9F"/>
    <w:rsid w:val="00C131B2"/>
    <w:rsid w:val="00C32540"/>
    <w:rsid w:val="00C4076F"/>
    <w:rsid w:val="00C41627"/>
    <w:rsid w:val="00C44D3E"/>
    <w:rsid w:val="00C51B99"/>
    <w:rsid w:val="00C9172C"/>
    <w:rsid w:val="00C97C73"/>
    <w:rsid w:val="00CA0F9E"/>
    <w:rsid w:val="00CB62C2"/>
    <w:rsid w:val="00CC4A6E"/>
    <w:rsid w:val="00CD71A9"/>
    <w:rsid w:val="00CF2AB9"/>
    <w:rsid w:val="00D00F31"/>
    <w:rsid w:val="00D063D9"/>
    <w:rsid w:val="00D21802"/>
    <w:rsid w:val="00D21F1A"/>
    <w:rsid w:val="00D24534"/>
    <w:rsid w:val="00D337CE"/>
    <w:rsid w:val="00D4071E"/>
    <w:rsid w:val="00D6066B"/>
    <w:rsid w:val="00D67EB7"/>
    <w:rsid w:val="00D80871"/>
    <w:rsid w:val="00D93CB5"/>
    <w:rsid w:val="00D94612"/>
    <w:rsid w:val="00DA57EA"/>
    <w:rsid w:val="00DA5BE4"/>
    <w:rsid w:val="00DA5CA2"/>
    <w:rsid w:val="00DB266A"/>
    <w:rsid w:val="00DB5FB8"/>
    <w:rsid w:val="00DC45C0"/>
    <w:rsid w:val="00DD7CF5"/>
    <w:rsid w:val="00DF4F7F"/>
    <w:rsid w:val="00DF5EE9"/>
    <w:rsid w:val="00E36D04"/>
    <w:rsid w:val="00E52CAE"/>
    <w:rsid w:val="00E555AE"/>
    <w:rsid w:val="00E55D97"/>
    <w:rsid w:val="00E6734E"/>
    <w:rsid w:val="00E76199"/>
    <w:rsid w:val="00EA539B"/>
    <w:rsid w:val="00EC534B"/>
    <w:rsid w:val="00ED0B5F"/>
    <w:rsid w:val="00ED0CAD"/>
    <w:rsid w:val="00EE2202"/>
    <w:rsid w:val="00F23197"/>
    <w:rsid w:val="00F33D5D"/>
    <w:rsid w:val="00F4190D"/>
    <w:rsid w:val="00F41EC9"/>
    <w:rsid w:val="00F65D4A"/>
    <w:rsid w:val="00F97A26"/>
    <w:rsid w:val="00FA2599"/>
    <w:rsid w:val="00FB030C"/>
    <w:rsid w:val="00FE206E"/>
    <w:rsid w:val="00FE20E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AA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5CA2"/>
    <w:pPr>
      <w:spacing w:after="0" w:line="240" w:lineRule="auto"/>
    </w:pPr>
    <w:rPr>
      <w:rFonts w:ascii="Times New Roman" w:eastAsia="Times New Roman" w:hAnsi="Times New Roman" w:cs="Times New Roman"/>
      <w:sz w:val="24"/>
      <w:szCs w:val="24"/>
      <w:lang w:val="es-CR" w:eastAsia="es-ES"/>
    </w:rPr>
  </w:style>
  <w:style w:type="paragraph" w:styleId="Ttulo1">
    <w:name w:val="heading 1"/>
    <w:basedOn w:val="Normal"/>
    <w:next w:val="Normal"/>
    <w:link w:val="Ttulo1Car"/>
    <w:uiPriority w:val="9"/>
    <w:qFormat/>
    <w:rsid w:val="00F33D5D"/>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reference,FA Fu,Footnote Text Char Char Char Char Char,Footnote Text Char Char Char Char,Footnote Text Char Char Char,Footnote Text Cha,FA Fußnotentext,FA Fuﬂnotentext,Footnote Text Char Char,FA Fu?notentext,Ca,Texto nota pie Car"/>
    <w:basedOn w:val="Normal"/>
    <w:link w:val="TextonotapieCar1"/>
    <w:uiPriority w:val="99"/>
    <w:qFormat/>
    <w:rsid w:val="00DA5CA2"/>
    <w:rPr>
      <w:lang w:val="x-none"/>
    </w:rPr>
  </w:style>
  <w:style w:type="character" w:customStyle="1" w:styleId="TextonotapieCar1">
    <w:name w:val="Texto nota pie Car1"/>
    <w:aliases w:val="Footnote reference Car,FA Fu Car,Footnote Text Char Char Char Char Char Car,Footnote Text Char Char Char Char Car,Footnote Text Char Char Char Car,Footnote Text Cha Car,FA Fußnotentext Car,FA Fuﬂnotentext Car,FA Fu?notentext Car"/>
    <w:basedOn w:val="Fuentedeprrafopredeter"/>
    <w:link w:val="Textonotapie"/>
    <w:uiPriority w:val="99"/>
    <w:qFormat/>
    <w:rsid w:val="00DA5CA2"/>
    <w:rPr>
      <w:rFonts w:ascii="Times New Roman" w:eastAsia="Times New Roman" w:hAnsi="Times New Roman" w:cs="Times New Roman"/>
      <w:sz w:val="24"/>
      <w:szCs w:val="24"/>
      <w:lang w:val="x-none" w:eastAsia="es-ES"/>
    </w:rPr>
  </w:style>
  <w:style w:type="character" w:styleId="Refdenotaalpie">
    <w:name w:val="footnote reference"/>
    <w:aliases w:val="Texto de nota al pie,Footnotes refss,Appel note de bas de page,Footnote number,referencia nota al pie,BVI fnr,f,4_G,16 Point,Superscript 6 Point,Footnote Reference Char3,Footnote Reference Char1 Char,Footnote Reference Char Char Char"/>
    <w:link w:val="4GChar"/>
    <w:uiPriority w:val="99"/>
    <w:qFormat/>
    <w:rsid w:val="00DA5CA2"/>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DA5CA2"/>
    <w:pPr>
      <w:jc w:val="both"/>
    </w:pPr>
    <w:rPr>
      <w:rFonts w:asciiTheme="minorHAnsi" w:eastAsiaTheme="minorHAnsi" w:hAnsiTheme="minorHAnsi" w:cstheme="minorBidi"/>
      <w:sz w:val="22"/>
      <w:szCs w:val="22"/>
      <w:vertAlign w:val="superscript"/>
      <w:lang w:val="es-ES" w:eastAsia="en-US"/>
    </w:rPr>
  </w:style>
  <w:style w:type="paragraph" w:styleId="Ttulo">
    <w:name w:val="Title"/>
    <w:basedOn w:val="Normal"/>
    <w:link w:val="TtuloCar"/>
    <w:uiPriority w:val="99"/>
    <w:qFormat/>
    <w:rsid w:val="007C0E2D"/>
    <w:pPr>
      <w:jc w:val="center"/>
    </w:pPr>
    <w:rPr>
      <w:rFonts w:ascii="Verdana" w:hAnsi="Verdana"/>
      <w:b/>
      <w:noProof/>
      <w:sz w:val="20"/>
      <w:szCs w:val="20"/>
      <w:lang w:val="es-ES_tradnl" w:eastAsia="x-none"/>
    </w:rPr>
  </w:style>
  <w:style w:type="character" w:customStyle="1" w:styleId="TtuloCar">
    <w:name w:val="Título Car"/>
    <w:basedOn w:val="Fuentedeprrafopredeter"/>
    <w:link w:val="Ttulo"/>
    <w:uiPriority w:val="99"/>
    <w:rsid w:val="007C0E2D"/>
    <w:rPr>
      <w:rFonts w:ascii="Verdana" w:eastAsia="Times New Roman" w:hAnsi="Verdana" w:cs="Times New Roman"/>
      <w:b/>
      <w:noProof/>
      <w:sz w:val="20"/>
      <w:szCs w:val="20"/>
      <w:lang w:val="es-ES_tradnl" w:eastAsia="x-none"/>
    </w:rPr>
  </w:style>
  <w:style w:type="paragraph" w:styleId="Subttulo">
    <w:name w:val="Subtitle"/>
    <w:basedOn w:val="Normal"/>
    <w:next w:val="Normal"/>
    <w:link w:val="SubttuloCar"/>
    <w:qFormat/>
    <w:rsid w:val="007C0E2D"/>
    <w:pPr>
      <w:numPr>
        <w:ilvl w:val="1"/>
      </w:numPr>
      <w:jc w:val="center"/>
    </w:pPr>
    <w:rPr>
      <w:rFonts w:ascii="Verdana" w:hAnsi="Verdana"/>
      <w:b/>
      <w:i/>
      <w:iCs/>
      <w:noProof/>
      <w:spacing w:val="15"/>
      <w:sz w:val="20"/>
      <w:lang w:val="es-ES_tradnl" w:eastAsia="x-none"/>
    </w:rPr>
  </w:style>
  <w:style w:type="character" w:customStyle="1" w:styleId="SubttuloCar">
    <w:name w:val="Subtítulo Car"/>
    <w:basedOn w:val="Fuentedeprrafopredeter"/>
    <w:link w:val="Subttulo"/>
    <w:rsid w:val="007C0E2D"/>
    <w:rPr>
      <w:rFonts w:ascii="Verdana" w:eastAsia="Times New Roman" w:hAnsi="Verdana" w:cs="Times New Roman"/>
      <w:b/>
      <w:i/>
      <w:iCs/>
      <w:noProof/>
      <w:spacing w:val="15"/>
      <w:sz w:val="20"/>
      <w:szCs w:val="24"/>
      <w:lang w:val="es-ES_tradnl" w:eastAsia="x-none"/>
    </w:rPr>
  </w:style>
  <w:style w:type="character" w:styleId="Textoennegrita">
    <w:name w:val="Strong"/>
    <w:uiPriority w:val="22"/>
    <w:qFormat/>
    <w:rsid w:val="007C0E2D"/>
    <w:rPr>
      <w:b/>
      <w:bCs/>
    </w:rPr>
  </w:style>
  <w:style w:type="character" w:styleId="Hipervnculo">
    <w:name w:val="Hyperlink"/>
    <w:uiPriority w:val="99"/>
    <w:unhideWhenUsed/>
    <w:rsid w:val="007C0E2D"/>
    <w:rPr>
      <w:color w:val="0000FF"/>
      <w:u w:val="single"/>
    </w:rPr>
  </w:style>
  <w:style w:type="paragraph" w:styleId="Prrafodelista">
    <w:name w:val="List Paragraph"/>
    <w:aliases w:val="Footnote,Párrafo de lista1,Colorful List - Accent 11,Cuadrícula clara - Énfasis 31,List Paragraph1,List Paragraph2,Lista vistosa - Énfasis 11,Lista clara - Énfasis 51"/>
    <w:basedOn w:val="Normal"/>
    <w:link w:val="PrrafodelistaCar"/>
    <w:uiPriority w:val="99"/>
    <w:qFormat/>
    <w:rsid w:val="008E150E"/>
    <w:pPr>
      <w:ind w:left="720"/>
      <w:contextualSpacing/>
    </w:pPr>
  </w:style>
  <w:style w:type="paragraph" w:customStyle="1" w:styleId="PrrafodeSentencia">
    <w:name w:val="*. Párrafo de Sentencia"/>
    <w:basedOn w:val="Textonotapie"/>
    <w:autoRedefine/>
    <w:qFormat/>
    <w:rsid w:val="008E150E"/>
    <w:pPr>
      <w:numPr>
        <w:numId w:val="2"/>
      </w:numPr>
      <w:tabs>
        <w:tab w:val="num" w:pos="360"/>
        <w:tab w:val="left" w:pos="720"/>
      </w:tabs>
      <w:spacing w:before="120" w:after="120"/>
      <w:jc w:val="both"/>
    </w:pPr>
    <w:rPr>
      <w:rFonts w:ascii="Verdana" w:hAnsi="Verdana"/>
      <w:bCs/>
      <w:noProof/>
      <w:sz w:val="20"/>
      <w:szCs w:val="20"/>
      <w:lang w:val="es-ES_tradnl"/>
    </w:rPr>
  </w:style>
  <w:style w:type="character" w:styleId="Refdecomentario">
    <w:name w:val="annotation reference"/>
    <w:uiPriority w:val="99"/>
    <w:semiHidden/>
    <w:unhideWhenUsed/>
    <w:rsid w:val="006C6FA8"/>
    <w:rPr>
      <w:sz w:val="16"/>
      <w:szCs w:val="16"/>
    </w:rPr>
  </w:style>
  <w:style w:type="character" w:styleId="Nmerodelnea">
    <w:name w:val="line number"/>
    <w:basedOn w:val="Fuentedeprrafopredeter"/>
    <w:uiPriority w:val="99"/>
    <w:semiHidden/>
    <w:unhideWhenUsed/>
    <w:rsid w:val="00BB0A49"/>
  </w:style>
  <w:style w:type="paragraph" w:styleId="Textodeglobo">
    <w:name w:val="Balloon Text"/>
    <w:basedOn w:val="Normal"/>
    <w:link w:val="TextodegloboCar"/>
    <w:uiPriority w:val="99"/>
    <w:semiHidden/>
    <w:unhideWhenUsed/>
    <w:rsid w:val="00BB0A4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B0A49"/>
    <w:rPr>
      <w:rFonts w:ascii="Segoe UI" w:eastAsia="Times New Roman" w:hAnsi="Segoe UI" w:cs="Segoe UI"/>
      <w:sz w:val="18"/>
      <w:szCs w:val="18"/>
      <w:lang w:val="es-CR" w:eastAsia="es-ES"/>
    </w:rPr>
  </w:style>
  <w:style w:type="paragraph" w:styleId="Textocomentario">
    <w:name w:val="annotation text"/>
    <w:basedOn w:val="Normal"/>
    <w:link w:val="TextocomentarioCar"/>
    <w:uiPriority w:val="99"/>
    <w:semiHidden/>
    <w:unhideWhenUsed/>
    <w:rsid w:val="00C32540"/>
    <w:rPr>
      <w:sz w:val="20"/>
      <w:szCs w:val="20"/>
    </w:rPr>
  </w:style>
  <w:style w:type="character" w:customStyle="1" w:styleId="TextocomentarioCar">
    <w:name w:val="Texto comentario Car"/>
    <w:basedOn w:val="Fuentedeprrafopredeter"/>
    <w:link w:val="Textocomentario"/>
    <w:uiPriority w:val="99"/>
    <w:semiHidden/>
    <w:rsid w:val="00C32540"/>
    <w:rPr>
      <w:rFonts w:ascii="Times New Roman" w:eastAsia="Times New Roman" w:hAnsi="Times New Roman" w:cs="Times New Roman"/>
      <w:sz w:val="20"/>
      <w:szCs w:val="20"/>
      <w:lang w:val="es-CR" w:eastAsia="es-ES"/>
    </w:rPr>
  </w:style>
  <w:style w:type="paragraph" w:styleId="Asuntodelcomentario">
    <w:name w:val="annotation subject"/>
    <w:basedOn w:val="Textocomentario"/>
    <w:next w:val="Textocomentario"/>
    <w:link w:val="AsuntodelcomentarioCar"/>
    <w:uiPriority w:val="99"/>
    <w:semiHidden/>
    <w:unhideWhenUsed/>
    <w:rsid w:val="00C32540"/>
    <w:rPr>
      <w:b/>
      <w:bCs/>
    </w:rPr>
  </w:style>
  <w:style w:type="character" w:customStyle="1" w:styleId="AsuntodelcomentarioCar">
    <w:name w:val="Asunto del comentario Car"/>
    <w:basedOn w:val="TextocomentarioCar"/>
    <w:link w:val="Asuntodelcomentario"/>
    <w:uiPriority w:val="99"/>
    <w:semiHidden/>
    <w:rsid w:val="00C32540"/>
    <w:rPr>
      <w:rFonts w:ascii="Times New Roman" w:eastAsia="Times New Roman" w:hAnsi="Times New Roman" w:cs="Times New Roman"/>
      <w:b/>
      <w:bCs/>
      <w:sz w:val="20"/>
      <w:szCs w:val="20"/>
      <w:lang w:val="es-CR" w:eastAsia="es-ES"/>
    </w:rPr>
  </w:style>
  <w:style w:type="paragraph" w:styleId="Encabezado">
    <w:name w:val="header"/>
    <w:basedOn w:val="Normal"/>
    <w:link w:val="EncabezadoCar"/>
    <w:uiPriority w:val="99"/>
    <w:unhideWhenUsed/>
    <w:rsid w:val="00EC534B"/>
    <w:pPr>
      <w:tabs>
        <w:tab w:val="center" w:pos="4419"/>
        <w:tab w:val="right" w:pos="8838"/>
      </w:tabs>
    </w:pPr>
  </w:style>
  <w:style w:type="character" w:customStyle="1" w:styleId="EncabezadoCar">
    <w:name w:val="Encabezado Car"/>
    <w:basedOn w:val="Fuentedeprrafopredeter"/>
    <w:link w:val="Encabezado"/>
    <w:uiPriority w:val="99"/>
    <w:rsid w:val="00EC534B"/>
    <w:rPr>
      <w:rFonts w:ascii="Times New Roman" w:eastAsia="Times New Roman" w:hAnsi="Times New Roman" w:cs="Times New Roman"/>
      <w:sz w:val="24"/>
      <w:szCs w:val="24"/>
      <w:lang w:val="es-CR" w:eastAsia="es-ES"/>
    </w:rPr>
  </w:style>
  <w:style w:type="paragraph" w:styleId="Piedepgina">
    <w:name w:val="footer"/>
    <w:basedOn w:val="Normal"/>
    <w:link w:val="PiedepginaCar"/>
    <w:uiPriority w:val="99"/>
    <w:unhideWhenUsed/>
    <w:rsid w:val="00EC534B"/>
    <w:pPr>
      <w:tabs>
        <w:tab w:val="center" w:pos="4419"/>
        <w:tab w:val="right" w:pos="8838"/>
      </w:tabs>
    </w:pPr>
  </w:style>
  <w:style w:type="character" w:customStyle="1" w:styleId="PiedepginaCar">
    <w:name w:val="Pie de página Car"/>
    <w:basedOn w:val="Fuentedeprrafopredeter"/>
    <w:link w:val="Piedepgina"/>
    <w:uiPriority w:val="99"/>
    <w:rsid w:val="00EC534B"/>
    <w:rPr>
      <w:rFonts w:ascii="Times New Roman" w:eastAsia="Times New Roman" w:hAnsi="Times New Roman" w:cs="Times New Roman"/>
      <w:sz w:val="24"/>
      <w:szCs w:val="24"/>
      <w:lang w:val="es-CR" w:eastAsia="es-ES"/>
    </w:rPr>
  </w:style>
  <w:style w:type="character" w:customStyle="1" w:styleId="Ttulo1Car">
    <w:name w:val="Título 1 Car"/>
    <w:basedOn w:val="Fuentedeprrafopredeter"/>
    <w:link w:val="Ttulo1"/>
    <w:uiPriority w:val="9"/>
    <w:rsid w:val="00F33D5D"/>
    <w:rPr>
      <w:rFonts w:asciiTheme="majorHAnsi" w:eastAsiaTheme="majorEastAsia" w:hAnsiTheme="majorHAnsi" w:cstheme="majorBidi"/>
      <w:color w:val="2E74B5" w:themeColor="accent1" w:themeShade="BF"/>
      <w:sz w:val="32"/>
      <w:szCs w:val="32"/>
      <w:lang w:val="es-CR" w:eastAsia="es-ES"/>
    </w:rPr>
  </w:style>
  <w:style w:type="paragraph" w:styleId="TDC1">
    <w:name w:val="toc 1"/>
    <w:basedOn w:val="Normal"/>
    <w:next w:val="Normal"/>
    <w:autoRedefine/>
    <w:uiPriority w:val="39"/>
    <w:unhideWhenUsed/>
    <w:rsid w:val="00ED0B5F"/>
    <w:pPr>
      <w:tabs>
        <w:tab w:val="left" w:pos="660"/>
        <w:tab w:val="right" w:leader="dot" w:pos="8494"/>
      </w:tabs>
      <w:spacing w:before="120" w:after="120"/>
      <w:ind w:left="660"/>
    </w:pPr>
  </w:style>
  <w:style w:type="character" w:customStyle="1" w:styleId="PrrafodelistaCar">
    <w:name w:val="Párrafo de lista Car"/>
    <w:aliases w:val="Footnote Car,Párrafo de lista1 Car,Colorful List - Accent 11 Car,Cuadrícula clara - Énfasis 31 Car,List Paragraph1 Car,List Paragraph2 Car,Lista vistosa - Énfasis 11 Car,Lista clara - Énfasis 51 Car"/>
    <w:link w:val="Prrafodelista"/>
    <w:uiPriority w:val="99"/>
    <w:locked/>
    <w:rsid w:val="00DB5FB8"/>
    <w:rPr>
      <w:rFonts w:ascii="Times New Roman" w:eastAsia="Times New Roman" w:hAnsi="Times New Roman" w:cs="Times New Roman"/>
      <w:sz w:val="24"/>
      <w:szCs w:val="24"/>
      <w:lang w:val="es-CR" w:eastAsia="es-ES"/>
    </w:rPr>
  </w:style>
  <w:style w:type="paragraph" w:styleId="Sinespaciado">
    <w:name w:val="No Spacing"/>
    <w:uiPriority w:val="1"/>
    <w:qFormat/>
    <w:rsid w:val="0060000D"/>
    <w:pPr>
      <w:spacing w:after="0" w:line="240" w:lineRule="auto"/>
    </w:pPr>
    <w:rPr>
      <w:lang w:val="es-CR"/>
    </w:rPr>
  </w:style>
  <w:style w:type="paragraph" w:customStyle="1" w:styleId="Default">
    <w:name w:val="Default"/>
    <w:rsid w:val="009743FA"/>
    <w:pPr>
      <w:autoSpaceDE w:val="0"/>
      <w:autoSpaceDN w:val="0"/>
      <w:adjustRightInd w:val="0"/>
      <w:spacing w:after="0" w:line="240" w:lineRule="auto"/>
    </w:pPr>
    <w:rPr>
      <w:rFonts w:ascii="Verdana" w:hAnsi="Verdana" w:cs="Verdana"/>
      <w:color w:val="000000"/>
      <w:sz w:val="24"/>
      <w:szCs w:val="24"/>
    </w:rPr>
  </w:style>
  <w:style w:type="character" w:styleId="Textodelmarcadordeposicin">
    <w:name w:val="Placeholder Text"/>
    <w:basedOn w:val="Fuentedeprrafopredeter"/>
    <w:uiPriority w:val="99"/>
    <w:semiHidden/>
    <w:rsid w:val="000447D7"/>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5CA2"/>
    <w:pPr>
      <w:spacing w:after="0" w:line="240" w:lineRule="auto"/>
    </w:pPr>
    <w:rPr>
      <w:rFonts w:ascii="Times New Roman" w:eastAsia="Times New Roman" w:hAnsi="Times New Roman" w:cs="Times New Roman"/>
      <w:sz w:val="24"/>
      <w:szCs w:val="24"/>
      <w:lang w:val="es-CR" w:eastAsia="es-ES"/>
    </w:rPr>
  </w:style>
  <w:style w:type="paragraph" w:styleId="Ttulo1">
    <w:name w:val="heading 1"/>
    <w:basedOn w:val="Normal"/>
    <w:next w:val="Normal"/>
    <w:link w:val="Ttulo1Car"/>
    <w:uiPriority w:val="9"/>
    <w:qFormat/>
    <w:rsid w:val="00F33D5D"/>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reference,FA Fu,Footnote Text Char Char Char Char Char,Footnote Text Char Char Char Char,Footnote Text Char Char Char,Footnote Text Cha,FA Fußnotentext,FA Fuﬂnotentext,Footnote Text Char Char,FA Fu?notentext,Ca,Texto nota pie Car"/>
    <w:basedOn w:val="Normal"/>
    <w:link w:val="TextonotapieCar1"/>
    <w:uiPriority w:val="99"/>
    <w:qFormat/>
    <w:rsid w:val="00DA5CA2"/>
    <w:rPr>
      <w:lang w:val="x-none"/>
    </w:rPr>
  </w:style>
  <w:style w:type="character" w:customStyle="1" w:styleId="TextonotapieCar1">
    <w:name w:val="Texto nota pie Car1"/>
    <w:aliases w:val="Footnote reference Car,FA Fu Car,Footnote Text Char Char Char Char Char Car,Footnote Text Char Char Char Char Car,Footnote Text Char Char Char Car,Footnote Text Cha Car,FA Fußnotentext Car,FA Fuﬂnotentext Car,FA Fu?notentext Car"/>
    <w:basedOn w:val="Fuentedeprrafopredeter"/>
    <w:link w:val="Textonotapie"/>
    <w:uiPriority w:val="99"/>
    <w:qFormat/>
    <w:rsid w:val="00DA5CA2"/>
    <w:rPr>
      <w:rFonts w:ascii="Times New Roman" w:eastAsia="Times New Roman" w:hAnsi="Times New Roman" w:cs="Times New Roman"/>
      <w:sz w:val="24"/>
      <w:szCs w:val="24"/>
      <w:lang w:val="x-none" w:eastAsia="es-ES"/>
    </w:rPr>
  </w:style>
  <w:style w:type="character" w:styleId="Refdenotaalpie">
    <w:name w:val="footnote reference"/>
    <w:aliases w:val="Texto de nota al pie,Footnotes refss,Appel note de bas de page,Footnote number,referencia nota al pie,BVI fnr,f,4_G,16 Point,Superscript 6 Point,Footnote Reference Char3,Footnote Reference Char1 Char,Footnote Reference Char Char Char"/>
    <w:link w:val="4GChar"/>
    <w:uiPriority w:val="99"/>
    <w:qFormat/>
    <w:rsid w:val="00DA5CA2"/>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DA5CA2"/>
    <w:pPr>
      <w:jc w:val="both"/>
    </w:pPr>
    <w:rPr>
      <w:rFonts w:asciiTheme="minorHAnsi" w:eastAsiaTheme="minorHAnsi" w:hAnsiTheme="minorHAnsi" w:cstheme="minorBidi"/>
      <w:sz w:val="22"/>
      <w:szCs w:val="22"/>
      <w:vertAlign w:val="superscript"/>
      <w:lang w:val="es-ES" w:eastAsia="en-US"/>
    </w:rPr>
  </w:style>
  <w:style w:type="paragraph" w:styleId="Ttulo">
    <w:name w:val="Title"/>
    <w:basedOn w:val="Normal"/>
    <w:link w:val="TtuloCar"/>
    <w:uiPriority w:val="99"/>
    <w:qFormat/>
    <w:rsid w:val="007C0E2D"/>
    <w:pPr>
      <w:jc w:val="center"/>
    </w:pPr>
    <w:rPr>
      <w:rFonts w:ascii="Verdana" w:hAnsi="Verdana"/>
      <w:b/>
      <w:noProof/>
      <w:sz w:val="20"/>
      <w:szCs w:val="20"/>
      <w:lang w:val="es-ES_tradnl" w:eastAsia="x-none"/>
    </w:rPr>
  </w:style>
  <w:style w:type="character" w:customStyle="1" w:styleId="TtuloCar">
    <w:name w:val="Título Car"/>
    <w:basedOn w:val="Fuentedeprrafopredeter"/>
    <w:link w:val="Ttulo"/>
    <w:uiPriority w:val="99"/>
    <w:rsid w:val="007C0E2D"/>
    <w:rPr>
      <w:rFonts w:ascii="Verdana" w:eastAsia="Times New Roman" w:hAnsi="Verdana" w:cs="Times New Roman"/>
      <w:b/>
      <w:noProof/>
      <w:sz w:val="20"/>
      <w:szCs w:val="20"/>
      <w:lang w:val="es-ES_tradnl" w:eastAsia="x-none"/>
    </w:rPr>
  </w:style>
  <w:style w:type="paragraph" w:styleId="Subttulo">
    <w:name w:val="Subtitle"/>
    <w:basedOn w:val="Normal"/>
    <w:next w:val="Normal"/>
    <w:link w:val="SubttuloCar"/>
    <w:qFormat/>
    <w:rsid w:val="007C0E2D"/>
    <w:pPr>
      <w:numPr>
        <w:ilvl w:val="1"/>
      </w:numPr>
      <w:jc w:val="center"/>
    </w:pPr>
    <w:rPr>
      <w:rFonts w:ascii="Verdana" w:hAnsi="Verdana"/>
      <w:b/>
      <w:i/>
      <w:iCs/>
      <w:noProof/>
      <w:spacing w:val="15"/>
      <w:sz w:val="20"/>
      <w:lang w:val="es-ES_tradnl" w:eastAsia="x-none"/>
    </w:rPr>
  </w:style>
  <w:style w:type="character" w:customStyle="1" w:styleId="SubttuloCar">
    <w:name w:val="Subtítulo Car"/>
    <w:basedOn w:val="Fuentedeprrafopredeter"/>
    <w:link w:val="Subttulo"/>
    <w:rsid w:val="007C0E2D"/>
    <w:rPr>
      <w:rFonts w:ascii="Verdana" w:eastAsia="Times New Roman" w:hAnsi="Verdana" w:cs="Times New Roman"/>
      <w:b/>
      <w:i/>
      <w:iCs/>
      <w:noProof/>
      <w:spacing w:val="15"/>
      <w:sz w:val="20"/>
      <w:szCs w:val="24"/>
      <w:lang w:val="es-ES_tradnl" w:eastAsia="x-none"/>
    </w:rPr>
  </w:style>
  <w:style w:type="character" w:styleId="Textoennegrita">
    <w:name w:val="Strong"/>
    <w:uiPriority w:val="22"/>
    <w:qFormat/>
    <w:rsid w:val="007C0E2D"/>
    <w:rPr>
      <w:b/>
      <w:bCs/>
    </w:rPr>
  </w:style>
  <w:style w:type="character" w:styleId="Hipervnculo">
    <w:name w:val="Hyperlink"/>
    <w:uiPriority w:val="99"/>
    <w:unhideWhenUsed/>
    <w:rsid w:val="007C0E2D"/>
    <w:rPr>
      <w:color w:val="0000FF"/>
      <w:u w:val="single"/>
    </w:rPr>
  </w:style>
  <w:style w:type="paragraph" w:styleId="Prrafodelista">
    <w:name w:val="List Paragraph"/>
    <w:aliases w:val="Footnote,Párrafo de lista1,Colorful List - Accent 11,Cuadrícula clara - Énfasis 31,List Paragraph1,List Paragraph2,Lista vistosa - Énfasis 11,Lista clara - Énfasis 51"/>
    <w:basedOn w:val="Normal"/>
    <w:link w:val="PrrafodelistaCar"/>
    <w:uiPriority w:val="99"/>
    <w:qFormat/>
    <w:rsid w:val="008E150E"/>
    <w:pPr>
      <w:ind w:left="720"/>
      <w:contextualSpacing/>
    </w:pPr>
  </w:style>
  <w:style w:type="paragraph" w:customStyle="1" w:styleId="PrrafodeSentencia">
    <w:name w:val="*. Párrafo de Sentencia"/>
    <w:basedOn w:val="Textonotapie"/>
    <w:autoRedefine/>
    <w:qFormat/>
    <w:rsid w:val="008E150E"/>
    <w:pPr>
      <w:numPr>
        <w:numId w:val="2"/>
      </w:numPr>
      <w:tabs>
        <w:tab w:val="num" w:pos="360"/>
        <w:tab w:val="left" w:pos="720"/>
      </w:tabs>
      <w:spacing w:before="120" w:after="120"/>
      <w:jc w:val="both"/>
    </w:pPr>
    <w:rPr>
      <w:rFonts w:ascii="Verdana" w:hAnsi="Verdana"/>
      <w:bCs/>
      <w:noProof/>
      <w:sz w:val="20"/>
      <w:szCs w:val="20"/>
      <w:lang w:val="es-ES_tradnl"/>
    </w:rPr>
  </w:style>
  <w:style w:type="character" w:styleId="Refdecomentario">
    <w:name w:val="annotation reference"/>
    <w:uiPriority w:val="99"/>
    <w:semiHidden/>
    <w:unhideWhenUsed/>
    <w:rsid w:val="006C6FA8"/>
    <w:rPr>
      <w:sz w:val="16"/>
      <w:szCs w:val="16"/>
    </w:rPr>
  </w:style>
  <w:style w:type="character" w:styleId="Nmerodelnea">
    <w:name w:val="line number"/>
    <w:basedOn w:val="Fuentedeprrafopredeter"/>
    <w:uiPriority w:val="99"/>
    <w:semiHidden/>
    <w:unhideWhenUsed/>
    <w:rsid w:val="00BB0A49"/>
  </w:style>
  <w:style w:type="paragraph" w:styleId="Textodeglobo">
    <w:name w:val="Balloon Text"/>
    <w:basedOn w:val="Normal"/>
    <w:link w:val="TextodegloboCar"/>
    <w:uiPriority w:val="99"/>
    <w:semiHidden/>
    <w:unhideWhenUsed/>
    <w:rsid w:val="00BB0A4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B0A49"/>
    <w:rPr>
      <w:rFonts w:ascii="Segoe UI" w:eastAsia="Times New Roman" w:hAnsi="Segoe UI" w:cs="Segoe UI"/>
      <w:sz w:val="18"/>
      <w:szCs w:val="18"/>
      <w:lang w:val="es-CR" w:eastAsia="es-ES"/>
    </w:rPr>
  </w:style>
  <w:style w:type="paragraph" w:styleId="Textocomentario">
    <w:name w:val="annotation text"/>
    <w:basedOn w:val="Normal"/>
    <w:link w:val="TextocomentarioCar"/>
    <w:uiPriority w:val="99"/>
    <w:semiHidden/>
    <w:unhideWhenUsed/>
    <w:rsid w:val="00C32540"/>
    <w:rPr>
      <w:sz w:val="20"/>
      <w:szCs w:val="20"/>
    </w:rPr>
  </w:style>
  <w:style w:type="character" w:customStyle="1" w:styleId="TextocomentarioCar">
    <w:name w:val="Texto comentario Car"/>
    <w:basedOn w:val="Fuentedeprrafopredeter"/>
    <w:link w:val="Textocomentario"/>
    <w:uiPriority w:val="99"/>
    <w:semiHidden/>
    <w:rsid w:val="00C32540"/>
    <w:rPr>
      <w:rFonts w:ascii="Times New Roman" w:eastAsia="Times New Roman" w:hAnsi="Times New Roman" w:cs="Times New Roman"/>
      <w:sz w:val="20"/>
      <w:szCs w:val="20"/>
      <w:lang w:val="es-CR" w:eastAsia="es-ES"/>
    </w:rPr>
  </w:style>
  <w:style w:type="paragraph" w:styleId="Asuntodelcomentario">
    <w:name w:val="annotation subject"/>
    <w:basedOn w:val="Textocomentario"/>
    <w:next w:val="Textocomentario"/>
    <w:link w:val="AsuntodelcomentarioCar"/>
    <w:uiPriority w:val="99"/>
    <w:semiHidden/>
    <w:unhideWhenUsed/>
    <w:rsid w:val="00C32540"/>
    <w:rPr>
      <w:b/>
      <w:bCs/>
    </w:rPr>
  </w:style>
  <w:style w:type="character" w:customStyle="1" w:styleId="AsuntodelcomentarioCar">
    <w:name w:val="Asunto del comentario Car"/>
    <w:basedOn w:val="TextocomentarioCar"/>
    <w:link w:val="Asuntodelcomentario"/>
    <w:uiPriority w:val="99"/>
    <w:semiHidden/>
    <w:rsid w:val="00C32540"/>
    <w:rPr>
      <w:rFonts w:ascii="Times New Roman" w:eastAsia="Times New Roman" w:hAnsi="Times New Roman" w:cs="Times New Roman"/>
      <w:b/>
      <w:bCs/>
      <w:sz w:val="20"/>
      <w:szCs w:val="20"/>
      <w:lang w:val="es-CR" w:eastAsia="es-ES"/>
    </w:rPr>
  </w:style>
  <w:style w:type="paragraph" w:styleId="Encabezado">
    <w:name w:val="header"/>
    <w:basedOn w:val="Normal"/>
    <w:link w:val="EncabezadoCar"/>
    <w:uiPriority w:val="99"/>
    <w:unhideWhenUsed/>
    <w:rsid w:val="00EC534B"/>
    <w:pPr>
      <w:tabs>
        <w:tab w:val="center" w:pos="4419"/>
        <w:tab w:val="right" w:pos="8838"/>
      </w:tabs>
    </w:pPr>
  </w:style>
  <w:style w:type="character" w:customStyle="1" w:styleId="EncabezadoCar">
    <w:name w:val="Encabezado Car"/>
    <w:basedOn w:val="Fuentedeprrafopredeter"/>
    <w:link w:val="Encabezado"/>
    <w:uiPriority w:val="99"/>
    <w:rsid w:val="00EC534B"/>
    <w:rPr>
      <w:rFonts w:ascii="Times New Roman" w:eastAsia="Times New Roman" w:hAnsi="Times New Roman" w:cs="Times New Roman"/>
      <w:sz w:val="24"/>
      <w:szCs w:val="24"/>
      <w:lang w:val="es-CR" w:eastAsia="es-ES"/>
    </w:rPr>
  </w:style>
  <w:style w:type="paragraph" w:styleId="Piedepgina">
    <w:name w:val="footer"/>
    <w:basedOn w:val="Normal"/>
    <w:link w:val="PiedepginaCar"/>
    <w:uiPriority w:val="99"/>
    <w:unhideWhenUsed/>
    <w:rsid w:val="00EC534B"/>
    <w:pPr>
      <w:tabs>
        <w:tab w:val="center" w:pos="4419"/>
        <w:tab w:val="right" w:pos="8838"/>
      </w:tabs>
    </w:pPr>
  </w:style>
  <w:style w:type="character" w:customStyle="1" w:styleId="PiedepginaCar">
    <w:name w:val="Pie de página Car"/>
    <w:basedOn w:val="Fuentedeprrafopredeter"/>
    <w:link w:val="Piedepgina"/>
    <w:uiPriority w:val="99"/>
    <w:rsid w:val="00EC534B"/>
    <w:rPr>
      <w:rFonts w:ascii="Times New Roman" w:eastAsia="Times New Roman" w:hAnsi="Times New Roman" w:cs="Times New Roman"/>
      <w:sz w:val="24"/>
      <w:szCs w:val="24"/>
      <w:lang w:val="es-CR" w:eastAsia="es-ES"/>
    </w:rPr>
  </w:style>
  <w:style w:type="character" w:customStyle="1" w:styleId="Ttulo1Car">
    <w:name w:val="Título 1 Car"/>
    <w:basedOn w:val="Fuentedeprrafopredeter"/>
    <w:link w:val="Ttulo1"/>
    <w:uiPriority w:val="9"/>
    <w:rsid w:val="00F33D5D"/>
    <w:rPr>
      <w:rFonts w:asciiTheme="majorHAnsi" w:eastAsiaTheme="majorEastAsia" w:hAnsiTheme="majorHAnsi" w:cstheme="majorBidi"/>
      <w:color w:val="2E74B5" w:themeColor="accent1" w:themeShade="BF"/>
      <w:sz w:val="32"/>
      <w:szCs w:val="32"/>
      <w:lang w:val="es-CR" w:eastAsia="es-ES"/>
    </w:rPr>
  </w:style>
  <w:style w:type="paragraph" w:styleId="TDC1">
    <w:name w:val="toc 1"/>
    <w:basedOn w:val="Normal"/>
    <w:next w:val="Normal"/>
    <w:autoRedefine/>
    <w:uiPriority w:val="39"/>
    <w:unhideWhenUsed/>
    <w:rsid w:val="00ED0B5F"/>
    <w:pPr>
      <w:tabs>
        <w:tab w:val="left" w:pos="660"/>
        <w:tab w:val="right" w:leader="dot" w:pos="8494"/>
      </w:tabs>
      <w:spacing w:before="120" w:after="120"/>
      <w:ind w:left="660"/>
    </w:pPr>
  </w:style>
  <w:style w:type="character" w:customStyle="1" w:styleId="PrrafodelistaCar">
    <w:name w:val="Párrafo de lista Car"/>
    <w:aliases w:val="Footnote Car,Párrafo de lista1 Car,Colorful List - Accent 11 Car,Cuadrícula clara - Énfasis 31 Car,List Paragraph1 Car,List Paragraph2 Car,Lista vistosa - Énfasis 11 Car,Lista clara - Énfasis 51 Car"/>
    <w:link w:val="Prrafodelista"/>
    <w:uiPriority w:val="99"/>
    <w:locked/>
    <w:rsid w:val="00DB5FB8"/>
    <w:rPr>
      <w:rFonts w:ascii="Times New Roman" w:eastAsia="Times New Roman" w:hAnsi="Times New Roman" w:cs="Times New Roman"/>
      <w:sz w:val="24"/>
      <w:szCs w:val="24"/>
      <w:lang w:val="es-CR" w:eastAsia="es-ES"/>
    </w:rPr>
  </w:style>
  <w:style w:type="paragraph" w:styleId="Sinespaciado">
    <w:name w:val="No Spacing"/>
    <w:uiPriority w:val="1"/>
    <w:qFormat/>
    <w:rsid w:val="0060000D"/>
    <w:pPr>
      <w:spacing w:after="0" w:line="240" w:lineRule="auto"/>
    </w:pPr>
    <w:rPr>
      <w:lang w:val="es-CR"/>
    </w:rPr>
  </w:style>
  <w:style w:type="paragraph" w:customStyle="1" w:styleId="Default">
    <w:name w:val="Default"/>
    <w:rsid w:val="009743FA"/>
    <w:pPr>
      <w:autoSpaceDE w:val="0"/>
      <w:autoSpaceDN w:val="0"/>
      <w:adjustRightInd w:val="0"/>
      <w:spacing w:after="0" w:line="240" w:lineRule="auto"/>
    </w:pPr>
    <w:rPr>
      <w:rFonts w:ascii="Verdana" w:hAnsi="Verdana" w:cs="Verdana"/>
      <w:color w:val="000000"/>
      <w:sz w:val="24"/>
      <w:szCs w:val="24"/>
    </w:rPr>
  </w:style>
  <w:style w:type="character" w:styleId="Textodelmarcadordeposicin">
    <w:name w:val="Placeholder Text"/>
    <w:basedOn w:val="Fuentedeprrafopredeter"/>
    <w:uiPriority w:val="99"/>
    <w:semiHidden/>
    <w:rsid w:val="000447D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2666756">
      <w:bodyDiv w:val="1"/>
      <w:marLeft w:val="0"/>
      <w:marRight w:val="0"/>
      <w:marTop w:val="0"/>
      <w:marBottom w:val="0"/>
      <w:divBdr>
        <w:top w:val="none" w:sz="0" w:space="0" w:color="auto"/>
        <w:left w:val="none" w:sz="0" w:space="0" w:color="auto"/>
        <w:bottom w:val="none" w:sz="0" w:space="0" w:color="auto"/>
        <w:right w:val="none" w:sz="0" w:space="0" w:color="auto"/>
      </w:divBdr>
    </w:div>
    <w:div w:id="1007370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corteidh.or.cr/docs/asuntos/duque_fv_16.pdf" TargetMode="External"/><Relationship Id="rId2" Type="http://schemas.openxmlformats.org/officeDocument/2006/relationships/hyperlink" Target="http://www.corteidh.or.cr/docs/casos/articulos/seriec_322_esp.pdf" TargetMode="External"/><Relationship Id="rId1" Type="http://schemas.openxmlformats.org/officeDocument/2006/relationships/hyperlink" Target="http://www.corteidh.or.cr/docs/casos/articulos/seriec_310_esp.pdf" TargetMode="External"/><Relationship Id="rId5" Type="http://schemas.openxmlformats.org/officeDocument/2006/relationships/hyperlink" Target="http://corteidh.or.cr/docs/asuntos/duque_fv_19.pdf" TargetMode="External"/><Relationship Id="rId4" Type="http://schemas.openxmlformats.org/officeDocument/2006/relationships/hyperlink" Target="http://www.corteidh.or.cr/docs/supervisiones/duque_22_11_1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D870FB-2A8A-4448-885C-4D253D0FF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1374</Words>
  <Characters>7561</Characters>
  <Application>Microsoft Office Word</Application>
  <DocSecurity>0</DocSecurity>
  <Lines>63</Lines>
  <Paragraphs>17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Cejil</Company>
  <LinksUpToDate>false</LinksUpToDate>
  <CharactersWithSpaces>8918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4</cp:revision>
  <cp:lastPrinted>2020-04-07T13:06:00Z</cp:lastPrinted>
  <dcterms:created xsi:type="dcterms:W3CDTF">2020-04-07T13:06:00Z</dcterms:created>
  <dcterms:modified xsi:type="dcterms:W3CDTF">2020-04-07T13:06:00Z</dcterms:modified>
</cp:coreProperties>
</file>