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23097" w14:textId="77777777" w:rsidR="000568D5" w:rsidRDefault="000568D5" w:rsidP="004B6FAC">
      <w:pPr>
        <w:spacing w:after="0" w:line="240" w:lineRule="auto"/>
        <w:jc w:val="center"/>
        <w:rPr>
          <w:rFonts w:ascii="Verdana" w:hAnsi="Verdana"/>
          <w:b/>
          <w:sz w:val="14"/>
          <w:szCs w:val="14"/>
          <w:lang w:val="es-CR"/>
        </w:rPr>
      </w:pPr>
      <w:bookmarkStart w:id="0" w:name="_GoBack"/>
      <w:bookmarkEnd w:id="0"/>
    </w:p>
    <w:p w14:paraId="3ACEDD35" w14:textId="77777777" w:rsidR="00382CE9" w:rsidRDefault="00382CE9" w:rsidP="004B6FAC">
      <w:pPr>
        <w:spacing w:after="0" w:line="240" w:lineRule="auto"/>
        <w:jc w:val="center"/>
        <w:rPr>
          <w:rFonts w:ascii="Verdana" w:hAnsi="Verdana"/>
          <w:b/>
          <w:sz w:val="14"/>
          <w:szCs w:val="14"/>
          <w:lang w:val="es-CR"/>
        </w:rPr>
      </w:pPr>
    </w:p>
    <w:p w14:paraId="2D09179E" w14:textId="77777777" w:rsidR="00382CE9" w:rsidRDefault="00382CE9" w:rsidP="004B6FAC">
      <w:pPr>
        <w:spacing w:after="0" w:line="240" w:lineRule="auto"/>
        <w:jc w:val="center"/>
        <w:rPr>
          <w:rFonts w:ascii="Verdana" w:hAnsi="Verdana"/>
          <w:b/>
          <w:sz w:val="14"/>
          <w:szCs w:val="14"/>
          <w:lang w:val="es-CR"/>
        </w:rPr>
      </w:pPr>
    </w:p>
    <w:p w14:paraId="50DBC850" w14:textId="77777777" w:rsidR="00382CE9" w:rsidRDefault="00382CE9" w:rsidP="004B6FAC">
      <w:pPr>
        <w:spacing w:after="0" w:line="240" w:lineRule="auto"/>
        <w:jc w:val="center"/>
        <w:rPr>
          <w:rFonts w:ascii="Verdana" w:hAnsi="Verdana"/>
          <w:b/>
          <w:sz w:val="14"/>
          <w:szCs w:val="14"/>
          <w:lang w:val="es-CR"/>
        </w:rPr>
      </w:pPr>
    </w:p>
    <w:p w14:paraId="1AA07C95" w14:textId="77777777" w:rsidR="00382CE9" w:rsidRDefault="00382CE9" w:rsidP="004B6FAC">
      <w:pPr>
        <w:spacing w:after="0" w:line="240" w:lineRule="auto"/>
        <w:jc w:val="center"/>
        <w:rPr>
          <w:rFonts w:ascii="Verdana" w:hAnsi="Verdana"/>
          <w:b/>
          <w:sz w:val="14"/>
          <w:szCs w:val="14"/>
          <w:lang w:val="es-CR"/>
        </w:rPr>
      </w:pPr>
    </w:p>
    <w:p w14:paraId="19D8199A" w14:textId="77777777" w:rsidR="00382CE9" w:rsidRDefault="00382CE9" w:rsidP="004B6FAC">
      <w:pPr>
        <w:spacing w:after="0" w:line="240" w:lineRule="auto"/>
        <w:jc w:val="center"/>
        <w:rPr>
          <w:rFonts w:ascii="Verdana" w:hAnsi="Verdana"/>
          <w:b/>
          <w:sz w:val="14"/>
          <w:szCs w:val="14"/>
          <w:lang w:val="es-CR"/>
        </w:rPr>
      </w:pPr>
    </w:p>
    <w:p w14:paraId="125AE8A3" w14:textId="77777777" w:rsidR="00382CE9" w:rsidRPr="00470338" w:rsidRDefault="00382CE9" w:rsidP="004B6FAC">
      <w:pPr>
        <w:spacing w:after="0" w:line="240" w:lineRule="auto"/>
        <w:jc w:val="center"/>
        <w:rPr>
          <w:rFonts w:ascii="Verdana" w:hAnsi="Verdana"/>
          <w:b/>
          <w:sz w:val="14"/>
          <w:szCs w:val="14"/>
          <w:lang w:val="es-CR"/>
        </w:rPr>
      </w:pPr>
    </w:p>
    <w:p w14:paraId="449B77D3" w14:textId="77777777" w:rsidR="00F56ACD" w:rsidRDefault="00745AE4" w:rsidP="004B6FAC">
      <w:pPr>
        <w:spacing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14:paraId="1B50C5DA" w14:textId="77777777" w:rsidR="00FF7EEA" w:rsidRPr="00795392" w:rsidRDefault="00745AE4" w:rsidP="004B6FAC">
      <w:pPr>
        <w:spacing w:after="0" w:line="240" w:lineRule="auto"/>
        <w:jc w:val="center"/>
        <w:rPr>
          <w:rFonts w:ascii="Verdana" w:hAnsi="Verdana"/>
          <w:b/>
          <w:smallCaps/>
          <w:sz w:val="20"/>
          <w:lang w:val="es-CR"/>
        </w:rPr>
      </w:pPr>
      <w:r w:rsidRPr="00745AE4">
        <w:rPr>
          <w:rFonts w:ascii="Verdana" w:hAnsi="Verdana"/>
          <w:b/>
          <w:sz w:val="20"/>
          <w:szCs w:val="20"/>
          <w:lang w:val="es-CR"/>
        </w:rPr>
        <w:t xml:space="preserve">CORTE </w:t>
      </w:r>
      <w:r w:rsidRPr="00795392">
        <w:rPr>
          <w:rFonts w:ascii="Verdana" w:hAnsi="Verdana"/>
          <w:b/>
          <w:sz w:val="20"/>
          <w:szCs w:val="20"/>
          <w:lang w:val="es-CR"/>
        </w:rPr>
        <w:t>INTERAMERICANA DE DERECHOS HUMANOS</w:t>
      </w:r>
      <w:r w:rsidR="00973981" w:rsidRPr="00795392">
        <w:rPr>
          <w:rFonts w:ascii="Verdana" w:hAnsi="Verdana"/>
          <w:b/>
          <w:sz w:val="20"/>
          <w:szCs w:val="20"/>
          <w:lang w:val="es-CR"/>
        </w:rPr>
        <w:t>*</w:t>
      </w:r>
    </w:p>
    <w:p w14:paraId="04C2FAC4" w14:textId="77777777" w:rsidR="00AD4184" w:rsidRPr="00795392" w:rsidRDefault="00AD4184" w:rsidP="004B6FAC">
      <w:pPr>
        <w:spacing w:after="0" w:line="240" w:lineRule="auto"/>
        <w:jc w:val="center"/>
        <w:rPr>
          <w:rFonts w:ascii="Verdana" w:hAnsi="Verdana"/>
          <w:b/>
          <w:sz w:val="14"/>
          <w:szCs w:val="14"/>
          <w:lang w:val="es-CR"/>
        </w:rPr>
      </w:pPr>
    </w:p>
    <w:p w14:paraId="471AD804" w14:textId="77777777" w:rsidR="00745AE4" w:rsidRPr="00795392" w:rsidRDefault="00671120" w:rsidP="004B6FAC">
      <w:pPr>
        <w:spacing w:after="0" w:line="240" w:lineRule="auto"/>
        <w:jc w:val="center"/>
        <w:rPr>
          <w:rFonts w:ascii="Verdana" w:hAnsi="Verdana"/>
          <w:b/>
          <w:sz w:val="20"/>
          <w:szCs w:val="20"/>
          <w:lang w:val="es-CR"/>
        </w:rPr>
      </w:pPr>
      <w:r w:rsidRPr="00795392">
        <w:rPr>
          <w:rFonts w:ascii="Verdana" w:hAnsi="Verdana"/>
          <w:b/>
          <w:sz w:val="20"/>
          <w:szCs w:val="20"/>
          <w:lang w:val="es-CR"/>
        </w:rPr>
        <w:t xml:space="preserve">DE </w:t>
      </w:r>
      <w:r w:rsidR="00973981" w:rsidRPr="00795392">
        <w:rPr>
          <w:rFonts w:ascii="Verdana" w:hAnsi="Verdana"/>
          <w:b/>
          <w:sz w:val="20"/>
          <w:szCs w:val="20"/>
          <w:lang w:val="es-CR"/>
        </w:rPr>
        <w:t>9 DE MARZO</w:t>
      </w:r>
      <w:r w:rsidR="00745AE4" w:rsidRPr="00795392">
        <w:rPr>
          <w:rFonts w:ascii="Verdana" w:hAnsi="Verdana"/>
          <w:b/>
          <w:sz w:val="20"/>
          <w:szCs w:val="20"/>
          <w:lang w:val="es-CR"/>
        </w:rPr>
        <w:t xml:space="preserve"> DE </w:t>
      </w:r>
      <w:r w:rsidR="00A57148" w:rsidRPr="00795392">
        <w:rPr>
          <w:rFonts w:ascii="Verdana" w:hAnsi="Verdana"/>
          <w:b/>
          <w:sz w:val="20"/>
          <w:szCs w:val="20"/>
          <w:lang w:val="es-CR"/>
        </w:rPr>
        <w:t>2020</w:t>
      </w:r>
    </w:p>
    <w:p w14:paraId="6BDDEEBD" w14:textId="77777777" w:rsidR="00AD4184" w:rsidRPr="00795392" w:rsidRDefault="00AD4184" w:rsidP="004B6FAC">
      <w:pPr>
        <w:spacing w:after="0" w:line="240" w:lineRule="auto"/>
        <w:jc w:val="center"/>
        <w:rPr>
          <w:rFonts w:ascii="Verdana" w:hAnsi="Verdana"/>
          <w:b/>
          <w:sz w:val="14"/>
          <w:szCs w:val="14"/>
          <w:lang w:val="es-CR"/>
        </w:rPr>
      </w:pPr>
    </w:p>
    <w:p w14:paraId="3C1CA7F8" w14:textId="77777777" w:rsidR="00745AE4" w:rsidRPr="00795392" w:rsidRDefault="00745AE4" w:rsidP="004B6FAC">
      <w:pPr>
        <w:spacing w:after="0" w:line="240" w:lineRule="auto"/>
        <w:jc w:val="center"/>
        <w:rPr>
          <w:rFonts w:ascii="Verdana" w:hAnsi="Verdana"/>
          <w:b/>
          <w:i/>
          <w:sz w:val="20"/>
          <w:szCs w:val="20"/>
          <w:lang w:val="es-CR"/>
        </w:rPr>
      </w:pPr>
      <w:r w:rsidRPr="00795392">
        <w:rPr>
          <w:rFonts w:ascii="Verdana" w:hAnsi="Verdana"/>
          <w:b/>
          <w:i/>
          <w:sz w:val="20"/>
          <w:szCs w:val="20"/>
          <w:lang w:val="es-CR"/>
        </w:rPr>
        <w:t xml:space="preserve">CASO </w:t>
      </w:r>
      <w:r w:rsidR="00496F7E" w:rsidRPr="00795392">
        <w:rPr>
          <w:rFonts w:ascii="Verdana" w:hAnsi="Verdana"/>
          <w:b/>
          <w:i/>
          <w:sz w:val="20"/>
          <w:szCs w:val="20"/>
          <w:lang w:val="es-CR"/>
        </w:rPr>
        <w:t>OSORIO RIVERA Y FAMILIARES</w:t>
      </w:r>
      <w:r w:rsidRPr="00795392">
        <w:rPr>
          <w:rFonts w:ascii="Verdana" w:hAnsi="Verdana"/>
          <w:b/>
          <w:i/>
          <w:sz w:val="20"/>
          <w:szCs w:val="20"/>
          <w:lang w:val="es-CR"/>
        </w:rPr>
        <w:t xml:space="preserve"> VS.</w:t>
      </w:r>
      <w:r w:rsidR="0034046E" w:rsidRPr="00795392">
        <w:rPr>
          <w:rFonts w:ascii="Verdana" w:hAnsi="Verdana"/>
          <w:b/>
          <w:i/>
          <w:sz w:val="20"/>
          <w:szCs w:val="20"/>
          <w:lang w:val="es-CR"/>
        </w:rPr>
        <w:t xml:space="preserve"> PERÚ</w:t>
      </w:r>
    </w:p>
    <w:p w14:paraId="3264B0BB" w14:textId="77777777" w:rsidR="00AD4184" w:rsidRPr="00795392" w:rsidRDefault="00AD4184" w:rsidP="004B6FAC">
      <w:pPr>
        <w:spacing w:after="0" w:line="240" w:lineRule="auto"/>
        <w:jc w:val="center"/>
        <w:rPr>
          <w:rFonts w:ascii="Verdana" w:hAnsi="Verdana"/>
          <w:b/>
          <w:sz w:val="14"/>
          <w:szCs w:val="14"/>
          <w:lang w:val="es-CR"/>
        </w:rPr>
      </w:pPr>
    </w:p>
    <w:p w14:paraId="5BDCD564" w14:textId="77777777" w:rsidR="00745AE4" w:rsidRPr="009B4B9D" w:rsidRDefault="00745AE4" w:rsidP="004B6FAC">
      <w:pPr>
        <w:spacing w:after="0" w:line="240" w:lineRule="auto"/>
        <w:jc w:val="center"/>
        <w:rPr>
          <w:rFonts w:ascii="Verdana" w:hAnsi="Verdana"/>
          <w:b/>
          <w:sz w:val="20"/>
          <w:szCs w:val="20"/>
          <w:lang w:val="es-CR"/>
        </w:rPr>
      </w:pPr>
      <w:r w:rsidRPr="00795392">
        <w:rPr>
          <w:rFonts w:ascii="Verdana" w:hAnsi="Verdana"/>
          <w:b/>
          <w:sz w:val="20"/>
          <w:szCs w:val="20"/>
          <w:lang w:val="es-CR"/>
        </w:rPr>
        <w:t>SUPERVISIÓN DE CUMPLIMIENTO</w:t>
      </w:r>
      <w:r w:rsidRPr="009B4B9D">
        <w:rPr>
          <w:rFonts w:ascii="Verdana" w:hAnsi="Verdana"/>
          <w:b/>
          <w:sz w:val="20"/>
          <w:szCs w:val="20"/>
          <w:lang w:val="es-CR"/>
        </w:rPr>
        <w:t xml:space="preserve"> DE SENTENCIA</w:t>
      </w:r>
    </w:p>
    <w:p w14:paraId="41F346E7" w14:textId="77777777" w:rsidR="00AD4184" w:rsidRPr="00470338" w:rsidRDefault="00AD4184" w:rsidP="004B6FAC">
      <w:pPr>
        <w:spacing w:after="0" w:line="240" w:lineRule="auto"/>
        <w:jc w:val="both"/>
        <w:rPr>
          <w:rFonts w:ascii="Verdana" w:hAnsi="Verdana"/>
          <w:b/>
          <w:sz w:val="14"/>
          <w:szCs w:val="14"/>
          <w:lang w:val="es-CR"/>
        </w:rPr>
      </w:pPr>
    </w:p>
    <w:p w14:paraId="2CF3E323" w14:textId="77777777" w:rsidR="00CD4DDE" w:rsidRDefault="005A1B3D" w:rsidP="004B6FAC">
      <w:pPr>
        <w:spacing w:after="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14:paraId="235D79AD" w14:textId="77777777" w:rsidR="004B6FAC" w:rsidRPr="00470338" w:rsidRDefault="004B6FAC" w:rsidP="004B6FAC">
      <w:pPr>
        <w:spacing w:after="0" w:line="240" w:lineRule="auto"/>
        <w:jc w:val="both"/>
        <w:rPr>
          <w:rFonts w:ascii="Verdana" w:hAnsi="Verdana"/>
          <w:b/>
          <w:sz w:val="14"/>
          <w:szCs w:val="14"/>
          <w:lang w:val="es-CR"/>
        </w:rPr>
      </w:pPr>
    </w:p>
    <w:p w14:paraId="5411B205" w14:textId="77777777" w:rsidR="00DA509B" w:rsidRDefault="005A1B3D" w:rsidP="00BF4CDD">
      <w:pPr>
        <w:pStyle w:val="Cuadrculamedia1-nfasis21"/>
        <w:numPr>
          <w:ilvl w:val="0"/>
          <w:numId w:val="1"/>
        </w:numPr>
        <w:spacing w:after="0" w:line="240" w:lineRule="auto"/>
        <w:ind w:left="0" w:firstLine="0"/>
        <w:contextualSpacing w:val="0"/>
        <w:jc w:val="both"/>
        <w:rPr>
          <w:rFonts w:ascii="Verdana" w:hAnsi="Verdana"/>
          <w:sz w:val="20"/>
          <w:szCs w:val="20"/>
          <w:lang w:val="es-CR"/>
        </w:rPr>
      </w:pPr>
      <w:r w:rsidRPr="009851A6">
        <w:rPr>
          <w:rFonts w:ascii="Verdana" w:hAnsi="Verdana"/>
          <w:sz w:val="20"/>
          <w:szCs w:val="20"/>
          <w:lang w:val="es-CR"/>
        </w:rPr>
        <w:t>La Sentencia d</w:t>
      </w:r>
      <w:r w:rsidR="00D01B4B">
        <w:rPr>
          <w:rFonts w:ascii="Verdana" w:hAnsi="Verdana"/>
          <w:sz w:val="20"/>
          <w:szCs w:val="20"/>
          <w:lang w:val="es-CR"/>
        </w:rPr>
        <w:t>e excepcio</w:t>
      </w:r>
      <w:r w:rsidR="0034046E" w:rsidRPr="009851A6">
        <w:rPr>
          <w:rFonts w:ascii="Verdana" w:hAnsi="Verdana"/>
          <w:sz w:val="20"/>
          <w:szCs w:val="20"/>
          <w:lang w:val="es-CR"/>
        </w:rPr>
        <w:t>n</w:t>
      </w:r>
      <w:r w:rsidR="00D01B4B">
        <w:rPr>
          <w:rFonts w:ascii="Verdana" w:hAnsi="Verdana"/>
          <w:sz w:val="20"/>
          <w:szCs w:val="20"/>
          <w:lang w:val="es-CR"/>
        </w:rPr>
        <w:t>es</w:t>
      </w:r>
      <w:r w:rsidR="0034046E" w:rsidRPr="009851A6">
        <w:rPr>
          <w:rFonts w:ascii="Verdana" w:hAnsi="Verdana"/>
          <w:sz w:val="20"/>
          <w:szCs w:val="20"/>
          <w:lang w:val="es-CR"/>
        </w:rPr>
        <w:t xml:space="preserve"> preliminar</w:t>
      </w:r>
      <w:r w:rsidR="00D01B4B">
        <w:rPr>
          <w:rFonts w:ascii="Verdana" w:hAnsi="Verdana"/>
          <w:sz w:val="20"/>
          <w:szCs w:val="20"/>
          <w:lang w:val="es-CR"/>
        </w:rPr>
        <w:t>es</w:t>
      </w:r>
      <w:r w:rsidR="0034046E" w:rsidRPr="009851A6">
        <w:rPr>
          <w:rFonts w:ascii="Verdana" w:hAnsi="Verdana"/>
          <w:sz w:val="20"/>
          <w:szCs w:val="20"/>
          <w:lang w:val="es-CR"/>
        </w:rPr>
        <w:t>, fondo, reparaciones y costas</w:t>
      </w:r>
      <w:r w:rsidRPr="009851A6">
        <w:rPr>
          <w:rFonts w:ascii="Verdana" w:hAnsi="Verdana"/>
          <w:color w:val="000000"/>
          <w:sz w:val="20"/>
          <w:szCs w:val="20"/>
          <w:lang w:val="es-CR"/>
        </w:rPr>
        <w:t xml:space="preserve"> </w:t>
      </w:r>
      <w:r w:rsidRPr="009851A6">
        <w:rPr>
          <w:rFonts w:ascii="Verdana" w:hAnsi="Verdana"/>
          <w:sz w:val="20"/>
          <w:szCs w:val="20"/>
          <w:lang w:val="es-CR"/>
        </w:rPr>
        <w:t xml:space="preserve">(en adelante “la Sentencia”) </w:t>
      </w:r>
      <w:r w:rsidR="00AD277C" w:rsidRPr="009851A6">
        <w:rPr>
          <w:rFonts w:ascii="Verdana" w:hAnsi="Verdana"/>
          <w:sz w:val="20"/>
          <w:szCs w:val="20"/>
          <w:lang w:val="es-CR"/>
        </w:rPr>
        <w:t xml:space="preserve">dictada </w:t>
      </w:r>
      <w:r w:rsidRPr="009851A6">
        <w:rPr>
          <w:rFonts w:ascii="Verdana" w:hAnsi="Verdana"/>
          <w:sz w:val="20"/>
          <w:szCs w:val="20"/>
          <w:lang w:val="es-CR"/>
        </w:rPr>
        <w:t>por la Corte Interamericana de Derechos Humanos (en adelante “la Corte Interamerican</w:t>
      </w:r>
      <w:r w:rsidR="00AD277C" w:rsidRPr="009851A6">
        <w:rPr>
          <w:rFonts w:ascii="Verdana" w:hAnsi="Verdana"/>
          <w:sz w:val="20"/>
          <w:szCs w:val="20"/>
          <w:lang w:val="es-CR"/>
        </w:rPr>
        <w:t xml:space="preserve">a”, “la Corte” o “el Tribunal”) el </w:t>
      </w:r>
      <w:r w:rsidR="00D01B4B">
        <w:rPr>
          <w:rFonts w:ascii="Verdana" w:hAnsi="Verdana"/>
          <w:sz w:val="20"/>
          <w:szCs w:val="20"/>
          <w:lang w:val="es-CR"/>
        </w:rPr>
        <w:t>26 de noviembre de 2013</w:t>
      </w:r>
      <w:r w:rsidR="00886837" w:rsidRPr="0076390D">
        <w:rPr>
          <w:rStyle w:val="Refdenotaalpie"/>
          <w:rFonts w:ascii="Verdana" w:hAnsi="Verdana"/>
          <w:sz w:val="20"/>
          <w:lang w:val="es-MX"/>
        </w:rPr>
        <w:footnoteReference w:id="1"/>
      </w:r>
      <w:r w:rsidR="001C0DED" w:rsidRPr="009851A6">
        <w:rPr>
          <w:rFonts w:ascii="Verdana" w:hAnsi="Verdana"/>
          <w:sz w:val="20"/>
          <w:szCs w:val="20"/>
          <w:lang w:val="es-CR"/>
        </w:rPr>
        <w:t xml:space="preserve">. </w:t>
      </w:r>
      <w:r w:rsidR="00EC6433" w:rsidRPr="009851A6">
        <w:rPr>
          <w:rFonts w:ascii="Verdana" w:hAnsi="Verdana"/>
          <w:sz w:val="20"/>
          <w:szCs w:val="20"/>
          <w:lang w:val="es-CR"/>
        </w:rPr>
        <w:t>L</w:t>
      </w:r>
      <w:r w:rsidR="00AE115F" w:rsidRPr="009851A6">
        <w:rPr>
          <w:rFonts w:ascii="Verdana" w:hAnsi="Verdana"/>
          <w:sz w:val="20"/>
          <w:szCs w:val="20"/>
          <w:lang w:val="es-CR"/>
        </w:rPr>
        <w:t>a Corte</w:t>
      </w:r>
      <w:r w:rsidR="007B6E99" w:rsidRPr="007B6E99">
        <w:rPr>
          <w:rFonts w:ascii="Verdana" w:hAnsi="Verdana"/>
          <w:sz w:val="20"/>
          <w:szCs w:val="20"/>
          <w:lang w:val="es-CR"/>
        </w:rPr>
        <w:t xml:space="preserve"> </w:t>
      </w:r>
      <w:r w:rsidR="00AE115F" w:rsidRPr="009851A6">
        <w:rPr>
          <w:rFonts w:ascii="Verdana" w:hAnsi="Verdana"/>
          <w:sz w:val="20"/>
          <w:szCs w:val="20"/>
          <w:lang w:val="es-CR"/>
        </w:rPr>
        <w:t xml:space="preserve">declaró la responsabilidad internacional </w:t>
      </w:r>
      <w:r w:rsidR="0034046E" w:rsidRPr="009851A6">
        <w:rPr>
          <w:rFonts w:ascii="Verdana" w:hAnsi="Verdana"/>
          <w:sz w:val="20"/>
          <w:szCs w:val="20"/>
          <w:lang w:val="es-CR"/>
        </w:rPr>
        <w:t>de</w:t>
      </w:r>
      <w:r w:rsidR="00953042">
        <w:rPr>
          <w:rFonts w:ascii="Verdana" w:hAnsi="Verdana"/>
          <w:sz w:val="20"/>
          <w:szCs w:val="20"/>
          <w:lang w:val="es-CR"/>
        </w:rPr>
        <w:t xml:space="preserve"> la República del Perú</w:t>
      </w:r>
      <w:r w:rsidR="00953042" w:rsidRPr="009851A6">
        <w:rPr>
          <w:rFonts w:ascii="Verdana" w:hAnsi="Verdana"/>
          <w:sz w:val="20"/>
          <w:szCs w:val="20"/>
          <w:lang w:val="es-CR"/>
        </w:rPr>
        <w:t xml:space="preserve"> (en adelante “el Estado” o </w:t>
      </w:r>
      <w:r w:rsidR="00953042">
        <w:rPr>
          <w:rFonts w:ascii="Verdana" w:hAnsi="Verdana"/>
          <w:sz w:val="20"/>
          <w:szCs w:val="20"/>
          <w:lang w:val="es-CR"/>
        </w:rPr>
        <w:t xml:space="preserve">“el </w:t>
      </w:r>
      <w:r w:rsidR="00953042" w:rsidRPr="009851A6">
        <w:rPr>
          <w:rFonts w:ascii="Verdana" w:hAnsi="Verdana"/>
          <w:sz w:val="20"/>
          <w:szCs w:val="20"/>
          <w:lang w:val="es-CR"/>
        </w:rPr>
        <w:t>Perú”)</w:t>
      </w:r>
      <w:r w:rsidR="0034046E" w:rsidRPr="009851A6">
        <w:rPr>
          <w:rFonts w:ascii="Verdana" w:hAnsi="Verdana"/>
          <w:sz w:val="20"/>
          <w:szCs w:val="20"/>
          <w:lang w:val="es-CR"/>
        </w:rPr>
        <w:t xml:space="preserve"> </w:t>
      </w:r>
      <w:r w:rsidR="00372198" w:rsidRPr="009851A6">
        <w:rPr>
          <w:rFonts w:ascii="Verdana" w:hAnsi="Verdana"/>
          <w:sz w:val="20"/>
          <w:szCs w:val="20"/>
          <w:lang w:val="es-CR"/>
        </w:rPr>
        <w:t>por</w:t>
      </w:r>
      <w:r w:rsidR="009851A6" w:rsidRPr="009851A6">
        <w:rPr>
          <w:rFonts w:ascii="Verdana" w:hAnsi="Verdana"/>
          <w:sz w:val="20"/>
          <w:szCs w:val="20"/>
          <w:lang w:val="es-CR"/>
        </w:rPr>
        <w:t xml:space="preserve"> </w:t>
      </w:r>
      <w:r w:rsidR="00953042" w:rsidRPr="00953042">
        <w:rPr>
          <w:rFonts w:ascii="Verdana" w:hAnsi="Verdana"/>
          <w:sz w:val="20"/>
          <w:szCs w:val="20"/>
          <w:lang w:val="es-CR"/>
        </w:rPr>
        <w:t xml:space="preserve">la desaparición forzada del señor Jeremías Osorio Rivera, </w:t>
      </w:r>
      <w:r w:rsidR="00C9786F">
        <w:rPr>
          <w:rFonts w:ascii="Verdana" w:hAnsi="Verdana"/>
          <w:sz w:val="20"/>
          <w:szCs w:val="20"/>
          <w:lang w:val="es-CR"/>
        </w:rPr>
        <w:t>iniciada</w:t>
      </w:r>
      <w:r w:rsidR="00953042" w:rsidRPr="00953042">
        <w:rPr>
          <w:rFonts w:ascii="Verdana" w:hAnsi="Verdana"/>
          <w:sz w:val="20"/>
          <w:szCs w:val="20"/>
          <w:lang w:val="es-CR"/>
        </w:rPr>
        <w:t xml:space="preserve"> a partir del 30 de abril de 1991, sin que hasta la fecha se conozca su paradero, y por las consiguientes violaciones de </w:t>
      </w:r>
      <w:r w:rsidR="00953042">
        <w:rPr>
          <w:rFonts w:ascii="Verdana" w:hAnsi="Verdana"/>
          <w:sz w:val="20"/>
          <w:szCs w:val="20"/>
          <w:lang w:val="es-CR"/>
        </w:rPr>
        <w:t>sus</w:t>
      </w:r>
      <w:r w:rsidR="00953042" w:rsidRPr="00953042">
        <w:rPr>
          <w:rFonts w:ascii="Verdana" w:hAnsi="Verdana"/>
          <w:sz w:val="20"/>
          <w:szCs w:val="20"/>
          <w:lang w:val="es-CR"/>
        </w:rPr>
        <w:t xml:space="preserve"> derechos a la libertad e integridad personal, a la vida y al reconocimien</w:t>
      </w:r>
      <w:r w:rsidR="00953042">
        <w:rPr>
          <w:rFonts w:ascii="Verdana" w:hAnsi="Verdana"/>
          <w:sz w:val="20"/>
          <w:szCs w:val="20"/>
          <w:lang w:val="es-CR"/>
        </w:rPr>
        <w:t xml:space="preserve">to de la personalidad jurídica. </w:t>
      </w:r>
      <w:r w:rsidR="00953042" w:rsidRPr="001A7C2F">
        <w:rPr>
          <w:rFonts w:ascii="Verdana" w:hAnsi="Verdana"/>
          <w:sz w:val="20"/>
          <w:szCs w:val="20"/>
          <w:lang w:val="es-CR"/>
        </w:rPr>
        <w:t>El Tribunal también determinó que el Estado vulneró la garantía del juez natural respecto de la investigación de la desaparición forzada del señor Jeremías Osorio Rivera ante el fuero militar, viola</w:t>
      </w:r>
      <w:r w:rsidR="001A7C2F">
        <w:rPr>
          <w:rFonts w:ascii="Verdana" w:hAnsi="Verdana"/>
          <w:sz w:val="20"/>
          <w:szCs w:val="20"/>
          <w:lang w:val="es-CR"/>
        </w:rPr>
        <w:t>ndo</w:t>
      </w:r>
      <w:r w:rsidR="00953042" w:rsidRPr="001A7C2F">
        <w:rPr>
          <w:rFonts w:ascii="Verdana" w:hAnsi="Verdana"/>
          <w:sz w:val="20"/>
          <w:szCs w:val="20"/>
          <w:lang w:val="es-CR"/>
        </w:rPr>
        <w:t xml:space="preserve"> </w:t>
      </w:r>
      <w:r w:rsidR="001A7C2F">
        <w:rPr>
          <w:rFonts w:ascii="Verdana" w:hAnsi="Verdana"/>
          <w:sz w:val="20"/>
          <w:szCs w:val="20"/>
          <w:lang w:val="es-CR"/>
        </w:rPr>
        <w:t xml:space="preserve">el derecho a </w:t>
      </w:r>
      <w:r w:rsidR="00953042" w:rsidRPr="001A7C2F">
        <w:rPr>
          <w:rFonts w:ascii="Verdana" w:hAnsi="Verdana"/>
          <w:sz w:val="20"/>
          <w:szCs w:val="20"/>
          <w:lang w:val="es-CR"/>
        </w:rPr>
        <w:t xml:space="preserve">las garantías judiciales de la referida víctima. </w:t>
      </w:r>
      <w:r w:rsidR="001A7C2F">
        <w:rPr>
          <w:rFonts w:ascii="Verdana" w:hAnsi="Verdana"/>
          <w:sz w:val="20"/>
          <w:szCs w:val="20"/>
          <w:lang w:val="es-CR"/>
        </w:rPr>
        <w:t>En relación con los familiares del señor Osorio Rivera</w:t>
      </w:r>
      <w:r w:rsidR="001A7C2F">
        <w:rPr>
          <w:rStyle w:val="Refdenotaalpie"/>
          <w:rFonts w:ascii="Verdana" w:hAnsi="Verdana"/>
          <w:sz w:val="20"/>
          <w:szCs w:val="20"/>
          <w:lang w:val="es-CR"/>
        </w:rPr>
        <w:footnoteReference w:id="2"/>
      </w:r>
      <w:r w:rsidR="001A7C2F">
        <w:rPr>
          <w:rFonts w:ascii="Verdana" w:hAnsi="Verdana"/>
          <w:sz w:val="20"/>
          <w:szCs w:val="20"/>
          <w:lang w:val="es-CR"/>
        </w:rPr>
        <w:t>, l</w:t>
      </w:r>
      <w:r w:rsidR="00953042" w:rsidRPr="001A7C2F">
        <w:rPr>
          <w:rFonts w:ascii="Verdana" w:hAnsi="Verdana"/>
          <w:sz w:val="20"/>
          <w:szCs w:val="20"/>
          <w:lang w:val="es-CR"/>
        </w:rPr>
        <w:t xml:space="preserve">a Corte </w:t>
      </w:r>
      <w:r w:rsidR="001A7C2F">
        <w:rPr>
          <w:rFonts w:ascii="Verdana" w:hAnsi="Verdana"/>
          <w:sz w:val="20"/>
          <w:szCs w:val="20"/>
          <w:lang w:val="es-CR"/>
        </w:rPr>
        <w:t xml:space="preserve">concluyó que el Perú vulneró sus derechos a </w:t>
      </w:r>
      <w:r w:rsidR="00953042" w:rsidRPr="001A7C2F">
        <w:rPr>
          <w:rFonts w:ascii="Verdana" w:hAnsi="Verdana"/>
          <w:sz w:val="20"/>
          <w:szCs w:val="20"/>
          <w:lang w:val="es-CR"/>
        </w:rPr>
        <w:t xml:space="preserve">las garantías judiciales y </w:t>
      </w:r>
      <w:r w:rsidR="001A7C2F">
        <w:rPr>
          <w:rFonts w:ascii="Verdana" w:hAnsi="Verdana"/>
          <w:sz w:val="20"/>
          <w:szCs w:val="20"/>
          <w:lang w:val="es-CR"/>
        </w:rPr>
        <w:t xml:space="preserve">a la </w:t>
      </w:r>
      <w:r w:rsidR="00953042" w:rsidRPr="001A7C2F">
        <w:rPr>
          <w:rFonts w:ascii="Verdana" w:hAnsi="Verdana"/>
          <w:sz w:val="20"/>
          <w:szCs w:val="20"/>
          <w:lang w:val="es-CR"/>
        </w:rPr>
        <w:t>protección judicial</w:t>
      </w:r>
      <w:r w:rsidR="001A7C2F">
        <w:rPr>
          <w:rFonts w:ascii="Verdana" w:hAnsi="Verdana"/>
          <w:sz w:val="20"/>
          <w:szCs w:val="20"/>
          <w:lang w:val="es-CR"/>
        </w:rPr>
        <w:t xml:space="preserve">, </w:t>
      </w:r>
      <w:r w:rsidR="00953042" w:rsidRPr="001A7C2F">
        <w:rPr>
          <w:rFonts w:ascii="Verdana" w:hAnsi="Verdana"/>
          <w:sz w:val="20"/>
          <w:szCs w:val="20"/>
          <w:lang w:val="es-CR"/>
        </w:rPr>
        <w:t xml:space="preserve">debido a que las investigaciones llevadas a cabo ante el fuero ordinario no </w:t>
      </w:r>
      <w:r w:rsidR="001A7C2F">
        <w:rPr>
          <w:rFonts w:ascii="Verdana" w:hAnsi="Verdana"/>
          <w:sz w:val="20"/>
          <w:szCs w:val="20"/>
          <w:lang w:val="es-CR"/>
        </w:rPr>
        <w:t>fueron diligentes ni efectivas,</w:t>
      </w:r>
      <w:r w:rsidR="00953042" w:rsidRPr="001A7C2F">
        <w:rPr>
          <w:rFonts w:ascii="Verdana" w:hAnsi="Verdana"/>
          <w:sz w:val="20"/>
          <w:szCs w:val="20"/>
          <w:lang w:val="es-CR"/>
        </w:rPr>
        <w:t xml:space="preserve"> no respetaron la garantía del plazo razonable</w:t>
      </w:r>
      <w:r w:rsidR="001A7C2F">
        <w:rPr>
          <w:rFonts w:ascii="Verdana" w:hAnsi="Verdana"/>
          <w:sz w:val="20"/>
          <w:szCs w:val="20"/>
          <w:lang w:val="es-CR"/>
        </w:rPr>
        <w:t xml:space="preserve"> y, por lo tanto, </w:t>
      </w:r>
      <w:r w:rsidR="00953042" w:rsidRPr="001A7C2F">
        <w:rPr>
          <w:rFonts w:ascii="Verdana" w:hAnsi="Verdana"/>
          <w:sz w:val="20"/>
          <w:szCs w:val="20"/>
          <w:lang w:val="es-CR"/>
        </w:rPr>
        <w:t xml:space="preserve">no </w:t>
      </w:r>
      <w:r w:rsidR="001A7C2F">
        <w:rPr>
          <w:rFonts w:ascii="Verdana" w:hAnsi="Verdana"/>
          <w:sz w:val="20"/>
          <w:szCs w:val="20"/>
          <w:lang w:val="es-CR"/>
        </w:rPr>
        <w:t xml:space="preserve">se </w:t>
      </w:r>
      <w:r w:rsidR="00953042" w:rsidRPr="001A7C2F">
        <w:rPr>
          <w:rFonts w:ascii="Verdana" w:hAnsi="Verdana"/>
          <w:sz w:val="20"/>
          <w:szCs w:val="20"/>
          <w:lang w:val="es-CR"/>
        </w:rPr>
        <w:t>había satisfecho el derecho de dichos familiares a conocer la verdad.</w:t>
      </w:r>
      <w:r w:rsidR="00187580" w:rsidRPr="00BF4CDD">
        <w:rPr>
          <w:rFonts w:ascii="Verdana" w:hAnsi="Verdana"/>
          <w:sz w:val="20"/>
          <w:szCs w:val="20"/>
          <w:lang w:val="es-CR"/>
        </w:rPr>
        <w:t xml:space="preserve"> </w:t>
      </w:r>
      <w:r w:rsidR="001A7C2F">
        <w:rPr>
          <w:rFonts w:ascii="Verdana" w:hAnsi="Verdana"/>
          <w:sz w:val="20"/>
          <w:szCs w:val="20"/>
          <w:lang w:val="es-CR"/>
        </w:rPr>
        <w:t>El Tribunal también determinó que el Estado incurrió en responsabilidad por la violación al derecho a la integridad personal de dichos familiares</w:t>
      </w:r>
      <w:r w:rsidR="001A7C2F">
        <w:rPr>
          <w:rStyle w:val="Refdenotaalpie"/>
          <w:rFonts w:ascii="Verdana" w:hAnsi="Verdana"/>
          <w:sz w:val="20"/>
          <w:szCs w:val="20"/>
          <w:lang w:val="es-CR"/>
        </w:rPr>
        <w:footnoteReference w:id="3"/>
      </w:r>
      <w:r w:rsidR="001A7C2F">
        <w:rPr>
          <w:rFonts w:ascii="Verdana" w:hAnsi="Verdana"/>
          <w:sz w:val="20"/>
          <w:szCs w:val="20"/>
          <w:lang w:val="es-CR"/>
        </w:rPr>
        <w:t>.</w:t>
      </w:r>
      <w:r w:rsidR="009851A6" w:rsidRPr="00BF4CDD">
        <w:rPr>
          <w:rFonts w:ascii="Verdana" w:hAnsi="Verdana"/>
          <w:sz w:val="20"/>
          <w:szCs w:val="20"/>
          <w:lang w:val="es-CR"/>
        </w:rPr>
        <w:t xml:space="preserve"> </w:t>
      </w:r>
      <w:r w:rsidR="001C4984" w:rsidRPr="002A4ADA">
        <w:rPr>
          <w:rFonts w:ascii="Verdana" w:hAnsi="Verdana"/>
          <w:sz w:val="20"/>
          <w:szCs w:val="20"/>
          <w:lang w:val="es-CR"/>
        </w:rPr>
        <w:t>La Corte estableció que su Sentencia constituye por sí misma una forma de reparación y</w:t>
      </w:r>
      <w:r w:rsidR="001C4984">
        <w:rPr>
          <w:rFonts w:ascii="Verdana" w:hAnsi="Verdana"/>
          <w:sz w:val="20"/>
          <w:szCs w:val="20"/>
          <w:lang w:val="es-CR"/>
        </w:rPr>
        <w:t xml:space="preserve">, adicionalmente, </w:t>
      </w:r>
      <w:r w:rsidR="001C4984" w:rsidRPr="002A4ADA">
        <w:rPr>
          <w:rFonts w:ascii="Verdana" w:hAnsi="Verdana"/>
          <w:sz w:val="20"/>
          <w:szCs w:val="20"/>
          <w:lang w:val="es-CR"/>
        </w:rPr>
        <w:t xml:space="preserve">ordenó al Estado </w:t>
      </w:r>
      <w:r w:rsidR="001C4984">
        <w:rPr>
          <w:rFonts w:ascii="Verdana" w:hAnsi="Verdana"/>
          <w:sz w:val="20"/>
          <w:szCs w:val="20"/>
          <w:lang w:val="es-CR"/>
        </w:rPr>
        <w:t>determinadas</w:t>
      </w:r>
      <w:r w:rsidR="001C4984" w:rsidRPr="002A4ADA">
        <w:rPr>
          <w:rFonts w:ascii="Verdana" w:hAnsi="Verdana"/>
          <w:sz w:val="20"/>
          <w:szCs w:val="20"/>
          <w:lang w:val="es-CR"/>
        </w:rPr>
        <w:t xml:space="preserve"> medidas de reparación (</w:t>
      </w:r>
      <w:r w:rsidR="001C4984" w:rsidRPr="002A4ADA">
        <w:rPr>
          <w:rFonts w:ascii="Verdana" w:hAnsi="Verdana"/>
          <w:i/>
          <w:sz w:val="20"/>
          <w:szCs w:val="20"/>
          <w:lang w:val="es-CR"/>
        </w:rPr>
        <w:t xml:space="preserve">infra </w:t>
      </w:r>
      <w:r w:rsidR="001C4984">
        <w:rPr>
          <w:rFonts w:ascii="Verdana" w:hAnsi="Verdana"/>
          <w:sz w:val="20"/>
          <w:szCs w:val="20"/>
          <w:lang w:val="es-CR"/>
        </w:rPr>
        <w:t>Considerando 1)</w:t>
      </w:r>
      <w:r w:rsidR="001C4984" w:rsidRPr="00740A14">
        <w:rPr>
          <w:rFonts w:ascii="Verdana" w:hAnsi="Verdana"/>
          <w:sz w:val="20"/>
          <w:szCs w:val="20"/>
          <w:lang w:val="es-CR"/>
        </w:rPr>
        <w:t>.</w:t>
      </w:r>
      <w:r w:rsidR="008D1D36" w:rsidRPr="00BF4CDD">
        <w:rPr>
          <w:rFonts w:ascii="Verdana" w:hAnsi="Verdana"/>
          <w:sz w:val="20"/>
          <w:szCs w:val="20"/>
          <w:lang w:val="es-CR"/>
        </w:rPr>
        <w:t xml:space="preserve"> </w:t>
      </w:r>
    </w:p>
    <w:p w14:paraId="45E7514B" w14:textId="77777777" w:rsidR="00F21718" w:rsidRPr="00E1047A" w:rsidRDefault="00DA509B" w:rsidP="00E1047A">
      <w:pPr>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br w:type="page"/>
      </w:r>
      <w:r w:rsidR="00FF7EEA" w:rsidRPr="00E1047A">
        <w:rPr>
          <w:rFonts w:ascii="Verdana" w:hAnsi="Verdana"/>
          <w:sz w:val="20"/>
          <w:szCs w:val="20"/>
          <w:lang w:val="es-CR"/>
        </w:rPr>
        <w:lastRenderedPageBreak/>
        <w:t xml:space="preserve">La </w:t>
      </w:r>
      <w:r w:rsidR="007769DB" w:rsidRPr="00E1047A">
        <w:rPr>
          <w:rFonts w:ascii="Verdana" w:hAnsi="Verdana"/>
          <w:sz w:val="20"/>
          <w:szCs w:val="20"/>
          <w:lang w:val="es-CR"/>
        </w:rPr>
        <w:t>Sentencia</w:t>
      </w:r>
      <w:r w:rsidR="00A167F9" w:rsidRPr="00E1047A">
        <w:rPr>
          <w:rFonts w:ascii="Verdana" w:hAnsi="Verdana"/>
          <w:sz w:val="20"/>
          <w:szCs w:val="20"/>
          <w:lang w:val="es-CR"/>
        </w:rPr>
        <w:t xml:space="preserve"> </w:t>
      </w:r>
      <w:r w:rsidR="00FF7EEA" w:rsidRPr="00E1047A">
        <w:rPr>
          <w:rFonts w:ascii="Verdana" w:hAnsi="Verdana"/>
          <w:sz w:val="20"/>
          <w:szCs w:val="20"/>
          <w:lang w:val="es-CR"/>
        </w:rPr>
        <w:t xml:space="preserve">de interpretación </w:t>
      </w:r>
      <w:r w:rsidR="00C9786F" w:rsidRPr="00E1047A">
        <w:rPr>
          <w:rFonts w:ascii="Verdana" w:hAnsi="Verdana"/>
          <w:sz w:val="20"/>
          <w:szCs w:val="20"/>
          <w:lang w:val="es-CR"/>
        </w:rPr>
        <w:t>de la Sentencia de excepcio</w:t>
      </w:r>
      <w:r w:rsidR="00A8278E" w:rsidRPr="00E1047A">
        <w:rPr>
          <w:rFonts w:ascii="Verdana" w:hAnsi="Verdana"/>
          <w:sz w:val="20"/>
          <w:szCs w:val="20"/>
          <w:lang w:val="es-CR"/>
        </w:rPr>
        <w:t>n</w:t>
      </w:r>
      <w:r w:rsidR="00C9786F" w:rsidRPr="00E1047A">
        <w:rPr>
          <w:rFonts w:ascii="Verdana" w:hAnsi="Verdana"/>
          <w:sz w:val="20"/>
          <w:szCs w:val="20"/>
          <w:lang w:val="es-CR"/>
        </w:rPr>
        <w:t>es</w:t>
      </w:r>
      <w:r w:rsidR="00A8278E" w:rsidRPr="00E1047A">
        <w:rPr>
          <w:rFonts w:ascii="Verdana" w:hAnsi="Verdana"/>
          <w:sz w:val="20"/>
          <w:szCs w:val="20"/>
          <w:lang w:val="es-CR"/>
        </w:rPr>
        <w:t xml:space="preserve"> preliminar</w:t>
      </w:r>
      <w:r w:rsidR="00C9786F" w:rsidRPr="00E1047A">
        <w:rPr>
          <w:rFonts w:ascii="Verdana" w:hAnsi="Verdana"/>
          <w:sz w:val="20"/>
          <w:szCs w:val="20"/>
          <w:lang w:val="es-CR"/>
        </w:rPr>
        <w:t>es</w:t>
      </w:r>
      <w:r w:rsidR="00A8278E" w:rsidRPr="00E1047A">
        <w:rPr>
          <w:rFonts w:ascii="Verdana" w:hAnsi="Verdana"/>
          <w:sz w:val="20"/>
          <w:szCs w:val="20"/>
          <w:lang w:val="es-CR"/>
        </w:rPr>
        <w:t xml:space="preserve">, fondo, reparaciones y costas </w:t>
      </w:r>
      <w:r w:rsidR="00FF7EEA" w:rsidRPr="00E1047A">
        <w:rPr>
          <w:rFonts w:ascii="Verdana" w:hAnsi="Verdana"/>
          <w:sz w:val="20"/>
          <w:szCs w:val="20"/>
          <w:lang w:val="es-CR"/>
        </w:rPr>
        <w:t xml:space="preserve">emitida por la Corte el </w:t>
      </w:r>
      <w:r w:rsidR="00C9786F" w:rsidRPr="00E1047A">
        <w:rPr>
          <w:rFonts w:ascii="Verdana" w:hAnsi="Verdana"/>
          <w:sz w:val="20"/>
          <w:szCs w:val="20"/>
          <w:lang w:val="es-CR"/>
        </w:rPr>
        <w:t>20 de noviembre de 2014</w:t>
      </w:r>
      <w:r w:rsidR="00FF7EEA" w:rsidRPr="00E1047A">
        <w:rPr>
          <w:szCs w:val="20"/>
          <w:lang w:val="es-CR"/>
        </w:rPr>
        <w:footnoteReference w:id="4"/>
      </w:r>
      <w:r w:rsidR="00FF7EEA" w:rsidRPr="00E1047A">
        <w:rPr>
          <w:rFonts w:ascii="Verdana" w:hAnsi="Verdana"/>
          <w:sz w:val="20"/>
          <w:szCs w:val="20"/>
          <w:lang w:val="es-CR"/>
        </w:rPr>
        <w:t xml:space="preserve">. </w:t>
      </w:r>
    </w:p>
    <w:p w14:paraId="56267E2A" w14:textId="77777777" w:rsidR="00F21718" w:rsidRPr="00F21718" w:rsidRDefault="00F21718" w:rsidP="00F21718">
      <w:pPr>
        <w:pStyle w:val="Cuadrculamedia1-nfasis21"/>
        <w:spacing w:after="0" w:line="240" w:lineRule="auto"/>
        <w:ind w:left="0"/>
        <w:contextualSpacing w:val="0"/>
        <w:jc w:val="both"/>
        <w:rPr>
          <w:rFonts w:ascii="Verdana" w:hAnsi="Verdana"/>
          <w:sz w:val="10"/>
          <w:szCs w:val="10"/>
          <w:lang w:val="es-CR"/>
        </w:rPr>
      </w:pPr>
    </w:p>
    <w:p w14:paraId="1DC2FBE2" w14:textId="77777777" w:rsidR="00F21718" w:rsidRPr="00F21718" w:rsidRDefault="00F21718" w:rsidP="00F21718">
      <w:pPr>
        <w:pStyle w:val="Cuadrculamedia1-nfasis21"/>
        <w:numPr>
          <w:ilvl w:val="0"/>
          <w:numId w:val="1"/>
        </w:numPr>
        <w:spacing w:after="0" w:line="240" w:lineRule="auto"/>
        <w:ind w:left="0" w:firstLine="0"/>
        <w:contextualSpacing w:val="0"/>
        <w:jc w:val="both"/>
        <w:rPr>
          <w:rFonts w:ascii="Verdana" w:hAnsi="Verdana"/>
          <w:sz w:val="20"/>
          <w:szCs w:val="20"/>
          <w:lang w:val="es-CR"/>
        </w:rPr>
      </w:pPr>
      <w:r w:rsidRPr="00F21718">
        <w:rPr>
          <w:rFonts w:ascii="Verdana" w:hAnsi="Verdana"/>
          <w:sz w:val="20"/>
          <w:szCs w:val="20"/>
          <w:lang w:val="es-CR"/>
        </w:rPr>
        <w:t xml:space="preserve">La Resolución emitida por la Corte el 14 de noviembre de 2017 sobre el reintegro realizado por el Estado al Fondo de Asistencia Legal de Víctimas de la Corte en </w:t>
      </w:r>
      <w:r>
        <w:rPr>
          <w:rFonts w:ascii="Verdana" w:hAnsi="Verdana"/>
          <w:sz w:val="20"/>
          <w:szCs w:val="20"/>
          <w:lang w:val="es-CR"/>
        </w:rPr>
        <w:t>diez</w:t>
      </w:r>
      <w:r w:rsidRPr="00F21718">
        <w:rPr>
          <w:rFonts w:ascii="Verdana" w:hAnsi="Verdana"/>
          <w:sz w:val="20"/>
          <w:szCs w:val="20"/>
          <w:lang w:val="es-CR"/>
        </w:rPr>
        <w:t xml:space="preserve"> casos</w:t>
      </w:r>
      <w:r>
        <w:rPr>
          <w:rFonts w:ascii="Verdana" w:hAnsi="Verdana"/>
          <w:sz w:val="20"/>
          <w:szCs w:val="20"/>
          <w:lang w:val="es-CR"/>
        </w:rPr>
        <w:t xml:space="preserve"> peruanos, entre ellos el caso</w:t>
      </w:r>
      <w:r w:rsidRPr="00F21718">
        <w:rPr>
          <w:rFonts w:ascii="Verdana" w:hAnsi="Verdana"/>
          <w:sz w:val="20"/>
          <w:szCs w:val="20"/>
          <w:lang w:val="es-CR"/>
        </w:rPr>
        <w:t xml:space="preserve"> </w:t>
      </w:r>
      <w:r w:rsidRPr="00F21718">
        <w:rPr>
          <w:rFonts w:ascii="Verdana" w:hAnsi="Verdana"/>
          <w:i/>
          <w:sz w:val="20"/>
          <w:szCs w:val="20"/>
          <w:lang w:val="es-CR"/>
        </w:rPr>
        <w:t>Osorio Rivera y familiares</w:t>
      </w:r>
      <w:r w:rsidRPr="00F21718">
        <w:rPr>
          <w:rStyle w:val="Refdenotaalpie"/>
          <w:rFonts w:ascii="Verdana" w:eastAsia="Times New Roman" w:hAnsi="Verdana"/>
          <w:sz w:val="20"/>
          <w:szCs w:val="20"/>
          <w:lang w:val="es-CO"/>
        </w:rPr>
        <w:footnoteReference w:id="5"/>
      </w:r>
      <w:r w:rsidRPr="00F21718">
        <w:rPr>
          <w:rFonts w:ascii="Verdana" w:hAnsi="Verdana"/>
          <w:sz w:val="20"/>
          <w:szCs w:val="20"/>
          <w:lang w:val="es-CR"/>
        </w:rPr>
        <w:t xml:space="preserve">. </w:t>
      </w:r>
    </w:p>
    <w:p w14:paraId="5C45D2C9" w14:textId="77777777" w:rsidR="004B6FAC" w:rsidRPr="00470338" w:rsidRDefault="004B6FAC" w:rsidP="004B6FAC">
      <w:pPr>
        <w:pStyle w:val="Cuadrculamedia1-nfasis21"/>
        <w:spacing w:after="0" w:line="240" w:lineRule="auto"/>
        <w:ind w:left="0"/>
        <w:contextualSpacing w:val="0"/>
        <w:jc w:val="both"/>
        <w:rPr>
          <w:rFonts w:ascii="Verdana" w:hAnsi="Verdana"/>
          <w:sz w:val="10"/>
          <w:szCs w:val="10"/>
          <w:lang w:val="es-CR"/>
        </w:rPr>
      </w:pPr>
    </w:p>
    <w:p w14:paraId="7DB44002" w14:textId="77777777" w:rsidR="00F21718" w:rsidRPr="00F21718" w:rsidRDefault="00F21718" w:rsidP="004B6FAC">
      <w:pPr>
        <w:pStyle w:val="Cuadrculamedia1-nfasis2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Pr>
          <w:rFonts w:ascii="Verdana" w:hAnsi="Verdana"/>
          <w:color w:val="000000"/>
          <w:sz w:val="20"/>
          <w:szCs w:val="20"/>
          <w:shd w:val="clear" w:color="auto" w:fill="FFFFFF"/>
          <w:lang w:val="es-CR"/>
        </w:rPr>
        <w:t xml:space="preserve">La resolución de supervisión de cumplimiento de Sentencia emitida por la Corte el 14 de mayo de 2019 </w:t>
      </w:r>
      <w:r w:rsidR="00FE32E2">
        <w:rPr>
          <w:rFonts w:ascii="Verdana" w:hAnsi="Verdana"/>
          <w:color w:val="000000"/>
          <w:sz w:val="20"/>
          <w:szCs w:val="20"/>
          <w:shd w:val="clear" w:color="auto" w:fill="FFFFFF"/>
          <w:lang w:val="es-CR"/>
        </w:rPr>
        <w:t>respecto de</w:t>
      </w:r>
      <w:r>
        <w:rPr>
          <w:rFonts w:ascii="Verdana" w:hAnsi="Verdana"/>
          <w:color w:val="000000"/>
          <w:sz w:val="20"/>
          <w:szCs w:val="20"/>
          <w:shd w:val="clear" w:color="auto" w:fill="FFFFFF"/>
          <w:lang w:val="es-CR"/>
        </w:rPr>
        <w:t xml:space="preserve"> </w:t>
      </w:r>
      <w:r w:rsidR="00FE32E2">
        <w:rPr>
          <w:rFonts w:ascii="Verdana" w:hAnsi="Verdana"/>
          <w:color w:val="000000"/>
          <w:sz w:val="20"/>
          <w:szCs w:val="20"/>
          <w:shd w:val="clear" w:color="auto" w:fill="FFFFFF"/>
          <w:lang w:val="es-CR"/>
        </w:rPr>
        <w:t>cuatro</w:t>
      </w:r>
      <w:r>
        <w:rPr>
          <w:rFonts w:ascii="Verdana" w:hAnsi="Verdana"/>
          <w:color w:val="000000"/>
          <w:sz w:val="20"/>
          <w:szCs w:val="20"/>
          <w:shd w:val="clear" w:color="auto" w:fill="FFFFFF"/>
          <w:lang w:val="es-CR"/>
        </w:rPr>
        <w:t xml:space="preserve"> casos peruanos, entre ellos el caso </w:t>
      </w:r>
      <w:r>
        <w:rPr>
          <w:rFonts w:ascii="Verdana" w:hAnsi="Verdana"/>
          <w:i/>
          <w:color w:val="000000"/>
          <w:sz w:val="20"/>
          <w:szCs w:val="20"/>
          <w:shd w:val="clear" w:color="auto" w:fill="FFFFFF"/>
          <w:lang w:val="es-CR"/>
        </w:rPr>
        <w:t>Osorio Rivera y familiares</w:t>
      </w:r>
      <w:r w:rsidRPr="0073525E">
        <w:rPr>
          <w:rStyle w:val="Refdenotaalpie"/>
          <w:rFonts w:ascii="Verdana" w:hAnsi="Verdana"/>
          <w:color w:val="000000"/>
          <w:sz w:val="20"/>
          <w:szCs w:val="20"/>
          <w:shd w:val="clear" w:color="auto" w:fill="FFFFFF"/>
          <w:lang w:val="es-CR"/>
        </w:rPr>
        <w:footnoteReference w:id="6"/>
      </w:r>
      <w:r w:rsidRPr="00F21718">
        <w:rPr>
          <w:rFonts w:ascii="Verdana" w:hAnsi="Verdana"/>
          <w:color w:val="000000"/>
          <w:sz w:val="20"/>
          <w:szCs w:val="20"/>
          <w:shd w:val="clear" w:color="auto" w:fill="FFFFFF"/>
          <w:lang w:val="es-CR"/>
        </w:rPr>
        <w:t>.</w:t>
      </w:r>
    </w:p>
    <w:p w14:paraId="07088883" w14:textId="77777777" w:rsidR="00F21718" w:rsidRPr="00F21718" w:rsidRDefault="00F21718" w:rsidP="00F21718">
      <w:pPr>
        <w:pStyle w:val="Cuadrculamedia1-nfasis21"/>
        <w:spacing w:after="0" w:line="240" w:lineRule="auto"/>
        <w:ind w:left="0"/>
        <w:contextualSpacing w:val="0"/>
        <w:jc w:val="both"/>
        <w:rPr>
          <w:rFonts w:ascii="Verdana" w:hAnsi="Verdana"/>
          <w:color w:val="000000"/>
          <w:sz w:val="10"/>
          <w:szCs w:val="10"/>
          <w:shd w:val="clear" w:color="auto" w:fill="FFFFFF"/>
          <w:lang w:val="es-CR"/>
        </w:rPr>
      </w:pPr>
    </w:p>
    <w:p w14:paraId="6D69BFC3" w14:textId="77777777" w:rsidR="00492EAF" w:rsidRPr="00E410FD" w:rsidRDefault="00492EAF" w:rsidP="004B6FAC">
      <w:pPr>
        <w:pStyle w:val="Cuadrculamedia1-nfasis2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Pr>
          <w:rFonts w:ascii="Verdana" w:hAnsi="Verdana"/>
          <w:sz w:val="20"/>
          <w:lang w:val="es-CR"/>
        </w:rPr>
        <w:t>Los informes presentados por el Estado ent</w:t>
      </w:r>
      <w:r w:rsidR="00475A3E">
        <w:rPr>
          <w:rFonts w:ascii="Verdana" w:hAnsi="Verdana"/>
          <w:sz w:val="20"/>
          <w:lang w:val="es-CR"/>
        </w:rPr>
        <w:t xml:space="preserve">re </w:t>
      </w:r>
      <w:r w:rsidR="005A631D">
        <w:rPr>
          <w:rFonts w:ascii="Verdana" w:hAnsi="Verdana"/>
          <w:sz w:val="20"/>
          <w:lang w:val="es-CR"/>
        </w:rPr>
        <w:t>enero de</w:t>
      </w:r>
      <w:r w:rsidR="00475A3E">
        <w:rPr>
          <w:rFonts w:ascii="Verdana" w:hAnsi="Verdana"/>
          <w:sz w:val="20"/>
          <w:lang w:val="es-CR"/>
        </w:rPr>
        <w:t xml:space="preserve"> 201</w:t>
      </w:r>
      <w:r w:rsidR="005A631D">
        <w:rPr>
          <w:rFonts w:ascii="Verdana" w:hAnsi="Verdana"/>
          <w:sz w:val="20"/>
          <w:lang w:val="es-CR"/>
        </w:rPr>
        <w:t>5</w:t>
      </w:r>
      <w:r w:rsidR="00475A3E">
        <w:rPr>
          <w:rFonts w:ascii="Verdana" w:hAnsi="Verdana"/>
          <w:sz w:val="20"/>
          <w:lang w:val="es-CR"/>
        </w:rPr>
        <w:t xml:space="preserve"> y </w:t>
      </w:r>
      <w:r w:rsidR="00A82EAD">
        <w:rPr>
          <w:rFonts w:ascii="Verdana" w:hAnsi="Verdana"/>
          <w:sz w:val="20"/>
          <w:lang w:val="es-CR"/>
        </w:rPr>
        <w:t>octubre</w:t>
      </w:r>
      <w:r w:rsidR="005A631D">
        <w:rPr>
          <w:rFonts w:ascii="Verdana" w:hAnsi="Verdana"/>
          <w:sz w:val="20"/>
          <w:lang w:val="es-CR"/>
        </w:rPr>
        <w:t xml:space="preserve"> de 2019</w:t>
      </w:r>
      <w:r>
        <w:rPr>
          <w:rFonts w:ascii="Verdana" w:hAnsi="Verdana"/>
          <w:sz w:val="20"/>
          <w:lang w:val="es-CR"/>
        </w:rPr>
        <w:t xml:space="preserve">. </w:t>
      </w:r>
    </w:p>
    <w:p w14:paraId="0CEE8232" w14:textId="77777777" w:rsidR="004B6FAC" w:rsidRPr="00470338" w:rsidRDefault="004B6FAC" w:rsidP="004B6FAC">
      <w:pPr>
        <w:pStyle w:val="Cuadrculamedia1-nfasis21"/>
        <w:spacing w:after="0" w:line="240" w:lineRule="auto"/>
        <w:ind w:left="0"/>
        <w:contextualSpacing w:val="0"/>
        <w:jc w:val="both"/>
        <w:rPr>
          <w:rFonts w:ascii="Verdana" w:hAnsi="Verdana"/>
          <w:color w:val="000000"/>
          <w:sz w:val="10"/>
          <w:szCs w:val="10"/>
          <w:shd w:val="clear" w:color="auto" w:fill="FFFFFF"/>
          <w:lang w:val="es-CR"/>
        </w:rPr>
      </w:pPr>
    </w:p>
    <w:p w14:paraId="35057070" w14:textId="77777777" w:rsidR="00E96F7A" w:rsidRPr="009B4B9D" w:rsidRDefault="00E96F7A" w:rsidP="004B6FAC">
      <w:pPr>
        <w:pStyle w:val="Cuadrculamedia1-nfasis2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sidRPr="009B4B9D">
        <w:rPr>
          <w:rFonts w:ascii="Verdana" w:hAnsi="Verdana"/>
          <w:color w:val="000000"/>
          <w:sz w:val="20"/>
          <w:szCs w:val="20"/>
          <w:shd w:val="clear" w:color="auto" w:fill="FFFFFF"/>
          <w:lang w:val="es-CR"/>
        </w:rPr>
        <w:t xml:space="preserve">Los escritos de observaciones presentados por </w:t>
      </w:r>
      <w:r w:rsidR="00492EAF">
        <w:rPr>
          <w:rFonts w:ascii="Verdana" w:hAnsi="Verdana"/>
          <w:color w:val="000000"/>
          <w:sz w:val="20"/>
          <w:szCs w:val="20"/>
          <w:shd w:val="clear" w:color="auto" w:fill="FFFFFF"/>
          <w:lang w:val="es-CR"/>
        </w:rPr>
        <w:t>los</w:t>
      </w:r>
      <w:r w:rsidRPr="009B4B9D">
        <w:rPr>
          <w:rFonts w:ascii="Verdana" w:hAnsi="Verdana"/>
          <w:color w:val="000000"/>
          <w:sz w:val="20"/>
          <w:szCs w:val="20"/>
          <w:shd w:val="clear" w:color="auto" w:fill="FFFFFF"/>
          <w:lang w:val="es-CR"/>
        </w:rPr>
        <w:t xml:space="preserve"> representante</w:t>
      </w:r>
      <w:r w:rsidR="00492EAF">
        <w:rPr>
          <w:rFonts w:ascii="Verdana" w:hAnsi="Verdana"/>
          <w:color w:val="000000"/>
          <w:sz w:val="20"/>
          <w:szCs w:val="20"/>
          <w:shd w:val="clear" w:color="auto" w:fill="FFFFFF"/>
          <w:lang w:val="es-CR"/>
        </w:rPr>
        <w:t>s</w:t>
      </w:r>
      <w:r w:rsidRPr="009B4B9D">
        <w:rPr>
          <w:rFonts w:ascii="Verdana" w:hAnsi="Verdana"/>
          <w:color w:val="000000"/>
          <w:sz w:val="20"/>
          <w:szCs w:val="20"/>
          <w:shd w:val="clear" w:color="auto" w:fill="FFFFFF"/>
          <w:lang w:val="es-CR"/>
        </w:rPr>
        <w:t xml:space="preserve"> de la</w:t>
      </w:r>
      <w:r w:rsidR="00492EAF">
        <w:rPr>
          <w:rFonts w:ascii="Verdana" w:hAnsi="Verdana"/>
          <w:color w:val="000000"/>
          <w:sz w:val="20"/>
          <w:szCs w:val="20"/>
          <w:shd w:val="clear" w:color="auto" w:fill="FFFFFF"/>
          <w:lang w:val="es-CR"/>
        </w:rPr>
        <w:t>s</w:t>
      </w:r>
      <w:r w:rsidRPr="009B4B9D">
        <w:rPr>
          <w:rFonts w:ascii="Verdana" w:hAnsi="Verdana"/>
          <w:color w:val="000000"/>
          <w:sz w:val="20"/>
          <w:szCs w:val="20"/>
          <w:shd w:val="clear" w:color="auto" w:fill="FFFFFF"/>
          <w:lang w:val="es-CR"/>
        </w:rPr>
        <w:t xml:space="preserve"> víctima</w:t>
      </w:r>
      <w:r w:rsidR="00492EAF">
        <w:rPr>
          <w:rFonts w:ascii="Verdana" w:hAnsi="Verdana"/>
          <w:color w:val="000000"/>
          <w:sz w:val="20"/>
          <w:szCs w:val="20"/>
          <w:shd w:val="clear" w:color="auto" w:fill="FFFFFF"/>
          <w:lang w:val="es-CR"/>
        </w:rPr>
        <w:t xml:space="preserve">s </w:t>
      </w:r>
      <w:r w:rsidRPr="009B4B9D">
        <w:rPr>
          <w:rFonts w:ascii="Verdana" w:hAnsi="Verdana"/>
          <w:color w:val="000000"/>
          <w:sz w:val="20"/>
          <w:szCs w:val="20"/>
          <w:shd w:val="clear" w:color="auto" w:fill="FFFFFF"/>
          <w:lang w:val="es-CR"/>
        </w:rPr>
        <w:t xml:space="preserve">(en adelante </w:t>
      </w:r>
      <w:r w:rsidR="00492EAF">
        <w:rPr>
          <w:rFonts w:ascii="Verdana" w:hAnsi="Verdana"/>
          <w:color w:val="000000"/>
          <w:sz w:val="20"/>
          <w:szCs w:val="20"/>
          <w:shd w:val="clear" w:color="auto" w:fill="FFFFFF"/>
          <w:lang w:val="es-CR"/>
        </w:rPr>
        <w:t>“los</w:t>
      </w:r>
      <w:r w:rsidRPr="009B4B9D">
        <w:rPr>
          <w:rFonts w:ascii="Verdana" w:hAnsi="Verdana"/>
          <w:color w:val="000000"/>
          <w:sz w:val="20"/>
          <w:szCs w:val="20"/>
          <w:shd w:val="clear" w:color="auto" w:fill="FFFFFF"/>
          <w:lang w:val="es-CR"/>
        </w:rPr>
        <w:t xml:space="preserve"> representantes”)</w:t>
      </w:r>
      <w:r w:rsidRPr="009B4B9D">
        <w:rPr>
          <w:rStyle w:val="Refdenotaalpie"/>
          <w:rFonts w:ascii="Verdana" w:hAnsi="Verdana"/>
          <w:color w:val="000000"/>
          <w:sz w:val="20"/>
          <w:szCs w:val="20"/>
          <w:shd w:val="clear" w:color="auto" w:fill="FFFFFF"/>
          <w:lang w:val="es-CR"/>
        </w:rPr>
        <w:footnoteReference w:id="7"/>
      </w:r>
      <w:r w:rsidRPr="009B4B9D">
        <w:rPr>
          <w:rFonts w:ascii="Verdana" w:hAnsi="Verdana"/>
          <w:color w:val="000000"/>
          <w:sz w:val="20"/>
          <w:szCs w:val="20"/>
          <w:shd w:val="clear" w:color="auto" w:fill="FFFFFF"/>
          <w:lang w:val="es-CR"/>
        </w:rPr>
        <w:t xml:space="preserve"> entre </w:t>
      </w:r>
      <w:r w:rsidR="005A631D">
        <w:rPr>
          <w:rFonts w:ascii="Verdana" w:hAnsi="Verdana"/>
          <w:sz w:val="20"/>
          <w:lang w:val="es-CR"/>
        </w:rPr>
        <w:t>junio de 2016</w:t>
      </w:r>
      <w:r w:rsidR="00072210">
        <w:rPr>
          <w:rFonts w:ascii="Verdana" w:hAnsi="Verdana"/>
          <w:sz w:val="20"/>
          <w:lang w:val="es-CR"/>
        </w:rPr>
        <w:t xml:space="preserve"> y </w:t>
      </w:r>
      <w:r w:rsidR="005A631D">
        <w:rPr>
          <w:rFonts w:ascii="Verdana" w:hAnsi="Verdana"/>
          <w:sz w:val="20"/>
          <w:lang w:val="es-CR"/>
        </w:rPr>
        <w:t>mayo</w:t>
      </w:r>
      <w:r w:rsidR="00072210">
        <w:rPr>
          <w:rFonts w:ascii="Verdana" w:hAnsi="Verdana"/>
          <w:sz w:val="20"/>
          <w:lang w:val="es-CR"/>
        </w:rPr>
        <w:t xml:space="preserve"> de </w:t>
      </w:r>
      <w:r w:rsidR="00492EAF">
        <w:rPr>
          <w:rFonts w:ascii="Verdana" w:hAnsi="Verdana"/>
          <w:sz w:val="20"/>
          <w:lang w:val="es-CR"/>
        </w:rPr>
        <w:t>201</w:t>
      </w:r>
      <w:r w:rsidR="005A631D">
        <w:rPr>
          <w:rFonts w:ascii="Verdana" w:hAnsi="Verdana"/>
          <w:sz w:val="20"/>
          <w:lang w:val="es-CR"/>
        </w:rPr>
        <w:t>9</w:t>
      </w:r>
      <w:r w:rsidRPr="009B4B9D">
        <w:rPr>
          <w:rFonts w:ascii="Verdana" w:hAnsi="Verdana"/>
          <w:color w:val="000000"/>
          <w:sz w:val="20"/>
          <w:szCs w:val="20"/>
          <w:shd w:val="clear" w:color="auto" w:fill="FFFFFF"/>
          <w:lang w:val="es-CR"/>
        </w:rPr>
        <w:t>.</w:t>
      </w:r>
    </w:p>
    <w:p w14:paraId="2CB73BFA" w14:textId="77777777" w:rsidR="004B6FAC" w:rsidRPr="00470338" w:rsidRDefault="004B6FAC" w:rsidP="004B6FAC">
      <w:pPr>
        <w:pStyle w:val="Cuadrculamedia1-nfasis21"/>
        <w:spacing w:after="0" w:line="240" w:lineRule="auto"/>
        <w:ind w:left="0"/>
        <w:contextualSpacing w:val="0"/>
        <w:jc w:val="both"/>
        <w:rPr>
          <w:rFonts w:ascii="Verdana" w:hAnsi="Verdana"/>
          <w:color w:val="000000"/>
          <w:sz w:val="10"/>
          <w:szCs w:val="10"/>
          <w:shd w:val="clear" w:color="auto" w:fill="FFFFFF"/>
          <w:lang w:val="es-CR"/>
        </w:rPr>
      </w:pPr>
    </w:p>
    <w:p w14:paraId="0C849DA5" w14:textId="77777777" w:rsidR="00E23D9F" w:rsidRPr="00E23D9F" w:rsidRDefault="00E96F7A" w:rsidP="00E23D9F">
      <w:pPr>
        <w:pStyle w:val="Cuadrculamedia1-nfasis2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sidRPr="009B4B9D">
        <w:rPr>
          <w:rFonts w:ascii="Verdana" w:hAnsi="Verdana"/>
          <w:color w:val="000000"/>
          <w:sz w:val="20"/>
          <w:szCs w:val="20"/>
          <w:shd w:val="clear" w:color="auto" w:fill="FFFFFF"/>
          <w:lang w:val="es-CR"/>
        </w:rPr>
        <w:t xml:space="preserve">Los </w:t>
      </w:r>
      <w:r w:rsidR="00F90AD1" w:rsidRPr="009B4B9D">
        <w:rPr>
          <w:rFonts w:ascii="Verdana" w:hAnsi="Verdana"/>
          <w:color w:val="000000"/>
          <w:sz w:val="20"/>
          <w:szCs w:val="20"/>
          <w:shd w:val="clear" w:color="auto" w:fill="FFFFFF"/>
          <w:lang w:val="es-CR"/>
        </w:rPr>
        <w:t>escrito</w:t>
      </w:r>
      <w:r w:rsidRPr="009B4B9D">
        <w:rPr>
          <w:rFonts w:ascii="Verdana" w:hAnsi="Verdana"/>
          <w:color w:val="000000"/>
          <w:sz w:val="20"/>
          <w:szCs w:val="20"/>
          <w:shd w:val="clear" w:color="auto" w:fill="FFFFFF"/>
          <w:lang w:val="es-CR"/>
        </w:rPr>
        <w:t>s</w:t>
      </w:r>
      <w:r w:rsidR="00F90AD1" w:rsidRPr="009B4B9D">
        <w:rPr>
          <w:rFonts w:ascii="Verdana" w:hAnsi="Verdana"/>
          <w:color w:val="000000"/>
          <w:sz w:val="20"/>
          <w:szCs w:val="20"/>
          <w:shd w:val="clear" w:color="auto" w:fill="FFFFFF"/>
          <w:lang w:val="es-CR"/>
        </w:rPr>
        <w:t xml:space="preserve"> de observaciones presentado</w:t>
      </w:r>
      <w:r w:rsidRPr="009B4B9D">
        <w:rPr>
          <w:rFonts w:ascii="Verdana" w:hAnsi="Verdana"/>
          <w:color w:val="000000"/>
          <w:sz w:val="20"/>
          <w:szCs w:val="20"/>
          <w:shd w:val="clear" w:color="auto" w:fill="FFFFFF"/>
          <w:lang w:val="es-CR"/>
        </w:rPr>
        <w:t>s</w:t>
      </w:r>
      <w:r w:rsidR="00F90AD1" w:rsidRPr="009B4B9D">
        <w:rPr>
          <w:rFonts w:ascii="Verdana" w:hAnsi="Verdana"/>
          <w:color w:val="000000"/>
          <w:sz w:val="20"/>
          <w:szCs w:val="20"/>
          <w:shd w:val="clear" w:color="auto" w:fill="FFFFFF"/>
          <w:lang w:val="es-CR"/>
        </w:rPr>
        <w:t xml:space="preserve"> por la Comisión Interamericana de Derechos Humanos (en adelante “la Comisión</w:t>
      </w:r>
      <w:r w:rsidR="00157974" w:rsidRPr="009B4B9D">
        <w:rPr>
          <w:rFonts w:ascii="Verdana" w:hAnsi="Verdana"/>
          <w:color w:val="000000"/>
          <w:sz w:val="20"/>
          <w:szCs w:val="20"/>
          <w:shd w:val="clear" w:color="auto" w:fill="FFFFFF"/>
          <w:lang w:val="es-CR"/>
        </w:rPr>
        <w:t xml:space="preserve"> Interamericana</w:t>
      </w:r>
      <w:r w:rsidR="00F90AD1" w:rsidRPr="009B4B9D">
        <w:rPr>
          <w:rFonts w:ascii="Verdana" w:hAnsi="Verdana"/>
          <w:color w:val="000000"/>
          <w:sz w:val="20"/>
          <w:szCs w:val="20"/>
          <w:shd w:val="clear" w:color="auto" w:fill="FFFFFF"/>
          <w:lang w:val="es-CR"/>
        </w:rPr>
        <w:t>”</w:t>
      </w:r>
      <w:r w:rsidR="00157974" w:rsidRPr="009B4B9D">
        <w:rPr>
          <w:rFonts w:ascii="Verdana" w:hAnsi="Verdana"/>
          <w:color w:val="000000"/>
          <w:sz w:val="20"/>
          <w:szCs w:val="20"/>
          <w:shd w:val="clear" w:color="auto" w:fill="FFFFFF"/>
          <w:lang w:val="es-CR"/>
        </w:rPr>
        <w:t xml:space="preserve"> o “la Comisión”</w:t>
      </w:r>
      <w:r w:rsidR="0072546D" w:rsidRPr="009B4B9D">
        <w:rPr>
          <w:rFonts w:ascii="Verdana" w:hAnsi="Verdana"/>
          <w:color w:val="000000"/>
          <w:sz w:val="20"/>
          <w:szCs w:val="20"/>
          <w:shd w:val="clear" w:color="auto" w:fill="FFFFFF"/>
          <w:lang w:val="es-CR"/>
        </w:rPr>
        <w:t xml:space="preserve">) </w:t>
      </w:r>
      <w:r w:rsidR="00072210" w:rsidRPr="009B4B9D">
        <w:rPr>
          <w:rFonts w:ascii="Verdana" w:hAnsi="Verdana"/>
          <w:color w:val="000000"/>
          <w:sz w:val="20"/>
          <w:szCs w:val="20"/>
          <w:shd w:val="clear" w:color="auto" w:fill="FFFFFF"/>
          <w:lang w:val="es-CR"/>
        </w:rPr>
        <w:t xml:space="preserve">entre </w:t>
      </w:r>
      <w:r w:rsidR="00492EAF">
        <w:rPr>
          <w:rFonts w:ascii="Verdana" w:hAnsi="Verdana"/>
          <w:color w:val="000000"/>
          <w:sz w:val="20"/>
          <w:szCs w:val="20"/>
          <w:shd w:val="clear" w:color="auto" w:fill="FFFFFF"/>
          <w:lang w:val="es-CR"/>
        </w:rPr>
        <w:t>octubre</w:t>
      </w:r>
      <w:r w:rsidR="00072210">
        <w:rPr>
          <w:rFonts w:ascii="Verdana" w:hAnsi="Verdana"/>
          <w:sz w:val="20"/>
          <w:lang w:val="es-CR"/>
        </w:rPr>
        <w:t xml:space="preserve"> de </w:t>
      </w:r>
      <w:r w:rsidR="00492EAF">
        <w:rPr>
          <w:rFonts w:ascii="Verdana" w:hAnsi="Verdana"/>
          <w:sz w:val="20"/>
          <w:lang w:val="es-CR"/>
        </w:rPr>
        <w:t>201</w:t>
      </w:r>
      <w:r w:rsidR="00FD4265">
        <w:rPr>
          <w:rFonts w:ascii="Verdana" w:hAnsi="Verdana"/>
          <w:sz w:val="20"/>
          <w:lang w:val="es-CR"/>
        </w:rPr>
        <w:t>6</w:t>
      </w:r>
      <w:r w:rsidR="00072210">
        <w:rPr>
          <w:rFonts w:ascii="Verdana" w:hAnsi="Verdana"/>
          <w:sz w:val="20"/>
          <w:lang w:val="es-CR"/>
        </w:rPr>
        <w:t xml:space="preserve"> y </w:t>
      </w:r>
      <w:r w:rsidR="00A82EAD">
        <w:rPr>
          <w:rFonts w:ascii="Verdana" w:hAnsi="Verdana"/>
          <w:sz w:val="20"/>
          <w:lang w:val="es-CR"/>
        </w:rPr>
        <w:t>enero de 2020</w:t>
      </w:r>
      <w:r w:rsidR="00072210" w:rsidRPr="009B4B9D">
        <w:rPr>
          <w:rFonts w:ascii="Verdana" w:hAnsi="Verdana"/>
          <w:color w:val="000000"/>
          <w:sz w:val="20"/>
          <w:szCs w:val="20"/>
          <w:shd w:val="clear" w:color="auto" w:fill="FFFFFF"/>
          <w:lang w:val="es-CR"/>
        </w:rPr>
        <w:t>.</w:t>
      </w:r>
    </w:p>
    <w:p w14:paraId="56A082C7" w14:textId="77777777" w:rsidR="00E23D9F" w:rsidRPr="00436B42" w:rsidRDefault="00E23D9F" w:rsidP="00E23D9F">
      <w:pPr>
        <w:pStyle w:val="Cuadrculamedia1-nfasis21"/>
        <w:spacing w:after="0" w:line="240" w:lineRule="auto"/>
        <w:ind w:left="0"/>
        <w:contextualSpacing w:val="0"/>
        <w:jc w:val="both"/>
        <w:rPr>
          <w:rFonts w:ascii="Verdana" w:hAnsi="Verdana"/>
          <w:color w:val="000000"/>
          <w:sz w:val="10"/>
          <w:szCs w:val="20"/>
          <w:shd w:val="clear" w:color="auto" w:fill="FFFFFF"/>
          <w:lang w:val="es-CR"/>
        </w:rPr>
      </w:pPr>
    </w:p>
    <w:p w14:paraId="66C60334" w14:textId="77777777" w:rsidR="00E23D9F" w:rsidRDefault="00E23D9F" w:rsidP="004B6FAC">
      <w:pPr>
        <w:pStyle w:val="Cuadrculamedia1-nfasis21"/>
        <w:numPr>
          <w:ilvl w:val="0"/>
          <w:numId w:val="1"/>
        </w:numPr>
        <w:spacing w:after="0" w:line="240" w:lineRule="auto"/>
        <w:ind w:left="0" w:firstLine="0"/>
        <w:contextualSpacing w:val="0"/>
        <w:jc w:val="both"/>
        <w:rPr>
          <w:rFonts w:ascii="Verdana" w:hAnsi="Verdana"/>
          <w:color w:val="000000"/>
          <w:sz w:val="20"/>
          <w:szCs w:val="20"/>
          <w:shd w:val="clear" w:color="auto" w:fill="FFFFFF"/>
          <w:lang w:val="es-CR"/>
        </w:rPr>
      </w:pPr>
      <w:r>
        <w:rPr>
          <w:rFonts w:ascii="Verdana" w:hAnsi="Verdana"/>
          <w:color w:val="000000"/>
          <w:sz w:val="20"/>
          <w:szCs w:val="20"/>
          <w:shd w:val="clear" w:color="auto" w:fill="FFFFFF"/>
          <w:lang w:val="es-CR"/>
        </w:rPr>
        <w:t xml:space="preserve">La nota de la Secretaría de la Corte de 15 de enero de 2020 mediante la cual </w:t>
      </w:r>
      <w:r w:rsidRPr="00E23D9F">
        <w:rPr>
          <w:rFonts w:ascii="Verdana" w:hAnsi="Verdana"/>
          <w:sz w:val="20"/>
          <w:lang w:val="es-CR"/>
        </w:rPr>
        <w:t xml:space="preserve">se recordó a los representantes de las víctimas que </w:t>
      </w:r>
      <w:r>
        <w:rPr>
          <w:rFonts w:ascii="Verdana" w:hAnsi="Verdana"/>
          <w:sz w:val="20"/>
          <w:lang w:val="es-CR"/>
        </w:rPr>
        <w:t xml:space="preserve">había vencido </w:t>
      </w:r>
      <w:r w:rsidRPr="00E23D9F">
        <w:rPr>
          <w:rFonts w:ascii="Verdana" w:hAnsi="Verdana"/>
          <w:sz w:val="20"/>
          <w:lang w:val="es-CR"/>
        </w:rPr>
        <w:t>el plazo para que remitiera</w:t>
      </w:r>
      <w:r>
        <w:rPr>
          <w:rFonts w:ascii="Verdana" w:hAnsi="Verdana"/>
          <w:sz w:val="20"/>
          <w:lang w:val="es-CR"/>
        </w:rPr>
        <w:t xml:space="preserve">n sus </w:t>
      </w:r>
      <w:r w:rsidRPr="00E23D9F">
        <w:rPr>
          <w:rFonts w:ascii="Verdana" w:hAnsi="Verdana"/>
          <w:sz w:val="20"/>
          <w:lang w:val="es-CR"/>
        </w:rPr>
        <w:t>observaciones al informe estatal de 3 de octubre</w:t>
      </w:r>
      <w:r>
        <w:rPr>
          <w:rFonts w:ascii="Verdana" w:hAnsi="Verdana"/>
          <w:sz w:val="20"/>
          <w:lang w:val="es-CR"/>
        </w:rPr>
        <w:t xml:space="preserve"> de 2019 </w:t>
      </w:r>
      <w:r w:rsidR="00433471">
        <w:rPr>
          <w:rFonts w:ascii="Verdana" w:hAnsi="Verdana"/>
          <w:sz w:val="20"/>
          <w:lang w:val="es-CR"/>
        </w:rPr>
        <w:t>(</w:t>
      </w:r>
      <w:r w:rsidR="00433471">
        <w:rPr>
          <w:rFonts w:ascii="Verdana" w:hAnsi="Verdana"/>
          <w:i/>
          <w:sz w:val="20"/>
          <w:lang w:val="es-CR"/>
        </w:rPr>
        <w:t xml:space="preserve">supra </w:t>
      </w:r>
      <w:r w:rsidR="00433471">
        <w:rPr>
          <w:rFonts w:ascii="Verdana" w:hAnsi="Verdana"/>
          <w:sz w:val="20"/>
          <w:lang w:val="es-CR"/>
        </w:rPr>
        <w:t xml:space="preserve">Visto 5) </w:t>
      </w:r>
      <w:r>
        <w:rPr>
          <w:rFonts w:ascii="Verdana" w:hAnsi="Verdana"/>
          <w:sz w:val="20"/>
          <w:lang w:val="es-CR"/>
        </w:rPr>
        <w:t>y se les solicit</w:t>
      </w:r>
      <w:r w:rsidR="00CC3378">
        <w:rPr>
          <w:rFonts w:ascii="Verdana" w:hAnsi="Verdana"/>
          <w:sz w:val="20"/>
          <w:lang w:val="es-CR"/>
        </w:rPr>
        <w:t>ó que las remitiera</w:t>
      </w:r>
      <w:r>
        <w:rPr>
          <w:rFonts w:ascii="Verdana" w:hAnsi="Verdana"/>
          <w:sz w:val="20"/>
          <w:lang w:val="es-CR"/>
        </w:rPr>
        <w:t>n a la mayor brevedad.</w:t>
      </w:r>
    </w:p>
    <w:p w14:paraId="5575C5D8" w14:textId="77777777" w:rsidR="000F6413" w:rsidRPr="00470338" w:rsidRDefault="000F6413" w:rsidP="004B6FAC">
      <w:pPr>
        <w:spacing w:after="0" w:line="240" w:lineRule="auto"/>
        <w:jc w:val="both"/>
        <w:rPr>
          <w:rFonts w:ascii="Verdana" w:hAnsi="Verdana"/>
          <w:b/>
          <w:sz w:val="14"/>
          <w:szCs w:val="14"/>
          <w:lang w:val="es-CR"/>
        </w:rPr>
      </w:pPr>
    </w:p>
    <w:p w14:paraId="2233D526" w14:textId="77777777" w:rsidR="00253240" w:rsidRPr="009B4B9D" w:rsidRDefault="005921C0" w:rsidP="004B6FAC">
      <w:pPr>
        <w:spacing w:after="0" w:line="240" w:lineRule="auto"/>
        <w:jc w:val="both"/>
        <w:rPr>
          <w:rFonts w:ascii="Verdana" w:hAnsi="Verdana"/>
          <w:b/>
          <w:sz w:val="20"/>
          <w:lang w:val="es-MX"/>
        </w:rPr>
      </w:pPr>
      <w:r w:rsidRPr="009B4B9D">
        <w:rPr>
          <w:rFonts w:ascii="Verdana" w:hAnsi="Verdana"/>
          <w:b/>
          <w:sz w:val="20"/>
          <w:szCs w:val="20"/>
          <w:lang w:val="es-CR"/>
        </w:rPr>
        <w:t>C</w:t>
      </w:r>
      <w:r w:rsidR="008F5FD0" w:rsidRPr="009B4B9D">
        <w:rPr>
          <w:rFonts w:ascii="Verdana" w:hAnsi="Verdana"/>
          <w:b/>
          <w:sz w:val="20"/>
          <w:lang w:val="es-MX"/>
        </w:rPr>
        <w:t xml:space="preserve">ONSIDERANDO QUE: </w:t>
      </w:r>
    </w:p>
    <w:p w14:paraId="3984D8F0" w14:textId="77777777" w:rsidR="000F6413" w:rsidRPr="00470338" w:rsidRDefault="000F6413" w:rsidP="004B6FAC">
      <w:pPr>
        <w:pStyle w:val="Cuadrculamedia1-nfasis21"/>
        <w:spacing w:after="0" w:line="240" w:lineRule="auto"/>
        <w:ind w:left="0"/>
        <w:contextualSpacing w:val="0"/>
        <w:jc w:val="both"/>
        <w:rPr>
          <w:rFonts w:ascii="Verdana" w:hAnsi="Verdana"/>
          <w:b/>
          <w:sz w:val="14"/>
          <w:szCs w:val="14"/>
          <w:lang w:val="es-MX"/>
        </w:rPr>
      </w:pPr>
    </w:p>
    <w:p w14:paraId="388349A0" w14:textId="77777777" w:rsidR="00F6245B" w:rsidRDefault="008F5FD0" w:rsidP="00F6245B">
      <w:pPr>
        <w:pStyle w:val="Cuadrculamedia1-nfasis21"/>
        <w:numPr>
          <w:ilvl w:val="0"/>
          <w:numId w:val="6"/>
        </w:numPr>
        <w:spacing w:after="0" w:line="240" w:lineRule="auto"/>
        <w:ind w:left="0" w:firstLine="0"/>
        <w:contextualSpacing w:val="0"/>
        <w:jc w:val="both"/>
        <w:rPr>
          <w:rFonts w:ascii="Verdana" w:hAnsi="Verdana"/>
          <w:b/>
          <w:sz w:val="20"/>
          <w:lang w:val="es-MX"/>
        </w:rPr>
      </w:pPr>
      <w:r w:rsidRPr="00187008">
        <w:rPr>
          <w:rFonts w:ascii="Verdana" w:hAnsi="Verdana"/>
          <w:sz w:val="20"/>
          <w:lang w:val="es-CR"/>
        </w:rPr>
        <w:t xml:space="preserve">En el ejercicio de </w:t>
      </w:r>
      <w:r w:rsidRPr="00187008">
        <w:rPr>
          <w:rFonts w:ascii="Verdana" w:hAnsi="Verdana"/>
          <w:sz w:val="20"/>
          <w:lang w:val="es-ES"/>
        </w:rPr>
        <w:t xml:space="preserve">su función jurisdiccional de </w:t>
      </w:r>
      <w:r w:rsidRPr="00187008">
        <w:rPr>
          <w:rFonts w:ascii="Verdana" w:hAnsi="Verdana"/>
          <w:sz w:val="20"/>
          <w:lang w:val="es-CR"/>
        </w:rPr>
        <w:t>supervisar el cumplimiento de sus decisiones</w:t>
      </w:r>
      <w:r w:rsidRPr="009B4B9D">
        <w:rPr>
          <w:rStyle w:val="Refdenotaalpie"/>
          <w:rFonts w:ascii="Verdana" w:hAnsi="Verdana"/>
          <w:sz w:val="20"/>
        </w:rPr>
        <w:footnoteReference w:id="8"/>
      </w:r>
      <w:r w:rsidRPr="00187008">
        <w:rPr>
          <w:rFonts w:ascii="Verdana" w:hAnsi="Verdana"/>
          <w:sz w:val="20"/>
          <w:lang w:val="es-CR"/>
        </w:rPr>
        <w:t xml:space="preserve">, la Corte ha venido </w:t>
      </w:r>
      <w:r w:rsidR="00253240" w:rsidRPr="00187008">
        <w:rPr>
          <w:rFonts w:ascii="Verdana" w:hAnsi="Verdana"/>
          <w:sz w:val="20"/>
          <w:lang w:val="es-CR"/>
        </w:rPr>
        <w:t>supervisando</w:t>
      </w:r>
      <w:r w:rsidRPr="00187008">
        <w:rPr>
          <w:rFonts w:ascii="Verdana" w:hAnsi="Verdana"/>
          <w:sz w:val="20"/>
          <w:lang w:val="es-CR"/>
        </w:rPr>
        <w:t xml:space="preserve"> la ejecución de la Sentencia emitida </w:t>
      </w:r>
      <w:r w:rsidR="00187008" w:rsidRPr="00187008">
        <w:rPr>
          <w:rFonts w:ascii="Verdana" w:hAnsi="Verdana"/>
          <w:sz w:val="20"/>
          <w:lang w:val="es-MX"/>
        </w:rPr>
        <w:t>hace</w:t>
      </w:r>
      <w:r w:rsidR="00885581">
        <w:rPr>
          <w:rFonts w:ascii="Verdana" w:hAnsi="Verdana"/>
          <w:sz w:val="20"/>
          <w:lang w:val="es-MX"/>
        </w:rPr>
        <w:t xml:space="preserve"> más de</w:t>
      </w:r>
      <w:r w:rsidR="00187008" w:rsidRPr="00187008">
        <w:rPr>
          <w:rFonts w:ascii="Verdana" w:hAnsi="Verdana"/>
          <w:sz w:val="20"/>
          <w:lang w:val="es-MX"/>
        </w:rPr>
        <w:t xml:space="preserve"> </w:t>
      </w:r>
      <w:r w:rsidR="00590E52">
        <w:rPr>
          <w:rFonts w:ascii="Verdana" w:hAnsi="Verdana"/>
          <w:sz w:val="20"/>
          <w:lang w:val="es-MX"/>
        </w:rPr>
        <w:t>seis</w:t>
      </w:r>
      <w:r w:rsidR="00187008" w:rsidRPr="00187008">
        <w:rPr>
          <w:rFonts w:ascii="Verdana" w:hAnsi="Verdana"/>
          <w:sz w:val="20"/>
          <w:lang w:val="es-MX"/>
        </w:rPr>
        <w:t xml:space="preserve"> años</w:t>
      </w:r>
      <w:r w:rsidR="00975B02" w:rsidRPr="00187008">
        <w:rPr>
          <w:rFonts w:ascii="Verdana" w:hAnsi="Verdana"/>
          <w:sz w:val="20"/>
          <w:lang w:val="es-MX"/>
        </w:rPr>
        <w:t xml:space="preserve"> </w:t>
      </w:r>
      <w:r w:rsidRPr="00187008">
        <w:rPr>
          <w:rFonts w:ascii="Verdana" w:hAnsi="Verdana"/>
          <w:sz w:val="20"/>
          <w:lang w:val="es-MX"/>
        </w:rPr>
        <w:t>(</w:t>
      </w:r>
      <w:r w:rsidRPr="00187008">
        <w:rPr>
          <w:rFonts w:ascii="Verdana" w:hAnsi="Verdana"/>
          <w:i/>
          <w:sz w:val="20"/>
          <w:lang w:val="es-MX"/>
        </w:rPr>
        <w:t>supra</w:t>
      </w:r>
      <w:r w:rsidRPr="00187008">
        <w:rPr>
          <w:rFonts w:ascii="Verdana" w:hAnsi="Verdana"/>
          <w:sz w:val="20"/>
          <w:lang w:val="es-MX"/>
        </w:rPr>
        <w:t xml:space="preserve"> Visto </w:t>
      </w:r>
      <w:r w:rsidR="008E283B" w:rsidRPr="00187008">
        <w:rPr>
          <w:rFonts w:ascii="Verdana" w:hAnsi="Verdana"/>
          <w:sz w:val="20"/>
          <w:lang w:val="es-MX"/>
        </w:rPr>
        <w:t xml:space="preserve">1). </w:t>
      </w:r>
      <w:r w:rsidR="008C2CC6" w:rsidRPr="008C2CC6">
        <w:rPr>
          <w:rFonts w:ascii="Verdana" w:hAnsi="Verdana"/>
          <w:sz w:val="20"/>
          <w:lang w:val="es-MX"/>
        </w:rPr>
        <w:t xml:space="preserve">El Tribunal ha emitido </w:t>
      </w:r>
      <w:r w:rsidR="00FE32E2">
        <w:rPr>
          <w:rFonts w:ascii="Verdana" w:hAnsi="Verdana"/>
          <w:sz w:val="20"/>
          <w:lang w:val="es-MX"/>
        </w:rPr>
        <w:t>una resolución</w:t>
      </w:r>
      <w:r w:rsidR="008C2CC6" w:rsidRPr="008C2CC6">
        <w:rPr>
          <w:rFonts w:ascii="Verdana" w:hAnsi="Verdana"/>
          <w:sz w:val="20"/>
          <w:lang w:val="es-MX"/>
        </w:rPr>
        <w:t xml:space="preserve"> de supervisión </w:t>
      </w:r>
      <w:r w:rsidR="00D118D8">
        <w:rPr>
          <w:rFonts w:ascii="Verdana" w:hAnsi="Verdana"/>
          <w:sz w:val="20"/>
          <w:lang w:val="es-MX"/>
        </w:rPr>
        <w:t xml:space="preserve">conjunta </w:t>
      </w:r>
      <w:r w:rsidR="00D118D8" w:rsidRPr="008C2CC6">
        <w:rPr>
          <w:rFonts w:ascii="Verdana" w:hAnsi="Verdana"/>
          <w:sz w:val="20"/>
          <w:lang w:val="es-MX"/>
        </w:rPr>
        <w:t xml:space="preserve">de cumplimiento </w:t>
      </w:r>
      <w:r w:rsidR="00D118D8">
        <w:rPr>
          <w:rFonts w:ascii="Verdana" w:hAnsi="Verdana"/>
          <w:sz w:val="20"/>
          <w:lang w:val="es-MX"/>
        </w:rPr>
        <w:t xml:space="preserve">para cuatro casos peruanos, entre ellos el caso </w:t>
      </w:r>
      <w:r w:rsidR="00D118D8">
        <w:rPr>
          <w:rFonts w:ascii="Verdana" w:hAnsi="Verdana"/>
          <w:i/>
          <w:sz w:val="20"/>
          <w:lang w:val="es-MX"/>
        </w:rPr>
        <w:t>Osorio Rivera y familiares</w:t>
      </w:r>
      <w:r w:rsidR="008C2CC6" w:rsidRPr="008C2CC6">
        <w:rPr>
          <w:rFonts w:ascii="Verdana" w:hAnsi="Verdana"/>
          <w:sz w:val="20"/>
          <w:lang w:val="es-MX"/>
        </w:rPr>
        <w:t xml:space="preserve"> (</w:t>
      </w:r>
      <w:r w:rsidR="008C2CC6" w:rsidRPr="008C2CC6">
        <w:rPr>
          <w:rFonts w:ascii="Verdana" w:hAnsi="Verdana"/>
          <w:i/>
          <w:sz w:val="20"/>
          <w:lang w:val="es-MX"/>
        </w:rPr>
        <w:t>supra</w:t>
      </w:r>
      <w:r w:rsidR="008C2CC6" w:rsidRPr="008C2CC6">
        <w:rPr>
          <w:rFonts w:ascii="Verdana" w:hAnsi="Verdana"/>
          <w:sz w:val="20"/>
          <w:lang w:val="es-MX"/>
        </w:rPr>
        <w:t xml:space="preserve"> Visto </w:t>
      </w:r>
      <w:r w:rsidR="00FE32E2">
        <w:rPr>
          <w:rFonts w:ascii="Verdana" w:hAnsi="Verdana"/>
          <w:sz w:val="20"/>
          <w:lang w:val="es-MX"/>
        </w:rPr>
        <w:t>4</w:t>
      </w:r>
      <w:r w:rsidR="003F2A24">
        <w:rPr>
          <w:rFonts w:ascii="Verdana" w:hAnsi="Verdana"/>
          <w:sz w:val="20"/>
          <w:lang w:val="es-MX"/>
        </w:rPr>
        <w:t>). E</w:t>
      </w:r>
      <w:r w:rsidR="00572E45">
        <w:rPr>
          <w:rFonts w:ascii="Verdana" w:hAnsi="Verdana"/>
          <w:sz w:val="20"/>
          <w:lang w:val="es-MX"/>
        </w:rPr>
        <w:t>n dicha Resolución</w:t>
      </w:r>
      <w:r w:rsidR="007F66C7">
        <w:rPr>
          <w:rFonts w:ascii="Verdana" w:hAnsi="Verdana"/>
          <w:sz w:val="20"/>
          <w:lang w:val="es-MX"/>
        </w:rPr>
        <w:t>,</w:t>
      </w:r>
      <w:r w:rsidR="003F2A24">
        <w:rPr>
          <w:rFonts w:ascii="Verdana" w:hAnsi="Verdana"/>
          <w:sz w:val="20"/>
          <w:lang w:val="es-MX"/>
        </w:rPr>
        <w:t xml:space="preserve"> la Corte </w:t>
      </w:r>
      <w:r w:rsidR="008C2CC6" w:rsidRPr="008C2CC6">
        <w:rPr>
          <w:rFonts w:ascii="Verdana" w:hAnsi="Verdana"/>
          <w:sz w:val="20"/>
          <w:lang w:val="es-MX"/>
        </w:rPr>
        <w:t xml:space="preserve">declaró que el </w:t>
      </w:r>
      <w:r w:rsidR="008C2CC6" w:rsidRPr="00FE32E2">
        <w:rPr>
          <w:rFonts w:ascii="Verdana" w:hAnsi="Verdana"/>
          <w:sz w:val="20"/>
          <w:szCs w:val="20"/>
          <w:lang w:val="es-MX"/>
        </w:rPr>
        <w:t xml:space="preserve">Estado </w:t>
      </w:r>
      <w:r w:rsidR="002807A0">
        <w:rPr>
          <w:rFonts w:ascii="Verdana" w:hAnsi="Verdana"/>
          <w:sz w:val="20"/>
          <w:szCs w:val="20"/>
          <w:lang w:val="es-MX"/>
        </w:rPr>
        <w:t>dio</w:t>
      </w:r>
      <w:r w:rsidR="008C2CC6" w:rsidRPr="00FE32E2">
        <w:rPr>
          <w:rFonts w:ascii="Verdana" w:hAnsi="Verdana"/>
          <w:sz w:val="20"/>
          <w:szCs w:val="20"/>
          <w:lang w:val="es-MX"/>
        </w:rPr>
        <w:t xml:space="preserve"> cumplimiento </w:t>
      </w:r>
      <w:r w:rsidR="00FE32E2" w:rsidRPr="00FE32E2">
        <w:rPr>
          <w:rFonts w:ascii="Verdana" w:hAnsi="Verdana"/>
          <w:sz w:val="20"/>
          <w:szCs w:val="20"/>
          <w:lang w:val="es-MX"/>
        </w:rPr>
        <w:t xml:space="preserve">a la </w:t>
      </w:r>
      <w:r w:rsidR="00FE32E2" w:rsidRPr="00FE32E2">
        <w:rPr>
          <w:rFonts w:ascii="Verdana" w:hAnsi="Verdana"/>
          <w:sz w:val="20"/>
          <w:szCs w:val="20"/>
          <w:lang w:val="es-CR"/>
        </w:rPr>
        <w:t>medida de reparación relativa a adoptar las medidas necesarias para reformar su legislación penal a efectos de compatibilizarla con los estándares internacionales en materia de desaparición forzada de personas</w:t>
      </w:r>
      <w:r w:rsidR="00EE4C73">
        <w:rPr>
          <w:rFonts w:ascii="Verdana" w:hAnsi="Verdana"/>
          <w:sz w:val="20"/>
          <w:szCs w:val="20"/>
          <w:lang w:val="es-CR"/>
        </w:rPr>
        <w:t xml:space="preserve"> (</w:t>
      </w:r>
      <w:r w:rsidR="00EE4C73">
        <w:rPr>
          <w:rFonts w:ascii="Verdana" w:hAnsi="Verdana"/>
          <w:i/>
          <w:sz w:val="20"/>
          <w:szCs w:val="20"/>
          <w:lang w:val="es-CR"/>
        </w:rPr>
        <w:t xml:space="preserve">supra </w:t>
      </w:r>
      <w:r w:rsidR="00EE4C73">
        <w:rPr>
          <w:rFonts w:ascii="Verdana" w:hAnsi="Verdana"/>
          <w:sz w:val="20"/>
          <w:szCs w:val="20"/>
          <w:lang w:val="es-CR"/>
        </w:rPr>
        <w:t>Visto 4)</w:t>
      </w:r>
      <w:r w:rsidR="008C2CC6" w:rsidRPr="008C2CC6">
        <w:rPr>
          <w:rFonts w:ascii="Verdana" w:hAnsi="Verdana"/>
          <w:sz w:val="20"/>
          <w:lang w:val="es-MX"/>
        </w:rPr>
        <w:t xml:space="preserve">, </w:t>
      </w:r>
      <w:r w:rsidR="00885581">
        <w:rPr>
          <w:rFonts w:ascii="Verdana" w:hAnsi="Verdana"/>
          <w:sz w:val="20"/>
          <w:lang w:val="es-MX"/>
        </w:rPr>
        <w:t>encontrándose</w:t>
      </w:r>
      <w:r w:rsidR="008C2CC6" w:rsidRPr="008C2CC6">
        <w:rPr>
          <w:rFonts w:ascii="Verdana" w:hAnsi="Verdana"/>
          <w:sz w:val="20"/>
          <w:lang w:val="es-MX"/>
        </w:rPr>
        <w:t xml:space="preserve"> pendientes de cumplimiento </w:t>
      </w:r>
      <w:r w:rsidR="00FE32E2">
        <w:rPr>
          <w:rFonts w:ascii="Verdana" w:hAnsi="Verdana"/>
          <w:sz w:val="20"/>
          <w:szCs w:val="20"/>
          <w:lang w:val="es-CR"/>
        </w:rPr>
        <w:t>nueve</w:t>
      </w:r>
      <w:r w:rsidR="008C2CC6" w:rsidRPr="008C2CC6">
        <w:rPr>
          <w:rFonts w:ascii="Verdana" w:hAnsi="Verdana"/>
          <w:sz w:val="20"/>
          <w:szCs w:val="20"/>
          <w:lang w:val="es-CR"/>
        </w:rPr>
        <w:t xml:space="preserve"> medidas</w:t>
      </w:r>
      <w:r w:rsidR="00E83551">
        <w:rPr>
          <w:rFonts w:ascii="Verdana" w:hAnsi="Verdana"/>
          <w:sz w:val="20"/>
          <w:szCs w:val="20"/>
          <w:lang w:val="es-CR"/>
        </w:rPr>
        <w:t xml:space="preserve"> en el presente caso</w:t>
      </w:r>
      <w:r w:rsidR="0071707B">
        <w:rPr>
          <w:rFonts w:ascii="Verdana" w:hAnsi="Verdana"/>
          <w:sz w:val="20"/>
          <w:szCs w:val="20"/>
          <w:lang w:val="es-CR"/>
        </w:rPr>
        <w:t xml:space="preserve"> (</w:t>
      </w:r>
      <w:r w:rsidR="0071707B">
        <w:rPr>
          <w:rFonts w:ascii="Verdana" w:hAnsi="Verdana"/>
          <w:i/>
          <w:sz w:val="20"/>
          <w:szCs w:val="20"/>
          <w:lang w:val="es-CR"/>
        </w:rPr>
        <w:t xml:space="preserve">infra </w:t>
      </w:r>
      <w:r w:rsidR="0071707B">
        <w:rPr>
          <w:rFonts w:ascii="Verdana" w:hAnsi="Verdana"/>
          <w:sz w:val="20"/>
          <w:szCs w:val="20"/>
          <w:lang w:val="es-CR"/>
        </w:rPr>
        <w:t>Considerando 3)</w:t>
      </w:r>
      <w:r w:rsidR="008C2CC6" w:rsidRPr="008C2CC6">
        <w:rPr>
          <w:rFonts w:ascii="Verdana" w:hAnsi="Verdana"/>
          <w:sz w:val="20"/>
          <w:szCs w:val="20"/>
          <w:lang w:val="es-CR"/>
        </w:rPr>
        <w:t xml:space="preserve">. </w:t>
      </w:r>
    </w:p>
    <w:p w14:paraId="1FAC622F" w14:textId="77777777" w:rsidR="00F6245B" w:rsidRPr="00470338" w:rsidRDefault="00F6245B" w:rsidP="00F6245B">
      <w:pPr>
        <w:pStyle w:val="Cuadrculamedia1-nfasis21"/>
        <w:spacing w:after="0" w:line="240" w:lineRule="auto"/>
        <w:ind w:left="0"/>
        <w:contextualSpacing w:val="0"/>
        <w:jc w:val="both"/>
        <w:rPr>
          <w:rFonts w:ascii="Verdana" w:hAnsi="Verdana"/>
          <w:b/>
          <w:sz w:val="10"/>
          <w:szCs w:val="10"/>
          <w:lang w:val="es-MX"/>
        </w:rPr>
      </w:pPr>
    </w:p>
    <w:p w14:paraId="333F5D7F" w14:textId="77777777" w:rsidR="00F6245B" w:rsidRPr="00F6245B" w:rsidRDefault="00F6245B" w:rsidP="00F6245B">
      <w:pPr>
        <w:pStyle w:val="Cuadrculamedia1-nfasis21"/>
        <w:numPr>
          <w:ilvl w:val="0"/>
          <w:numId w:val="6"/>
        </w:numPr>
        <w:spacing w:after="0" w:line="240" w:lineRule="auto"/>
        <w:ind w:left="0" w:firstLine="0"/>
        <w:contextualSpacing w:val="0"/>
        <w:jc w:val="both"/>
        <w:rPr>
          <w:rFonts w:ascii="Verdana" w:hAnsi="Verdana"/>
          <w:b/>
          <w:sz w:val="20"/>
          <w:lang w:val="es-MX"/>
        </w:rPr>
      </w:pPr>
      <w:r w:rsidRPr="00F6245B">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9B4B9D">
        <w:rPr>
          <w:rStyle w:val="Refdenotaalpie"/>
          <w:rFonts w:ascii="Verdana" w:hAnsi="Verdana"/>
          <w:sz w:val="20"/>
          <w:szCs w:val="20"/>
        </w:rPr>
        <w:footnoteReference w:id="9"/>
      </w:r>
      <w:r w:rsidRPr="00F6245B">
        <w:rPr>
          <w:rFonts w:ascii="Verdana" w:hAnsi="Verdana"/>
          <w:sz w:val="20"/>
          <w:szCs w:val="20"/>
          <w:lang w:val="es-CR"/>
        </w:rPr>
        <w:t>.</w:t>
      </w:r>
      <w:r w:rsidRPr="00F6245B">
        <w:rPr>
          <w:rFonts w:ascii="Times New Roman" w:hAnsi="Times New Roman"/>
          <w:sz w:val="24"/>
          <w:szCs w:val="24"/>
          <w:lang w:val="es-CR"/>
        </w:rPr>
        <w:t xml:space="preserve"> </w:t>
      </w:r>
      <w:r w:rsidRPr="00F6245B">
        <w:rPr>
          <w:rFonts w:ascii="Verdana" w:hAnsi="Verdana"/>
          <w:sz w:val="20"/>
          <w:szCs w:val="20"/>
          <w:lang w:val="es-CR"/>
        </w:rPr>
        <w:t xml:space="preserve">Los </w:t>
      </w:r>
      <w:r w:rsidRPr="00F6245B">
        <w:rPr>
          <w:rFonts w:ascii="Verdana" w:hAnsi="Verdana"/>
          <w:sz w:val="20"/>
          <w:szCs w:val="20"/>
          <w:lang w:val="es-CR"/>
        </w:rPr>
        <w:lastRenderedPageBreak/>
        <w:t>Estados Parte en la Convención deben garantizar el cumplimiento de las disposiciones convencionales y sus efectos propios (</w:t>
      </w:r>
      <w:r w:rsidRPr="00F6245B">
        <w:rPr>
          <w:rFonts w:ascii="Verdana" w:hAnsi="Verdana"/>
          <w:i/>
          <w:sz w:val="20"/>
          <w:szCs w:val="20"/>
          <w:lang w:val="es-CR"/>
        </w:rPr>
        <w:t>effet utile</w:t>
      </w:r>
      <w:r w:rsidRPr="00F6245B">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9B4B9D">
        <w:rPr>
          <w:rStyle w:val="Refdenotaalpie"/>
          <w:rFonts w:ascii="Verdana" w:hAnsi="Verdana"/>
          <w:sz w:val="20"/>
          <w:szCs w:val="20"/>
          <w:lang w:val="es-CR"/>
        </w:rPr>
        <w:footnoteReference w:id="10"/>
      </w:r>
      <w:r w:rsidRPr="00F6245B">
        <w:rPr>
          <w:rFonts w:ascii="Verdana" w:hAnsi="Verdana"/>
          <w:sz w:val="20"/>
          <w:szCs w:val="20"/>
          <w:lang w:val="es-CR"/>
        </w:rPr>
        <w:t>.</w:t>
      </w:r>
    </w:p>
    <w:p w14:paraId="20F2A25C" w14:textId="77777777" w:rsidR="004B6FAC" w:rsidRPr="00470338" w:rsidRDefault="004B6FAC" w:rsidP="004B6FAC">
      <w:pPr>
        <w:pStyle w:val="Cuadrculamedia1-nfasis21"/>
        <w:spacing w:after="0" w:line="240" w:lineRule="auto"/>
        <w:ind w:left="0"/>
        <w:contextualSpacing w:val="0"/>
        <w:jc w:val="both"/>
        <w:rPr>
          <w:rFonts w:ascii="Verdana" w:hAnsi="Verdana"/>
          <w:b/>
          <w:sz w:val="10"/>
          <w:szCs w:val="10"/>
          <w:lang w:val="es-MX"/>
        </w:rPr>
      </w:pPr>
    </w:p>
    <w:p w14:paraId="174B795E" w14:textId="77777777" w:rsidR="00F35D06" w:rsidRPr="004B6FAC" w:rsidRDefault="00047288" w:rsidP="004B6FAC">
      <w:pPr>
        <w:pStyle w:val="Cuadrculamedia1-nfasis21"/>
        <w:numPr>
          <w:ilvl w:val="0"/>
          <w:numId w:val="4"/>
        </w:numPr>
        <w:spacing w:after="0" w:line="240" w:lineRule="auto"/>
        <w:ind w:left="0" w:firstLine="0"/>
        <w:contextualSpacing w:val="0"/>
        <w:jc w:val="both"/>
        <w:rPr>
          <w:rFonts w:ascii="Verdana" w:hAnsi="Verdana"/>
          <w:sz w:val="20"/>
          <w:szCs w:val="20"/>
          <w:lang w:val="es-CR"/>
        </w:rPr>
      </w:pPr>
      <w:r w:rsidRPr="004B6FAC">
        <w:rPr>
          <w:rFonts w:ascii="Verdana" w:hAnsi="Verdana"/>
          <w:sz w:val="20"/>
          <w:lang w:val="es-CR"/>
        </w:rPr>
        <w:t>L</w:t>
      </w:r>
      <w:r w:rsidR="00077139" w:rsidRPr="004B6FAC">
        <w:rPr>
          <w:rFonts w:ascii="Verdana" w:hAnsi="Verdana"/>
          <w:sz w:val="20"/>
          <w:lang w:val="es-MX"/>
        </w:rPr>
        <w:t xml:space="preserve">a Corte valorará la información presentada por las partes respecto de las </w:t>
      </w:r>
      <w:r w:rsidR="00FE32E2">
        <w:rPr>
          <w:rFonts w:ascii="Verdana" w:hAnsi="Verdana"/>
          <w:sz w:val="20"/>
          <w:lang w:val="es-MX"/>
        </w:rPr>
        <w:t>nueve</w:t>
      </w:r>
      <w:r w:rsidR="001052AB" w:rsidRPr="004B6FAC">
        <w:rPr>
          <w:rFonts w:ascii="Verdana" w:hAnsi="Verdana"/>
          <w:sz w:val="20"/>
          <w:lang w:val="es-MX"/>
        </w:rPr>
        <w:t xml:space="preserve"> </w:t>
      </w:r>
      <w:r w:rsidR="00077139" w:rsidRPr="004B6FAC">
        <w:rPr>
          <w:rFonts w:ascii="Verdana" w:hAnsi="Verdana"/>
          <w:sz w:val="20"/>
          <w:lang w:val="es-MX"/>
        </w:rPr>
        <w:t>medidas de reparación que se encuentran pendientes de cumplimiento</w:t>
      </w:r>
      <w:r w:rsidR="00FA1BD6" w:rsidRPr="004B6FAC">
        <w:rPr>
          <w:rFonts w:ascii="Verdana" w:hAnsi="Verdana"/>
          <w:sz w:val="20"/>
          <w:lang w:val="es-MX"/>
        </w:rPr>
        <w:t xml:space="preserve"> (</w:t>
      </w:r>
      <w:r w:rsidR="00FA1BD6" w:rsidRPr="004B6FAC">
        <w:rPr>
          <w:rFonts w:ascii="Verdana" w:hAnsi="Verdana"/>
          <w:i/>
          <w:sz w:val="20"/>
          <w:lang w:val="es-MX"/>
        </w:rPr>
        <w:t>supra</w:t>
      </w:r>
      <w:r w:rsidR="00FA1BD6" w:rsidRPr="004B6FAC">
        <w:rPr>
          <w:rFonts w:ascii="Verdana" w:hAnsi="Verdana"/>
          <w:sz w:val="20"/>
          <w:lang w:val="es-MX"/>
        </w:rPr>
        <w:t xml:space="preserve"> Considerando 1)</w:t>
      </w:r>
      <w:r w:rsidR="00077139" w:rsidRPr="004B6FAC">
        <w:rPr>
          <w:rFonts w:ascii="Verdana" w:hAnsi="Verdana"/>
          <w:sz w:val="20"/>
          <w:lang w:val="es-MX"/>
        </w:rPr>
        <w:t>,</w:t>
      </w:r>
      <w:r w:rsidR="00456633" w:rsidRPr="004B6FAC">
        <w:rPr>
          <w:rFonts w:ascii="Verdana" w:hAnsi="Verdana"/>
          <w:sz w:val="20"/>
          <w:lang w:val="es-MX"/>
        </w:rPr>
        <w:t xml:space="preserve"> </w:t>
      </w:r>
      <w:r w:rsidR="00FC5CBC" w:rsidRPr="004B6FAC">
        <w:rPr>
          <w:rFonts w:ascii="Verdana" w:hAnsi="Verdana"/>
          <w:sz w:val="20"/>
          <w:lang w:val="es-MX"/>
        </w:rPr>
        <w:t xml:space="preserve">y determinará el grado de cumplimiento </w:t>
      </w:r>
      <w:r w:rsidR="003370CB">
        <w:rPr>
          <w:rFonts w:ascii="Verdana" w:hAnsi="Verdana"/>
          <w:sz w:val="20"/>
          <w:lang w:val="es-MX"/>
        </w:rPr>
        <w:t xml:space="preserve">de las mismas </w:t>
      </w:r>
      <w:r w:rsidR="00FC5CBC" w:rsidRPr="004B6FAC">
        <w:rPr>
          <w:rFonts w:ascii="Verdana" w:hAnsi="Verdana"/>
          <w:sz w:val="20"/>
          <w:lang w:val="es-MX"/>
        </w:rPr>
        <w:t xml:space="preserve">por parte del Estado. El Tribunal estructurará sus consideraciones en el siguiente orden: </w:t>
      </w:r>
    </w:p>
    <w:p w14:paraId="457BCBBD" w14:textId="77777777" w:rsidR="001052AB" w:rsidRDefault="001052AB" w:rsidP="004B6FAC">
      <w:pPr>
        <w:pStyle w:val="Cuadrculamedia1-nfasis21"/>
        <w:spacing w:after="0" w:line="240" w:lineRule="auto"/>
        <w:contextualSpacing w:val="0"/>
        <w:jc w:val="both"/>
        <w:rPr>
          <w:rFonts w:ascii="Verdana" w:hAnsi="Verdana"/>
          <w:sz w:val="14"/>
          <w:szCs w:val="14"/>
          <w:lang w:val="es-CR"/>
        </w:rPr>
      </w:pPr>
    </w:p>
    <w:p w14:paraId="3943DB2A" w14:textId="77777777" w:rsidR="003A0376" w:rsidRPr="00022CC4" w:rsidRDefault="001052AB" w:rsidP="003A0376">
      <w:pPr>
        <w:pStyle w:val="TDC1"/>
        <w:spacing w:after="0" w:line="240" w:lineRule="auto"/>
        <w:rPr>
          <w:rFonts w:ascii="Verdana" w:eastAsia="Times New Roman" w:hAnsi="Verdana"/>
          <w:noProof/>
          <w:sz w:val="18"/>
          <w:szCs w:val="18"/>
        </w:rPr>
      </w:pPr>
      <w:r w:rsidRPr="003A0376">
        <w:rPr>
          <w:rFonts w:ascii="Verdana" w:hAnsi="Verdana"/>
          <w:sz w:val="18"/>
          <w:szCs w:val="18"/>
        </w:rPr>
        <w:fldChar w:fldCharType="begin"/>
      </w:r>
      <w:r w:rsidRPr="003A0376">
        <w:rPr>
          <w:rFonts w:ascii="Verdana" w:hAnsi="Verdana"/>
          <w:sz w:val="18"/>
          <w:szCs w:val="18"/>
        </w:rPr>
        <w:instrText xml:space="preserve"> TOC \o "1-3" \h \z \u </w:instrText>
      </w:r>
      <w:r w:rsidRPr="003A0376">
        <w:rPr>
          <w:rFonts w:ascii="Verdana" w:hAnsi="Verdana"/>
          <w:sz w:val="18"/>
          <w:szCs w:val="18"/>
        </w:rPr>
        <w:fldChar w:fldCharType="separate"/>
      </w:r>
      <w:hyperlink w:anchor="_Toc23770411" w:history="1">
        <w:r w:rsidR="003A0376" w:rsidRPr="003A0376">
          <w:rPr>
            <w:rStyle w:val="Hipervnculo"/>
            <w:rFonts w:ascii="Verdana" w:hAnsi="Verdana"/>
            <w:i/>
            <w:noProof/>
            <w:sz w:val="18"/>
            <w:szCs w:val="18"/>
            <w:lang w:val="es-MX"/>
          </w:rPr>
          <w:t>A.</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Obligación de investigar, juzgar, y de ser del caso, sancionar</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_Toc23770411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3</w:t>
        </w:r>
        <w:r w:rsidR="003A0376" w:rsidRPr="003A0376">
          <w:rPr>
            <w:rFonts w:ascii="Verdana" w:hAnsi="Verdana"/>
            <w:noProof/>
            <w:webHidden/>
            <w:sz w:val="18"/>
            <w:szCs w:val="18"/>
          </w:rPr>
          <w:fldChar w:fldCharType="end"/>
        </w:r>
      </w:hyperlink>
    </w:p>
    <w:p w14:paraId="7B3BBB5D"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2" w:history="1">
        <w:r w:rsidR="003A0376" w:rsidRPr="003A0376">
          <w:rPr>
            <w:rStyle w:val="Hipervnculo"/>
            <w:rFonts w:ascii="Verdana" w:hAnsi="Verdana"/>
            <w:i/>
            <w:noProof/>
            <w:sz w:val="18"/>
            <w:szCs w:val="18"/>
            <w:lang w:val="es-MX"/>
          </w:rPr>
          <w:t>B.</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Búsqueda de paradero del señor Osorio Rivera</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_Toc23770412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6</w:t>
        </w:r>
        <w:r w:rsidR="003A0376" w:rsidRPr="003A0376">
          <w:rPr>
            <w:rFonts w:ascii="Verdana" w:hAnsi="Verdana"/>
            <w:noProof/>
            <w:webHidden/>
            <w:sz w:val="18"/>
            <w:szCs w:val="18"/>
          </w:rPr>
          <w:fldChar w:fldCharType="end"/>
        </w:r>
      </w:hyperlink>
    </w:p>
    <w:p w14:paraId="3D8FC836"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3" w:history="1">
        <w:r w:rsidR="003A0376" w:rsidRPr="003A0376">
          <w:rPr>
            <w:rStyle w:val="Hipervnculo"/>
            <w:rFonts w:ascii="Verdana" w:hAnsi="Verdana"/>
            <w:i/>
            <w:noProof/>
            <w:sz w:val="18"/>
            <w:szCs w:val="18"/>
            <w:lang w:val="es-MX"/>
          </w:rPr>
          <w:t>C.</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Tratamiento médico y psicológico o psiquiátrico</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_Toc23770413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9</w:t>
        </w:r>
        <w:r w:rsidR="003A0376" w:rsidRPr="003A0376">
          <w:rPr>
            <w:rFonts w:ascii="Verdana" w:hAnsi="Verdana"/>
            <w:noProof/>
            <w:webHidden/>
            <w:sz w:val="18"/>
            <w:szCs w:val="18"/>
          </w:rPr>
          <w:fldChar w:fldCharType="end"/>
        </w:r>
      </w:hyperlink>
    </w:p>
    <w:p w14:paraId="500088F9"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4" w:history="1">
        <w:r w:rsidR="003A0376" w:rsidRPr="003A0376">
          <w:rPr>
            <w:rStyle w:val="Hipervnculo"/>
            <w:rFonts w:ascii="Verdana" w:hAnsi="Verdana"/>
            <w:i/>
            <w:noProof/>
            <w:sz w:val="18"/>
            <w:szCs w:val="18"/>
            <w:lang w:val="es-MX"/>
          </w:rPr>
          <w:t>D.</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Publicación y difusión de la Sentencia</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_Toc23770414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13</w:t>
        </w:r>
        <w:r w:rsidR="003A0376" w:rsidRPr="003A0376">
          <w:rPr>
            <w:rFonts w:ascii="Verdana" w:hAnsi="Verdana"/>
            <w:noProof/>
            <w:webHidden/>
            <w:sz w:val="18"/>
            <w:szCs w:val="18"/>
          </w:rPr>
          <w:fldChar w:fldCharType="end"/>
        </w:r>
      </w:hyperlink>
    </w:p>
    <w:p w14:paraId="3F938BA1"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5" w:history="1">
        <w:r w:rsidR="003A0376" w:rsidRPr="003A0376">
          <w:rPr>
            <w:rStyle w:val="Hipervnculo"/>
            <w:rFonts w:ascii="Verdana" w:hAnsi="Verdana"/>
            <w:i/>
            <w:noProof/>
            <w:sz w:val="18"/>
            <w:szCs w:val="18"/>
            <w:lang w:val="es-MX"/>
          </w:rPr>
          <w:t>E.</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Acto público de reconocimiento de responsabilidad internacional</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_Toc23770415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13</w:t>
        </w:r>
        <w:r w:rsidR="003A0376" w:rsidRPr="003A0376">
          <w:rPr>
            <w:rFonts w:ascii="Verdana" w:hAnsi="Verdana"/>
            <w:noProof/>
            <w:webHidden/>
            <w:sz w:val="18"/>
            <w:szCs w:val="18"/>
          </w:rPr>
          <w:fldChar w:fldCharType="end"/>
        </w:r>
      </w:hyperlink>
    </w:p>
    <w:p w14:paraId="1A606ACB"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6" w:history="1">
        <w:r w:rsidR="003A0376" w:rsidRPr="003A0376">
          <w:rPr>
            <w:rStyle w:val="Hipervnculo"/>
            <w:rFonts w:ascii="Verdana" w:hAnsi="Verdana"/>
            <w:i/>
            <w:noProof/>
            <w:sz w:val="18"/>
            <w:szCs w:val="18"/>
            <w:lang w:val="es-MX"/>
          </w:rPr>
          <w:t>F.</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Otorgamiento de becas</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_Toc23770416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14</w:t>
        </w:r>
        <w:r w:rsidR="003A0376" w:rsidRPr="003A0376">
          <w:rPr>
            <w:rFonts w:ascii="Verdana" w:hAnsi="Verdana"/>
            <w:noProof/>
            <w:webHidden/>
            <w:sz w:val="18"/>
            <w:szCs w:val="18"/>
          </w:rPr>
          <w:fldChar w:fldCharType="end"/>
        </w:r>
      </w:hyperlink>
    </w:p>
    <w:p w14:paraId="7FEDB646"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7" w:history="1">
        <w:r w:rsidR="003A0376" w:rsidRPr="003A0376">
          <w:rPr>
            <w:rStyle w:val="Hipervnculo"/>
            <w:rFonts w:ascii="Verdana" w:hAnsi="Verdana"/>
            <w:i/>
            <w:noProof/>
            <w:sz w:val="18"/>
            <w:szCs w:val="18"/>
            <w:lang w:val="es-MX"/>
          </w:rPr>
          <w:t>G.</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Implementación de programas permanentes de derechos humanos y derecho internacional humanitario</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_Toc23770417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16</w:t>
        </w:r>
        <w:r w:rsidR="003A0376" w:rsidRPr="003A0376">
          <w:rPr>
            <w:rFonts w:ascii="Verdana" w:hAnsi="Verdana"/>
            <w:noProof/>
            <w:webHidden/>
            <w:sz w:val="18"/>
            <w:szCs w:val="18"/>
          </w:rPr>
          <w:fldChar w:fldCharType="end"/>
        </w:r>
      </w:hyperlink>
    </w:p>
    <w:p w14:paraId="5D769509" w14:textId="77777777" w:rsidR="003A0376" w:rsidRPr="00022CC4" w:rsidRDefault="00751F24" w:rsidP="003A0376">
      <w:pPr>
        <w:pStyle w:val="TDC1"/>
        <w:spacing w:after="0" w:line="240" w:lineRule="auto"/>
        <w:rPr>
          <w:rFonts w:ascii="Verdana" w:eastAsia="Times New Roman" w:hAnsi="Verdana"/>
          <w:noProof/>
          <w:sz w:val="18"/>
          <w:szCs w:val="18"/>
        </w:rPr>
      </w:pPr>
      <w:hyperlink w:anchor="_Toc23770418" w:history="1">
        <w:r w:rsidR="003A0376" w:rsidRPr="003A0376">
          <w:rPr>
            <w:rStyle w:val="Hipervnculo"/>
            <w:rFonts w:ascii="Verdana" w:hAnsi="Verdana"/>
            <w:i/>
            <w:noProof/>
            <w:sz w:val="18"/>
            <w:szCs w:val="18"/>
            <w:lang w:val="es-MX"/>
          </w:rPr>
          <w:t>H.</w:t>
        </w:r>
        <w:r w:rsidR="003A0376" w:rsidRPr="00022CC4">
          <w:rPr>
            <w:rFonts w:ascii="Verdana" w:eastAsia="Times New Roman" w:hAnsi="Verdana"/>
            <w:noProof/>
            <w:sz w:val="18"/>
            <w:szCs w:val="18"/>
          </w:rPr>
          <w:tab/>
        </w:r>
        <w:r w:rsidR="003A0376" w:rsidRPr="003A0376">
          <w:rPr>
            <w:rStyle w:val="Hipervnculo"/>
            <w:rFonts w:ascii="Verdana" w:hAnsi="Verdana"/>
            <w:i/>
            <w:noProof/>
            <w:sz w:val="18"/>
            <w:szCs w:val="18"/>
            <w:lang w:val="es-MX"/>
          </w:rPr>
          <w:t>Pago de indemnizaciones por concepto de daños materiales e inmateriales</w:t>
        </w:r>
        <w:r w:rsidR="00487233">
          <w:rPr>
            <w:rStyle w:val="Hipervnculo"/>
            <w:rFonts w:ascii="Verdana" w:hAnsi="Verdana"/>
            <w:i/>
            <w:noProof/>
            <w:sz w:val="18"/>
            <w:szCs w:val="18"/>
            <w:lang w:val="es-MX"/>
          </w:rPr>
          <w:t xml:space="preserve"> y reintegro de costas y gastos</w:t>
        </w:r>
        <w:r w:rsidR="003A0376" w:rsidRPr="003A0376">
          <w:rPr>
            <w:rFonts w:ascii="Verdana" w:hAnsi="Verdana"/>
            <w:noProof/>
            <w:webHidden/>
            <w:sz w:val="18"/>
            <w:szCs w:val="18"/>
          </w:rPr>
          <w:tab/>
        </w:r>
        <w:r w:rsidR="003A0376" w:rsidRPr="003A0376">
          <w:rPr>
            <w:rFonts w:ascii="Verdana" w:hAnsi="Verdana"/>
            <w:noProof/>
            <w:webHidden/>
            <w:sz w:val="18"/>
            <w:szCs w:val="18"/>
          </w:rPr>
          <w:fldChar w:fldCharType="begin"/>
        </w:r>
        <w:r w:rsidR="003A0376" w:rsidRPr="003A0376">
          <w:rPr>
            <w:rFonts w:ascii="Verdana" w:hAnsi="Verdana"/>
            <w:noProof/>
            <w:webHidden/>
            <w:sz w:val="18"/>
            <w:szCs w:val="18"/>
          </w:rPr>
          <w:instrText xml:space="preserve"> PAGEREF _Toc23770418 \h </w:instrText>
        </w:r>
        <w:r w:rsidR="003A0376" w:rsidRPr="003A0376">
          <w:rPr>
            <w:rFonts w:ascii="Verdana" w:hAnsi="Verdana"/>
            <w:noProof/>
            <w:webHidden/>
            <w:sz w:val="18"/>
            <w:szCs w:val="18"/>
          </w:rPr>
        </w:r>
        <w:r w:rsidR="003A0376" w:rsidRPr="003A0376">
          <w:rPr>
            <w:rFonts w:ascii="Verdana" w:hAnsi="Verdana"/>
            <w:noProof/>
            <w:webHidden/>
            <w:sz w:val="18"/>
            <w:szCs w:val="18"/>
          </w:rPr>
          <w:fldChar w:fldCharType="separate"/>
        </w:r>
        <w:r w:rsidR="00A0177F">
          <w:rPr>
            <w:rFonts w:ascii="Verdana" w:hAnsi="Verdana"/>
            <w:noProof/>
            <w:webHidden/>
            <w:sz w:val="18"/>
            <w:szCs w:val="18"/>
          </w:rPr>
          <w:t>19</w:t>
        </w:r>
        <w:r w:rsidR="003A0376" w:rsidRPr="003A0376">
          <w:rPr>
            <w:rFonts w:ascii="Verdana" w:hAnsi="Verdana"/>
            <w:noProof/>
            <w:webHidden/>
            <w:sz w:val="18"/>
            <w:szCs w:val="18"/>
          </w:rPr>
          <w:fldChar w:fldCharType="end"/>
        </w:r>
      </w:hyperlink>
    </w:p>
    <w:p w14:paraId="294072FB" w14:textId="77777777" w:rsidR="000F6413" w:rsidRPr="00C9214B" w:rsidRDefault="001052AB" w:rsidP="00A616FC">
      <w:pPr>
        <w:spacing w:after="0" w:line="240" w:lineRule="auto"/>
        <w:jc w:val="both"/>
        <w:rPr>
          <w:rFonts w:ascii="Verdana" w:hAnsi="Verdana"/>
          <w:bCs/>
          <w:noProof/>
          <w:sz w:val="14"/>
          <w:szCs w:val="14"/>
        </w:rPr>
      </w:pPr>
      <w:r w:rsidRPr="003A0376">
        <w:rPr>
          <w:rFonts w:ascii="Verdana" w:hAnsi="Verdana"/>
          <w:bCs/>
          <w:noProof/>
          <w:sz w:val="18"/>
          <w:szCs w:val="18"/>
        </w:rPr>
        <w:fldChar w:fldCharType="end"/>
      </w:r>
    </w:p>
    <w:p w14:paraId="2887D290" w14:textId="77777777" w:rsidR="001052AB" w:rsidRDefault="001052AB" w:rsidP="004B6FAC">
      <w:pPr>
        <w:pStyle w:val="Cuadrculamedia1-nfasis21"/>
        <w:numPr>
          <w:ilvl w:val="0"/>
          <w:numId w:val="7"/>
        </w:numPr>
        <w:spacing w:after="0" w:line="240" w:lineRule="auto"/>
        <w:contextualSpacing w:val="0"/>
        <w:jc w:val="both"/>
        <w:outlineLvl w:val="0"/>
        <w:rPr>
          <w:rFonts w:ascii="Verdana" w:hAnsi="Verdana"/>
          <w:b/>
          <w:i/>
          <w:sz w:val="20"/>
          <w:lang w:val="es-MX"/>
        </w:rPr>
      </w:pPr>
      <w:bookmarkStart w:id="1" w:name="_Toc495655657"/>
      <w:bookmarkStart w:id="2" w:name="_Toc23770411"/>
      <w:r>
        <w:rPr>
          <w:rFonts w:ascii="Verdana" w:hAnsi="Verdana"/>
          <w:b/>
          <w:i/>
          <w:sz w:val="20"/>
          <w:lang w:val="es-MX"/>
        </w:rPr>
        <w:t>Obligación de investigar, juzgar, y de ser del caso, sancionar</w:t>
      </w:r>
      <w:bookmarkEnd w:id="1"/>
      <w:bookmarkEnd w:id="2"/>
    </w:p>
    <w:p w14:paraId="7DA5ADCF" w14:textId="77777777" w:rsidR="004B6FAC" w:rsidRPr="00C9214B" w:rsidRDefault="004B6FAC" w:rsidP="00084C87">
      <w:pPr>
        <w:pStyle w:val="Cuadrculamedia1-nfasis21"/>
        <w:spacing w:after="0" w:line="240" w:lineRule="auto"/>
        <w:ind w:left="0"/>
        <w:contextualSpacing w:val="0"/>
        <w:jc w:val="both"/>
        <w:rPr>
          <w:rFonts w:ascii="Verdana" w:hAnsi="Verdana"/>
          <w:sz w:val="14"/>
          <w:szCs w:val="14"/>
          <w:lang w:val="es-MX"/>
        </w:rPr>
      </w:pPr>
    </w:p>
    <w:p w14:paraId="5809D3B0" w14:textId="77777777" w:rsidR="001052AB" w:rsidRPr="000121ED" w:rsidRDefault="001052AB" w:rsidP="00C107E0">
      <w:pPr>
        <w:pStyle w:val="Cuadrculamedia1-nfasis21"/>
        <w:spacing w:after="0" w:line="240" w:lineRule="auto"/>
        <w:ind w:left="0" w:firstLine="450"/>
        <w:contextualSpacing w:val="0"/>
        <w:jc w:val="both"/>
        <w:rPr>
          <w:rFonts w:ascii="Verdana" w:hAnsi="Verdana"/>
          <w:i/>
          <w:sz w:val="20"/>
          <w:lang w:val="es-MX"/>
        </w:rPr>
      </w:pPr>
      <w:r w:rsidRPr="000121ED">
        <w:rPr>
          <w:rFonts w:ascii="Verdana" w:hAnsi="Verdana"/>
          <w:i/>
          <w:sz w:val="20"/>
          <w:lang w:val="es-MX"/>
        </w:rPr>
        <w:t xml:space="preserve">A.1. Medida ordenada por la </w:t>
      </w:r>
      <w:r w:rsidR="003A0376">
        <w:rPr>
          <w:rFonts w:ascii="Verdana" w:hAnsi="Verdana"/>
          <w:i/>
          <w:sz w:val="20"/>
          <w:lang w:val="es-MX"/>
        </w:rPr>
        <w:t>Corte</w:t>
      </w:r>
    </w:p>
    <w:p w14:paraId="0C0AD996" w14:textId="77777777" w:rsidR="004B6FAC" w:rsidRPr="007951B6" w:rsidRDefault="004B6FAC" w:rsidP="004B6FAC">
      <w:pPr>
        <w:autoSpaceDE w:val="0"/>
        <w:autoSpaceDN w:val="0"/>
        <w:adjustRightInd w:val="0"/>
        <w:spacing w:after="0" w:line="240" w:lineRule="auto"/>
        <w:jc w:val="both"/>
        <w:rPr>
          <w:rFonts w:ascii="Verdana" w:hAnsi="Verdana"/>
          <w:b/>
          <w:sz w:val="14"/>
          <w:szCs w:val="14"/>
          <w:lang w:val="es-MX"/>
        </w:rPr>
      </w:pPr>
    </w:p>
    <w:p w14:paraId="174A1062" w14:textId="77777777" w:rsidR="004B6FAC" w:rsidRPr="00084C87" w:rsidRDefault="001052AB" w:rsidP="00C72BD8">
      <w:pPr>
        <w:numPr>
          <w:ilvl w:val="0"/>
          <w:numId w:val="26"/>
        </w:numPr>
        <w:autoSpaceDE w:val="0"/>
        <w:autoSpaceDN w:val="0"/>
        <w:adjustRightInd w:val="0"/>
        <w:spacing w:after="0" w:line="240" w:lineRule="auto"/>
        <w:ind w:left="0" w:firstLine="0"/>
        <w:jc w:val="both"/>
        <w:rPr>
          <w:rFonts w:ascii="Verdana" w:hAnsi="Verdana"/>
          <w:sz w:val="10"/>
          <w:szCs w:val="10"/>
          <w:lang w:val="es-MX"/>
        </w:rPr>
      </w:pPr>
      <w:r w:rsidRPr="009E04D5">
        <w:rPr>
          <w:rFonts w:ascii="Verdana" w:hAnsi="Verdana"/>
          <w:sz w:val="20"/>
          <w:szCs w:val="20"/>
          <w:lang w:val="es-MX"/>
        </w:rPr>
        <w:t xml:space="preserve">En el punto </w:t>
      </w:r>
      <w:r w:rsidR="00572E45">
        <w:rPr>
          <w:rFonts w:ascii="Verdana" w:hAnsi="Verdana"/>
          <w:sz w:val="20"/>
          <w:szCs w:val="20"/>
          <w:lang w:val="es-MX"/>
        </w:rPr>
        <w:t>resolutivo</w:t>
      </w:r>
      <w:r w:rsidRPr="009E04D5">
        <w:rPr>
          <w:rFonts w:ascii="Verdana" w:hAnsi="Verdana"/>
          <w:sz w:val="20"/>
          <w:szCs w:val="20"/>
          <w:lang w:val="es-MX"/>
        </w:rPr>
        <w:t xml:space="preserve"> </w:t>
      </w:r>
      <w:r w:rsidR="00572E45">
        <w:rPr>
          <w:rFonts w:ascii="Verdana" w:hAnsi="Verdana"/>
          <w:sz w:val="20"/>
          <w:szCs w:val="20"/>
          <w:lang w:val="es-MX"/>
        </w:rPr>
        <w:t>sexto</w:t>
      </w:r>
      <w:r w:rsidRPr="009E04D5">
        <w:rPr>
          <w:rFonts w:ascii="Verdana" w:hAnsi="Verdana"/>
          <w:sz w:val="20"/>
          <w:szCs w:val="20"/>
          <w:lang w:val="es-MX"/>
        </w:rPr>
        <w:t xml:space="preserve"> y en los párrafos </w:t>
      </w:r>
      <w:r w:rsidR="00572E45">
        <w:rPr>
          <w:rFonts w:ascii="Verdana" w:hAnsi="Verdana"/>
          <w:sz w:val="20"/>
          <w:szCs w:val="20"/>
          <w:lang w:val="es-MX"/>
        </w:rPr>
        <w:t>243 a 245</w:t>
      </w:r>
      <w:r w:rsidRPr="009E04D5">
        <w:rPr>
          <w:rFonts w:ascii="Verdana" w:hAnsi="Verdana"/>
          <w:sz w:val="20"/>
          <w:szCs w:val="20"/>
          <w:lang w:val="es-MX"/>
        </w:rPr>
        <w:t xml:space="preserve"> de la Sentencia, la Corte dispuso que </w:t>
      </w:r>
      <w:r w:rsidR="0084194B" w:rsidRPr="009E04D5">
        <w:rPr>
          <w:rFonts w:ascii="Verdana" w:hAnsi="Verdana"/>
          <w:sz w:val="20"/>
          <w:szCs w:val="20"/>
          <w:lang w:val="es-MX"/>
        </w:rPr>
        <w:t>el Estado “</w:t>
      </w:r>
      <w:r w:rsidR="00572E45" w:rsidRPr="00572E45">
        <w:rPr>
          <w:rFonts w:ascii="Verdana" w:hAnsi="Verdana"/>
          <w:sz w:val="20"/>
          <w:szCs w:val="20"/>
          <w:lang w:val="es-CR"/>
        </w:rPr>
        <w:t xml:space="preserve">debe iniciar y realizar las investigaciones y procesos necesarios, en un plazo razonable, con el fin de establecer la verdad de los hechos, así como de determinar y, en </w:t>
      </w:r>
      <w:r w:rsidR="00572E45" w:rsidRPr="0034342A">
        <w:rPr>
          <w:rFonts w:ascii="Verdana" w:hAnsi="Verdana"/>
          <w:sz w:val="20"/>
          <w:szCs w:val="20"/>
          <w:lang w:val="es-CR"/>
        </w:rPr>
        <w:t>su caso, sancionar a los responsables de la desaparición forzada de Jeremías Osorio Rivera</w:t>
      </w:r>
      <w:r w:rsidR="001D5D29" w:rsidRPr="0034342A">
        <w:rPr>
          <w:rFonts w:ascii="Verdana" w:hAnsi="Verdana"/>
          <w:sz w:val="20"/>
          <w:szCs w:val="20"/>
          <w:lang w:val="es-MX"/>
        </w:rPr>
        <w:t>”. Para ello, la Corte determinó que</w:t>
      </w:r>
      <w:r w:rsidR="0034342A">
        <w:rPr>
          <w:rFonts w:ascii="Verdana" w:hAnsi="Verdana"/>
          <w:sz w:val="20"/>
          <w:szCs w:val="20"/>
          <w:lang w:val="es-MX"/>
        </w:rPr>
        <w:t xml:space="preserve"> el Estado</w:t>
      </w:r>
      <w:r w:rsidR="001D5D29" w:rsidRPr="0034342A">
        <w:rPr>
          <w:rFonts w:ascii="Verdana" w:hAnsi="Verdana"/>
          <w:sz w:val="20"/>
          <w:szCs w:val="20"/>
          <w:lang w:val="es-MX"/>
        </w:rPr>
        <w:t xml:space="preserve"> “</w:t>
      </w:r>
      <w:r w:rsidR="0034342A" w:rsidRPr="0034342A">
        <w:rPr>
          <w:rFonts w:ascii="Verdana" w:hAnsi="Verdana"/>
          <w:sz w:val="20"/>
          <w:szCs w:val="20"/>
          <w:lang w:val="es-CR"/>
        </w:rPr>
        <w:t xml:space="preserve">debe conducir y concluir las investigaciones y procesos pertinentes en un plazo razonable, con el fin de establecer toda la verdad de los hechos en atención a los criterios señalados sobre investigaciones en casos de desapariciones forzadas, y removiendo todos los obstáculos que mantienen la impunidad en este caso”. </w:t>
      </w:r>
      <w:r w:rsidR="0034342A">
        <w:rPr>
          <w:rFonts w:ascii="Verdana" w:hAnsi="Verdana"/>
          <w:sz w:val="20"/>
          <w:szCs w:val="20"/>
          <w:lang w:val="es-CR"/>
        </w:rPr>
        <w:t>Asimismo,</w:t>
      </w:r>
      <w:r w:rsidR="00482F23">
        <w:rPr>
          <w:rFonts w:ascii="Verdana" w:hAnsi="Verdana"/>
          <w:sz w:val="20"/>
          <w:szCs w:val="20"/>
          <w:lang w:val="es-CR"/>
        </w:rPr>
        <w:t xml:space="preserve"> el Tribunal</w:t>
      </w:r>
      <w:r w:rsidR="0034342A">
        <w:rPr>
          <w:rFonts w:ascii="Verdana" w:hAnsi="Verdana"/>
          <w:sz w:val="20"/>
          <w:szCs w:val="20"/>
          <w:lang w:val="es-CR"/>
        </w:rPr>
        <w:t xml:space="preserve"> indicó </w:t>
      </w:r>
      <w:r w:rsidR="0034342A" w:rsidRPr="00482F23">
        <w:rPr>
          <w:rFonts w:ascii="Verdana" w:hAnsi="Verdana"/>
          <w:sz w:val="20"/>
          <w:szCs w:val="20"/>
          <w:lang w:val="es-CR"/>
        </w:rPr>
        <w:t>que el Perú “debe asegurar el pleno acceso y capacidad de actuar de las víctimas o sus familiares en todas las etapas de la investigación y el juzgamiento de los responsables”, con la finalidad de que se configure “el acceso a la justicia y el conocimiento de la v</w:t>
      </w:r>
      <w:r w:rsidR="0034342A" w:rsidRPr="00FF7A94">
        <w:rPr>
          <w:rFonts w:ascii="Verdana" w:hAnsi="Verdana"/>
          <w:sz w:val="20"/>
          <w:szCs w:val="20"/>
          <w:lang w:val="es-CR"/>
        </w:rPr>
        <w:t>erdad de lo ocurrido”.</w:t>
      </w:r>
      <w:r w:rsidR="00FF7A94" w:rsidRPr="00FF7A94">
        <w:rPr>
          <w:rFonts w:ascii="Verdana" w:hAnsi="Verdana"/>
          <w:sz w:val="20"/>
          <w:szCs w:val="20"/>
          <w:lang w:val="es-CR"/>
        </w:rPr>
        <w:t xml:space="preserve"> También recordó una serie de estándares relativos a la debida diligencia en relación con la obligación de investigar, juzgar y, de ser el caso, sancionar (</w:t>
      </w:r>
      <w:r w:rsidR="00FF7A94" w:rsidRPr="00FF7A94">
        <w:rPr>
          <w:rFonts w:ascii="Verdana" w:hAnsi="Verdana"/>
          <w:i/>
          <w:sz w:val="20"/>
          <w:szCs w:val="20"/>
          <w:lang w:val="es-CR"/>
        </w:rPr>
        <w:t>infra</w:t>
      </w:r>
      <w:r w:rsidR="00A63A68">
        <w:rPr>
          <w:rFonts w:ascii="Verdana" w:hAnsi="Verdana"/>
          <w:sz w:val="20"/>
          <w:szCs w:val="20"/>
          <w:lang w:val="es-CR"/>
        </w:rPr>
        <w:t xml:space="preserve"> Considerando 8</w:t>
      </w:r>
      <w:r w:rsidR="00FF7A94" w:rsidRPr="00FF7A94">
        <w:rPr>
          <w:rFonts w:ascii="Verdana" w:hAnsi="Verdana"/>
          <w:sz w:val="20"/>
          <w:szCs w:val="20"/>
          <w:lang w:val="es-CR"/>
        </w:rPr>
        <w:t>).</w:t>
      </w:r>
    </w:p>
    <w:p w14:paraId="0F633E9F" w14:textId="77777777" w:rsidR="00C72BD8" w:rsidRPr="00C72BD8" w:rsidRDefault="00C72BD8" w:rsidP="00C72BD8">
      <w:pPr>
        <w:pStyle w:val="Cuadrculamedia1-nfasis21"/>
        <w:spacing w:after="0" w:line="240" w:lineRule="auto"/>
        <w:ind w:left="0"/>
        <w:contextualSpacing w:val="0"/>
        <w:jc w:val="both"/>
        <w:rPr>
          <w:rFonts w:ascii="Verdana" w:hAnsi="Verdana"/>
          <w:sz w:val="10"/>
          <w:szCs w:val="10"/>
          <w:lang w:val="es-MX"/>
        </w:rPr>
      </w:pPr>
    </w:p>
    <w:p w14:paraId="6D660405" w14:textId="77777777" w:rsidR="001052AB" w:rsidRPr="005237EB" w:rsidRDefault="001052AB" w:rsidP="00C107E0">
      <w:pPr>
        <w:pStyle w:val="Cuadrculamedia1-nfasis21"/>
        <w:spacing w:after="0" w:line="240" w:lineRule="auto"/>
        <w:ind w:left="0" w:firstLine="426"/>
        <w:contextualSpacing w:val="0"/>
        <w:jc w:val="both"/>
        <w:rPr>
          <w:rFonts w:ascii="Verdana" w:hAnsi="Verdana"/>
          <w:i/>
          <w:sz w:val="20"/>
          <w:lang w:val="es-MX"/>
        </w:rPr>
      </w:pPr>
      <w:r w:rsidRPr="005237EB">
        <w:rPr>
          <w:rFonts w:ascii="Verdana" w:hAnsi="Verdana"/>
          <w:i/>
          <w:sz w:val="20"/>
          <w:lang w:val="es-MX"/>
        </w:rPr>
        <w:t>A.2</w:t>
      </w:r>
      <w:r>
        <w:rPr>
          <w:rFonts w:ascii="Verdana" w:hAnsi="Verdana"/>
          <w:i/>
          <w:sz w:val="20"/>
          <w:lang w:val="es-MX"/>
        </w:rPr>
        <w:t>.</w:t>
      </w:r>
      <w:r w:rsidRPr="005237EB">
        <w:rPr>
          <w:rFonts w:ascii="Verdana" w:hAnsi="Verdana"/>
          <w:i/>
          <w:sz w:val="20"/>
          <w:lang w:val="es-MX"/>
        </w:rPr>
        <w:t xml:space="preserve"> </w:t>
      </w:r>
      <w:r w:rsidR="00F8539C">
        <w:rPr>
          <w:rFonts w:ascii="Verdana" w:hAnsi="Verdana"/>
          <w:i/>
          <w:sz w:val="20"/>
          <w:lang w:val="es-MX"/>
        </w:rPr>
        <w:t>Consideraciones de la Corte</w:t>
      </w:r>
      <w:r>
        <w:rPr>
          <w:rFonts w:ascii="Verdana" w:hAnsi="Verdana"/>
          <w:i/>
          <w:sz w:val="20"/>
          <w:lang w:val="es-MX"/>
        </w:rPr>
        <w:t xml:space="preserve"> </w:t>
      </w:r>
    </w:p>
    <w:p w14:paraId="7DB51EBC" w14:textId="77777777" w:rsidR="004B6FAC" w:rsidRPr="00084C87" w:rsidRDefault="004B6FAC" w:rsidP="004B6FAC">
      <w:pPr>
        <w:pStyle w:val="Cuadrculamedia1-nfasis21"/>
        <w:spacing w:after="0" w:line="240" w:lineRule="auto"/>
        <w:ind w:left="0"/>
        <w:contextualSpacing w:val="0"/>
        <w:jc w:val="both"/>
        <w:rPr>
          <w:rFonts w:ascii="Verdana" w:hAnsi="Verdana"/>
          <w:sz w:val="14"/>
          <w:szCs w:val="14"/>
          <w:lang w:val="es-MX"/>
        </w:rPr>
      </w:pPr>
    </w:p>
    <w:p w14:paraId="28691A4B" w14:textId="77777777" w:rsidR="00A93E15" w:rsidRPr="00A62E62" w:rsidRDefault="001919A4" w:rsidP="00C8662E">
      <w:pPr>
        <w:pStyle w:val="Cuadrculamedia1-nfasis21"/>
        <w:numPr>
          <w:ilvl w:val="0"/>
          <w:numId w:val="26"/>
        </w:numPr>
        <w:spacing w:after="0" w:line="240" w:lineRule="auto"/>
        <w:ind w:left="0" w:firstLine="0"/>
        <w:contextualSpacing w:val="0"/>
        <w:jc w:val="both"/>
        <w:rPr>
          <w:rFonts w:ascii="Verdana" w:hAnsi="Verdana"/>
          <w:sz w:val="20"/>
          <w:lang w:val="es-MX"/>
        </w:rPr>
      </w:pPr>
      <w:r w:rsidRPr="00C92E77">
        <w:rPr>
          <w:rFonts w:ascii="Verdana" w:hAnsi="Verdana"/>
          <w:sz w:val="20"/>
          <w:lang w:val="es-MX"/>
        </w:rPr>
        <w:t>Con base en la información aportada por las partes</w:t>
      </w:r>
      <w:r w:rsidR="00D37085" w:rsidRPr="00290A1E">
        <w:rPr>
          <w:rStyle w:val="Refdenotaalpie"/>
          <w:rFonts w:ascii="Verdana" w:hAnsi="Verdana"/>
          <w:sz w:val="20"/>
          <w:lang w:val="es-MX"/>
        </w:rPr>
        <w:footnoteReference w:id="11"/>
      </w:r>
      <w:r w:rsidRPr="00C92E77">
        <w:rPr>
          <w:rFonts w:ascii="Verdana" w:hAnsi="Verdana"/>
          <w:sz w:val="20"/>
          <w:lang w:val="es-MX"/>
        </w:rPr>
        <w:t xml:space="preserve">, </w:t>
      </w:r>
      <w:r w:rsidR="00C71D27">
        <w:rPr>
          <w:rFonts w:ascii="Verdana" w:hAnsi="Verdana"/>
          <w:sz w:val="20"/>
          <w:lang w:val="es-MX"/>
        </w:rPr>
        <w:t>la Corte constata que</w:t>
      </w:r>
      <w:r w:rsidR="002B4A29">
        <w:rPr>
          <w:rFonts w:ascii="Verdana" w:hAnsi="Verdana"/>
          <w:sz w:val="20"/>
          <w:lang w:val="es-MX"/>
        </w:rPr>
        <w:t xml:space="preserve">, a veintiocho años de la desaparición del señor Osorio Rivera y a </w:t>
      </w:r>
      <w:r w:rsidR="00590E52">
        <w:rPr>
          <w:rFonts w:ascii="Verdana" w:hAnsi="Verdana"/>
          <w:sz w:val="20"/>
          <w:lang w:val="es-MX"/>
        </w:rPr>
        <w:t>seis</w:t>
      </w:r>
      <w:r w:rsidR="002B4A29">
        <w:rPr>
          <w:rFonts w:ascii="Verdana" w:hAnsi="Verdana"/>
          <w:sz w:val="20"/>
          <w:lang w:val="es-MX"/>
        </w:rPr>
        <w:t xml:space="preserve"> años de emitida la Sentencia, la investigación continúa en etapa preliminar. Las principales actuaciones indicadas por las partes son las siguientes</w:t>
      </w:r>
      <w:r w:rsidR="003A701D">
        <w:rPr>
          <w:rFonts w:ascii="Verdana" w:hAnsi="Verdana"/>
          <w:sz w:val="20"/>
          <w:lang w:val="es-MX"/>
        </w:rPr>
        <w:t>: i)</w:t>
      </w:r>
      <w:r w:rsidR="00C71D27">
        <w:rPr>
          <w:rFonts w:ascii="Verdana" w:hAnsi="Verdana"/>
          <w:sz w:val="20"/>
          <w:lang w:val="es-MX"/>
        </w:rPr>
        <w:t xml:space="preserve"> </w:t>
      </w:r>
      <w:r w:rsidR="004715DF">
        <w:rPr>
          <w:rFonts w:ascii="Verdana" w:hAnsi="Verdana"/>
          <w:sz w:val="20"/>
          <w:lang w:val="es-MX"/>
        </w:rPr>
        <w:t xml:space="preserve">mediante una resolución emitida el 3 de agosto de 2015 por la Cuarta Fiscalía Penal Supraprovincial del Ministerio Público del Perú </w:t>
      </w:r>
      <w:r w:rsidR="003A701D">
        <w:rPr>
          <w:rFonts w:ascii="Verdana" w:hAnsi="Verdana"/>
          <w:sz w:val="20"/>
          <w:lang w:val="es-MX"/>
        </w:rPr>
        <w:t xml:space="preserve">se </w:t>
      </w:r>
      <w:r w:rsidR="004715DF">
        <w:rPr>
          <w:rFonts w:ascii="Verdana" w:hAnsi="Verdana"/>
          <w:sz w:val="20"/>
          <w:lang w:val="es-MX"/>
        </w:rPr>
        <w:t xml:space="preserve">dispuso “abrir [la] investigación preliminar a nivel fiscal” bajo el número 23-2015 y se </w:t>
      </w:r>
      <w:r w:rsidR="004715DF">
        <w:rPr>
          <w:rFonts w:ascii="Verdana" w:hAnsi="Verdana"/>
          <w:sz w:val="20"/>
          <w:lang w:val="es-MX"/>
        </w:rPr>
        <w:lastRenderedPageBreak/>
        <w:t>ordenaron una serie de diligencias</w:t>
      </w:r>
      <w:r w:rsidR="004715DF">
        <w:rPr>
          <w:rStyle w:val="Refdenotaalpie"/>
          <w:rFonts w:ascii="Verdana" w:hAnsi="Verdana"/>
          <w:sz w:val="20"/>
          <w:lang w:val="es-MX"/>
        </w:rPr>
        <w:footnoteReference w:id="12"/>
      </w:r>
      <w:r w:rsidR="003A701D">
        <w:rPr>
          <w:rFonts w:ascii="Verdana" w:hAnsi="Verdana"/>
          <w:sz w:val="20"/>
          <w:lang w:val="es-MX"/>
        </w:rPr>
        <w:t>; ii) el 30 de noviembre de 2016 la referida Cuarta Fiscalía Penal dispuso que la investigación “se […] archiva[</w:t>
      </w:r>
      <w:r w:rsidR="00F47C21">
        <w:rPr>
          <w:rFonts w:ascii="Verdana" w:hAnsi="Verdana"/>
          <w:sz w:val="20"/>
          <w:lang w:val="es-MX"/>
        </w:rPr>
        <w:t>r</w:t>
      </w:r>
      <w:r w:rsidR="003A701D">
        <w:rPr>
          <w:rFonts w:ascii="Verdana" w:hAnsi="Verdana"/>
          <w:sz w:val="20"/>
          <w:lang w:val="es-MX"/>
        </w:rPr>
        <w:t>]a provisionalmente […] al no haberse acopiado aun medios de prueba suficientes que puedan determinar la responsabilidad de quienes p</w:t>
      </w:r>
      <w:r w:rsidR="005E2160">
        <w:rPr>
          <w:rFonts w:ascii="Verdana" w:hAnsi="Verdana"/>
          <w:sz w:val="20"/>
          <w:lang w:val="es-MX"/>
        </w:rPr>
        <w:t>[</w:t>
      </w:r>
      <w:r w:rsidR="003A701D">
        <w:rPr>
          <w:rFonts w:ascii="Verdana" w:hAnsi="Verdana"/>
          <w:sz w:val="20"/>
          <w:lang w:val="es-MX"/>
        </w:rPr>
        <w:t>o</w:t>
      </w:r>
      <w:r w:rsidR="005E2160">
        <w:rPr>
          <w:rFonts w:ascii="Verdana" w:hAnsi="Verdana"/>
          <w:sz w:val="20"/>
          <w:lang w:val="es-MX"/>
        </w:rPr>
        <w:t>]</w:t>
      </w:r>
      <w:r w:rsidR="003A701D">
        <w:rPr>
          <w:rFonts w:ascii="Verdana" w:hAnsi="Verdana"/>
          <w:sz w:val="20"/>
          <w:lang w:val="es-MX"/>
        </w:rPr>
        <w:t>dr[í]an haber sido part[í]cipes, así mismo por la lejan[í]a y agrest</w:t>
      </w:r>
      <w:r w:rsidR="002B4A29">
        <w:rPr>
          <w:rFonts w:ascii="Verdana" w:hAnsi="Verdana"/>
          <w:sz w:val="20"/>
          <w:lang w:val="es-MX"/>
        </w:rPr>
        <w:t xml:space="preserve">e del lugar [de los hechos] no </w:t>
      </w:r>
      <w:r w:rsidR="003A701D">
        <w:rPr>
          <w:rFonts w:ascii="Verdana" w:hAnsi="Verdana"/>
          <w:sz w:val="20"/>
          <w:lang w:val="es-MX"/>
        </w:rPr>
        <w:t xml:space="preserve">ha resultado posible contar </w:t>
      </w:r>
      <w:r w:rsidR="00F52E18">
        <w:rPr>
          <w:rFonts w:ascii="Verdana" w:hAnsi="Verdana"/>
          <w:sz w:val="20"/>
          <w:lang w:val="es-MX"/>
        </w:rPr>
        <w:t>aún</w:t>
      </w:r>
      <w:r w:rsidR="003A701D">
        <w:rPr>
          <w:rFonts w:ascii="Verdana" w:hAnsi="Verdana"/>
          <w:sz w:val="20"/>
          <w:lang w:val="es-MX"/>
        </w:rPr>
        <w:t xml:space="preserve"> con los testimonios de quienes podr[í]an tener informaci[ó</w:t>
      </w:r>
      <w:r w:rsidR="003A701D" w:rsidRPr="003A701D">
        <w:rPr>
          <w:rFonts w:ascii="Verdana" w:hAnsi="Verdana"/>
          <w:sz w:val="20"/>
          <w:lang w:val="es-MX"/>
        </w:rPr>
        <w:t>]</w:t>
      </w:r>
      <w:r w:rsidR="003A701D">
        <w:rPr>
          <w:rFonts w:ascii="Verdana" w:hAnsi="Verdana"/>
          <w:sz w:val="20"/>
          <w:lang w:val="es-MX"/>
        </w:rPr>
        <w:t xml:space="preserve"> de una presunta fosa que se encontrar[í]a en el lugar donde función[ó] la base militar contrasubversiva de [C]ajatambo”</w:t>
      </w:r>
      <w:r w:rsidR="003A701D">
        <w:rPr>
          <w:rStyle w:val="Refdenotaalpie"/>
          <w:rFonts w:ascii="Verdana" w:hAnsi="Verdana"/>
          <w:sz w:val="20"/>
          <w:lang w:val="es-MX"/>
        </w:rPr>
        <w:footnoteReference w:id="13"/>
      </w:r>
      <w:r w:rsidR="003A701D">
        <w:rPr>
          <w:rFonts w:ascii="Verdana" w:hAnsi="Verdana"/>
          <w:sz w:val="20"/>
          <w:lang w:val="es-MX"/>
        </w:rPr>
        <w:t xml:space="preserve">; </w:t>
      </w:r>
      <w:r w:rsidR="00A93E15">
        <w:rPr>
          <w:rFonts w:ascii="Verdana" w:hAnsi="Verdana"/>
          <w:sz w:val="20"/>
          <w:lang w:val="es-MX"/>
        </w:rPr>
        <w:t xml:space="preserve">iii) mediante “[d]isposición de […] 20 de septiembre d[e] 2018, [la Cuarta Fiscalía Penal Supraprovincial] dispuso reaperturar la investigación a fin de agotar todos los actos de investigación que </w:t>
      </w:r>
      <w:r w:rsidR="005E2160">
        <w:rPr>
          <w:rFonts w:ascii="Verdana" w:hAnsi="Verdana"/>
          <w:sz w:val="20"/>
          <w:lang w:val="es-MX"/>
        </w:rPr>
        <w:t>[…]</w:t>
      </w:r>
      <w:r w:rsidR="00A93E15">
        <w:rPr>
          <w:rFonts w:ascii="Verdana" w:hAnsi="Verdana"/>
          <w:sz w:val="20"/>
          <w:lang w:val="es-MX"/>
        </w:rPr>
        <w:t xml:space="preserve"> conduzcan al esclarecimiento de la desaparición de Jeremías Rivera Osorio, así como a la identificación de los presuntos autores[,] existiendo [a enero de 2019] diligencias programadas por ejecutarse”</w:t>
      </w:r>
      <w:r w:rsidR="002B4A29">
        <w:rPr>
          <w:rStyle w:val="Refdenotaalpie"/>
          <w:rFonts w:ascii="Verdana" w:hAnsi="Verdana"/>
          <w:sz w:val="20"/>
          <w:lang w:val="es-MX"/>
        </w:rPr>
        <w:footnoteReference w:id="14"/>
      </w:r>
      <w:r w:rsidR="00A053D4">
        <w:rPr>
          <w:rFonts w:ascii="Verdana" w:hAnsi="Verdana"/>
          <w:sz w:val="20"/>
          <w:lang w:val="es-MX"/>
        </w:rPr>
        <w:t xml:space="preserve">; </w:t>
      </w:r>
      <w:r w:rsidR="00DA0204" w:rsidRPr="00461544">
        <w:rPr>
          <w:rFonts w:ascii="Verdana" w:hAnsi="Verdana"/>
          <w:sz w:val="20"/>
          <w:lang w:val="es-MX"/>
        </w:rPr>
        <w:t xml:space="preserve">iv) </w:t>
      </w:r>
      <w:r w:rsidR="00A053D4" w:rsidRPr="00461544">
        <w:rPr>
          <w:rFonts w:ascii="Verdana" w:hAnsi="Verdana"/>
          <w:sz w:val="20"/>
          <w:lang w:val="es-MX"/>
        </w:rPr>
        <w:t xml:space="preserve">si bien el </w:t>
      </w:r>
      <w:r w:rsidR="00AF3012" w:rsidRPr="00461544">
        <w:rPr>
          <w:rFonts w:ascii="Verdana" w:hAnsi="Verdana"/>
          <w:sz w:val="20"/>
          <w:lang w:val="es-MX"/>
        </w:rPr>
        <w:t>“</w:t>
      </w:r>
      <w:r w:rsidR="00A053D4" w:rsidRPr="00461544">
        <w:rPr>
          <w:rFonts w:ascii="Verdana" w:hAnsi="Verdana"/>
          <w:sz w:val="20"/>
          <w:lang w:val="es-MX"/>
        </w:rPr>
        <w:t>Jefe de la Base contrasubversiva de Cajatambo</w:t>
      </w:r>
      <w:r w:rsidR="00AF3012" w:rsidRPr="00461544">
        <w:rPr>
          <w:rFonts w:ascii="Verdana" w:hAnsi="Verdana"/>
          <w:sz w:val="20"/>
          <w:lang w:val="es-MX"/>
        </w:rPr>
        <w:t>”</w:t>
      </w:r>
      <w:r w:rsidR="00A053D4" w:rsidRPr="00461544">
        <w:rPr>
          <w:rFonts w:ascii="Verdana" w:hAnsi="Verdana"/>
          <w:sz w:val="20"/>
          <w:lang w:val="es-MX"/>
        </w:rPr>
        <w:t xml:space="preserve"> al momento de los hechos “fue absuelto en el proceso penal seguido en su contra”, siendo “confirmad[a dicha] sentencia absolutoria por la Corte Suprema de Justicia de la República”, “se ha dispuesto recabar la declaración” de dicha persona “en calidad de testigo”</w:t>
      </w:r>
      <w:r w:rsidR="00A053D4" w:rsidRPr="00461544">
        <w:rPr>
          <w:rStyle w:val="Refdenotaalpie"/>
          <w:rFonts w:ascii="Verdana" w:hAnsi="Verdana"/>
          <w:sz w:val="20"/>
          <w:lang w:val="es-MX"/>
        </w:rPr>
        <w:footnoteReference w:id="15"/>
      </w:r>
      <w:r w:rsidR="00E337AE" w:rsidRPr="00461544">
        <w:rPr>
          <w:rFonts w:ascii="Verdana" w:hAnsi="Verdana"/>
          <w:sz w:val="20"/>
          <w:lang w:val="es-MX"/>
        </w:rPr>
        <w:t>. El Estado no aportó prueba documental de la</w:t>
      </w:r>
      <w:r w:rsidR="00E23941" w:rsidRPr="00461544">
        <w:rPr>
          <w:rFonts w:ascii="Verdana" w:hAnsi="Verdana"/>
          <w:sz w:val="20"/>
          <w:lang w:val="es-MX"/>
        </w:rPr>
        <w:t>s</w:t>
      </w:r>
      <w:r w:rsidR="00E337AE" w:rsidRPr="00461544">
        <w:rPr>
          <w:rFonts w:ascii="Verdana" w:hAnsi="Verdana"/>
          <w:sz w:val="20"/>
          <w:lang w:val="es-MX"/>
        </w:rPr>
        <w:t xml:space="preserve"> referida</w:t>
      </w:r>
      <w:r w:rsidR="00E23941" w:rsidRPr="00461544">
        <w:rPr>
          <w:rFonts w:ascii="Verdana" w:hAnsi="Verdana"/>
          <w:sz w:val="20"/>
          <w:lang w:val="es-MX"/>
        </w:rPr>
        <w:t>s</w:t>
      </w:r>
      <w:r w:rsidR="00E337AE" w:rsidRPr="00461544">
        <w:rPr>
          <w:rFonts w:ascii="Verdana" w:hAnsi="Verdana"/>
          <w:sz w:val="20"/>
          <w:lang w:val="es-MX"/>
        </w:rPr>
        <w:t xml:space="preserve"> sentencia</w:t>
      </w:r>
      <w:r w:rsidR="00E23941" w:rsidRPr="00461544">
        <w:rPr>
          <w:rFonts w:ascii="Verdana" w:hAnsi="Verdana"/>
          <w:sz w:val="20"/>
          <w:lang w:val="es-MX"/>
        </w:rPr>
        <w:t>s</w:t>
      </w:r>
      <w:r w:rsidR="00E337AE" w:rsidRPr="00461544">
        <w:rPr>
          <w:rFonts w:ascii="Verdana" w:hAnsi="Verdana"/>
          <w:sz w:val="20"/>
          <w:lang w:val="es-MX"/>
        </w:rPr>
        <w:t xml:space="preserve"> </w:t>
      </w:r>
      <w:r w:rsidR="00E23941" w:rsidRPr="00461544">
        <w:rPr>
          <w:rFonts w:ascii="Verdana" w:hAnsi="Verdana"/>
          <w:sz w:val="20"/>
          <w:lang w:val="es-MX"/>
        </w:rPr>
        <w:t>relativas al</w:t>
      </w:r>
      <w:r w:rsidR="00E337AE" w:rsidRPr="00461544">
        <w:rPr>
          <w:rFonts w:ascii="Verdana" w:hAnsi="Verdana"/>
          <w:sz w:val="20"/>
          <w:lang w:val="es-MX"/>
        </w:rPr>
        <w:t xml:space="preserve"> Jefe de la Base contrasubversiva de Cajatambo</w:t>
      </w:r>
      <w:r w:rsidR="00A053D4" w:rsidRPr="00A62E62">
        <w:rPr>
          <w:rFonts w:ascii="Verdana" w:hAnsi="Verdana"/>
          <w:sz w:val="20"/>
          <w:lang w:val="es-MX"/>
        </w:rPr>
        <w:t xml:space="preserve">. </w:t>
      </w:r>
    </w:p>
    <w:p w14:paraId="63227CCC" w14:textId="77777777" w:rsidR="00F51359" w:rsidRPr="00236856" w:rsidRDefault="00F51359" w:rsidP="00F51359">
      <w:pPr>
        <w:pStyle w:val="Cuadrculamedia1-nfasis21"/>
        <w:spacing w:after="0" w:line="240" w:lineRule="auto"/>
        <w:ind w:left="0"/>
        <w:contextualSpacing w:val="0"/>
        <w:jc w:val="both"/>
        <w:rPr>
          <w:rFonts w:ascii="Verdana" w:hAnsi="Verdana"/>
          <w:sz w:val="10"/>
          <w:szCs w:val="10"/>
          <w:lang w:val="es-MX"/>
        </w:rPr>
      </w:pPr>
    </w:p>
    <w:p w14:paraId="3D1A77E0" w14:textId="77777777" w:rsidR="00470A76" w:rsidRDefault="00470A76" w:rsidP="00C8662E">
      <w:pPr>
        <w:pStyle w:val="Cuadrculamedia1-nfasis2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 xml:space="preserve">Asimismo, </w:t>
      </w:r>
      <w:r w:rsidR="00C72BD8">
        <w:rPr>
          <w:rFonts w:ascii="Verdana" w:hAnsi="Verdana"/>
          <w:sz w:val="20"/>
          <w:lang w:val="es-MX"/>
        </w:rPr>
        <w:t xml:space="preserve">el Tribunal </w:t>
      </w:r>
      <w:r>
        <w:rPr>
          <w:rFonts w:ascii="Verdana" w:hAnsi="Verdana"/>
          <w:sz w:val="20"/>
          <w:lang w:val="es-MX"/>
        </w:rPr>
        <w:t>observa que los representantes de las víctimas han señalado deficiencias en la investigación, tales como: i)</w:t>
      </w:r>
      <w:r w:rsidR="006F5124">
        <w:rPr>
          <w:rFonts w:ascii="Verdana" w:hAnsi="Verdana"/>
          <w:sz w:val="20"/>
          <w:lang w:val="es-MX"/>
        </w:rPr>
        <w:t xml:space="preserve"> “la Resolución de […] 30 de noviembre de 2016 que dispuso el archivo provisional [de la investigación] no fue notificada a la parte agraviada”</w:t>
      </w:r>
      <w:r w:rsidR="006F5124">
        <w:rPr>
          <w:rStyle w:val="Refdenotaalpie"/>
          <w:rFonts w:ascii="Verdana" w:hAnsi="Verdana"/>
          <w:sz w:val="20"/>
          <w:lang w:val="es-MX"/>
        </w:rPr>
        <w:footnoteReference w:id="16"/>
      </w:r>
      <w:r w:rsidR="006F5124">
        <w:rPr>
          <w:rFonts w:ascii="Verdana" w:hAnsi="Verdana"/>
          <w:sz w:val="20"/>
          <w:lang w:val="es-MX"/>
        </w:rPr>
        <w:t>, de manera que los representantes debieron “aperson[arse] a la referida Fiscalía a fin de indagar al respecto” e “inst[ar] al Fiscal a que continuara con la investigación […], recordándole además que la realización de una investigación seria y diligente era una de las obligaciones impuestas por esta Corte mediante su [S]entencia”; ii) solamente se han presentado dos</w:t>
      </w:r>
      <w:r w:rsidR="009D72E2" w:rsidRPr="009D72E2">
        <w:rPr>
          <w:rFonts w:ascii="Verdana" w:hAnsi="Verdana"/>
          <w:sz w:val="20"/>
          <w:lang w:val="es-MX"/>
        </w:rPr>
        <w:t xml:space="preserve"> </w:t>
      </w:r>
      <w:r w:rsidR="009D72E2">
        <w:rPr>
          <w:rFonts w:ascii="Verdana" w:hAnsi="Verdana"/>
          <w:sz w:val="20"/>
          <w:lang w:val="es-MX"/>
        </w:rPr>
        <w:t>de las personas citadas a declarar</w:t>
      </w:r>
      <w:r w:rsidR="006F5124">
        <w:rPr>
          <w:rFonts w:ascii="Verdana" w:hAnsi="Verdana"/>
          <w:sz w:val="20"/>
          <w:lang w:val="es-MX"/>
        </w:rPr>
        <w:t>, sin que a mayo de 2019 “se [hubiesen] logrado recabar [</w:t>
      </w:r>
      <w:r w:rsidR="009D72E2">
        <w:rPr>
          <w:rFonts w:ascii="Verdana" w:hAnsi="Verdana"/>
          <w:sz w:val="20"/>
          <w:lang w:val="es-MX"/>
        </w:rPr>
        <w:t>todas las</w:t>
      </w:r>
      <w:r w:rsidR="006F5124">
        <w:rPr>
          <w:rFonts w:ascii="Verdana" w:hAnsi="Verdana"/>
          <w:sz w:val="20"/>
          <w:lang w:val="es-MX"/>
        </w:rPr>
        <w:t>] declaraciones testimoniales”; iii) no h</w:t>
      </w:r>
      <w:r w:rsidR="00F26B00">
        <w:rPr>
          <w:rFonts w:ascii="Verdana" w:hAnsi="Verdana"/>
          <w:sz w:val="20"/>
          <w:lang w:val="es-MX"/>
        </w:rPr>
        <w:t>an programado otras diligencias como</w:t>
      </w:r>
      <w:r w:rsidR="006F5124">
        <w:rPr>
          <w:rFonts w:ascii="Verdana" w:hAnsi="Verdana"/>
          <w:sz w:val="20"/>
          <w:lang w:val="es-MX"/>
        </w:rPr>
        <w:t xml:space="preserve"> </w:t>
      </w:r>
      <w:r w:rsidR="00F26B00">
        <w:rPr>
          <w:rFonts w:ascii="Verdana" w:hAnsi="Verdana"/>
          <w:sz w:val="20"/>
          <w:lang w:val="es-MX"/>
        </w:rPr>
        <w:t>“</w:t>
      </w:r>
      <w:r w:rsidR="006F5124">
        <w:rPr>
          <w:rFonts w:ascii="Verdana" w:hAnsi="Verdana"/>
          <w:sz w:val="20"/>
          <w:lang w:val="es-MX"/>
        </w:rPr>
        <w:t>la vista de fotos aéreas para ver la posible modificación del terreno, tanto de la base contrasubversiva de Cajatambo, como en los alrededores”</w:t>
      </w:r>
      <w:r w:rsidR="009D72E2">
        <w:rPr>
          <w:rFonts w:ascii="Verdana" w:hAnsi="Verdana"/>
          <w:sz w:val="20"/>
          <w:lang w:val="es-MX"/>
        </w:rPr>
        <w:t>;</w:t>
      </w:r>
      <w:r w:rsidR="006F5124">
        <w:rPr>
          <w:rFonts w:ascii="Verdana" w:hAnsi="Verdana"/>
          <w:sz w:val="20"/>
          <w:lang w:val="es-MX"/>
        </w:rPr>
        <w:t xml:space="preserve"> la obtención del nombre de los “miembros del batallón asignados a la base de Cajatambo” o </w:t>
      </w:r>
      <w:r w:rsidR="006F5124">
        <w:rPr>
          <w:rFonts w:ascii="Verdana" w:hAnsi="Verdana"/>
          <w:sz w:val="20"/>
          <w:lang w:val="es-MX"/>
        </w:rPr>
        <w:lastRenderedPageBreak/>
        <w:t xml:space="preserve">información </w:t>
      </w:r>
      <w:r w:rsidR="00F26B00">
        <w:rPr>
          <w:rFonts w:ascii="Verdana" w:hAnsi="Verdana"/>
          <w:sz w:val="20"/>
          <w:lang w:val="es-MX"/>
        </w:rPr>
        <w:t>de</w:t>
      </w:r>
      <w:r w:rsidR="006F5124">
        <w:rPr>
          <w:rFonts w:ascii="Verdana" w:hAnsi="Verdana"/>
          <w:sz w:val="20"/>
          <w:lang w:val="es-MX"/>
        </w:rPr>
        <w:t xml:space="preserve"> la supuesta “acta de incineración [de la relación de efectivos</w:t>
      </w:r>
      <w:r w:rsidR="001C406F">
        <w:rPr>
          <w:rFonts w:ascii="Verdana" w:hAnsi="Verdana"/>
          <w:sz w:val="20"/>
          <w:lang w:val="es-MX"/>
        </w:rPr>
        <w:t xml:space="preserve"> del referido batallón</w:t>
      </w:r>
      <w:r w:rsidR="006F5124">
        <w:rPr>
          <w:rFonts w:ascii="Verdana" w:hAnsi="Verdana"/>
          <w:sz w:val="20"/>
          <w:lang w:val="es-MX"/>
        </w:rPr>
        <w:t>], ni sobre qui</w:t>
      </w:r>
      <w:r w:rsidR="00F26B00">
        <w:rPr>
          <w:rFonts w:ascii="Verdana" w:hAnsi="Verdana"/>
          <w:sz w:val="20"/>
          <w:lang w:val="es-MX"/>
        </w:rPr>
        <w:t>én dio la disposi</w:t>
      </w:r>
      <w:r w:rsidR="006F5124">
        <w:rPr>
          <w:rFonts w:ascii="Verdana" w:hAnsi="Verdana"/>
          <w:sz w:val="20"/>
          <w:lang w:val="es-MX"/>
        </w:rPr>
        <w:t xml:space="preserve">ción del incineramiento de esa información a pesar de que dicho personal estaba bajo sospecha de la desaparición de Jeremías Osorio”; iv) </w:t>
      </w:r>
      <w:r w:rsidR="00F26B00">
        <w:rPr>
          <w:rFonts w:ascii="Verdana" w:hAnsi="Verdana"/>
          <w:sz w:val="20"/>
          <w:lang w:val="es-MX"/>
        </w:rPr>
        <w:t>“el principal sospechoso, el Teniente del Ejército [… que] fue el jefe de la patrulla de la [referida] base contrasubversiva […] ni siquiera fue llamado a declarar por la Fiscalía”</w:t>
      </w:r>
      <w:r w:rsidR="00154C30">
        <w:rPr>
          <w:rFonts w:ascii="Verdana" w:hAnsi="Verdana"/>
          <w:sz w:val="20"/>
          <w:lang w:val="es-MX"/>
        </w:rPr>
        <w:t>, ni tampoco “se ha recabado [su] foja de servicio e informe de eficiencia que puede indicar [sus] actividades […]” durante la fecha de los hechos; y,</w:t>
      </w:r>
      <w:r w:rsidR="00F26B00">
        <w:rPr>
          <w:rFonts w:ascii="Verdana" w:hAnsi="Verdana"/>
          <w:sz w:val="20"/>
          <w:lang w:val="es-MX"/>
        </w:rPr>
        <w:t xml:space="preserve"> v) “en vez de indagar sobre los hechos y perpetradores”, la Fiscalía “está investigando a la víctima” ya que, por ejemplo, la Fiscalía </w:t>
      </w:r>
      <w:r w:rsidR="00C34642">
        <w:rPr>
          <w:rFonts w:ascii="Verdana" w:hAnsi="Verdana"/>
          <w:sz w:val="20"/>
          <w:lang w:val="es-MX"/>
        </w:rPr>
        <w:t>“</w:t>
      </w:r>
      <w:r w:rsidR="00F26B00">
        <w:rPr>
          <w:rFonts w:ascii="Verdana" w:hAnsi="Verdana"/>
          <w:sz w:val="20"/>
          <w:lang w:val="es-MX"/>
        </w:rPr>
        <w:t xml:space="preserve">convocó a [un declarante que </w:t>
      </w:r>
      <w:r w:rsidR="00C34642">
        <w:rPr>
          <w:rFonts w:ascii="Verdana" w:hAnsi="Verdana"/>
          <w:sz w:val="20"/>
          <w:lang w:val="es-MX"/>
        </w:rPr>
        <w:t xml:space="preserve">se </w:t>
      </w:r>
      <w:r w:rsidR="00F26B00">
        <w:rPr>
          <w:rFonts w:ascii="Verdana" w:hAnsi="Verdana"/>
          <w:sz w:val="20"/>
          <w:lang w:val="es-MX"/>
        </w:rPr>
        <w:t xml:space="preserve">encontraba privado de libertad] sobre si conoce </w:t>
      </w:r>
      <w:r w:rsidR="00C34642">
        <w:rPr>
          <w:rFonts w:ascii="Verdana" w:hAnsi="Verdana"/>
          <w:sz w:val="20"/>
          <w:lang w:val="es-MX"/>
        </w:rPr>
        <w:t xml:space="preserve">[de] </w:t>
      </w:r>
      <w:r w:rsidR="00F26B00">
        <w:rPr>
          <w:rFonts w:ascii="Verdana" w:hAnsi="Verdana"/>
          <w:sz w:val="20"/>
          <w:lang w:val="es-MX"/>
        </w:rPr>
        <w:t>alguna imputación de la Policía o la población contra Jeremías Osorio por supuestos actos de terrorismo</w:t>
      </w:r>
      <w:r w:rsidR="00154C30">
        <w:rPr>
          <w:rFonts w:ascii="Verdana" w:hAnsi="Verdana"/>
          <w:sz w:val="20"/>
          <w:lang w:val="es-MX"/>
        </w:rPr>
        <w:t>”</w:t>
      </w:r>
      <w:r w:rsidR="002C5ED8">
        <w:rPr>
          <w:rStyle w:val="Refdenotaalpie"/>
          <w:rFonts w:ascii="Verdana" w:hAnsi="Verdana"/>
          <w:sz w:val="20"/>
          <w:lang w:val="es-MX"/>
        </w:rPr>
        <w:footnoteReference w:id="17"/>
      </w:r>
      <w:r w:rsidR="00154C30">
        <w:rPr>
          <w:rFonts w:ascii="Verdana" w:hAnsi="Verdana"/>
          <w:sz w:val="20"/>
          <w:lang w:val="es-MX"/>
        </w:rPr>
        <w:t xml:space="preserve">. </w:t>
      </w:r>
    </w:p>
    <w:p w14:paraId="3B759714" w14:textId="77777777" w:rsidR="00470A76" w:rsidRPr="00470A76" w:rsidRDefault="00470A76" w:rsidP="00470A76">
      <w:pPr>
        <w:pStyle w:val="Cuadrculamedia1-nfasis21"/>
        <w:spacing w:after="0" w:line="240" w:lineRule="auto"/>
        <w:ind w:left="0"/>
        <w:contextualSpacing w:val="0"/>
        <w:jc w:val="both"/>
        <w:rPr>
          <w:rFonts w:ascii="Verdana" w:hAnsi="Verdana"/>
          <w:sz w:val="10"/>
          <w:szCs w:val="10"/>
          <w:lang w:val="es-MX"/>
        </w:rPr>
      </w:pPr>
    </w:p>
    <w:p w14:paraId="2931B7C7" w14:textId="77777777" w:rsidR="007831C8" w:rsidRPr="007831C8" w:rsidRDefault="004F57BA" w:rsidP="00C72BD8">
      <w:pPr>
        <w:pStyle w:val="Cuadrculamedia1-nfasis2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Es</w:t>
      </w:r>
      <w:r w:rsidR="0031087F">
        <w:rPr>
          <w:rFonts w:ascii="Verdana" w:hAnsi="Verdana"/>
          <w:sz w:val="20"/>
          <w:lang w:val="es-MX"/>
        </w:rPr>
        <w:t>ta Corte</w:t>
      </w:r>
      <w:r w:rsidR="00C72BD8">
        <w:rPr>
          <w:rFonts w:ascii="Verdana" w:hAnsi="Verdana"/>
          <w:sz w:val="20"/>
          <w:lang w:val="es-MX"/>
        </w:rPr>
        <w:t xml:space="preserve"> coincide con los representantes y la Comisión IDH</w:t>
      </w:r>
      <w:r w:rsidR="00AA213A">
        <w:rPr>
          <w:rStyle w:val="Refdenotaalpie"/>
          <w:rFonts w:ascii="Verdana" w:hAnsi="Verdana"/>
          <w:sz w:val="20"/>
          <w:lang w:val="es-MX"/>
        </w:rPr>
        <w:footnoteReference w:id="18"/>
      </w:r>
      <w:r w:rsidR="00C72BD8">
        <w:rPr>
          <w:rFonts w:ascii="Verdana" w:hAnsi="Verdana"/>
          <w:sz w:val="20"/>
          <w:lang w:val="es-MX"/>
        </w:rPr>
        <w:t xml:space="preserve"> </w:t>
      </w:r>
      <w:r>
        <w:rPr>
          <w:rFonts w:ascii="Verdana" w:hAnsi="Verdana"/>
          <w:sz w:val="20"/>
          <w:lang w:val="es-MX"/>
        </w:rPr>
        <w:t>respecto a</w:t>
      </w:r>
      <w:r w:rsidR="00C72BD8">
        <w:rPr>
          <w:rFonts w:ascii="Verdana" w:hAnsi="Verdana"/>
          <w:sz w:val="20"/>
          <w:lang w:val="es-MX"/>
        </w:rPr>
        <w:t xml:space="preserve"> que la información presentada por el Estado “no es satisfactoria”,</w:t>
      </w:r>
      <w:r w:rsidR="007E01F9" w:rsidRPr="007E01F9">
        <w:rPr>
          <w:rFonts w:ascii="Verdana" w:hAnsi="Verdana"/>
          <w:sz w:val="20"/>
          <w:lang w:val="es-MX"/>
        </w:rPr>
        <w:t xml:space="preserve"> </w:t>
      </w:r>
      <w:r w:rsidR="00C72BD8">
        <w:rPr>
          <w:rFonts w:ascii="Verdana" w:hAnsi="Verdana"/>
          <w:sz w:val="20"/>
          <w:lang w:val="es-MX"/>
        </w:rPr>
        <w:t>en cuanto no ha emprendido la obligación de investigar una grave violación de derechos humanos con la debida diligencia que se requiere</w:t>
      </w:r>
      <w:r w:rsidR="00C72BD8">
        <w:rPr>
          <w:rStyle w:val="Refdenotaalpie"/>
          <w:rFonts w:ascii="Verdana" w:hAnsi="Verdana"/>
          <w:sz w:val="20"/>
          <w:lang w:val="es-MX"/>
        </w:rPr>
        <w:footnoteReference w:id="19"/>
      </w:r>
      <w:r w:rsidR="00C72BD8">
        <w:rPr>
          <w:rFonts w:ascii="Verdana" w:hAnsi="Verdana"/>
          <w:sz w:val="20"/>
          <w:lang w:val="es-MX"/>
        </w:rPr>
        <w:t>. Es particularmente preocupante que la Fiscalía</w:t>
      </w:r>
      <w:r w:rsidR="00BE7A98">
        <w:rPr>
          <w:rFonts w:ascii="Verdana" w:hAnsi="Verdana"/>
          <w:sz w:val="20"/>
          <w:lang w:val="es-MX"/>
        </w:rPr>
        <w:t>,</w:t>
      </w:r>
      <w:r w:rsidR="00C72BD8">
        <w:rPr>
          <w:rFonts w:ascii="Verdana" w:hAnsi="Verdana"/>
          <w:sz w:val="20"/>
          <w:lang w:val="es-MX"/>
        </w:rPr>
        <w:t xml:space="preserve"> encargada de </w:t>
      </w:r>
      <w:r w:rsidR="00BE7A98">
        <w:rPr>
          <w:rFonts w:ascii="Verdana" w:hAnsi="Verdana"/>
          <w:sz w:val="20"/>
          <w:lang w:val="es-MX"/>
        </w:rPr>
        <w:t xml:space="preserve">impulsar </w:t>
      </w:r>
      <w:r w:rsidR="00C72BD8">
        <w:rPr>
          <w:rFonts w:ascii="Verdana" w:hAnsi="Verdana"/>
          <w:sz w:val="20"/>
          <w:lang w:val="es-MX"/>
        </w:rPr>
        <w:t>la investigación</w:t>
      </w:r>
      <w:r w:rsidR="00BE7A98">
        <w:rPr>
          <w:rFonts w:ascii="Verdana" w:hAnsi="Verdana"/>
          <w:sz w:val="20"/>
          <w:lang w:val="es-MX"/>
        </w:rPr>
        <w:t>,</w:t>
      </w:r>
      <w:r w:rsidR="00C72BD8">
        <w:rPr>
          <w:rFonts w:ascii="Verdana" w:hAnsi="Verdana"/>
          <w:sz w:val="20"/>
          <w:lang w:val="es-MX"/>
        </w:rPr>
        <w:t xml:space="preserve"> haya realizado un “archivo provisional” de la misma</w:t>
      </w:r>
      <w:r w:rsidR="00BE7A98">
        <w:rPr>
          <w:rFonts w:ascii="Verdana" w:hAnsi="Verdana"/>
          <w:sz w:val="20"/>
          <w:lang w:val="es-MX"/>
        </w:rPr>
        <w:t xml:space="preserve"> por no tener resultados</w:t>
      </w:r>
      <w:r w:rsidR="00C72BD8">
        <w:rPr>
          <w:rFonts w:ascii="Verdana" w:hAnsi="Verdana"/>
          <w:sz w:val="20"/>
          <w:lang w:val="es-MX"/>
        </w:rPr>
        <w:t xml:space="preserve">, así como que </w:t>
      </w:r>
      <w:r w:rsidR="00254C35">
        <w:rPr>
          <w:rFonts w:ascii="Verdana" w:hAnsi="Verdana"/>
          <w:sz w:val="20"/>
          <w:lang w:val="es-MX"/>
        </w:rPr>
        <w:t>justifique su inactividad con</w:t>
      </w:r>
      <w:r w:rsidR="00C72BD8">
        <w:rPr>
          <w:rFonts w:ascii="Verdana" w:hAnsi="Verdana"/>
          <w:sz w:val="20"/>
          <w:lang w:val="es-MX"/>
        </w:rPr>
        <w:t xml:space="preserve"> argumentos </w:t>
      </w:r>
      <w:r w:rsidR="00BE7A98">
        <w:rPr>
          <w:rFonts w:ascii="Verdana" w:hAnsi="Verdana"/>
          <w:sz w:val="20"/>
          <w:lang w:val="es-MX"/>
        </w:rPr>
        <w:t xml:space="preserve">tales como </w:t>
      </w:r>
      <w:r w:rsidR="00254C35">
        <w:rPr>
          <w:rFonts w:ascii="Verdana" w:hAnsi="Verdana"/>
          <w:sz w:val="20"/>
          <w:lang w:val="es-MX"/>
        </w:rPr>
        <w:t>la “lejanía” del lugar de los hechos (</w:t>
      </w:r>
      <w:r w:rsidR="00254C35">
        <w:rPr>
          <w:rFonts w:ascii="Verdana" w:hAnsi="Verdana"/>
          <w:i/>
          <w:sz w:val="20"/>
          <w:lang w:val="es-MX"/>
        </w:rPr>
        <w:t xml:space="preserve">supra </w:t>
      </w:r>
      <w:r w:rsidR="008F4695">
        <w:rPr>
          <w:rFonts w:ascii="Verdana" w:hAnsi="Verdana"/>
          <w:sz w:val="20"/>
          <w:lang w:val="es-MX"/>
        </w:rPr>
        <w:t>Considerandos 5 y 6</w:t>
      </w:r>
      <w:r w:rsidR="00254C35">
        <w:rPr>
          <w:rFonts w:ascii="Verdana" w:hAnsi="Verdana"/>
          <w:sz w:val="20"/>
          <w:lang w:val="es-MX"/>
        </w:rPr>
        <w:t>), sin ni siquiera</w:t>
      </w:r>
      <w:r w:rsidR="00BE46ED">
        <w:rPr>
          <w:rFonts w:ascii="Verdana" w:hAnsi="Verdana"/>
          <w:sz w:val="20"/>
          <w:lang w:val="es-MX"/>
        </w:rPr>
        <w:t xml:space="preserve"> demostrar cómo esta</w:t>
      </w:r>
      <w:r w:rsidR="00254C35">
        <w:rPr>
          <w:rFonts w:ascii="Verdana" w:hAnsi="Verdana"/>
          <w:sz w:val="20"/>
          <w:lang w:val="es-MX"/>
        </w:rPr>
        <w:t xml:space="preserve"> investigando de manera proactiva a miembros del ejército que han sido señalados tanto en la Sentencia como en las diligencias internas, como posible</w:t>
      </w:r>
      <w:r w:rsidR="003711FA">
        <w:rPr>
          <w:rFonts w:ascii="Verdana" w:hAnsi="Verdana"/>
          <w:sz w:val="20"/>
          <w:lang w:val="es-MX"/>
        </w:rPr>
        <w:t>s</w:t>
      </w:r>
      <w:r w:rsidR="00254C35">
        <w:rPr>
          <w:rFonts w:ascii="Verdana" w:hAnsi="Verdana"/>
          <w:sz w:val="20"/>
          <w:lang w:val="es-MX"/>
        </w:rPr>
        <w:t xml:space="preserve"> responsables.</w:t>
      </w:r>
      <w:r w:rsidR="00E337AE">
        <w:rPr>
          <w:rFonts w:ascii="Verdana" w:hAnsi="Verdana"/>
          <w:sz w:val="20"/>
          <w:lang w:val="es-MX"/>
        </w:rPr>
        <w:t xml:space="preserve"> </w:t>
      </w:r>
      <w:r w:rsidR="00254C35">
        <w:rPr>
          <w:rFonts w:ascii="Verdana" w:hAnsi="Verdana"/>
          <w:sz w:val="20"/>
          <w:lang w:val="es-MX"/>
        </w:rPr>
        <w:t xml:space="preserve">Además, este Tribunal considera </w:t>
      </w:r>
      <w:r w:rsidR="00E00C0F">
        <w:rPr>
          <w:rFonts w:ascii="Verdana" w:hAnsi="Verdana"/>
          <w:sz w:val="20"/>
          <w:lang w:val="es-MX"/>
        </w:rPr>
        <w:t xml:space="preserve">que </w:t>
      </w:r>
      <w:r w:rsidR="00254C35">
        <w:rPr>
          <w:rFonts w:ascii="Verdana" w:hAnsi="Verdana"/>
          <w:sz w:val="20"/>
          <w:lang w:val="es-MX"/>
        </w:rPr>
        <w:t>la inactividad del ente investigador ante una desaparición forzada que inició hace veintiocho años</w:t>
      </w:r>
      <w:r w:rsidR="00BE7A98">
        <w:rPr>
          <w:rFonts w:ascii="Verdana" w:hAnsi="Verdana"/>
          <w:sz w:val="20"/>
          <w:lang w:val="es-MX"/>
        </w:rPr>
        <w:t xml:space="preserve">, </w:t>
      </w:r>
      <w:r w:rsidR="00E00C0F">
        <w:rPr>
          <w:rFonts w:ascii="Verdana" w:hAnsi="Verdana"/>
          <w:sz w:val="20"/>
          <w:lang w:val="es-MX"/>
        </w:rPr>
        <w:t>la cual ha debido</w:t>
      </w:r>
      <w:r w:rsidR="008E635E">
        <w:rPr>
          <w:rFonts w:ascii="Verdana" w:hAnsi="Verdana"/>
          <w:sz w:val="20"/>
          <w:lang w:val="es-MX"/>
        </w:rPr>
        <w:t xml:space="preserve"> depender</w:t>
      </w:r>
      <w:r w:rsidR="00254C35">
        <w:rPr>
          <w:rFonts w:ascii="Verdana" w:hAnsi="Verdana"/>
          <w:sz w:val="20"/>
          <w:lang w:val="es-MX"/>
        </w:rPr>
        <w:t xml:space="preserve"> </w:t>
      </w:r>
      <w:r w:rsidR="00E00C0F">
        <w:rPr>
          <w:rFonts w:ascii="Verdana" w:hAnsi="Verdana"/>
          <w:sz w:val="20"/>
          <w:lang w:val="es-MX"/>
        </w:rPr>
        <w:t>d</w:t>
      </w:r>
      <w:r w:rsidR="00254C35">
        <w:rPr>
          <w:rFonts w:ascii="Verdana" w:hAnsi="Verdana"/>
          <w:sz w:val="20"/>
          <w:lang w:val="es-MX"/>
        </w:rPr>
        <w:t xml:space="preserve">el impulso de la investigación de gestiones </w:t>
      </w:r>
      <w:r w:rsidR="008E635E">
        <w:rPr>
          <w:rFonts w:ascii="Verdana" w:hAnsi="Verdana"/>
          <w:sz w:val="20"/>
          <w:lang w:val="es-MX"/>
        </w:rPr>
        <w:t>realizadas por</w:t>
      </w:r>
      <w:r w:rsidR="00254C35">
        <w:rPr>
          <w:rFonts w:ascii="Verdana" w:hAnsi="Verdana"/>
          <w:sz w:val="20"/>
          <w:lang w:val="es-MX"/>
        </w:rPr>
        <w:t xml:space="preserve"> los representantes de las víctimas (</w:t>
      </w:r>
      <w:r w:rsidR="00254C35">
        <w:rPr>
          <w:rFonts w:ascii="Verdana" w:hAnsi="Verdana"/>
          <w:i/>
          <w:sz w:val="20"/>
          <w:lang w:val="es-MX"/>
        </w:rPr>
        <w:t xml:space="preserve">supra </w:t>
      </w:r>
      <w:r w:rsidR="008F4695">
        <w:rPr>
          <w:rFonts w:ascii="Verdana" w:hAnsi="Verdana"/>
          <w:sz w:val="20"/>
          <w:lang w:val="es-MX"/>
        </w:rPr>
        <w:t>Considerando 6</w:t>
      </w:r>
      <w:r w:rsidR="00254C35">
        <w:rPr>
          <w:rFonts w:ascii="Verdana" w:hAnsi="Verdana"/>
          <w:sz w:val="20"/>
          <w:lang w:val="es-MX"/>
        </w:rPr>
        <w:t>)</w:t>
      </w:r>
      <w:r w:rsidR="00461544">
        <w:rPr>
          <w:rFonts w:ascii="Verdana" w:hAnsi="Verdana"/>
          <w:sz w:val="20"/>
          <w:lang w:val="es-MX"/>
        </w:rPr>
        <w:t>, es una muestra de falta de debida diligencia</w:t>
      </w:r>
      <w:r w:rsidR="00E00C0F">
        <w:rPr>
          <w:rFonts w:ascii="Verdana" w:hAnsi="Verdana"/>
          <w:sz w:val="20"/>
          <w:lang w:val="es-MX"/>
        </w:rPr>
        <w:t xml:space="preserve"> por parte del Estado</w:t>
      </w:r>
      <w:r w:rsidR="00254C35">
        <w:rPr>
          <w:rFonts w:ascii="Verdana" w:hAnsi="Verdana"/>
          <w:sz w:val="20"/>
          <w:lang w:val="es-MX"/>
        </w:rPr>
        <w:t xml:space="preserve">. </w:t>
      </w:r>
      <w:r w:rsidR="007831C8">
        <w:rPr>
          <w:rFonts w:ascii="Verdana" w:hAnsi="Verdana"/>
          <w:sz w:val="20"/>
          <w:lang w:val="es-MX"/>
        </w:rPr>
        <w:t xml:space="preserve">En este sentido, esta Corte recuerda </w:t>
      </w:r>
      <w:r w:rsidR="00BE7A98">
        <w:rPr>
          <w:rFonts w:ascii="Verdana" w:hAnsi="Verdana"/>
          <w:sz w:val="20"/>
          <w:lang w:val="es-MX"/>
        </w:rPr>
        <w:t xml:space="preserve">al Perú </w:t>
      </w:r>
      <w:r w:rsidR="007831C8">
        <w:rPr>
          <w:rFonts w:ascii="Verdana" w:hAnsi="Verdana"/>
          <w:sz w:val="20"/>
          <w:lang w:val="es-MX"/>
        </w:rPr>
        <w:t xml:space="preserve">su jurisprudencia constante que indica que el </w:t>
      </w:r>
      <w:r w:rsidR="007831C8" w:rsidRPr="007831C8">
        <w:rPr>
          <w:rFonts w:ascii="Verdana" w:hAnsi="Verdana"/>
          <w:sz w:val="20"/>
          <w:lang w:val="es-MX"/>
        </w:rPr>
        <w:t>deber de investigar es una obligación de medios y no de resultado, que debe ser asumida por el Estado como un deber jurídico propio y no como una simple formalidad condenada de antemano a ser infructuosa, o como una mera gestión de intereses particulares, que dependa de la iniciativa procesal de las víctimas, de sus familiares o de la aportación privada de elementos probatorios</w:t>
      </w:r>
      <w:r w:rsidR="007831C8">
        <w:rPr>
          <w:rStyle w:val="Refdenotaalpie"/>
          <w:rFonts w:ascii="Verdana" w:hAnsi="Verdana"/>
          <w:sz w:val="20"/>
          <w:lang w:val="es-MX"/>
        </w:rPr>
        <w:footnoteReference w:id="20"/>
      </w:r>
      <w:r w:rsidR="007831C8" w:rsidRPr="007831C8">
        <w:rPr>
          <w:rFonts w:ascii="Verdana" w:hAnsi="Verdana"/>
          <w:sz w:val="20"/>
          <w:lang w:val="es-MX"/>
        </w:rPr>
        <w:t>.</w:t>
      </w:r>
      <w:r w:rsidR="007831C8">
        <w:rPr>
          <w:rFonts w:ascii="Verdana" w:hAnsi="Verdana"/>
          <w:sz w:val="20"/>
          <w:lang w:val="es-MX"/>
        </w:rPr>
        <w:t xml:space="preserve"> </w:t>
      </w:r>
    </w:p>
    <w:p w14:paraId="73641B24" w14:textId="77777777" w:rsidR="007831C8" w:rsidRPr="008E635E" w:rsidRDefault="007831C8" w:rsidP="007831C8">
      <w:pPr>
        <w:pStyle w:val="Cuadrculamedia1-nfasis21"/>
        <w:spacing w:after="0" w:line="240" w:lineRule="auto"/>
        <w:ind w:left="0"/>
        <w:contextualSpacing w:val="0"/>
        <w:jc w:val="both"/>
        <w:rPr>
          <w:rFonts w:ascii="Verdana" w:hAnsi="Verdana"/>
          <w:sz w:val="10"/>
          <w:szCs w:val="10"/>
          <w:lang w:val="es-CR"/>
        </w:rPr>
      </w:pPr>
    </w:p>
    <w:p w14:paraId="627229B7" w14:textId="77777777" w:rsidR="00C72BD8" w:rsidRPr="00FF7A94" w:rsidRDefault="007831C8" w:rsidP="00C72BD8">
      <w:pPr>
        <w:pStyle w:val="Cuadrculamedia1-nfasis21"/>
        <w:numPr>
          <w:ilvl w:val="0"/>
          <w:numId w:val="26"/>
        </w:numPr>
        <w:spacing w:after="0" w:line="240" w:lineRule="auto"/>
        <w:ind w:left="0" w:firstLine="0"/>
        <w:contextualSpacing w:val="0"/>
        <w:jc w:val="both"/>
        <w:rPr>
          <w:rFonts w:ascii="Verdana" w:hAnsi="Verdana"/>
          <w:sz w:val="20"/>
          <w:szCs w:val="20"/>
          <w:lang w:val="es-CR"/>
        </w:rPr>
      </w:pPr>
      <w:r>
        <w:rPr>
          <w:rFonts w:ascii="Verdana" w:hAnsi="Verdana"/>
          <w:sz w:val="20"/>
          <w:lang w:val="es-CR"/>
        </w:rPr>
        <w:t>Asimismo, este Tribunal</w:t>
      </w:r>
      <w:r w:rsidR="00C72BD8">
        <w:rPr>
          <w:rFonts w:ascii="Verdana" w:hAnsi="Verdana"/>
          <w:sz w:val="20"/>
          <w:lang w:val="es-MX"/>
        </w:rPr>
        <w:t xml:space="preserve"> recuerda que en la Sentencia del presente caso</w:t>
      </w:r>
      <w:r w:rsidR="007F3815">
        <w:rPr>
          <w:rStyle w:val="Refdenotaalpie"/>
          <w:rFonts w:ascii="Verdana" w:hAnsi="Verdana"/>
          <w:sz w:val="20"/>
          <w:lang w:val="es-MX"/>
        </w:rPr>
        <w:footnoteReference w:id="21"/>
      </w:r>
      <w:r w:rsidR="00C72BD8">
        <w:rPr>
          <w:rFonts w:ascii="Verdana" w:hAnsi="Verdana"/>
          <w:sz w:val="20"/>
          <w:lang w:val="es-MX"/>
        </w:rPr>
        <w:t xml:space="preserve"> indicó al Perú que</w:t>
      </w:r>
      <w:r w:rsidR="00117D2D">
        <w:rPr>
          <w:rFonts w:ascii="Verdana" w:hAnsi="Verdana"/>
          <w:sz w:val="20"/>
          <w:lang w:val="es-MX"/>
        </w:rPr>
        <w:t>,</w:t>
      </w:r>
      <w:r w:rsidR="00C72BD8">
        <w:rPr>
          <w:rFonts w:ascii="Verdana" w:hAnsi="Verdana"/>
          <w:sz w:val="20"/>
          <w:lang w:val="es-MX"/>
        </w:rPr>
        <w:t xml:space="preserve"> para llevar a cabo </w:t>
      </w:r>
      <w:r w:rsidR="00C72BD8" w:rsidRPr="00FF7A94">
        <w:rPr>
          <w:rFonts w:ascii="Verdana" w:hAnsi="Verdana"/>
          <w:sz w:val="20"/>
          <w:lang w:val="es-MX"/>
        </w:rPr>
        <w:t>la presente obligación, debe:</w:t>
      </w:r>
    </w:p>
    <w:p w14:paraId="50B73236" w14:textId="77777777" w:rsidR="00C72BD8" w:rsidRPr="00FF7A94" w:rsidRDefault="00C72BD8" w:rsidP="00C72BD8">
      <w:pPr>
        <w:autoSpaceDE w:val="0"/>
        <w:autoSpaceDN w:val="0"/>
        <w:adjustRightInd w:val="0"/>
        <w:spacing w:after="0" w:line="240" w:lineRule="auto"/>
        <w:jc w:val="both"/>
        <w:rPr>
          <w:rFonts w:ascii="Verdana" w:hAnsi="Verdana"/>
          <w:sz w:val="10"/>
          <w:szCs w:val="10"/>
          <w:lang w:val="es-CR"/>
        </w:rPr>
      </w:pPr>
    </w:p>
    <w:p w14:paraId="1F0E2E91" w14:textId="77777777" w:rsidR="00C72BD8" w:rsidRPr="00FF7A94" w:rsidRDefault="00C72BD8" w:rsidP="00C72BD8">
      <w:pPr>
        <w:tabs>
          <w:tab w:val="left" w:pos="720"/>
        </w:tabs>
        <w:spacing w:after="0" w:line="240" w:lineRule="auto"/>
        <w:ind w:left="720" w:right="720"/>
        <w:jc w:val="both"/>
        <w:rPr>
          <w:rFonts w:ascii="Verdana" w:eastAsia="Times New Roman" w:hAnsi="Verdana"/>
          <w:sz w:val="19"/>
          <w:szCs w:val="19"/>
          <w:lang w:val="es-CR"/>
        </w:rPr>
      </w:pPr>
      <w:r w:rsidRPr="00FF7A94">
        <w:rPr>
          <w:rFonts w:ascii="Verdana" w:eastAsia="Times New Roman" w:hAnsi="Verdana"/>
          <w:sz w:val="19"/>
          <w:szCs w:val="19"/>
          <w:lang w:val="es-CR"/>
        </w:rPr>
        <w:t xml:space="preserve">a) </w:t>
      </w:r>
      <w:r w:rsidRPr="00FF7A94">
        <w:rPr>
          <w:rFonts w:ascii="Verdana" w:eastAsia="Times New Roman" w:hAnsi="Verdana"/>
          <w:sz w:val="19"/>
          <w:szCs w:val="19"/>
          <w:lang w:val="es-CR"/>
        </w:rPr>
        <w:tab/>
        <w:t xml:space="preserve">iniciar y </w:t>
      </w:r>
      <w:r w:rsidRPr="00FF7A94">
        <w:rPr>
          <w:rFonts w:ascii="Verdana" w:eastAsia="Times New Roman" w:hAnsi="Verdana" w:cs="Verdana"/>
          <w:sz w:val="19"/>
          <w:szCs w:val="19"/>
          <w:lang w:val="es-CR"/>
        </w:rPr>
        <w:t xml:space="preserve">realizar la o las investigaciones pertinentes en relación con los hechos del presente caso </w:t>
      </w:r>
      <w:r w:rsidRPr="00FF7A94">
        <w:rPr>
          <w:rFonts w:ascii="Verdana" w:eastAsia="Times New Roman" w:hAnsi="Verdana"/>
          <w:sz w:val="19"/>
          <w:szCs w:val="19"/>
          <w:lang w:val="es-CR"/>
        </w:rPr>
        <w:t>evitando omisiones en la recolección de prueba y en el seguimiento de líneas lógicas de investigación;</w:t>
      </w:r>
    </w:p>
    <w:p w14:paraId="7E1D2832" w14:textId="77777777" w:rsidR="00C72BD8" w:rsidRPr="00FF7A94" w:rsidRDefault="00C72BD8" w:rsidP="00C72BD8">
      <w:pPr>
        <w:tabs>
          <w:tab w:val="left" w:pos="720"/>
        </w:tabs>
        <w:spacing w:after="0" w:line="240" w:lineRule="auto"/>
        <w:ind w:left="720" w:right="720"/>
        <w:jc w:val="both"/>
        <w:rPr>
          <w:rFonts w:ascii="Verdana" w:eastAsia="Times New Roman" w:hAnsi="Verdana"/>
          <w:sz w:val="19"/>
          <w:szCs w:val="19"/>
          <w:lang w:val="es-CR"/>
        </w:rPr>
      </w:pPr>
      <w:r w:rsidRPr="00FF7A94">
        <w:rPr>
          <w:rFonts w:ascii="Verdana" w:eastAsia="Times New Roman" w:hAnsi="Verdana"/>
          <w:sz w:val="19"/>
          <w:szCs w:val="19"/>
          <w:lang w:val="es-CR"/>
        </w:rPr>
        <w:t>b)</w:t>
      </w:r>
      <w:r w:rsidRPr="00FF7A94">
        <w:rPr>
          <w:rFonts w:ascii="Verdana" w:eastAsia="Times New Roman" w:hAnsi="Verdana"/>
          <w:sz w:val="19"/>
          <w:szCs w:val="19"/>
          <w:lang w:val="es-CR"/>
        </w:rPr>
        <w:tab/>
        <w:t>investigar con debida diligencia abarcando de forma integral los elementos que configuran la desaparición forzada;</w:t>
      </w:r>
    </w:p>
    <w:p w14:paraId="3F9BF6DB" w14:textId="77777777" w:rsidR="00C72BD8" w:rsidRPr="00FF7A94" w:rsidRDefault="00C72BD8" w:rsidP="00C72BD8">
      <w:pPr>
        <w:tabs>
          <w:tab w:val="left" w:pos="720"/>
        </w:tabs>
        <w:spacing w:after="0" w:line="240" w:lineRule="auto"/>
        <w:ind w:left="720" w:right="720"/>
        <w:jc w:val="both"/>
        <w:rPr>
          <w:rFonts w:ascii="Verdana" w:eastAsia="Times New Roman" w:hAnsi="Verdana" w:cs="Verdana"/>
          <w:sz w:val="19"/>
          <w:szCs w:val="19"/>
          <w:lang w:val="es-CR"/>
        </w:rPr>
      </w:pPr>
      <w:r w:rsidRPr="00FF7A94">
        <w:rPr>
          <w:rFonts w:ascii="Verdana" w:eastAsia="Times New Roman" w:hAnsi="Verdana"/>
          <w:sz w:val="19"/>
          <w:szCs w:val="19"/>
          <w:lang w:val="es-CR"/>
        </w:rPr>
        <w:t>c)</w:t>
      </w:r>
      <w:r w:rsidRPr="00FF7A94">
        <w:rPr>
          <w:rFonts w:ascii="Verdana" w:eastAsia="Times New Roman" w:hAnsi="Verdana"/>
          <w:sz w:val="19"/>
          <w:szCs w:val="19"/>
          <w:lang w:val="es-CR"/>
        </w:rPr>
        <w:tab/>
        <w:t>identificar</w:t>
      </w:r>
      <w:r w:rsidRPr="00FF7A94">
        <w:rPr>
          <w:rFonts w:ascii="Verdana" w:eastAsia="Times New Roman" w:hAnsi="Verdana" w:cs="Verdana"/>
          <w:sz w:val="19"/>
          <w:szCs w:val="19"/>
          <w:lang w:val="es-CR"/>
        </w:rPr>
        <w:t xml:space="preserve"> e </w:t>
      </w:r>
      <w:r w:rsidRPr="00FF7A94">
        <w:rPr>
          <w:rFonts w:ascii="Verdana" w:eastAsia="Times New Roman" w:hAnsi="Verdana"/>
          <w:sz w:val="19"/>
          <w:szCs w:val="19"/>
          <w:lang w:val="es-CR"/>
        </w:rPr>
        <w:t xml:space="preserve">individualizar </w:t>
      </w:r>
      <w:r w:rsidRPr="00FF7A94">
        <w:rPr>
          <w:rFonts w:ascii="Verdana" w:eastAsia="Times New Roman" w:hAnsi="Verdana" w:cs="Verdana"/>
          <w:sz w:val="19"/>
          <w:szCs w:val="19"/>
          <w:lang w:val="es-CR"/>
        </w:rPr>
        <w:t>a los autores materiales e intelectuales de la desaparición forzada de la víctima;</w:t>
      </w:r>
    </w:p>
    <w:p w14:paraId="5D5A1097" w14:textId="77777777" w:rsidR="00C72BD8" w:rsidRPr="00FF7A94" w:rsidRDefault="00C72BD8" w:rsidP="00C72BD8">
      <w:pPr>
        <w:tabs>
          <w:tab w:val="left" w:pos="720"/>
        </w:tabs>
        <w:spacing w:after="0" w:line="240" w:lineRule="auto"/>
        <w:ind w:left="720" w:right="720"/>
        <w:jc w:val="both"/>
        <w:rPr>
          <w:rFonts w:ascii="Verdana" w:eastAsia="Times New Roman" w:hAnsi="Verdana"/>
          <w:sz w:val="19"/>
          <w:szCs w:val="19"/>
          <w:lang w:val="es-CR"/>
        </w:rPr>
      </w:pPr>
      <w:r w:rsidRPr="00FF7A94">
        <w:rPr>
          <w:rFonts w:ascii="Verdana" w:eastAsia="Times New Roman" w:hAnsi="Verdana"/>
          <w:sz w:val="19"/>
          <w:szCs w:val="19"/>
          <w:lang w:val="es-CR"/>
        </w:rPr>
        <w:t xml:space="preserve">d) </w:t>
      </w:r>
      <w:r w:rsidRPr="00FF7A94">
        <w:rPr>
          <w:rFonts w:ascii="Verdana" w:eastAsia="Times New Roman" w:hAnsi="Verdana"/>
          <w:sz w:val="19"/>
          <w:szCs w:val="19"/>
          <w:lang w:val="es-CR"/>
        </w:rPr>
        <w:tab/>
        <w:t xml:space="preserve">asegurarse que las autoridades competentes realicen las investigaciones correspondientes </w:t>
      </w:r>
      <w:r w:rsidRPr="00FF7A94">
        <w:rPr>
          <w:rFonts w:ascii="Verdana" w:eastAsia="Times New Roman" w:hAnsi="Verdana"/>
          <w:i/>
          <w:sz w:val="19"/>
          <w:szCs w:val="19"/>
          <w:lang w:val="es-CR"/>
        </w:rPr>
        <w:t>ex officio</w:t>
      </w:r>
      <w:r w:rsidRPr="00FF7A94">
        <w:rPr>
          <w:rFonts w:ascii="Verdana" w:eastAsia="Times New Roman" w:hAnsi="Verdana"/>
          <w:sz w:val="19"/>
          <w:szCs w:val="19"/>
          <w:lang w:val="es-CR"/>
        </w:rPr>
        <w:t xml:space="preserve">,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a la persona desaparecida del presente caso; </w:t>
      </w:r>
    </w:p>
    <w:p w14:paraId="633B534F" w14:textId="77777777" w:rsidR="00C72BD8" w:rsidRPr="00FF7A94" w:rsidRDefault="00C72BD8" w:rsidP="00C72BD8">
      <w:pPr>
        <w:tabs>
          <w:tab w:val="left" w:pos="720"/>
        </w:tabs>
        <w:spacing w:after="0" w:line="240" w:lineRule="auto"/>
        <w:ind w:left="720" w:right="720"/>
        <w:jc w:val="both"/>
        <w:rPr>
          <w:rFonts w:ascii="Verdana" w:eastAsia="Times New Roman" w:hAnsi="Verdana"/>
          <w:sz w:val="19"/>
          <w:szCs w:val="19"/>
          <w:lang w:val="es-CR"/>
        </w:rPr>
      </w:pPr>
      <w:r w:rsidRPr="00FF7A94">
        <w:rPr>
          <w:rFonts w:ascii="Verdana" w:eastAsia="Times New Roman" w:hAnsi="Verdana" w:cs="Verdana"/>
          <w:sz w:val="19"/>
          <w:szCs w:val="19"/>
          <w:lang w:val="es-CR"/>
        </w:rPr>
        <w:t xml:space="preserve">e) </w:t>
      </w:r>
      <w:r w:rsidRPr="00FF7A94">
        <w:rPr>
          <w:rFonts w:ascii="Verdana" w:eastAsia="Times New Roman" w:hAnsi="Verdana" w:cs="Verdana"/>
          <w:sz w:val="19"/>
          <w:szCs w:val="19"/>
          <w:lang w:val="es-CR"/>
        </w:rPr>
        <w:tab/>
      </w:r>
      <w:r w:rsidRPr="00FF7A94">
        <w:rPr>
          <w:rFonts w:ascii="Verdana" w:eastAsia="Times New Roman" w:hAnsi="Verdana"/>
          <w:sz w:val="19"/>
          <w:szCs w:val="19"/>
          <w:lang w:val="es-CR"/>
        </w:rPr>
        <w:t xml:space="preserve">por tratarse de una violación grave de derechos humanos, y en consideración del carácter permanente o continuo de la desaparición forzada </w:t>
      </w:r>
      <w:r w:rsidRPr="00FF7A94">
        <w:rPr>
          <w:rFonts w:ascii="Verdana" w:eastAsia="Batang" w:hAnsi="Verdana"/>
          <w:sz w:val="19"/>
          <w:szCs w:val="19"/>
          <w:lang w:val="es-CR"/>
        </w:rPr>
        <w:t>cuyos efectos no cesan mientras no se establezca el paradero de la víctima o se identifiquen sus restos</w:t>
      </w:r>
      <w:r w:rsidRPr="00FF7A94">
        <w:rPr>
          <w:rFonts w:ascii="Verdana" w:eastAsia="Times New Roman" w:hAnsi="Verdana"/>
          <w:sz w:val="19"/>
          <w:szCs w:val="19"/>
          <w:lang w:val="es-CR"/>
        </w:rPr>
        <w:t xml:space="preserve">, el Estado </w:t>
      </w:r>
      <w:r w:rsidRPr="00FF7A94">
        <w:rPr>
          <w:rFonts w:ascii="Verdana" w:eastAsia="Times New Roman" w:hAnsi="Verdana" w:cs="Verdana"/>
          <w:sz w:val="19"/>
          <w:szCs w:val="19"/>
          <w:lang w:val="es-CR"/>
        </w:rPr>
        <w:t xml:space="preserve">debe abstenerse de recurrir a figuras como la amnistía </w:t>
      </w:r>
      <w:r w:rsidRPr="00FF7A94">
        <w:rPr>
          <w:rFonts w:ascii="Verdana" w:eastAsia="Times New Roman" w:hAnsi="Verdana"/>
          <w:sz w:val="19"/>
          <w:szCs w:val="19"/>
          <w:lang w:val="es-CR"/>
        </w:rPr>
        <w:t>en beneficio de los autores</w:t>
      </w:r>
      <w:r w:rsidRPr="00FF7A94">
        <w:rPr>
          <w:rFonts w:ascii="Verdana" w:eastAsia="Times New Roman" w:hAnsi="Verdana" w:cs="Verdana"/>
          <w:sz w:val="19"/>
          <w:szCs w:val="19"/>
          <w:lang w:val="es-CR"/>
        </w:rPr>
        <w:t xml:space="preserve">, </w:t>
      </w:r>
      <w:r w:rsidRPr="00FF7A94">
        <w:rPr>
          <w:rFonts w:ascii="Verdana" w:eastAsia="Times New Roman" w:hAnsi="Verdana"/>
          <w:sz w:val="19"/>
          <w:szCs w:val="19"/>
          <w:lang w:val="es-CR"/>
        </w:rPr>
        <w:t>así como ninguna otra disposición análoga,</w:t>
      </w:r>
      <w:r w:rsidRPr="00FF7A94">
        <w:rPr>
          <w:rFonts w:ascii="Verdana" w:eastAsia="Times New Roman" w:hAnsi="Verdana" w:cs="Verdana"/>
          <w:sz w:val="19"/>
          <w:szCs w:val="19"/>
          <w:lang w:val="es-CR"/>
        </w:rPr>
        <w:t xml:space="preserve"> la prescripción, irretroactividad de la ley penal, cosa juzgada, </w:t>
      </w:r>
      <w:r w:rsidRPr="00FF7A94">
        <w:rPr>
          <w:rFonts w:ascii="Verdana" w:eastAsia="Times New Roman" w:hAnsi="Verdana" w:cs="Verdana"/>
          <w:i/>
          <w:sz w:val="19"/>
          <w:szCs w:val="19"/>
          <w:lang w:val="es-CR"/>
        </w:rPr>
        <w:t>ne bis in idem</w:t>
      </w:r>
      <w:r w:rsidRPr="00FF7A94">
        <w:rPr>
          <w:rFonts w:ascii="Verdana" w:eastAsia="Times New Roman" w:hAnsi="Verdana" w:cs="Verdana"/>
          <w:sz w:val="19"/>
          <w:szCs w:val="19"/>
          <w:lang w:val="es-CR"/>
        </w:rPr>
        <w:t xml:space="preserve"> o cualquier eximente similar de responsabilidad, </w:t>
      </w:r>
      <w:r w:rsidRPr="00FF7A94">
        <w:rPr>
          <w:rFonts w:ascii="Verdana" w:eastAsia="Times New Roman" w:hAnsi="Verdana"/>
          <w:sz w:val="19"/>
          <w:szCs w:val="19"/>
          <w:lang w:val="es-CR"/>
        </w:rPr>
        <w:t>para excusarse de esta obligación, y</w:t>
      </w:r>
    </w:p>
    <w:p w14:paraId="75F7F176" w14:textId="77777777" w:rsidR="00C72BD8" w:rsidRPr="00C72BD8" w:rsidRDefault="00C72BD8" w:rsidP="00C72BD8">
      <w:pPr>
        <w:tabs>
          <w:tab w:val="left" w:pos="720"/>
        </w:tabs>
        <w:spacing w:after="0" w:line="240" w:lineRule="auto"/>
        <w:ind w:left="720" w:right="720"/>
        <w:jc w:val="both"/>
        <w:rPr>
          <w:rFonts w:ascii="Verdana" w:eastAsia="Times New Roman" w:hAnsi="Verdana"/>
          <w:sz w:val="19"/>
          <w:szCs w:val="19"/>
          <w:lang w:val="es-CR"/>
        </w:rPr>
      </w:pPr>
      <w:r w:rsidRPr="00FF7A94">
        <w:rPr>
          <w:rFonts w:ascii="Verdana" w:eastAsia="Times New Roman" w:hAnsi="Verdana"/>
          <w:sz w:val="19"/>
          <w:szCs w:val="19"/>
          <w:lang w:val="es-CR"/>
        </w:rPr>
        <w:t xml:space="preserve">f) </w:t>
      </w:r>
      <w:r w:rsidRPr="00FF7A94">
        <w:rPr>
          <w:rFonts w:ascii="Verdana" w:eastAsia="Times New Roman" w:hAnsi="Verdana"/>
          <w:sz w:val="19"/>
          <w:szCs w:val="19"/>
          <w:lang w:val="es-CR"/>
        </w:rPr>
        <w:tab/>
        <w:t>garantizar que las investigaciones por los hechos constitutivos de la desaparición forzada del presente caso se mantengan, en todo momento, bajo conocimiento de la jurisdicción ordinaria.</w:t>
      </w:r>
    </w:p>
    <w:p w14:paraId="43F72E0F" w14:textId="77777777" w:rsidR="00C72BD8" w:rsidRPr="00084C87" w:rsidRDefault="00C72BD8" w:rsidP="006946C8">
      <w:pPr>
        <w:pStyle w:val="Cuadrculamedia1-nfasis21"/>
        <w:spacing w:after="0" w:line="240" w:lineRule="auto"/>
        <w:ind w:left="0"/>
        <w:contextualSpacing w:val="0"/>
        <w:jc w:val="both"/>
        <w:rPr>
          <w:rFonts w:ascii="Verdana" w:hAnsi="Verdana"/>
          <w:sz w:val="10"/>
          <w:szCs w:val="10"/>
          <w:lang w:val="es-MX"/>
        </w:rPr>
      </w:pPr>
    </w:p>
    <w:p w14:paraId="7CAEC864" w14:textId="77777777" w:rsidR="004F57BA" w:rsidRPr="00120501" w:rsidRDefault="004F57BA" w:rsidP="00120501">
      <w:pPr>
        <w:widowControl w:val="0"/>
        <w:numPr>
          <w:ilvl w:val="0"/>
          <w:numId w:val="26"/>
        </w:numPr>
        <w:autoSpaceDE w:val="0"/>
        <w:autoSpaceDN w:val="0"/>
        <w:adjustRightInd w:val="0"/>
        <w:spacing w:after="0" w:line="240" w:lineRule="auto"/>
        <w:ind w:left="0" w:firstLine="0"/>
        <w:jc w:val="both"/>
        <w:rPr>
          <w:rFonts w:ascii="Verdana" w:hAnsi="Verdana"/>
          <w:sz w:val="20"/>
          <w:szCs w:val="20"/>
          <w:lang w:val="es-ES"/>
        </w:rPr>
      </w:pPr>
      <w:r w:rsidRPr="00120501">
        <w:rPr>
          <w:rFonts w:ascii="Verdana" w:hAnsi="Verdana"/>
          <w:sz w:val="20"/>
          <w:szCs w:val="20"/>
          <w:lang w:val="es-ES"/>
        </w:rPr>
        <w:t xml:space="preserve">Esta Corte requiere que el Estado del Perú presente, dentro del plazo establecido en el punto dispositivo </w:t>
      </w:r>
      <w:r w:rsidR="00774571">
        <w:rPr>
          <w:rFonts w:ascii="Verdana" w:hAnsi="Verdana"/>
          <w:sz w:val="20"/>
          <w:szCs w:val="20"/>
          <w:lang w:val="es-ES"/>
        </w:rPr>
        <w:t>quinto</w:t>
      </w:r>
      <w:r w:rsidRPr="00120501">
        <w:rPr>
          <w:rFonts w:ascii="Verdana" w:hAnsi="Verdana"/>
          <w:sz w:val="20"/>
          <w:szCs w:val="20"/>
          <w:lang w:val="es-ES"/>
        </w:rPr>
        <w:t xml:space="preserve"> de la presente Resolución, un informe detallado, completo y actualizado respecto de las acciones realizadas para dar cumplimiento a la presente obligación y, en particular, deberá referirse a: i) el estado actual de la investigación; ii) </w:t>
      </w:r>
      <w:r w:rsidR="00120501">
        <w:rPr>
          <w:rFonts w:ascii="Verdana" w:hAnsi="Verdana"/>
          <w:sz w:val="20"/>
          <w:szCs w:val="20"/>
          <w:lang w:val="es-ES"/>
        </w:rPr>
        <w:t>cuáles son</w:t>
      </w:r>
      <w:r w:rsidR="00120501" w:rsidRPr="00120501">
        <w:rPr>
          <w:rFonts w:ascii="Verdana" w:hAnsi="Verdana"/>
          <w:sz w:val="20"/>
          <w:szCs w:val="20"/>
          <w:lang w:val="es-ES"/>
        </w:rPr>
        <w:t xml:space="preserve"> las líneas de investigación, alternativas y demás mecanismos que están al alcance de la Fiscalía, con el fin de cumplir con la obligación estatal de investigación de los hechos del presente caso, y en especial aquellas que permitan dar celeridad a la investigación</w:t>
      </w:r>
      <w:r w:rsidR="00120501">
        <w:rPr>
          <w:rFonts w:ascii="Verdana" w:hAnsi="Verdana"/>
          <w:sz w:val="20"/>
          <w:szCs w:val="20"/>
          <w:lang w:val="es-ES"/>
        </w:rPr>
        <w:t xml:space="preserve">; iii) </w:t>
      </w:r>
      <w:r w:rsidRPr="00120501">
        <w:rPr>
          <w:rFonts w:ascii="Verdana" w:hAnsi="Verdana"/>
          <w:sz w:val="20"/>
          <w:szCs w:val="20"/>
          <w:lang w:val="es-ES"/>
        </w:rPr>
        <w:t>los objetivos y resultados obtenido</w:t>
      </w:r>
      <w:r w:rsidR="00120501" w:rsidRPr="00120501">
        <w:rPr>
          <w:rFonts w:ascii="Verdana" w:hAnsi="Verdana"/>
          <w:sz w:val="20"/>
          <w:szCs w:val="20"/>
          <w:lang w:val="es-ES"/>
        </w:rPr>
        <w:t>s</w:t>
      </w:r>
      <w:r w:rsidRPr="00120501">
        <w:rPr>
          <w:rFonts w:ascii="Verdana" w:hAnsi="Verdana"/>
          <w:sz w:val="20"/>
          <w:szCs w:val="20"/>
          <w:lang w:val="es-ES"/>
        </w:rPr>
        <w:t xml:space="preserve"> de todas las diligencias realizadas</w:t>
      </w:r>
      <w:r w:rsidR="00120501" w:rsidRPr="00120501">
        <w:rPr>
          <w:rFonts w:ascii="Verdana" w:hAnsi="Verdana"/>
          <w:sz w:val="20"/>
          <w:szCs w:val="20"/>
          <w:lang w:val="es-ES"/>
        </w:rPr>
        <w:t xml:space="preserve"> a la fecha</w:t>
      </w:r>
      <w:r w:rsidRPr="00120501">
        <w:rPr>
          <w:rFonts w:ascii="Verdana" w:hAnsi="Verdana"/>
          <w:sz w:val="20"/>
          <w:szCs w:val="20"/>
          <w:lang w:val="es-ES"/>
        </w:rPr>
        <w:t>, así como las diligencias que restan por ser practicadas y un cronograma para su ejecución;</w:t>
      </w:r>
      <w:r w:rsidR="00120501">
        <w:rPr>
          <w:rFonts w:ascii="Verdana" w:hAnsi="Verdana"/>
          <w:sz w:val="20"/>
          <w:szCs w:val="20"/>
          <w:lang w:val="es-ES"/>
        </w:rPr>
        <w:t xml:space="preserve"> iv</w:t>
      </w:r>
      <w:r w:rsidRPr="00120501">
        <w:rPr>
          <w:rFonts w:ascii="Verdana" w:hAnsi="Verdana"/>
          <w:sz w:val="20"/>
          <w:szCs w:val="20"/>
          <w:lang w:val="es-ES"/>
        </w:rPr>
        <w:t xml:space="preserve">) una explicación respecto de por qué no se han realizado diligencias </w:t>
      </w:r>
      <w:r w:rsidR="00120501">
        <w:rPr>
          <w:rFonts w:ascii="Verdana" w:hAnsi="Verdana"/>
          <w:sz w:val="20"/>
          <w:szCs w:val="20"/>
          <w:lang w:val="es-ES"/>
        </w:rPr>
        <w:t xml:space="preserve">para investigar a </w:t>
      </w:r>
      <w:r w:rsidRPr="00120501">
        <w:rPr>
          <w:rFonts w:ascii="Verdana" w:hAnsi="Verdana"/>
          <w:sz w:val="20"/>
          <w:szCs w:val="20"/>
          <w:lang w:val="es-ES"/>
        </w:rPr>
        <w:t>los militares que han sido identificados como posibles responsables de los hechos (</w:t>
      </w:r>
      <w:r w:rsidRPr="00120501">
        <w:rPr>
          <w:rFonts w:ascii="Verdana" w:hAnsi="Verdana"/>
          <w:i/>
          <w:sz w:val="20"/>
          <w:szCs w:val="20"/>
          <w:lang w:val="es-ES"/>
        </w:rPr>
        <w:t xml:space="preserve">supra </w:t>
      </w:r>
      <w:r w:rsidRPr="00120501">
        <w:rPr>
          <w:rFonts w:ascii="Verdana" w:hAnsi="Verdana"/>
          <w:sz w:val="20"/>
          <w:szCs w:val="20"/>
          <w:lang w:val="es-ES"/>
        </w:rPr>
        <w:t xml:space="preserve">Considerandos </w:t>
      </w:r>
      <w:r w:rsidR="00120A34">
        <w:rPr>
          <w:rFonts w:ascii="Verdana" w:hAnsi="Verdana"/>
          <w:sz w:val="20"/>
          <w:szCs w:val="20"/>
          <w:lang w:val="es-ES"/>
        </w:rPr>
        <w:t>5 y 6</w:t>
      </w:r>
      <w:r w:rsidRPr="00120501">
        <w:rPr>
          <w:rFonts w:ascii="Verdana" w:hAnsi="Verdana"/>
          <w:sz w:val="20"/>
          <w:szCs w:val="20"/>
          <w:lang w:val="es-ES"/>
        </w:rPr>
        <w:t>)</w:t>
      </w:r>
      <w:r w:rsidR="00120501" w:rsidRPr="00120501">
        <w:rPr>
          <w:rFonts w:ascii="Verdana" w:hAnsi="Verdana"/>
          <w:sz w:val="20"/>
          <w:szCs w:val="20"/>
          <w:lang w:val="es-ES"/>
        </w:rPr>
        <w:t xml:space="preserve"> y qué acciones tomará la Fiscalía al respecto</w:t>
      </w:r>
      <w:r w:rsidR="00120501">
        <w:rPr>
          <w:rFonts w:ascii="Verdana" w:hAnsi="Verdana"/>
          <w:sz w:val="20"/>
          <w:szCs w:val="20"/>
          <w:lang w:val="es-ES"/>
        </w:rPr>
        <w:t>.</w:t>
      </w:r>
      <w:r w:rsidR="00120501" w:rsidRPr="00120501">
        <w:rPr>
          <w:rFonts w:ascii="Verdana" w:hAnsi="Verdana"/>
          <w:sz w:val="20"/>
          <w:szCs w:val="20"/>
          <w:lang w:val="es-ES"/>
        </w:rPr>
        <w:t xml:space="preserve"> </w:t>
      </w:r>
      <w:r w:rsidR="00120501">
        <w:rPr>
          <w:rFonts w:ascii="Verdana" w:hAnsi="Verdana"/>
          <w:sz w:val="20"/>
          <w:szCs w:val="20"/>
          <w:lang w:val="es-ES"/>
        </w:rPr>
        <w:t>Asimismo, se requiere que el Estado presente toda la documentación de respaldo correspondiente</w:t>
      </w:r>
      <w:r w:rsidR="00BE46ED">
        <w:rPr>
          <w:rFonts w:ascii="Verdana" w:hAnsi="Verdana"/>
          <w:sz w:val="20"/>
          <w:szCs w:val="20"/>
          <w:lang w:val="es-ES"/>
        </w:rPr>
        <w:t xml:space="preserve">, </w:t>
      </w:r>
      <w:r w:rsidR="00BE46ED" w:rsidRPr="004D0B3B">
        <w:rPr>
          <w:rFonts w:ascii="Verdana" w:hAnsi="Verdana"/>
          <w:sz w:val="20"/>
          <w:szCs w:val="20"/>
          <w:lang w:val="es-ES"/>
        </w:rPr>
        <w:t>tales como las sentencias internas que culminar</w:t>
      </w:r>
      <w:r w:rsidR="004972AC" w:rsidRPr="004D0B3B">
        <w:rPr>
          <w:rFonts w:ascii="Verdana" w:hAnsi="Verdana"/>
          <w:sz w:val="20"/>
          <w:szCs w:val="20"/>
          <w:lang w:val="es-ES"/>
        </w:rPr>
        <w:t>on</w:t>
      </w:r>
      <w:r w:rsidR="00BE46ED" w:rsidRPr="004D0B3B">
        <w:rPr>
          <w:rFonts w:ascii="Verdana" w:hAnsi="Verdana"/>
          <w:sz w:val="20"/>
          <w:szCs w:val="20"/>
          <w:lang w:val="es-ES"/>
        </w:rPr>
        <w:t xml:space="preserve"> con la confirmación de la absolución del </w:t>
      </w:r>
      <w:r w:rsidR="00BE46ED" w:rsidRPr="004D0B3B">
        <w:rPr>
          <w:rFonts w:ascii="Verdana" w:hAnsi="Verdana"/>
          <w:sz w:val="20"/>
          <w:lang w:val="es-MX"/>
        </w:rPr>
        <w:t>Jefe de la Base contrasubversiva de Cajatambo al momento de los hechos</w:t>
      </w:r>
      <w:r w:rsidR="00360398" w:rsidRPr="004D0B3B">
        <w:rPr>
          <w:rFonts w:ascii="Verdana" w:hAnsi="Verdana"/>
          <w:sz w:val="20"/>
          <w:lang w:val="es-MX"/>
        </w:rPr>
        <w:t xml:space="preserve"> (</w:t>
      </w:r>
      <w:r w:rsidR="00360398" w:rsidRPr="004D0B3B">
        <w:rPr>
          <w:rFonts w:ascii="Verdana" w:hAnsi="Verdana"/>
          <w:i/>
          <w:sz w:val="20"/>
          <w:lang w:val="es-MX"/>
        </w:rPr>
        <w:t xml:space="preserve">supra </w:t>
      </w:r>
      <w:r w:rsidR="00360398" w:rsidRPr="004D0B3B">
        <w:rPr>
          <w:rFonts w:ascii="Verdana" w:hAnsi="Verdana"/>
          <w:sz w:val="20"/>
          <w:lang w:val="es-MX"/>
        </w:rPr>
        <w:t>Considerando 5)</w:t>
      </w:r>
      <w:r w:rsidR="00120501">
        <w:rPr>
          <w:rFonts w:ascii="Verdana" w:hAnsi="Verdana"/>
          <w:sz w:val="20"/>
          <w:szCs w:val="20"/>
          <w:lang w:val="es-ES"/>
        </w:rPr>
        <w:t xml:space="preserve">. </w:t>
      </w:r>
    </w:p>
    <w:p w14:paraId="584AA774" w14:textId="77777777" w:rsidR="004F57BA" w:rsidRPr="009D42DC" w:rsidRDefault="004F57BA" w:rsidP="004F57BA">
      <w:pPr>
        <w:widowControl w:val="0"/>
        <w:autoSpaceDE w:val="0"/>
        <w:autoSpaceDN w:val="0"/>
        <w:adjustRightInd w:val="0"/>
        <w:spacing w:after="0" w:line="240" w:lineRule="auto"/>
        <w:jc w:val="both"/>
        <w:rPr>
          <w:rFonts w:ascii="Verdana" w:hAnsi="Verdana"/>
          <w:sz w:val="10"/>
          <w:szCs w:val="10"/>
          <w:lang w:val="es-ES"/>
        </w:rPr>
      </w:pPr>
    </w:p>
    <w:p w14:paraId="4306E22F" w14:textId="77777777" w:rsidR="00E16810" w:rsidRPr="005C0F4B" w:rsidRDefault="005C0F4B" w:rsidP="00C8662E">
      <w:pPr>
        <w:widowControl w:val="0"/>
        <w:numPr>
          <w:ilvl w:val="0"/>
          <w:numId w:val="26"/>
        </w:numPr>
        <w:autoSpaceDE w:val="0"/>
        <w:autoSpaceDN w:val="0"/>
        <w:adjustRightInd w:val="0"/>
        <w:spacing w:after="0" w:line="240" w:lineRule="auto"/>
        <w:ind w:left="0" w:firstLine="0"/>
        <w:jc w:val="both"/>
        <w:rPr>
          <w:rFonts w:ascii="Verdana" w:hAnsi="Verdana"/>
          <w:sz w:val="20"/>
          <w:szCs w:val="20"/>
          <w:lang w:val="es-ES"/>
        </w:rPr>
      </w:pPr>
      <w:r w:rsidRPr="005C0F4B">
        <w:rPr>
          <w:rFonts w:ascii="Verdana" w:hAnsi="Verdana" w:cs="Verdana"/>
          <w:sz w:val="20"/>
          <w:szCs w:val="20"/>
          <w:lang w:val="es-CR"/>
        </w:rPr>
        <w:t>Por todo lo anterior</w:t>
      </w:r>
      <w:r w:rsidR="00117D2D">
        <w:rPr>
          <w:rFonts w:ascii="Verdana" w:hAnsi="Verdana" w:cs="Verdana"/>
          <w:sz w:val="20"/>
          <w:szCs w:val="20"/>
          <w:lang w:val="es-CR"/>
        </w:rPr>
        <w:t>,</w:t>
      </w:r>
      <w:r w:rsidR="00310E36">
        <w:rPr>
          <w:rFonts w:ascii="Verdana" w:hAnsi="Verdana" w:cs="Verdana"/>
          <w:sz w:val="20"/>
          <w:szCs w:val="20"/>
          <w:lang w:val="es-CR"/>
        </w:rPr>
        <w:t xml:space="preserve"> </w:t>
      </w:r>
      <w:r w:rsidRPr="005C0F4B">
        <w:rPr>
          <w:rFonts w:ascii="Verdana" w:hAnsi="Verdana" w:cs="Verdana"/>
          <w:sz w:val="20"/>
          <w:szCs w:val="20"/>
          <w:lang w:val="es-CR"/>
        </w:rPr>
        <w:t>la Corte considera que</w:t>
      </w:r>
      <w:r w:rsidR="00310E36">
        <w:rPr>
          <w:rFonts w:ascii="Verdana" w:hAnsi="Verdana" w:cs="Verdana"/>
          <w:sz w:val="20"/>
          <w:szCs w:val="20"/>
          <w:lang w:val="es-CR"/>
        </w:rPr>
        <w:t xml:space="preserve"> </w:t>
      </w:r>
      <w:r w:rsidRPr="005C0F4B">
        <w:rPr>
          <w:rFonts w:ascii="Verdana" w:hAnsi="Verdana" w:cs="Verdana"/>
          <w:sz w:val="20"/>
          <w:szCs w:val="20"/>
          <w:lang w:val="es-CR"/>
        </w:rPr>
        <w:t>el Estado</w:t>
      </w:r>
      <w:r w:rsidR="00310E36">
        <w:rPr>
          <w:rFonts w:ascii="Verdana" w:hAnsi="Verdana" w:cs="Verdana"/>
          <w:sz w:val="20"/>
          <w:szCs w:val="20"/>
          <w:lang w:val="es-CR"/>
        </w:rPr>
        <w:t xml:space="preserve"> </w:t>
      </w:r>
      <w:r w:rsidRPr="005C0F4B">
        <w:rPr>
          <w:rFonts w:ascii="Verdana" w:hAnsi="Verdana" w:cs="Verdana"/>
          <w:sz w:val="20"/>
          <w:szCs w:val="20"/>
          <w:lang w:val="es-CR"/>
        </w:rPr>
        <w:t xml:space="preserve">no ha dado cumplimiento </w:t>
      </w:r>
      <w:r w:rsidR="00117D2D">
        <w:rPr>
          <w:rFonts w:ascii="Verdana" w:hAnsi="Verdana" w:cs="Verdana"/>
          <w:sz w:val="20"/>
          <w:szCs w:val="20"/>
          <w:lang w:val="es-CR"/>
        </w:rPr>
        <w:t xml:space="preserve">a </w:t>
      </w:r>
      <w:r w:rsidR="006C1912">
        <w:rPr>
          <w:rFonts w:ascii="Verdana" w:hAnsi="Verdana" w:cs="Verdana"/>
          <w:sz w:val="20"/>
          <w:szCs w:val="20"/>
          <w:lang w:val="es-CR"/>
        </w:rPr>
        <w:t>la obligación de</w:t>
      </w:r>
      <w:r w:rsidRPr="005C0F4B">
        <w:rPr>
          <w:rFonts w:ascii="Verdana" w:hAnsi="Verdana" w:cs="Verdana"/>
          <w:sz w:val="20"/>
          <w:szCs w:val="20"/>
          <w:lang w:val="es-CR"/>
        </w:rPr>
        <w:t xml:space="preserve"> </w:t>
      </w:r>
      <w:r w:rsidR="006C1912" w:rsidRPr="00572E45">
        <w:rPr>
          <w:rFonts w:ascii="Verdana" w:hAnsi="Verdana"/>
          <w:sz w:val="20"/>
          <w:szCs w:val="20"/>
          <w:lang w:val="es-CR"/>
        </w:rPr>
        <w:t xml:space="preserve">iniciar y realizar las investigaciones y procesos necesarios, en un plazo razonable, con el fin de establecer la verdad de los hechos, así como de determinar y, en </w:t>
      </w:r>
      <w:r w:rsidR="006C1912" w:rsidRPr="0034342A">
        <w:rPr>
          <w:rFonts w:ascii="Verdana" w:hAnsi="Verdana"/>
          <w:sz w:val="20"/>
          <w:szCs w:val="20"/>
          <w:lang w:val="es-CR"/>
        </w:rPr>
        <w:t>su caso, sancionar a los responsables de la desaparición forzada de Jeremías Osorio Rivera</w:t>
      </w:r>
      <w:r w:rsidRPr="005C0F4B">
        <w:rPr>
          <w:rFonts w:ascii="Verdana" w:hAnsi="Verdana" w:cs="Verdana"/>
          <w:sz w:val="20"/>
          <w:szCs w:val="20"/>
          <w:lang w:val="es-CR"/>
        </w:rPr>
        <w:t xml:space="preserve">, según fue ordenada en el punto </w:t>
      </w:r>
      <w:r w:rsidR="006C1912">
        <w:rPr>
          <w:rFonts w:ascii="Verdana" w:hAnsi="Verdana" w:cs="Verdana"/>
          <w:sz w:val="20"/>
          <w:szCs w:val="20"/>
          <w:lang w:val="es-CR"/>
        </w:rPr>
        <w:t>resolutivo</w:t>
      </w:r>
      <w:r w:rsidR="00975397">
        <w:rPr>
          <w:rFonts w:ascii="Verdana" w:hAnsi="Verdana" w:cs="Verdana"/>
          <w:sz w:val="20"/>
          <w:szCs w:val="20"/>
          <w:lang w:val="es-CR"/>
        </w:rPr>
        <w:t xml:space="preserve"> </w:t>
      </w:r>
      <w:r w:rsidR="006C1912">
        <w:rPr>
          <w:rFonts w:ascii="Verdana" w:hAnsi="Verdana" w:cs="Verdana"/>
          <w:sz w:val="20"/>
          <w:szCs w:val="20"/>
          <w:lang w:val="es-CR"/>
        </w:rPr>
        <w:t>sexto</w:t>
      </w:r>
      <w:r w:rsidR="00975397">
        <w:rPr>
          <w:rFonts w:ascii="Verdana" w:hAnsi="Verdana" w:cs="Verdana"/>
          <w:sz w:val="20"/>
          <w:szCs w:val="20"/>
          <w:lang w:val="es-CR"/>
        </w:rPr>
        <w:t xml:space="preserve"> de la Sentencia</w:t>
      </w:r>
      <w:r w:rsidRPr="005C0F4B">
        <w:rPr>
          <w:rFonts w:ascii="Verdana" w:hAnsi="Verdana" w:cs="Verdana"/>
          <w:sz w:val="20"/>
          <w:szCs w:val="20"/>
          <w:lang w:val="es-CR"/>
        </w:rPr>
        <w:t xml:space="preserve">. </w:t>
      </w:r>
    </w:p>
    <w:p w14:paraId="7A200521" w14:textId="77777777" w:rsidR="004B6FAC" w:rsidRPr="00084C87" w:rsidRDefault="004B6FAC" w:rsidP="00084C87">
      <w:pPr>
        <w:pStyle w:val="Cuadrculamedia1-nfasis21"/>
        <w:spacing w:after="0" w:line="240" w:lineRule="auto"/>
        <w:ind w:left="0"/>
        <w:contextualSpacing w:val="0"/>
        <w:jc w:val="both"/>
        <w:outlineLvl w:val="0"/>
        <w:rPr>
          <w:rFonts w:ascii="Verdana" w:hAnsi="Verdana"/>
          <w:sz w:val="14"/>
          <w:szCs w:val="14"/>
          <w:lang w:val="es-MX"/>
        </w:rPr>
      </w:pPr>
      <w:bookmarkStart w:id="3" w:name="_Toc495655658"/>
    </w:p>
    <w:p w14:paraId="3971BDF2" w14:textId="77777777" w:rsidR="001052AB" w:rsidRDefault="00FE32E2" w:rsidP="004B6FAC">
      <w:pPr>
        <w:pStyle w:val="Cuadrculamedia1-nfasis21"/>
        <w:numPr>
          <w:ilvl w:val="0"/>
          <w:numId w:val="7"/>
        </w:numPr>
        <w:spacing w:after="0" w:line="240" w:lineRule="auto"/>
        <w:contextualSpacing w:val="0"/>
        <w:jc w:val="both"/>
        <w:outlineLvl w:val="0"/>
        <w:rPr>
          <w:rFonts w:ascii="Verdana" w:hAnsi="Verdana"/>
          <w:b/>
          <w:i/>
          <w:sz w:val="20"/>
          <w:lang w:val="es-MX"/>
        </w:rPr>
      </w:pPr>
      <w:bookmarkStart w:id="4" w:name="_Toc23770412"/>
      <w:bookmarkEnd w:id="3"/>
      <w:r>
        <w:rPr>
          <w:rFonts w:ascii="Verdana" w:hAnsi="Verdana"/>
          <w:b/>
          <w:i/>
          <w:sz w:val="20"/>
          <w:lang w:val="es-MX"/>
        </w:rPr>
        <w:t>Búsqueda de paradero del señor Osorio Rivera</w:t>
      </w:r>
      <w:bookmarkEnd w:id="4"/>
      <w:r>
        <w:rPr>
          <w:rFonts w:ascii="Verdana" w:hAnsi="Verdana"/>
          <w:b/>
          <w:i/>
          <w:sz w:val="20"/>
          <w:lang w:val="es-MX"/>
        </w:rPr>
        <w:t xml:space="preserve"> </w:t>
      </w:r>
    </w:p>
    <w:p w14:paraId="5B90C999" w14:textId="77777777" w:rsidR="004B6FAC" w:rsidRPr="00084C87" w:rsidRDefault="004B6FAC" w:rsidP="00084C87">
      <w:pPr>
        <w:pStyle w:val="Cuadrculamedia1-nfasis21"/>
        <w:spacing w:after="0" w:line="240" w:lineRule="auto"/>
        <w:ind w:left="0"/>
        <w:contextualSpacing w:val="0"/>
        <w:jc w:val="both"/>
        <w:rPr>
          <w:rFonts w:ascii="Verdana" w:hAnsi="Verdana"/>
          <w:sz w:val="14"/>
          <w:szCs w:val="14"/>
          <w:lang w:val="es-MX"/>
        </w:rPr>
      </w:pPr>
    </w:p>
    <w:p w14:paraId="5C92E6DF" w14:textId="77777777" w:rsidR="00B517E1" w:rsidRDefault="00B517E1" w:rsidP="004B6FAC">
      <w:pPr>
        <w:pStyle w:val="Cuadrculamedia1-nfasis21"/>
        <w:spacing w:after="0" w:line="240" w:lineRule="auto"/>
        <w:contextualSpacing w:val="0"/>
        <w:jc w:val="both"/>
        <w:rPr>
          <w:rFonts w:ascii="Verdana" w:hAnsi="Verdana"/>
          <w:i/>
          <w:sz w:val="20"/>
          <w:lang w:val="es-MX"/>
        </w:rPr>
      </w:pPr>
      <w:r w:rsidRPr="00B517E1">
        <w:rPr>
          <w:rFonts w:ascii="Verdana" w:hAnsi="Verdana"/>
          <w:i/>
          <w:sz w:val="20"/>
          <w:lang w:val="es-MX"/>
        </w:rPr>
        <w:t xml:space="preserve">B.1 </w:t>
      </w:r>
      <w:r w:rsidRPr="000121ED">
        <w:rPr>
          <w:rFonts w:ascii="Verdana" w:hAnsi="Verdana"/>
          <w:i/>
          <w:sz w:val="20"/>
          <w:lang w:val="es-MX"/>
        </w:rPr>
        <w:t xml:space="preserve">Medida ordenada por la </w:t>
      </w:r>
      <w:r w:rsidRPr="009E04D5">
        <w:rPr>
          <w:rFonts w:ascii="Verdana" w:hAnsi="Verdana"/>
          <w:i/>
          <w:sz w:val="20"/>
          <w:lang w:val="es-MX"/>
        </w:rPr>
        <w:t xml:space="preserve">Corte </w:t>
      </w:r>
    </w:p>
    <w:p w14:paraId="0AAFCF42" w14:textId="77777777" w:rsidR="004B6FAC" w:rsidRPr="00084C87" w:rsidRDefault="004B6FAC" w:rsidP="004B6FAC">
      <w:pPr>
        <w:pStyle w:val="Cuadrculamedia1-nfasis21"/>
        <w:spacing w:after="0" w:line="240" w:lineRule="auto"/>
        <w:ind w:left="0"/>
        <w:jc w:val="both"/>
        <w:rPr>
          <w:rFonts w:ascii="Verdana" w:hAnsi="Verdana" w:cs="Verdana"/>
          <w:sz w:val="14"/>
          <w:szCs w:val="14"/>
          <w:lang w:val="es-CR"/>
        </w:rPr>
      </w:pPr>
    </w:p>
    <w:p w14:paraId="15AECD14" w14:textId="77777777" w:rsidR="00382CE9" w:rsidRPr="00436B42" w:rsidRDefault="00B517E1" w:rsidP="00C710AE">
      <w:pPr>
        <w:pStyle w:val="Cuadrculamedia1-nfasis21"/>
        <w:numPr>
          <w:ilvl w:val="0"/>
          <w:numId w:val="26"/>
        </w:numPr>
        <w:spacing w:after="0" w:line="240" w:lineRule="auto"/>
        <w:ind w:left="0" w:firstLine="0"/>
        <w:jc w:val="both"/>
        <w:rPr>
          <w:rFonts w:ascii="Verdana" w:hAnsi="Verdana" w:cs="Verdana"/>
          <w:sz w:val="20"/>
          <w:szCs w:val="20"/>
          <w:lang w:val="es-CR"/>
        </w:rPr>
      </w:pPr>
      <w:r w:rsidRPr="00B517E1">
        <w:rPr>
          <w:rFonts w:ascii="Verdana" w:hAnsi="Verdana" w:cs="Verdana"/>
          <w:sz w:val="20"/>
          <w:szCs w:val="20"/>
          <w:lang w:val="es-CR"/>
        </w:rPr>
        <w:t xml:space="preserve">En el punto </w:t>
      </w:r>
      <w:r w:rsidR="00A55DC5">
        <w:rPr>
          <w:rFonts w:ascii="Verdana" w:hAnsi="Verdana" w:cs="Verdana"/>
          <w:sz w:val="20"/>
          <w:szCs w:val="20"/>
          <w:lang w:val="es-CR"/>
        </w:rPr>
        <w:t>resolutivo séptimo</w:t>
      </w:r>
      <w:r w:rsidRPr="00A55DC5">
        <w:rPr>
          <w:rFonts w:ascii="Verdana" w:hAnsi="Verdana" w:cs="Verdana"/>
          <w:sz w:val="20"/>
          <w:szCs w:val="20"/>
          <w:lang w:val="es-CR"/>
        </w:rPr>
        <w:t xml:space="preserve"> </w:t>
      </w:r>
      <w:r w:rsidR="00A55DC5">
        <w:rPr>
          <w:rFonts w:ascii="Verdana" w:hAnsi="Verdana" w:cs="Verdana"/>
          <w:sz w:val="20"/>
          <w:szCs w:val="20"/>
          <w:lang w:val="es-CR"/>
        </w:rPr>
        <w:t xml:space="preserve">y en los párrafos 249 a 252 </w:t>
      </w:r>
      <w:r w:rsidRPr="00A55DC5">
        <w:rPr>
          <w:rFonts w:ascii="Verdana" w:hAnsi="Verdana" w:cs="Verdana"/>
          <w:sz w:val="20"/>
          <w:szCs w:val="20"/>
          <w:lang w:val="es-CR"/>
        </w:rPr>
        <w:t xml:space="preserve">de la Sentencia, </w:t>
      </w:r>
      <w:r w:rsidR="00957B4A">
        <w:rPr>
          <w:rFonts w:ascii="Verdana" w:hAnsi="Verdana"/>
          <w:sz w:val="20"/>
          <w:szCs w:val="20"/>
          <w:lang w:val="es-CR"/>
        </w:rPr>
        <w:t xml:space="preserve">el Tribunal </w:t>
      </w:r>
      <w:r w:rsidRPr="00A55DC5">
        <w:rPr>
          <w:rFonts w:ascii="Verdana" w:hAnsi="Verdana" w:cs="Verdana"/>
          <w:sz w:val="20"/>
          <w:szCs w:val="20"/>
          <w:lang w:val="es-CR"/>
        </w:rPr>
        <w:t>dispu</w:t>
      </w:r>
      <w:r w:rsidR="005F7A2E" w:rsidRPr="00A55DC5">
        <w:rPr>
          <w:rFonts w:ascii="Verdana" w:hAnsi="Verdana" w:cs="Verdana"/>
          <w:sz w:val="20"/>
          <w:szCs w:val="20"/>
          <w:lang w:val="es-CR"/>
        </w:rPr>
        <w:t xml:space="preserve">so que el Estado debía </w:t>
      </w:r>
      <w:r w:rsidR="00957B4A" w:rsidRPr="00957B4A">
        <w:rPr>
          <w:rFonts w:ascii="Verdana" w:hAnsi="Verdana" w:cs="Verdana"/>
          <w:sz w:val="20"/>
          <w:szCs w:val="20"/>
          <w:lang w:val="es-CR"/>
        </w:rPr>
        <w:t xml:space="preserve">efectuar una búsqueda seria por la vía judicial y </w:t>
      </w:r>
      <w:r w:rsidR="00957B4A" w:rsidRPr="00957B4A">
        <w:rPr>
          <w:rFonts w:ascii="Verdana" w:hAnsi="Verdana" w:cs="Verdana"/>
          <w:sz w:val="20"/>
          <w:szCs w:val="20"/>
          <w:lang w:val="es-CR"/>
        </w:rPr>
        <w:lastRenderedPageBreak/>
        <w:t>administrativa adecuada, en la cual realice todos los esfuerzos para determinar el paradero de Jeremías Osorio Rivera a l</w:t>
      </w:r>
      <w:r w:rsidR="001A47CF">
        <w:rPr>
          <w:rFonts w:ascii="Verdana" w:hAnsi="Verdana" w:cs="Verdana"/>
          <w:sz w:val="20"/>
          <w:szCs w:val="20"/>
          <w:lang w:val="es-CR"/>
        </w:rPr>
        <w:t>a mayor brevedad, la cual debería</w:t>
      </w:r>
      <w:r w:rsidR="00957B4A" w:rsidRPr="00957B4A">
        <w:rPr>
          <w:rFonts w:ascii="Verdana" w:hAnsi="Verdana" w:cs="Verdana"/>
          <w:sz w:val="20"/>
          <w:szCs w:val="20"/>
          <w:lang w:val="es-CR"/>
        </w:rPr>
        <w:t xml:space="preserve"> realizarse de manera sistemática y rigurosa, contar con los recursos humanos, técnicos y científicos adecuados e idóneos.</w:t>
      </w:r>
      <w:r w:rsidR="001A47CF">
        <w:rPr>
          <w:rFonts w:ascii="Verdana" w:hAnsi="Verdana" w:cs="Verdana"/>
          <w:sz w:val="20"/>
          <w:szCs w:val="20"/>
          <w:lang w:val="es-CR"/>
        </w:rPr>
        <w:t xml:space="preserve"> También estableció que</w:t>
      </w:r>
      <w:r w:rsidR="00957B4A" w:rsidRPr="00957B4A">
        <w:rPr>
          <w:rFonts w:ascii="Verdana" w:hAnsi="Verdana" w:cs="Verdana"/>
          <w:sz w:val="20"/>
          <w:szCs w:val="20"/>
          <w:lang w:val="es-CR"/>
        </w:rPr>
        <w:t xml:space="preserve"> </w:t>
      </w:r>
      <w:r w:rsidR="001A47CF">
        <w:rPr>
          <w:rFonts w:ascii="Verdana" w:hAnsi="Verdana" w:cs="Verdana"/>
          <w:sz w:val="20"/>
          <w:szCs w:val="20"/>
          <w:lang w:val="es-CR"/>
        </w:rPr>
        <w:t>las referidas diligencias deben</w:t>
      </w:r>
      <w:r w:rsidR="00957B4A" w:rsidRPr="00957B4A">
        <w:rPr>
          <w:rFonts w:ascii="Verdana" w:hAnsi="Verdana" w:cs="Verdana"/>
          <w:sz w:val="20"/>
          <w:szCs w:val="20"/>
          <w:lang w:val="es-CR"/>
        </w:rPr>
        <w:t xml:space="preserve"> ser informadas a sus familiares y en lo posible procurar su presencia</w:t>
      </w:r>
      <w:r w:rsidR="00BD4B7E">
        <w:rPr>
          <w:rFonts w:ascii="Verdana" w:hAnsi="Verdana" w:cs="Verdana"/>
          <w:sz w:val="20"/>
          <w:szCs w:val="20"/>
          <w:lang w:val="es-CR"/>
        </w:rPr>
        <w:t>, así como que</w:t>
      </w:r>
      <w:r w:rsidR="00957B4A">
        <w:rPr>
          <w:rFonts w:ascii="Verdana" w:hAnsi="Verdana" w:cs="Verdana"/>
          <w:sz w:val="20"/>
          <w:szCs w:val="20"/>
          <w:lang w:val="es-CR"/>
        </w:rPr>
        <w:t xml:space="preserve"> </w:t>
      </w:r>
      <w:r w:rsidR="00957B4A" w:rsidRPr="001A47CF">
        <w:rPr>
          <w:rFonts w:ascii="Verdana" w:hAnsi="Verdana" w:cs="Verdana"/>
          <w:sz w:val="20"/>
          <w:szCs w:val="20"/>
          <w:lang w:val="es-CR"/>
        </w:rPr>
        <w:t>en caso de que luego de las dilig</w:t>
      </w:r>
      <w:r w:rsidR="00ED17A5">
        <w:rPr>
          <w:rFonts w:ascii="Verdana" w:hAnsi="Verdana" w:cs="Verdana"/>
          <w:sz w:val="20"/>
          <w:szCs w:val="20"/>
          <w:lang w:val="es-CR"/>
        </w:rPr>
        <w:t>encias realizadas por el Estado</w:t>
      </w:r>
      <w:r w:rsidR="00957B4A" w:rsidRPr="001A47CF">
        <w:rPr>
          <w:rFonts w:ascii="Verdana" w:hAnsi="Verdana" w:cs="Verdana"/>
          <w:sz w:val="20"/>
          <w:szCs w:val="20"/>
          <w:lang w:val="es-CR"/>
        </w:rPr>
        <w:t xml:space="preserve"> la víctima se encontrare fallecida, los restos mortales deben ser entregados a sus familiares, previa comprobación de identidad, a la mayor brevedad posible y sin costo alguno para ellos. Además, </w:t>
      </w:r>
      <w:r w:rsidR="00E900C3">
        <w:rPr>
          <w:rFonts w:ascii="Verdana" w:hAnsi="Verdana" w:cs="Verdana"/>
          <w:sz w:val="20"/>
          <w:szCs w:val="20"/>
          <w:lang w:val="es-CR"/>
        </w:rPr>
        <w:t>la Corte dispuso que el Estado debería</w:t>
      </w:r>
      <w:r w:rsidR="00957B4A" w:rsidRPr="001A47CF">
        <w:rPr>
          <w:rFonts w:ascii="Verdana" w:hAnsi="Verdana" w:cs="Verdana"/>
          <w:sz w:val="20"/>
          <w:szCs w:val="20"/>
          <w:lang w:val="es-CR"/>
        </w:rPr>
        <w:t xml:space="preserve"> cubrir los gastos fúnebres, en su caso, de común acuerdo con sus familiares.</w:t>
      </w:r>
    </w:p>
    <w:p w14:paraId="6DFE3149" w14:textId="77777777" w:rsidR="00382CE9" w:rsidRPr="00436B42" w:rsidRDefault="00382CE9" w:rsidP="00C710AE">
      <w:pPr>
        <w:pStyle w:val="Cuadrculamedia1-nfasis21"/>
        <w:spacing w:after="0" w:line="240" w:lineRule="auto"/>
        <w:ind w:left="0"/>
        <w:contextualSpacing w:val="0"/>
        <w:jc w:val="both"/>
        <w:rPr>
          <w:rFonts w:ascii="Verdana" w:hAnsi="Verdana"/>
          <w:sz w:val="14"/>
          <w:szCs w:val="14"/>
          <w:lang w:val="es-CR"/>
        </w:rPr>
      </w:pPr>
    </w:p>
    <w:p w14:paraId="4BB5A020" w14:textId="77777777" w:rsidR="008D039A" w:rsidRPr="004B53AF" w:rsidRDefault="008F0922" w:rsidP="007951B6">
      <w:pPr>
        <w:pStyle w:val="Cuadrculamedia1-nfasis21"/>
        <w:spacing w:after="0" w:line="240" w:lineRule="auto"/>
        <w:ind w:left="0" w:firstLine="720"/>
        <w:contextualSpacing w:val="0"/>
        <w:jc w:val="both"/>
        <w:rPr>
          <w:rFonts w:ascii="Verdana" w:hAnsi="Verdana"/>
          <w:i/>
          <w:sz w:val="20"/>
          <w:lang w:val="es-MX"/>
        </w:rPr>
      </w:pPr>
      <w:r>
        <w:rPr>
          <w:rFonts w:ascii="Verdana" w:hAnsi="Verdana"/>
          <w:i/>
          <w:sz w:val="20"/>
          <w:lang w:val="es-MX"/>
        </w:rPr>
        <w:t>B.2</w:t>
      </w:r>
      <w:r w:rsidR="008D039A" w:rsidRPr="004B53AF">
        <w:rPr>
          <w:rFonts w:ascii="Verdana" w:hAnsi="Verdana"/>
          <w:i/>
          <w:sz w:val="20"/>
          <w:lang w:val="es-MX"/>
        </w:rPr>
        <w:t xml:space="preserve">. Consideraciones de la Corte </w:t>
      </w:r>
    </w:p>
    <w:p w14:paraId="11CCC6F7" w14:textId="77777777" w:rsidR="004B6FAC" w:rsidRPr="006B208B" w:rsidRDefault="004B6FAC" w:rsidP="004B6FAC">
      <w:pPr>
        <w:pStyle w:val="Cuadrculamedia1-nfasis21"/>
        <w:spacing w:after="0" w:line="240" w:lineRule="auto"/>
        <w:ind w:left="0"/>
        <w:contextualSpacing w:val="0"/>
        <w:jc w:val="both"/>
        <w:rPr>
          <w:rFonts w:ascii="Verdana" w:hAnsi="Verdana"/>
          <w:sz w:val="14"/>
          <w:szCs w:val="14"/>
          <w:lang w:val="es-MX"/>
        </w:rPr>
      </w:pPr>
    </w:p>
    <w:p w14:paraId="77F9B550" w14:textId="77777777" w:rsidR="0031538C" w:rsidRPr="0031538C" w:rsidRDefault="003B18F7" w:rsidP="0031538C">
      <w:pPr>
        <w:pStyle w:val="Cuadrculamedia1-nfasis21"/>
        <w:numPr>
          <w:ilvl w:val="0"/>
          <w:numId w:val="26"/>
        </w:numPr>
        <w:spacing w:after="0" w:line="240" w:lineRule="auto"/>
        <w:ind w:left="0" w:firstLine="0"/>
        <w:jc w:val="both"/>
        <w:rPr>
          <w:rFonts w:ascii="Verdana" w:hAnsi="Verdana" w:cs="Verdana"/>
          <w:sz w:val="10"/>
          <w:szCs w:val="10"/>
          <w:lang w:val="es-CR"/>
        </w:rPr>
      </w:pPr>
      <w:r>
        <w:rPr>
          <w:rFonts w:ascii="Verdana" w:hAnsi="Verdana"/>
          <w:sz w:val="20"/>
          <w:szCs w:val="20"/>
          <w:lang w:val="es-CR"/>
        </w:rPr>
        <w:t>E</w:t>
      </w:r>
      <w:r w:rsidR="00527FEA" w:rsidRPr="00957B4A">
        <w:rPr>
          <w:rFonts w:ascii="Verdana" w:hAnsi="Verdana"/>
          <w:sz w:val="20"/>
          <w:szCs w:val="20"/>
          <w:lang w:val="es-CR"/>
        </w:rPr>
        <w:t xml:space="preserve">l Tribunal </w:t>
      </w:r>
      <w:r>
        <w:rPr>
          <w:rFonts w:ascii="Verdana" w:hAnsi="Verdana"/>
          <w:sz w:val="20"/>
          <w:szCs w:val="20"/>
          <w:lang w:val="es-CR"/>
        </w:rPr>
        <w:t>recuerda que en</w:t>
      </w:r>
      <w:r w:rsidR="00DB77F7">
        <w:rPr>
          <w:rFonts w:ascii="Verdana" w:hAnsi="Verdana"/>
          <w:sz w:val="20"/>
          <w:szCs w:val="20"/>
          <w:lang w:val="es-CR"/>
        </w:rPr>
        <w:t xml:space="preserve"> su Sentencia</w:t>
      </w:r>
      <w:r>
        <w:rPr>
          <w:rFonts w:ascii="Verdana" w:hAnsi="Verdana"/>
          <w:sz w:val="20"/>
          <w:szCs w:val="20"/>
          <w:lang w:val="es-CR"/>
        </w:rPr>
        <w:t xml:space="preserve"> </w:t>
      </w:r>
      <w:r w:rsidR="00527FEA" w:rsidRPr="00957B4A">
        <w:rPr>
          <w:rFonts w:ascii="Verdana" w:hAnsi="Verdana"/>
          <w:sz w:val="20"/>
          <w:szCs w:val="20"/>
          <w:lang w:val="es-CR"/>
        </w:rPr>
        <w:t xml:space="preserve">resaltó que la víctima desapareció </w:t>
      </w:r>
      <w:r w:rsidR="00DB77F7">
        <w:rPr>
          <w:rFonts w:ascii="Verdana" w:hAnsi="Verdana"/>
          <w:sz w:val="20"/>
          <w:szCs w:val="20"/>
          <w:lang w:val="es-CR"/>
        </w:rPr>
        <w:t>desde 1991</w:t>
      </w:r>
      <w:r w:rsidR="00527FEA" w:rsidRPr="00957B4A">
        <w:rPr>
          <w:rFonts w:ascii="Verdana" w:hAnsi="Verdana"/>
          <w:sz w:val="20"/>
          <w:szCs w:val="20"/>
          <w:lang w:val="es-CR"/>
        </w:rPr>
        <w:t>, por lo cual es una expectativa justa de sus familiares que se identifique su paradero</w:t>
      </w:r>
      <w:r w:rsidR="00527FEA">
        <w:rPr>
          <w:rFonts w:ascii="Verdana" w:hAnsi="Verdana"/>
          <w:sz w:val="20"/>
          <w:szCs w:val="20"/>
          <w:lang w:val="es-CR"/>
        </w:rPr>
        <w:t xml:space="preserve">. </w:t>
      </w:r>
      <w:r w:rsidR="00DB77F7">
        <w:rPr>
          <w:rFonts w:ascii="Verdana" w:hAnsi="Verdana"/>
          <w:sz w:val="20"/>
          <w:szCs w:val="20"/>
          <w:lang w:val="es-CR"/>
        </w:rPr>
        <w:t xml:space="preserve">La Corte </w:t>
      </w:r>
      <w:r w:rsidR="00ED17A5">
        <w:rPr>
          <w:rFonts w:ascii="Verdana" w:hAnsi="Verdana"/>
          <w:sz w:val="20"/>
          <w:szCs w:val="20"/>
          <w:lang w:val="es-CR"/>
        </w:rPr>
        <w:t>enfatizó</w:t>
      </w:r>
      <w:r w:rsidR="00DB77F7">
        <w:rPr>
          <w:rFonts w:ascii="Verdana" w:hAnsi="Verdana"/>
          <w:sz w:val="20"/>
          <w:szCs w:val="20"/>
          <w:lang w:val="es-CR"/>
        </w:rPr>
        <w:t xml:space="preserve"> que</w:t>
      </w:r>
      <w:r w:rsidR="00527FEA" w:rsidRPr="00957B4A">
        <w:rPr>
          <w:rFonts w:ascii="Verdana" w:hAnsi="Verdana"/>
          <w:sz w:val="20"/>
          <w:szCs w:val="20"/>
          <w:lang w:val="es-CR"/>
        </w:rPr>
        <w:t xml:space="preserve"> esto permite a los familiares aliviar la angustia y sufrimiento causados por dicha incertidumbre</w:t>
      </w:r>
      <w:r w:rsidR="00DB77F7">
        <w:rPr>
          <w:rFonts w:ascii="Verdana" w:hAnsi="Verdana"/>
          <w:sz w:val="20"/>
          <w:szCs w:val="20"/>
          <w:lang w:val="es-CR"/>
        </w:rPr>
        <w:t xml:space="preserve"> y reiteró que </w:t>
      </w:r>
      <w:r w:rsidR="00527FEA" w:rsidRPr="00957B4A">
        <w:rPr>
          <w:rFonts w:ascii="Verdana" w:hAnsi="Verdana"/>
          <w:sz w:val="20"/>
          <w:szCs w:val="20"/>
          <w:lang w:val="es-CR"/>
        </w:rPr>
        <w:t>recibir el cuerpo de una persona desaparecida forzadamente es de suma importancia para sus familiares, ya que les permite sepultarlo de acuerdo a sus creencias, así como cerrar el proceso de duelo que han estado viviendo a lo largo de estos años</w:t>
      </w:r>
      <w:r w:rsidR="00DB77F7">
        <w:rPr>
          <w:rStyle w:val="Refdenotaalpie"/>
          <w:rFonts w:ascii="Verdana" w:hAnsi="Verdana"/>
          <w:sz w:val="20"/>
          <w:szCs w:val="20"/>
          <w:lang w:val="es-CR"/>
        </w:rPr>
        <w:footnoteReference w:id="22"/>
      </w:r>
      <w:r w:rsidR="00527FEA" w:rsidRPr="00957B4A">
        <w:rPr>
          <w:rFonts w:ascii="Verdana" w:hAnsi="Verdana"/>
          <w:sz w:val="20"/>
          <w:szCs w:val="20"/>
          <w:lang w:val="es-CR"/>
        </w:rPr>
        <w:t>.</w:t>
      </w:r>
    </w:p>
    <w:p w14:paraId="41ADB81F" w14:textId="77777777" w:rsidR="0031538C" w:rsidRPr="0031538C" w:rsidRDefault="0031538C" w:rsidP="0031538C">
      <w:pPr>
        <w:pStyle w:val="Cuadrculamedia1-nfasis21"/>
        <w:spacing w:after="0" w:line="240" w:lineRule="auto"/>
        <w:ind w:left="0"/>
        <w:jc w:val="both"/>
        <w:rPr>
          <w:rFonts w:ascii="Verdana" w:hAnsi="Verdana" w:cs="Verdana"/>
          <w:sz w:val="10"/>
          <w:szCs w:val="10"/>
          <w:lang w:val="es-CR"/>
        </w:rPr>
      </w:pPr>
    </w:p>
    <w:p w14:paraId="407D530E" w14:textId="77777777" w:rsidR="000B7DCD" w:rsidRPr="000B7DCD" w:rsidRDefault="005767CF" w:rsidP="0031538C">
      <w:pPr>
        <w:pStyle w:val="Cuadrculamedia1-nfasis21"/>
        <w:numPr>
          <w:ilvl w:val="0"/>
          <w:numId w:val="26"/>
        </w:numPr>
        <w:spacing w:after="0" w:line="240" w:lineRule="auto"/>
        <w:ind w:left="0" w:firstLine="0"/>
        <w:jc w:val="both"/>
        <w:rPr>
          <w:rFonts w:ascii="Verdana" w:hAnsi="Verdana" w:cs="Verdana"/>
          <w:sz w:val="20"/>
          <w:szCs w:val="20"/>
          <w:lang w:val="es-CR"/>
        </w:rPr>
      </w:pPr>
      <w:r w:rsidRPr="0031538C">
        <w:rPr>
          <w:rFonts w:ascii="Verdana" w:hAnsi="Verdana"/>
          <w:sz w:val="20"/>
          <w:szCs w:val="20"/>
          <w:lang w:val="es-MX"/>
        </w:rPr>
        <w:t xml:space="preserve">Esta Corte </w:t>
      </w:r>
      <w:r w:rsidR="00460087" w:rsidRPr="0031538C">
        <w:rPr>
          <w:rFonts w:ascii="Verdana" w:hAnsi="Verdana"/>
          <w:sz w:val="20"/>
          <w:szCs w:val="20"/>
          <w:lang w:val="es-MX"/>
        </w:rPr>
        <w:t>constata que</w:t>
      </w:r>
      <w:r w:rsidR="008F192F">
        <w:rPr>
          <w:rFonts w:ascii="Verdana" w:hAnsi="Verdana"/>
          <w:sz w:val="20"/>
          <w:szCs w:val="20"/>
          <w:lang w:val="es-MX"/>
        </w:rPr>
        <w:t>,</w:t>
      </w:r>
      <w:r w:rsidR="00460087" w:rsidRPr="0031538C">
        <w:rPr>
          <w:rFonts w:ascii="Verdana" w:hAnsi="Verdana"/>
          <w:sz w:val="20"/>
          <w:szCs w:val="20"/>
          <w:lang w:val="es-MX"/>
        </w:rPr>
        <w:t xml:space="preserve"> </w:t>
      </w:r>
      <w:r w:rsidR="000B7DCD">
        <w:rPr>
          <w:rFonts w:ascii="Verdana" w:hAnsi="Verdana"/>
          <w:sz w:val="20"/>
          <w:lang w:val="es-MX"/>
        </w:rPr>
        <w:t>entre junio de 2016 y junio de 2017, el Estado aprobó la “Ley de Búsqueda de Personas Desaparecidas durante el Período de Violencia 1980-2000”</w:t>
      </w:r>
      <w:r w:rsidR="000B7DCD">
        <w:rPr>
          <w:rStyle w:val="Refdenotaalpie"/>
          <w:rFonts w:ascii="Verdana" w:hAnsi="Verdana"/>
          <w:sz w:val="20"/>
          <w:lang w:val="es-MX"/>
        </w:rPr>
        <w:footnoteReference w:id="23"/>
      </w:r>
      <w:r w:rsidR="000B7DCD">
        <w:rPr>
          <w:rFonts w:ascii="Verdana" w:hAnsi="Verdana"/>
          <w:sz w:val="20"/>
          <w:lang w:val="es-MX"/>
        </w:rPr>
        <w:t>, el “Plan Nacional para la Búsqueda de Personas Desaparecidas (1989-2000)”</w:t>
      </w:r>
      <w:r w:rsidR="000B7DCD">
        <w:rPr>
          <w:rStyle w:val="Refdenotaalpie"/>
          <w:rFonts w:ascii="Verdana" w:hAnsi="Verdana"/>
          <w:sz w:val="20"/>
          <w:lang w:val="es-MX"/>
        </w:rPr>
        <w:footnoteReference w:id="24"/>
      </w:r>
      <w:r w:rsidR="000B7DCD">
        <w:rPr>
          <w:rFonts w:ascii="Verdana" w:hAnsi="Verdana"/>
          <w:sz w:val="20"/>
          <w:lang w:val="es-MX"/>
        </w:rPr>
        <w:t>, la “Guía Práctica para la Recuperación y Análisis de Restos Humanos en Contextos de Violaciones a los Derechos Humanos e Infracciones contra el Derecho Internacional Humanitario” de la Fiscalía de la Nación</w:t>
      </w:r>
      <w:r w:rsidR="000B7DCD">
        <w:rPr>
          <w:rStyle w:val="Refdenotaalpie"/>
          <w:rFonts w:ascii="Verdana" w:hAnsi="Verdana"/>
          <w:sz w:val="20"/>
          <w:lang w:val="es-MX"/>
        </w:rPr>
        <w:footnoteReference w:id="25"/>
      </w:r>
      <w:r w:rsidR="000B7DCD">
        <w:rPr>
          <w:rFonts w:ascii="Verdana" w:hAnsi="Verdana"/>
          <w:sz w:val="20"/>
          <w:lang w:val="es-MX"/>
        </w:rPr>
        <w:t xml:space="preserve"> y el “Reglamento de Organización y Funciones del Ministerio de Justicia y Derechos Humanos”</w:t>
      </w:r>
      <w:r w:rsidR="000B7DCD">
        <w:rPr>
          <w:rStyle w:val="Refdenotaalpie"/>
          <w:rFonts w:ascii="Verdana" w:hAnsi="Verdana"/>
          <w:sz w:val="20"/>
          <w:lang w:val="es-MX"/>
        </w:rPr>
        <w:footnoteReference w:id="26"/>
      </w:r>
      <w:r w:rsidR="000B7DCD">
        <w:rPr>
          <w:rFonts w:ascii="Verdana" w:hAnsi="Verdana"/>
          <w:sz w:val="20"/>
          <w:lang w:val="es-MX"/>
        </w:rPr>
        <w:t xml:space="preserve">, el </w:t>
      </w:r>
      <w:r w:rsidR="001A36AE">
        <w:rPr>
          <w:rFonts w:ascii="Verdana" w:hAnsi="Verdana"/>
          <w:sz w:val="20"/>
          <w:lang w:val="es-MX"/>
        </w:rPr>
        <w:t xml:space="preserve">cual “incluye la creación de la </w:t>
      </w:r>
      <w:r w:rsidR="000B7DCD">
        <w:rPr>
          <w:rFonts w:ascii="Verdana" w:hAnsi="Verdana"/>
          <w:sz w:val="20"/>
          <w:lang w:val="es-MX"/>
        </w:rPr>
        <w:t>Dirección de Búsqueda de Personas Desaparecidas”. Esta última Dirección “es el órgano de línea encargado de diseña</w:t>
      </w:r>
      <w:r w:rsidR="000B7DCD" w:rsidRPr="005A6D61">
        <w:rPr>
          <w:rFonts w:ascii="Verdana" w:hAnsi="Verdana"/>
          <w:sz w:val="20"/>
          <w:lang w:val="es-MX"/>
        </w:rPr>
        <w:t xml:space="preserve">r, implementar y ejecutar el Plan Nacional de Búsqueda de Personas Desaparecidas, </w:t>
      </w:r>
      <w:r w:rsidR="000B7DCD">
        <w:rPr>
          <w:rFonts w:ascii="Verdana" w:hAnsi="Verdana"/>
          <w:sz w:val="20"/>
          <w:lang w:val="es-MX"/>
        </w:rPr>
        <w:t xml:space="preserve">articulando y disponiendo las medidas relativas a la búsqueda, recuperación, análisis, identificación y restitución de los restos humanos; </w:t>
      </w:r>
      <w:r w:rsidR="000B7DCD" w:rsidRPr="005A6D61">
        <w:rPr>
          <w:rFonts w:ascii="Verdana" w:hAnsi="Verdana"/>
          <w:sz w:val="20"/>
          <w:lang w:val="es-MX"/>
        </w:rPr>
        <w:t>así como administrar el Registro Nacional de Personas Desaparecidas y Sitios de Entierro”</w:t>
      </w:r>
      <w:r w:rsidR="000B7DCD">
        <w:rPr>
          <w:rStyle w:val="Refdenotaalpie"/>
          <w:rFonts w:ascii="Verdana" w:hAnsi="Verdana"/>
          <w:sz w:val="20"/>
          <w:lang w:val="es-MX"/>
        </w:rPr>
        <w:footnoteReference w:id="27"/>
      </w:r>
      <w:r w:rsidR="000B7DCD">
        <w:rPr>
          <w:rFonts w:ascii="Verdana" w:hAnsi="Verdana"/>
          <w:sz w:val="20"/>
          <w:lang w:val="es-MX"/>
        </w:rPr>
        <w:t>. Para tal efecto, la referida Dirección aprobó en octubre de 2017 la “Directiva para normar el proceso de búsqueda de las personas desaparecidas con enfoque humanitario”</w:t>
      </w:r>
      <w:r w:rsidR="000B7DCD">
        <w:rPr>
          <w:rStyle w:val="Refdenotaalpie"/>
          <w:rFonts w:ascii="Verdana" w:hAnsi="Verdana"/>
          <w:sz w:val="20"/>
          <w:lang w:val="es-MX"/>
        </w:rPr>
        <w:footnoteReference w:id="28"/>
      </w:r>
      <w:r w:rsidR="000B7DCD">
        <w:rPr>
          <w:rFonts w:ascii="Verdana" w:hAnsi="Verdana"/>
          <w:sz w:val="20"/>
          <w:lang w:val="es-MX"/>
        </w:rPr>
        <w:t>.</w:t>
      </w:r>
      <w:r w:rsidR="00415760">
        <w:rPr>
          <w:rFonts w:ascii="Verdana" w:hAnsi="Verdana"/>
          <w:sz w:val="20"/>
          <w:lang w:val="es-MX"/>
        </w:rPr>
        <w:t xml:space="preserve"> </w:t>
      </w:r>
      <w:r w:rsidR="00415760" w:rsidRPr="002C2C27">
        <w:rPr>
          <w:rFonts w:ascii="Verdana" w:hAnsi="Verdana"/>
          <w:sz w:val="20"/>
          <w:lang w:val="es-MX"/>
        </w:rPr>
        <w:t>El Estado señaló que dicha Dirección “asume competencia en aquellos casos que se encuentran con archivo fiscal y también en aquellos con resolución judicial definitiva sin restitución de restos humanos y en los casos nuevos de desaparición forzada”</w:t>
      </w:r>
      <w:r w:rsidR="00415760" w:rsidRPr="002C2C27">
        <w:rPr>
          <w:rStyle w:val="Refdenotaalpie"/>
          <w:rFonts w:ascii="Verdana" w:hAnsi="Verdana"/>
          <w:sz w:val="20"/>
          <w:lang w:val="es-MX"/>
        </w:rPr>
        <w:footnoteReference w:id="29"/>
      </w:r>
      <w:r w:rsidR="00415760">
        <w:rPr>
          <w:rFonts w:ascii="Verdana" w:hAnsi="Verdana"/>
          <w:sz w:val="20"/>
          <w:lang w:val="es-MX"/>
        </w:rPr>
        <w:t xml:space="preserve">. </w:t>
      </w:r>
    </w:p>
    <w:p w14:paraId="22E8191A" w14:textId="77777777" w:rsidR="000B7DCD" w:rsidRPr="000B7DCD" w:rsidRDefault="000B7DCD" w:rsidP="000B7DCD">
      <w:pPr>
        <w:pStyle w:val="Cuadrculamedia1-nfasis21"/>
        <w:spacing w:after="0" w:line="240" w:lineRule="auto"/>
        <w:ind w:left="0"/>
        <w:jc w:val="both"/>
        <w:rPr>
          <w:rFonts w:ascii="Verdana" w:hAnsi="Verdana" w:cs="Verdana"/>
          <w:sz w:val="10"/>
          <w:szCs w:val="10"/>
          <w:lang w:val="es-CR"/>
        </w:rPr>
      </w:pPr>
    </w:p>
    <w:p w14:paraId="3D17CC31" w14:textId="77777777" w:rsidR="000B7DCD" w:rsidRPr="000B7DCD" w:rsidRDefault="00502240" w:rsidP="0031538C">
      <w:pPr>
        <w:pStyle w:val="Cuadrculamedia1-nfasis21"/>
        <w:numPr>
          <w:ilvl w:val="0"/>
          <w:numId w:val="26"/>
        </w:numPr>
        <w:spacing w:after="0" w:line="240" w:lineRule="auto"/>
        <w:ind w:left="0" w:firstLine="0"/>
        <w:jc w:val="both"/>
        <w:rPr>
          <w:rFonts w:ascii="Verdana" w:hAnsi="Verdana" w:cs="Verdana"/>
          <w:sz w:val="20"/>
          <w:szCs w:val="20"/>
          <w:lang w:val="es-CR"/>
        </w:rPr>
      </w:pPr>
      <w:r>
        <w:rPr>
          <w:rFonts w:ascii="Verdana" w:hAnsi="Verdana"/>
          <w:sz w:val="20"/>
          <w:szCs w:val="20"/>
          <w:lang w:val="es-MX"/>
        </w:rPr>
        <w:t xml:space="preserve">Si bien no es propósito de la presente Resolución realizar un análisis detallado de la referida normativa –análisis que la Corte realizará en el marco </w:t>
      </w:r>
      <w:r w:rsidR="008F192F">
        <w:rPr>
          <w:rFonts w:ascii="Verdana" w:hAnsi="Verdana"/>
          <w:sz w:val="20"/>
          <w:szCs w:val="20"/>
          <w:lang w:val="es-MX"/>
        </w:rPr>
        <w:t xml:space="preserve">de la supervisión </w:t>
      </w:r>
      <w:r>
        <w:rPr>
          <w:rFonts w:ascii="Verdana" w:hAnsi="Verdana"/>
          <w:sz w:val="20"/>
          <w:szCs w:val="20"/>
          <w:lang w:val="es-MX"/>
        </w:rPr>
        <w:t>del caso correspondiente</w:t>
      </w:r>
      <w:r>
        <w:rPr>
          <w:rStyle w:val="Refdenotaalpie"/>
          <w:rFonts w:ascii="Verdana" w:hAnsi="Verdana"/>
          <w:sz w:val="20"/>
          <w:szCs w:val="20"/>
          <w:lang w:val="es-MX"/>
        </w:rPr>
        <w:footnoteReference w:id="30"/>
      </w:r>
      <w:r>
        <w:rPr>
          <w:rFonts w:ascii="Verdana" w:hAnsi="Verdana"/>
          <w:sz w:val="20"/>
          <w:szCs w:val="20"/>
          <w:lang w:val="es-MX"/>
        </w:rPr>
        <w:t xml:space="preserve">- </w:t>
      </w:r>
      <w:r>
        <w:rPr>
          <w:rFonts w:ascii="Verdana" w:hAnsi="Verdana" w:cs="Verdana"/>
          <w:sz w:val="20"/>
          <w:szCs w:val="20"/>
          <w:lang w:val="es-CR"/>
        </w:rPr>
        <w:t xml:space="preserve">este Tribunal valora muy positivamente </w:t>
      </w:r>
      <w:r w:rsidRPr="0031538C">
        <w:rPr>
          <w:rFonts w:ascii="Verdana" w:hAnsi="Verdana"/>
          <w:sz w:val="20"/>
          <w:szCs w:val="20"/>
          <w:lang w:val="es-MX"/>
        </w:rPr>
        <w:t xml:space="preserve">el extenso desarrollo normativo que ha permitido la creación de un marco institucional para la búsqueda de personas desaparecidas </w:t>
      </w:r>
      <w:r>
        <w:rPr>
          <w:rFonts w:ascii="Verdana" w:hAnsi="Verdana"/>
          <w:sz w:val="20"/>
          <w:szCs w:val="20"/>
          <w:lang w:val="es-MX"/>
        </w:rPr>
        <w:t>en el Perú, en tanto considera que el mismo tiene un fuerte potencial para contribuir a una mejora sustancial y un aceleramiento en el proceso de búsqueda de personas desaparecidas por parte de un órgano estatal especializado para tal efecto.</w:t>
      </w:r>
    </w:p>
    <w:p w14:paraId="55015428" w14:textId="77777777" w:rsidR="000B7DCD" w:rsidRPr="000B7DCD" w:rsidRDefault="000B7DCD" w:rsidP="000B7DCD">
      <w:pPr>
        <w:pStyle w:val="Cuadrculamedia1-nfasis21"/>
        <w:spacing w:after="0" w:line="240" w:lineRule="auto"/>
        <w:ind w:left="0"/>
        <w:jc w:val="both"/>
        <w:rPr>
          <w:rFonts w:ascii="Verdana" w:hAnsi="Verdana" w:cs="Verdana"/>
          <w:sz w:val="10"/>
          <w:szCs w:val="10"/>
          <w:lang w:val="es-CR"/>
        </w:rPr>
      </w:pPr>
    </w:p>
    <w:p w14:paraId="2F067300" w14:textId="77777777" w:rsidR="005B069C" w:rsidRPr="005B069C" w:rsidRDefault="005B069C" w:rsidP="0031538C">
      <w:pPr>
        <w:pStyle w:val="Cuadrculamedia1-nfasis21"/>
        <w:numPr>
          <w:ilvl w:val="0"/>
          <w:numId w:val="26"/>
        </w:numPr>
        <w:spacing w:after="0" w:line="240" w:lineRule="auto"/>
        <w:ind w:left="0" w:firstLine="0"/>
        <w:jc w:val="both"/>
        <w:rPr>
          <w:rFonts w:ascii="Verdana" w:hAnsi="Verdana" w:cs="Verdana"/>
          <w:sz w:val="20"/>
          <w:szCs w:val="20"/>
          <w:lang w:val="es-CR"/>
        </w:rPr>
      </w:pPr>
      <w:r>
        <w:rPr>
          <w:rFonts w:ascii="Verdana" w:hAnsi="Verdana"/>
          <w:sz w:val="20"/>
          <w:szCs w:val="20"/>
          <w:lang w:val="es-MX"/>
        </w:rPr>
        <w:t>No obstante lo anterior,</w:t>
      </w:r>
      <w:r w:rsidR="00ED4BFE">
        <w:rPr>
          <w:rFonts w:ascii="Verdana" w:hAnsi="Verdana"/>
          <w:sz w:val="20"/>
          <w:szCs w:val="20"/>
          <w:lang w:val="es-MX"/>
        </w:rPr>
        <w:t xml:space="preserve"> esta Corte constata que </w:t>
      </w:r>
      <w:r w:rsidR="00460087" w:rsidRPr="0031538C">
        <w:rPr>
          <w:rFonts w:ascii="Verdana" w:hAnsi="Verdana"/>
          <w:sz w:val="20"/>
          <w:szCs w:val="20"/>
          <w:lang w:val="es-MX"/>
        </w:rPr>
        <w:t>la búsqueda del señor Osorio Rivera</w:t>
      </w:r>
      <w:r w:rsidR="00E56070" w:rsidRPr="0031538C">
        <w:rPr>
          <w:rFonts w:ascii="Verdana" w:hAnsi="Verdana"/>
          <w:sz w:val="20"/>
          <w:szCs w:val="20"/>
          <w:lang w:val="es-MX"/>
        </w:rPr>
        <w:t xml:space="preserve"> no ha tenido avances concretos</w:t>
      </w:r>
      <w:r w:rsidR="00D96F4E" w:rsidRPr="0031538C">
        <w:rPr>
          <w:rStyle w:val="Refdenotaalpie"/>
          <w:rFonts w:ascii="Verdana" w:hAnsi="Verdana"/>
          <w:sz w:val="20"/>
          <w:szCs w:val="20"/>
          <w:lang w:val="es-MX"/>
        </w:rPr>
        <w:footnoteReference w:id="31"/>
      </w:r>
      <w:r w:rsidR="00E56070" w:rsidRPr="0031538C">
        <w:rPr>
          <w:rFonts w:ascii="Verdana" w:hAnsi="Verdana"/>
          <w:sz w:val="20"/>
          <w:szCs w:val="20"/>
          <w:lang w:val="es-MX"/>
        </w:rPr>
        <w:t xml:space="preserve">. </w:t>
      </w:r>
      <w:r w:rsidR="00C10FB3">
        <w:rPr>
          <w:rFonts w:ascii="Verdana" w:hAnsi="Verdana"/>
          <w:sz w:val="20"/>
          <w:szCs w:val="20"/>
          <w:lang w:val="es-MX"/>
        </w:rPr>
        <w:t>En junio de 2016</w:t>
      </w:r>
      <w:r w:rsidR="00CE23AD">
        <w:rPr>
          <w:rFonts w:ascii="Verdana" w:hAnsi="Verdana"/>
          <w:sz w:val="20"/>
          <w:szCs w:val="20"/>
          <w:lang w:val="es-MX"/>
        </w:rPr>
        <w:t>,</w:t>
      </w:r>
      <w:r w:rsidR="00E56070" w:rsidRPr="0031538C">
        <w:rPr>
          <w:rFonts w:ascii="Verdana" w:hAnsi="Verdana"/>
          <w:sz w:val="20"/>
          <w:szCs w:val="20"/>
          <w:lang w:val="es-MX"/>
        </w:rPr>
        <w:t xml:space="preserve"> “personal de la Cuarta Fiscalía Penal Supraprovincial” </w:t>
      </w:r>
      <w:r w:rsidR="00BB3D74" w:rsidRPr="0031538C">
        <w:rPr>
          <w:rFonts w:ascii="Verdana" w:hAnsi="Verdana"/>
          <w:sz w:val="20"/>
          <w:szCs w:val="20"/>
          <w:lang w:val="es-MX"/>
        </w:rPr>
        <w:t xml:space="preserve">se desplazó </w:t>
      </w:r>
      <w:r w:rsidR="00E56070" w:rsidRPr="0031538C">
        <w:rPr>
          <w:rFonts w:ascii="Verdana" w:hAnsi="Verdana"/>
          <w:sz w:val="20"/>
          <w:szCs w:val="20"/>
          <w:lang w:val="es-MX"/>
        </w:rPr>
        <w:t xml:space="preserve">a “la provincia de Cajatambo […] y a las localidades de Gorgor y Oyón”, </w:t>
      </w:r>
      <w:r w:rsidR="00BB3D74" w:rsidRPr="0031538C">
        <w:rPr>
          <w:rFonts w:ascii="Verdana" w:hAnsi="Verdana"/>
          <w:sz w:val="20"/>
          <w:szCs w:val="20"/>
          <w:lang w:val="es-MX"/>
        </w:rPr>
        <w:t>con el</w:t>
      </w:r>
      <w:r w:rsidR="00E56070" w:rsidRPr="0031538C">
        <w:rPr>
          <w:rFonts w:ascii="Verdana" w:hAnsi="Verdana"/>
          <w:sz w:val="20"/>
          <w:szCs w:val="20"/>
          <w:lang w:val="es-MX"/>
        </w:rPr>
        <w:t xml:space="preserve"> fin de: i) “recoger declaraciones testimoniales”, y ii) realizar la “verificación y constatación del local donde habría funcionado la base militar de Cajatambo durante la época de</w:t>
      </w:r>
      <w:r w:rsidR="00BB3D74" w:rsidRPr="0031538C">
        <w:rPr>
          <w:rFonts w:ascii="Verdana" w:hAnsi="Verdana"/>
          <w:sz w:val="20"/>
          <w:szCs w:val="20"/>
          <w:lang w:val="es-MX"/>
        </w:rPr>
        <w:t xml:space="preserve"> los hechos y donde estuvo dete</w:t>
      </w:r>
      <w:r w:rsidR="00E56070" w:rsidRPr="0031538C">
        <w:rPr>
          <w:rFonts w:ascii="Verdana" w:hAnsi="Verdana"/>
          <w:sz w:val="20"/>
          <w:szCs w:val="20"/>
          <w:lang w:val="es-MX"/>
        </w:rPr>
        <w:t>nido el señor Jeremías Osorio Rivera”</w:t>
      </w:r>
      <w:r w:rsidR="00E56070" w:rsidRPr="0031538C">
        <w:rPr>
          <w:rStyle w:val="Refdenotaalpie"/>
          <w:rFonts w:ascii="Verdana" w:hAnsi="Verdana"/>
          <w:sz w:val="20"/>
          <w:szCs w:val="20"/>
          <w:lang w:val="es-MX"/>
        </w:rPr>
        <w:footnoteReference w:id="32"/>
      </w:r>
      <w:r w:rsidR="008F119A">
        <w:rPr>
          <w:rFonts w:ascii="Verdana" w:hAnsi="Verdana"/>
          <w:sz w:val="20"/>
          <w:szCs w:val="20"/>
          <w:lang w:val="es-MX"/>
        </w:rPr>
        <w:t>.</w:t>
      </w:r>
      <w:r w:rsidR="00460087" w:rsidRPr="0031538C">
        <w:rPr>
          <w:rFonts w:ascii="Verdana" w:hAnsi="Verdana"/>
          <w:sz w:val="20"/>
          <w:szCs w:val="20"/>
          <w:lang w:val="es-MX"/>
        </w:rPr>
        <w:t xml:space="preserve"> </w:t>
      </w:r>
      <w:r w:rsidR="008F119A">
        <w:rPr>
          <w:rFonts w:ascii="Verdana" w:hAnsi="Verdana"/>
          <w:sz w:val="20"/>
          <w:szCs w:val="20"/>
          <w:lang w:val="es-MX"/>
        </w:rPr>
        <w:t>E</w:t>
      </w:r>
      <w:r w:rsidR="00ED4BFE">
        <w:rPr>
          <w:rFonts w:ascii="Verdana" w:hAnsi="Verdana"/>
          <w:sz w:val="20"/>
          <w:szCs w:val="20"/>
          <w:lang w:val="es-MX"/>
        </w:rPr>
        <w:t xml:space="preserve">n febrero de 2018 el Estado señaló, de manera general, que la “Procuraduría Supranacional le ha comunicado a la […] Dirección </w:t>
      </w:r>
      <w:r w:rsidR="00AA1FE0">
        <w:rPr>
          <w:rFonts w:ascii="Verdana" w:hAnsi="Verdana"/>
          <w:sz w:val="20"/>
          <w:szCs w:val="20"/>
          <w:lang w:val="es-MX"/>
        </w:rPr>
        <w:t xml:space="preserve">[General] </w:t>
      </w:r>
      <w:r w:rsidR="00ED4BFE">
        <w:rPr>
          <w:rFonts w:ascii="Verdana" w:hAnsi="Verdana"/>
          <w:sz w:val="20"/>
          <w:szCs w:val="20"/>
          <w:lang w:val="es-MX"/>
        </w:rPr>
        <w:t>de Búsqueda de Personas Desaparecidas” (</w:t>
      </w:r>
      <w:r w:rsidR="00ED4BFE">
        <w:rPr>
          <w:rFonts w:ascii="Verdana" w:hAnsi="Verdana"/>
          <w:i/>
          <w:sz w:val="20"/>
          <w:szCs w:val="20"/>
          <w:lang w:val="es-MX"/>
        </w:rPr>
        <w:t xml:space="preserve">supra </w:t>
      </w:r>
      <w:r w:rsidR="00120A34">
        <w:rPr>
          <w:rFonts w:ascii="Verdana" w:hAnsi="Verdana"/>
          <w:sz w:val="20"/>
          <w:szCs w:val="20"/>
          <w:lang w:val="es-MX"/>
        </w:rPr>
        <w:t>Considerando 13</w:t>
      </w:r>
      <w:r w:rsidR="00ED4BFE">
        <w:rPr>
          <w:rFonts w:ascii="Verdana" w:hAnsi="Verdana"/>
          <w:sz w:val="20"/>
          <w:szCs w:val="20"/>
          <w:lang w:val="es-MX"/>
        </w:rPr>
        <w:t xml:space="preserve">) sobre el presente caso “y otros casos referidos a sentencias de la Corte IDH”. Posteriormente, en </w:t>
      </w:r>
      <w:r w:rsidR="00AA1FE0">
        <w:rPr>
          <w:rFonts w:ascii="Verdana" w:hAnsi="Verdana"/>
          <w:sz w:val="20"/>
          <w:szCs w:val="20"/>
          <w:lang w:val="es-MX"/>
        </w:rPr>
        <w:t>enero</w:t>
      </w:r>
      <w:r w:rsidR="00ED4BFE">
        <w:rPr>
          <w:rFonts w:ascii="Verdana" w:hAnsi="Verdana"/>
          <w:sz w:val="20"/>
          <w:szCs w:val="20"/>
          <w:lang w:val="es-MX"/>
        </w:rPr>
        <w:t xml:space="preserve"> de 2019, la </w:t>
      </w:r>
      <w:r w:rsidR="00D04D2F">
        <w:rPr>
          <w:rFonts w:ascii="Verdana" w:hAnsi="Verdana"/>
          <w:sz w:val="20"/>
          <w:szCs w:val="20"/>
          <w:lang w:val="es-MX"/>
        </w:rPr>
        <w:t xml:space="preserve">referida </w:t>
      </w:r>
      <w:r w:rsidR="00ED4BFE">
        <w:rPr>
          <w:rFonts w:ascii="Verdana" w:hAnsi="Verdana"/>
          <w:sz w:val="20"/>
          <w:szCs w:val="20"/>
          <w:lang w:val="es-MX"/>
        </w:rPr>
        <w:t>Dirección General de Búsqueda de Person</w:t>
      </w:r>
      <w:r w:rsidR="007B7691">
        <w:rPr>
          <w:rFonts w:ascii="Verdana" w:hAnsi="Verdana"/>
          <w:sz w:val="20"/>
          <w:szCs w:val="20"/>
          <w:lang w:val="es-MX"/>
        </w:rPr>
        <w:t>as Desaparecidas manifestó que incorporaría el presente</w:t>
      </w:r>
      <w:r w:rsidR="00ED4BFE">
        <w:rPr>
          <w:rFonts w:ascii="Verdana" w:hAnsi="Verdana"/>
          <w:sz w:val="20"/>
          <w:szCs w:val="20"/>
          <w:lang w:val="es-MX"/>
        </w:rPr>
        <w:t xml:space="preserve"> caso dentro de su planificación. </w:t>
      </w:r>
      <w:r w:rsidR="00605885">
        <w:rPr>
          <w:rFonts w:ascii="Verdana" w:hAnsi="Verdana"/>
          <w:sz w:val="20"/>
          <w:szCs w:val="20"/>
          <w:lang w:val="es-MX"/>
        </w:rPr>
        <w:t>Asimismo,</w:t>
      </w:r>
      <w:r w:rsidR="00ED4BFE">
        <w:rPr>
          <w:rFonts w:ascii="Verdana" w:hAnsi="Verdana"/>
          <w:sz w:val="20"/>
          <w:szCs w:val="20"/>
          <w:lang w:val="es-MX"/>
        </w:rPr>
        <w:t xml:space="preserve"> dicha Dirección indicó que se encontraba en el “proceso de construcción de un Registro Nacional de Personas Desaparecidas y Sitios de Entierro</w:t>
      </w:r>
      <w:r>
        <w:rPr>
          <w:rFonts w:ascii="Verdana" w:hAnsi="Verdana"/>
          <w:sz w:val="20"/>
          <w:szCs w:val="20"/>
          <w:lang w:val="es-MX"/>
        </w:rPr>
        <w:t xml:space="preserve"> [y a tal efecto se estaba formulando]</w:t>
      </w:r>
      <w:r w:rsidR="00ED4BFE">
        <w:rPr>
          <w:rFonts w:ascii="Verdana" w:hAnsi="Verdana"/>
          <w:sz w:val="20"/>
          <w:szCs w:val="20"/>
          <w:lang w:val="es-MX"/>
        </w:rPr>
        <w:t xml:space="preserve"> </w:t>
      </w:r>
      <w:r>
        <w:rPr>
          <w:rFonts w:ascii="Verdana" w:hAnsi="Verdana"/>
          <w:sz w:val="20"/>
          <w:szCs w:val="20"/>
          <w:lang w:val="es-MX"/>
        </w:rPr>
        <w:t xml:space="preserve">una línea base que reúne un primer universo de [más de veinte mil] casos de desaparición forzada en el Perú”. En este sentido, </w:t>
      </w:r>
      <w:r w:rsidR="00D04D2F">
        <w:rPr>
          <w:rFonts w:ascii="Verdana" w:hAnsi="Verdana"/>
          <w:sz w:val="20"/>
          <w:szCs w:val="20"/>
          <w:lang w:val="es-MX"/>
        </w:rPr>
        <w:t xml:space="preserve">la citada entidad </w:t>
      </w:r>
      <w:r>
        <w:rPr>
          <w:rFonts w:ascii="Verdana" w:hAnsi="Verdana"/>
          <w:sz w:val="20"/>
          <w:szCs w:val="20"/>
          <w:lang w:val="es-MX"/>
        </w:rPr>
        <w:t>señaló que el caso del señor Osorio estaba incorporado en la referida “línea base”</w:t>
      </w:r>
      <w:r w:rsidR="00D04D2F">
        <w:rPr>
          <w:rFonts w:ascii="Verdana" w:hAnsi="Verdana"/>
          <w:sz w:val="20"/>
          <w:szCs w:val="20"/>
          <w:lang w:val="es-MX"/>
        </w:rPr>
        <w:t>, la cual</w:t>
      </w:r>
      <w:r>
        <w:rPr>
          <w:rFonts w:ascii="Verdana" w:hAnsi="Verdana"/>
          <w:sz w:val="20"/>
          <w:szCs w:val="20"/>
          <w:lang w:val="es-MX"/>
        </w:rPr>
        <w:t xml:space="preserve"> se encontraba “en proceso de sistematización para fines de planificación” y</w:t>
      </w:r>
      <w:r w:rsidR="00D04D2F">
        <w:rPr>
          <w:rFonts w:ascii="Verdana" w:hAnsi="Verdana"/>
          <w:sz w:val="20"/>
          <w:szCs w:val="20"/>
          <w:lang w:val="es-MX"/>
        </w:rPr>
        <w:t xml:space="preserve"> poder continuar</w:t>
      </w:r>
      <w:r>
        <w:rPr>
          <w:rFonts w:ascii="Verdana" w:hAnsi="Verdana"/>
          <w:sz w:val="20"/>
          <w:szCs w:val="20"/>
          <w:lang w:val="es-MX"/>
        </w:rPr>
        <w:t xml:space="preserve"> a “una subsiguiente etapa de inicio de contactos y visitas de l</w:t>
      </w:r>
      <w:r w:rsidR="00605885">
        <w:rPr>
          <w:rFonts w:ascii="Verdana" w:hAnsi="Verdana"/>
          <w:sz w:val="20"/>
          <w:szCs w:val="20"/>
          <w:lang w:val="es-MX"/>
        </w:rPr>
        <w:t>u</w:t>
      </w:r>
      <w:r>
        <w:rPr>
          <w:rFonts w:ascii="Verdana" w:hAnsi="Verdana"/>
          <w:sz w:val="20"/>
          <w:szCs w:val="20"/>
          <w:lang w:val="es-MX"/>
        </w:rPr>
        <w:t>gares”</w:t>
      </w:r>
      <w:r w:rsidR="00D04D2F">
        <w:rPr>
          <w:rStyle w:val="Refdenotaalpie"/>
          <w:rFonts w:ascii="Verdana" w:hAnsi="Verdana"/>
          <w:sz w:val="20"/>
          <w:szCs w:val="20"/>
          <w:lang w:val="es-MX"/>
        </w:rPr>
        <w:footnoteReference w:id="33"/>
      </w:r>
      <w:r>
        <w:rPr>
          <w:rFonts w:ascii="Verdana" w:hAnsi="Verdana"/>
          <w:sz w:val="20"/>
          <w:szCs w:val="20"/>
          <w:lang w:val="es-MX"/>
        </w:rPr>
        <w:t>.</w:t>
      </w:r>
      <w:r w:rsidR="00D753F1">
        <w:rPr>
          <w:rFonts w:ascii="Verdana" w:hAnsi="Verdana"/>
          <w:sz w:val="20"/>
          <w:szCs w:val="20"/>
          <w:lang w:val="es-MX"/>
        </w:rPr>
        <w:t xml:space="preserve"> </w:t>
      </w:r>
      <w:r w:rsidR="00D753F1" w:rsidRPr="009C75C8">
        <w:rPr>
          <w:rFonts w:ascii="Verdana" w:hAnsi="Verdana"/>
          <w:sz w:val="20"/>
          <w:szCs w:val="20"/>
          <w:lang w:val="es-MX"/>
        </w:rPr>
        <w:t xml:space="preserve">En octubre de 2019, la Dirección en cuestión </w:t>
      </w:r>
      <w:r w:rsidR="00CE23AD" w:rsidRPr="009C75C8">
        <w:rPr>
          <w:rFonts w:ascii="Verdana" w:hAnsi="Verdana"/>
          <w:sz w:val="20"/>
          <w:szCs w:val="20"/>
          <w:lang w:val="es-MX"/>
        </w:rPr>
        <w:t xml:space="preserve">indicó </w:t>
      </w:r>
      <w:r w:rsidR="00D753F1" w:rsidRPr="009C75C8">
        <w:rPr>
          <w:rFonts w:ascii="Verdana" w:hAnsi="Verdana"/>
          <w:sz w:val="20"/>
          <w:szCs w:val="20"/>
          <w:lang w:val="es-MX"/>
        </w:rPr>
        <w:t>que un informe interno “recomendó fortalecer la coordinación con el Fiscal a cargo del caso, con la finalidad de colaborar en el proceso de búsqueda […] y brindar apoyo material y logístico para la participación de las familias, así como coordinar las diligencias en la etapa preparatoria de la visita a la ex base contrasubversiva de Cajatambo”</w:t>
      </w:r>
      <w:r w:rsidR="00D753F1" w:rsidRPr="009C75C8">
        <w:rPr>
          <w:rStyle w:val="Refdenotaalpie"/>
          <w:rFonts w:ascii="Verdana" w:hAnsi="Verdana"/>
          <w:sz w:val="20"/>
          <w:szCs w:val="20"/>
          <w:lang w:val="es-MX"/>
        </w:rPr>
        <w:footnoteReference w:id="34"/>
      </w:r>
      <w:r w:rsidR="00D753F1" w:rsidRPr="009C75C8">
        <w:rPr>
          <w:rFonts w:ascii="Verdana" w:hAnsi="Verdana"/>
          <w:sz w:val="20"/>
          <w:szCs w:val="20"/>
          <w:lang w:val="es-MX"/>
        </w:rPr>
        <w:t>.</w:t>
      </w:r>
      <w:r w:rsidR="00F53E6B" w:rsidRPr="009C75C8">
        <w:rPr>
          <w:rFonts w:ascii="Verdana" w:hAnsi="Verdana"/>
          <w:sz w:val="20"/>
          <w:szCs w:val="20"/>
          <w:lang w:val="es-MX"/>
        </w:rPr>
        <w:t xml:space="preserve"> No obstante, esta Corte no cuenta con información posterior que permita comprobar que dicha recomendación fue llevada a cabo</w:t>
      </w:r>
      <w:r w:rsidR="00F53E6B">
        <w:rPr>
          <w:rFonts w:ascii="Verdana" w:hAnsi="Verdana"/>
          <w:sz w:val="20"/>
          <w:szCs w:val="20"/>
          <w:lang w:val="es-MX"/>
        </w:rPr>
        <w:t>.</w:t>
      </w:r>
    </w:p>
    <w:p w14:paraId="25769321" w14:textId="77777777" w:rsidR="005B069C" w:rsidRPr="004E7DE6" w:rsidRDefault="005B069C" w:rsidP="005B069C">
      <w:pPr>
        <w:pStyle w:val="Cuadrculamedia1-nfasis21"/>
        <w:spacing w:after="0" w:line="240" w:lineRule="auto"/>
        <w:ind w:left="0"/>
        <w:jc w:val="both"/>
        <w:rPr>
          <w:rFonts w:ascii="Verdana" w:hAnsi="Verdana" w:cs="Verdana"/>
          <w:sz w:val="10"/>
          <w:szCs w:val="10"/>
          <w:lang w:val="es-CR"/>
        </w:rPr>
      </w:pPr>
    </w:p>
    <w:p w14:paraId="50F72171" w14:textId="77777777" w:rsidR="00A60B1C" w:rsidRPr="0031538C" w:rsidRDefault="00460087" w:rsidP="0031538C">
      <w:pPr>
        <w:pStyle w:val="Cuadrculamedia1-nfasis21"/>
        <w:numPr>
          <w:ilvl w:val="0"/>
          <w:numId w:val="26"/>
        </w:numPr>
        <w:spacing w:after="0" w:line="240" w:lineRule="auto"/>
        <w:ind w:left="0" w:firstLine="0"/>
        <w:jc w:val="both"/>
        <w:rPr>
          <w:rFonts w:ascii="Verdana" w:hAnsi="Verdana" w:cs="Verdana"/>
          <w:sz w:val="20"/>
          <w:szCs w:val="20"/>
          <w:lang w:val="es-CR"/>
        </w:rPr>
      </w:pPr>
      <w:r w:rsidRPr="0031538C">
        <w:rPr>
          <w:rFonts w:ascii="Verdana" w:hAnsi="Verdana"/>
          <w:sz w:val="20"/>
          <w:szCs w:val="20"/>
          <w:lang w:val="es-MX"/>
        </w:rPr>
        <w:lastRenderedPageBreak/>
        <w:t>Al respecto</w:t>
      </w:r>
      <w:r w:rsidR="006149F2" w:rsidRPr="0031538C">
        <w:rPr>
          <w:rFonts w:ascii="Verdana" w:hAnsi="Verdana"/>
          <w:sz w:val="20"/>
          <w:szCs w:val="20"/>
          <w:lang w:val="es-MX"/>
        </w:rPr>
        <w:t xml:space="preserve"> </w:t>
      </w:r>
      <w:r w:rsidRPr="0031538C">
        <w:rPr>
          <w:rFonts w:ascii="Verdana" w:hAnsi="Verdana"/>
          <w:sz w:val="20"/>
          <w:szCs w:val="20"/>
          <w:lang w:val="es-MX"/>
        </w:rPr>
        <w:t xml:space="preserve">los representantes de las víctimas indicaron </w:t>
      </w:r>
      <w:r w:rsidR="006149F2" w:rsidRPr="0031538C">
        <w:rPr>
          <w:rFonts w:ascii="Verdana" w:hAnsi="Verdana"/>
          <w:sz w:val="20"/>
          <w:szCs w:val="20"/>
          <w:lang w:val="es-MX"/>
        </w:rPr>
        <w:t xml:space="preserve">en </w:t>
      </w:r>
      <w:r w:rsidR="00876203">
        <w:rPr>
          <w:rFonts w:ascii="Verdana" w:hAnsi="Verdana"/>
          <w:sz w:val="20"/>
          <w:szCs w:val="20"/>
          <w:lang w:val="es-MX"/>
        </w:rPr>
        <w:t>septiembre de 2018 que “no existe un avance real […] respecto a la ubicación e identificación de la víctima, toda vez que no se da cuenta de acciones concretas tendientes al cumplimiento de este punto resolutivo, generando expectativas en los familiares de la víctima que a la fecha no han sido cumplidas”</w:t>
      </w:r>
      <w:r w:rsidR="00876203">
        <w:rPr>
          <w:rStyle w:val="Refdenotaalpie"/>
          <w:rFonts w:ascii="Verdana" w:hAnsi="Verdana"/>
          <w:sz w:val="20"/>
          <w:szCs w:val="20"/>
          <w:lang w:val="es-MX"/>
        </w:rPr>
        <w:footnoteReference w:id="35"/>
      </w:r>
      <w:r w:rsidR="00876203">
        <w:rPr>
          <w:rFonts w:ascii="Verdana" w:hAnsi="Verdana"/>
          <w:sz w:val="20"/>
          <w:szCs w:val="20"/>
          <w:lang w:val="es-MX"/>
        </w:rPr>
        <w:t>.</w:t>
      </w:r>
      <w:r w:rsidR="009D14E2">
        <w:rPr>
          <w:rFonts w:ascii="Verdana" w:hAnsi="Verdana"/>
          <w:sz w:val="20"/>
          <w:szCs w:val="20"/>
          <w:lang w:val="es-MX"/>
        </w:rPr>
        <w:t xml:space="preserve"> Posteriormente, en</w:t>
      </w:r>
      <w:r w:rsidR="00876203">
        <w:rPr>
          <w:rFonts w:ascii="Verdana" w:hAnsi="Verdana"/>
          <w:sz w:val="20"/>
          <w:szCs w:val="20"/>
          <w:lang w:val="es-MX"/>
        </w:rPr>
        <w:t xml:space="preserve"> </w:t>
      </w:r>
      <w:r w:rsidR="006149F2" w:rsidRPr="0031538C">
        <w:rPr>
          <w:rFonts w:ascii="Verdana" w:hAnsi="Verdana"/>
          <w:sz w:val="20"/>
          <w:szCs w:val="20"/>
          <w:lang w:val="es-MX"/>
        </w:rPr>
        <w:t>mayo de 2019</w:t>
      </w:r>
      <w:r w:rsidR="009D14E2">
        <w:rPr>
          <w:rFonts w:ascii="Verdana" w:hAnsi="Verdana"/>
          <w:sz w:val="20"/>
          <w:szCs w:val="20"/>
          <w:lang w:val="es-MX"/>
        </w:rPr>
        <w:t>, los representantes indicaron que</w:t>
      </w:r>
      <w:r w:rsidR="0025078D">
        <w:rPr>
          <w:rFonts w:ascii="Verdana" w:hAnsi="Verdana"/>
          <w:sz w:val="20"/>
          <w:szCs w:val="20"/>
          <w:lang w:val="es-MX"/>
        </w:rPr>
        <w:t>,</w:t>
      </w:r>
      <w:r w:rsidR="009D14E2">
        <w:rPr>
          <w:rFonts w:ascii="Verdana" w:hAnsi="Verdana"/>
          <w:sz w:val="20"/>
          <w:szCs w:val="20"/>
          <w:lang w:val="es-MX"/>
        </w:rPr>
        <w:t xml:space="preserve"> de la información brindada por la referida Dirección General de Búsqueda de Personas Desaparecidas (</w:t>
      </w:r>
      <w:r w:rsidR="009D14E2">
        <w:rPr>
          <w:rFonts w:ascii="Verdana" w:hAnsi="Verdana"/>
          <w:i/>
          <w:sz w:val="20"/>
          <w:szCs w:val="20"/>
          <w:lang w:val="es-MX"/>
        </w:rPr>
        <w:t xml:space="preserve">supra </w:t>
      </w:r>
      <w:r w:rsidR="00120A34">
        <w:rPr>
          <w:rFonts w:ascii="Verdana" w:hAnsi="Verdana"/>
          <w:sz w:val="20"/>
          <w:szCs w:val="20"/>
          <w:lang w:val="es-MX"/>
        </w:rPr>
        <w:t>Considerando 15</w:t>
      </w:r>
      <w:r w:rsidR="009D14E2">
        <w:rPr>
          <w:rFonts w:ascii="Verdana" w:hAnsi="Verdana"/>
          <w:sz w:val="20"/>
          <w:szCs w:val="20"/>
          <w:lang w:val="es-MX"/>
        </w:rPr>
        <w:t>)</w:t>
      </w:r>
      <w:r w:rsidR="0025078D">
        <w:rPr>
          <w:rFonts w:ascii="Verdana" w:hAnsi="Verdana"/>
          <w:sz w:val="20"/>
          <w:szCs w:val="20"/>
          <w:lang w:val="es-MX"/>
        </w:rPr>
        <w:t>,</w:t>
      </w:r>
      <w:r w:rsidR="009D14E2">
        <w:rPr>
          <w:rFonts w:ascii="Verdana" w:hAnsi="Verdana"/>
          <w:sz w:val="20"/>
          <w:szCs w:val="20"/>
          <w:lang w:val="es-MX"/>
        </w:rPr>
        <w:t xml:space="preserve"> “no se detalla” en qué consisten las acciones concretas que se van a tomar y tampoco “queda claro qué información se necesita para precisamente</w:t>
      </w:r>
      <w:r w:rsidR="006149F2" w:rsidRPr="0031538C">
        <w:rPr>
          <w:rFonts w:ascii="Verdana" w:hAnsi="Verdana"/>
          <w:sz w:val="20"/>
          <w:szCs w:val="20"/>
          <w:lang w:val="es-MX"/>
        </w:rPr>
        <w:t xml:space="preserve"> </w:t>
      </w:r>
      <w:r w:rsidR="009D14E2">
        <w:rPr>
          <w:rFonts w:ascii="Verdana" w:hAnsi="Verdana"/>
          <w:sz w:val="20"/>
          <w:szCs w:val="20"/>
          <w:lang w:val="es-MX"/>
        </w:rPr>
        <w:t>para iniciar la búsqueda efectiva de los re[s]tos de la víctima”. También señalaron que “a nivel del Ministerio Público no se ha realizado diligencia alguna” para dar cumplimiento a la presente medida. Por tanto, los representantes concluyeron que “resulta necesario que el Estado brinde una explicación sobre la metodología de investigación sobre la búsqueda del paradero de la víctima en el caso concreto y sobre las acciones realizadas”</w:t>
      </w:r>
      <w:r w:rsidR="006149F2" w:rsidRPr="0031538C">
        <w:rPr>
          <w:rStyle w:val="Refdenotaalpie"/>
          <w:rFonts w:ascii="Verdana" w:hAnsi="Verdana"/>
          <w:sz w:val="20"/>
          <w:szCs w:val="20"/>
          <w:lang w:val="es-MX"/>
        </w:rPr>
        <w:footnoteReference w:id="36"/>
      </w:r>
      <w:r w:rsidR="006149F2" w:rsidRPr="0031538C">
        <w:rPr>
          <w:rFonts w:ascii="Verdana" w:hAnsi="Verdana"/>
          <w:sz w:val="20"/>
          <w:szCs w:val="20"/>
          <w:lang w:val="es-MX"/>
        </w:rPr>
        <w:t>.</w:t>
      </w:r>
      <w:r w:rsidRPr="0031538C">
        <w:rPr>
          <w:rFonts w:ascii="Verdana" w:hAnsi="Verdana"/>
          <w:sz w:val="20"/>
          <w:szCs w:val="20"/>
          <w:lang w:val="es-MX"/>
        </w:rPr>
        <w:t xml:space="preserve"> </w:t>
      </w:r>
    </w:p>
    <w:p w14:paraId="33CADEB1" w14:textId="77777777" w:rsidR="006B208B" w:rsidRPr="00F0083F" w:rsidRDefault="006B208B" w:rsidP="007951B6">
      <w:pPr>
        <w:pStyle w:val="Cuadrculamedia1-nfasis21"/>
        <w:spacing w:after="0" w:line="240" w:lineRule="auto"/>
        <w:ind w:left="0"/>
        <w:contextualSpacing w:val="0"/>
        <w:jc w:val="both"/>
        <w:rPr>
          <w:rFonts w:ascii="Verdana" w:hAnsi="Verdana"/>
          <w:sz w:val="10"/>
          <w:szCs w:val="10"/>
          <w:lang w:val="es-MX"/>
        </w:rPr>
      </w:pPr>
    </w:p>
    <w:p w14:paraId="08CE02B2" w14:textId="77777777" w:rsidR="00126EEB" w:rsidRPr="009D14E2" w:rsidRDefault="004A2DA2" w:rsidP="00733B92">
      <w:pPr>
        <w:pStyle w:val="Cuadrculamedia1-nfasis21"/>
        <w:numPr>
          <w:ilvl w:val="0"/>
          <w:numId w:val="26"/>
        </w:numPr>
        <w:spacing w:after="0" w:line="240" w:lineRule="auto"/>
        <w:ind w:left="0" w:firstLine="0"/>
        <w:contextualSpacing w:val="0"/>
        <w:jc w:val="both"/>
        <w:rPr>
          <w:rFonts w:ascii="Verdana" w:hAnsi="Verdana"/>
          <w:sz w:val="20"/>
          <w:lang w:val="es-MX"/>
        </w:rPr>
      </w:pPr>
      <w:r w:rsidRPr="004A2DA2">
        <w:rPr>
          <w:rFonts w:ascii="Verdana" w:hAnsi="Verdana"/>
          <w:sz w:val="20"/>
          <w:szCs w:val="20"/>
          <w:lang w:val="es-ES"/>
        </w:rPr>
        <w:t>La Corte estima necesario enfatizar la importancia que tiene el cumplimiento de esta medida, puesto que supone una satisfacción moral para las víctimas y resulta indispensable en el proceso de duelo</w:t>
      </w:r>
      <w:r>
        <w:rPr>
          <w:rStyle w:val="Refdenotaalpie"/>
          <w:rFonts w:ascii="Verdana" w:hAnsi="Verdana"/>
          <w:sz w:val="20"/>
          <w:szCs w:val="20"/>
          <w:lang w:val="es-ES"/>
        </w:rPr>
        <w:footnoteReference w:id="37"/>
      </w:r>
      <w:r w:rsidRPr="004A2DA2">
        <w:rPr>
          <w:rFonts w:ascii="Verdana" w:hAnsi="Verdana"/>
          <w:sz w:val="20"/>
          <w:szCs w:val="20"/>
          <w:lang w:val="es-ES"/>
        </w:rPr>
        <w:t>. Por tanto,</w:t>
      </w:r>
      <w:r w:rsidR="009D14E2" w:rsidRPr="004A2DA2">
        <w:rPr>
          <w:rFonts w:ascii="Verdana" w:hAnsi="Verdana"/>
          <w:sz w:val="20"/>
          <w:szCs w:val="20"/>
          <w:lang w:val="es-ES"/>
        </w:rPr>
        <w:t xml:space="preserve"> este Tribunal </w:t>
      </w:r>
      <w:r w:rsidR="00726B99" w:rsidRPr="004A2DA2">
        <w:rPr>
          <w:rFonts w:ascii="Verdana" w:hAnsi="Verdana"/>
          <w:sz w:val="20"/>
          <w:szCs w:val="20"/>
          <w:lang w:val="es-ES"/>
        </w:rPr>
        <w:t>considera</w:t>
      </w:r>
      <w:r w:rsidR="009D14E2" w:rsidRPr="004A2DA2">
        <w:rPr>
          <w:rFonts w:ascii="Verdana" w:hAnsi="Verdana"/>
          <w:sz w:val="20"/>
          <w:szCs w:val="20"/>
          <w:lang w:val="es-ES"/>
        </w:rPr>
        <w:t xml:space="preserve"> necesario que</w:t>
      </w:r>
      <w:r w:rsidR="009D14E2" w:rsidRPr="00120501">
        <w:rPr>
          <w:rFonts w:ascii="Verdana" w:hAnsi="Verdana"/>
          <w:sz w:val="20"/>
          <w:szCs w:val="20"/>
          <w:lang w:val="es-ES"/>
        </w:rPr>
        <w:t xml:space="preserve">, dentro del plazo establecido en el punto dispositivo </w:t>
      </w:r>
      <w:r w:rsidR="004E7DE6">
        <w:rPr>
          <w:rFonts w:ascii="Verdana" w:hAnsi="Verdana"/>
          <w:sz w:val="20"/>
          <w:szCs w:val="20"/>
          <w:lang w:val="es-ES"/>
        </w:rPr>
        <w:t>quinto</w:t>
      </w:r>
      <w:r w:rsidR="009D14E2" w:rsidRPr="00120501">
        <w:rPr>
          <w:rFonts w:ascii="Verdana" w:hAnsi="Verdana"/>
          <w:sz w:val="20"/>
          <w:szCs w:val="20"/>
          <w:lang w:val="es-ES"/>
        </w:rPr>
        <w:t xml:space="preserve"> de </w:t>
      </w:r>
      <w:r w:rsidR="009D14E2">
        <w:rPr>
          <w:rFonts w:ascii="Verdana" w:hAnsi="Verdana"/>
          <w:sz w:val="20"/>
          <w:szCs w:val="20"/>
          <w:lang w:val="es-ES"/>
        </w:rPr>
        <w:t>esta</w:t>
      </w:r>
      <w:r w:rsidR="009D14E2" w:rsidRPr="00120501">
        <w:rPr>
          <w:rFonts w:ascii="Verdana" w:hAnsi="Verdana"/>
          <w:sz w:val="20"/>
          <w:szCs w:val="20"/>
          <w:lang w:val="es-ES"/>
        </w:rPr>
        <w:t xml:space="preserve"> Resolución, </w:t>
      </w:r>
      <w:r w:rsidR="009D14E2" w:rsidRPr="004A2DA2">
        <w:rPr>
          <w:rFonts w:ascii="Verdana" w:hAnsi="Verdana"/>
          <w:sz w:val="20"/>
          <w:szCs w:val="20"/>
          <w:lang w:val="es-ES"/>
        </w:rPr>
        <w:t xml:space="preserve">el Estado </w:t>
      </w:r>
      <w:r w:rsidR="009D14E2" w:rsidRPr="00120501">
        <w:rPr>
          <w:rFonts w:ascii="Verdana" w:hAnsi="Verdana"/>
          <w:sz w:val="20"/>
          <w:szCs w:val="20"/>
          <w:lang w:val="es-ES"/>
        </w:rPr>
        <w:t>presente</w:t>
      </w:r>
      <w:r w:rsidR="009D14E2">
        <w:rPr>
          <w:rFonts w:ascii="Verdana" w:hAnsi="Verdana"/>
          <w:sz w:val="20"/>
          <w:szCs w:val="20"/>
          <w:lang w:val="es-ES"/>
        </w:rPr>
        <w:t xml:space="preserve"> </w:t>
      </w:r>
      <w:r w:rsidR="009D14E2" w:rsidRPr="00120501">
        <w:rPr>
          <w:rFonts w:ascii="Verdana" w:hAnsi="Verdana"/>
          <w:sz w:val="20"/>
          <w:szCs w:val="20"/>
          <w:lang w:val="es-ES"/>
        </w:rPr>
        <w:t>un informe detallado, completo y actualizado respecto de</w:t>
      </w:r>
      <w:r w:rsidR="009D14E2">
        <w:rPr>
          <w:rFonts w:ascii="Verdana" w:hAnsi="Verdana"/>
          <w:sz w:val="20"/>
          <w:szCs w:val="20"/>
          <w:lang w:val="es-ES"/>
        </w:rPr>
        <w:t xml:space="preserve">: </w:t>
      </w:r>
      <w:r w:rsidR="009D14E2">
        <w:rPr>
          <w:rFonts w:ascii="Verdana" w:hAnsi="Verdana"/>
          <w:sz w:val="20"/>
          <w:szCs w:val="20"/>
          <w:lang w:val="es-MX"/>
        </w:rPr>
        <w:t xml:space="preserve">i) las acciones concretas que en el marco de la creación del </w:t>
      </w:r>
      <w:r w:rsidR="00365FC1" w:rsidRPr="004A2DA2">
        <w:rPr>
          <w:rFonts w:ascii="Verdana" w:hAnsi="Verdana"/>
          <w:sz w:val="20"/>
          <w:szCs w:val="20"/>
          <w:lang w:val="es-ES"/>
        </w:rPr>
        <w:t>Registro Nacional de Personas Desaparecidas</w:t>
      </w:r>
      <w:r w:rsidR="00365FC1">
        <w:rPr>
          <w:rFonts w:ascii="Verdana" w:hAnsi="Verdana"/>
          <w:sz w:val="20"/>
          <w:szCs w:val="20"/>
          <w:lang w:val="es-MX"/>
        </w:rPr>
        <w:t xml:space="preserve"> y Sitios de Entierro</w:t>
      </w:r>
      <w:r w:rsidR="009D14E2">
        <w:rPr>
          <w:rFonts w:ascii="Verdana" w:hAnsi="Verdana"/>
          <w:sz w:val="20"/>
          <w:szCs w:val="20"/>
          <w:lang w:val="es-MX"/>
        </w:rPr>
        <w:t xml:space="preserve"> y </w:t>
      </w:r>
      <w:r>
        <w:rPr>
          <w:rFonts w:ascii="Verdana" w:hAnsi="Verdana"/>
          <w:sz w:val="20"/>
          <w:szCs w:val="20"/>
          <w:lang w:val="es-MX"/>
        </w:rPr>
        <w:t>la ejecución d</w:t>
      </w:r>
      <w:r w:rsidR="009D14E2">
        <w:rPr>
          <w:rFonts w:ascii="Verdana" w:hAnsi="Verdana"/>
          <w:sz w:val="20"/>
          <w:szCs w:val="20"/>
          <w:lang w:val="es-MX"/>
        </w:rPr>
        <w:t xml:space="preserve">el Plan Nacional </w:t>
      </w:r>
      <w:r w:rsidR="00365FC1">
        <w:rPr>
          <w:rFonts w:ascii="Verdana" w:hAnsi="Verdana"/>
          <w:sz w:val="20"/>
          <w:szCs w:val="20"/>
          <w:lang w:val="es-MX"/>
        </w:rPr>
        <w:t xml:space="preserve">de Búsqueda </w:t>
      </w:r>
      <w:r w:rsidR="009D14E2">
        <w:rPr>
          <w:rFonts w:ascii="Verdana" w:hAnsi="Verdana"/>
          <w:sz w:val="20"/>
          <w:szCs w:val="20"/>
          <w:lang w:val="es-MX"/>
        </w:rPr>
        <w:t xml:space="preserve">se están tomando </w:t>
      </w:r>
      <w:r w:rsidR="00B87381">
        <w:rPr>
          <w:rFonts w:ascii="Verdana" w:hAnsi="Verdana"/>
          <w:sz w:val="20"/>
          <w:szCs w:val="20"/>
          <w:lang w:val="es-MX"/>
        </w:rPr>
        <w:t xml:space="preserve">para acelerar </w:t>
      </w:r>
      <w:r w:rsidR="009D14E2">
        <w:rPr>
          <w:rFonts w:ascii="Verdana" w:hAnsi="Verdana"/>
          <w:sz w:val="20"/>
          <w:szCs w:val="20"/>
          <w:lang w:val="es-MX"/>
        </w:rPr>
        <w:t>la b</w:t>
      </w:r>
      <w:r w:rsidR="00EF4B4F">
        <w:rPr>
          <w:rFonts w:ascii="Verdana" w:hAnsi="Verdana"/>
          <w:sz w:val="20"/>
          <w:szCs w:val="20"/>
          <w:lang w:val="es-MX"/>
        </w:rPr>
        <w:t xml:space="preserve">úsqueda del señor Osorio Rivera, y </w:t>
      </w:r>
      <w:r w:rsidR="009D14E2">
        <w:rPr>
          <w:rFonts w:ascii="Verdana" w:hAnsi="Verdana"/>
          <w:sz w:val="20"/>
          <w:szCs w:val="20"/>
          <w:lang w:val="es-MX"/>
        </w:rPr>
        <w:t>ii) considerando el nuevo marco institucional para la búsqueda de personas, aclare cuál es el papel del Ministerio Público en el cumplimiento de la presente medida y</w:t>
      </w:r>
      <w:r>
        <w:rPr>
          <w:rFonts w:ascii="Verdana" w:hAnsi="Verdana"/>
          <w:sz w:val="20"/>
          <w:szCs w:val="20"/>
          <w:lang w:val="es-MX"/>
        </w:rPr>
        <w:t>, si corresponde,</w:t>
      </w:r>
      <w:r w:rsidR="009D14E2">
        <w:rPr>
          <w:rFonts w:ascii="Verdana" w:hAnsi="Verdana"/>
          <w:sz w:val="20"/>
          <w:szCs w:val="20"/>
          <w:lang w:val="es-MX"/>
        </w:rPr>
        <w:t xml:space="preserve"> qué medidas ha tomado para seguir investigando el paradero de la referida víctima</w:t>
      </w:r>
      <w:r w:rsidR="00726B99">
        <w:rPr>
          <w:rFonts w:ascii="Verdana" w:hAnsi="Verdana"/>
          <w:sz w:val="20"/>
          <w:szCs w:val="20"/>
          <w:lang w:val="es-MX"/>
        </w:rPr>
        <w:t>. Finalmente, el Tribunal estima oportuno que el Estado se reúna</w:t>
      </w:r>
      <w:r w:rsidR="00574642">
        <w:rPr>
          <w:rFonts w:ascii="Verdana" w:hAnsi="Verdana"/>
          <w:sz w:val="20"/>
          <w:szCs w:val="20"/>
          <w:lang w:val="es-MX"/>
        </w:rPr>
        <w:t>,</w:t>
      </w:r>
      <w:r w:rsidR="00726B99">
        <w:rPr>
          <w:rFonts w:ascii="Verdana" w:hAnsi="Verdana"/>
          <w:sz w:val="20"/>
          <w:szCs w:val="20"/>
          <w:lang w:val="es-MX"/>
        </w:rPr>
        <w:t xml:space="preserve"> a la brevedad posible</w:t>
      </w:r>
      <w:r w:rsidR="00574642">
        <w:rPr>
          <w:rFonts w:ascii="Verdana" w:hAnsi="Verdana"/>
          <w:sz w:val="20"/>
          <w:szCs w:val="20"/>
          <w:lang w:val="es-MX"/>
        </w:rPr>
        <w:t>,</w:t>
      </w:r>
      <w:r w:rsidR="00726B99">
        <w:rPr>
          <w:rFonts w:ascii="Verdana" w:hAnsi="Verdana"/>
          <w:sz w:val="20"/>
          <w:szCs w:val="20"/>
          <w:lang w:val="es-MX"/>
        </w:rPr>
        <w:t xml:space="preserve"> con los representantes de las víctimas para presentarles información clara sobre las medidas que está adoptando el Estado para dar cumplimiento a la presente medida, así como si existen posibles obstáculos que estén impidiendo el avance de la búsqueda</w:t>
      </w:r>
      <w:r>
        <w:rPr>
          <w:rFonts w:ascii="Verdana" w:hAnsi="Verdana"/>
          <w:sz w:val="20"/>
          <w:szCs w:val="20"/>
          <w:lang w:val="es-MX"/>
        </w:rPr>
        <w:t xml:space="preserve"> y qué acciones se tomarán para remediarlos</w:t>
      </w:r>
      <w:r w:rsidR="00726B99">
        <w:rPr>
          <w:rFonts w:ascii="Verdana" w:hAnsi="Verdana"/>
          <w:sz w:val="20"/>
          <w:szCs w:val="20"/>
          <w:lang w:val="es-MX"/>
        </w:rPr>
        <w:t xml:space="preserve">. </w:t>
      </w:r>
    </w:p>
    <w:p w14:paraId="624A2AB2" w14:textId="77777777" w:rsidR="009D14E2" w:rsidRPr="009D14E2" w:rsidRDefault="009D14E2" w:rsidP="009D14E2">
      <w:pPr>
        <w:pStyle w:val="Cuadrculamedia1-nfasis21"/>
        <w:spacing w:after="0" w:line="240" w:lineRule="auto"/>
        <w:ind w:left="0"/>
        <w:contextualSpacing w:val="0"/>
        <w:jc w:val="both"/>
        <w:rPr>
          <w:rFonts w:ascii="Verdana" w:hAnsi="Verdana"/>
          <w:sz w:val="14"/>
          <w:szCs w:val="14"/>
          <w:lang w:val="es-MX"/>
        </w:rPr>
      </w:pPr>
    </w:p>
    <w:p w14:paraId="5254EC2B" w14:textId="77777777" w:rsidR="00EC11BC" w:rsidRPr="00B42E49" w:rsidRDefault="004A2DA2" w:rsidP="007951B6">
      <w:pPr>
        <w:pStyle w:val="Cuadrculamedia1-nfasis21"/>
        <w:numPr>
          <w:ilvl w:val="0"/>
          <w:numId w:val="26"/>
        </w:numPr>
        <w:spacing w:after="0" w:line="240" w:lineRule="auto"/>
        <w:ind w:left="0" w:firstLine="0"/>
        <w:contextualSpacing w:val="0"/>
        <w:jc w:val="both"/>
        <w:rPr>
          <w:rFonts w:ascii="Verdana" w:hAnsi="Verdana"/>
          <w:sz w:val="20"/>
          <w:lang w:val="es-MX"/>
        </w:rPr>
      </w:pPr>
      <w:r>
        <w:rPr>
          <w:rFonts w:ascii="Verdana" w:hAnsi="Verdana"/>
          <w:sz w:val="20"/>
          <w:lang w:val="es-MX"/>
        </w:rPr>
        <w:t>Por tanto</w:t>
      </w:r>
      <w:r w:rsidR="00EC11BC" w:rsidRPr="006B208B">
        <w:rPr>
          <w:rFonts w:ascii="Verdana" w:hAnsi="Verdana"/>
          <w:sz w:val="20"/>
          <w:lang w:val="es-MX"/>
        </w:rPr>
        <w:t xml:space="preserve">, la Corte considera que el Estado </w:t>
      </w:r>
      <w:r>
        <w:rPr>
          <w:rFonts w:ascii="Verdana" w:hAnsi="Verdana"/>
          <w:sz w:val="20"/>
          <w:lang w:val="es-MX"/>
        </w:rPr>
        <w:t xml:space="preserve">no </w:t>
      </w:r>
      <w:r w:rsidR="00EC11BC" w:rsidRPr="006B208B">
        <w:rPr>
          <w:rFonts w:ascii="Verdana" w:hAnsi="Verdana"/>
          <w:sz w:val="20"/>
          <w:lang w:val="es-MX"/>
        </w:rPr>
        <w:t>ha dad</w:t>
      </w:r>
      <w:r w:rsidR="0099045B">
        <w:rPr>
          <w:rFonts w:ascii="Verdana" w:hAnsi="Verdana"/>
          <w:sz w:val="20"/>
          <w:lang w:val="es-MX"/>
        </w:rPr>
        <w:t xml:space="preserve">o cumplimiento a la medida relativa a </w:t>
      </w:r>
      <w:r w:rsidR="0099045B" w:rsidRPr="00957B4A">
        <w:rPr>
          <w:rFonts w:ascii="Verdana" w:hAnsi="Verdana" w:cs="Verdana"/>
          <w:sz w:val="20"/>
          <w:szCs w:val="20"/>
          <w:lang w:val="es-CR"/>
        </w:rPr>
        <w:t xml:space="preserve">efectuar </w:t>
      </w:r>
      <w:r w:rsidR="000F769D" w:rsidRPr="00E23941">
        <w:rPr>
          <w:rFonts w:ascii="Verdana" w:hAnsi="Verdana"/>
          <w:sz w:val="20"/>
          <w:szCs w:val="20"/>
          <w:lang w:val="es-CR"/>
        </w:rPr>
        <w:t xml:space="preserve">un proceso de búsqueda </w:t>
      </w:r>
      <w:r w:rsidR="00574642" w:rsidRPr="00E23941">
        <w:rPr>
          <w:rFonts w:ascii="Verdana" w:hAnsi="Verdana"/>
          <w:sz w:val="20"/>
          <w:szCs w:val="20"/>
          <w:lang w:val="es-CR"/>
        </w:rPr>
        <w:t xml:space="preserve">serio </w:t>
      </w:r>
      <w:r w:rsidR="000F769D" w:rsidRPr="00E23941">
        <w:rPr>
          <w:rFonts w:ascii="Verdana" w:hAnsi="Verdana"/>
          <w:sz w:val="20"/>
          <w:szCs w:val="20"/>
          <w:lang w:val="es-CR"/>
        </w:rPr>
        <w:t xml:space="preserve">que acredite la realización de todos los esfuerzos técnicos y periciales </w:t>
      </w:r>
      <w:r w:rsidR="0099045B" w:rsidRPr="00E23941">
        <w:rPr>
          <w:rFonts w:ascii="Verdana" w:hAnsi="Verdana" w:cs="Verdana"/>
          <w:sz w:val="20"/>
          <w:szCs w:val="20"/>
          <w:lang w:val="es-CR"/>
        </w:rPr>
        <w:t xml:space="preserve">para determinar el paradero de Jeremías Osorio Rivera a la mayor brevedad, </w:t>
      </w:r>
      <w:r w:rsidR="00574642" w:rsidRPr="00E23941">
        <w:rPr>
          <w:rFonts w:ascii="Verdana" w:hAnsi="Verdana" w:cs="Verdana"/>
          <w:sz w:val="20"/>
          <w:szCs w:val="20"/>
          <w:lang w:val="es-CR"/>
        </w:rPr>
        <w:t xml:space="preserve">el </w:t>
      </w:r>
      <w:r w:rsidR="0099045B" w:rsidRPr="00E23941">
        <w:rPr>
          <w:rFonts w:ascii="Verdana" w:hAnsi="Verdana" w:cs="Verdana"/>
          <w:sz w:val="20"/>
          <w:szCs w:val="20"/>
          <w:lang w:val="es-CR"/>
        </w:rPr>
        <w:t>cual debería</w:t>
      </w:r>
      <w:r w:rsidR="0099045B" w:rsidRPr="00957B4A">
        <w:rPr>
          <w:rFonts w:ascii="Verdana" w:hAnsi="Verdana" w:cs="Verdana"/>
          <w:sz w:val="20"/>
          <w:szCs w:val="20"/>
          <w:lang w:val="es-CR"/>
        </w:rPr>
        <w:t xml:space="preserve"> realizarse de manera sistemática y rigurosa, contar con los recursos humanos, técnicos y </w:t>
      </w:r>
      <w:r w:rsidR="00045254">
        <w:rPr>
          <w:rFonts w:ascii="Verdana" w:hAnsi="Verdana" w:cs="Verdana"/>
          <w:sz w:val="20"/>
          <w:szCs w:val="20"/>
          <w:lang w:val="es-CR"/>
        </w:rPr>
        <w:t>científicos adecuados e idóneos</w:t>
      </w:r>
      <w:r w:rsidR="00957FD1">
        <w:rPr>
          <w:rFonts w:ascii="Verdana" w:hAnsi="Verdana"/>
          <w:sz w:val="20"/>
          <w:lang w:val="es-MX"/>
        </w:rPr>
        <w:t xml:space="preserve">, </w:t>
      </w:r>
      <w:r w:rsidR="0099045B">
        <w:rPr>
          <w:rFonts w:ascii="Verdana" w:hAnsi="Verdana"/>
          <w:sz w:val="20"/>
          <w:lang w:val="es-MX"/>
        </w:rPr>
        <w:t xml:space="preserve">según fue </w:t>
      </w:r>
      <w:r w:rsidR="00957FD1">
        <w:rPr>
          <w:rFonts w:ascii="Verdana" w:hAnsi="Verdana"/>
          <w:sz w:val="20"/>
          <w:lang w:val="es-MX"/>
        </w:rPr>
        <w:t xml:space="preserve">ordenada en el punto </w:t>
      </w:r>
      <w:r w:rsidR="0099045B">
        <w:rPr>
          <w:rFonts w:ascii="Verdana" w:hAnsi="Verdana"/>
          <w:sz w:val="20"/>
          <w:lang w:val="es-MX"/>
        </w:rPr>
        <w:t>resolutivo</w:t>
      </w:r>
      <w:r w:rsidR="00957FD1">
        <w:rPr>
          <w:rFonts w:ascii="Verdana" w:hAnsi="Verdana"/>
          <w:sz w:val="20"/>
          <w:lang w:val="es-MX"/>
        </w:rPr>
        <w:t xml:space="preserve"> </w:t>
      </w:r>
      <w:r w:rsidR="0099045B">
        <w:rPr>
          <w:rFonts w:ascii="Verdana" w:hAnsi="Verdana"/>
          <w:sz w:val="20"/>
          <w:lang w:val="es-MX"/>
        </w:rPr>
        <w:t>séptimo</w:t>
      </w:r>
      <w:r w:rsidR="00957FD1" w:rsidRPr="00B42E49">
        <w:rPr>
          <w:rFonts w:ascii="Verdana" w:hAnsi="Verdana"/>
          <w:sz w:val="20"/>
          <w:lang w:val="es-MX"/>
        </w:rPr>
        <w:t xml:space="preserve"> de la Sentencia</w:t>
      </w:r>
      <w:r w:rsidR="00EC11BC" w:rsidRPr="00B42E49">
        <w:rPr>
          <w:rFonts w:ascii="Verdana" w:hAnsi="Verdana"/>
          <w:sz w:val="20"/>
          <w:lang w:val="es-MX"/>
        </w:rPr>
        <w:t xml:space="preserve">. </w:t>
      </w:r>
    </w:p>
    <w:p w14:paraId="1EF510FA" w14:textId="77777777" w:rsidR="004A2DA2" w:rsidRPr="00084C87" w:rsidRDefault="004A2DA2" w:rsidP="004A2DA2">
      <w:pPr>
        <w:pStyle w:val="Cuadrculamedia1-nfasis21"/>
        <w:spacing w:after="0" w:line="240" w:lineRule="auto"/>
        <w:ind w:left="0"/>
        <w:jc w:val="both"/>
        <w:rPr>
          <w:rFonts w:ascii="Verdana" w:hAnsi="Verdana" w:cs="Verdana"/>
          <w:sz w:val="14"/>
          <w:szCs w:val="14"/>
          <w:lang w:val="es-CR"/>
        </w:rPr>
      </w:pPr>
      <w:bookmarkStart w:id="5" w:name="_Toc495655659"/>
    </w:p>
    <w:p w14:paraId="3A991B1E" w14:textId="77777777" w:rsidR="001052AB" w:rsidRPr="00B42E49" w:rsidRDefault="00FE32E2" w:rsidP="007951B6">
      <w:pPr>
        <w:pStyle w:val="Cuadrculamedia1-nfasis21"/>
        <w:numPr>
          <w:ilvl w:val="0"/>
          <w:numId w:val="7"/>
        </w:numPr>
        <w:spacing w:after="0" w:line="240" w:lineRule="auto"/>
        <w:ind w:left="0" w:firstLine="0"/>
        <w:contextualSpacing w:val="0"/>
        <w:jc w:val="both"/>
        <w:outlineLvl w:val="0"/>
        <w:rPr>
          <w:rFonts w:ascii="Verdana" w:hAnsi="Verdana"/>
          <w:b/>
          <w:i/>
          <w:sz w:val="20"/>
          <w:szCs w:val="20"/>
          <w:lang w:val="es-MX"/>
        </w:rPr>
      </w:pPr>
      <w:bookmarkStart w:id="6" w:name="_Toc23770413"/>
      <w:bookmarkEnd w:id="5"/>
      <w:r>
        <w:rPr>
          <w:rFonts w:ascii="Verdana" w:hAnsi="Verdana"/>
          <w:b/>
          <w:i/>
          <w:sz w:val="20"/>
          <w:szCs w:val="20"/>
          <w:lang w:val="es-MX"/>
        </w:rPr>
        <w:t>Tratamiento médico y psicológico o psiquiátrico</w:t>
      </w:r>
      <w:bookmarkEnd w:id="6"/>
    </w:p>
    <w:p w14:paraId="1EB20EA4" w14:textId="77777777" w:rsidR="004B6FAC" w:rsidRPr="00B42E49" w:rsidRDefault="004B6FAC" w:rsidP="007951B6">
      <w:pPr>
        <w:pStyle w:val="Cuadrculamedia1-nfasis21"/>
        <w:spacing w:after="0" w:line="240" w:lineRule="auto"/>
        <w:ind w:left="0"/>
        <w:contextualSpacing w:val="0"/>
        <w:jc w:val="both"/>
        <w:rPr>
          <w:rFonts w:ascii="Verdana" w:hAnsi="Verdana"/>
          <w:sz w:val="14"/>
          <w:szCs w:val="14"/>
          <w:lang w:val="es-MX"/>
        </w:rPr>
      </w:pPr>
    </w:p>
    <w:p w14:paraId="2FE85AA8" w14:textId="77777777" w:rsidR="007C6007" w:rsidRPr="00B42E49" w:rsidRDefault="003904A1" w:rsidP="007951B6">
      <w:pPr>
        <w:pStyle w:val="Cuadrculamedia1-nfasis21"/>
        <w:spacing w:after="0" w:line="240" w:lineRule="auto"/>
        <w:ind w:left="0" w:firstLine="720"/>
        <w:contextualSpacing w:val="0"/>
        <w:jc w:val="both"/>
        <w:rPr>
          <w:rFonts w:ascii="Verdana" w:hAnsi="Verdana"/>
          <w:i/>
          <w:sz w:val="20"/>
          <w:szCs w:val="20"/>
          <w:lang w:val="es-MX"/>
        </w:rPr>
      </w:pPr>
      <w:r w:rsidRPr="00B42E49">
        <w:rPr>
          <w:rFonts w:ascii="Verdana" w:hAnsi="Verdana"/>
          <w:i/>
          <w:sz w:val="20"/>
          <w:szCs w:val="20"/>
          <w:lang w:val="es-MX"/>
        </w:rPr>
        <w:t>C</w:t>
      </w:r>
      <w:r w:rsidR="007C6007" w:rsidRPr="00B42E49">
        <w:rPr>
          <w:rFonts w:ascii="Verdana" w:hAnsi="Verdana"/>
          <w:i/>
          <w:sz w:val="20"/>
          <w:szCs w:val="20"/>
          <w:lang w:val="es-MX"/>
        </w:rPr>
        <w:t xml:space="preserve">.1 Medida ordenada por la Corte </w:t>
      </w:r>
    </w:p>
    <w:p w14:paraId="7FEAB7E5" w14:textId="77777777" w:rsidR="004B6FAC" w:rsidRDefault="004B6FAC" w:rsidP="007951B6">
      <w:pPr>
        <w:pStyle w:val="Cuadrculamedia1-nfasis21"/>
        <w:spacing w:after="0" w:line="240" w:lineRule="auto"/>
        <w:ind w:left="0"/>
        <w:jc w:val="both"/>
        <w:rPr>
          <w:rFonts w:ascii="Verdana" w:hAnsi="Verdana" w:cs="Verdana"/>
          <w:sz w:val="14"/>
          <w:szCs w:val="14"/>
          <w:lang w:val="es-CR"/>
        </w:rPr>
      </w:pPr>
    </w:p>
    <w:p w14:paraId="6A9DB65D" w14:textId="77777777" w:rsidR="003904A1" w:rsidRPr="002912E0" w:rsidRDefault="007C6007" w:rsidP="007951B6">
      <w:pPr>
        <w:pStyle w:val="Cuadrculamedia1-nfasis21"/>
        <w:numPr>
          <w:ilvl w:val="0"/>
          <w:numId w:val="26"/>
        </w:numPr>
        <w:spacing w:after="0" w:line="240" w:lineRule="auto"/>
        <w:ind w:left="0" w:firstLine="0"/>
        <w:jc w:val="both"/>
        <w:rPr>
          <w:rFonts w:ascii="Verdana" w:hAnsi="Verdana" w:cs="Verdana"/>
          <w:sz w:val="20"/>
          <w:szCs w:val="20"/>
          <w:lang w:val="es-CR"/>
        </w:rPr>
      </w:pPr>
      <w:r w:rsidRPr="00B42E49">
        <w:rPr>
          <w:rFonts w:ascii="Verdana" w:hAnsi="Verdana" w:cs="Verdana"/>
          <w:sz w:val="20"/>
          <w:szCs w:val="20"/>
          <w:lang w:val="es-CR"/>
        </w:rPr>
        <w:t xml:space="preserve">En el punto </w:t>
      </w:r>
      <w:r w:rsidR="002912E0">
        <w:rPr>
          <w:rFonts w:ascii="Verdana" w:hAnsi="Verdana" w:cs="Verdana"/>
          <w:sz w:val="20"/>
          <w:szCs w:val="20"/>
          <w:lang w:val="es-CR"/>
        </w:rPr>
        <w:t>resolutivo octavo</w:t>
      </w:r>
      <w:r w:rsidR="003904A1" w:rsidRPr="00B42E49">
        <w:rPr>
          <w:rFonts w:ascii="Verdana" w:hAnsi="Verdana" w:cs="Verdana"/>
          <w:sz w:val="20"/>
          <w:szCs w:val="20"/>
          <w:lang w:val="es-CR"/>
        </w:rPr>
        <w:t xml:space="preserve"> y en el párrafo </w:t>
      </w:r>
      <w:r w:rsidR="002912E0">
        <w:rPr>
          <w:rFonts w:ascii="Verdana" w:hAnsi="Verdana" w:cs="Verdana"/>
          <w:sz w:val="20"/>
          <w:szCs w:val="20"/>
          <w:lang w:val="es-CR"/>
        </w:rPr>
        <w:t>256</w:t>
      </w:r>
      <w:r w:rsidR="00BD6195" w:rsidRPr="00B42E49">
        <w:rPr>
          <w:rFonts w:ascii="Verdana" w:hAnsi="Verdana" w:cs="Verdana"/>
          <w:sz w:val="20"/>
          <w:szCs w:val="20"/>
          <w:lang w:val="es-CR"/>
        </w:rPr>
        <w:t xml:space="preserve"> de la Sentencia</w:t>
      </w:r>
      <w:r w:rsidRPr="00B42E49">
        <w:rPr>
          <w:rFonts w:ascii="Verdana" w:hAnsi="Verdana" w:cs="Verdana"/>
          <w:sz w:val="20"/>
          <w:szCs w:val="20"/>
          <w:lang w:val="es-CR"/>
        </w:rPr>
        <w:t>, la C</w:t>
      </w:r>
      <w:r w:rsidR="003904A1" w:rsidRPr="00B42E49">
        <w:rPr>
          <w:rFonts w:ascii="Verdana" w:hAnsi="Verdana" w:cs="Verdana"/>
          <w:sz w:val="20"/>
          <w:szCs w:val="20"/>
          <w:lang w:val="es-CR"/>
        </w:rPr>
        <w:t xml:space="preserve">orte dispuso que el Estado </w:t>
      </w:r>
      <w:r w:rsidR="00BD6195" w:rsidRPr="00B42E49">
        <w:rPr>
          <w:rFonts w:ascii="Verdana" w:hAnsi="Verdana" w:cs="Verdana"/>
          <w:sz w:val="20"/>
          <w:szCs w:val="20"/>
          <w:lang w:val="es-CR"/>
        </w:rPr>
        <w:t>debía</w:t>
      </w:r>
      <w:r w:rsidR="002912E0">
        <w:rPr>
          <w:rFonts w:ascii="Verdana" w:hAnsi="Verdana" w:cs="Verdana"/>
          <w:sz w:val="20"/>
          <w:szCs w:val="20"/>
          <w:lang w:val="es-CR"/>
        </w:rPr>
        <w:t xml:space="preserve"> </w:t>
      </w:r>
      <w:r w:rsidR="002912E0" w:rsidRPr="002912E0">
        <w:rPr>
          <w:rFonts w:ascii="Verdana" w:hAnsi="Verdana"/>
          <w:sz w:val="20"/>
          <w:szCs w:val="20"/>
          <w:lang w:val="es-CR"/>
        </w:rPr>
        <w:t>brindar gratuitamente, a través de sus instituciones de salud especializadas, y de forma inmediata, adecuada y efectiva, el tratamiento médico y psicológico o psiquiátrico, a las víctimas que así lo soliciten</w:t>
      </w:r>
      <w:r w:rsidR="00AB2F1B">
        <w:rPr>
          <w:rStyle w:val="Refdenotaalpie"/>
          <w:rFonts w:ascii="Verdana" w:hAnsi="Verdana"/>
          <w:sz w:val="20"/>
          <w:szCs w:val="20"/>
          <w:lang w:val="es-CR"/>
        </w:rPr>
        <w:footnoteReference w:id="38"/>
      </w:r>
      <w:r w:rsidR="002912E0" w:rsidRPr="002912E0">
        <w:rPr>
          <w:rFonts w:ascii="Verdana" w:hAnsi="Verdana"/>
          <w:sz w:val="20"/>
          <w:szCs w:val="20"/>
          <w:lang w:val="es-CR"/>
        </w:rPr>
        <w:t xml:space="preserve">, incluyendo el suministro </w:t>
      </w:r>
      <w:r w:rsidR="002912E0" w:rsidRPr="002912E0">
        <w:rPr>
          <w:rFonts w:ascii="Verdana" w:hAnsi="Verdana"/>
          <w:sz w:val="20"/>
          <w:szCs w:val="20"/>
          <w:lang w:val="es-CR"/>
        </w:rPr>
        <w:lastRenderedPageBreak/>
        <w:t xml:space="preserve">gratuito de los medicamentos que eventualmente se requieran, tomando en consideración los padecimientos de cada uno de ellos. </w:t>
      </w:r>
      <w:r w:rsidR="002912E0">
        <w:rPr>
          <w:rFonts w:ascii="Verdana" w:hAnsi="Verdana"/>
          <w:sz w:val="20"/>
          <w:szCs w:val="20"/>
          <w:lang w:val="es-CR"/>
        </w:rPr>
        <w:t>La Corte estableció que ello</w:t>
      </w:r>
      <w:r w:rsidR="002912E0" w:rsidRPr="002912E0">
        <w:rPr>
          <w:rFonts w:ascii="Verdana" w:hAnsi="Verdana"/>
          <w:sz w:val="20"/>
          <w:szCs w:val="20"/>
          <w:lang w:val="es-CR"/>
        </w:rPr>
        <w:t xml:space="preserve"> implica que las víctima</w:t>
      </w:r>
      <w:r w:rsidR="002912E0">
        <w:rPr>
          <w:rFonts w:ascii="Verdana" w:hAnsi="Verdana"/>
          <w:sz w:val="20"/>
          <w:szCs w:val="20"/>
          <w:lang w:val="es-CR"/>
        </w:rPr>
        <w:t>s deberían</w:t>
      </w:r>
      <w:r w:rsidR="002912E0" w:rsidRPr="002912E0">
        <w:rPr>
          <w:rFonts w:ascii="Verdana" w:hAnsi="Verdana"/>
          <w:sz w:val="20"/>
          <w:szCs w:val="20"/>
          <w:lang w:val="es-CR"/>
        </w:rPr>
        <w:t xml:space="preserve"> recibir un tratamiento diferenciado en relación con el trámite y procedimiento </w:t>
      </w:r>
      <w:r w:rsidR="002912E0">
        <w:rPr>
          <w:rFonts w:ascii="Verdana" w:hAnsi="Verdana"/>
          <w:sz w:val="20"/>
          <w:szCs w:val="20"/>
          <w:lang w:val="es-CR"/>
        </w:rPr>
        <w:t>requerido</w:t>
      </w:r>
      <w:r w:rsidR="002912E0" w:rsidRPr="002912E0">
        <w:rPr>
          <w:rFonts w:ascii="Verdana" w:hAnsi="Verdana"/>
          <w:sz w:val="20"/>
          <w:szCs w:val="20"/>
          <w:lang w:val="es-CR"/>
        </w:rPr>
        <w:t xml:space="preserve"> para ser atendido</w:t>
      </w:r>
      <w:r w:rsidR="002912E0">
        <w:rPr>
          <w:rFonts w:ascii="Verdana" w:hAnsi="Verdana"/>
          <w:sz w:val="20"/>
          <w:szCs w:val="20"/>
          <w:lang w:val="es-CR"/>
        </w:rPr>
        <w:t>s en los hospitales públicos</w:t>
      </w:r>
      <w:r w:rsidR="002912E0" w:rsidRPr="002912E0">
        <w:rPr>
          <w:rFonts w:ascii="Verdana" w:hAnsi="Verdana"/>
          <w:sz w:val="20"/>
          <w:szCs w:val="20"/>
          <w:lang w:val="es-CR"/>
        </w:rPr>
        <w:t xml:space="preserve">. </w:t>
      </w:r>
      <w:r w:rsidR="002912E0">
        <w:rPr>
          <w:rFonts w:ascii="Verdana" w:hAnsi="Verdana"/>
          <w:sz w:val="20"/>
          <w:szCs w:val="20"/>
          <w:lang w:val="es-CR"/>
        </w:rPr>
        <w:t>También dispuso</w:t>
      </w:r>
      <w:r w:rsidR="00AB2F1B">
        <w:rPr>
          <w:rFonts w:ascii="Verdana" w:hAnsi="Verdana"/>
          <w:sz w:val="20"/>
          <w:szCs w:val="20"/>
          <w:lang w:val="es-CR"/>
        </w:rPr>
        <w:t xml:space="preserve"> que</w:t>
      </w:r>
      <w:r w:rsidR="002912E0">
        <w:rPr>
          <w:rFonts w:ascii="Verdana" w:hAnsi="Verdana"/>
          <w:sz w:val="20"/>
          <w:szCs w:val="20"/>
          <w:lang w:val="es-CR"/>
        </w:rPr>
        <w:t xml:space="preserve"> </w:t>
      </w:r>
      <w:r w:rsidR="002912E0" w:rsidRPr="002912E0">
        <w:rPr>
          <w:rFonts w:ascii="Verdana" w:hAnsi="Verdana"/>
          <w:sz w:val="20"/>
          <w:szCs w:val="20"/>
          <w:lang w:val="es-CR"/>
        </w:rPr>
        <w:t>los</w:t>
      </w:r>
      <w:r w:rsidR="00AB2F1B">
        <w:rPr>
          <w:rFonts w:ascii="Verdana" w:hAnsi="Verdana"/>
          <w:sz w:val="20"/>
          <w:szCs w:val="20"/>
          <w:lang w:val="es-CR"/>
        </w:rPr>
        <w:t xml:space="preserve"> tratamientos respectivos debería</w:t>
      </w:r>
      <w:r w:rsidR="002912E0" w:rsidRPr="002912E0">
        <w:rPr>
          <w:rFonts w:ascii="Verdana" w:hAnsi="Verdana"/>
          <w:sz w:val="20"/>
          <w:szCs w:val="20"/>
          <w:lang w:val="es-CR"/>
        </w:rPr>
        <w:t xml:space="preserve">n prestarse, en la medida de lo posible, en los centros más cercanos a sus lugares de residencia en el Perú por el tiempo que sea necesario. </w:t>
      </w:r>
      <w:r w:rsidR="00AB2F1B">
        <w:rPr>
          <w:rFonts w:ascii="Verdana" w:hAnsi="Verdana"/>
          <w:sz w:val="20"/>
          <w:szCs w:val="20"/>
          <w:lang w:val="es-CR"/>
        </w:rPr>
        <w:t>Finalmente</w:t>
      </w:r>
      <w:r w:rsidR="00FB60A9">
        <w:rPr>
          <w:rFonts w:ascii="Verdana" w:hAnsi="Verdana"/>
          <w:sz w:val="20"/>
          <w:szCs w:val="20"/>
          <w:lang w:val="es-CR"/>
        </w:rPr>
        <w:t>,</w:t>
      </w:r>
      <w:r w:rsidR="00AB2F1B">
        <w:rPr>
          <w:rFonts w:ascii="Verdana" w:hAnsi="Verdana"/>
          <w:sz w:val="20"/>
          <w:szCs w:val="20"/>
          <w:lang w:val="es-CR"/>
        </w:rPr>
        <w:t xml:space="preserve"> señaló que a</w:t>
      </w:r>
      <w:r w:rsidR="002912E0" w:rsidRPr="002912E0">
        <w:rPr>
          <w:rFonts w:ascii="Verdana" w:hAnsi="Verdana"/>
          <w:sz w:val="20"/>
          <w:szCs w:val="20"/>
          <w:lang w:val="es-CR"/>
        </w:rPr>
        <w:t>l proveer el tratamiento ps</w:t>
      </w:r>
      <w:r w:rsidR="00AB2F1B">
        <w:rPr>
          <w:rFonts w:ascii="Verdana" w:hAnsi="Verdana"/>
          <w:sz w:val="20"/>
          <w:szCs w:val="20"/>
          <w:lang w:val="es-CR"/>
        </w:rPr>
        <w:t>icológico o psiquiátrico se debía</w:t>
      </w:r>
      <w:r w:rsidR="002912E0" w:rsidRPr="002912E0">
        <w:rPr>
          <w:rFonts w:ascii="Verdana" w:hAnsi="Verdana"/>
          <w:sz w:val="20"/>
          <w:szCs w:val="20"/>
          <w:lang w:val="es-CR"/>
        </w:rPr>
        <w:t xml:space="preserve"> considerar, además, las circunstancias y necesidades particulares de cada víctima, de manera que se les brinden tratamientos colectivos, familiares e individuales, según lo que </w:t>
      </w:r>
      <w:r w:rsidR="00AB2F1B">
        <w:rPr>
          <w:rFonts w:ascii="Verdana" w:hAnsi="Verdana"/>
          <w:sz w:val="20"/>
          <w:szCs w:val="20"/>
          <w:lang w:val="es-CR"/>
        </w:rPr>
        <w:t>fuese acordado</w:t>
      </w:r>
      <w:r w:rsidR="002912E0" w:rsidRPr="002912E0">
        <w:rPr>
          <w:rFonts w:ascii="Verdana" w:hAnsi="Verdana"/>
          <w:sz w:val="20"/>
          <w:szCs w:val="20"/>
          <w:lang w:val="es-CR"/>
        </w:rPr>
        <w:t xml:space="preserve"> con cada una de ellas y después </w:t>
      </w:r>
      <w:r w:rsidR="00AB2F1B">
        <w:rPr>
          <w:rFonts w:ascii="Verdana" w:hAnsi="Verdana"/>
          <w:sz w:val="20"/>
          <w:szCs w:val="20"/>
          <w:lang w:val="es-CR"/>
        </w:rPr>
        <w:t xml:space="preserve">de una evaluación individual. </w:t>
      </w:r>
    </w:p>
    <w:p w14:paraId="3F69F676" w14:textId="77777777" w:rsidR="003904A1" w:rsidRPr="004C33FB" w:rsidRDefault="003904A1" w:rsidP="007951B6">
      <w:pPr>
        <w:pStyle w:val="Cuadrculamedia1-nfasis21"/>
        <w:spacing w:after="0" w:line="240" w:lineRule="auto"/>
        <w:ind w:left="0"/>
        <w:jc w:val="both"/>
        <w:rPr>
          <w:rFonts w:ascii="Verdana" w:hAnsi="Verdana" w:cs="Verdana"/>
          <w:sz w:val="14"/>
          <w:szCs w:val="14"/>
          <w:lang w:val="es-CR"/>
        </w:rPr>
      </w:pPr>
    </w:p>
    <w:p w14:paraId="5F20DD30" w14:textId="77777777" w:rsidR="007C6007" w:rsidRPr="004C33FB" w:rsidRDefault="003904A1" w:rsidP="007951B6">
      <w:pPr>
        <w:pStyle w:val="Cuadrculamedia1-nfasis21"/>
        <w:spacing w:after="0" w:line="240" w:lineRule="auto"/>
        <w:ind w:left="0" w:firstLine="720"/>
        <w:contextualSpacing w:val="0"/>
        <w:jc w:val="both"/>
        <w:rPr>
          <w:rFonts w:ascii="Verdana" w:hAnsi="Verdana"/>
          <w:i/>
          <w:sz w:val="20"/>
          <w:lang w:val="es-MX"/>
        </w:rPr>
      </w:pPr>
      <w:r w:rsidRPr="004C33FB">
        <w:rPr>
          <w:rFonts w:ascii="Verdana" w:hAnsi="Verdana"/>
          <w:i/>
          <w:sz w:val="20"/>
          <w:lang w:val="es-MX"/>
        </w:rPr>
        <w:t>C</w:t>
      </w:r>
      <w:r w:rsidR="007C6007" w:rsidRPr="004C33FB">
        <w:rPr>
          <w:rFonts w:ascii="Verdana" w:hAnsi="Verdana"/>
          <w:i/>
          <w:sz w:val="20"/>
          <w:lang w:val="es-MX"/>
        </w:rPr>
        <w:t xml:space="preserve">.2. </w:t>
      </w:r>
      <w:r w:rsidR="00805778" w:rsidRPr="004C33FB">
        <w:rPr>
          <w:rFonts w:ascii="Verdana" w:hAnsi="Verdana"/>
          <w:i/>
          <w:sz w:val="20"/>
          <w:lang w:val="es-MX"/>
        </w:rPr>
        <w:t>Consideraciones de la Corte</w:t>
      </w:r>
      <w:r w:rsidR="007C6007" w:rsidRPr="004C33FB">
        <w:rPr>
          <w:rFonts w:ascii="Verdana" w:hAnsi="Verdana"/>
          <w:i/>
          <w:sz w:val="20"/>
          <w:lang w:val="es-MX"/>
        </w:rPr>
        <w:t xml:space="preserve"> </w:t>
      </w:r>
    </w:p>
    <w:p w14:paraId="0AD26FDB" w14:textId="77777777" w:rsidR="004B6FAC" w:rsidRPr="004C33FB" w:rsidRDefault="004B6FAC" w:rsidP="007951B6">
      <w:pPr>
        <w:pStyle w:val="Cuadrculamedia1-nfasis21"/>
        <w:spacing w:after="0" w:line="240" w:lineRule="auto"/>
        <w:ind w:left="0"/>
        <w:contextualSpacing w:val="0"/>
        <w:jc w:val="both"/>
        <w:rPr>
          <w:rFonts w:ascii="Verdana" w:hAnsi="Verdana"/>
          <w:sz w:val="14"/>
          <w:szCs w:val="14"/>
          <w:lang w:val="es-MX"/>
        </w:rPr>
      </w:pPr>
    </w:p>
    <w:p w14:paraId="4619C9DF" w14:textId="77777777" w:rsidR="00147C42" w:rsidRDefault="00147C42"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DD05E0">
        <w:rPr>
          <w:rFonts w:ascii="Verdana" w:hAnsi="Verdana" w:cs="Verdana"/>
          <w:sz w:val="20"/>
          <w:szCs w:val="20"/>
          <w:lang w:val="es-CR"/>
        </w:rPr>
        <w:t xml:space="preserve">Respecto a la presente medida, </w:t>
      </w:r>
      <w:r w:rsidR="00104863">
        <w:rPr>
          <w:rFonts w:ascii="Verdana" w:hAnsi="Verdana" w:cs="Verdana"/>
          <w:sz w:val="20"/>
          <w:szCs w:val="20"/>
          <w:lang w:val="es-CR"/>
        </w:rPr>
        <w:t xml:space="preserve">este Tribunal constata que los </w:t>
      </w:r>
      <w:r w:rsidR="00D1175A">
        <w:rPr>
          <w:rFonts w:ascii="Verdana" w:hAnsi="Verdana" w:cs="Verdana"/>
          <w:sz w:val="20"/>
          <w:szCs w:val="20"/>
          <w:lang w:val="es-CR"/>
        </w:rPr>
        <w:t>once</w:t>
      </w:r>
      <w:r w:rsidR="00104863">
        <w:rPr>
          <w:rFonts w:ascii="Verdana" w:hAnsi="Verdana" w:cs="Verdana"/>
          <w:sz w:val="20"/>
          <w:szCs w:val="20"/>
          <w:lang w:val="es-CR"/>
        </w:rPr>
        <w:t xml:space="preserve"> beneficiarios cuentan con distintos seguros de salud: </w:t>
      </w:r>
      <w:r w:rsidR="003D7658">
        <w:rPr>
          <w:rFonts w:ascii="Verdana" w:hAnsi="Verdana" w:cs="Verdana"/>
          <w:sz w:val="20"/>
          <w:szCs w:val="20"/>
          <w:lang w:val="es-CR"/>
        </w:rPr>
        <w:t>siete víctimas están afiliadas a</w:t>
      </w:r>
      <w:r w:rsidR="00104863">
        <w:rPr>
          <w:rFonts w:ascii="Verdana" w:hAnsi="Verdana" w:cs="Verdana"/>
          <w:sz w:val="20"/>
          <w:szCs w:val="20"/>
          <w:lang w:val="es-CR"/>
        </w:rPr>
        <w:t>l Sistema de Salud Integral (SIS)</w:t>
      </w:r>
      <w:r w:rsidR="003D7658">
        <w:rPr>
          <w:rFonts w:ascii="Verdana" w:hAnsi="Verdana" w:cs="Verdana"/>
          <w:sz w:val="20"/>
          <w:szCs w:val="20"/>
          <w:lang w:val="es-CR"/>
        </w:rPr>
        <w:t xml:space="preserve"> y las cuatro víctimas restantes reciben </w:t>
      </w:r>
      <w:r w:rsidR="00104863">
        <w:rPr>
          <w:rFonts w:ascii="Verdana" w:hAnsi="Verdana" w:cs="Verdana"/>
          <w:sz w:val="20"/>
          <w:szCs w:val="20"/>
          <w:lang w:val="es-CR"/>
        </w:rPr>
        <w:t xml:space="preserve">el seguro </w:t>
      </w:r>
      <w:r w:rsidR="003D7658">
        <w:rPr>
          <w:rFonts w:ascii="Verdana" w:hAnsi="Verdana" w:cs="Verdana"/>
          <w:sz w:val="20"/>
          <w:szCs w:val="20"/>
          <w:lang w:val="es-CR"/>
        </w:rPr>
        <w:t xml:space="preserve">otorgado por </w:t>
      </w:r>
      <w:r w:rsidR="00104863">
        <w:rPr>
          <w:rFonts w:ascii="Verdana" w:hAnsi="Verdana" w:cs="Verdana"/>
          <w:sz w:val="20"/>
          <w:szCs w:val="20"/>
          <w:lang w:val="es-CR"/>
        </w:rPr>
        <w:t>ESSALUD</w:t>
      </w:r>
      <w:r w:rsidR="00104863">
        <w:rPr>
          <w:rStyle w:val="Refdenotaalpie"/>
          <w:rFonts w:ascii="Verdana" w:hAnsi="Verdana" w:cs="Verdana"/>
          <w:sz w:val="20"/>
          <w:szCs w:val="20"/>
          <w:lang w:val="es-CR"/>
        </w:rPr>
        <w:footnoteReference w:id="39"/>
      </w:r>
      <w:r w:rsidR="00104863">
        <w:rPr>
          <w:rFonts w:ascii="Verdana" w:hAnsi="Verdana" w:cs="Verdana"/>
          <w:sz w:val="20"/>
          <w:szCs w:val="20"/>
          <w:lang w:val="es-CR"/>
        </w:rPr>
        <w:t>.</w:t>
      </w:r>
      <w:r w:rsidR="003D7658">
        <w:rPr>
          <w:rFonts w:ascii="Verdana" w:hAnsi="Verdana" w:cs="Verdana"/>
          <w:sz w:val="20"/>
          <w:szCs w:val="20"/>
          <w:lang w:val="es-CR"/>
        </w:rPr>
        <w:t xml:space="preserve"> </w:t>
      </w:r>
      <w:r w:rsidR="001B36A5">
        <w:rPr>
          <w:rFonts w:ascii="Verdana" w:hAnsi="Verdana" w:cs="Verdana"/>
          <w:sz w:val="20"/>
          <w:szCs w:val="20"/>
          <w:lang w:val="es-CR"/>
        </w:rPr>
        <w:t xml:space="preserve">El Perú no presentó información alguna respecto a la atención que brinda ESSALUD. </w:t>
      </w:r>
      <w:r w:rsidR="003D7658">
        <w:rPr>
          <w:rFonts w:ascii="Verdana" w:hAnsi="Verdana" w:cs="Verdana"/>
          <w:sz w:val="20"/>
          <w:szCs w:val="20"/>
          <w:lang w:val="es-CR"/>
        </w:rPr>
        <w:t>Respecto al SIS, el Estado indicó que “[t]odos los asegurados […] tienen derech</w:t>
      </w:r>
      <w:r w:rsidR="004A397A">
        <w:rPr>
          <w:rFonts w:ascii="Verdana" w:hAnsi="Verdana" w:cs="Verdana"/>
          <w:sz w:val="20"/>
          <w:szCs w:val="20"/>
          <w:lang w:val="es-CR"/>
        </w:rPr>
        <w:t>o a la cobertura del Plan Esenci</w:t>
      </w:r>
      <w:r w:rsidR="003D7658">
        <w:rPr>
          <w:rFonts w:ascii="Verdana" w:hAnsi="Verdana" w:cs="Verdana"/>
          <w:sz w:val="20"/>
          <w:szCs w:val="20"/>
          <w:lang w:val="es-CR"/>
        </w:rPr>
        <w:t>al de Aseguramiento en Salud (PEAS</w:t>
      </w:r>
      <w:r w:rsidR="009B1C51">
        <w:rPr>
          <w:rFonts w:ascii="Verdana" w:hAnsi="Verdana" w:cs="Verdana"/>
          <w:sz w:val="20"/>
          <w:szCs w:val="20"/>
          <w:lang w:val="es-CR"/>
        </w:rPr>
        <w:t>)</w:t>
      </w:r>
      <w:r w:rsidR="003D7658">
        <w:rPr>
          <w:rFonts w:ascii="Verdana" w:hAnsi="Verdana" w:cs="Verdana"/>
          <w:sz w:val="20"/>
          <w:szCs w:val="20"/>
          <w:lang w:val="es-CR"/>
        </w:rPr>
        <w:t xml:space="preserve"> y el Plan Complementario al PEAS, que comprende atenciones médicas, psicológicas y psiquiátricas, medicamentos, insumos médicos y/o quirúrgicos </w:t>
      </w:r>
      <w:r w:rsidR="00AF39F4">
        <w:rPr>
          <w:rFonts w:ascii="Verdana" w:hAnsi="Verdana" w:cs="Verdana"/>
          <w:sz w:val="20"/>
          <w:szCs w:val="20"/>
          <w:lang w:val="es-CR"/>
        </w:rPr>
        <w:t>y procedimientos requeridos para su atención, […] así como Enfermedades de Alto Costo”</w:t>
      </w:r>
      <w:r w:rsidR="00AF39F4">
        <w:rPr>
          <w:rStyle w:val="Refdenotaalpie"/>
          <w:rFonts w:ascii="Verdana" w:hAnsi="Verdana" w:cs="Verdana"/>
          <w:sz w:val="20"/>
          <w:szCs w:val="20"/>
          <w:lang w:val="es-CR"/>
        </w:rPr>
        <w:footnoteReference w:id="40"/>
      </w:r>
      <w:r w:rsidR="00AF39F4">
        <w:rPr>
          <w:rFonts w:ascii="Verdana" w:hAnsi="Verdana" w:cs="Verdana"/>
          <w:sz w:val="20"/>
          <w:szCs w:val="20"/>
          <w:lang w:val="es-CR"/>
        </w:rPr>
        <w:t>.</w:t>
      </w:r>
      <w:r w:rsidR="00104863">
        <w:rPr>
          <w:rFonts w:ascii="Verdana" w:hAnsi="Verdana" w:cs="Verdana"/>
          <w:sz w:val="20"/>
          <w:szCs w:val="20"/>
          <w:lang w:val="es-CR"/>
        </w:rPr>
        <w:t xml:space="preserve"> </w:t>
      </w:r>
      <w:r w:rsidR="00C532A3">
        <w:rPr>
          <w:rFonts w:ascii="Verdana" w:hAnsi="Verdana" w:cs="Verdana"/>
          <w:sz w:val="20"/>
          <w:szCs w:val="20"/>
          <w:lang w:val="es-CR"/>
        </w:rPr>
        <w:t>Si</w:t>
      </w:r>
      <w:r w:rsidR="004A397A">
        <w:rPr>
          <w:rFonts w:ascii="Verdana" w:hAnsi="Verdana" w:cs="Verdana"/>
          <w:sz w:val="20"/>
          <w:szCs w:val="20"/>
          <w:lang w:val="es-CR"/>
        </w:rPr>
        <w:t xml:space="preserve"> bien el Estado afirmó en </w:t>
      </w:r>
      <w:r w:rsidR="00456FE8">
        <w:rPr>
          <w:rFonts w:ascii="Verdana" w:hAnsi="Verdana" w:cs="Verdana"/>
          <w:sz w:val="20"/>
          <w:szCs w:val="20"/>
          <w:lang w:val="es-CR"/>
        </w:rPr>
        <w:t>agosto</w:t>
      </w:r>
      <w:r w:rsidR="004A397A">
        <w:rPr>
          <w:rFonts w:ascii="Verdana" w:hAnsi="Verdana" w:cs="Verdana"/>
          <w:sz w:val="20"/>
          <w:szCs w:val="20"/>
          <w:lang w:val="es-CR"/>
        </w:rPr>
        <w:t xml:space="preserve"> de 2016 y febrero de 2018 que dicho seguro “presenta un trato diferenciado respecto a las personas que son afiliadas por mandato de una sentencia de la Corte Interamericana”, no brindó ninguna explicación respecto a cómo se configura dicho trato diferenciado</w:t>
      </w:r>
      <w:r w:rsidR="00C532A3">
        <w:rPr>
          <w:rFonts w:ascii="Verdana" w:hAnsi="Verdana" w:cs="Verdana"/>
          <w:sz w:val="20"/>
          <w:szCs w:val="20"/>
          <w:lang w:val="es-CR"/>
        </w:rPr>
        <w:t xml:space="preserve"> más allá de </w:t>
      </w:r>
      <w:r w:rsidR="00F25C30">
        <w:rPr>
          <w:rFonts w:ascii="Verdana" w:hAnsi="Verdana" w:cs="Verdana"/>
          <w:sz w:val="20"/>
          <w:szCs w:val="20"/>
          <w:lang w:val="es-CR"/>
        </w:rPr>
        <w:t>indicar</w:t>
      </w:r>
      <w:r w:rsidR="00C532A3">
        <w:rPr>
          <w:rFonts w:ascii="Verdana" w:hAnsi="Verdana" w:cs="Verdana"/>
          <w:sz w:val="20"/>
          <w:szCs w:val="20"/>
          <w:lang w:val="es-CR"/>
        </w:rPr>
        <w:t xml:space="preserve"> que “el trámite de afiliación [del SIS] es diferenciado, por cuan</w:t>
      </w:r>
      <w:r w:rsidR="00F25C30">
        <w:rPr>
          <w:rFonts w:ascii="Verdana" w:hAnsi="Verdana" w:cs="Verdana"/>
          <w:sz w:val="20"/>
          <w:szCs w:val="20"/>
          <w:lang w:val="es-CR"/>
        </w:rPr>
        <w:t>t</w:t>
      </w:r>
      <w:r w:rsidR="00C532A3">
        <w:rPr>
          <w:rFonts w:ascii="Verdana" w:hAnsi="Verdana" w:cs="Verdana"/>
          <w:sz w:val="20"/>
          <w:szCs w:val="20"/>
          <w:lang w:val="es-CR"/>
        </w:rPr>
        <w:t>o es inmediato, con la máxima cobertura y subsidiado”</w:t>
      </w:r>
      <w:r w:rsidR="004A397A">
        <w:rPr>
          <w:rStyle w:val="Refdenotaalpie"/>
          <w:rFonts w:ascii="Verdana" w:hAnsi="Verdana" w:cs="Verdana"/>
          <w:sz w:val="20"/>
          <w:szCs w:val="20"/>
          <w:lang w:val="es-CR"/>
        </w:rPr>
        <w:footnoteReference w:id="41"/>
      </w:r>
      <w:r w:rsidR="004A397A">
        <w:rPr>
          <w:rFonts w:ascii="Verdana" w:hAnsi="Verdana" w:cs="Verdana"/>
          <w:sz w:val="20"/>
          <w:szCs w:val="20"/>
          <w:lang w:val="es-CR"/>
        </w:rPr>
        <w:t xml:space="preserve">. </w:t>
      </w:r>
      <w:r w:rsidR="00C532A3">
        <w:rPr>
          <w:rFonts w:ascii="Verdana" w:hAnsi="Verdana" w:cs="Verdana"/>
          <w:sz w:val="20"/>
          <w:szCs w:val="20"/>
          <w:lang w:val="es-CR"/>
        </w:rPr>
        <w:t xml:space="preserve">Asimismo, </w:t>
      </w:r>
      <w:r w:rsidR="008D3D3D">
        <w:rPr>
          <w:rFonts w:ascii="Verdana" w:hAnsi="Verdana" w:cs="Verdana"/>
          <w:sz w:val="20"/>
          <w:szCs w:val="20"/>
          <w:lang w:val="es-CR"/>
        </w:rPr>
        <w:t xml:space="preserve">de la información aportada por el Estado </w:t>
      </w:r>
      <w:r w:rsidR="00AF39F4">
        <w:rPr>
          <w:rFonts w:ascii="Verdana" w:hAnsi="Verdana" w:cs="Verdana"/>
          <w:sz w:val="20"/>
          <w:szCs w:val="20"/>
          <w:lang w:val="es-CR"/>
        </w:rPr>
        <w:t>e</w:t>
      </w:r>
      <w:r w:rsidR="003D7658">
        <w:rPr>
          <w:rFonts w:ascii="Verdana" w:hAnsi="Verdana" w:cs="Verdana"/>
          <w:sz w:val="20"/>
          <w:szCs w:val="20"/>
          <w:lang w:val="es-CR"/>
        </w:rPr>
        <w:t>n enero de 2019</w:t>
      </w:r>
      <w:r w:rsidR="008D3D3D">
        <w:rPr>
          <w:rFonts w:ascii="Verdana" w:hAnsi="Verdana" w:cs="Verdana"/>
          <w:sz w:val="20"/>
          <w:szCs w:val="20"/>
          <w:lang w:val="es-CR"/>
        </w:rPr>
        <w:t xml:space="preserve">, se puede observar que entre los años </w:t>
      </w:r>
      <w:r w:rsidR="009B1C51">
        <w:rPr>
          <w:rFonts w:ascii="Verdana" w:hAnsi="Verdana" w:cs="Verdana"/>
          <w:sz w:val="20"/>
          <w:szCs w:val="20"/>
          <w:lang w:val="es-CR"/>
        </w:rPr>
        <w:t>2013</w:t>
      </w:r>
      <w:r w:rsidR="008D3D3D">
        <w:rPr>
          <w:rFonts w:ascii="Verdana" w:hAnsi="Verdana" w:cs="Verdana"/>
          <w:sz w:val="20"/>
          <w:szCs w:val="20"/>
          <w:lang w:val="es-CR"/>
        </w:rPr>
        <w:t xml:space="preserve"> a 2018, seis de las víctimas recibieron diversas “</w:t>
      </w:r>
      <w:r w:rsidR="003D7658">
        <w:rPr>
          <w:rFonts w:ascii="Verdana" w:hAnsi="Verdana" w:cs="Verdana"/>
          <w:sz w:val="20"/>
          <w:szCs w:val="20"/>
          <w:lang w:val="es-CR"/>
        </w:rPr>
        <w:t>atenciones médicas bajo la cobertura [de dicho sistema]”</w:t>
      </w:r>
      <w:r w:rsidR="003D7658">
        <w:rPr>
          <w:rStyle w:val="Refdenotaalpie"/>
          <w:rFonts w:ascii="Verdana" w:hAnsi="Verdana" w:cs="Verdana"/>
          <w:sz w:val="20"/>
          <w:szCs w:val="20"/>
          <w:lang w:val="es-CR"/>
        </w:rPr>
        <w:footnoteReference w:id="42"/>
      </w:r>
      <w:r w:rsidR="003D7658">
        <w:rPr>
          <w:rFonts w:ascii="Verdana" w:hAnsi="Verdana" w:cs="Verdana"/>
          <w:sz w:val="20"/>
          <w:szCs w:val="20"/>
          <w:lang w:val="es-CR"/>
        </w:rPr>
        <w:t xml:space="preserve">. </w:t>
      </w:r>
      <w:r w:rsidR="00B46A92">
        <w:rPr>
          <w:rFonts w:ascii="Verdana" w:hAnsi="Verdana" w:cs="Verdana"/>
          <w:sz w:val="20"/>
          <w:szCs w:val="20"/>
          <w:lang w:val="es-CR"/>
        </w:rPr>
        <w:t xml:space="preserve">En </w:t>
      </w:r>
      <w:r w:rsidR="008F2C62">
        <w:rPr>
          <w:rFonts w:ascii="Verdana" w:hAnsi="Verdana" w:cs="Verdana"/>
          <w:sz w:val="20"/>
          <w:szCs w:val="20"/>
          <w:lang w:val="es-CR"/>
        </w:rPr>
        <w:t>los</w:t>
      </w:r>
      <w:r w:rsidR="0000489E">
        <w:rPr>
          <w:rFonts w:ascii="Verdana" w:hAnsi="Verdana" w:cs="Verdana"/>
          <w:sz w:val="20"/>
          <w:szCs w:val="20"/>
          <w:lang w:val="es-CR"/>
        </w:rPr>
        <w:t xml:space="preserve"> informes</w:t>
      </w:r>
      <w:r w:rsidR="008F2C62">
        <w:rPr>
          <w:rFonts w:ascii="Verdana" w:hAnsi="Verdana" w:cs="Verdana"/>
          <w:sz w:val="20"/>
          <w:szCs w:val="20"/>
          <w:lang w:val="es-CR"/>
        </w:rPr>
        <w:t xml:space="preserve"> de febrero de 2018</w:t>
      </w:r>
      <w:r w:rsidR="002869F1">
        <w:rPr>
          <w:rFonts w:ascii="Verdana" w:hAnsi="Verdana" w:cs="Verdana"/>
          <w:sz w:val="20"/>
          <w:szCs w:val="20"/>
          <w:lang w:val="es-CR"/>
        </w:rPr>
        <w:t xml:space="preserve"> </w:t>
      </w:r>
      <w:r w:rsidR="008F2C62">
        <w:rPr>
          <w:rFonts w:ascii="Verdana" w:hAnsi="Verdana" w:cs="Verdana"/>
          <w:sz w:val="20"/>
          <w:szCs w:val="20"/>
          <w:lang w:val="es-CR"/>
        </w:rPr>
        <w:t>y marzo de 2019</w:t>
      </w:r>
      <w:r w:rsidR="0000489E">
        <w:rPr>
          <w:rFonts w:ascii="Verdana" w:hAnsi="Verdana" w:cs="Verdana"/>
          <w:sz w:val="20"/>
          <w:szCs w:val="20"/>
          <w:lang w:val="es-CR"/>
        </w:rPr>
        <w:t xml:space="preserve">, </w:t>
      </w:r>
      <w:r w:rsidR="00B46A92">
        <w:rPr>
          <w:rFonts w:ascii="Verdana" w:hAnsi="Verdana" w:cs="Verdana"/>
          <w:sz w:val="20"/>
          <w:szCs w:val="20"/>
          <w:lang w:val="es-CR"/>
        </w:rPr>
        <w:t xml:space="preserve">el Estado </w:t>
      </w:r>
      <w:r w:rsidR="0000489E">
        <w:rPr>
          <w:rFonts w:ascii="Verdana" w:hAnsi="Verdana" w:cs="Verdana"/>
          <w:sz w:val="20"/>
          <w:szCs w:val="20"/>
          <w:lang w:val="es-CR"/>
        </w:rPr>
        <w:t>solicitó</w:t>
      </w:r>
      <w:r w:rsidR="00B46A92">
        <w:rPr>
          <w:rFonts w:ascii="Verdana" w:hAnsi="Verdana" w:cs="Verdana"/>
          <w:sz w:val="20"/>
          <w:szCs w:val="20"/>
          <w:lang w:val="es-CR"/>
        </w:rPr>
        <w:t xml:space="preserve"> que “se dé por cumplido el presente punto resolutivo”</w:t>
      </w:r>
      <w:r w:rsidR="00B46A92">
        <w:rPr>
          <w:rStyle w:val="Refdenotaalpie"/>
          <w:rFonts w:ascii="Verdana" w:hAnsi="Verdana" w:cs="Verdana"/>
          <w:sz w:val="20"/>
          <w:szCs w:val="20"/>
          <w:lang w:val="es-CR"/>
        </w:rPr>
        <w:footnoteReference w:id="43"/>
      </w:r>
      <w:r w:rsidR="00B46A92">
        <w:rPr>
          <w:rFonts w:ascii="Verdana" w:hAnsi="Verdana" w:cs="Verdana"/>
          <w:sz w:val="20"/>
          <w:szCs w:val="20"/>
          <w:lang w:val="es-CR"/>
        </w:rPr>
        <w:t xml:space="preserve">. </w:t>
      </w:r>
      <w:r w:rsidR="0041245E" w:rsidRPr="009D2608">
        <w:rPr>
          <w:rFonts w:ascii="Verdana" w:hAnsi="Verdana" w:cs="Verdana"/>
          <w:sz w:val="20"/>
          <w:szCs w:val="20"/>
          <w:lang w:val="es-CR"/>
        </w:rPr>
        <w:t xml:space="preserve">No obstante </w:t>
      </w:r>
      <w:r w:rsidR="00F905E6" w:rsidRPr="009D2608">
        <w:rPr>
          <w:rFonts w:ascii="Verdana" w:hAnsi="Verdana" w:cs="Verdana"/>
          <w:sz w:val="20"/>
          <w:szCs w:val="20"/>
          <w:lang w:val="es-CR"/>
        </w:rPr>
        <w:t>esto último</w:t>
      </w:r>
      <w:r w:rsidR="0041245E" w:rsidRPr="009D2608">
        <w:rPr>
          <w:rFonts w:ascii="Verdana" w:hAnsi="Verdana" w:cs="Verdana"/>
          <w:sz w:val="20"/>
          <w:szCs w:val="20"/>
          <w:lang w:val="es-CR"/>
        </w:rPr>
        <w:t xml:space="preserve">, </w:t>
      </w:r>
      <w:r w:rsidR="00F905E6" w:rsidRPr="009D2608">
        <w:rPr>
          <w:rFonts w:ascii="Verdana" w:hAnsi="Verdana" w:cs="Verdana"/>
          <w:sz w:val="20"/>
          <w:szCs w:val="20"/>
          <w:lang w:val="es-CR"/>
        </w:rPr>
        <w:t>en octubre de 2019</w:t>
      </w:r>
      <w:r w:rsidR="0041245E" w:rsidRPr="009D2608">
        <w:rPr>
          <w:rFonts w:ascii="Verdana" w:hAnsi="Verdana" w:cs="Verdana"/>
          <w:sz w:val="20"/>
          <w:szCs w:val="20"/>
          <w:lang w:val="es-CR"/>
        </w:rPr>
        <w:t xml:space="preserve"> el Estado señaló que “organizó dos reuniones de trabajo” en junio y julio de 2019 “en las que participaron funcionarios del Ministerio de Salud, el [SIS], Essalud y la Superintendencia Nacional de Salud”, las que estuvieron referidas al cumplimiento de las medidas ordenadas” en las Sentencias de casos peruanos. Una de sus conclusiones fue “la necesidad de conformar un Grupo de Trabajo adscrito al sector Salud, que tenga como finalidad la elaboración de lineamiento, directivas y protocolos orientados a brindar una atención adecuada a las </w:t>
      </w:r>
      <w:r w:rsidR="0041245E" w:rsidRPr="009D2608">
        <w:rPr>
          <w:rFonts w:ascii="Verdana" w:hAnsi="Verdana" w:cs="Verdana"/>
          <w:sz w:val="20"/>
          <w:szCs w:val="20"/>
          <w:lang w:val="es-CR"/>
        </w:rPr>
        <w:lastRenderedPageBreak/>
        <w:t>víctimas […] recococid[a]s en las [S]entencias […] conforme a los estándares” ahí estable</w:t>
      </w:r>
      <w:r w:rsidR="00F905E6" w:rsidRPr="009D2608">
        <w:rPr>
          <w:rFonts w:ascii="Verdana" w:hAnsi="Verdana" w:cs="Verdana"/>
          <w:sz w:val="20"/>
          <w:szCs w:val="20"/>
          <w:lang w:val="es-CR"/>
        </w:rPr>
        <w:t>c</w:t>
      </w:r>
      <w:r w:rsidR="0041245E" w:rsidRPr="009D2608">
        <w:rPr>
          <w:rFonts w:ascii="Verdana" w:hAnsi="Verdana" w:cs="Verdana"/>
          <w:sz w:val="20"/>
          <w:szCs w:val="20"/>
          <w:lang w:val="es-CR"/>
        </w:rPr>
        <w:t>idos</w:t>
      </w:r>
      <w:r w:rsidR="001F672F" w:rsidRPr="009D2608">
        <w:rPr>
          <w:rStyle w:val="Refdenotaalpie"/>
          <w:rFonts w:ascii="Verdana" w:hAnsi="Verdana" w:cs="Verdana"/>
          <w:sz w:val="20"/>
          <w:szCs w:val="20"/>
          <w:lang w:val="es-CR"/>
        </w:rPr>
        <w:footnoteReference w:id="44"/>
      </w:r>
      <w:r w:rsidR="0041245E">
        <w:rPr>
          <w:rFonts w:ascii="Verdana" w:hAnsi="Verdana" w:cs="Verdana"/>
          <w:sz w:val="20"/>
          <w:szCs w:val="20"/>
          <w:lang w:val="es-CR"/>
        </w:rPr>
        <w:t>.</w:t>
      </w:r>
    </w:p>
    <w:p w14:paraId="66625B62" w14:textId="77777777" w:rsidR="00147C42" w:rsidRPr="009D42DC" w:rsidRDefault="00147C42" w:rsidP="00147C42">
      <w:pPr>
        <w:autoSpaceDE w:val="0"/>
        <w:autoSpaceDN w:val="0"/>
        <w:adjustRightInd w:val="0"/>
        <w:spacing w:after="0" w:line="240" w:lineRule="auto"/>
        <w:jc w:val="both"/>
        <w:rPr>
          <w:rFonts w:ascii="Verdana" w:hAnsi="Verdana" w:cs="Verdana"/>
          <w:sz w:val="10"/>
          <w:szCs w:val="10"/>
          <w:lang w:val="es-CR"/>
        </w:rPr>
      </w:pPr>
    </w:p>
    <w:p w14:paraId="6658A39A" w14:textId="77777777" w:rsidR="00147C42" w:rsidRPr="0062612D" w:rsidRDefault="0000489E"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 xml:space="preserve">Al respecto, </w:t>
      </w:r>
      <w:r w:rsidR="006E589E">
        <w:rPr>
          <w:rFonts w:ascii="Verdana" w:hAnsi="Verdana" w:cs="Verdana"/>
          <w:sz w:val="20"/>
          <w:szCs w:val="20"/>
          <w:lang w:val="es-CR"/>
        </w:rPr>
        <w:t>los representantes señalaron en septiembre de 2018 y mayo de 2019 que el SIS presenta “serios problemas […] desde su creación para con todo el universo de afiliados”, tales como “la falta de una atención eficiente, integral y digna, la falta de disponibilidad de las medicinas adecuadas y necesarias, y la indisponibilidad de especialistas médicos”.</w:t>
      </w:r>
      <w:r w:rsidR="00E27A4C" w:rsidRPr="00E27A4C">
        <w:rPr>
          <w:rFonts w:ascii="Verdana" w:hAnsi="Verdana" w:cs="Verdana"/>
          <w:sz w:val="20"/>
          <w:szCs w:val="20"/>
          <w:lang w:val="es-CR"/>
        </w:rPr>
        <w:t xml:space="preserve"> </w:t>
      </w:r>
      <w:r w:rsidR="006E589E">
        <w:rPr>
          <w:rFonts w:ascii="Verdana" w:hAnsi="Verdana" w:cs="Verdana"/>
          <w:sz w:val="20"/>
          <w:szCs w:val="20"/>
          <w:lang w:val="es-CR"/>
        </w:rPr>
        <w:t xml:space="preserve">Adicionalmente, los representantes </w:t>
      </w:r>
      <w:r w:rsidR="00302621">
        <w:rPr>
          <w:rFonts w:ascii="Verdana" w:hAnsi="Verdana" w:cs="Verdana"/>
          <w:sz w:val="20"/>
          <w:szCs w:val="20"/>
          <w:lang w:val="es-CR"/>
        </w:rPr>
        <w:t>citaron</w:t>
      </w:r>
      <w:r w:rsidR="006E589E">
        <w:rPr>
          <w:rFonts w:ascii="Verdana" w:hAnsi="Verdana" w:cs="Verdana"/>
          <w:sz w:val="20"/>
          <w:szCs w:val="20"/>
          <w:lang w:val="es-CR"/>
        </w:rPr>
        <w:t xml:space="preserve"> un informe de la Defensoría del Pueblo del Perú</w:t>
      </w:r>
      <w:r w:rsidR="00E27A4C">
        <w:rPr>
          <w:rStyle w:val="Refdenotaalpie"/>
          <w:rFonts w:ascii="Verdana" w:hAnsi="Verdana" w:cs="Verdana"/>
          <w:sz w:val="20"/>
          <w:szCs w:val="20"/>
          <w:lang w:val="es-CR"/>
        </w:rPr>
        <w:footnoteReference w:id="45"/>
      </w:r>
      <w:r w:rsidR="00E27A4C">
        <w:rPr>
          <w:rFonts w:ascii="Verdana" w:hAnsi="Verdana" w:cs="Verdana"/>
          <w:sz w:val="20"/>
          <w:szCs w:val="20"/>
          <w:lang w:val="es-CR"/>
        </w:rPr>
        <w:t xml:space="preserve"> emitido en el año 2013 que señala que:</w:t>
      </w:r>
    </w:p>
    <w:p w14:paraId="71894573" w14:textId="77777777" w:rsidR="00147C42" w:rsidRPr="009D42DC" w:rsidRDefault="00147C42" w:rsidP="00147C42">
      <w:pPr>
        <w:autoSpaceDE w:val="0"/>
        <w:autoSpaceDN w:val="0"/>
        <w:adjustRightInd w:val="0"/>
        <w:spacing w:after="0" w:line="240" w:lineRule="auto"/>
        <w:jc w:val="both"/>
        <w:rPr>
          <w:rFonts w:ascii="Verdana" w:hAnsi="Verdana" w:cs="Verdana"/>
          <w:sz w:val="10"/>
          <w:szCs w:val="10"/>
          <w:lang w:val="es-CR"/>
        </w:rPr>
      </w:pPr>
    </w:p>
    <w:p w14:paraId="3A3A4C4E" w14:textId="77777777" w:rsidR="006E589E" w:rsidRDefault="00E27A4C" w:rsidP="00E27A4C">
      <w:pPr>
        <w:autoSpaceDE w:val="0"/>
        <w:autoSpaceDN w:val="0"/>
        <w:adjustRightInd w:val="0"/>
        <w:spacing w:after="0" w:line="240" w:lineRule="auto"/>
        <w:ind w:left="720" w:right="720"/>
        <w:jc w:val="both"/>
        <w:rPr>
          <w:rFonts w:ascii="Verdana" w:hAnsi="Verdana" w:cs="Verdana"/>
          <w:sz w:val="20"/>
          <w:szCs w:val="20"/>
          <w:lang w:val="es-CR"/>
        </w:rPr>
      </w:pPr>
      <w:r>
        <w:rPr>
          <w:rFonts w:ascii="Verdana" w:hAnsi="Verdana" w:cs="Verdana"/>
          <w:sz w:val="19"/>
          <w:szCs w:val="19"/>
          <w:lang w:val="es-CR"/>
        </w:rPr>
        <w:t xml:space="preserve">[…] </w:t>
      </w:r>
      <w:r w:rsidR="006E589E" w:rsidRPr="00E27A4C">
        <w:rPr>
          <w:rFonts w:ascii="Verdana" w:hAnsi="Verdana" w:cs="Verdana"/>
          <w:sz w:val="19"/>
          <w:szCs w:val="19"/>
          <w:lang w:val="es-CR"/>
        </w:rPr>
        <w:t>no existe una cobertura especial para las víctimas de la violencia política, en la medida que el SIS califica como una política pública general que el Estado peruano debe garantizar frente a todos los individuos […]</w:t>
      </w:r>
      <w:r w:rsidRPr="00E27A4C">
        <w:rPr>
          <w:rFonts w:ascii="Verdana" w:hAnsi="Verdana" w:cs="Verdana"/>
          <w:sz w:val="19"/>
          <w:szCs w:val="19"/>
          <w:lang w:val="es-CR"/>
        </w:rPr>
        <w:t xml:space="preserve"> La Defensoría del Pueblo ha atendido un número importante de reclamaciones de las víctimas con relación al trato que reciben, tanto por parte del personal de salud encargado de la afiliación al SIS, como el personal sanitario […]. Como se ha mencionado, ello se debe principalmente</w:t>
      </w:r>
      <w:r w:rsidR="00A6363B">
        <w:rPr>
          <w:rFonts w:ascii="Verdana" w:hAnsi="Verdana" w:cs="Verdana"/>
          <w:sz w:val="19"/>
          <w:szCs w:val="19"/>
          <w:lang w:val="es-CR"/>
        </w:rPr>
        <w:t xml:space="preserve"> [al]</w:t>
      </w:r>
      <w:r w:rsidRPr="00E27A4C">
        <w:rPr>
          <w:rFonts w:ascii="Verdana" w:hAnsi="Verdana" w:cs="Verdana"/>
          <w:sz w:val="19"/>
          <w:szCs w:val="19"/>
          <w:lang w:val="es-CR"/>
        </w:rPr>
        <w:t xml:space="preserve"> </w:t>
      </w:r>
      <w:r w:rsidR="006E589E" w:rsidRPr="00E27A4C">
        <w:rPr>
          <w:rFonts w:ascii="Verdana" w:hAnsi="Verdana" w:cs="Verdana"/>
          <w:sz w:val="19"/>
          <w:szCs w:val="19"/>
          <w:lang w:val="es-CR"/>
        </w:rPr>
        <w:t xml:space="preserve">desconocimiento de la normatividad que garantiza su acceso al SIS en su condición de víctimas, pues este es esencialmente un programa social y por ello, un sector del personal todavía entiende que está dirigido solo a usuarios en condición de pobreza o pobreza extrema. Así por ejemplo, en algunos casos les piden documentos que no constituyen requisito para su afiliación, como la constancia de acreditación del </w:t>
      </w:r>
      <w:r w:rsidRPr="00E27A4C">
        <w:rPr>
          <w:rFonts w:ascii="Verdana" w:hAnsi="Verdana" w:cs="Verdana"/>
          <w:sz w:val="19"/>
          <w:szCs w:val="19"/>
          <w:lang w:val="es-CR"/>
        </w:rPr>
        <w:t>[Registro Único de Víctimas]</w:t>
      </w:r>
      <w:r w:rsidR="006E589E" w:rsidRPr="00E27A4C">
        <w:rPr>
          <w:rFonts w:ascii="Verdana" w:hAnsi="Verdana" w:cs="Verdana"/>
          <w:sz w:val="19"/>
          <w:szCs w:val="19"/>
          <w:lang w:val="es-CR"/>
        </w:rPr>
        <w:t xml:space="preserve"> o les dicen que no existe un registro de atención </w:t>
      </w:r>
      <w:r w:rsidRPr="00E27A4C">
        <w:rPr>
          <w:rFonts w:ascii="Verdana" w:hAnsi="Verdana" w:cs="Verdana"/>
          <w:sz w:val="19"/>
          <w:szCs w:val="19"/>
          <w:lang w:val="es-CR"/>
        </w:rPr>
        <w:t>para víctimas de la violencia</w:t>
      </w:r>
      <w:r w:rsidR="006D78ED">
        <w:rPr>
          <w:rFonts w:ascii="Verdana" w:hAnsi="Verdana" w:cs="Verdana"/>
          <w:sz w:val="19"/>
          <w:szCs w:val="19"/>
          <w:lang w:val="es-CR"/>
        </w:rPr>
        <w:t xml:space="preserve"> […]</w:t>
      </w:r>
      <w:r>
        <w:rPr>
          <w:rFonts w:ascii="Verdana" w:hAnsi="Verdana" w:cs="Verdana"/>
          <w:sz w:val="20"/>
          <w:szCs w:val="20"/>
          <w:lang w:val="es-CR"/>
        </w:rPr>
        <w:t>.</w:t>
      </w:r>
    </w:p>
    <w:p w14:paraId="698E2C2B" w14:textId="77777777" w:rsidR="006E589E" w:rsidRPr="009D42DC" w:rsidRDefault="006E589E" w:rsidP="00147C42">
      <w:pPr>
        <w:autoSpaceDE w:val="0"/>
        <w:autoSpaceDN w:val="0"/>
        <w:adjustRightInd w:val="0"/>
        <w:spacing w:after="0" w:line="240" w:lineRule="auto"/>
        <w:jc w:val="both"/>
        <w:rPr>
          <w:rFonts w:ascii="Verdana" w:hAnsi="Verdana" w:cs="Verdana"/>
          <w:sz w:val="10"/>
          <w:szCs w:val="10"/>
          <w:lang w:val="es-CR"/>
        </w:rPr>
      </w:pPr>
    </w:p>
    <w:p w14:paraId="0E4153AD" w14:textId="77777777" w:rsidR="001D29C5" w:rsidRDefault="001D29C5"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En este sentido, los representantes destacaron que “contar con una afiliación activa en el SIS o, en su caso, en ESSALUD, no demuestra de ninguna manera que los familiares de la víctima estén recibiendo una atención médica de calidad” y, además, la atención que se brinda bajo los referidos seguros “no es diferencial”</w:t>
      </w:r>
      <w:r>
        <w:rPr>
          <w:rStyle w:val="Refdenotaalpie"/>
          <w:rFonts w:ascii="Verdana" w:hAnsi="Verdana" w:cs="Verdana"/>
          <w:sz w:val="20"/>
          <w:szCs w:val="20"/>
          <w:lang w:val="es-CR"/>
        </w:rPr>
        <w:footnoteReference w:id="46"/>
      </w:r>
      <w:r>
        <w:rPr>
          <w:rFonts w:ascii="Verdana" w:hAnsi="Verdana" w:cs="Verdana"/>
          <w:sz w:val="20"/>
          <w:szCs w:val="20"/>
          <w:lang w:val="es-CR"/>
        </w:rPr>
        <w:t>.</w:t>
      </w:r>
      <w:r w:rsidR="00E162B9">
        <w:rPr>
          <w:rFonts w:ascii="Verdana" w:hAnsi="Verdana" w:cs="Verdana"/>
          <w:sz w:val="20"/>
          <w:szCs w:val="20"/>
          <w:lang w:val="es-CR"/>
        </w:rPr>
        <w:t xml:space="preserve"> Al respecto, los representantes refirieron “algunos de los obst</w:t>
      </w:r>
      <w:r w:rsidR="00E73989">
        <w:rPr>
          <w:rFonts w:ascii="Verdana" w:hAnsi="Verdana" w:cs="Verdana"/>
          <w:sz w:val="20"/>
          <w:szCs w:val="20"/>
          <w:lang w:val="es-CR"/>
        </w:rPr>
        <w:t>áculos y dificultade</w:t>
      </w:r>
      <w:r w:rsidR="00E162B9">
        <w:rPr>
          <w:rFonts w:ascii="Verdana" w:hAnsi="Verdana" w:cs="Verdana"/>
          <w:sz w:val="20"/>
          <w:szCs w:val="20"/>
          <w:lang w:val="es-CR"/>
        </w:rPr>
        <w:t xml:space="preserve">s” </w:t>
      </w:r>
      <w:r w:rsidR="00E73989">
        <w:rPr>
          <w:rFonts w:ascii="Verdana" w:hAnsi="Verdana" w:cs="Verdana"/>
          <w:sz w:val="20"/>
          <w:szCs w:val="20"/>
          <w:lang w:val="es-CR"/>
        </w:rPr>
        <w:t>sufridos por</w:t>
      </w:r>
      <w:r w:rsidR="00E162B9">
        <w:rPr>
          <w:rFonts w:ascii="Verdana" w:hAnsi="Verdana" w:cs="Verdana"/>
          <w:sz w:val="20"/>
          <w:szCs w:val="20"/>
          <w:lang w:val="es-CR"/>
        </w:rPr>
        <w:t xml:space="preserve"> siete de las víctimas, tales como: i) </w:t>
      </w:r>
      <w:r w:rsidR="00C71EB9">
        <w:rPr>
          <w:rFonts w:ascii="Verdana" w:hAnsi="Verdana" w:cs="Verdana"/>
          <w:sz w:val="20"/>
          <w:szCs w:val="20"/>
          <w:lang w:val="es-CR"/>
        </w:rPr>
        <w:t>dos</w:t>
      </w:r>
      <w:r w:rsidR="00E162B9">
        <w:rPr>
          <w:rFonts w:ascii="Verdana" w:hAnsi="Verdana" w:cs="Verdana"/>
          <w:sz w:val="20"/>
          <w:szCs w:val="20"/>
          <w:lang w:val="es-CR"/>
        </w:rPr>
        <w:t xml:space="preserve"> de las víctimas </w:t>
      </w:r>
      <w:r w:rsidR="00C71EB9">
        <w:rPr>
          <w:rFonts w:ascii="Verdana" w:hAnsi="Verdana" w:cs="Verdana"/>
          <w:sz w:val="20"/>
          <w:szCs w:val="20"/>
          <w:lang w:val="es-CR"/>
        </w:rPr>
        <w:t>refirieron</w:t>
      </w:r>
      <w:r w:rsidR="00E162B9">
        <w:rPr>
          <w:rFonts w:ascii="Verdana" w:hAnsi="Verdana" w:cs="Verdana"/>
          <w:sz w:val="20"/>
          <w:szCs w:val="20"/>
          <w:lang w:val="es-CR"/>
        </w:rPr>
        <w:t xml:space="preserve"> que “siempre tiene</w:t>
      </w:r>
      <w:r w:rsidR="00891F37">
        <w:rPr>
          <w:rFonts w:ascii="Verdana" w:hAnsi="Verdana" w:cs="Verdana"/>
          <w:sz w:val="20"/>
          <w:szCs w:val="20"/>
          <w:lang w:val="es-CR"/>
        </w:rPr>
        <w:t>[n]</w:t>
      </w:r>
      <w:r w:rsidR="00E162B9">
        <w:rPr>
          <w:rFonts w:ascii="Verdana" w:hAnsi="Verdana" w:cs="Verdana"/>
          <w:sz w:val="20"/>
          <w:szCs w:val="20"/>
          <w:lang w:val="es-CR"/>
        </w:rPr>
        <w:t xml:space="preserve"> que pasar” por una “larga espera” para ser atendida</w:t>
      </w:r>
      <w:r w:rsidR="00C71EB9">
        <w:rPr>
          <w:rFonts w:ascii="Verdana" w:hAnsi="Verdana" w:cs="Verdana"/>
          <w:sz w:val="20"/>
          <w:szCs w:val="20"/>
          <w:lang w:val="es-CR"/>
        </w:rPr>
        <w:t>s</w:t>
      </w:r>
      <w:r w:rsidR="00C71EB9">
        <w:rPr>
          <w:rStyle w:val="Refdenotaalpie"/>
          <w:rFonts w:ascii="Verdana" w:hAnsi="Verdana" w:cs="Verdana"/>
          <w:sz w:val="20"/>
          <w:szCs w:val="20"/>
          <w:lang w:val="es-CR"/>
        </w:rPr>
        <w:footnoteReference w:id="47"/>
      </w:r>
      <w:r w:rsidR="00E162B9">
        <w:rPr>
          <w:rFonts w:ascii="Verdana" w:hAnsi="Verdana" w:cs="Verdana"/>
          <w:sz w:val="20"/>
          <w:szCs w:val="20"/>
          <w:lang w:val="es-CR"/>
        </w:rPr>
        <w:t xml:space="preserve">; ii) tres de las víctimas </w:t>
      </w:r>
      <w:r w:rsidR="0043359D">
        <w:rPr>
          <w:rFonts w:ascii="Verdana" w:hAnsi="Verdana" w:cs="Verdana"/>
          <w:sz w:val="20"/>
          <w:szCs w:val="20"/>
          <w:lang w:val="es-CR"/>
        </w:rPr>
        <w:t>(</w:t>
      </w:r>
      <w:r w:rsidR="00794A91">
        <w:rPr>
          <w:rFonts w:ascii="Verdana" w:hAnsi="Verdana" w:cs="Verdana"/>
          <w:sz w:val="20"/>
          <w:szCs w:val="20"/>
          <w:lang w:val="es-CR"/>
        </w:rPr>
        <w:t>dos</w:t>
      </w:r>
      <w:r w:rsidR="00E162B9">
        <w:rPr>
          <w:rFonts w:ascii="Verdana" w:hAnsi="Verdana" w:cs="Verdana"/>
          <w:sz w:val="20"/>
          <w:szCs w:val="20"/>
          <w:lang w:val="es-CR"/>
        </w:rPr>
        <w:t xml:space="preserve"> de ellas</w:t>
      </w:r>
      <w:r w:rsidR="000C3BC9">
        <w:rPr>
          <w:rFonts w:ascii="Verdana" w:hAnsi="Verdana" w:cs="Verdana"/>
          <w:sz w:val="20"/>
          <w:szCs w:val="20"/>
          <w:lang w:val="es-CR"/>
        </w:rPr>
        <w:t xml:space="preserve"> </w:t>
      </w:r>
      <w:r w:rsidR="00794A91">
        <w:rPr>
          <w:rFonts w:ascii="Verdana" w:hAnsi="Verdana" w:cs="Verdana"/>
          <w:sz w:val="20"/>
          <w:szCs w:val="20"/>
          <w:lang w:val="es-CR"/>
        </w:rPr>
        <w:t>siendo “</w:t>
      </w:r>
      <w:r w:rsidR="000C3BC9">
        <w:rPr>
          <w:rFonts w:ascii="Verdana" w:hAnsi="Verdana" w:cs="Verdana"/>
          <w:sz w:val="20"/>
          <w:szCs w:val="20"/>
          <w:lang w:val="es-CR"/>
        </w:rPr>
        <w:t>señora</w:t>
      </w:r>
      <w:r w:rsidR="00794A91">
        <w:rPr>
          <w:rFonts w:ascii="Verdana" w:hAnsi="Verdana" w:cs="Verdana"/>
          <w:sz w:val="20"/>
          <w:szCs w:val="20"/>
          <w:lang w:val="es-CR"/>
        </w:rPr>
        <w:t>[s]</w:t>
      </w:r>
      <w:r w:rsidR="000C3BC9">
        <w:rPr>
          <w:rFonts w:ascii="Verdana" w:hAnsi="Verdana" w:cs="Verdana"/>
          <w:sz w:val="20"/>
          <w:szCs w:val="20"/>
          <w:lang w:val="es-CR"/>
        </w:rPr>
        <w:t xml:space="preserve"> de avanzada edad que necesita</w:t>
      </w:r>
      <w:r w:rsidR="00794A91">
        <w:rPr>
          <w:rFonts w:ascii="Verdana" w:hAnsi="Verdana" w:cs="Verdana"/>
          <w:sz w:val="20"/>
          <w:szCs w:val="20"/>
          <w:lang w:val="es-CR"/>
        </w:rPr>
        <w:t>[n]</w:t>
      </w:r>
      <w:r w:rsidR="000C3BC9">
        <w:rPr>
          <w:rFonts w:ascii="Verdana" w:hAnsi="Verdana" w:cs="Verdana"/>
          <w:sz w:val="20"/>
          <w:szCs w:val="20"/>
          <w:lang w:val="es-CR"/>
        </w:rPr>
        <w:t xml:space="preserve"> ciertas atenciones médicas de manera pronta”</w:t>
      </w:r>
      <w:r w:rsidR="0043359D">
        <w:rPr>
          <w:rFonts w:ascii="Verdana" w:hAnsi="Verdana" w:cs="Verdana"/>
          <w:sz w:val="20"/>
          <w:szCs w:val="20"/>
          <w:lang w:val="es-CR"/>
        </w:rPr>
        <w:t>)</w:t>
      </w:r>
      <w:r w:rsidR="000C3BC9">
        <w:rPr>
          <w:rFonts w:ascii="Verdana" w:hAnsi="Verdana" w:cs="Verdana"/>
          <w:sz w:val="20"/>
          <w:szCs w:val="20"/>
          <w:lang w:val="es-CR"/>
        </w:rPr>
        <w:t xml:space="preserve"> </w:t>
      </w:r>
      <w:r w:rsidR="0043359D">
        <w:rPr>
          <w:rFonts w:ascii="Verdana" w:hAnsi="Verdana" w:cs="Verdana"/>
          <w:sz w:val="20"/>
          <w:szCs w:val="20"/>
          <w:lang w:val="es-CR"/>
        </w:rPr>
        <w:t>refirieron que, en razón de la atención “totalmente insuficiente y carente” del SIS,</w:t>
      </w:r>
      <w:r w:rsidR="000C3BC9">
        <w:rPr>
          <w:rFonts w:ascii="Verdana" w:hAnsi="Verdana" w:cs="Verdana"/>
          <w:sz w:val="20"/>
          <w:szCs w:val="20"/>
          <w:lang w:val="es-CR"/>
        </w:rPr>
        <w:t xml:space="preserve"> han tenido que atenderse ya sea “a través de clínicas privadas” o en “Hospitales de Solidaridad”, que son hospitales que “aunque atienden a un costo social, brindan una atención privada” cuyo costo es asumido por la persona beneficiaria; </w:t>
      </w:r>
      <w:r w:rsidR="00282994">
        <w:rPr>
          <w:rFonts w:ascii="Verdana" w:hAnsi="Verdana" w:cs="Verdana"/>
          <w:sz w:val="20"/>
          <w:szCs w:val="20"/>
          <w:lang w:val="es-CR"/>
        </w:rPr>
        <w:t>iii</w:t>
      </w:r>
      <w:r w:rsidR="000C3BC9">
        <w:rPr>
          <w:rFonts w:ascii="Verdana" w:hAnsi="Verdana" w:cs="Verdana"/>
          <w:sz w:val="20"/>
          <w:szCs w:val="20"/>
          <w:lang w:val="es-CR"/>
        </w:rPr>
        <w:t xml:space="preserve">) </w:t>
      </w:r>
      <w:r w:rsidR="00C71EB9">
        <w:rPr>
          <w:rFonts w:ascii="Verdana" w:hAnsi="Verdana" w:cs="Verdana"/>
          <w:sz w:val="20"/>
          <w:szCs w:val="20"/>
          <w:lang w:val="es-CR"/>
        </w:rPr>
        <w:t xml:space="preserve">dos víctimas que son beneficiarias de ESSALUD (una de ellas “ya que su esposo le extendió la cobertura que él tiene a través de su trabajo” y la otra en razón “de su trabajo”) igualmente señalaron que dicha atención </w:t>
      </w:r>
      <w:r w:rsidR="00C71EB9">
        <w:rPr>
          <w:rFonts w:ascii="Verdana" w:hAnsi="Verdana" w:cs="Verdana"/>
          <w:sz w:val="20"/>
          <w:szCs w:val="20"/>
          <w:lang w:val="es-CR"/>
        </w:rPr>
        <w:lastRenderedPageBreak/>
        <w:t>“tampoco es integral ni diferenciada”</w:t>
      </w:r>
      <w:r w:rsidR="00282994">
        <w:rPr>
          <w:rFonts w:ascii="Verdana" w:hAnsi="Verdana" w:cs="Verdana"/>
          <w:sz w:val="20"/>
          <w:szCs w:val="20"/>
          <w:lang w:val="es-CR"/>
        </w:rPr>
        <w:t>, además de que “solo se da una cita por mes”, por lo que “muchas veces [dicha víctima …] ha tenido que recurrir a otras clínicas privadas por sus propios medios” debido a que requería “atención más inmediata”</w:t>
      </w:r>
      <w:r w:rsidR="001F2B3D">
        <w:rPr>
          <w:rStyle w:val="Refdenotaalpie"/>
          <w:rFonts w:ascii="Verdana" w:hAnsi="Verdana" w:cs="Verdana"/>
          <w:sz w:val="20"/>
          <w:szCs w:val="20"/>
          <w:lang w:val="es-CR"/>
        </w:rPr>
        <w:footnoteReference w:id="48"/>
      </w:r>
      <w:r w:rsidR="00282994">
        <w:rPr>
          <w:rFonts w:ascii="Verdana" w:hAnsi="Verdana" w:cs="Verdana"/>
          <w:sz w:val="20"/>
          <w:szCs w:val="20"/>
          <w:lang w:val="es-CR"/>
        </w:rPr>
        <w:t xml:space="preserve">. </w:t>
      </w:r>
      <w:r w:rsidR="004A24B4">
        <w:rPr>
          <w:rFonts w:ascii="Verdana" w:hAnsi="Verdana" w:cs="Verdana"/>
          <w:sz w:val="20"/>
          <w:szCs w:val="20"/>
          <w:lang w:val="es-CR"/>
        </w:rPr>
        <w:t>Una de las referidas víctimas señaló</w:t>
      </w:r>
      <w:r w:rsidR="00FC2907">
        <w:rPr>
          <w:rFonts w:ascii="Verdana" w:hAnsi="Verdana" w:cs="Verdana"/>
          <w:sz w:val="20"/>
          <w:szCs w:val="20"/>
          <w:lang w:val="es-CR"/>
        </w:rPr>
        <w:t xml:space="preserve"> que “asumir estos costos [médicos] es bastante difícil y representa [una] carga injusta” en tanto son beneficiarios de la Sentencia de este Tribunal</w:t>
      </w:r>
      <w:r w:rsidR="00FC2907">
        <w:rPr>
          <w:rStyle w:val="Refdenotaalpie"/>
          <w:rFonts w:ascii="Verdana" w:hAnsi="Verdana" w:cs="Verdana"/>
          <w:sz w:val="20"/>
          <w:szCs w:val="20"/>
          <w:lang w:val="es-CR"/>
        </w:rPr>
        <w:footnoteReference w:id="49"/>
      </w:r>
      <w:r w:rsidR="00FC2907">
        <w:rPr>
          <w:rFonts w:ascii="Verdana" w:hAnsi="Verdana" w:cs="Verdana"/>
          <w:sz w:val="20"/>
          <w:szCs w:val="20"/>
          <w:lang w:val="es-CR"/>
        </w:rPr>
        <w:t xml:space="preserve">. </w:t>
      </w:r>
    </w:p>
    <w:p w14:paraId="7B33D675" w14:textId="77777777" w:rsidR="001D29C5" w:rsidRPr="009D42DC" w:rsidRDefault="001D29C5" w:rsidP="001D29C5">
      <w:pPr>
        <w:autoSpaceDE w:val="0"/>
        <w:autoSpaceDN w:val="0"/>
        <w:adjustRightInd w:val="0"/>
        <w:spacing w:after="0" w:line="240" w:lineRule="auto"/>
        <w:jc w:val="both"/>
        <w:rPr>
          <w:rFonts w:ascii="Verdana" w:hAnsi="Verdana" w:cs="Verdana"/>
          <w:sz w:val="10"/>
          <w:szCs w:val="10"/>
          <w:lang w:val="es-CR"/>
        </w:rPr>
      </w:pPr>
    </w:p>
    <w:p w14:paraId="0EB732B4" w14:textId="77777777" w:rsidR="007D5657" w:rsidRDefault="00147C42"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623717">
        <w:rPr>
          <w:rFonts w:ascii="Verdana" w:hAnsi="Verdana" w:cs="Verdana"/>
          <w:sz w:val="20"/>
          <w:szCs w:val="20"/>
          <w:lang w:val="es-CR"/>
        </w:rPr>
        <w:t>Adicionalmente, esta Corte observa que</w:t>
      </w:r>
      <w:r w:rsidR="007D5657">
        <w:rPr>
          <w:rFonts w:ascii="Verdana" w:hAnsi="Verdana" w:cs="Verdana"/>
          <w:sz w:val="20"/>
          <w:szCs w:val="20"/>
          <w:lang w:val="es-CR"/>
        </w:rPr>
        <w:t xml:space="preserve"> los representantes refirieron</w:t>
      </w:r>
      <w:r w:rsidR="00375077">
        <w:rPr>
          <w:rFonts w:ascii="Verdana" w:hAnsi="Verdana" w:cs="Verdana"/>
          <w:sz w:val="20"/>
          <w:szCs w:val="20"/>
          <w:lang w:val="es-CR"/>
        </w:rPr>
        <w:t xml:space="preserve"> que</w:t>
      </w:r>
      <w:r w:rsidR="007D5657">
        <w:rPr>
          <w:rFonts w:ascii="Verdana" w:hAnsi="Verdana" w:cs="Verdana"/>
          <w:sz w:val="20"/>
          <w:szCs w:val="20"/>
          <w:lang w:val="es-CR"/>
        </w:rPr>
        <w:t xml:space="preserve"> </w:t>
      </w:r>
      <w:r w:rsidR="006D78ED">
        <w:rPr>
          <w:rFonts w:ascii="Verdana" w:hAnsi="Verdana" w:cs="Verdana"/>
          <w:sz w:val="20"/>
          <w:szCs w:val="20"/>
          <w:lang w:val="es-CR"/>
        </w:rPr>
        <w:t>tres</w:t>
      </w:r>
      <w:r w:rsidR="007D5657">
        <w:rPr>
          <w:rFonts w:ascii="Verdana" w:hAnsi="Verdana" w:cs="Verdana"/>
          <w:sz w:val="20"/>
          <w:szCs w:val="20"/>
          <w:lang w:val="es-CR"/>
        </w:rPr>
        <w:t xml:space="preserve"> de las víctimas beneficiarias tienen “problemáticas de salud bastante significativas” y otras tres víctimas han presentado “problemas de salud mental”. No obstante ello, afirmaron que pese a que dicha información se desprende del informe presentado por el Perú en marzo de 2019, “no hay evidencia que [desde el Estado</w:t>
      </w:r>
      <w:r w:rsidR="00E83551">
        <w:rPr>
          <w:rFonts w:ascii="Verdana" w:hAnsi="Verdana" w:cs="Verdana"/>
          <w:sz w:val="20"/>
          <w:szCs w:val="20"/>
          <w:lang w:val="es-CR"/>
        </w:rPr>
        <w:t>] se</w:t>
      </w:r>
      <w:r w:rsidR="007D5657">
        <w:rPr>
          <w:rFonts w:ascii="Verdana" w:hAnsi="Verdana" w:cs="Verdana"/>
          <w:sz w:val="20"/>
          <w:szCs w:val="20"/>
          <w:lang w:val="es-CR"/>
        </w:rPr>
        <w:t xml:space="preserve"> haya hecho algún tipo de seguimiento a [los referidos problemas] o que se</w:t>
      </w:r>
      <w:r w:rsidR="001F2B3D">
        <w:rPr>
          <w:rFonts w:ascii="Verdana" w:hAnsi="Verdana" w:cs="Verdana"/>
          <w:sz w:val="20"/>
          <w:szCs w:val="20"/>
          <w:lang w:val="es-CR"/>
        </w:rPr>
        <w:t xml:space="preserve"> [les]</w:t>
      </w:r>
      <w:r w:rsidR="007D5657">
        <w:rPr>
          <w:rFonts w:ascii="Verdana" w:hAnsi="Verdana" w:cs="Verdana"/>
          <w:sz w:val="20"/>
          <w:szCs w:val="20"/>
          <w:lang w:val="es-CR"/>
        </w:rPr>
        <w:t xml:space="preserve"> haya proporcionado el tratamiento adecuado”.</w:t>
      </w:r>
      <w:r w:rsidR="001F2B3D">
        <w:rPr>
          <w:rFonts w:ascii="Verdana" w:hAnsi="Verdana" w:cs="Verdana"/>
          <w:sz w:val="20"/>
          <w:szCs w:val="20"/>
          <w:lang w:val="es-CR"/>
        </w:rPr>
        <w:t xml:space="preserve"> </w:t>
      </w:r>
    </w:p>
    <w:p w14:paraId="2520E1F5" w14:textId="77777777" w:rsidR="00AA0C7B" w:rsidRPr="009D42DC" w:rsidRDefault="00AA0C7B" w:rsidP="00AA0C7B">
      <w:pPr>
        <w:autoSpaceDE w:val="0"/>
        <w:autoSpaceDN w:val="0"/>
        <w:adjustRightInd w:val="0"/>
        <w:spacing w:after="0" w:line="240" w:lineRule="auto"/>
        <w:jc w:val="both"/>
        <w:rPr>
          <w:rFonts w:ascii="Verdana" w:hAnsi="Verdana" w:cs="Verdana"/>
          <w:sz w:val="10"/>
          <w:szCs w:val="10"/>
          <w:lang w:val="es-CR"/>
        </w:rPr>
      </w:pPr>
    </w:p>
    <w:p w14:paraId="7989412D" w14:textId="77777777" w:rsidR="00147C42" w:rsidRPr="00877B7C" w:rsidRDefault="00147C42"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877B7C">
        <w:rPr>
          <w:rFonts w:ascii="Verdana" w:hAnsi="Verdana" w:cs="Verdana"/>
          <w:sz w:val="20"/>
          <w:szCs w:val="20"/>
          <w:lang w:val="es-CR"/>
        </w:rPr>
        <w:t xml:space="preserve">Al respecto, </w:t>
      </w:r>
      <w:r w:rsidR="007547B9">
        <w:rPr>
          <w:rFonts w:ascii="Verdana" w:hAnsi="Verdana" w:cs="Verdana"/>
          <w:sz w:val="20"/>
          <w:szCs w:val="20"/>
          <w:lang w:val="es-CR"/>
        </w:rPr>
        <w:t>la Corte valora positivamente que todas las víctimas beneficiarias cuenten con un seguro de salud</w:t>
      </w:r>
      <w:r w:rsidR="001E40B0">
        <w:rPr>
          <w:rFonts w:ascii="Verdana" w:hAnsi="Verdana" w:cs="Verdana"/>
          <w:sz w:val="20"/>
          <w:szCs w:val="20"/>
          <w:lang w:val="es-CR"/>
        </w:rPr>
        <w:t>. Sin embargo</w:t>
      </w:r>
      <w:r w:rsidR="007547B9">
        <w:rPr>
          <w:rFonts w:ascii="Verdana" w:hAnsi="Verdana" w:cs="Verdana"/>
          <w:sz w:val="20"/>
          <w:szCs w:val="20"/>
          <w:lang w:val="es-CR"/>
        </w:rPr>
        <w:t xml:space="preserve">, </w:t>
      </w:r>
      <w:r w:rsidRPr="00877B7C">
        <w:rPr>
          <w:rFonts w:ascii="Verdana" w:hAnsi="Verdana" w:cs="Verdana"/>
          <w:sz w:val="20"/>
          <w:szCs w:val="20"/>
          <w:lang w:val="es-CR"/>
        </w:rPr>
        <w:t>el Tribunal recuerda que</w:t>
      </w:r>
      <w:r>
        <w:rPr>
          <w:rFonts w:ascii="Verdana" w:hAnsi="Verdana" w:cs="Verdana"/>
          <w:sz w:val="20"/>
          <w:szCs w:val="20"/>
          <w:lang w:val="es-CR"/>
        </w:rPr>
        <w:t>,</w:t>
      </w:r>
      <w:r w:rsidRPr="00877B7C">
        <w:rPr>
          <w:rFonts w:ascii="Verdana" w:hAnsi="Verdana" w:cs="Verdana"/>
          <w:sz w:val="20"/>
          <w:szCs w:val="20"/>
          <w:lang w:val="es-CR"/>
        </w:rPr>
        <w:t xml:space="preserve"> de conformidad con su jurisprudencia constante, el cumplimiento de esta medida de reparación</w:t>
      </w:r>
      <w:r w:rsidRPr="00877B7C">
        <w:rPr>
          <w:rFonts w:ascii="Verdana" w:hAnsi="Verdana" w:cs="Verdana"/>
          <w:sz w:val="19"/>
          <w:szCs w:val="19"/>
          <w:lang w:val="es-CR"/>
        </w:rPr>
        <w:t xml:space="preserve"> </w:t>
      </w:r>
      <w:r w:rsidRPr="00877B7C">
        <w:rPr>
          <w:rFonts w:ascii="Verdana" w:hAnsi="Verdana" w:cs="Verdana"/>
          <w:sz w:val="20"/>
          <w:szCs w:val="19"/>
          <w:lang w:val="es-CR"/>
        </w:rPr>
        <w:t xml:space="preserve">no se agota con la sola inscripción de los familiares de las víctimas en el </w:t>
      </w:r>
      <w:r w:rsidR="007547B9">
        <w:rPr>
          <w:rFonts w:ascii="Verdana" w:hAnsi="Verdana" w:cs="Verdana"/>
          <w:sz w:val="20"/>
          <w:szCs w:val="19"/>
          <w:lang w:val="es-CR"/>
        </w:rPr>
        <w:t>SIS</w:t>
      </w:r>
      <w:r w:rsidRPr="00877B7C">
        <w:rPr>
          <w:rStyle w:val="Refdenotaalpie"/>
          <w:rFonts w:ascii="Verdana" w:hAnsi="Verdana" w:cs="Verdana"/>
          <w:sz w:val="20"/>
          <w:szCs w:val="19"/>
          <w:lang w:val="es-CR"/>
        </w:rPr>
        <w:footnoteReference w:id="50"/>
      </w:r>
      <w:r>
        <w:rPr>
          <w:rFonts w:ascii="Verdana" w:hAnsi="Verdana" w:cs="Verdana"/>
          <w:sz w:val="20"/>
          <w:szCs w:val="19"/>
          <w:lang w:val="es-CR"/>
        </w:rPr>
        <w:t xml:space="preserve">, </w:t>
      </w:r>
      <w:r w:rsidR="005E3E2F">
        <w:rPr>
          <w:rFonts w:ascii="Verdana" w:hAnsi="Verdana" w:cs="Verdana"/>
          <w:sz w:val="20"/>
          <w:szCs w:val="19"/>
          <w:lang w:val="es-CR"/>
        </w:rPr>
        <w:t>sino que</w:t>
      </w:r>
      <w:r>
        <w:rPr>
          <w:rFonts w:ascii="Verdana" w:hAnsi="Verdana" w:cs="Verdana"/>
          <w:sz w:val="20"/>
          <w:szCs w:val="19"/>
          <w:lang w:val="es-CR"/>
        </w:rPr>
        <w:t xml:space="preserve"> deben recibir un tratamiento diferenciado, por su carácter de víctimas, en relación con el trámite y procedimiento que deben realizar para ser atendidos a través de las instituciones del Estado</w:t>
      </w:r>
      <w:r>
        <w:rPr>
          <w:rStyle w:val="Refdenotaalpie"/>
          <w:rFonts w:ascii="Verdana" w:hAnsi="Verdana" w:cs="Verdana"/>
          <w:sz w:val="20"/>
          <w:szCs w:val="19"/>
          <w:lang w:val="es-CR"/>
        </w:rPr>
        <w:footnoteReference w:id="51"/>
      </w:r>
      <w:r w:rsidRPr="00877B7C">
        <w:rPr>
          <w:rFonts w:ascii="Verdana" w:hAnsi="Verdana" w:cs="Verdana"/>
          <w:sz w:val="20"/>
          <w:szCs w:val="19"/>
          <w:lang w:val="es-CR"/>
        </w:rPr>
        <w:t xml:space="preserve">. Asimismo, </w:t>
      </w:r>
      <w:r w:rsidR="00BD2A86">
        <w:rPr>
          <w:rFonts w:ascii="Verdana" w:hAnsi="Verdana" w:cs="Verdana"/>
          <w:sz w:val="20"/>
          <w:szCs w:val="19"/>
          <w:lang w:val="es-CR"/>
        </w:rPr>
        <w:t>aun cuando</w:t>
      </w:r>
      <w:r w:rsidRPr="00877B7C">
        <w:rPr>
          <w:rFonts w:ascii="Verdana" w:hAnsi="Verdana" w:cs="Verdana"/>
          <w:sz w:val="20"/>
          <w:szCs w:val="19"/>
          <w:lang w:val="es-CR"/>
        </w:rPr>
        <w:t xml:space="preserve"> </w:t>
      </w:r>
      <w:r w:rsidRPr="00877B7C">
        <w:rPr>
          <w:rFonts w:ascii="Verdana" w:hAnsi="Verdana"/>
          <w:sz w:val="20"/>
          <w:szCs w:val="20"/>
          <w:lang w:val="es-MX"/>
        </w:rPr>
        <w:t>el Tribunal valora las iniciativas estatales de carácter general relacionadas con los sistemas de salud, debe recordar que,</w:t>
      </w:r>
      <w:r w:rsidRPr="00877B7C">
        <w:rPr>
          <w:rFonts w:ascii="Verdana" w:hAnsi="Verdana"/>
          <w:sz w:val="20"/>
          <w:szCs w:val="20"/>
          <w:lang w:val="es-CR"/>
        </w:rPr>
        <w:t xml:space="preserve"> además de las medidas que adopte en el marco del sistema </w:t>
      </w:r>
      <w:r w:rsidRPr="00F23FB0">
        <w:rPr>
          <w:rFonts w:ascii="Verdana" w:hAnsi="Verdana"/>
          <w:sz w:val="20"/>
          <w:szCs w:val="20"/>
          <w:lang w:val="es-CR"/>
        </w:rPr>
        <w:t>general de salud, es necesario que el Estado otorgue una atención gratuita, inmediata y diferenciada a las víctimas, por parte de personal e instituciones especializadas, proporcionando</w:t>
      </w:r>
      <w:r>
        <w:rPr>
          <w:rFonts w:ascii="Verdana" w:hAnsi="Verdana"/>
          <w:sz w:val="20"/>
          <w:szCs w:val="20"/>
          <w:lang w:val="es-CR"/>
        </w:rPr>
        <w:t xml:space="preserve"> el tratamiento más adecuado y efectivo</w:t>
      </w:r>
      <w:r w:rsidRPr="00877B7C">
        <w:rPr>
          <w:rStyle w:val="Refdenotaalpie"/>
          <w:rFonts w:ascii="Verdana" w:hAnsi="Verdana"/>
          <w:sz w:val="20"/>
          <w:szCs w:val="20"/>
          <w:lang w:val="es-CR"/>
        </w:rPr>
        <w:footnoteReference w:id="52"/>
      </w:r>
      <w:r w:rsidRPr="00877B7C">
        <w:rPr>
          <w:rFonts w:ascii="Verdana" w:hAnsi="Verdana"/>
          <w:sz w:val="20"/>
          <w:szCs w:val="20"/>
          <w:lang w:val="es-CR"/>
        </w:rPr>
        <w:t xml:space="preserve">. </w:t>
      </w:r>
      <w:r w:rsidR="00BD2A86" w:rsidRPr="00F23FB0">
        <w:rPr>
          <w:rFonts w:ascii="Verdana" w:hAnsi="Verdana"/>
          <w:sz w:val="20"/>
          <w:szCs w:val="20"/>
          <w:lang w:val="es-CR"/>
        </w:rPr>
        <w:t xml:space="preserve">En razón de </w:t>
      </w:r>
      <w:r w:rsidR="003B7948" w:rsidRPr="00F23FB0">
        <w:rPr>
          <w:rFonts w:ascii="Verdana" w:hAnsi="Verdana"/>
          <w:sz w:val="20"/>
          <w:szCs w:val="20"/>
          <w:lang w:val="es-CR"/>
        </w:rPr>
        <w:t>ello</w:t>
      </w:r>
      <w:r w:rsidR="00BD2A86" w:rsidRPr="00F23FB0">
        <w:rPr>
          <w:rFonts w:ascii="Verdana" w:hAnsi="Verdana"/>
          <w:sz w:val="20"/>
          <w:szCs w:val="20"/>
          <w:lang w:val="es-CR"/>
        </w:rPr>
        <w:t xml:space="preserve">, la Corte valora positivamente </w:t>
      </w:r>
      <w:r w:rsidR="003B7948" w:rsidRPr="00F23FB0">
        <w:rPr>
          <w:rFonts w:ascii="Verdana" w:hAnsi="Verdana"/>
          <w:sz w:val="20"/>
          <w:szCs w:val="20"/>
          <w:lang w:val="es-CR"/>
        </w:rPr>
        <w:t>la realización de</w:t>
      </w:r>
      <w:r w:rsidR="00BD2A86" w:rsidRPr="00F23FB0">
        <w:rPr>
          <w:rFonts w:ascii="Verdana" w:hAnsi="Verdana"/>
          <w:sz w:val="20"/>
          <w:szCs w:val="20"/>
          <w:lang w:val="es-CR"/>
        </w:rPr>
        <w:t xml:space="preserve"> reuniones de trabajo por parte de las autoridades estatales en materia de salud, así como la propuesta de la conformación de un “Grupo de Trabajo” para la ejecución adecuada de la presente medida</w:t>
      </w:r>
      <w:r w:rsidR="003C3E54" w:rsidRPr="00F23FB0">
        <w:rPr>
          <w:rFonts w:ascii="Verdana" w:hAnsi="Verdana"/>
          <w:sz w:val="20"/>
          <w:szCs w:val="20"/>
          <w:lang w:val="es-CR"/>
        </w:rPr>
        <w:t xml:space="preserve"> (</w:t>
      </w:r>
      <w:r w:rsidR="003C3E54" w:rsidRPr="00F23FB0">
        <w:rPr>
          <w:rFonts w:ascii="Verdana" w:hAnsi="Verdana"/>
          <w:i/>
          <w:sz w:val="20"/>
          <w:szCs w:val="20"/>
          <w:lang w:val="es-CR"/>
        </w:rPr>
        <w:t xml:space="preserve">supra </w:t>
      </w:r>
      <w:r w:rsidR="00851A18" w:rsidRPr="00F23FB0">
        <w:rPr>
          <w:rFonts w:ascii="Verdana" w:hAnsi="Verdana"/>
          <w:sz w:val="20"/>
          <w:szCs w:val="20"/>
          <w:lang w:val="es-CR"/>
        </w:rPr>
        <w:t>Considerando 20</w:t>
      </w:r>
      <w:r w:rsidR="003C3E54" w:rsidRPr="00F23FB0">
        <w:rPr>
          <w:rFonts w:ascii="Verdana" w:hAnsi="Verdana"/>
          <w:sz w:val="20"/>
          <w:szCs w:val="20"/>
          <w:lang w:val="es-CR"/>
        </w:rPr>
        <w:t>)</w:t>
      </w:r>
      <w:r w:rsidR="00BD2A86">
        <w:rPr>
          <w:rFonts w:ascii="Verdana" w:hAnsi="Verdana"/>
          <w:sz w:val="20"/>
          <w:szCs w:val="20"/>
          <w:lang w:val="es-CR"/>
        </w:rPr>
        <w:t xml:space="preserve">. </w:t>
      </w:r>
      <w:r w:rsidRPr="00877B7C">
        <w:rPr>
          <w:rFonts w:ascii="Verdana" w:hAnsi="Verdana" w:cs="Verdana"/>
          <w:sz w:val="20"/>
          <w:szCs w:val="20"/>
          <w:lang w:val="es-CR"/>
        </w:rPr>
        <w:t xml:space="preserve">Por tanto, la Corte </w:t>
      </w:r>
      <w:r w:rsidRPr="00877B7C">
        <w:rPr>
          <w:rFonts w:ascii="Verdana" w:hAnsi="Verdana"/>
          <w:sz w:val="20"/>
          <w:lang w:val="es-MX"/>
        </w:rPr>
        <w:t xml:space="preserve">requiere al Estado que, en el plazo indicado en el punto resolutivo </w:t>
      </w:r>
      <w:r w:rsidR="00FD3A13">
        <w:rPr>
          <w:rFonts w:ascii="Verdana" w:hAnsi="Verdana"/>
          <w:sz w:val="20"/>
          <w:lang w:val="es-MX"/>
        </w:rPr>
        <w:t>quinto</w:t>
      </w:r>
      <w:r w:rsidRPr="00877B7C">
        <w:rPr>
          <w:rFonts w:ascii="Verdana" w:hAnsi="Verdana"/>
          <w:sz w:val="20"/>
          <w:lang w:val="es-MX"/>
        </w:rPr>
        <w:t xml:space="preserve"> de la presente Resolución, remita información detallada y actualizada sobre</w:t>
      </w:r>
      <w:r w:rsidR="00733B92">
        <w:rPr>
          <w:rFonts w:ascii="Verdana" w:hAnsi="Verdana"/>
          <w:sz w:val="20"/>
          <w:lang w:val="es-MX"/>
        </w:rPr>
        <w:t xml:space="preserve"> </w:t>
      </w:r>
      <w:r w:rsidR="006B5EC8" w:rsidRPr="00F23FB0">
        <w:rPr>
          <w:rFonts w:ascii="Verdana" w:hAnsi="Verdana"/>
          <w:sz w:val="20"/>
          <w:lang w:val="es-MX"/>
        </w:rPr>
        <w:t xml:space="preserve">la implementación </w:t>
      </w:r>
      <w:r w:rsidR="0049112F" w:rsidRPr="00F23FB0">
        <w:rPr>
          <w:rFonts w:ascii="Verdana" w:hAnsi="Verdana"/>
          <w:sz w:val="20"/>
          <w:lang w:val="es-MX"/>
        </w:rPr>
        <w:t xml:space="preserve">del referido “Grupo de Trabajo”, la elaboración de los lineamientos y protocolos señalados </w:t>
      </w:r>
      <w:r w:rsidR="0049112F" w:rsidRPr="00F23FB0">
        <w:rPr>
          <w:rFonts w:ascii="Verdana" w:hAnsi="Verdana"/>
          <w:sz w:val="20"/>
          <w:szCs w:val="20"/>
          <w:lang w:val="es-CR"/>
        </w:rPr>
        <w:t>(</w:t>
      </w:r>
      <w:r w:rsidR="0049112F" w:rsidRPr="00F23FB0">
        <w:rPr>
          <w:rFonts w:ascii="Verdana" w:hAnsi="Verdana"/>
          <w:i/>
          <w:sz w:val="20"/>
          <w:szCs w:val="20"/>
          <w:lang w:val="es-CR"/>
        </w:rPr>
        <w:t xml:space="preserve">supra </w:t>
      </w:r>
      <w:r w:rsidR="00851A18" w:rsidRPr="00F23FB0">
        <w:rPr>
          <w:rFonts w:ascii="Verdana" w:hAnsi="Verdana"/>
          <w:sz w:val="20"/>
          <w:szCs w:val="20"/>
          <w:lang w:val="es-CR"/>
        </w:rPr>
        <w:t>Considerando 20</w:t>
      </w:r>
      <w:r w:rsidR="0049112F" w:rsidRPr="00F23FB0">
        <w:rPr>
          <w:rFonts w:ascii="Verdana" w:hAnsi="Verdana"/>
          <w:sz w:val="20"/>
          <w:szCs w:val="20"/>
          <w:lang w:val="es-CR"/>
        </w:rPr>
        <w:t>) y, como parte de estos últimos,</w:t>
      </w:r>
      <w:r w:rsidR="006B5EC8">
        <w:rPr>
          <w:rFonts w:ascii="Verdana" w:hAnsi="Verdana"/>
          <w:sz w:val="20"/>
          <w:lang w:val="es-MX"/>
        </w:rPr>
        <w:t xml:space="preserve"> indique </w:t>
      </w:r>
      <w:r w:rsidR="00733B92">
        <w:rPr>
          <w:rFonts w:ascii="Verdana" w:hAnsi="Verdana"/>
          <w:sz w:val="20"/>
          <w:lang w:val="es-MX"/>
        </w:rPr>
        <w:t>qué medidas se tomarán para que los seguros del SIS y ESSALUD</w:t>
      </w:r>
      <w:r w:rsidR="00733B92">
        <w:rPr>
          <w:rFonts w:ascii="Verdana" w:hAnsi="Verdana" w:cs="Verdana"/>
          <w:sz w:val="20"/>
          <w:szCs w:val="20"/>
          <w:lang w:val="es-CR"/>
        </w:rPr>
        <w:t xml:space="preserve"> cumpla</w:t>
      </w:r>
      <w:r w:rsidRPr="00877B7C">
        <w:rPr>
          <w:rFonts w:ascii="Verdana" w:hAnsi="Verdana" w:cs="Verdana"/>
          <w:sz w:val="20"/>
          <w:szCs w:val="20"/>
          <w:lang w:val="es-CR"/>
        </w:rPr>
        <w:t>n con los estándares establecidos por el Tribunal respecto al otorgam</w:t>
      </w:r>
      <w:r>
        <w:rPr>
          <w:rFonts w:ascii="Verdana" w:hAnsi="Verdana" w:cs="Verdana"/>
          <w:sz w:val="20"/>
          <w:szCs w:val="20"/>
          <w:lang w:val="es-CR"/>
        </w:rPr>
        <w:t>iento de esta medida</w:t>
      </w:r>
      <w:r w:rsidRPr="00877B7C">
        <w:rPr>
          <w:rFonts w:ascii="Verdana" w:hAnsi="Verdana" w:cs="Verdana"/>
          <w:sz w:val="20"/>
          <w:szCs w:val="20"/>
          <w:lang w:val="es-CR"/>
        </w:rPr>
        <w:t>,</w:t>
      </w:r>
      <w:r>
        <w:rPr>
          <w:rFonts w:ascii="Verdana" w:hAnsi="Verdana" w:cs="Verdana"/>
          <w:sz w:val="20"/>
          <w:szCs w:val="20"/>
          <w:lang w:val="es-CR"/>
        </w:rPr>
        <w:t xml:space="preserve"> en particular respecto de la atención diferenciada por su carácter de víctimas,</w:t>
      </w:r>
      <w:r w:rsidRPr="00877B7C">
        <w:rPr>
          <w:rFonts w:ascii="Verdana" w:hAnsi="Verdana" w:cs="Verdana"/>
          <w:sz w:val="20"/>
          <w:szCs w:val="20"/>
          <w:lang w:val="es-CR"/>
        </w:rPr>
        <w:t xml:space="preserve"> </w:t>
      </w:r>
      <w:r w:rsidR="00733B92">
        <w:rPr>
          <w:rFonts w:ascii="Verdana" w:hAnsi="Verdana" w:cs="Verdana"/>
          <w:sz w:val="20"/>
          <w:szCs w:val="20"/>
          <w:lang w:val="es-CR"/>
        </w:rPr>
        <w:t>o bien, si existe alguna otra alternativa institucional para dar cumplimiento a la presente medida. También se requiere que el Estado se refiera a</w:t>
      </w:r>
      <w:r w:rsidR="004435C2">
        <w:rPr>
          <w:rFonts w:ascii="Verdana" w:hAnsi="Verdana" w:cs="Verdana"/>
          <w:sz w:val="20"/>
          <w:szCs w:val="20"/>
          <w:lang w:val="es-CR"/>
        </w:rPr>
        <w:t>l seguimiento brindado a</w:t>
      </w:r>
      <w:r w:rsidR="00733B92">
        <w:rPr>
          <w:rFonts w:ascii="Verdana" w:hAnsi="Verdana" w:cs="Verdana"/>
          <w:sz w:val="20"/>
          <w:szCs w:val="20"/>
          <w:lang w:val="es-CR"/>
        </w:rPr>
        <w:t xml:space="preserve"> los casos</w:t>
      </w:r>
      <w:r w:rsidR="004435C2">
        <w:rPr>
          <w:rFonts w:ascii="Verdana" w:hAnsi="Verdana" w:cs="Verdana"/>
          <w:sz w:val="20"/>
          <w:szCs w:val="20"/>
          <w:lang w:val="es-CR"/>
        </w:rPr>
        <w:t xml:space="preserve"> referidos por los </w:t>
      </w:r>
      <w:r w:rsidR="004435C2">
        <w:rPr>
          <w:rFonts w:ascii="Verdana" w:hAnsi="Verdana" w:cs="Verdana"/>
          <w:sz w:val="20"/>
          <w:szCs w:val="20"/>
          <w:lang w:val="es-CR"/>
        </w:rPr>
        <w:lastRenderedPageBreak/>
        <w:t>representantes respecto de víctimas</w:t>
      </w:r>
      <w:r w:rsidR="00733B92">
        <w:rPr>
          <w:rFonts w:ascii="Verdana" w:hAnsi="Verdana" w:cs="Verdana"/>
          <w:sz w:val="20"/>
          <w:szCs w:val="20"/>
          <w:lang w:val="es-CR"/>
        </w:rPr>
        <w:t xml:space="preserve"> </w:t>
      </w:r>
      <w:r w:rsidR="004435C2">
        <w:rPr>
          <w:rFonts w:ascii="Verdana" w:hAnsi="Verdana" w:cs="Verdana"/>
          <w:sz w:val="20"/>
          <w:szCs w:val="20"/>
          <w:lang w:val="es-CR"/>
        </w:rPr>
        <w:t>con “</w:t>
      </w:r>
      <w:r w:rsidR="00733B92">
        <w:rPr>
          <w:rFonts w:ascii="Verdana" w:hAnsi="Verdana" w:cs="Verdana"/>
          <w:sz w:val="20"/>
          <w:szCs w:val="20"/>
          <w:lang w:val="es-CR"/>
        </w:rPr>
        <w:t xml:space="preserve">problemáticas de salud bastante significativas” </w:t>
      </w:r>
      <w:r w:rsidR="004435C2">
        <w:rPr>
          <w:rFonts w:ascii="Verdana" w:hAnsi="Verdana" w:cs="Verdana"/>
          <w:sz w:val="20"/>
          <w:szCs w:val="20"/>
          <w:lang w:val="es-CR"/>
        </w:rPr>
        <w:t xml:space="preserve">o con </w:t>
      </w:r>
      <w:r w:rsidR="00733B92">
        <w:rPr>
          <w:rFonts w:ascii="Verdana" w:hAnsi="Verdana" w:cs="Verdana"/>
          <w:sz w:val="20"/>
          <w:szCs w:val="20"/>
          <w:lang w:val="es-CR"/>
        </w:rPr>
        <w:t>“problemas de salud mental</w:t>
      </w:r>
      <w:r w:rsidR="004435C2">
        <w:rPr>
          <w:rFonts w:ascii="Verdana" w:hAnsi="Verdana" w:cs="Verdana"/>
          <w:sz w:val="20"/>
          <w:szCs w:val="20"/>
          <w:lang w:val="es-CR"/>
        </w:rPr>
        <w:t>” (</w:t>
      </w:r>
      <w:r w:rsidR="004435C2">
        <w:rPr>
          <w:rFonts w:ascii="Verdana" w:hAnsi="Verdana" w:cs="Verdana"/>
          <w:i/>
          <w:sz w:val="20"/>
          <w:szCs w:val="20"/>
          <w:lang w:val="es-CR"/>
        </w:rPr>
        <w:t xml:space="preserve">supra </w:t>
      </w:r>
      <w:r w:rsidR="00DD16F2">
        <w:rPr>
          <w:rFonts w:ascii="Verdana" w:hAnsi="Verdana" w:cs="Verdana"/>
          <w:sz w:val="20"/>
          <w:szCs w:val="20"/>
          <w:lang w:val="es-CR"/>
        </w:rPr>
        <w:t>Considerando 23</w:t>
      </w:r>
      <w:r w:rsidR="004435C2">
        <w:rPr>
          <w:rFonts w:ascii="Verdana" w:hAnsi="Verdana" w:cs="Verdana"/>
          <w:sz w:val="20"/>
          <w:szCs w:val="20"/>
          <w:lang w:val="es-CR"/>
        </w:rPr>
        <w:t>)</w:t>
      </w:r>
      <w:r w:rsidRPr="00877B7C">
        <w:rPr>
          <w:rFonts w:ascii="Verdana" w:hAnsi="Verdana" w:cs="Verdana"/>
          <w:sz w:val="20"/>
          <w:szCs w:val="20"/>
          <w:lang w:val="es-CR"/>
        </w:rPr>
        <w:t xml:space="preserve">. </w:t>
      </w:r>
    </w:p>
    <w:p w14:paraId="21965F00" w14:textId="77777777" w:rsidR="00147C42" w:rsidRDefault="00147C42" w:rsidP="00147C42">
      <w:pPr>
        <w:autoSpaceDE w:val="0"/>
        <w:autoSpaceDN w:val="0"/>
        <w:adjustRightInd w:val="0"/>
        <w:spacing w:after="0" w:line="240" w:lineRule="auto"/>
        <w:jc w:val="both"/>
        <w:rPr>
          <w:rFonts w:ascii="Verdana" w:hAnsi="Verdana"/>
          <w:sz w:val="10"/>
          <w:szCs w:val="10"/>
          <w:lang w:val="es-MX"/>
        </w:rPr>
      </w:pPr>
    </w:p>
    <w:p w14:paraId="20C73C06" w14:textId="77777777" w:rsidR="00147C42" w:rsidRPr="001E0FFB" w:rsidRDefault="00147C42"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FC6473">
        <w:rPr>
          <w:rFonts w:ascii="Verdana" w:hAnsi="Verdana" w:cs="Verdana"/>
          <w:sz w:val="20"/>
          <w:szCs w:val="20"/>
          <w:lang w:val="es-CR"/>
        </w:rPr>
        <w:t xml:space="preserve">Por todo lo anterior, la Corte considera que </w:t>
      </w:r>
      <w:r>
        <w:rPr>
          <w:rFonts w:ascii="Verdana" w:hAnsi="Verdana" w:cs="Verdana"/>
          <w:sz w:val="20"/>
          <w:szCs w:val="20"/>
          <w:lang w:val="es-CR"/>
        </w:rPr>
        <w:t xml:space="preserve">se encuentra pendiente de cumplimiento </w:t>
      </w:r>
      <w:r w:rsidR="004435C2">
        <w:rPr>
          <w:rFonts w:ascii="Verdana" w:hAnsi="Verdana" w:cs="Verdana"/>
          <w:sz w:val="20"/>
          <w:szCs w:val="20"/>
          <w:lang w:val="es-CR"/>
        </w:rPr>
        <w:t xml:space="preserve">la medida relativa a </w:t>
      </w:r>
      <w:r w:rsidR="004435C2" w:rsidRPr="002912E0">
        <w:rPr>
          <w:rFonts w:ascii="Verdana" w:hAnsi="Verdana"/>
          <w:sz w:val="20"/>
          <w:szCs w:val="20"/>
          <w:lang w:val="es-CR"/>
        </w:rPr>
        <w:t>brindar gratuitamente, a través de sus instituciones de salud especializadas, y de forma inmediata, adecuada y efectiva, el tratamiento médico y psicológico o psiquiátrico, a las víctimas que así lo soliciten, incluyendo el suministro gratuito de los medicamentos que eventualmente se requieran, tomando en consideración los padecimientos de cada uno de ellos</w:t>
      </w:r>
      <w:r w:rsidR="004435C2">
        <w:rPr>
          <w:rFonts w:ascii="Verdana" w:hAnsi="Verdana"/>
          <w:sz w:val="20"/>
          <w:szCs w:val="20"/>
          <w:lang w:val="es-CR"/>
        </w:rPr>
        <w:t xml:space="preserve">, según fue ordenada en el punto </w:t>
      </w:r>
      <w:r w:rsidR="004435C2">
        <w:rPr>
          <w:rFonts w:ascii="Verdana" w:hAnsi="Verdana" w:cs="Verdana"/>
          <w:sz w:val="20"/>
          <w:szCs w:val="20"/>
          <w:lang w:val="es-CR"/>
        </w:rPr>
        <w:t>resolutivo octavo</w:t>
      </w:r>
      <w:r w:rsidR="004435C2" w:rsidRPr="00B42E49">
        <w:rPr>
          <w:rFonts w:ascii="Verdana" w:hAnsi="Verdana" w:cs="Verdana"/>
          <w:sz w:val="20"/>
          <w:szCs w:val="20"/>
          <w:lang w:val="es-CR"/>
        </w:rPr>
        <w:t xml:space="preserve"> de la Sentencia</w:t>
      </w:r>
      <w:r w:rsidRPr="001E0FFB">
        <w:rPr>
          <w:rFonts w:ascii="Verdana" w:hAnsi="Verdana" w:cs="Verdana"/>
          <w:sz w:val="20"/>
          <w:szCs w:val="20"/>
          <w:lang w:val="es-CR"/>
        </w:rPr>
        <w:t xml:space="preserve">. </w:t>
      </w:r>
    </w:p>
    <w:p w14:paraId="16566E6D" w14:textId="77777777" w:rsidR="00147C42" w:rsidRDefault="00147C42" w:rsidP="00147C42">
      <w:pPr>
        <w:autoSpaceDE w:val="0"/>
        <w:autoSpaceDN w:val="0"/>
        <w:adjustRightInd w:val="0"/>
        <w:spacing w:after="0" w:line="240" w:lineRule="auto"/>
        <w:jc w:val="both"/>
        <w:rPr>
          <w:rFonts w:ascii="Verdana" w:hAnsi="Verdana"/>
          <w:sz w:val="14"/>
          <w:szCs w:val="14"/>
          <w:lang w:val="es-CR"/>
        </w:rPr>
      </w:pPr>
    </w:p>
    <w:p w14:paraId="0CD70093" w14:textId="77777777" w:rsidR="001052AB" w:rsidRDefault="00FE32E2" w:rsidP="004B6FAC">
      <w:pPr>
        <w:pStyle w:val="Cuadrculamedia1-nfasis21"/>
        <w:numPr>
          <w:ilvl w:val="0"/>
          <w:numId w:val="7"/>
        </w:numPr>
        <w:spacing w:after="0" w:line="240" w:lineRule="auto"/>
        <w:contextualSpacing w:val="0"/>
        <w:jc w:val="both"/>
        <w:outlineLvl w:val="0"/>
        <w:rPr>
          <w:rFonts w:ascii="Verdana" w:hAnsi="Verdana"/>
          <w:b/>
          <w:i/>
          <w:sz w:val="20"/>
          <w:lang w:val="es-MX"/>
        </w:rPr>
      </w:pPr>
      <w:bookmarkStart w:id="7" w:name="_Toc23770414"/>
      <w:r>
        <w:rPr>
          <w:rFonts w:ascii="Verdana" w:hAnsi="Verdana"/>
          <w:b/>
          <w:i/>
          <w:sz w:val="20"/>
          <w:lang w:val="es-MX"/>
        </w:rPr>
        <w:t>Publicación y difusión de la Sentencia</w:t>
      </w:r>
      <w:bookmarkEnd w:id="7"/>
      <w:r w:rsidR="001052AB">
        <w:rPr>
          <w:rFonts w:ascii="Verdana" w:hAnsi="Verdana"/>
          <w:b/>
          <w:i/>
          <w:sz w:val="20"/>
          <w:lang w:val="es-MX"/>
        </w:rPr>
        <w:t xml:space="preserve"> </w:t>
      </w:r>
    </w:p>
    <w:p w14:paraId="2F3DCAFD" w14:textId="77777777" w:rsidR="000E08DB" w:rsidRPr="004E7BCB" w:rsidRDefault="000E08DB" w:rsidP="004E7BCB">
      <w:pPr>
        <w:pStyle w:val="Cuadrculamedia1-nfasis21"/>
        <w:spacing w:after="0" w:line="240" w:lineRule="auto"/>
        <w:ind w:left="0"/>
        <w:contextualSpacing w:val="0"/>
        <w:jc w:val="both"/>
        <w:rPr>
          <w:rFonts w:ascii="Verdana" w:hAnsi="Verdana"/>
          <w:sz w:val="14"/>
          <w:szCs w:val="14"/>
          <w:lang w:val="es-MX"/>
        </w:rPr>
      </w:pPr>
    </w:p>
    <w:p w14:paraId="70A11F9A" w14:textId="77777777" w:rsidR="004A0F49" w:rsidRDefault="004A0F49" w:rsidP="003D182E">
      <w:pPr>
        <w:pStyle w:val="Cuadrculamedia1-nfasis21"/>
        <w:spacing w:after="0" w:line="240" w:lineRule="auto"/>
        <w:ind w:left="0" w:firstLine="450"/>
        <w:contextualSpacing w:val="0"/>
        <w:jc w:val="both"/>
        <w:rPr>
          <w:rFonts w:ascii="Verdana" w:hAnsi="Verdana"/>
          <w:i/>
          <w:sz w:val="20"/>
          <w:szCs w:val="20"/>
          <w:lang w:val="es-MX"/>
        </w:rPr>
      </w:pPr>
      <w:r>
        <w:rPr>
          <w:rFonts w:ascii="Verdana" w:hAnsi="Verdana"/>
          <w:i/>
          <w:sz w:val="20"/>
          <w:szCs w:val="20"/>
          <w:lang w:val="es-MX"/>
        </w:rPr>
        <w:t>D</w:t>
      </w:r>
      <w:r w:rsidRPr="003904A1">
        <w:rPr>
          <w:rFonts w:ascii="Verdana" w:hAnsi="Verdana"/>
          <w:i/>
          <w:sz w:val="20"/>
          <w:szCs w:val="20"/>
          <w:lang w:val="es-MX"/>
        </w:rPr>
        <w:t>.1 Medida</w:t>
      </w:r>
      <w:r w:rsidR="00F110A5">
        <w:rPr>
          <w:rFonts w:ascii="Verdana" w:hAnsi="Verdana"/>
          <w:i/>
          <w:sz w:val="20"/>
          <w:szCs w:val="20"/>
          <w:lang w:val="es-MX"/>
        </w:rPr>
        <w:t>s</w:t>
      </w:r>
      <w:r w:rsidRPr="003904A1">
        <w:rPr>
          <w:rFonts w:ascii="Verdana" w:hAnsi="Verdana"/>
          <w:i/>
          <w:sz w:val="20"/>
          <w:szCs w:val="20"/>
          <w:lang w:val="es-MX"/>
        </w:rPr>
        <w:t xml:space="preserve"> ordenada</w:t>
      </w:r>
      <w:r w:rsidR="00F110A5">
        <w:rPr>
          <w:rFonts w:ascii="Verdana" w:hAnsi="Verdana"/>
          <w:i/>
          <w:sz w:val="20"/>
          <w:szCs w:val="20"/>
          <w:lang w:val="es-MX"/>
        </w:rPr>
        <w:t>s</w:t>
      </w:r>
      <w:r w:rsidRPr="003904A1">
        <w:rPr>
          <w:rFonts w:ascii="Verdana" w:hAnsi="Verdana"/>
          <w:i/>
          <w:sz w:val="20"/>
          <w:szCs w:val="20"/>
          <w:lang w:val="es-MX"/>
        </w:rPr>
        <w:t xml:space="preserve"> por la Corte </w:t>
      </w:r>
    </w:p>
    <w:p w14:paraId="70465306" w14:textId="77777777" w:rsidR="000E08DB" w:rsidRDefault="000E08DB" w:rsidP="004E7BCB">
      <w:pPr>
        <w:pStyle w:val="Cuadrculamedia1-nfasis21"/>
        <w:spacing w:after="0" w:line="240" w:lineRule="auto"/>
        <w:ind w:left="0"/>
        <w:contextualSpacing w:val="0"/>
        <w:jc w:val="both"/>
        <w:rPr>
          <w:rFonts w:ascii="Verdana" w:hAnsi="Verdana"/>
          <w:sz w:val="14"/>
          <w:szCs w:val="14"/>
          <w:lang w:val="es-MX"/>
        </w:rPr>
      </w:pPr>
    </w:p>
    <w:p w14:paraId="54EC0597" w14:textId="77777777" w:rsidR="00C63160" w:rsidRDefault="004D6643"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4D6643">
        <w:rPr>
          <w:rFonts w:ascii="Verdana" w:hAnsi="Verdana" w:cs="Verdana"/>
          <w:sz w:val="20"/>
          <w:szCs w:val="20"/>
          <w:lang w:val="es-CR"/>
        </w:rPr>
        <w:t xml:space="preserve">En el punto </w:t>
      </w:r>
      <w:r w:rsidR="00F60F84">
        <w:rPr>
          <w:rFonts w:ascii="Verdana" w:hAnsi="Verdana" w:cs="Verdana"/>
          <w:sz w:val="20"/>
          <w:szCs w:val="20"/>
          <w:lang w:val="es-CR"/>
        </w:rPr>
        <w:t>resolutivo noveno</w:t>
      </w:r>
      <w:r w:rsidRPr="004D6643">
        <w:rPr>
          <w:rFonts w:ascii="Verdana" w:hAnsi="Verdana" w:cs="Verdana"/>
          <w:sz w:val="20"/>
          <w:szCs w:val="20"/>
          <w:lang w:val="es-CR"/>
        </w:rPr>
        <w:t xml:space="preserve"> </w:t>
      </w:r>
      <w:r w:rsidR="000E08DB" w:rsidRPr="004D6643">
        <w:rPr>
          <w:rFonts w:ascii="Verdana" w:hAnsi="Verdana" w:cs="Verdana"/>
          <w:sz w:val="20"/>
          <w:szCs w:val="20"/>
          <w:lang w:val="es-CR"/>
        </w:rPr>
        <w:t>y en el párrafo</w:t>
      </w:r>
      <w:r w:rsidRPr="004D6643">
        <w:rPr>
          <w:rFonts w:ascii="Verdana" w:hAnsi="Verdana" w:cs="Verdana"/>
          <w:sz w:val="20"/>
          <w:szCs w:val="20"/>
          <w:lang w:val="es-CR"/>
        </w:rPr>
        <w:t xml:space="preserve"> </w:t>
      </w:r>
      <w:r w:rsidR="007640EA">
        <w:rPr>
          <w:rFonts w:ascii="Verdana" w:hAnsi="Verdana" w:cs="Verdana"/>
          <w:sz w:val="20"/>
          <w:szCs w:val="20"/>
          <w:lang w:val="es-CR"/>
        </w:rPr>
        <w:t>260</w:t>
      </w:r>
      <w:r w:rsidR="007640EA" w:rsidRPr="007640EA">
        <w:rPr>
          <w:rFonts w:ascii="Verdana" w:hAnsi="Verdana" w:cs="Verdana"/>
          <w:sz w:val="20"/>
          <w:szCs w:val="20"/>
          <w:lang w:val="es-CR"/>
        </w:rPr>
        <w:t xml:space="preserve"> </w:t>
      </w:r>
      <w:r w:rsidR="007640EA" w:rsidRPr="004D6643">
        <w:rPr>
          <w:rFonts w:ascii="Verdana" w:hAnsi="Verdana" w:cs="Verdana"/>
          <w:sz w:val="20"/>
          <w:szCs w:val="20"/>
          <w:lang w:val="es-CR"/>
        </w:rPr>
        <w:t>de la Sentencia</w:t>
      </w:r>
      <w:r w:rsidR="000E08DB" w:rsidRPr="004D6643">
        <w:rPr>
          <w:rFonts w:ascii="Verdana" w:hAnsi="Verdana" w:cs="Verdana"/>
          <w:sz w:val="20"/>
          <w:szCs w:val="20"/>
          <w:lang w:val="es-CR"/>
        </w:rPr>
        <w:t>, la Corte dispuso</w:t>
      </w:r>
      <w:r w:rsidR="00924736">
        <w:rPr>
          <w:rFonts w:ascii="Verdana" w:hAnsi="Verdana" w:cs="Verdana"/>
          <w:sz w:val="20"/>
          <w:szCs w:val="20"/>
          <w:lang w:val="es-CR"/>
        </w:rPr>
        <w:t xml:space="preserve"> que</w:t>
      </w:r>
      <w:r w:rsidRPr="004D6643">
        <w:rPr>
          <w:rFonts w:ascii="Verdana" w:hAnsi="Verdana" w:cs="Verdana"/>
          <w:sz w:val="20"/>
          <w:szCs w:val="20"/>
          <w:lang w:val="es-CR"/>
        </w:rPr>
        <w:t xml:space="preserve"> </w:t>
      </w:r>
      <w:r w:rsidR="008D2D5F" w:rsidRPr="008D2D5F">
        <w:rPr>
          <w:rFonts w:ascii="Verdana" w:hAnsi="Verdana"/>
          <w:sz w:val="20"/>
          <w:szCs w:val="20"/>
          <w:lang w:val="es-CR"/>
        </w:rPr>
        <w:t xml:space="preserve">el Estado </w:t>
      </w:r>
      <w:r w:rsidR="008D2D5F">
        <w:rPr>
          <w:rFonts w:ascii="Verdana" w:hAnsi="Verdana"/>
          <w:sz w:val="20"/>
          <w:szCs w:val="20"/>
          <w:lang w:val="es-CR"/>
        </w:rPr>
        <w:t>debía</w:t>
      </w:r>
      <w:r w:rsidR="008D2D5F" w:rsidRPr="008D2D5F">
        <w:rPr>
          <w:rFonts w:ascii="Verdana" w:hAnsi="Verdana"/>
          <w:sz w:val="20"/>
          <w:szCs w:val="20"/>
          <w:lang w:val="es-CR"/>
        </w:rPr>
        <w:t xml:space="preserve"> </w:t>
      </w:r>
      <w:r w:rsidR="00C63160" w:rsidRPr="00C63160">
        <w:rPr>
          <w:rFonts w:ascii="Verdana" w:hAnsi="Verdana" w:cs="Verdana"/>
          <w:sz w:val="20"/>
          <w:szCs w:val="20"/>
          <w:lang w:val="es-CR"/>
        </w:rPr>
        <w:t>publicar, en el</w:t>
      </w:r>
      <w:r w:rsidR="00C63160">
        <w:rPr>
          <w:rFonts w:ascii="Verdana" w:hAnsi="Verdana" w:cs="Verdana"/>
          <w:sz w:val="20"/>
          <w:szCs w:val="20"/>
          <w:lang w:val="es-CR"/>
        </w:rPr>
        <w:t xml:space="preserve"> </w:t>
      </w:r>
      <w:r w:rsidR="00C63160" w:rsidRPr="00C63160">
        <w:rPr>
          <w:rFonts w:ascii="Verdana" w:hAnsi="Verdana" w:cs="Verdana"/>
          <w:sz w:val="20"/>
          <w:szCs w:val="20"/>
          <w:lang w:val="es-CR"/>
        </w:rPr>
        <w:t>plazo de seis meses, contado a partir de la notificación de la Sentencia: 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web oficial</w:t>
      </w:r>
      <w:r w:rsidR="00C63160">
        <w:rPr>
          <w:rFonts w:ascii="Verdana" w:hAnsi="Verdana" w:cs="Verdana"/>
          <w:sz w:val="20"/>
          <w:szCs w:val="20"/>
          <w:lang w:val="es-CR"/>
        </w:rPr>
        <w:t>.</w:t>
      </w:r>
    </w:p>
    <w:p w14:paraId="7D9F47CB" w14:textId="77777777" w:rsidR="002C70F6" w:rsidRPr="004E7BCB" w:rsidRDefault="002C70F6" w:rsidP="002C70F6">
      <w:pPr>
        <w:autoSpaceDE w:val="0"/>
        <w:autoSpaceDN w:val="0"/>
        <w:adjustRightInd w:val="0"/>
        <w:spacing w:after="0" w:line="240" w:lineRule="auto"/>
        <w:jc w:val="both"/>
        <w:rPr>
          <w:rFonts w:ascii="Verdana" w:hAnsi="Verdana" w:cs="Verdana"/>
          <w:sz w:val="10"/>
          <w:szCs w:val="10"/>
          <w:lang w:val="es-CR"/>
        </w:rPr>
      </w:pPr>
    </w:p>
    <w:p w14:paraId="6292440F" w14:textId="77777777" w:rsidR="00165D3F" w:rsidRDefault="00165D3F" w:rsidP="003D182E">
      <w:pPr>
        <w:pStyle w:val="Cuadrculamedia1-nfasis21"/>
        <w:spacing w:after="0" w:line="240" w:lineRule="auto"/>
        <w:ind w:left="0" w:firstLine="426"/>
        <w:contextualSpacing w:val="0"/>
        <w:jc w:val="both"/>
        <w:rPr>
          <w:rFonts w:ascii="Verdana" w:hAnsi="Verdana"/>
          <w:i/>
          <w:sz w:val="20"/>
          <w:lang w:val="es-MX"/>
        </w:rPr>
      </w:pPr>
      <w:r>
        <w:rPr>
          <w:rFonts w:ascii="Verdana" w:hAnsi="Verdana"/>
          <w:i/>
          <w:sz w:val="20"/>
          <w:lang w:val="es-MX"/>
        </w:rPr>
        <w:t>D</w:t>
      </w:r>
      <w:r w:rsidRPr="005237EB">
        <w:rPr>
          <w:rFonts w:ascii="Verdana" w:hAnsi="Verdana"/>
          <w:i/>
          <w:sz w:val="20"/>
          <w:lang w:val="es-MX"/>
        </w:rPr>
        <w:t>.2</w:t>
      </w:r>
      <w:r>
        <w:rPr>
          <w:rFonts w:ascii="Verdana" w:hAnsi="Verdana"/>
          <w:i/>
          <w:sz w:val="20"/>
          <w:lang w:val="es-MX"/>
        </w:rPr>
        <w:t>.</w:t>
      </w:r>
      <w:r w:rsidRPr="005237EB">
        <w:rPr>
          <w:rFonts w:ascii="Verdana" w:hAnsi="Verdana"/>
          <w:i/>
          <w:sz w:val="20"/>
          <w:lang w:val="es-MX"/>
        </w:rPr>
        <w:t xml:space="preserve"> </w:t>
      </w:r>
      <w:r w:rsidR="00560313">
        <w:rPr>
          <w:rFonts w:ascii="Verdana" w:hAnsi="Verdana"/>
          <w:i/>
          <w:sz w:val="20"/>
          <w:lang w:val="es-MX"/>
        </w:rPr>
        <w:t>Consideraciones de la Corte</w:t>
      </w:r>
      <w:r>
        <w:rPr>
          <w:rFonts w:ascii="Verdana" w:hAnsi="Verdana"/>
          <w:i/>
          <w:sz w:val="20"/>
          <w:lang w:val="es-MX"/>
        </w:rPr>
        <w:t xml:space="preserve"> </w:t>
      </w:r>
    </w:p>
    <w:p w14:paraId="2049E378" w14:textId="77777777" w:rsidR="002C70F6" w:rsidRDefault="002C70F6" w:rsidP="002C70F6">
      <w:pPr>
        <w:autoSpaceDE w:val="0"/>
        <w:autoSpaceDN w:val="0"/>
        <w:adjustRightInd w:val="0"/>
        <w:spacing w:after="0" w:line="240" w:lineRule="auto"/>
        <w:jc w:val="both"/>
        <w:rPr>
          <w:rFonts w:ascii="Verdana" w:hAnsi="Verdana" w:cs="Verdana"/>
          <w:sz w:val="14"/>
          <w:szCs w:val="14"/>
          <w:lang w:val="es-MX"/>
        </w:rPr>
      </w:pPr>
    </w:p>
    <w:p w14:paraId="4DA83B46" w14:textId="77777777" w:rsidR="005A562F" w:rsidRPr="005A562F" w:rsidRDefault="005A562F" w:rsidP="00D50AFF">
      <w:pPr>
        <w:numPr>
          <w:ilvl w:val="0"/>
          <w:numId w:val="26"/>
        </w:numPr>
        <w:spacing w:after="0" w:line="240" w:lineRule="auto"/>
        <w:ind w:left="0" w:firstLine="0"/>
        <w:jc w:val="both"/>
        <w:rPr>
          <w:rFonts w:ascii="Verdana" w:hAnsi="Verdana"/>
          <w:sz w:val="18"/>
          <w:szCs w:val="20"/>
          <w:lang w:val="es-MX"/>
        </w:rPr>
      </w:pPr>
      <w:r w:rsidRPr="005A562F">
        <w:rPr>
          <w:rFonts w:ascii="Verdana" w:hAnsi="Verdana"/>
          <w:sz w:val="20"/>
          <w:lang w:val="es-MX"/>
        </w:rPr>
        <w:t xml:space="preserve">La Corte ha constatado, con base en </w:t>
      </w:r>
      <w:r w:rsidR="000C0CBF">
        <w:rPr>
          <w:rFonts w:ascii="Verdana" w:hAnsi="Verdana"/>
          <w:sz w:val="20"/>
          <w:lang w:val="es-MX"/>
        </w:rPr>
        <w:t>los</w:t>
      </w:r>
      <w:r w:rsidRPr="005A562F">
        <w:rPr>
          <w:rFonts w:ascii="Verdana" w:hAnsi="Verdana"/>
          <w:sz w:val="20"/>
          <w:lang w:val="es-MX"/>
        </w:rPr>
        <w:t xml:space="preserve"> comprobante</w:t>
      </w:r>
      <w:r w:rsidR="000C0CBF">
        <w:rPr>
          <w:rFonts w:ascii="Verdana" w:hAnsi="Verdana"/>
          <w:sz w:val="20"/>
          <w:lang w:val="es-MX"/>
        </w:rPr>
        <w:t>s</w:t>
      </w:r>
      <w:r w:rsidRPr="005A562F">
        <w:rPr>
          <w:rFonts w:ascii="Verdana" w:hAnsi="Verdana"/>
          <w:sz w:val="20"/>
          <w:lang w:val="es-MX"/>
        </w:rPr>
        <w:t xml:space="preserve"> aportado</w:t>
      </w:r>
      <w:r w:rsidR="000C0CBF">
        <w:rPr>
          <w:rFonts w:ascii="Verdana" w:hAnsi="Verdana"/>
          <w:sz w:val="20"/>
          <w:lang w:val="es-MX"/>
        </w:rPr>
        <w:t>s</w:t>
      </w:r>
      <w:r w:rsidRPr="005A562F">
        <w:rPr>
          <w:rFonts w:ascii="Verdana" w:hAnsi="Verdana"/>
          <w:sz w:val="20"/>
          <w:lang w:val="es-MX"/>
        </w:rPr>
        <w:t xml:space="preserve"> por el Estado</w:t>
      </w:r>
      <w:r w:rsidRPr="005A562F">
        <w:rPr>
          <w:rStyle w:val="Refdenotaalpie"/>
          <w:rFonts w:ascii="Verdana" w:hAnsi="Verdana" w:cs="Verdana"/>
          <w:sz w:val="20"/>
          <w:szCs w:val="20"/>
          <w:lang w:val="es-CR"/>
        </w:rPr>
        <w:footnoteReference w:id="53"/>
      </w:r>
      <w:r w:rsidRPr="005A562F">
        <w:rPr>
          <w:rFonts w:ascii="Verdana" w:hAnsi="Verdana"/>
          <w:sz w:val="20"/>
          <w:lang w:val="es-MX"/>
        </w:rPr>
        <w:t xml:space="preserve"> y tomando en cuenta lo manifestado por l</w:t>
      </w:r>
      <w:r w:rsidR="00B0329A">
        <w:rPr>
          <w:rFonts w:ascii="Verdana" w:hAnsi="Verdana"/>
          <w:sz w:val="20"/>
          <w:lang w:val="es-MX"/>
        </w:rPr>
        <w:t>os</w:t>
      </w:r>
      <w:r w:rsidRPr="005A562F">
        <w:rPr>
          <w:rFonts w:ascii="Verdana" w:hAnsi="Verdana"/>
          <w:sz w:val="20"/>
          <w:lang w:val="es-MX"/>
        </w:rPr>
        <w:t xml:space="preserve"> representante</w:t>
      </w:r>
      <w:r w:rsidR="00B0329A">
        <w:rPr>
          <w:rFonts w:ascii="Verdana" w:hAnsi="Verdana"/>
          <w:sz w:val="20"/>
          <w:lang w:val="es-MX"/>
        </w:rPr>
        <w:t>s</w:t>
      </w:r>
      <w:r w:rsidRPr="005A562F">
        <w:rPr>
          <w:rFonts w:ascii="Verdana" w:hAnsi="Verdana"/>
          <w:sz w:val="20"/>
          <w:lang w:val="es-MX"/>
        </w:rPr>
        <w:t xml:space="preserve"> de las víctimas</w:t>
      </w:r>
      <w:r w:rsidRPr="005A562F">
        <w:rPr>
          <w:rStyle w:val="Refdenotaalpie"/>
          <w:rFonts w:ascii="Verdana" w:hAnsi="Verdana"/>
          <w:sz w:val="20"/>
          <w:lang w:val="es-MX"/>
        </w:rPr>
        <w:footnoteReference w:id="54"/>
      </w:r>
      <w:r w:rsidR="00034765">
        <w:rPr>
          <w:rFonts w:ascii="Verdana" w:hAnsi="Verdana"/>
          <w:sz w:val="20"/>
          <w:lang w:val="es-MX"/>
        </w:rPr>
        <w:t>,</w:t>
      </w:r>
      <w:r w:rsidRPr="005A562F">
        <w:rPr>
          <w:rFonts w:ascii="Verdana" w:hAnsi="Verdana"/>
          <w:sz w:val="20"/>
          <w:lang w:val="es-MX"/>
        </w:rPr>
        <w:t xml:space="preserve"> que el Estado </w:t>
      </w:r>
      <w:r w:rsidR="000C0CBF">
        <w:rPr>
          <w:rFonts w:ascii="Verdana" w:hAnsi="Verdana"/>
          <w:sz w:val="20"/>
          <w:lang w:val="es-MX"/>
        </w:rPr>
        <w:t xml:space="preserve">publicó: i) </w:t>
      </w:r>
      <w:r w:rsidR="000C0CBF">
        <w:rPr>
          <w:rFonts w:ascii="Verdana" w:hAnsi="Verdana" w:cs="Verdana"/>
          <w:sz w:val="20"/>
          <w:szCs w:val="20"/>
          <w:lang w:val="es-CR"/>
        </w:rPr>
        <w:t>el texto integral de la Sentencia en el sitio web oficial del Ministerio de Justicia y Derechos Humanos</w:t>
      </w:r>
      <w:r w:rsidR="000C0CBF">
        <w:rPr>
          <w:rStyle w:val="Refdenotaalpie"/>
          <w:rFonts w:ascii="Verdana" w:hAnsi="Verdana" w:cs="Verdana"/>
          <w:sz w:val="20"/>
          <w:szCs w:val="20"/>
          <w:lang w:val="es-CR"/>
        </w:rPr>
        <w:footnoteReference w:id="55"/>
      </w:r>
      <w:r w:rsidR="004D6936">
        <w:rPr>
          <w:rFonts w:ascii="Verdana" w:hAnsi="Verdana" w:cs="Verdana"/>
          <w:sz w:val="20"/>
          <w:szCs w:val="20"/>
          <w:lang w:val="es-CR"/>
        </w:rPr>
        <w:t xml:space="preserve">, </w:t>
      </w:r>
      <w:r w:rsidR="00B0329A">
        <w:rPr>
          <w:rFonts w:ascii="Verdana" w:hAnsi="Verdana" w:cs="Verdana"/>
          <w:sz w:val="20"/>
          <w:szCs w:val="20"/>
          <w:lang w:val="es-CR"/>
        </w:rPr>
        <w:t>así como</w:t>
      </w:r>
      <w:r w:rsidR="00984E8F">
        <w:rPr>
          <w:rFonts w:ascii="Verdana" w:hAnsi="Verdana" w:cs="Verdana"/>
          <w:sz w:val="20"/>
          <w:szCs w:val="20"/>
          <w:lang w:val="es-CR"/>
        </w:rPr>
        <w:t xml:space="preserve"> ii) el resumen oficial de la Sentencia en el Diario Oficial</w:t>
      </w:r>
      <w:r w:rsidR="00984E8F">
        <w:rPr>
          <w:rStyle w:val="Refdenotaalpie"/>
          <w:rFonts w:ascii="Verdana" w:hAnsi="Verdana" w:cs="Verdana"/>
          <w:sz w:val="20"/>
          <w:szCs w:val="20"/>
          <w:lang w:val="es-CR"/>
        </w:rPr>
        <w:footnoteReference w:id="56"/>
      </w:r>
      <w:r w:rsidR="00984E8F">
        <w:rPr>
          <w:rFonts w:ascii="Verdana" w:hAnsi="Verdana" w:cs="Verdana"/>
          <w:sz w:val="20"/>
          <w:szCs w:val="20"/>
          <w:lang w:val="es-CR"/>
        </w:rPr>
        <w:t xml:space="preserve"> y en el diario La República, “diario de amplia circulación nacional”</w:t>
      </w:r>
      <w:r w:rsidR="00984E8F">
        <w:rPr>
          <w:rStyle w:val="Refdenotaalpie"/>
          <w:rFonts w:ascii="Verdana" w:hAnsi="Verdana" w:cs="Verdana"/>
          <w:sz w:val="20"/>
          <w:szCs w:val="20"/>
          <w:lang w:val="es-CR"/>
        </w:rPr>
        <w:footnoteReference w:id="57"/>
      </w:r>
      <w:r w:rsidRPr="005A562F">
        <w:rPr>
          <w:rFonts w:ascii="Verdana" w:hAnsi="Verdana"/>
          <w:sz w:val="20"/>
          <w:lang w:val="es-MX"/>
        </w:rPr>
        <w:t xml:space="preserve">. </w:t>
      </w:r>
    </w:p>
    <w:p w14:paraId="49F6CD9D" w14:textId="77777777" w:rsidR="005A562F" w:rsidRPr="005A562F" w:rsidRDefault="005A562F" w:rsidP="005A562F">
      <w:pPr>
        <w:spacing w:after="0" w:line="240" w:lineRule="auto"/>
        <w:rPr>
          <w:rFonts w:ascii="Verdana" w:hAnsi="Verdana"/>
          <w:sz w:val="18"/>
          <w:szCs w:val="20"/>
          <w:lang w:val="es-MX"/>
        </w:rPr>
      </w:pPr>
    </w:p>
    <w:p w14:paraId="1C3ACA11" w14:textId="77777777" w:rsidR="005A562F" w:rsidRPr="000E2345" w:rsidRDefault="005A562F" w:rsidP="00D50AFF">
      <w:pPr>
        <w:numPr>
          <w:ilvl w:val="0"/>
          <w:numId w:val="26"/>
        </w:numPr>
        <w:spacing w:after="0" w:line="240" w:lineRule="auto"/>
        <w:ind w:left="0" w:firstLine="0"/>
        <w:jc w:val="both"/>
        <w:rPr>
          <w:rFonts w:ascii="Verdana" w:hAnsi="Verdana"/>
          <w:b/>
          <w:i/>
          <w:sz w:val="18"/>
          <w:szCs w:val="20"/>
          <w:lang w:val="es-MX"/>
        </w:rPr>
      </w:pPr>
      <w:r w:rsidRPr="005A562F">
        <w:rPr>
          <w:rFonts w:ascii="Verdana" w:hAnsi="Verdana"/>
          <w:sz w:val="20"/>
          <w:lang w:val="es-MX"/>
        </w:rPr>
        <w:t xml:space="preserve">Con base en lo anterior, la Corte considera que el Estado ha dado cumplimiento </w:t>
      </w:r>
      <w:r w:rsidR="002B5773">
        <w:rPr>
          <w:rFonts w:ascii="Verdana" w:hAnsi="Verdana"/>
          <w:sz w:val="20"/>
          <w:lang w:val="es-MX"/>
        </w:rPr>
        <w:t xml:space="preserve">total </w:t>
      </w:r>
      <w:r w:rsidRPr="005A562F">
        <w:rPr>
          <w:rFonts w:ascii="Verdana" w:hAnsi="Verdana"/>
          <w:sz w:val="20"/>
          <w:lang w:val="es-MX"/>
        </w:rPr>
        <w:t>a la</w:t>
      </w:r>
      <w:r w:rsidR="00467561">
        <w:rPr>
          <w:rFonts w:ascii="Verdana" w:hAnsi="Verdana"/>
          <w:sz w:val="20"/>
          <w:lang w:val="es-MX"/>
        </w:rPr>
        <w:t>s</w:t>
      </w:r>
      <w:r w:rsidRPr="005A562F">
        <w:rPr>
          <w:rFonts w:ascii="Verdana" w:hAnsi="Verdana"/>
          <w:sz w:val="20"/>
          <w:lang w:val="es-MX"/>
        </w:rPr>
        <w:t xml:space="preserve"> medida</w:t>
      </w:r>
      <w:r w:rsidR="00467561">
        <w:rPr>
          <w:rFonts w:ascii="Verdana" w:hAnsi="Verdana"/>
          <w:sz w:val="20"/>
          <w:lang w:val="es-MX"/>
        </w:rPr>
        <w:t>s</w:t>
      </w:r>
      <w:r w:rsidRPr="005A562F">
        <w:rPr>
          <w:rFonts w:ascii="Verdana" w:hAnsi="Verdana"/>
          <w:sz w:val="20"/>
          <w:lang w:val="es-MX"/>
        </w:rPr>
        <w:t xml:space="preserve"> de </w:t>
      </w:r>
      <w:r w:rsidR="00034765">
        <w:rPr>
          <w:rFonts w:ascii="Verdana" w:hAnsi="Verdana"/>
          <w:sz w:val="20"/>
          <w:lang w:val="es-MX"/>
        </w:rPr>
        <w:t>publicación y difusión de la Sentencia y de su resumen oficial</w:t>
      </w:r>
      <w:r w:rsidRPr="005A562F">
        <w:rPr>
          <w:rFonts w:ascii="Verdana" w:hAnsi="Verdana"/>
          <w:sz w:val="20"/>
          <w:lang w:val="es-MX"/>
        </w:rPr>
        <w:t>, ordenada</w:t>
      </w:r>
      <w:r w:rsidR="00034765">
        <w:rPr>
          <w:rFonts w:ascii="Verdana" w:hAnsi="Verdana"/>
          <w:sz w:val="20"/>
          <w:lang w:val="es-MX"/>
        </w:rPr>
        <w:t>s</w:t>
      </w:r>
      <w:r w:rsidRPr="005A562F">
        <w:rPr>
          <w:rFonts w:ascii="Verdana" w:hAnsi="Verdana"/>
          <w:sz w:val="20"/>
          <w:lang w:val="es-MX"/>
        </w:rPr>
        <w:t xml:space="preserve"> en el punto </w:t>
      </w:r>
      <w:r w:rsidR="00034765">
        <w:rPr>
          <w:rFonts w:ascii="Verdana" w:hAnsi="Verdana"/>
          <w:sz w:val="20"/>
          <w:lang w:val="es-MX"/>
        </w:rPr>
        <w:t xml:space="preserve">resolutivo </w:t>
      </w:r>
      <w:r w:rsidR="00034765" w:rsidRPr="000E2345">
        <w:rPr>
          <w:rFonts w:ascii="Verdana" w:hAnsi="Verdana"/>
          <w:sz w:val="20"/>
          <w:lang w:val="es-MX"/>
        </w:rPr>
        <w:t>noveno</w:t>
      </w:r>
      <w:r w:rsidRPr="000E2345">
        <w:rPr>
          <w:rFonts w:ascii="Verdana" w:hAnsi="Verdana"/>
          <w:sz w:val="20"/>
          <w:lang w:val="es-MX"/>
        </w:rPr>
        <w:t xml:space="preserve"> de la Sentencia. </w:t>
      </w:r>
    </w:p>
    <w:p w14:paraId="1666B356" w14:textId="77777777" w:rsidR="00C07F55" w:rsidRPr="000E2345" w:rsidRDefault="00C07F55" w:rsidP="005A562F">
      <w:pPr>
        <w:autoSpaceDE w:val="0"/>
        <w:autoSpaceDN w:val="0"/>
        <w:adjustRightInd w:val="0"/>
        <w:spacing w:after="0" w:line="240" w:lineRule="auto"/>
        <w:jc w:val="both"/>
        <w:rPr>
          <w:rFonts w:ascii="Verdana" w:hAnsi="Verdana" w:cs="Verdana"/>
          <w:sz w:val="14"/>
          <w:szCs w:val="14"/>
          <w:lang w:val="es-MX"/>
        </w:rPr>
      </w:pPr>
    </w:p>
    <w:p w14:paraId="7CFAB6D1" w14:textId="77777777" w:rsidR="001052AB" w:rsidRPr="000E2345" w:rsidRDefault="00FE32E2" w:rsidP="004B6FAC">
      <w:pPr>
        <w:pStyle w:val="Cuadrculamedia1-nfasis21"/>
        <w:numPr>
          <w:ilvl w:val="0"/>
          <w:numId w:val="7"/>
        </w:numPr>
        <w:spacing w:after="0" w:line="240" w:lineRule="auto"/>
        <w:contextualSpacing w:val="0"/>
        <w:jc w:val="both"/>
        <w:outlineLvl w:val="0"/>
        <w:rPr>
          <w:rFonts w:ascii="Verdana" w:hAnsi="Verdana"/>
          <w:b/>
          <w:i/>
          <w:sz w:val="20"/>
          <w:lang w:val="es-MX"/>
        </w:rPr>
      </w:pPr>
      <w:bookmarkStart w:id="8" w:name="_Toc23770415"/>
      <w:r w:rsidRPr="000E2345">
        <w:rPr>
          <w:rFonts w:ascii="Verdana" w:hAnsi="Verdana"/>
          <w:b/>
          <w:i/>
          <w:sz w:val="20"/>
          <w:lang w:val="es-MX"/>
        </w:rPr>
        <w:t>Acto público de reconocimiento de responsabilidad internacional</w:t>
      </w:r>
      <w:bookmarkEnd w:id="8"/>
    </w:p>
    <w:p w14:paraId="39446231" w14:textId="77777777" w:rsidR="004A0F49" w:rsidRPr="000E2345" w:rsidRDefault="004A0F49" w:rsidP="002C70F6">
      <w:pPr>
        <w:pStyle w:val="Cuadrculamedia1-nfasis21"/>
        <w:spacing w:after="0" w:line="240" w:lineRule="auto"/>
        <w:ind w:left="0"/>
        <w:contextualSpacing w:val="0"/>
        <w:jc w:val="both"/>
        <w:rPr>
          <w:rFonts w:ascii="Verdana" w:hAnsi="Verdana"/>
          <w:sz w:val="14"/>
          <w:szCs w:val="14"/>
          <w:lang w:val="es-MX"/>
        </w:rPr>
      </w:pPr>
    </w:p>
    <w:p w14:paraId="0F77CBCB" w14:textId="77777777" w:rsidR="004A0F49" w:rsidRPr="000E2345" w:rsidRDefault="004A0F49" w:rsidP="002C70F6">
      <w:pPr>
        <w:pStyle w:val="Cuadrculamedia1-nfasis21"/>
        <w:spacing w:after="0" w:line="240" w:lineRule="auto"/>
        <w:ind w:left="0" w:firstLine="450"/>
        <w:contextualSpacing w:val="0"/>
        <w:jc w:val="both"/>
        <w:rPr>
          <w:rFonts w:ascii="Verdana" w:hAnsi="Verdana"/>
          <w:i/>
          <w:sz w:val="20"/>
          <w:szCs w:val="20"/>
          <w:lang w:val="es-MX"/>
        </w:rPr>
      </w:pPr>
      <w:r w:rsidRPr="000E2345">
        <w:rPr>
          <w:rFonts w:ascii="Verdana" w:hAnsi="Verdana"/>
          <w:i/>
          <w:sz w:val="20"/>
          <w:szCs w:val="20"/>
          <w:lang w:val="es-MX"/>
        </w:rPr>
        <w:t>E</w:t>
      </w:r>
      <w:r w:rsidR="00BA7D78">
        <w:rPr>
          <w:rFonts w:ascii="Verdana" w:hAnsi="Verdana"/>
          <w:i/>
          <w:sz w:val="20"/>
          <w:szCs w:val="20"/>
          <w:lang w:val="es-MX"/>
        </w:rPr>
        <w:t>.1 Medida ordenada por la Corte</w:t>
      </w:r>
    </w:p>
    <w:p w14:paraId="01D1E3FF" w14:textId="77777777" w:rsidR="002C70F6" w:rsidRPr="000E2345" w:rsidRDefault="002C70F6" w:rsidP="002134FE">
      <w:pPr>
        <w:pStyle w:val="Cuadrculamedia1-nfasis21"/>
        <w:spacing w:after="0" w:line="240" w:lineRule="auto"/>
        <w:ind w:left="0"/>
        <w:contextualSpacing w:val="0"/>
        <w:jc w:val="both"/>
        <w:rPr>
          <w:rFonts w:ascii="Verdana" w:hAnsi="Verdana"/>
          <w:sz w:val="14"/>
          <w:szCs w:val="14"/>
          <w:lang w:val="es-MX"/>
        </w:rPr>
      </w:pPr>
    </w:p>
    <w:p w14:paraId="6C24586B" w14:textId="77777777" w:rsidR="008D3402" w:rsidRPr="008D3402" w:rsidRDefault="008D3402" w:rsidP="00D50AFF">
      <w:pPr>
        <w:numPr>
          <w:ilvl w:val="0"/>
          <w:numId w:val="26"/>
        </w:numPr>
        <w:spacing w:after="0" w:line="240" w:lineRule="auto"/>
        <w:ind w:left="0" w:firstLine="0"/>
        <w:contextualSpacing/>
        <w:jc w:val="both"/>
        <w:rPr>
          <w:rFonts w:ascii="Verdana" w:hAnsi="Verdana" w:cs="Verdana"/>
          <w:sz w:val="20"/>
          <w:szCs w:val="20"/>
          <w:lang w:val="es-CR"/>
        </w:rPr>
      </w:pPr>
      <w:r w:rsidRPr="000E2345">
        <w:rPr>
          <w:rFonts w:ascii="Verdana" w:hAnsi="Verdana" w:cs="Verdana"/>
          <w:sz w:val="20"/>
          <w:szCs w:val="20"/>
          <w:lang w:val="es-CR"/>
        </w:rPr>
        <w:t xml:space="preserve">En el punto dispositivo décimo y en el párrafo 264 de la Sentencia, la Corte dispuso que el Estado debía, dentro del plazo de un año contado a partir de la notificación de la Sentencia, </w:t>
      </w:r>
      <w:r w:rsidRPr="000E2345">
        <w:rPr>
          <w:rFonts w:ascii="Verdana" w:hAnsi="Verdana"/>
          <w:sz w:val="20"/>
          <w:szCs w:val="20"/>
          <w:lang w:val="es-CR"/>
        </w:rPr>
        <w:t>realizar un acto</w:t>
      </w:r>
      <w:r w:rsidRPr="008D3402">
        <w:rPr>
          <w:rFonts w:ascii="Verdana" w:hAnsi="Verdana"/>
          <w:sz w:val="20"/>
          <w:szCs w:val="20"/>
          <w:lang w:val="es-CR"/>
        </w:rPr>
        <w:t xml:space="preserve"> público de reconocimiento de responsabilidad internacional en relación con los hechos del caso. </w:t>
      </w:r>
      <w:r>
        <w:rPr>
          <w:rFonts w:ascii="Verdana" w:hAnsi="Verdana"/>
          <w:sz w:val="20"/>
          <w:szCs w:val="20"/>
          <w:lang w:val="es-CR"/>
        </w:rPr>
        <w:t>El Tribunal señaló que en dicho acto se debería</w:t>
      </w:r>
      <w:r w:rsidRPr="008D3402">
        <w:rPr>
          <w:rFonts w:ascii="Verdana" w:hAnsi="Verdana"/>
          <w:sz w:val="20"/>
          <w:szCs w:val="20"/>
          <w:lang w:val="es-CR"/>
        </w:rPr>
        <w:t xml:space="preserve"> hacer referencia a las violaciones de derechos humanos declaradas en la </w:t>
      </w:r>
      <w:r>
        <w:rPr>
          <w:rFonts w:ascii="Verdana" w:hAnsi="Verdana"/>
          <w:sz w:val="20"/>
          <w:szCs w:val="20"/>
          <w:lang w:val="es-CR"/>
        </w:rPr>
        <w:t xml:space="preserve">Sentencia y se debería realizar </w:t>
      </w:r>
      <w:r w:rsidRPr="008D3402">
        <w:rPr>
          <w:rFonts w:ascii="Verdana" w:hAnsi="Verdana"/>
          <w:sz w:val="20"/>
          <w:szCs w:val="20"/>
          <w:lang w:val="es-CR"/>
        </w:rPr>
        <w:t xml:space="preserve">mediante una ceremonia pública en presencia de altos funcionarios del Estado y las </w:t>
      </w:r>
      <w:r w:rsidRPr="008D3402">
        <w:rPr>
          <w:rFonts w:ascii="Verdana" w:hAnsi="Verdana"/>
          <w:sz w:val="20"/>
          <w:szCs w:val="20"/>
          <w:lang w:val="es-CR"/>
        </w:rPr>
        <w:lastRenderedPageBreak/>
        <w:t xml:space="preserve">víctimas del </w:t>
      </w:r>
      <w:r>
        <w:rPr>
          <w:rFonts w:ascii="Verdana" w:hAnsi="Verdana"/>
          <w:sz w:val="20"/>
          <w:szCs w:val="20"/>
          <w:lang w:val="es-CR"/>
        </w:rPr>
        <w:t>caso. La Corte estableció que el Estado debería</w:t>
      </w:r>
      <w:r w:rsidRPr="008D3402">
        <w:rPr>
          <w:rFonts w:ascii="Verdana" w:hAnsi="Verdana"/>
          <w:sz w:val="20"/>
          <w:szCs w:val="20"/>
          <w:lang w:val="es-CR"/>
        </w:rPr>
        <w:t xml:space="preserve"> acordar con las víctimas o sus representantes la modalidad de cumplimento del acto público de reconocimiento, así como las particularidades que se requieran, tales como el lugar y la fecha para su realización. </w:t>
      </w:r>
    </w:p>
    <w:p w14:paraId="4960F636" w14:textId="77777777" w:rsidR="00471AE0" w:rsidRDefault="00471AE0" w:rsidP="00471AE0">
      <w:pPr>
        <w:autoSpaceDE w:val="0"/>
        <w:autoSpaceDN w:val="0"/>
        <w:adjustRightInd w:val="0"/>
        <w:spacing w:after="0" w:line="240" w:lineRule="auto"/>
        <w:jc w:val="both"/>
        <w:rPr>
          <w:rFonts w:ascii="Verdana" w:hAnsi="Verdana" w:cs="Verdana"/>
          <w:sz w:val="10"/>
          <w:szCs w:val="10"/>
          <w:lang w:val="es-CR"/>
        </w:rPr>
      </w:pPr>
    </w:p>
    <w:p w14:paraId="27D25168" w14:textId="77777777" w:rsidR="00471AE0" w:rsidRPr="00B80DB2" w:rsidRDefault="00471AE0" w:rsidP="00471AE0">
      <w:pPr>
        <w:autoSpaceDE w:val="0"/>
        <w:autoSpaceDN w:val="0"/>
        <w:adjustRightInd w:val="0"/>
        <w:spacing w:after="0" w:line="240" w:lineRule="auto"/>
        <w:ind w:firstLine="450"/>
        <w:jc w:val="both"/>
        <w:rPr>
          <w:rFonts w:ascii="Verdana" w:hAnsi="Verdana"/>
          <w:sz w:val="20"/>
          <w:szCs w:val="20"/>
          <w:lang w:val="es-MX"/>
        </w:rPr>
      </w:pPr>
      <w:r>
        <w:rPr>
          <w:rFonts w:ascii="Verdana" w:hAnsi="Verdana"/>
          <w:i/>
          <w:sz w:val="20"/>
          <w:lang w:val="es-MX"/>
        </w:rPr>
        <w:t>E</w:t>
      </w:r>
      <w:r w:rsidRPr="00835CEA">
        <w:rPr>
          <w:rFonts w:ascii="Verdana" w:hAnsi="Verdana"/>
          <w:i/>
          <w:sz w:val="20"/>
          <w:lang w:val="es-MX"/>
        </w:rPr>
        <w:t xml:space="preserve">.2. </w:t>
      </w:r>
      <w:r w:rsidRPr="00B80DB2">
        <w:rPr>
          <w:rFonts w:ascii="Verdana" w:hAnsi="Verdana"/>
          <w:i/>
          <w:sz w:val="20"/>
          <w:lang w:val="es-MX"/>
        </w:rPr>
        <w:t xml:space="preserve">Consideraciones de la Corte </w:t>
      </w:r>
    </w:p>
    <w:p w14:paraId="4A89C9D0" w14:textId="77777777" w:rsidR="00471AE0" w:rsidRPr="00B80DB2" w:rsidRDefault="00471AE0" w:rsidP="00471AE0">
      <w:pPr>
        <w:autoSpaceDE w:val="0"/>
        <w:autoSpaceDN w:val="0"/>
        <w:adjustRightInd w:val="0"/>
        <w:spacing w:after="0" w:line="240" w:lineRule="auto"/>
        <w:jc w:val="both"/>
        <w:rPr>
          <w:rFonts w:ascii="Verdana" w:hAnsi="Verdana"/>
          <w:sz w:val="14"/>
          <w:szCs w:val="14"/>
          <w:lang w:val="es-CR"/>
        </w:rPr>
      </w:pPr>
    </w:p>
    <w:p w14:paraId="231011E5" w14:textId="77777777" w:rsidR="005A562F" w:rsidRPr="00DA3DC6" w:rsidRDefault="00147C42" w:rsidP="00D50AFF">
      <w:pPr>
        <w:widowControl w:val="0"/>
        <w:numPr>
          <w:ilvl w:val="0"/>
          <w:numId w:val="26"/>
        </w:numPr>
        <w:autoSpaceDE w:val="0"/>
        <w:autoSpaceDN w:val="0"/>
        <w:adjustRightInd w:val="0"/>
        <w:spacing w:after="0" w:line="240" w:lineRule="auto"/>
        <w:ind w:left="0" w:firstLine="0"/>
        <w:jc w:val="both"/>
        <w:rPr>
          <w:rFonts w:ascii="Verdana" w:hAnsi="Verdana"/>
          <w:sz w:val="20"/>
          <w:lang w:val="es-CR"/>
        </w:rPr>
      </w:pPr>
      <w:r w:rsidRPr="00B80DB2">
        <w:rPr>
          <w:rFonts w:ascii="Verdana" w:hAnsi="Verdana"/>
          <w:sz w:val="20"/>
          <w:szCs w:val="20"/>
          <w:lang w:val="es-MX"/>
        </w:rPr>
        <w:t>Con base en lo informado por el Estado</w:t>
      </w:r>
      <w:r w:rsidRPr="00B80DB2">
        <w:rPr>
          <w:rStyle w:val="Refdenotaalpie"/>
          <w:rFonts w:ascii="Verdana" w:hAnsi="Verdana"/>
          <w:sz w:val="20"/>
          <w:szCs w:val="20"/>
          <w:lang w:val="es-MX"/>
        </w:rPr>
        <w:footnoteReference w:id="58"/>
      </w:r>
      <w:r w:rsidRPr="00B80DB2">
        <w:rPr>
          <w:rFonts w:ascii="Verdana" w:hAnsi="Verdana"/>
          <w:sz w:val="20"/>
          <w:szCs w:val="20"/>
          <w:lang w:val="es-MX"/>
        </w:rPr>
        <w:t xml:space="preserve"> y confirmado por los representantes de las víctimas</w:t>
      </w:r>
      <w:r w:rsidRPr="00B80DB2">
        <w:rPr>
          <w:rStyle w:val="Refdenotaalpie"/>
          <w:rFonts w:ascii="Verdana" w:hAnsi="Verdana"/>
          <w:sz w:val="20"/>
          <w:szCs w:val="20"/>
          <w:lang w:val="es-MX"/>
        </w:rPr>
        <w:footnoteReference w:id="59"/>
      </w:r>
      <w:r w:rsidRPr="00B80DB2">
        <w:rPr>
          <w:rFonts w:ascii="Verdana" w:hAnsi="Verdana"/>
          <w:sz w:val="20"/>
          <w:szCs w:val="20"/>
          <w:lang w:val="es-MX"/>
        </w:rPr>
        <w:t xml:space="preserve">, el </w:t>
      </w:r>
      <w:r w:rsidR="00C416D3">
        <w:rPr>
          <w:rFonts w:ascii="Verdana" w:hAnsi="Verdana"/>
          <w:sz w:val="20"/>
          <w:szCs w:val="20"/>
          <w:lang w:val="es-MX"/>
        </w:rPr>
        <w:t>5 de junio de 2014</w:t>
      </w:r>
      <w:r w:rsidRPr="00B80DB2">
        <w:rPr>
          <w:rFonts w:ascii="Verdana" w:hAnsi="Verdana"/>
          <w:sz w:val="20"/>
          <w:szCs w:val="20"/>
          <w:lang w:val="es-MX"/>
        </w:rPr>
        <w:t xml:space="preserve"> se efectuó el “</w:t>
      </w:r>
      <w:r w:rsidR="00C416D3">
        <w:rPr>
          <w:rFonts w:ascii="Verdana" w:hAnsi="Verdana"/>
          <w:sz w:val="20"/>
          <w:szCs w:val="20"/>
          <w:lang w:val="es-MX"/>
        </w:rPr>
        <w:t>a</w:t>
      </w:r>
      <w:r w:rsidRPr="00B80DB2">
        <w:rPr>
          <w:rFonts w:ascii="Verdana" w:hAnsi="Verdana"/>
          <w:sz w:val="20"/>
          <w:szCs w:val="20"/>
          <w:lang w:val="es-MX"/>
        </w:rPr>
        <w:t>cto de reconocimiento de responsabilidad internacional</w:t>
      </w:r>
      <w:r w:rsidR="00C416D3">
        <w:rPr>
          <w:rFonts w:ascii="Verdana" w:hAnsi="Verdana"/>
          <w:sz w:val="20"/>
          <w:szCs w:val="20"/>
          <w:lang w:val="es-MX"/>
        </w:rPr>
        <w:t xml:space="preserve"> y de disculpas públicas por la desaparición forzada de Jeremías Osorio Rivera”</w:t>
      </w:r>
      <w:r w:rsidRPr="00B80DB2">
        <w:rPr>
          <w:rFonts w:ascii="Verdana" w:hAnsi="Verdana"/>
          <w:sz w:val="20"/>
          <w:szCs w:val="20"/>
          <w:lang w:val="es-MX"/>
        </w:rPr>
        <w:t>. El acto contó con la asistencia de altas autoridades estatales, entre ellas: i) el Ministro de Justicia y Derechos Humanos; ii) el</w:t>
      </w:r>
      <w:r w:rsidR="009067E4">
        <w:rPr>
          <w:rFonts w:ascii="Verdana" w:hAnsi="Verdana"/>
          <w:sz w:val="20"/>
          <w:szCs w:val="20"/>
          <w:lang w:val="es-MX"/>
        </w:rPr>
        <w:t xml:space="preserve"> Viceministro de Derechos Humanos; iii) el</w:t>
      </w:r>
      <w:r w:rsidRPr="00B80DB2">
        <w:rPr>
          <w:rFonts w:ascii="Verdana" w:hAnsi="Verdana"/>
          <w:sz w:val="20"/>
          <w:szCs w:val="20"/>
          <w:lang w:val="es-MX"/>
        </w:rPr>
        <w:t xml:space="preserve"> </w:t>
      </w:r>
      <w:r w:rsidR="00C416D3">
        <w:rPr>
          <w:rFonts w:ascii="Verdana" w:hAnsi="Verdana"/>
          <w:sz w:val="20"/>
          <w:szCs w:val="20"/>
          <w:lang w:val="es-MX"/>
        </w:rPr>
        <w:t xml:space="preserve">Defensor del Pueblo; </w:t>
      </w:r>
      <w:r w:rsidR="009067E4">
        <w:rPr>
          <w:rFonts w:ascii="Verdana" w:hAnsi="Verdana"/>
          <w:sz w:val="20"/>
          <w:szCs w:val="20"/>
          <w:lang w:val="es-MX"/>
        </w:rPr>
        <w:t>iv</w:t>
      </w:r>
      <w:r w:rsidR="00C416D3">
        <w:rPr>
          <w:rFonts w:ascii="Verdana" w:hAnsi="Verdana"/>
          <w:sz w:val="20"/>
          <w:szCs w:val="20"/>
          <w:lang w:val="es-MX"/>
        </w:rPr>
        <w:t xml:space="preserve">) </w:t>
      </w:r>
      <w:r w:rsidRPr="00B80DB2">
        <w:rPr>
          <w:rFonts w:ascii="Verdana" w:hAnsi="Verdana"/>
          <w:sz w:val="20"/>
          <w:szCs w:val="20"/>
          <w:lang w:val="es-MX"/>
        </w:rPr>
        <w:t>l</w:t>
      </w:r>
      <w:r w:rsidR="00AA4178">
        <w:rPr>
          <w:rFonts w:ascii="Verdana" w:hAnsi="Verdana"/>
          <w:sz w:val="20"/>
          <w:szCs w:val="20"/>
          <w:lang w:val="es-MX"/>
        </w:rPr>
        <w:t>a F</w:t>
      </w:r>
      <w:r w:rsidR="00C416D3">
        <w:rPr>
          <w:rFonts w:ascii="Verdana" w:hAnsi="Verdana"/>
          <w:sz w:val="20"/>
          <w:szCs w:val="20"/>
          <w:lang w:val="es-MX"/>
        </w:rPr>
        <w:t>iscal Suprema en representación del Fiscal de la Nación</w:t>
      </w:r>
      <w:r w:rsidR="009067E4">
        <w:rPr>
          <w:rFonts w:ascii="Verdana" w:hAnsi="Verdana"/>
          <w:sz w:val="20"/>
          <w:szCs w:val="20"/>
          <w:lang w:val="es-MX"/>
        </w:rPr>
        <w:t>,</w:t>
      </w:r>
      <w:r w:rsidR="00C416D3">
        <w:rPr>
          <w:rFonts w:ascii="Verdana" w:hAnsi="Verdana"/>
          <w:sz w:val="20"/>
          <w:szCs w:val="20"/>
          <w:lang w:val="es-MX"/>
        </w:rPr>
        <w:t xml:space="preserve"> y </w:t>
      </w:r>
      <w:r w:rsidR="009067E4">
        <w:rPr>
          <w:rFonts w:ascii="Verdana" w:hAnsi="Verdana"/>
          <w:sz w:val="20"/>
          <w:szCs w:val="20"/>
          <w:lang w:val="es-MX"/>
        </w:rPr>
        <w:t xml:space="preserve">v) </w:t>
      </w:r>
      <w:r w:rsidR="00C416D3">
        <w:rPr>
          <w:rFonts w:ascii="Verdana" w:hAnsi="Verdana"/>
          <w:sz w:val="20"/>
          <w:szCs w:val="20"/>
          <w:lang w:val="es-MX"/>
        </w:rPr>
        <w:t>“representantes de los poderes Ejecutivo, Judicial y Legislativo”.</w:t>
      </w:r>
      <w:r w:rsidRPr="00B80DB2">
        <w:rPr>
          <w:rFonts w:ascii="Verdana" w:hAnsi="Verdana"/>
          <w:sz w:val="20"/>
          <w:szCs w:val="20"/>
          <w:lang w:val="es-MX"/>
        </w:rPr>
        <w:t xml:space="preserve"> </w:t>
      </w:r>
      <w:r w:rsidR="009067E4" w:rsidRPr="00B80DB2">
        <w:rPr>
          <w:rFonts w:ascii="Verdana" w:hAnsi="Verdana"/>
          <w:sz w:val="20"/>
          <w:lang w:val="es-CR"/>
        </w:rPr>
        <w:t>Durante el acto</w:t>
      </w:r>
      <w:r w:rsidR="00AA4178">
        <w:rPr>
          <w:rFonts w:ascii="Verdana" w:hAnsi="Verdana"/>
          <w:sz w:val="20"/>
          <w:lang w:val="es-CR"/>
        </w:rPr>
        <w:t>,</w:t>
      </w:r>
      <w:r w:rsidR="009067E4">
        <w:rPr>
          <w:rFonts w:ascii="Verdana" w:hAnsi="Verdana"/>
          <w:sz w:val="20"/>
          <w:lang w:val="es-CR"/>
        </w:rPr>
        <w:t xml:space="preserve"> el Viceministro de Derechos Humanos “leyó parte de la sentencia de la Corte IDH” y, posteriormente, el Ministro de Justicia y Derechos Humanos “ofreció las disculpas a los familiares” del señor Osorio Rivera. </w:t>
      </w:r>
      <w:r w:rsidR="00966A07">
        <w:rPr>
          <w:rFonts w:ascii="Verdana" w:hAnsi="Verdana"/>
          <w:sz w:val="20"/>
          <w:lang w:val="es-CR"/>
        </w:rPr>
        <w:t xml:space="preserve">Asimismo, un representante de la familia Osorio Rivera </w:t>
      </w:r>
      <w:r w:rsidR="00AA4178">
        <w:rPr>
          <w:rFonts w:ascii="Verdana" w:hAnsi="Verdana"/>
          <w:sz w:val="20"/>
          <w:lang w:val="es-CR"/>
        </w:rPr>
        <w:t>“</w:t>
      </w:r>
      <w:r w:rsidR="00966A07">
        <w:rPr>
          <w:rFonts w:ascii="Verdana" w:hAnsi="Verdana"/>
          <w:sz w:val="20"/>
          <w:lang w:val="es-CR"/>
        </w:rPr>
        <w:t>hizo uso de la palabra</w:t>
      </w:r>
      <w:r w:rsidR="00AA4178">
        <w:rPr>
          <w:rFonts w:ascii="Verdana" w:hAnsi="Verdana"/>
          <w:sz w:val="20"/>
          <w:lang w:val="es-CR"/>
        </w:rPr>
        <w:t>”</w:t>
      </w:r>
      <w:r w:rsidR="00C455C3">
        <w:rPr>
          <w:rStyle w:val="Refdenotaalpie"/>
          <w:rFonts w:ascii="Verdana" w:hAnsi="Verdana"/>
          <w:sz w:val="20"/>
          <w:lang w:val="es-CR"/>
        </w:rPr>
        <w:footnoteReference w:id="60"/>
      </w:r>
      <w:r w:rsidR="00966A07">
        <w:rPr>
          <w:rFonts w:ascii="Verdana" w:hAnsi="Verdana"/>
          <w:sz w:val="20"/>
          <w:lang w:val="es-CR"/>
        </w:rPr>
        <w:t xml:space="preserve">. </w:t>
      </w:r>
      <w:r w:rsidR="00212564">
        <w:rPr>
          <w:rFonts w:ascii="Verdana" w:hAnsi="Verdana"/>
          <w:sz w:val="20"/>
          <w:szCs w:val="20"/>
          <w:lang w:val="es-MX"/>
        </w:rPr>
        <w:t>Según comprobantes presentados por el Estado, el referido acto</w:t>
      </w:r>
      <w:r w:rsidRPr="00B80DB2">
        <w:rPr>
          <w:rFonts w:ascii="Verdana" w:hAnsi="Verdana"/>
          <w:sz w:val="20"/>
          <w:szCs w:val="20"/>
          <w:lang w:val="es-MX"/>
        </w:rPr>
        <w:t xml:space="preserve"> fue difundido por diversos medios </w:t>
      </w:r>
      <w:r w:rsidR="00212564">
        <w:rPr>
          <w:rFonts w:ascii="Verdana" w:hAnsi="Verdana"/>
          <w:sz w:val="20"/>
          <w:szCs w:val="20"/>
          <w:lang w:val="es-MX"/>
        </w:rPr>
        <w:t>noticiosos</w:t>
      </w:r>
      <w:r w:rsidRPr="00B80DB2">
        <w:rPr>
          <w:rStyle w:val="Refdenotaalpie"/>
          <w:rFonts w:ascii="Verdana" w:hAnsi="Verdana"/>
          <w:sz w:val="20"/>
          <w:szCs w:val="20"/>
          <w:lang w:val="es-MX"/>
        </w:rPr>
        <w:footnoteReference w:id="61"/>
      </w:r>
      <w:r w:rsidRPr="00B80DB2">
        <w:rPr>
          <w:rFonts w:ascii="Verdana" w:hAnsi="Verdana"/>
          <w:sz w:val="20"/>
          <w:szCs w:val="20"/>
          <w:lang w:val="es-MX"/>
        </w:rPr>
        <w:t xml:space="preserve">. </w:t>
      </w:r>
    </w:p>
    <w:p w14:paraId="3A8B5628" w14:textId="77777777" w:rsidR="00DA3DC6" w:rsidRPr="00DA3DC6" w:rsidRDefault="00DA3DC6" w:rsidP="00DA3DC6">
      <w:pPr>
        <w:widowControl w:val="0"/>
        <w:autoSpaceDE w:val="0"/>
        <w:autoSpaceDN w:val="0"/>
        <w:adjustRightInd w:val="0"/>
        <w:spacing w:after="0" w:line="240" w:lineRule="auto"/>
        <w:jc w:val="both"/>
        <w:rPr>
          <w:rFonts w:ascii="Verdana" w:hAnsi="Verdana"/>
          <w:sz w:val="10"/>
          <w:szCs w:val="10"/>
          <w:lang w:val="es-CR"/>
        </w:rPr>
      </w:pPr>
    </w:p>
    <w:p w14:paraId="0E751FD1" w14:textId="77777777" w:rsidR="00147C42" w:rsidRPr="00B80DB2" w:rsidRDefault="00147C42" w:rsidP="00D50AFF">
      <w:pPr>
        <w:widowControl w:val="0"/>
        <w:numPr>
          <w:ilvl w:val="0"/>
          <w:numId w:val="26"/>
        </w:numPr>
        <w:autoSpaceDE w:val="0"/>
        <w:autoSpaceDN w:val="0"/>
        <w:adjustRightInd w:val="0"/>
        <w:spacing w:after="0" w:line="240" w:lineRule="auto"/>
        <w:ind w:left="0" w:firstLine="0"/>
        <w:jc w:val="both"/>
        <w:rPr>
          <w:rFonts w:ascii="Verdana" w:hAnsi="Verdana"/>
          <w:sz w:val="20"/>
          <w:lang w:val="es-CR"/>
        </w:rPr>
      </w:pPr>
      <w:r w:rsidRPr="00B80DB2">
        <w:rPr>
          <w:rFonts w:ascii="Verdana" w:hAnsi="Verdana"/>
          <w:sz w:val="20"/>
          <w:szCs w:val="20"/>
          <w:lang w:val="es-CO"/>
        </w:rPr>
        <w:t xml:space="preserve">Considerando lo anterior, </w:t>
      </w:r>
      <w:r w:rsidRPr="00B80DB2">
        <w:rPr>
          <w:rFonts w:ascii="Verdana" w:hAnsi="Verdana"/>
          <w:sz w:val="20"/>
          <w:szCs w:val="20"/>
          <w:lang w:val="es-CR"/>
        </w:rPr>
        <w:t xml:space="preserve">la Corte considera que el Estado ha dado cumplimiento </w:t>
      </w:r>
      <w:r w:rsidR="00D9141A">
        <w:rPr>
          <w:rFonts w:ascii="Verdana" w:hAnsi="Verdana"/>
          <w:sz w:val="20"/>
          <w:szCs w:val="20"/>
          <w:lang w:val="es-CR"/>
        </w:rPr>
        <w:t xml:space="preserve">total </w:t>
      </w:r>
      <w:r w:rsidRPr="00B80DB2">
        <w:rPr>
          <w:rFonts w:ascii="Verdana" w:hAnsi="Verdana"/>
          <w:sz w:val="20"/>
          <w:szCs w:val="20"/>
          <w:lang w:val="es-CR"/>
        </w:rPr>
        <w:t>a la medida de reparación relativa a realizar un acto público de reconocimiento de su responsabilidad internacional, ordenada en el punto dispositivo décimo de la Sentencia.</w:t>
      </w:r>
    </w:p>
    <w:p w14:paraId="3E523BE4" w14:textId="77777777" w:rsidR="00FE32E2" w:rsidRDefault="00FE32E2" w:rsidP="002C70F6">
      <w:pPr>
        <w:autoSpaceDE w:val="0"/>
        <w:autoSpaceDN w:val="0"/>
        <w:adjustRightInd w:val="0"/>
        <w:spacing w:after="0" w:line="240" w:lineRule="auto"/>
        <w:jc w:val="both"/>
        <w:rPr>
          <w:rFonts w:ascii="Verdana" w:hAnsi="Verdana"/>
          <w:sz w:val="14"/>
          <w:szCs w:val="14"/>
          <w:lang w:val="es-CR"/>
        </w:rPr>
      </w:pPr>
    </w:p>
    <w:p w14:paraId="73D05EAF" w14:textId="77777777" w:rsidR="00FE32E2" w:rsidRPr="0063668A" w:rsidRDefault="00FE32E2" w:rsidP="00FE32E2">
      <w:pPr>
        <w:pStyle w:val="Cuadrculamedia1-nfasis21"/>
        <w:numPr>
          <w:ilvl w:val="0"/>
          <w:numId w:val="7"/>
        </w:numPr>
        <w:spacing w:after="0" w:line="240" w:lineRule="auto"/>
        <w:contextualSpacing w:val="0"/>
        <w:jc w:val="both"/>
        <w:outlineLvl w:val="0"/>
        <w:rPr>
          <w:rFonts w:ascii="Verdana" w:hAnsi="Verdana"/>
          <w:b/>
          <w:i/>
          <w:sz w:val="20"/>
          <w:lang w:val="es-MX"/>
        </w:rPr>
      </w:pPr>
      <w:bookmarkStart w:id="9" w:name="_Toc23770416"/>
      <w:r w:rsidRPr="0063668A">
        <w:rPr>
          <w:rFonts w:ascii="Verdana" w:hAnsi="Verdana"/>
          <w:b/>
          <w:i/>
          <w:sz w:val="20"/>
          <w:lang w:val="es-MX"/>
        </w:rPr>
        <w:t>Otorgamiento de becas</w:t>
      </w:r>
      <w:bookmarkEnd w:id="9"/>
    </w:p>
    <w:p w14:paraId="1BCD5D02" w14:textId="77777777" w:rsidR="00FE32E2" w:rsidRPr="0063668A" w:rsidRDefault="00FE32E2" w:rsidP="00FE32E2">
      <w:pPr>
        <w:pStyle w:val="Cuadrculamedia1-nfasis21"/>
        <w:spacing w:after="0" w:line="240" w:lineRule="auto"/>
        <w:ind w:left="0"/>
        <w:contextualSpacing w:val="0"/>
        <w:jc w:val="both"/>
        <w:outlineLvl w:val="0"/>
        <w:rPr>
          <w:rFonts w:ascii="Verdana" w:hAnsi="Verdana"/>
          <w:sz w:val="14"/>
          <w:szCs w:val="14"/>
          <w:lang w:val="es-MX"/>
        </w:rPr>
      </w:pPr>
    </w:p>
    <w:p w14:paraId="3075CBE7" w14:textId="77777777" w:rsidR="00FE32E2" w:rsidRPr="0063668A" w:rsidRDefault="00FE32E2" w:rsidP="00FE32E2">
      <w:pPr>
        <w:pStyle w:val="Cuadrculamedia1-nfasis21"/>
        <w:spacing w:after="0" w:line="240" w:lineRule="auto"/>
        <w:ind w:left="450"/>
        <w:contextualSpacing w:val="0"/>
        <w:jc w:val="both"/>
        <w:rPr>
          <w:rFonts w:ascii="Verdana" w:hAnsi="Verdana"/>
          <w:i/>
          <w:sz w:val="20"/>
          <w:szCs w:val="20"/>
          <w:lang w:val="es-MX"/>
        </w:rPr>
      </w:pPr>
      <w:r w:rsidRPr="0063668A">
        <w:rPr>
          <w:rFonts w:ascii="Verdana" w:hAnsi="Verdana"/>
          <w:i/>
          <w:sz w:val="20"/>
          <w:szCs w:val="20"/>
          <w:lang w:val="es-MX"/>
        </w:rPr>
        <w:t xml:space="preserve">F.1 Medida ordenada por la Corte </w:t>
      </w:r>
    </w:p>
    <w:p w14:paraId="321C1CE8" w14:textId="77777777" w:rsidR="00FE32E2" w:rsidRPr="0063668A" w:rsidRDefault="00FE32E2" w:rsidP="00FE32E2">
      <w:pPr>
        <w:pStyle w:val="Cuadrculamedia1-nfasis21"/>
        <w:spacing w:after="0" w:line="240" w:lineRule="auto"/>
        <w:ind w:left="0"/>
        <w:contextualSpacing w:val="0"/>
        <w:jc w:val="both"/>
        <w:rPr>
          <w:rFonts w:ascii="Verdana" w:hAnsi="Verdana"/>
          <w:sz w:val="14"/>
          <w:szCs w:val="14"/>
          <w:lang w:val="es-MX"/>
        </w:rPr>
      </w:pPr>
    </w:p>
    <w:p w14:paraId="7B8DCEC3" w14:textId="77777777" w:rsidR="00D42B2D" w:rsidRPr="00835CEA" w:rsidRDefault="00FE32E2"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63668A">
        <w:rPr>
          <w:rFonts w:ascii="Verdana" w:hAnsi="Verdana" w:cs="Verdana"/>
          <w:sz w:val="20"/>
          <w:szCs w:val="20"/>
          <w:lang w:val="es-CR"/>
        </w:rPr>
        <w:t xml:space="preserve">En el punto dispositivo décimo </w:t>
      </w:r>
      <w:r w:rsidR="0063668A" w:rsidRPr="0063668A">
        <w:rPr>
          <w:rFonts w:ascii="Verdana" w:hAnsi="Verdana" w:cs="Verdana"/>
          <w:sz w:val="20"/>
          <w:szCs w:val="20"/>
          <w:lang w:val="es-CR"/>
        </w:rPr>
        <w:t>primero</w:t>
      </w:r>
      <w:r w:rsidRPr="0063668A">
        <w:rPr>
          <w:rFonts w:ascii="Verdana" w:hAnsi="Verdana" w:cs="Verdana"/>
          <w:sz w:val="20"/>
          <w:szCs w:val="20"/>
          <w:lang w:val="es-CR"/>
        </w:rPr>
        <w:t xml:space="preserve"> y en </w:t>
      </w:r>
      <w:r w:rsidR="0063668A" w:rsidRPr="0063668A">
        <w:rPr>
          <w:rFonts w:ascii="Verdana" w:hAnsi="Verdana" w:cs="Verdana"/>
          <w:sz w:val="20"/>
          <w:szCs w:val="20"/>
          <w:lang w:val="es-CR"/>
        </w:rPr>
        <w:t xml:space="preserve">el párrafo 267 </w:t>
      </w:r>
      <w:r w:rsidRPr="0063668A">
        <w:rPr>
          <w:rFonts w:ascii="Verdana" w:hAnsi="Verdana" w:cs="Verdana"/>
          <w:sz w:val="20"/>
          <w:szCs w:val="20"/>
          <w:lang w:val="es-CR"/>
        </w:rPr>
        <w:t xml:space="preserve">de la Sentencia, la Corte dispuso que el Estado </w:t>
      </w:r>
      <w:r w:rsidR="0063668A" w:rsidRPr="0063668A">
        <w:rPr>
          <w:rFonts w:ascii="Verdana" w:hAnsi="Verdana" w:cs="Verdana"/>
          <w:sz w:val="20"/>
          <w:szCs w:val="20"/>
          <w:lang w:val="es-CR"/>
        </w:rPr>
        <w:t xml:space="preserve">debía </w:t>
      </w:r>
      <w:r w:rsidR="0063668A" w:rsidRPr="0063668A">
        <w:rPr>
          <w:rFonts w:ascii="Verdana" w:hAnsi="Verdana"/>
          <w:sz w:val="20"/>
          <w:szCs w:val="20"/>
          <w:lang w:val="es-CR"/>
        </w:rPr>
        <w:t xml:space="preserve">otorgar a Edith Laritza Osorio Gaytán, Neida Rocío Osorio Gaitán, Vannesa Judith Osorio Gaitán y Jersy Jeremías Osorio Gaitán una beca en una institución pública peruana concertada entre cada hijo de Jeremías Osorio Rivera y el Estado del Perú para realizar estudios o capacitarse en un oficio. El Tribunal también estableció que </w:t>
      </w:r>
      <w:r w:rsidR="0063668A">
        <w:rPr>
          <w:rFonts w:ascii="Verdana" w:hAnsi="Verdana"/>
          <w:sz w:val="20"/>
          <w:szCs w:val="20"/>
          <w:lang w:val="es-CR"/>
        </w:rPr>
        <w:t>la referida beca abarcaría</w:t>
      </w:r>
      <w:r w:rsidR="0063668A" w:rsidRPr="0063668A">
        <w:rPr>
          <w:rFonts w:ascii="Verdana" w:hAnsi="Verdana"/>
          <w:sz w:val="20"/>
          <w:szCs w:val="20"/>
          <w:lang w:val="es-CR"/>
        </w:rPr>
        <w:t xml:space="preserve"> desde el momento en que los beneficiarios la soliciten al Estado hasta </w:t>
      </w:r>
      <w:r w:rsidR="0063668A" w:rsidRPr="00835CEA">
        <w:rPr>
          <w:rFonts w:ascii="Verdana" w:hAnsi="Verdana"/>
          <w:sz w:val="20"/>
          <w:szCs w:val="20"/>
          <w:lang w:val="es-CR"/>
        </w:rPr>
        <w:t>la conclusión de sus estudios superiores técnicos o universitarios y debería cubrir todos los gastos para la completa finalización de dichos estudios, incluyendo el material académico o educativo y manutención. El Perú debería, asimismo, costear el transporte desde la ciudad donde estudie el beneficiario hasta su comunidad o lugar de vivienda. La Corte estableció que dichas becas deberían empezar a hacerse efectivas de la manera más pronta posible a partir de la notificación de la Sentencia.</w:t>
      </w:r>
    </w:p>
    <w:p w14:paraId="0A4210EB" w14:textId="77777777" w:rsidR="00D42B2D" w:rsidRPr="007E66F8" w:rsidRDefault="00D42B2D" w:rsidP="00D42B2D">
      <w:pPr>
        <w:autoSpaceDE w:val="0"/>
        <w:autoSpaceDN w:val="0"/>
        <w:adjustRightInd w:val="0"/>
        <w:spacing w:after="0" w:line="240" w:lineRule="auto"/>
        <w:jc w:val="both"/>
        <w:rPr>
          <w:rFonts w:ascii="Verdana" w:hAnsi="Verdana" w:cs="Verdana"/>
          <w:sz w:val="10"/>
          <w:szCs w:val="10"/>
          <w:lang w:val="es-MX"/>
        </w:rPr>
      </w:pPr>
    </w:p>
    <w:p w14:paraId="238FC770" w14:textId="77777777" w:rsidR="00D42B2D" w:rsidRPr="00835CEA" w:rsidRDefault="00D42B2D" w:rsidP="00D42B2D">
      <w:pPr>
        <w:autoSpaceDE w:val="0"/>
        <w:autoSpaceDN w:val="0"/>
        <w:adjustRightInd w:val="0"/>
        <w:spacing w:after="0" w:line="240" w:lineRule="auto"/>
        <w:ind w:firstLine="450"/>
        <w:jc w:val="both"/>
        <w:rPr>
          <w:rFonts w:ascii="Verdana" w:hAnsi="Verdana"/>
          <w:sz w:val="20"/>
          <w:szCs w:val="20"/>
          <w:lang w:val="es-MX"/>
        </w:rPr>
      </w:pPr>
      <w:r w:rsidRPr="00835CEA">
        <w:rPr>
          <w:rFonts w:ascii="Verdana" w:hAnsi="Verdana"/>
          <w:i/>
          <w:sz w:val="20"/>
          <w:lang w:val="es-MX"/>
        </w:rPr>
        <w:t xml:space="preserve">F.2. Consideraciones de la Corte </w:t>
      </w:r>
    </w:p>
    <w:p w14:paraId="5DE2D2C7" w14:textId="77777777" w:rsidR="00D42B2D" w:rsidRPr="00835CEA" w:rsidRDefault="00D42B2D" w:rsidP="00D42B2D">
      <w:pPr>
        <w:autoSpaceDE w:val="0"/>
        <w:autoSpaceDN w:val="0"/>
        <w:adjustRightInd w:val="0"/>
        <w:spacing w:after="0" w:line="240" w:lineRule="auto"/>
        <w:jc w:val="both"/>
        <w:rPr>
          <w:rFonts w:ascii="Verdana" w:hAnsi="Verdana"/>
          <w:sz w:val="14"/>
          <w:szCs w:val="14"/>
          <w:lang w:val="es-CR"/>
        </w:rPr>
      </w:pPr>
    </w:p>
    <w:p w14:paraId="61BCF3E2" w14:textId="77777777" w:rsidR="0063668A" w:rsidRPr="00835CEA" w:rsidRDefault="00835CEA"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835CEA">
        <w:rPr>
          <w:rFonts w:ascii="Verdana" w:hAnsi="Verdana"/>
          <w:sz w:val="20"/>
          <w:szCs w:val="20"/>
          <w:lang w:val="es-CR"/>
        </w:rPr>
        <w:t>E</w:t>
      </w:r>
      <w:r>
        <w:rPr>
          <w:rFonts w:ascii="Verdana" w:hAnsi="Verdana"/>
          <w:sz w:val="20"/>
          <w:szCs w:val="20"/>
          <w:lang w:val="es-CR"/>
        </w:rPr>
        <w:t>ste Tribunal recuerda que esta medida fue ordenada e</w:t>
      </w:r>
      <w:r w:rsidRPr="00835CEA">
        <w:rPr>
          <w:rFonts w:ascii="Verdana" w:hAnsi="Verdana"/>
          <w:sz w:val="20"/>
          <w:szCs w:val="20"/>
          <w:lang w:val="es-CR"/>
        </w:rPr>
        <w:t xml:space="preserve">n la Sentencia </w:t>
      </w:r>
      <w:r>
        <w:rPr>
          <w:rFonts w:ascii="Verdana" w:hAnsi="Verdana"/>
          <w:sz w:val="20"/>
          <w:szCs w:val="20"/>
          <w:lang w:val="es-CR"/>
        </w:rPr>
        <w:t>en tanto se constató</w:t>
      </w:r>
      <w:r w:rsidRPr="00835CEA">
        <w:rPr>
          <w:rFonts w:ascii="Verdana" w:hAnsi="Verdana"/>
          <w:sz w:val="20"/>
          <w:szCs w:val="20"/>
          <w:lang w:val="es-CR"/>
        </w:rPr>
        <w:t xml:space="preserve"> </w:t>
      </w:r>
      <w:r w:rsidR="0063668A" w:rsidRPr="00835CEA">
        <w:rPr>
          <w:rFonts w:ascii="Verdana" w:hAnsi="Verdana"/>
          <w:sz w:val="20"/>
          <w:szCs w:val="20"/>
          <w:lang w:val="es-CR"/>
        </w:rPr>
        <w:t>que la desaparición forzada de</w:t>
      </w:r>
      <w:r>
        <w:rPr>
          <w:rFonts w:ascii="Verdana" w:hAnsi="Verdana"/>
          <w:sz w:val="20"/>
          <w:szCs w:val="20"/>
          <w:lang w:val="es-CR"/>
        </w:rPr>
        <w:t>l señor</w:t>
      </w:r>
      <w:r w:rsidR="0063668A" w:rsidRPr="00835CEA">
        <w:rPr>
          <w:rFonts w:ascii="Verdana" w:hAnsi="Verdana"/>
          <w:sz w:val="20"/>
          <w:szCs w:val="20"/>
          <w:lang w:val="es-CR"/>
        </w:rPr>
        <w:t xml:space="preserve"> Jeremías Osorio Rivera trajo como consecuencia la pérdida del sostén familiar, lo cual </w:t>
      </w:r>
      <w:r>
        <w:rPr>
          <w:rFonts w:ascii="Verdana" w:hAnsi="Verdana"/>
          <w:sz w:val="20"/>
          <w:szCs w:val="20"/>
          <w:lang w:val="es-CR"/>
        </w:rPr>
        <w:t>tuvo</w:t>
      </w:r>
      <w:r w:rsidR="0063668A" w:rsidRPr="00835CEA">
        <w:rPr>
          <w:rFonts w:ascii="Verdana" w:hAnsi="Verdana"/>
          <w:sz w:val="20"/>
          <w:szCs w:val="20"/>
          <w:lang w:val="es-CR"/>
        </w:rPr>
        <w:t xml:space="preserve"> serias reperc</w:t>
      </w:r>
      <w:r>
        <w:rPr>
          <w:rFonts w:ascii="Verdana" w:hAnsi="Verdana"/>
          <w:sz w:val="20"/>
          <w:szCs w:val="20"/>
          <w:lang w:val="es-CR"/>
        </w:rPr>
        <w:t xml:space="preserve">usiones en la vida de </w:t>
      </w:r>
      <w:r>
        <w:rPr>
          <w:rFonts w:ascii="Verdana" w:hAnsi="Verdana"/>
          <w:sz w:val="20"/>
          <w:szCs w:val="20"/>
          <w:lang w:val="es-CR"/>
        </w:rPr>
        <w:lastRenderedPageBreak/>
        <w:t>sus hijos;</w:t>
      </w:r>
      <w:r w:rsidR="0063668A" w:rsidRPr="00835CEA">
        <w:rPr>
          <w:rFonts w:ascii="Verdana" w:hAnsi="Verdana"/>
          <w:sz w:val="20"/>
          <w:szCs w:val="20"/>
          <w:lang w:val="es-CR"/>
        </w:rPr>
        <w:t xml:space="preserve"> entre ellas, afectó sus posibilidades de acceder a una educación formal</w:t>
      </w:r>
      <w:r w:rsidR="0098432D">
        <w:rPr>
          <w:rStyle w:val="Refdenotaalpie"/>
          <w:rFonts w:ascii="Verdana" w:hAnsi="Verdana"/>
          <w:sz w:val="20"/>
          <w:szCs w:val="20"/>
          <w:lang w:val="es-CR"/>
        </w:rPr>
        <w:footnoteReference w:id="62"/>
      </w:r>
      <w:r w:rsidR="0063668A" w:rsidRPr="00835CEA">
        <w:rPr>
          <w:rFonts w:ascii="Verdana" w:hAnsi="Verdana"/>
          <w:sz w:val="20"/>
          <w:szCs w:val="20"/>
          <w:lang w:val="es-CR"/>
        </w:rPr>
        <w:t>.</w:t>
      </w:r>
      <w:r>
        <w:rPr>
          <w:rFonts w:ascii="Verdana" w:hAnsi="Verdana"/>
          <w:sz w:val="20"/>
          <w:szCs w:val="20"/>
          <w:lang w:val="es-CR"/>
        </w:rPr>
        <w:t xml:space="preserve"> No obstante lo anterior, con base en la información aportada por las partes, la Corte observa con preocupación que</w:t>
      </w:r>
      <w:r w:rsidR="00DC5E5B">
        <w:rPr>
          <w:rFonts w:ascii="Verdana" w:hAnsi="Verdana"/>
          <w:sz w:val="20"/>
          <w:szCs w:val="20"/>
          <w:lang w:val="es-CR"/>
        </w:rPr>
        <w:t>,</w:t>
      </w:r>
      <w:r>
        <w:rPr>
          <w:rFonts w:ascii="Verdana" w:hAnsi="Verdana"/>
          <w:sz w:val="20"/>
          <w:szCs w:val="20"/>
          <w:lang w:val="es-CR"/>
        </w:rPr>
        <w:t xml:space="preserve"> a más de </w:t>
      </w:r>
      <w:r w:rsidR="00CC0A24">
        <w:rPr>
          <w:rFonts w:ascii="Verdana" w:hAnsi="Verdana"/>
          <w:sz w:val="20"/>
          <w:szCs w:val="20"/>
          <w:lang w:val="es-CR"/>
        </w:rPr>
        <w:t>seis</w:t>
      </w:r>
      <w:r>
        <w:rPr>
          <w:rFonts w:ascii="Verdana" w:hAnsi="Verdana"/>
          <w:sz w:val="20"/>
          <w:szCs w:val="20"/>
          <w:lang w:val="es-CR"/>
        </w:rPr>
        <w:t xml:space="preserve"> años de emitido el Fallo, la ejecución de la presente medida no ha avanzado (</w:t>
      </w:r>
      <w:r>
        <w:rPr>
          <w:rFonts w:ascii="Verdana" w:hAnsi="Verdana"/>
          <w:i/>
          <w:sz w:val="20"/>
          <w:szCs w:val="20"/>
          <w:lang w:val="es-CR"/>
        </w:rPr>
        <w:t xml:space="preserve">infra </w:t>
      </w:r>
      <w:r>
        <w:rPr>
          <w:rFonts w:ascii="Verdana" w:hAnsi="Verdana"/>
          <w:sz w:val="20"/>
          <w:szCs w:val="20"/>
          <w:lang w:val="es-CR"/>
        </w:rPr>
        <w:t>Considerando</w:t>
      </w:r>
      <w:r w:rsidR="00BA4D1E">
        <w:rPr>
          <w:rFonts w:ascii="Verdana" w:hAnsi="Verdana"/>
          <w:sz w:val="20"/>
          <w:szCs w:val="20"/>
          <w:lang w:val="es-CR"/>
        </w:rPr>
        <w:t>s 34 y 35</w:t>
      </w:r>
      <w:r>
        <w:rPr>
          <w:rFonts w:ascii="Verdana" w:hAnsi="Verdana"/>
          <w:sz w:val="20"/>
          <w:szCs w:val="20"/>
          <w:lang w:val="es-CR"/>
        </w:rPr>
        <w:t>).</w:t>
      </w:r>
    </w:p>
    <w:p w14:paraId="28E50BE8" w14:textId="77777777" w:rsidR="00835CEA" w:rsidRPr="00835CEA" w:rsidRDefault="00835CEA" w:rsidP="00835CEA">
      <w:pPr>
        <w:autoSpaceDE w:val="0"/>
        <w:autoSpaceDN w:val="0"/>
        <w:adjustRightInd w:val="0"/>
        <w:spacing w:after="0" w:line="240" w:lineRule="auto"/>
        <w:jc w:val="both"/>
        <w:rPr>
          <w:rFonts w:ascii="Verdana" w:hAnsi="Verdana"/>
          <w:sz w:val="10"/>
          <w:szCs w:val="10"/>
          <w:lang w:val="es-MX"/>
        </w:rPr>
      </w:pPr>
    </w:p>
    <w:p w14:paraId="76067ED9" w14:textId="77777777" w:rsidR="00835CEA" w:rsidRPr="004D3DA1" w:rsidRDefault="00835CEA"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974E3F">
        <w:rPr>
          <w:rFonts w:ascii="Verdana" w:hAnsi="Verdana"/>
          <w:sz w:val="20"/>
          <w:szCs w:val="20"/>
          <w:lang w:val="es-CR"/>
        </w:rPr>
        <w:t>En este sentido, de los informes presentados por el Estado</w:t>
      </w:r>
      <w:r w:rsidR="00974E3F">
        <w:rPr>
          <w:rFonts w:ascii="Verdana" w:hAnsi="Verdana"/>
          <w:sz w:val="20"/>
          <w:szCs w:val="20"/>
          <w:lang w:val="es-CR"/>
        </w:rPr>
        <w:t xml:space="preserve"> en</w:t>
      </w:r>
      <w:r w:rsidR="00974E3F" w:rsidRPr="00974E3F">
        <w:rPr>
          <w:rFonts w:ascii="Verdana" w:hAnsi="Verdana"/>
          <w:sz w:val="20"/>
          <w:szCs w:val="20"/>
          <w:lang w:val="es-CR"/>
        </w:rPr>
        <w:t xml:space="preserve"> los cuales </w:t>
      </w:r>
      <w:r w:rsidR="00974E3F">
        <w:rPr>
          <w:rFonts w:ascii="Verdana" w:hAnsi="Verdana"/>
          <w:sz w:val="20"/>
          <w:szCs w:val="20"/>
          <w:lang w:val="es-CR"/>
        </w:rPr>
        <w:t>se refiere</w:t>
      </w:r>
      <w:r w:rsidR="00974E3F" w:rsidRPr="00974E3F">
        <w:rPr>
          <w:rFonts w:ascii="Verdana" w:hAnsi="Verdana"/>
          <w:sz w:val="20"/>
          <w:szCs w:val="20"/>
          <w:lang w:val="es-CR"/>
        </w:rPr>
        <w:t xml:space="preserve"> a la medida</w:t>
      </w:r>
      <w:r w:rsidR="00974E3F">
        <w:rPr>
          <w:rFonts w:ascii="Verdana" w:hAnsi="Verdana"/>
          <w:sz w:val="20"/>
          <w:szCs w:val="20"/>
          <w:lang w:val="es-CR"/>
        </w:rPr>
        <w:t xml:space="preserve"> en cuestión</w:t>
      </w:r>
      <w:r w:rsidR="00974E3F" w:rsidRPr="00974E3F">
        <w:rPr>
          <w:rFonts w:ascii="Verdana" w:hAnsi="Verdana"/>
          <w:sz w:val="20"/>
          <w:szCs w:val="20"/>
          <w:lang w:val="es-CR"/>
        </w:rPr>
        <w:t>,</w:t>
      </w:r>
      <w:r w:rsidRPr="00974E3F">
        <w:rPr>
          <w:rFonts w:ascii="Verdana" w:hAnsi="Verdana"/>
          <w:sz w:val="20"/>
          <w:szCs w:val="20"/>
          <w:lang w:val="es-CR"/>
        </w:rPr>
        <w:t xml:space="preserve"> </w:t>
      </w:r>
      <w:r w:rsidR="00974E3F">
        <w:rPr>
          <w:rFonts w:ascii="Verdana" w:hAnsi="Verdana"/>
          <w:sz w:val="20"/>
          <w:szCs w:val="20"/>
          <w:lang w:val="es-CR"/>
        </w:rPr>
        <w:t xml:space="preserve">presentados </w:t>
      </w:r>
      <w:r w:rsidRPr="00974E3F">
        <w:rPr>
          <w:rFonts w:ascii="Verdana" w:hAnsi="Verdana"/>
          <w:sz w:val="20"/>
          <w:szCs w:val="20"/>
          <w:lang w:val="es-CR"/>
        </w:rPr>
        <w:t xml:space="preserve">entre enero de 2015 y </w:t>
      </w:r>
      <w:r w:rsidR="00CC21D9">
        <w:rPr>
          <w:rFonts w:ascii="Verdana" w:hAnsi="Verdana"/>
          <w:sz w:val="20"/>
          <w:szCs w:val="20"/>
          <w:lang w:val="es-CR"/>
        </w:rPr>
        <w:t>octubre de 2019</w:t>
      </w:r>
      <w:r w:rsidR="00974E3F">
        <w:rPr>
          <w:rFonts w:ascii="Verdana" w:hAnsi="Verdana"/>
          <w:sz w:val="20"/>
          <w:szCs w:val="20"/>
          <w:lang w:val="es-CR"/>
        </w:rPr>
        <w:t xml:space="preserve">, se desprende </w:t>
      </w:r>
      <w:r w:rsidR="00974E3F" w:rsidRPr="00974E3F">
        <w:rPr>
          <w:rFonts w:ascii="Verdana" w:hAnsi="Verdana"/>
          <w:sz w:val="20"/>
          <w:szCs w:val="20"/>
          <w:lang w:val="es-CR"/>
        </w:rPr>
        <w:t xml:space="preserve">que </w:t>
      </w:r>
      <w:r w:rsidR="00974E3F" w:rsidRPr="00974E3F">
        <w:rPr>
          <w:rFonts w:ascii="Verdana" w:hAnsi="Verdana"/>
          <w:sz w:val="20"/>
          <w:szCs w:val="20"/>
          <w:lang w:val="es-CO"/>
        </w:rPr>
        <w:t xml:space="preserve">el Perú no ha efectuado ninguna acción </w:t>
      </w:r>
      <w:r w:rsidR="003A40AF">
        <w:rPr>
          <w:rFonts w:ascii="Verdana" w:hAnsi="Verdana"/>
          <w:sz w:val="20"/>
          <w:szCs w:val="20"/>
          <w:lang w:val="es-CO"/>
        </w:rPr>
        <w:t xml:space="preserve">concreta </w:t>
      </w:r>
      <w:r w:rsidR="00974E3F" w:rsidRPr="00974E3F">
        <w:rPr>
          <w:rFonts w:ascii="Verdana" w:hAnsi="Verdana"/>
          <w:sz w:val="20"/>
          <w:szCs w:val="20"/>
          <w:lang w:val="es-CO"/>
        </w:rPr>
        <w:t xml:space="preserve">para dar cumplimiento al </w:t>
      </w:r>
      <w:r w:rsidR="00974E3F" w:rsidRPr="00974E3F">
        <w:rPr>
          <w:rFonts w:ascii="Verdana" w:hAnsi="Verdana"/>
          <w:sz w:val="20"/>
          <w:szCs w:val="20"/>
          <w:lang w:val="es-CR"/>
        </w:rPr>
        <w:t xml:space="preserve">otorgamiento de las becas a favor de las referidas víctimas. </w:t>
      </w:r>
      <w:r w:rsidR="00A32D1C">
        <w:rPr>
          <w:rFonts w:ascii="Verdana" w:hAnsi="Verdana"/>
          <w:sz w:val="20"/>
          <w:szCs w:val="20"/>
          <w:lang w:val="es-CR"/>
        </w:rPr>
        <w:t>E</w:t>
      </w:r>
      <w:r w:rsidR="006C2CB2">
        <w:rPr>
          <w:rFonts w:ascii="Verdana" w:hAnsi="Verdana"/>
          <w:sz w:val="20"/>
          <w:szCs w:val="20"/>
          <w:lang w:val="es-CR"/>
        </w:rPr>
        <w:t>n agosto de 20</w:t>
      </w:r>
      <w:r w:rsidR="00605885">
        <w:rPr>
          <w:rFonts w:ascii="Verdana" w:hAnsi="Verdana"/>
          <w:sz w:val="20"/>
          <w:szCs w:val="20"/>
          <w:lang w:val="es-CR"/>
        </w:rPr>
        <w:t>1</w:t>
      </w:r>
      <w:r w:rsidR="006C2CB2">
        <w:rPr>
          <w:rFonts w:ascii="Verdana" w:hAnsi="Verdana"/>
          <w:sz w:val="20"/>
          <w:szCs w:val="20"/>
          <w:lang w:val="es-CR"/>
        </w:rPr>
        <w:t>6</w:t>
      </w:r>
      <w:r w:rsidR="0078220C">
        <w:rPr>
          <w:rFonts w:ascii="Verdana" w:hAnsi="Verdana"/>
          <w:sz w:val="20"/>
          <w:szCs w:val="20"/>
          <w:lang w:val="es-CR"/>
        </w:rPr>
        <w:t>,</w:t>
      </w:r>
      <w:r w:rsidR="006C2CB2">
        <w:rPr>
          <w:rFonts w:ascii="Verdana" w:hAnsi="Verdana"/>
          <w:sz w:val="20"/>
          <w:szCs w:val="20"/>
          <w:lang w:val="es-CR"/>
        </w:rPr>
        <w:t xml:space="preserve"> </w:t>
      </w:r>
      <w:r w:rsidR="00A32D1C">
        <w:rPr>
          <w:rFonts w:ascii="Verdana" w:hAnsi="Verdana"/>
          <w:sz w:val="20"/>
          <w:szCs w:val="20"/>
          <w:lang w:val="es-CR"/>
        </w:rPr>
        <w:t xml:space="preserve">el Perú señaló </w:t>
      </w:r>
      <w:r w:rsidR="006C2CB2">
        <w:rPr>
          <w:rFonts w:ascii="Verdana" w:hAnsi="Verdana"/>
          <w:sz w:val="20"/>
          <w:szCs w:val="20"/>
          <w:lang w:val="es-CR"/>
        </w:rPr>
        <w:t xml:space="preserve">que las víctimas beneficiarias de la presente medida podrían recibir dicha reparación “en el marco de la Ley 28592 […] que crea el Programa Integral de Reparaciones”, </w:t>
      </w:r>
      <w:r w:rsidR="00A32D1C">
        <w:rPr>
          <w:rFonts w:ascii="Verdana" w:hAnsi="Verdana"/>
          <w:sz w:val="20"/>
          <w:szCs w:val="20"/>
          <w:lang w:val="es-CR"/>
        </w:rPr>
        <w:t xml:space="preserve">en tanto </w:t>
      </w:r>
      <w:r w:rsidR="006C2CB2">
        <w:rPr>
          <w:rFonts w:ascii="Verdana" w:hAnsi="Verdana"/>
          <w:sz w:val="20"/>
          <w:szCs w:val="20"/>
          <w:lang w:val="es-CR"/>
        </w:rPr>
        <w:t>dicho programa “cuenta con [… diversas] modalidades”</w:t>
      </w:r>
      <w:r w:rsidR="006C2CB2">
        <w:rPr>
          <w:rStyle w:val="Refdenotaalpie"/>
          <w:rFonts w:ascii="Verdana" w:hAnsi="Verdana"/>
          <w:sz w:val="20"/>
          <w:szCs w:val="20"/>
          <w:lang w:val="es-CR"/>
        </w:rPr>
        <w:footnoteReference w:id="63"/>
      </w:r>
      <w:r w:rsidR="006C2CB2">
        <w:rPr>
          <w:rFonts w:ascii="Verdana" w:hAnsi="Verdana"/>
          <w:sz w:val="20"/>
          <w:szCs w:val="20"/>
          <w:lang w:val="es-CR"/>
        </w:rPr>
        <w:t xml:space="preserve"> </w:t>
      </w:r>
      <w:r w:rsidR="00A32D1C">
        <w:rPr>
          <w:rFonts w:ascii="Verdana" w:hAnsi="Verdana"/>
          <w:sz w:val="20"/>
          <w:szCs w:val="20"/>
          <w:lang w:val="es-CR"/>
        </w:rPr>
        <w:t xml:space="preserve">para </w:t>
      </w:r>
      <w:r w:rsidR="004D3DA1">
        <w:rPr>
          <w:rFonts w:ascii="Verdana" w:hAnsi="Verdana"/>
          <w:sz w:val="20"/>
          <w:szCs w:val="20"/>
          <w:lang w:val="es-CR"/>
        </w:rPr>
        <w:t>beneficios en materia de educación. Además</w:t>
      </w:r>
      <w:r w:rsidR="00DC5E5B">
        <w:rPr>
          <w:rFonts w:ascii="Verdana" w:hAnsi="Verdana"/>
          <w:sz w:val="20"/>
          <w:szCs w:val="20"/>
          <w:lang w:val="es-CR"/>
        </w:rPr>
        <w:t>,</w:t>
      </w:r>
      <w:r w:rsidR="004D3DA1">
        <w:rPr>
          <w:rFonts w:ascii="Verdana" w:hAnsi="Verdana"/>
          <w:sz w:val="20"/>
          <w:szCs w:val="20"/>
          <w:lang w:val="es-CR"/>
        </w:rPr>
        <w:t xml:space="preserve"> enfatizó q</w:t>
      </w:r>
      <w:r w:rsidR="006C2CB2">
        <w:rPr>
          <w:rFonts w:ascii="Verdana" w:hAnsi="Verdana"/>
          <w:sz w:val="20"/>
          <w:szCs w:val="20"/>
          <w:lang w:val="es-CR"/>
        </w:rPr>
        <w:t>ue</w:t>
      </w:r>
      <w:r w:rsidR="0078220C">
        <w:rPr>
          <w:rFonts w:ascii="Verdana" w:hAnsi="Verdana"/>
          <w:sz w:val="20"/>
          <w:szCs w:val="20"/>
          <w:lang w:val="es-CR"/>
        </w:rPr>
        <w:t>,</w:t>
      </w:r>
      <w:r w:rsidR="006C2CB2">
        <w:rPr>
          <w:rFonts w:ascii="Verdana" w:hAnsi="Verdana"/>
          <w:sz w:val="20"/>
          <w:szCs w:val="20"/>
          <w:lang w:val="es-CR"/>
        </w:rPr>
        <w:t xml:space="preserve"> después de modificaciones normativas a la referida Ley, se puede “autoriza[r] al titular del derecho de reparaciones en educación, inscrito en el Registro Único de Víctimas, a transferir ese derecho, por única vez y solo a un familiar en línea recta descendiente hasta el segundo grado de consanguinidad”.</w:t>
      </w:r>
      <w:r w:rsidR="004D3DA1">
        <w:rPr>
          <w:rFonts w:ascii="Verdana" w:hAnsi="Verdana"/>
          <w:sz w:val="20"/>
          <w:szCs w:val="20"/>
          <w:lang w:val="es-CR"/>
        </w:rPr>
        <w:t xml:space="preserve"> Si bien la Corte valora positivamente la posibilidad de ofrecer a las víctimas recibir la reparación ordenada a través del referido programa</w:t>
      </w:r>
      <w:r w:rsidR="00A7085E">
        <w:rPr>
          <w:rFonts w:ascii="Verdana" w:hAnsi="Verdana"/>
          <w:sz w:val="20"/>
          <w:szCs w:val="20"/>
          <w:lang w:val="es-CR"/>
        </w:rPr>
        <w:t>, en caso de que éste cumpla con los estándares establecidos en la Sentencia</w:t>
      </w:r>
      <w:r w:rsidR="004D3DA1">
        <w:rPr>
          <w:rFonts w:ascii="Verdana" w:hAnsi="Verdana"/>
          <w:sz w:val="20"/>
          <w:szCs w:val="20"/>
          <w:lang w:val="es-CR"/>
        </w:rPr>
        <w:t>, el Estado no informó haber realizado gestión alguna para ponerse en contacto con las víctimas o sus representantes y brindarles la referida información</w:t>
      </w:r>
      <w:r w:rsidR="007E66F8">
        <w:rPr>
          <w:rStyle w:val="Refdenotaalpie"/>
          <w:rFonts w:ascii="Verdana" w:hAnsi="Verdana"/>
          <w:sz w:val="20"/>
          <w:szCs w:val="20"/>
          <w:lang w:val="es-CR"/>
        </w:rPr>
        <w:footnoteReference w:id="64"/>
      </w:r>
      <w:r w:rsidR="004D3DA1">
        <w:rPr>
          <w:rFonts w:ascii="Verdana" w:hAnsi="Verdana"/>
          <w:sz w:val="20"/>
          <w:szCs w:val="20"/>
          <w:lang w:val="es-CR"/>
        </w:rPr>
        <w:t>.</w:t>
      </w:r>
      <w:r w:rsidR="00A7085E">
        <w:rPr>
          <w:rFonts w:ascii="Verdana" w:hAnsi="Verdana"/>
          <w:sz w:val="20"/>
          <w:szCs w:val="20"/>
          <w:lang w:val="es-CR"/>
        </w:rPr>
        <w:t xml:space="preserve"> Este Tribunal incluso observa que</w:t>
      </w:r>
      <w:r w:rsidR="0078220C">
        <w:rPr>
          <w:rFonts w:ascii="Verdana" w:hAnsi="Verdana"/>
          <w:sz w:val="20"/>
          <w:szCs w:val="20"/>
          <w:lang w:val="es-CR"/>
        </w:rPr>
        <w:t>,</w:t>
      </w:r>
      <w:r w:rsidR="00A7085E">
        <w:rPr>
          <w:rFonts w:ascii="Verdana" w:hAnsi="Verdana"/>
          <w:sz w:val="20"/>
          <w:szCs w:val="20"/>
          <w:lang w:val="es-CR"/>
        </w:rPr>
        <w:t xml:space="preserve"> pese a la evidente y lamentable inacción del Perú en la ejecución de esta medida, el Estado solicitó en febrero de 2018 tener “por cerrad[a]” la presente medida por no contar con información de las víctimas</w:t>
      </w:r>
      <w:r w:rsidR="00A7085E">
        <w:rPr>
          <w:rStyle w:val="Refdenotaalpie"/>
          <w:rFonts w:ascii="Verdana" w:hAnsi="Verdana"/>
          <w:sz w:val="20"/>
          <w:szCs w:val="20"/>
          <w:lang w:val="es-CR"/>
        </w:rPr>
        <w:footnoteReference w:id="65"/>
      </w:r>
      <w:r w:rsidR="00A7085E">
        <w:rPr>
          <w:rFonts w:ascii="Verdana" w:hAnsi="Verdana"/>
          <w:sz w:val="20"/>
          <w:szCs w:val="20"/>
          <w:lang w:val="es-CR"/>
        </w:rPr>
        <w:t xml:space="preserve">. </w:t>
      </w:r>
      <w:r w:rsidR="009439FD" w:rsidRPr="00F23FB0">
        <w:rPr>
          <w:rFonts w:ascii="Verdana" w:hAnsi="Verdana"/>
          <w:sz w:val="20"/>
          <w:szCs w:val="20"/>
          <w:lang w:val="es-CR"/>
        </w:rPr>
        <w:t>E</w:t>
      </w:r>
      <w:r w:rsidR="00B45835" w:rsidRPr="00F23FB0">
        <w:rPr>
          <w:rFonts w:ascii="Verdana" w:hAnsi="Verdana"/>
          <w:sz w:val="20"/>
          <w:szCs w:val="20"/>
          <w:lang w:val="es-CR"/>
        </w:rPr>
        <w:t>n octubre de 2019, el Perú señaló que habría realizado diversas consultas a autoridades estatales solicitando información sobre el cumplimiento de la medida</w:t>
      </w:r>
      <w:r w:rsidR="00C62FFB" w:rsidRPr="00F23FB0">
        <w:rPr>
          <w:rFonts w:ascii="Verdana" w:hAnsi="Verdana"/>
          <w:sz w:val="20"/>
          <w:szCs w:val="20"/>
          <w:lang w:val="es-CR"/>
        </w:rPr>
        <w:t xml:space="preserve">, sin detallar </w:t>
      </w:r>
      <w:r w:rsidR="009439FD" w:rsidRPr="00F23FB0">
        <w:rPr>
          <w:rFonts w:ascii="Verdana" w:hAnsi="Verdana"/>
          <w:sz w:val="20"/>
          <w:szCs w:val="20"/>
          <w:lang w:val="es-CR"/>
        </w:rPr>
        <w:t xml:space="preserve">otras </w:t>
      </w:r>
      <w:r w:rsidR="00C62FFB" w:rsidRPr="00F23FB0">
        <w:rPr>
          <w:rFonts w:ascii="Verdana" w:hAnsi="Verdana"/>
          <w:sz w:val="20"/>
          <w:szCs w:val="20"/>
          <w:lang w:val="es-CR"/>
        </w:rPr>
        <w:t xml:space="preserve">medidas </w:t>
      </w:r>
      <w:r w:rsidR="009439FD" w:rsidRPr="00F23FB0">
        <w:rPr>
          <w:rFonts w:ascii="Verdana" w:hAnsi="Verdana"/>
          <w:sz w:val="20"/>
          <w:szCs w:val="20"/>
          <w:lang w:val="es-CR"/>
        </w:rPr>
        <w:t>ulteriores</w:t>
      </w:r>
      <w:r w:rsidR="00B45835" w:rsidRPr="00F23FB0">
        <w:rPr>
          <w:rStyle w:val="Refdenotaalpie"/>
          <w:rFonts w:ascii="Verdana" w:hAnsi="Verdana"/>
          <w:sz w:val="20"/>
          <w:szCs w:val="20"/>
          <w:lang w:val="es-CR"/>
        </w:rPr>
        <w:footnoteReference w:id="66"/>
      </w:r>
      <w:r w:rsidR="00B45835">
        <w:rPr>
          <w:rFonts w:ascii="Verdana" w:hAnsi="Verdana"/>
          <w:sz w:val="20"/>
          <w:szCs w:val="20"/>
          <w:lang w:val="es-CR"/>
        </w:rPr>
        <w:t>.</w:t>
      </w:r>
    </w:p>
    <w:p w14:paraId="723D342E" w14:textId="77777777" w:rsidR="004D3DA1" w:rsidRPr="007E66F8" w:rsidRDefault="004D3DA1" w:rsidP="004D3DA1">
      <w:pPr>
        <w:autoSpaceDE w:val="0"/>
        <w:autoSpaceDN w:val="0"/>
        <w:adjustRightInd w:val="0"/>
        <w:spacing w:after="0" w:line="240" w:lineRule="auto"/>
        <w:jc w:val="both"/>
        <w:rPr>
          <w:rFonts w:ascii="Verdana" w:hAnsi="Verdana"/>
          <w:sz w:val="10"/>
          <w:szCs w:val="10"/>
          <w:lang w:val="es-MX"/>
        </w:rPr>
      </w:pPr>
    </w:p>
    <w:p w14:paraId="3107B189" w14:textId="77777777" w:rsidR="0080145B" w:rsidRDefault="004D3DA1"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Pr>
          <w:rFonts w:ascii="Verdana" w:hAnsi="Verdana"/>
          <w:sz w:val="20"/>
          <w:szCs w:val="20"/>
          <w:lang w:val="es-MX"/>
        </w:rPr>
        <w:t>No obstante lo anterior, los representantes de las víctimas señalaron en septiembre de 2018 que “mediante carta de 06 de abril de 2018, -y ya habiendo recabado los documentos necesarios para sustentar el entroncamiento familiar de los hijos a quienes se decidió transferir la reparación- [dicha] representación comunicó al Ministerio de Justicia y Derechos Humanos la intención de los familiares de recibir o transferir dicha reparación a sus descendientes, indicando detalladamente los casos según la decisión de cada beneficiario”</w:t>
      </w:r>
      <w:r>
        <w:rPr>
          <w:rStyle w:val="Refdenotaalpie"/>
          <w:rFonts w:ascii="Verdana" w:hAnsi="Verdana"/>
          <w:sz w:val="20"/>
          <w:szCs w:val="20"/>
          <w:lang w:val="es-MX"/>
        </w:rPr>
        <w:footnoteReference w:id="67"/>
      </w:r>
      <w:r>
        <w:rPr>
          <w:rFonts w:ascii="Verdana" w:hAnsi="Verdana"/>
          <w:sz w:val="20"/>
          <w:szCs w:val="20"/>
          <w:lang w:val="es-MX"/>
        </w:rPr>
        <w:t>.</w:t>
      </w:r>
      <w:r w:rsidR="00725889">
        <w:rPr>
          <w:rFonts w:ascii="Verdana" w:hAnsi="Verdana"/>
          <w:sz w:val="20"/>
          <w:szCs w:val="20"/>
          <w:lang w:val="es-MX"/>
        </w:rPr>
        <w:t xml:space="preserve"> </w:t>
      </w:r>
      <w:r w:rsidR="00185401">
        <w:rPr>
          <w:rFonts w:ascii="Verdana" w:hAnsi="Verdana"/>
          <w:sz w:val="20"/>
          <w:szCs w:val="20"/>
          <w:lang w:val="es-MX"/>
        </w:rPr>
        <w:t>Además, en</w:t>
      </w:r>
      <w:r w:rsidR="00725889">
        <w:rPr>
          <w:rFonts w:ascii="Verdana" w:hAnsi="Verdana"/>
          <w:sz w:val="20"/>
          <w:szCs w:val="20"/>
          <w:lang w:val="es-MX"/>
        </w:rPr>
        <w:t xml:space="preserve"> dicha carta los representantes “solicita[ron] una reunión con el fin de que se brinde información a Jersy Heremías Osorio Gaitán […] sobre las modalidades y facilidades para acceder a la Beca REPARED a nivel universitario”, debido a que a la referida víctima “al averiguar sobre [la referida beca] le informaron que no podría tener ac</w:t>
      </w:r>
      <w:r w:rsidR="00773EF7">
        <w:rPr>
          <w:rFonts w:ascii="Verdana" w:hAnsi="Verdana"/>
          <w:sz w:val="20"/>
          <w:szCs w:val="20"/>
          <w:lang w:val="es-MX"/>
        </w:rPr>
        <w:t>c</w:t>
      </w:r>
      <w:r w:rsidR="00725889">
        <w:rPr>
          <w:rFonts w:ascii="Verdana" w:hAnsi="Verdana"/>
          <w:sz w:val="20"/>
          <w:szCs w:val="20"/>
          <w:lang w:val="es-MX"/>
        </w:rPr>
        <w:t>eso a la</w:t>
      </w:r>
      <w:r w:rsidR="00773EF7">
        <w:rPr>
          <w:rFonts w:ascii="Verdana" w:hAnsi="Verdana"/>
          <w:sz w:val="20"/>
          <w:szCs w:val="20"/>
          <w:lang w:val="es-MX"/>
        </w:rPr>
        <w:t xml:space="preserve"> </w:t>
      </w:r>
      <w:r w:rsidR="00725889">
        <w:rPr>
          <w:rFonts w:ascii="Verdana" w:hAnsi="Verdana"/>
          <w:sz w:val="20"/>
          <w:szCs w:val="20"/>
          <w:lang w:val="es-MX"/>
        </w:rPr>
        <w:t>misma debido al promedio de sus notas escolares, […] sin considerar la naturaleza de la reparación que deviene de una sentencia de la Corte Interamericana […]”</w:t>
      </w:r>
      <w:r w:rsidR="00725889">
        <w:rPr>
          <w:rStyle w:val="Refdenotaalpie"/>
          <w:rFonts w:ascii="Verdana" w:hAnsi="Verdana"/>
          <w:sz w:val="20"/>
          <w:szCs w:val="20"/>
          <w:lang w:val="es-MX"/>
        </w:rPr>
        <w:footnoteReference w:id="68"/>
      </w:r>
      <w:r w:rsidR="00725889">
        <w:rPr>
          <w:rFonts w:ascii="Verdana" w:hAnsi="Verdana"/>
          <w:sz w:val="20"/>
          <w:szCs w:val="20"/>
          <w:lang w:val="es-MX"/>
        </w:rPr>
        <w:t xml:space="preserve">. </w:t>
      </w:r>
      <w:r w:rsidR="00A7085E">
        <w:rPr>
          <w:rFonts w:ascii="Verdana" w:hAnsi="Verdana"/>
          <w:sz w:val="20"/>
          <w:szCs w:val="20"/>
          <w:lang w:val="es-MX"/>
        </w:rPr>
        <w:t xml:space="preserve">En </w:t>
      </w:r>
      <w:r w:rsidR="005977CB">
        <w:rPr>
          <w:rFonts w:ascii="Verdana" w:hAnsi="Verdana"/>
          <w:sz w:val="20"/>
          <w:szCs w:val="20"/>
          <w:lang w:val="es-MX"/>
        </w:rPr>
        <w:t>mayo de 2019, los representantes indicaron a este Tribunal que “</w:t>
      </w:r>
      <w:proofErr w:type="gramStart"/>
      <w:r w:rsidR="005977CB">
        <w:rPr>
          <w:rFonts w:ascii="Verdana" w:hAnsi="Verdana"/>
          <w:sz w:val="20"/>
          <w:szCs w:val="20"/>
          <w:lang w:val="es-MX"/>
        </w:rPr>
        <w:t>continua[</w:t>
      </w:r>
      <w:proofErr w:type="gramEnd"/>
      <w:r w:rsidR="005977CB">
        <w:rPr>
          <w:rFonts w:ascii="Verdana" w:hAnsi="Verdana"/>
          <w:sz w:val="20"/>
          <w:szCs w:val="20"/>
          <w:lang w:val="es-MX"/>
        </w:rPr>
        <w:t xml:space="preserve">ban] sin haber recibido respuesta alguna por parte del Estado respecto a [la referida] solicitud” formulada </w:t>
      </w:r>
      <w:r w:rsidR="005977CB">
        <w:rPr>
          <w:rFonts w:ascii="Verdana" w:hAnsi="Verdana"/>
          <w:sz w:val="20"/>
          <w:szCs w:val="20"/>
          <w:lang w:val="es-MX"/>
        </w:rPr>
        <w:lastRenderedPageBreak/>
        <w:t>en abril de 2018.</w:t>
      </w:r>
      <w:r w:rsidR="00077399">
        <w:rPr>
          <w:rFonts w:ascii="Verdana" w:hAnsi="Verdana"/>
          <w:sz w:val="20"/>
          <w:szCs w:val="20"/>
          <w:lang w:val="es-MX"/>
        </w:rPr>
        <w:t xml:space="preserve"> Asimismo, los representantes hicieron notar que “los requisitos del […] sistema de postulaciones </w:t>
      </w:r>
      <w:r w:rsidR="002712ED">
        <w:rPr>
          <w:rFonts w:ascii="Verdana" w:hAnsi="Verdana"/>
          <w:sz w:val="20"/>
          <w:szCs w:val="20"/>
          <w:lang w:val="es-MX"/>
        </w:rPr>
        <w:t>[</w:t>
      </w:r>
      <w:r w:rsidR="00077399">
        <w:rPr>
          <w:rFonts w:ascii="Verdana" w:hAnsi="Verdana"/>
          <w:sz w:val="20"/>
          <w:szCs w:val="20"/>
          <w:lang w:val="es-MX"/>
        </w:rPr>
        <w:t>requeridos por el Programa Nacional de Becas y Créd</w:t>
      </w:r>
      <w:r w:rsidR="002712ED">
        <w:rPr>
          <w:rFonts w:ascii="Verdana" w:hAnsi="Verdana"/>
          <w:sz w:val="20"/>
          <w:szCs w:val="20"/>
          <w:lang w:val="es-MX"/>
        </w:rPr>
        <w:t>itos Educativos (PRONABEC)]</w:t>
      </w:r>
      <w:r w:rsidR="00077399">
        <w:rPr>
          <w:rFonts w:ascii="Verdana" w:hAnsi="Verdana"/>
          <w:sz w:val="20"/>
          <w:szCs w:val="20"/>
          <w:lang w:val="es-MX"/>
        </w:rPr>
        <w:t xml:space="preserve"> no tienen en cuenta la condición especial de las víctimas de graves violaciones de derechos humanos, ni el hecho de que se trata de personas beneficiarias de una sentencia de la </w:t>
      </w:r>
      <w:proofErr w:type="gramStart"/>
      <w:r w:rsidR="00077399">
        <w:rPr>
          <w:rFonts w:ascii="Verdana" w:hAnsi="Verdana"/>
          <w:sz w:val="20"/>
          <w:szCs w:val="20"/>
          <w:lang w:val="es-MX"/>
        </w:rPr>
        <w:t>Corte[</w:t>
      </w:r>
      <w:proofErr w:type="gramEnd"/>
      <w:r w:rsidR="00077399">
        <w:rPr>
          <w:rFonts w:ascii="Verdana" w:hAnsi="Verdana"/>
          <w:sz w:val="20"/>
          <w:szCs w:val="20"/>
          <w:lang w:val="es-MX"/>
        </w:rPr>
        <w:t>,] quienes tiene[n] el derecho a ser reparad</w:t>
      </w:r>
      <w:r w:rsidR="00D03F5B">
        <w:rPr>
          <w:rFonts w:ascii="Verdana" w:hAnsi="Verdana"/>
          <w:sz w:val="20"/>
          <w:szCs w:val="20"/>
          <w:lang w:val="es-MX"/>
        </w:rPr>
        <w:t>[a]</w:t>
      </w:r>
      <w:r w:rsidR="00077399">
        <w:rPr>
          <w:rFonts w:ascii="Verdana" w:hAnsi="Verdana"/>
          <w:sz w:val="20"/>
          <w:szCs w:val="20"/>
          <w:lang w:val="es-MX"/>
        </w:rPr>
        <w:t>s integralmente sin que existan requisitos excluyentes”</w:t>
      </w:r>
      <w:r w:rsidR="00077399">
        <w:rPr>
          <w:rStyle w:val="Refdenotaalpie"/>
          <w:rFonts w:ascii="Verdana" w:hAnsi="Verdana"/>
          <w:sz w:val="20"/>
          <w:szCs w:val="20"/>
          <w:lang w:val="es-MX"/>
        </w:rPr>
        <w:footnoteReference w:id="69"/>
      </w:r>
      <w:r w:rsidR="00077399">
        <w:rPr>
          <w:rFonts w:ascii="Verdana" w:hAnsi="Verdana"/>
          <w:sz w:val="20"/>
          <w:szCs w:val="20"/>
          <w:lang w:val="es-MX"/>
        </w:rPr>
        <w:t>.</w:t>
      </w:r>
    </w:p>
    <w:p w14:paraId="0F32B31C" w14:textId="77777777" w:rsidR="0080145B" w:rsidRPr="007E66F8" w:rsidRDefault="0080145B" w:rsidP="0080145B">
      <w:pPr>
        <w:autoSpaceDE w:val="0"/>
        <w:autoSpaceDN w:val="0"/>
        <w:adjustRightInd w:val="0"/>
        <w:spacing w:after="0" w:line="240" w:lineRule="auto"/>
        <w:jc w:val="both"/>
        <w:rPr>
          <w:rFonts w:ascii="Verdana" w:hAnsi="Verdana"/>
          <w:sz w:val="10"/>
          <w:szCs w:val="10"/>
          <w:lang w:val="es-MX"/>
        </w:rPr>
      </w:pPr>
    </w:p>
    <w:p w14:paraId="270DE096" w14:textId="77777777" w:rsidR="0080145B" w:rsidRPr="0080145B" w:rsidRDefault="00DF5E63"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80145B">
        <w:rPr>
          <w:rFonts w:ascii="Verdana" w:hAnsi="Verdana"/>
          <w:sz w:val="20"/>
          <w:szCs w:val="20"/>
          <w:lang w:val="es-MX"/>
        </w:rPr>
        <w:t xml:space="preserve">Considerando lo anterior, </w:t>
      </w:r>
      <w:r w:rsidR="003A7F60" w:rsidRPr="0080145B">
        <w:rPr>
          <w:rFonts w:ascii="Verdana" w:hAnsi="Verdana"/>
          <w:sz w:val="20"/>
          <w:szCs w:val="20"/>
          <w:lang w:val="es-MX"/>
        </w:rPr>
        <w:t xml:space="preserve">este Tribunal </w:t>
      </w:r>
      <w:r w:rsidR="00467445">
        <w:rPr>
          <w:rFonts w:ascii="Verdana" w:hAnsi="Verdana"/>
          <w:sz w:val="20"/>
          <w:szCs w:val="20"/>
          <w:lang w:val="es-MX"/>
        </w:rPr>
        <w:t>nota</w:t>
      </w:r>
      <w:r w:rsidR="003A7F60" w:rsidRPr="0080145B">
        <w:rPr>
          <w:rFonts w:ascii="Verdana" w:hAnsi="Verdana"/>
          <w:sz w:val="20"/>
          <w:szCs w:val="20"/>
          <w:lang w:val="es-MX"/>
        </w:rPr>
        <w:t xml:space="preserve"> que </w:t>
      </w:r>
      <w:r w:rsidR="006C2CB2" w:rsidRPr="0080145B">
        <w:rPr>
          <w:rFonts w:ascii="Verdana" w:hAnsi="Verdana"/>
          <w:sz w:val="20"/>
          <w:szCs w:val="20"/>
          <w:lang w:val="es-MX"/>
        </w:rPr>
        <w:t>el Estado ha</w:t>
      </w:r>
      <w:r w:rsidR="003A7F60" w:rsidRPr="0080145B">
        <w:rPr>
          <w:rFonts w:ascii="Verdana" w:hAnsi="Verdana"/>
          <w:sz w:val="20"/>
          <w:szCs w:val="20"/>
          <w:lang w:val="es-MX"/>
        </w:rPr>
        <w:t>ya</w:t>
      </w:r>
      <w:r w:rsidR="006C2CB2" w:rsidRPr="0080145B">
        <w:rPr>
          <w:rFonts w:ascii="Verdana" w:hAnsi="Verdana"/>
          <w:sz w:val="20"/>
          <w:szCs w:val="20"/>
          <w:lang w:val="es-MX"/>
        </w:rPr>
        <w:t xml:space="preserve"> trasladado la responsabilidad del incumplimiento </w:t>
      </w:r>
      <w:r w:rsidR="003A7F60" w:rsidRPr="0080145B">
        <w:rPr>
          <w:rFonts w:ascii="Verdana" w:hAnsi="Verdana"/>
          <w:sz w:val="20"/>
          <w:szCs w:val="20"/>
          <w:lang w:val="es-MX"/>
        </w:rPr>
        <w:t xml:space="preserve">de la presente medida </w:t>
      </w:r>
      <w:r w:rsidR="006C2CB2" w:rsidRPr="0080145B">
        <w:rPr>
          <w:rFonts w:ascii="Verdana" w:hAnsi="Verdana"/>
          <w:sz w:val="20"/>
          <w:szCs w:val="20"/>
          <w:lang w:val="es-MX"/>
        </w:rPr>
        <w:t>a las víctimas y su</w:t>
      </w:r>
      <w:r w:rsidR="001064CC">
        <w:rPr>
          <w:rFonts w:ascii="Verdana" w:hAnsi="Verdana"/>
          <w:sz w:val="20"/>
          <w:szCs w:val="20"/>
          <w:lang w:val="es-MX"/>
        </w:rPr>
        <w:t>s</w:t>
      </w:r>
      <w:r w:rsidR="006C2CB2" w:rsidRPr="0080145B">
        <w:rPr>
          <w:rFonts w:ascii="Verdana" w:hAnsi="Verdana"/>
          <w:sz w:val="20"/>
          <w:szCs w:val="20"/>
          <w:lang w:val="es-MX"/>
        </w:rPr>
        <w:t xml:space="preserve"> representante</w:t>
      </w:r>
      <w:r w:rsidR="001064CC">
        <w:rPr>
          <w:rFonts w:ascii="Verdana" w:hAnsi="Verdana"/>
          <w:sz w:val="20"/>
          <w:szCs w:val="20"/>
          <w:lang w:val="es-MX"/>
        </w:rPr>
        <w:t>s</w:t>
      </w:r>
      <w:r w:rsidR="006C2CB2" w:rsidRPr="0080145B">
        <w:rPr>
          <w:rFonts w:ascii="Verdana" w:hAnsi="Verdana"/>
          <w:sz w:val="20"/>
          <w:szCs w:val="20"/>
          <w:lang w:val="es-MX"/>
        </w:rPr>
        <w:t>, con el agravante de que aun cuando éstos le presenta</w:t>
      </w:r>
      <w:r w:rsidR="00F33A6A">
        <w:rPr>
          <w:rFonts w:ascii="Verdana" w:hAnsi="Verdana"/>
          <w:sz w:val="20"/>
          <w:szCs w:val="20"/>
          <w:lang w:val="es-MX"/>
        </w:rPr>
        <w:t>ro</w:t>
      </w:r>
      <w:r w:rsidR="006C2CB2" w:rsidRPr="0080145B">
        <w:rPr>
          <w:rFonts w:ascii="Verdana" w:hAnsi="Verdana"/>
          <w:sz w:val="20"/>
          <w:szCs w:val="20"/>
          <w:lang w:val="es-MX"/>
        </w:rPr>
        <w:t>n la información necesaria para que el Perú tome las acciones requeridas pa</w:t>
      </w:r>
      <w:r w:rsidR="003A7F60" w:rsidRPr="0080145B">
        <w:rPr>
          <w:rFonts w:ascii="Verdana" w:hAnsi="Verdana"/>
          <w:sz w:val="20"/>
          <w:szCs w:val="20"/>
          <w:lang w:val="es-MX"/>
        </w:rPr>
        <w:t>ra otorgar las becas en cuestión</w:t>
      </w:r>
      <w:r w:rsidR="006C2CB2" w:rsidRPr="0080145B">
        <w:rPr>
          <w:rFonts w:ascii="Verdana" w:hAnsi="Verdana"/>
          <w:sz w:val="20"/>
          <w:szCs w:val="20"/>
          <w:lang w:val="es-MX"/>
        </w:rPr>
        <w:t xml:space="preserve">, el Estado no ha actuado con prontitud y diligencia para dar </w:t>
      </w:r>
      <w:r w:rsidR="003A7F60" w:rsidRPr="0080145B">
        <w:rPr>
          <w:rFonts w:ascii="Verdana" w:hAnsi="Verdana"/>
          <w:sz w:val="20"/>
          <w:szCs w:val="20"/>
          <w:lang w:val="es-MX"/>
        </w:rPr>
        <w:t>ejecución</w:t>
      </w:r>
      <w:r w:rsidR="006C2CB2" w:rsidRPr="0080145B">
        <w:rPr>
          <w:rFonts w:ascii="Verdana" w:hAnsi="Verdana"/>
          <w:sz w:val="20"/>
          <w:szCs w:val="20"/>
          <w:lang w:val="es-MX"/>
        </w:rPr>
        <w:t xml:space="preserve"> a la presente reparación.</w:t>
      </w:r>
      <w:r w:rsidR="0080145B" w:rsidRPr="0080145B">
        <w:rPr>
          <w:rFonts w:ascii="Verdana" w:hAnsi="Verdana"/>
          <w:sz w:val="20"/>
          <w:szCs w:val="20"/>
          <w:lang w:val="es-MX"/>
        </w:rPr>
        <w:t xml:space="preserve"> En este sentido, la Corte recuerda que el cumplimiento de la presente obligación corresponde al Perú, el cual debe realizar todas las gestiones que se encuentren a su alcance para reparar a las víctimas en los términos ordenados en la Sentencia. Por tanto, el Tribunal requiere al Estado q</w:t>
      </w:r>
      <w:r w:rsidR="003D2BFC">
        <w:rPr>
          <w:rFonts w:ascii="Verdana" w:hAnsi="Verdana"/>
          <w:sz w:val="20"/>
          <w:szCs w:val="20"/>
          <w:lang w:val="es-MX"/>
        </w:rPr>
        <w:t>ue, en el plazo de tres semanas</w:t>
      </w:r>
      <w:r w:rsidR="0080145B" w:rsidRPr="0080145B">
        <w:rPr>
          <w:rFonts w:ascii="Verdana" w:hAnsi="Verdana"/>
          <w:sz w:val="20"/>
          <w:szCs w:val="20"/>
          <w:lang w:val="es-MX"/>
        </w:rPr>
        <w:t xml:space="preserve"> a partir de la notificación de la presente Resolución, comunique la posibilidad de establecer un espacio de diálogo con las víctimas y su</w:t>
      </w:r>
      <w:r w:rsidR="003D2BFC">
        <w:rPr>
          <w:rFonts w:ascii="Verdana" w:hAnsi="Verdana"/>
          <w:sz w:val="20"/>
          <w:szCs w:val="20"/>
          <w:lang w:val="es-MX"/>
        </w:rPr>
        <w:t>s</w:t>
      </w:r>
      <w:r w:rsidR="0080145B" w:rsidRPr="0080145B">
        <w:rPr>
          <w:rFonts w:ascii="Verdana" w:hAnsi="Verdana"/>
          <w:sz w:val="20"/>
          <w:szCs w:val="20"/>
          <w:lang w:val="es-MX"/>
        </w:rPr>
        <w:t xml:space="preserve"> representante</w:t>
      </w:r>
      <w:r w:rsidR="003D2BFC">
        <w:rPr>
          <w:rFonts w:ascii="Verdana" w:hAnsi="Verdana"/>
          <w:sz w:val="20"/>
          <w:szCs w:val="20"/>
          <w:lang w:val="es-MX"/>
        </w:rPr>
        <w:t>s</w:t>
      </w:r>
      <w:r w:rsidR="0080145B" w:rsidRPr="0080145B">
        <w:rPr>
          <w:rFonts w:ascii="Verdana" w:hAnsi="Verdana"/>
          <w:sz w:val="20"/>
          <w:szCs w:val="20"/>
          <w:lang w:val="es-MX"/>
        </w:rPr>
        <w:t xml:space="preserve"> con el fin de avanzar en el cumplimiento de esta reparación, para lo cual deberá proponer posibles fechas para celebrar una reunión. Una vez realizada dicha reunión en los términos aquí señalados, el Estado deberá realizar a la brevedad todas las gestiones que correspondan en el ámbito interno para dar cumplimiento a esta medida y deberá presentar, dentro del plazo establecido en el punto resolutivo </w:t>
      </w:r>
      <w:r w:rsidR="00CF1084">
        <w:rPr>
          <w:rFonts w:ascii="Verdana" w:hAnsi="Verdana"/>
          <w:sz w:val="20"/>
          <w:szCs w:val="20"/>
          <w:lang w:val="es-MX"/>
        </w:rPr>
        <w:t>quinto</w:t>
      </w:r>
      <w:r w:rsidR="0080145B" w:rsidRPr="0080145B">
        <w:rPr>
          <w:rFonts w:ascii="Verdana" w:hAnsi="Verdana"/>
          <w:sz w:val="20"/>
          <w:szCs w:val="20"/>
          <w:lang w:val="es-MX"/>
        </w:rPr>
        <w:t xml:space="preserve"> de la presente Resolución, información detallada y actualizada respecto a las gestiones realizadas y los resultados obtenidos a tal efecto.</w:t>
      </w:r>
    </w:p>
    <w:p w14:paraId="5A6DA2CC" w14:textId="77777777" w:rsidR="0080145B" w:rsidRPr="007E66F8" w:rsidRDefault="0080145B" w:rsidP="0080145B">
      <w:pPr>
        <w:spacing w:after="0" w:line="240" w:lineRule="auto"/>
        <w:jc w:val="both"/>
        <w:rPr>
          <w:rFonts w:ascii="Verdana" w:hAnsi="Verdana"/>
          <w:sz w:val="10"/>
          <w:szCs w:val="10"/>
          <w:lang w:val="es-MX"/>
        </w:rPr>
      </w:pPr>
    </w:p>
    <w:p w14:paraId="3B0B50D0" w14:textId="77777777" w:rsidR="006C2CB2" w:rsidRPr="003A7F60" w:rsidRDefault="007E66F8"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Pr>
          <w:rFonts w:ascii="Verdana" w:hAnsi="Verdana"/>
          <w:sz w:val="20"/>
          <w:szCs w:val="20"/>
          <w:lang w:val="es-MX"/>
        </w:rPr>
        <w:t xml:space="preserve">Por todo lo anterior, </w:t>
      </w:r>
      <w:r w:rsidRPr="00830E36">
        <w:rPr>
          <w:rFonts w:ascii="Verdana" w:hAnsi="Verdana"/>
          <w:sz w:val="20"/>
          <w:lang w:val="es-MX"/>
        </w:rPr>
        <w:t xml:space="preserve">la Corte considera el Perú ha </w:t>
      </w:r>
      <w:r>
        <w:rPr>
          <w:rFonts w:ascii="Verdana" w:hAnsi="Verdana"/>
          <w:sz w:val="20"/>
          <w:lang w:val="es-MX"/>
        </w:rPr>
        <w:t xml:space="preserve">incumplido la medida relativa a </w:t>
      </w:r>
      <w:r w:rsidRPr="0063668A">
        <w:rPr>
          <w:rFonts w:ascii="Verdana" w:hAnsi="Verdana"/>
          <w:sz w:val="20"/>
          <w:szCs w:val="20"/>
          <w:lang w:val="es-CR"/>
        </w:rPr>
        <w:t>otorgar a Edith Laritza Osorio Gaytán, Neida Rocío Osorio Gaitán, Vannesa Judith Osorio Gaitán y Jersy Jeremías Osorio Gaitán una beca en una institución pública peruana concertada entre cada hijo de Jeremías Osorio Rivera y el Estado del Perú para realizar estudios o capacitarse en un oficio</w:t>
      </w:r>
      <w:r w:rsidRPr="000F6402">
        <w:rPr>
          <w:rFonts w:ascii="Verdana" w:hAnsi="Verdana" w:cs="Verdana"/>
          <w:sz w:val="20"/>
          <w:szCs w:val="20"/>
          <w:lang w:val="es-CR"/>
        </w:rPr>
        <w:t xml:space="preserve">, según fue ordenado en el punto dispositivo décimo </w:t>
      </w:r>
      <w:r>
        <w:rPr>
          <w:rFonts w:ascii="Verdana" w:hAnsi="Verdana" w:cs="Verdana"/>
          <w:sz w:val="20"/>
          <w:szCs w:val="20"/>
          <w:lang w:val="es-CR"/>
        </w:rPr>
        <w:t>primero</w:t>
      </w:r>
      <w:r w:rsidRPr="000F6402">
        <w:rPr>
          <w:rFonts w:ascii="Verdana" w:hAnsi="Verdana" w:cs="Verdana"/>
          <w:sz w:val="20"/>
          <w:szCs w:val="20"/>
          <w:lang w:val="es-CR"/>
        </w:rPr>
        <w:t xml:space="preserve"> de la Sentencia</w:t>
      </w:r>
      <w:r>
        <w:rPr>
          <w:rFonts w:ascii="Verdana" w:hAnsi="Verdana" w:cs="Verdana"/>
          <w:sz w:val="20"/>
          <w:szCs w:val="20"/>
          <w:lang w:val="es-CR"/>
        </w:rPr>
        <w:t>.</w:t>
      </w:r>
    </w:p>
    <w:p w14:paraId="3C281A33" w14:textId="77777777" w:rsidR="00835CEA" w:rsidRPr="00835CEA" w:rsidRDefault="00835CEA" w:rsidP="00835CEA">
      <w:pPr>
        <w:autoSpaceDE w:val="0"/>
        <w:autoSpaceDN w:val="0"/>
        <w:adjustRightInd w:val="0"/>
        <w:spacing w:after="0" w:line="240" w:lineRule="auto"/>
        <w:jc w:val="both"/>
        <w:rPr>
          <w:rFonts w:ascii="Verdana" w:hAnsi="Verdana"/>
          <w:sz w:val="10"/>
          <w:szCs w:val="10"/>
          <w:lang w:val="es-MX"/>
        </w:rPr>
      </w:pPr>
    </w:p>
    <w:p w14:paraId="6981D9D0" w14:textId="77777777" w:rsidR="00FE32E2" w:rsidRPr="00C54D7F" w:rsidRDefault="00FE32E2" w:rsidP="00FE32E2">
      <w:pPr>
        <w:pStyle w:val="Cuadrculamedia1-nfasis21"/>
        <w:numPr>
          <w:ilvl w:val="0"/>
          <w:numId w:val="7"/>
        </w:numPr>
        <w:spacing w:after="0" w:line="240" w:lineRule="auto"/>
        <w:contextualSpacing w:val="0"/>
        <w:jc w:val="both"/>
        <w:outlineLvl w:val="0"/>
        <w:rPr>
          <w:rFonts w:ascii="Verdana" w:hAnsi="Verdana"/>
          <w:b/>
          <w:i/>
          <w:sz w:val="20"/>
          <w:lang w:val="es-MX"/>
        </w:rPr>
      </w:pPr>
      <w:bookmarkStart w:id="10" w:name="_Toc23770417"/>
      <w:r>
        <w:rPr>
          <w:rFonts w:ascii="Verdana" w:hAnsi="Verdana"/>
          <w:b/>
          <w:i/>
          <w:sz w:val="20"/>
          <w:lang w:val="es-MX"/>
        </w:rPr>
        <w:t>Implementación de programas permanentes de derechos humanos y derecho internacional humanitario</w:t>
      </w:r>
      <w:bookmarkEnd w:id="10"/>
      <w:r w:rsidRPr="00C54D7F">
        <w:rPr>
          <w:rFonts w:ascii="Verdana" w:hAnsi="Verdana"/>
          <w:b/>
          <w:i/>
          <w:sz w:val="20"/>
          <w:lang w:val="es-MX"/>
        </w:rPr>
        <w:t xml:space="preserve"> </w:t>
      </w:r>
    </w:p>
    <w:p w14:paraId="358DDEC0" w14:textId="77777777" w:rsidR="00FE32E2" w:rsidRPr="00C54D7F" w:rsidRDefault="00FE32E2" w:rsidP="00FE32E2">
      <w:pPr>
        <w:pStyle w:val="Cuadrculamedia1-nfasis21"/>
        <w:spacing w:after="0" w:line="240" w:lineRule="auto"/>
        <w:ind w:left="0"/>
        <w:contextualSpacing w:val="0"/>
        <w:jc w:val="both"/>
        <w:outlineLvl w:val="0"/>
        <w:rPr>
          <w:rFonts w:ascii="Verdana" w:hAnsi="Verdana"/>
          <w:sz w:val="14"/>
          <w:szCs w:val="14"/>
          <w:lang w:val="es-MX"/>
        </w:rPr>
      </w:pPr>
    </w:p>
    <w:p w14:paraId="1EA72B97" w14:textId="77777777" w:rsidR="00FE32E2" w:rsidRPr="00C54D7F" w:rsidRDefault="00FE32E2" w:rsidP="00FE32E2">
      <w:pPr>
        <w:pStyle w:val="Cuadrculamedia1-nfasis21"/>
        <w:spacing w:after="0" w:line="240" w:lineRule="auto"/>
        <w:ind w:left="450"/>
        <w:contextualSpacing w:val="0"/>
        <w:jc w:val="both"/>
        <w:rPr>
          <w:rFonts w:ascii="Verdana" w:hAnsi="Verdana"/>
          <w:i/>
          <w:sz w:val="20"/>
          <w:szCs w:val="20"/>
          <w:lang w:val="es-MX"/>
        </w:rPr>
      </w:pPr>
      <w:r>
        <w:rPr>
          <w:rFonts w:ascii="Verdana" w:hAnsi="Verdana"/>
          <w:i/>
          <w:sz w:val="20"/>
          <w:szCs w:val="20"/>
          <w:lang w:val="es-MX"/>
        </w:rPr>
        <w:t>G</w:t>
      </w:r>
      <w:r w:rsidRPr="00C54D7F">
        <w:rPr>
          <w:rFonts w:ascii="Verdana" w:hAnsi="Verdana"/>
          <w:i/>
          <w:sz w:val="20"/>
          <w:szCs w:val="20"/>
          <w:lang w:val="es-MX"/>
        </w:rPr>
        <w:t>.1 Medida ordenada por la Corte y supervisión realizada en resoluciones anteriores</w:t>
      </w:r>
    </w:p>
    <w:p w14:paraId="0E401068" w14:textId="77777777" w:rsidR="00FE32E2" w:rsidRPr="00C54D7F" w:rsidRDefault="00FE32E2" w:rsidP="00FE32E2">
      <w:pPr>
        <w:pStyle w:val="Cuadrculamedia1-nfasis21"/>
        <w:spacing w:after="0" w:line="240" w:lineRule="auto"/>
        <w:ind w:left="0"/>
        <w:contextualSpacing w:val="0"/>
        <w:jc w:val="both"/>
        <w:rPr>
          <w:rFonts w:ascii="Verdana" w:hAnsi="Verdana"/>
          <w:sz w:val="14"/>
          <w:szCs w:val="14"/>
          <w:lang w:val="es-MX"/>
        </w:rPr>
      </w:pPr>
    </w:p>
    <w:p w14:paraId="4AC2235F" w14:textId="77777777" w:rsidR="001A34A8" w:rsidRPr="002D0752" w:rsidRDefault="001A34A8"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2D0752">
        <w:rPr>
          <w:rFonts w:ascii="Verdana" w:hAnsi="Verdana" w:cs="Verdana"/>
          <w:sz w:val="20"/>
          <w:szCs w:val="20"/>
          <w:lang w:val="es-CR"/>
        </w:rPr>
        <w:t xml:space="preserve">En el punto resolutivo décimo tercero y en el párrafo 274 de la Sentencia, la Corte dispuso que </w:t>
      </w:r>
      <w:r w:rsidRPr="002D0752">
        <w:rPr>
          <w:rFonts w:ascii="Verdana" w:hAnsi="Verdana"/>
          <w:sz w:val="20"/>
          <w:szCs w:val="20"/>
          <w:lang w:val="es-CR"/>
        </w:rPr>
        <w:t xml:space="preserve">el Estado debía implementar, en un plazo razonable, programas permanentes de derechos humanos y derecho internacional humanitario en las escuelas de formación de las Fuerzas </w:t>
      </w:r>
      <w:r w:rsidRPr="002D0752">
        <w:rPr>
          <w:rFonts w:ascii="Verdana" w:hAnsi="Verdana" w:cs="Verdana"/>
          <w:sz w:val="20"/>
          <w:szCs w:val="20"/>
          <w:lang w:val="es-CR"/>
        </w:rPr>
        <w:t>Armadas.</w:t>
      </w:r>
      <w:r>
        <w:rPr>
          <w:rFonts w:ascii="Verdana" w:hAnsi="Verdana" w:cs="Verdana"/>
          <w:sz w:val="20"/>
          <w:szCs w:val="20"/>
          <w:lang w:val="es-CR"/>
        </w:rPr>
        <w:t xml:space="preserve"> </w:t>
      </w:r>
      <w:r w:rsidRPr="002D0752">
        <w:rPr>
          <w:rFonts w:ascii="Verdana" w:hAnsi="Verdana" w:cs="Verdana"/>
          <w:sz w:val="20"/>
          <w:szCs w:val="20"/>
          <w:lang w:val="es-CR"/>
        </w:rPr>
        <w:t xml:space="preserve">Asimismo, </w:t>
      </w:r>
      <w:r w:rsidR="0049195D">
        <w:rPr>
          <w:rFonts w:ascii="Verdana" w:hAnsi="Verdana" w:cs="Verdana"/>
          <w:sz w:val="20"/>
          <w:szCs w:val="20"/>
          <w:lang w:val="es-CR"/>
        </w:rPr>
        <w:t xml:space="preserve">la Corte </w:t>
      </w:r>
      <w:r w:rsidRPr="002D0752">
        <w:rPr>
          <w:rFonts w:ascii="Verdana" w:hAnsi="Verdana" w:cs="Verdana"/>
          <w:sz w:val="20"/>
          <w:szCs w:val="20"/>
          <w:lang w:val="es-CR"/>
        </w:rPr>
        <w:t>estableció que los referidos programas debían “</w:t>
      </w:r>
      <w:proofErr w:type="gramStart"/>
      <w:r w:rsidRPr="002D0752">
        <w:rPr>
          <w:rFonts w:ascii="Verdana" w:hAnsi="Verdana" w:cs="Verdana"/>
          <w:sz w:val="20"/>
          <w:szCs w:val="20"/>
          <w:lang w:val="es-CR"/>
        </w:rPr>
        <w:t>inclu[</w:t>
      </w:r>
      <w:proofErr w:type="gramEnd"/>
      <w:r w:rsidRPr="002D0752">
        <w:rPr>
          <w:rFonts w:ascii="Verdana" w:hAnsi="Verdana" w:cs="Verdana"/>
          <w:sz w:val="20"/>
          <w:szCs w:val="20"/>
          <w:lang w:val="es-CR"/>
        </w:rPr>
        <w:t>ir] específicamente cuestiones de desaparición forzada de personas y control de convencionalidad”.</w:t>
      </w:r>
    </w:p>
    <w:p w14:paraId="14D3D931" w14:textId="77777777" w:rsidR="00FE32E2" w:rsidRPr="001A34A8" w:rsidRDefault="00FE32E2" w:rsidP="00FE32E2">
      <w:pPr>
        <w:autoSpaceDE w:val="0"/>
        <w:autoSpaceDN w:val="0"/>
        <w:adjustRightInd w:val="0"/>
        <w:spacing w:after="0" w:line="240" w:lineRule="auto"/>
        <w:jc w:val="both"/>
        <w:rPr>
          <w:rFonts w:ascii="Verdana" w:hAnsi="Verdana"/>
          <w:sz w:val="10"/>
          <w:szCs w:val="10"/>
          <w:lang w:val="es-CR"/>
        </w:rPr>
      </w:pPr>
    </w:p>
    <w:p w14:paraId="1E3FF2F0" w14:textId="77777777" w:rsidR="00D42B2D" w:rsidRPr="00D42B2D" w:rsidRDefault="00D42B2D" w:rsidP="00D42B2D">
      <w:pPr>
        <w:autoSpaceDE w:val="0"/>
        <w:autoSpaceDN w:val="0"/>
        <w:adjustRightInd w:val="0"/>
        <w:spacing w:after="0" w:line="240" w:lineRule="auto"/>
        <w:ind w:firstLine="450"/>
        <w:jc w:val="both"/>
        <w:rPr>
          <w:rFonts w:ascii="Verdana" w:hAnsi="Verdana"/>
          <w:sz w:val="20"/>
          <w:szCs w:val="20"/>
          <w:lang w:val="es-MX"/>
        </w:rPr>
      </w:pPr>
      <w:r>
        <w:rPr>
          <w:rFonts w:ascii="Verdana" w:hAnsi="Verdana"/>
          <w:i/>
          <w:sz w:val="20"/>
          <w:lang w:val="es-MX"/>
        </w:rPr>
        <w:t>G</w:t>
      </w:r>
      <w:r w:rsidRPr="00D42B2D">
        <w:rPr>
          <w:rFonts w:ascii="Verdana" w:hAnsi="Verdana"/>
          <w:i/>
          <w:sz w:val="20"/>
          <w:lang w:val="es-MX"/>
        </w:rPr>
        <w:t xml:space="preserve">.2. Consideraciones de la Corte </w:t>
      </w:r>
    </w:p>
    <w:p w14:paraId="16579544" w14:textId="77777777" w:rsidR="00D42B2D" w:rsidRPr="0064586F" w:rsidRDefault="00D42B2D" w:rsidP="00D42B2D">
      <w:pPr>
        <w:autoSpaceDE w:val="0"/>
        <w:autoSpaceDN w:val="0"/>
        <w:adjustRightInd w:val="0"/>
        <w:spacing w:after="0" w:line="240" w:lineRule="auto"/>
        <w:jc w:val="both"/>
        <w:rPr>
          <w:rFonts w:ascii="Verdana" w:hAnsi="Verdana"/>
          <w:sz w:val="14"/>
          <w:szCs w:val="14"/>
          <w:lang w:val="es-CR"/>
        </w:rPr>
      </w:pPr>
    </w:p>
    <w:p w14:paraId="39060E65" w14:textId="77777777" w:rsidR="00FE32E2" w:rsidRDefault="005D5FA5"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sz w:val="20"/>
          <w:szCs w:val="20"/>
          <w:lang w:val="es-CR"/>
        </w:rPr>
        <w:t xml:space="preserve">El Tribunal recuerda que esta medida fue ordenada para el presente caso </w:t>
      </w:r>
      <w:r>
        <w:rPr>
          <w:rFonts w:ascii="Verdana" w:hAnsi="Verdana" w:cs="Verdana"/>
          <w:sz w:val="20"/>
          <w:szCs w:val="20"/>
          <w:lang w:val="es-CR"/>
        </w:rPr>
        <w:t>“</w:t>
      </w:r>
      <w:r w:rsidRPr="002D0752">
        <w:rPr>
          <w:rFonts w:ascii="Verdana" w:hAnsi="Verdana" w:cs="Verdana"/>
          <w:sz w:val="20"/>
          <w:szCs w:val="20"/>
          <w:lang w:val="es-CR"/>
        </w:rPr>
        <w:t>[d]ado que la educación en derechos humanos en el seno de las Fuerzas Armadas resulta crucial para generar garantías de no repetición de hechos tales como los del presente caso”</w:t>
      </w:r>
      <w:r>
        <w:rPr>
          <w:rFonts w:ascii="Verdana" w:hAnsi="Verdana" w:cs="Verdana"/>
          <w:sz w:val="20"/>
          <w:szCs w:val="20"/>
          <w:lang w:val="es-CR"/>
        </w:rPr>
        <w:t xml:space="preserve">, los cuales consistieron, entre otros, </w:t>
      </w:r>
      <w:r w:rsidR="005C49B4">
        <w:rPr>
          <w:rFonts w:ascii="Verdana" w:hAnsi="Verdana" w:cs="Verdana"/>
          <w:sz w:val="20"/>
          <w:szCs w:val="20"/>
          <w:lang w:val="es-CR"/>
        </w:rPr>
        <w:t>en</w:t>
      </w:r>
      <w:r>
        <w:rPr>
          <w:rFonts w:ascii="Verdana" w:hAnsi="Verdana" w:cs="Verdana"/>
          <w:sz w:val="20"/>
          <w:szCs w:val="20"/>
          <w:lang w:val="es-CR"/>
        </w:rPr>
        <w:t xml:space="preserve"> </w:t>
      </w:r>
      <w:r w:rsidR="005D74B8">
        <w:rPr>
          <w:rFonts w:ascii="Verdana" w:hAnsi="Verdana" w:cs="Verdana"/>
          <w:sz w:val="20"/>
          <w:szCs w:val="20"/>
          <w:lang w:val="es-CR"/>
        </w:rPr>
        <w:t>la</w:t>
      </w:r>
      <w:r>
        <w:rPr>
          <w:rFonts w:ascii="Verdana" w:hAnsi="Verdana" w:cs="Verdana"/>
          <w:sz w:val="20"/>
          <w:szCs w:val="20"/>
          <w:lang w:val="es-CR"/>
        </w:rPr>
        <w:t xml:space="preserve"> </w:t>
      </w:r>
      <w:r w:rsidRPr="005D5FA5">
        <w:rPr>
          <w:rFonts w:ascii="Verdana" w:hAnsi="Verdana" w:cs="Verdana"/>
          <w:sz w:val="20"/>
          <w:szCs w:val="20"/>
          <w:lang w:val="es-CR"/>
        </w:rPr>
        <w:t>desaparición forzada</w:t>
      </w:r>
      <w:r>
        <w:rPr>
          <w:rFonts w:ascii="Verdana" w:hAnsi="Verdana" w:cs="Verdana"/>
          <w:sz w:val="20"/>
          <w:szCs w:val="20"/>
          <w:lang w:val="es-CR"/>
        </w:rPr>
        <w:t xml:space="preserve"> </w:t>
      </w:r>
      <w:r w:rsidR="005D74B8">
        <w:rPr>
          <w:rFonts w:ascii="Verdana" w:hAnsi="Verdana" w:cs="Verdana"/>
          <w:sz w:val="20"/>
          <w:szCs w:val="20"/>
          <w:lang w:val="es-CR"/>
        </w:rPr>
        <w:t>del señor Osorio Rivera, la cual</w:t>
      </w:r>
      <w:r w:rsidRPr="005D5FA5">
        <w:rPr>
          <w:rFonts w:ascii="Verdana" w:hAnsi="Verdana" w:cs="Verdana"/>
          <w:sz w:val="20"/>
          <w:szCs w:val="20"/>
          <w:lang w:val="es-CR"/>
        </w:rPr>
        <w:t xml:space="preserve"> </w:t>
      </w:r>
      <w:r>
        <w:rPr>
          <w:rFonts w:ascii="Verdana" w:hAnsi="Verdana" w:cs="Verdana"/>
          <w:sz w:val="20"/>
          <w:szCs w:val="20"/>
          <w:lang w:val="es-CR"/>
        </w:rPr>
        <w:t xml:space="preserve">se configuró a partir de </w:t>
      </w:r>
      <w:r w:rsidR="006D5229">
        <w:rPr>
          <w:rFonts w:ascii="Verdana" w:hAnsi="Verdana" w:cs="Verdana"/>
          <w:sz w:val="20"/>
          <w:szCs w:val="20"/>
          <w:lang w:val="es-CR"/>
        </w:rPr>
        <w:t>su</w:t>
      </w:r>
      <w:r w:rsidRPr="005D5FA5">
        <w:rPr>
          <w:rFonts w:ascii="Verdana" w:hAnsi="Verdana" w:cs="Verdana"/>
          <w:sz w:val="20"/>
          <w:szCs w:val="20"/>
          <w:lang w:val="es-CR"/>
        </w:rPr>
        <w:t xml:space="preserve"> privación de libertad realizada por parte de agentes estatales</w:t>
      </w:r>
      <w:r>
        <w:rPr>
          <w:rStyle w:val="Refdenotaalpie"/>
          <w:rFonts w:ascii="Verdana" w:hAnsi="Verdana" w:cs="Verdana"/>
          <w:sz w:val="20"/>
          <w:szCs w:val="20"/>
          <w:lang w:val="es-CR"/>
        </w:rPr>
        <w:footnoteReference w:id="70"/>
      </w:r>
      <w:r>
        <w:rPr>
          <w:rFonts w:ascii="Verdana" w:hAnsi="Verdana" w:cs="Verdana"/>
          <w:sz w:val="20"/>
          <w:szCs w:val="20"/>
          <w:lang w:val="es-CR"/>
        </w:rPr>
        <w:t xml:space="preserve">. </w:t>
      </w:r>
    </w:p>
    <w:p w14:paraId="3863177A" w14:textId="77777777" w:rsidR="005C49B4" w:rsidRPr="005C49B4" w:rsidRDefault="005C49B4" w:rsidP="005C49B4">
      <w:pPr>
        <w:autoSpaceDE w:val="0"/>
        <w:autoSpaceDN w:val="0"/>
        <w:adjustRightInd w:val="0"/>
        <w:spacing w:after="0" w:line="240" w:lineRule="auto"/>
        <w:jc w:val="both"/>
        <w:rPr>
          <w:rFonts w:ascii="Verdana" w:hAnsi="Verdana" w:cs="Verdana"/>
          <w:sz w:val="10"/>
          <w:szCs w:val="10"/>
          <w:lang w:val="es-CR"/>
        </w:rPr>
      </w:pPr>
    </w:p>
    <w:p w14:paraId="4C88748B" w14:textId="77777777" w:rsidR="005C49B4" w:rsidRDefault="00FA33C3"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E</w:t>
      </w:r>
      <w:r w:rsidR="005C49B4">
        <w:rPr>
          <w:rFonts w:ascii="Verdana" w:hAnsi="Verdana" w:cs="Verdana"/>
          <w:sz w:val="20"/>
          <w:szCs w:val="20"/>
          <w:lang w:val="es-CR"/>
        </w:rPr>
        <w:t>ste Tribunal constata que</w:t>
      </w:r>
      <w:r>
        <w:rPr>
          <w:rFonts w:ascii="Verdana" w:hAnsi="Verdana" w:cs="Verdana"/>
          <w:sz w:val="20"/>
          <w:szCs w:val="20"/>
          <w:lang w:val="es-CR"/>
        </w:rPr>
        <w:t>,</w:t>
      </w:r>
      <w:r w:rsidR="005C49B4">
        <w:rPr>
          <w:rFonts w:ascii="Verdana" w:hAnsi="Verdana" w:cs="Verdana"/>
          <w:sz w:val="20"/>
          <w:szCs w:val="20"/>
          <w:lang w:val="es-CR"/>
        </w:rPr>
        <w:t xml:space="preserve"> en los informes presentados por el Estado entre enero de 2015 y febrero de 2018, el Perú se limitó a señalar que “ha cumplido con esta medida de </w:t>
      </w:r>
      <w:r w:rsidR="005C49B4">
        <w:rPr>
          <w:rFonts w:ascii="Verdana" w:hAnsi="Verdana" w:cs="Verdana"/>
          <w:sz w:val="20"/>
          <w:szCs w:val="20"/>
          <w:lang w:val="es-CR"/>
        </w:rPr>
        <w:lastRenderedPageBreak/>
        <w:t>reparación”</w:t>
      </w:r>
      <w:r w:rsidR="008C4B79">
        <w:rPr>
          <w:rFonts w:ascii="Verdana" w:hAnsi="Verdana" w:cs="Verdana"/>
          <w:sz w:val="20"/>
          <w:szCs w:val="20"/>
          <w:lang w:val="es-CR"/>
        </w:rPr>
        <w:t>, sin aportar prueba documental alguna</w:t>
      </w:r>
      <w:r w:rsidR="00BA0D6D">
        <w:rPr>
          <w:rFonts w:ascii="Verdana" w:hAnsi="Verdana" w:cs="Verdana"/>
          <w:sz w:val="20"/>
          <w:szCs w:val="20"/>
          <w:lang w:val="es-CR"/>
        </w:rPr>
        <w:t>.</w:t>
      </w:r>
      <w:r w:rsidR="008C4B79">
        <w:rPr>
          <w:rFonts w:ascii="Verdana" w:hAnsi="Verdana" w:cs="Verdana"/>
          <w:sz w:val="20"/>
          <w:szCs w:val="20"/>
          <w:lang w:val="es-CR"/>
        </w:rPr>
        <w:t xml:space="preserve"> </w:t>
      </w:r>
      <w:r>
        <w:rPr>
          <w:rFonts w:ascii="Verdana" w:hAnsi="Verdana" w:cs="Verdana"/>
          <w:sz w:val="20"/>
          <w:szCs w:val="20"/>
          <w:lang w:val="es-CR"/>
        </w:rPr>
        <w:t>En particular, sostuvo</w:t>
      </w:r>
      <w:r w:rsidR="008C4B79">
        <w:rPr>
          <w:rFonts w:ascii="Verdana" w:hAnsi="Verdana" w:cs="Verdana"/>
          <w:sz w:val="20"/>
          <w:szCs w:val="20"/>
          <w:lang w:val="es-CR"/>
        </w:rPr>
        <w:t xml:space="preserve"> que </w:t>
      </w:r>
      <w:r w:rsidR="00BA0D6D">
        <w:rPr>
          <w:rFonts w:ascii="Verdana" w:hAnsi="Verdana" w:cs="Verdana"/>
          <w:sz w:val="20"/>
          <w:szCs w:val="20"/>
          <w:lang w:val="es-CR"/>
        </w:rPr>
        <w:t xml:space="preserve">la referida garantía de no repetición se encontraba cumplida </w:t>
      </w:r>
      <w:r w:rsidR="008C4B79">
        <w:rPr>
          <w:rFonts w:ascii="Verdana" w:hAnsi="Verdana" w:cs="Verdana"/>
          <w:sz w:val="20"/>
          <w:szCs w:val="20"/>
          <w:lang w:val="es-CR"/>
        </w:rPr>
        <w:t>en tanto “en la sentencia emitida en el caso Tarazona Arrieta y otros [V</w:t>
      </w:r>
      <w:proofErr w:type="gramStart"/>
      <w:r w:rsidR="008C4B79">
        <w:rPr>
          <w:rFonts w:ascii="Verdana" w:hAnsi="Verdana" w:cs="Verdana"/>
          <w:sz w:val="20"/>
          <w:szCs w:val="20"/>
          <w:lang w:val="es-CR"/>
        </w:rPr>
        <w:t>]s</w:t>
      </w:r>
      <w:proofErr w:type="gramEnd"/>
      <w:r w:rsidR="008C4B79">
        <w:rPr>
          <w:rFonts w:ascii="Verdana" w:hAnsi="Verdana" w:cs="Verdana"/>
          <w:sz w:val="20"/>
          <w:szCs w:val="20"/>
          <w:lang w:val="es-CR"/>
        </w:rPr>
        <w:t>. Perú […] la Corte se abstuvo […] de ordenar una medida de reparación consistente en capacitaci</w:t>
      </w:r>
      <w:r w:rsidR="00D763B1">
        <w:rPr>
          <w:rFonts w:ascii="Verdana" w:hAnsi="Verdana" w:cs="Verdana"/>
          <w:sz w:val="20"/>
          <w:szCs w:val="20"/>
          <w:lang w:val="es-CR"/>
        </w:rPr>
        <w:t xml:space="preserve">ón </w:t>
      </w:r>
      <w:r w:rsidR="008C4B79">
        <w:rPr>
          <w:rFonts w:ascii="Verdana" w:hAnsi="Verdana" w:cs="Verdana"/>
          <w:sz w:val="20"/>
          <w:szCs w:val="20"/>
          <w:lang w:val="es-CR"/>
        </w:rPr>
        <w:t xml:space="preserve">en derechos humanos a las Fuerzas </w:t>
      </w:r>
      <w:r w:rsidR="008C4B79" w:rsidRPr="00375E03">
        <w:rPr>
          <w:rFonts w:ascii="Verdana" w:hAnsi="Verdana" w:cs="Verdana"/>
          <w:sz w:val="20"/>
          <w:szCs w:val="20"/>
          <w:lang w:val="es-CR"/>
        </w:rPr>
        <w:t>Armadas porque consideró que estas capacitaciones se están llevando a cabo de manera permanente”</w:t>
      </w:r>
      <w:r w:rsidR="00F3605E" w:rsidRPr="00375E03">
        <w:rPr>
          <w:rStyle w:val="Refdenotaalpie"/>
          <w:rFonts w:ascii="Verdana" w:hAnsi="Verdana" w:cs="Verdana"/>
          <w:sz w:val="20"/>
          <w:szCs w:val="20"/>
          <w:lang w:val="es-CR"/>
        </w:rPr>
        <w:footnoteReference w:id="71"/>
      </w:r>
      <w:r w:rsidR="008C4B79" w:rsidRPr="00375E03">
        <w:rPr>
          <w:rFonts w:ascii="Verdana" w:hAnsi="Verdana" w:cs="Verdana"/>
          <w:sz w:val="20"/>
          <w:szCs w:val="20"/>
          <w:lang w:val="es-CR"/>
        </w:rPr>
        <w:t>.</w:t>
      </w:r>
      <w:r w:rsidR="008C4B79">
        <w:rPr>
          <w:rFonts w:ascii="Verdana" w:hAnsi="Verdana" w:cs="Verdana"/>
          <w:sz w:val="20"/>
          <w:szCs w:val="20"/>
          <w:lang w:val="es-CR"/>
        </w:rPr>
        <w:t xml:space="preserve"> </w:t>
      </w:r>
      <w:r w:rsidR="00C232AF">
        <w:rPr>
          <w:rFonts w:ascii="Verdana" w:hAnsi="Verdana" w:cs="Verdana"/>
          <w:sz w:val="20"/>
          <w:szCs w:val="20"/>
          <w:lang w:val="es-CR"/>
        </w:rPr>
        <w:t xml:space="preserve">Al respecto, este Tribunal recuerda al Estado del Perú que, a diferencia del presente caso, las violaciones constatadas en la Sentencia del caso </w:t>
      </w:r>
      <w:r w:rsidR="00C232AF">
        <w:rPr>
          <w:rFonts w:ascii="Verdana" w:hAnsi="Verdana" w:cs="Verdana"/>
          <w:i/>
          <w:sz w:val="20"/>
          <w:szCs w:val="20"/>
          <w:lang w:val="es-CR"/>
        </w:rPr>
        <w:t xml:space="preserve">Tarazona Arrieta </w:t>
      </w:r>
      <w:r w:rsidR="00C232AF">
        <w:rPr>
          <w:rFonts w:ascii="Verdana" w:hAnsi="Verdana" w:cs="Verdana"/>
          <w:sz w:val="20"/>
          <w:szCs w:val="20"/>
          <w:lang w:val="es-CR"/>
        </w:rPr>
        <w:t>no constituyeron graves violaciones a los derechos humanos</w:t>
      </w:r>
      <w:r w:rsidR="00C232AF">
        <w:rPr>
          <w:rStyle w:val="Refdenotaalpie"/>
          <w:rFonts w:ascii="Verdana" w:hAnsi="Verdana" w:cs="Verdana"/>
          <w:sz w:val="20"/>
          <w:szCs w:val="20"/>
          <w:lang w:val="es-CR"/>
        </w:rPr>
        <w:footnoteReference w:id="72"/>
      </w:r>
      <w:r w:rsidR="00C232AF">
        <w:rPr>
          <w:rFonts w:ascii="Verdana" w:hAnsi="Verdana" w:cs="Verdana"/>
          <w:sz w:val="20"/>
          <w:szCs w:val="20"/>
          <w:lang w:val="es-CR"/>
        </w:rPr>
        <w:t xml:space="preserve">. Por ende, el análisis </w:t>
      </w:r>
      <w:r w:rsidR="00C232AF" w:rsidRPr="00267425">
        <w:rPr>
          <w:rFonts w:ascii="Verdana" w:hAnsi="Verdana" w:cs="Verdana"/>
          <w:sz w:val="20"/>
          <w:szCs w:val="20"/>
          <w:lang w:val="es-CR"/>
        </w:rPr>
        <w:t>realizado por</w:t>
      </w:r>
      <w:r w:rsidR="00C232AF">
        <w:rPr>
          <w:rFonts w:ascii="Verdana" w:hAnsi="Verdana" w:cs="Verdana"/>
          <w:sz w:val="20"/>
          <w:szCs w:val="20"/>
          <w:lang w:val="es-CR"/>
        </w:rPr>
        <w:t xml:space="preserve"> la Corte en dicha Sentencia respecto de si correspondía o no ordenar una garantía de no repetición es distinto a la valoració</w:t>
      </w:r>
      <w:r w:rsidR="00C232AF" w:rsidRPr="00267425">
        <w:rPr>
          <w:rFonts w:ascii="Verdana" w:hAnsi="Verdana" w:cs="Verdana"/>
          <w:sz w:val="20"/>
          <w:szCs w:val="20"/>
          <w:lang w:val="es-CR"/>
        </w:rPr>
        <w:t>n efectuada en la Sentencia del presente caso</w:t>
      </w:r>
      <w:r w:rsidR="00F8331D">
        <w:rPr>
          <w:rFonts w:ascii="Verdana" w:hAnsi="Verdana" w:cs="Verdana"/>
          <w:sz w:val="20"/>
          <w:szCs w:val="20"/>
          <w:lang w:val="es-CR"/>
        </w:rPr>
        <w:t>,</w:t>
      </w:r>
      <w:r w:rsidR="00267425" w:rsidRPr="00267425">
        <w:rPr>
          <w:rFonts w:ascii="Verdana" w:hAnsi="Verdana" w:cs="Verdana"/>
          <w:sz w:val="20"/>
          <w:szCs w:val="20"/>
          <w:lang w:val="es-CR"/>
        </w:rPr>
        <w:t xml:space="preserve"> </w:t>
      </w:r>
      <w:r w:rsidR="00F8331D">
        <w:rPr>
          <w:rFonts w:ascii="Verdana" w:hAnsi="Verdana" w:cs="Verdana"/>
          <w:sz w:val="20"/>
          <w:szCs w:val="20"/>
          <w:lang w:val="es-CR"/>
        </w:rPr>
        <w:t>el cual</w:t>
      </w:r>
      <w:r w:rsidR="00267425" w:rsidRPr="00267425">
        <w:rPr>
          <w:rFonts w:ascii="Verdana" w:hAnsi="Verdana" w:cs="Verdana"/>
          <w:sz w:val="20"/>
          <w:szCs w:val="20"/>
          <w:lang w:val="es-CR"/>
        </w:rPr>
        <w:t xml:space="preserve"> trata de una grave violación de derechos humanos ejecutada en un contexto</w:t>
      </w:r>
      <w:r w:rsidR="00F8331D">
        <w:rPr>
          <w:rFonts w:ascii="Verdana" w:hAnsi="Verdana" w:cs="Verdana"/>
          <w:sz w:val="20"/>
          <w:szCs w:val="20"/>
          <w:lang w:val="es-CR"/>
        </w:rPr>
        <w:t xml:space="preserve"> comprobado</w:t>
      </w:r>
      <w:r w:rsidR="00267425" w:rsidRPr="00267425">
        <w:rPr>
          <w:rFonts w:ascii="Verdana" w:hAnsi="Verdana" w:cs="Verdana"/>
          <w:sz w:val="20"/>
          <w:szCs w:val="20"/>
          <w:lang w:val="es-CR"/>
        </w:rPr>
        <w:t xml:space="preserve"> de una “</w:t>
      </w:r>
      <w:r w:rsidR="00267425" w:rsidRPr="00267425">
        <w:rPr>
          <w:rFonts w:ascii="Verdana" w:hAnsi="Verdana"/>
          <w:sz w:val="20"/>
          <w:szCs w:val="20"/>
          <w:lang w:val="es-CR"/>
        </w:rPr>
        <w:t>práctica sistemática de desapariciones forzadas”</w:t>
      </w:r>
      <w:r w:rsidR="00267425">
        <w:rPr>
          <w:rStyle w:val="Refdenotaalpie"/>
          <w:rFonts w:ascii="Verdana" w:hAnsi="Verdana"/>
          <w:sz w:val="20"/>
          <w:szCs w:val="20"/>
          <w:lang w:val="es-CR"/>
        </w:rPr>
        <w:footnoteReference w:id="73"/>
      </w:r>
      <w:r w:rsidR="00C232AF" w:rsidRPr="00267425">
        <w:rPr>
          <w:rFonts w:ascii="Verdana" w:hAnsi="Verdana" w:cs="Verdana"/>
          <w:sz w:val="20"/>
          <w:szCs w:val="20"/>
          <w:lang w:val="es-CR"/>
        </w:rPr>
        <w:t>.</w:t>
      </w:r>
      <w:r w:rsidR="00375E03">
        <w:rPr>
          <w:rFonts w:ascii="Verdana" w:hAnsi="Verdana" w:cs="Verdana"/>
          <w:sz w:val="20"/>
          <w:szCs w:val="20"/>
          <w:lang w:val="es-CR"/>
        </w:rPr>
        <w:t xml:space="preserve"> Adicionalmente, la valoración realizada por el Tribunal en el caso </w:t>
      </w:r>
      <w:r w:rsidR="00E83551" w:rsidRPr="00375E03">
        <w:rPr>
          <w:rFonts w:ascii="Verdana" w:hAnsi="Verdana" w:cs="Verdana"/>
          <w:i/>
          <w:sz w:val="20"/>
          <w:szCs w:val="20"/>
          <w:lang w:val="es-CR"/>
        </w:rPr>
        <w:t>Tarazona</w:t>
      </w:r>
      <w:r w:rsidR="00375E03" w:rsidRPr="00375E03">
        <w:rPr>
          <w:rFonts w:ascii="Verdana" w:hAnsi="Verdana" w:cs="Verdana"/>
          <w:i/>
          <w:sz w:val="20"/>
          <w:szCs w:val="20"/>
          <w:lang w:val="es-CR"/>
        </w:rPr>
        <w:t xml:space="preserve"> Arrieta</w:t>
      </w:r>
      <w:r w:rsidR="00375E03">
        <w:rPr>
          <w:rFonts w:ascii="Verdana" w:hAnsi="Verdana" w:cs="Verdana"/>
          <w:sz w:val="20"/>
          <w:szCs w:val="20"/>
          <w:lang w:val="es-CR"/>
        </w:rPr>
        <w:t xml:space="preserve"> no tomó en consideración componentes específicos que sí fueron ordenados en la Sentencia del presente caso, tales como incorporar a los programas permanentes </w:t>
      </w:r>
      <w:r w:rsidR="00375E03" w:rsidRPr="002D0752">
        <w:rPr>
          <w:rFonts w:ascii="Verdana" w:hAnsi="Verdana"/>
          <w:sz w:val="20"/>
          <w:szCs w:val="20"/>
          <w:lang w:val="es-CR"/>
        </w:rPr>
        <w:t xml:space="preserve">de derechos humanos y derecho internacional humanitario en las escuelas de formación de las Fuerzas </w:t>
      </w:r>
      <w:r w:rsidR="00375E03" w:rsidRPr="002D0752">
        <w:rPr>
          <w:rFonts w:ascii="Verdana" w:hAnsi="Verdana" w:cs="Verdana"/>
          <w:sz w:val="20"/>
          <w:szCs w:val="20"/>
          <w:lang w:val="es-CR"/>
        </w:rPr>
        <w:t>Armadas</w:t>
      </w:r>
      <w:r w:rsidR="00375E03">
        <w:rPr>
          <w:rFonts w:ascii="Verdana" w:hAnsi="Verdana" w:cs="Verdana"/>
          <w:sz w:val="20"/>
          <w:szCs w:val="20"/>
          <w:lang w:val="es-CR"/>
        </w:rPr>
        <w:t xml:space="preserve"> los temas de “</w:t>
      </w:r>
      <w:r w:rsidR="00375E03" w:rsidRPr="002D0752">
        <w:rPr>
          <w:rFonts w:ascii="Verdana" w:hAnsi="Verdana" w:cs="Verdana"/>
          <w:sz w:val="20"/>
          <w:szCs w:val="20"/>
          <w:lang w:val="es-CR"/>
        </w:rPr>
        <w:t>desaparición forzada de personas y control de convencionalidad</w:t>
      </w:r>
      <w:r w:rsidR="00375E03">
        <w:rPr>
          <w:rFonts w:ascii="Verdana" w:hAnsi="Verdana" w:cs="Verdana"/>
          <w:sz w:val="20"/>
          <w:szCs w:val="20"/>
          <w:lang w:val="es-CR"/>
        </w:rPr>
        <w:t>” (</w:t>
      </w:r>
      <w:r w:rsidR="00375E03">
        <w:rPr>
          <w:rFonts w:ascii="Verdana" w:hAnsi="Verdana" w:cs="Verdana"/>
          <w:i/>
          <w:sz w:val="20"/>
          <w:szCs w:val="20"/>
          <w:lang w:val="es-CR"/>
        </w:rPr>
        <w:t xml:space="preserve">supra </w:t>
      </w:r>
      <w:r w:rsidR="00CE3A8F">
        <w:rPr>
          <w:rFonts w:ascii="Verdana" w:hAnsi="Verdana" w:cs="Verdana"/>
          <w:sz w:val="20"/>
          <w:szCs w:val="20"/>
          <w:lang w:val="es-CR"/>
        </w:rPr>
        <w:t>Considerando 38</w:t>
      </w:r>
      <w:r w:rsidR="00375E03">
        <w:rPr>
          <w:rFonts w:ascii="Verdana" w:hAnsi="Verdana" w:cs="Verdana"/>
          <w:sz w:val="20"/>
          <w:szCs w:val="20"/>
          <w:lang w:val="es-CR"/>
        </w:rPr>
        <w:t>).</w:t>
      </w:r>
      <w:r w:rsidR="00D011AE">
        <w:rPr>
          <w:rFonts w:ascii="Verdana" w:hAnsi="Verdana" w:cs="Verdana"/>
          <w:sz w:val="20"/>
          <w:szCs w:val="20"/>
          <w:lang w:val="es-CR"/>
        </w:rPr>
        <w:t xml:space="preserve"> Por tanto, esta Corte reitera que es obligación del Perú remitir información respecto de cómo está dando cumplimiento a la presente garantía de no repetición.</w:t>
      </w:r>
    </w:p>
    <w:p w14:paraId="29EBCE71" w14:textId="77777777" w:rsidR="00375E03" w:rsidRPr="00375E03" w:rsidRDefault="00375E03" w:rsidP="00375E03">
      <w:pPr>
        <w:autoSpaceDE w:val="0"/>
        <w:autoSpaceDN w:val="0"/>
        <w:adjustRightInd w:val="0"/>
        <w:spacing w:after="0" w:line="240" w:lineRule="auto"/>
        <w:jc w:val="both"/>
        <w:rPr>
          <w:rFonts w:ascii="Verdana" w:hAnsi="Verdana" w:cs="Verdana"/>
          <w:sz w:val="10"/>
          <w:szCs w:val="10"/>
          <w:lang w:val="es-CR"/>
        </w:rPr>
      </w:pPr>
    </w:p>
    <w:p w14:paraId="565B85A3" w14:textId="77777777" w:rsidR="00375E03" w:rsidRDefault="00D011AE"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En este sentido</w:t>
      </w:r>
      <w:r w:rsidR="00D73759">
        <w:rPr>
          <w:rFonts w:ascii="Verdana" w:hAnsi="Verdana" w:cs="Verdana"/>
          <w:sz w:val="20"/>
          <w:szCs w:val="20"/>
          <w:lang w:val="es-CR"/>
        </w:rPr>
        <w:t>,</w:t>
      </w:r>
      <w:r w:rsidR="00EE590E">
        <w:rPr>
          <w:rFonts w:ascii="Verdana" w:hAnsi="Verdana" w:cs="Verdana"/>
          <w:sz w:val="20"/>
          <w:szCs w:val="20"/>
          <w:lang w:val="es-CR"/>
        </w:rPr>
        <w:t xml:space="preserve"> el Tribunal observa que</w:t>
      </w:r>
      <w:r w:rsidR="00D73759">
        <w:rPr>
          <w:rFonts w:ascii="Verdana" w:hAnsi="Verdana" w:cs="Verdana"/>
          <w:sz w:val="20"/>
          <w:szCs w:val="20"/>
          <w:lang w:val="es-CR"/>
        </w:rPr>
        <w:t>,</w:t>
      </w:r>
      <w:r>
        <w:rPr>
          <w:rFonts w:ascii="Verdana" w:hAnsi="Verdana" w:cs="Verdana"/>
          <w:sz w:val="20"/>
          <w:szCs w:val="20"/>
          <w:lang w:val="es-CR"/>
        </w:rPr>
        <w:t xml:space="preserve"> en su informe de marzo de 2019, el Estado remitió </w:t>
      </w:r>
      <w:r w:rsidR="00EE590E">
        <w:rPr>
          <w:rFonts w:ascii="Verdana" w:hAnsi="Verdana" w:cs="Verdana"/>
          <w:sz w:val="20"/>
          <w:szCs w:val="20"/>
          <w:lang w:val="es-CR"/>
        </w:rPr>
        <w:t xml:space="preserve">por primera vez en la presente etapa de supervisión, </w:t>
      </w:r>
      <w:r>
        <w:rPr>
          <w:rFonts w:ascii="Verdana" w:hAnsi="Verdana" w:cs="Verdana"/>
          <w:sz w:val="20"/>
          <w:szCs w:val="20"/>
          <w:lang w:val="es-CR"/>
        </w:rPr>
        <w:t>información sobre “los programas académicos que se están desarrollando en las instituciones educativas de nivel de pre-grado y post-grado de las Fuerzas Armadas, como parte de la implementación de programas permanentes de educación en derechos humanos dirigidos a [sus] miembros”</w:t>
      </w:r>
      <w:r>
        <w:rPr>
          <w:rStyle w:val="Refdenotaalpie"/>
          <w:rFonts w:ascii="Verdana" w:hAnsi="Verdana" w:cs="Verdana"/>
          <w:sz w:val="20"/>
          <w:szCs w:val="20"/>
          <w:lang w:val="es-CR"/>
        </w:rPr>
        <w:footnoteReference w:id="74"/>
      </w:r>
      <w:r>
        <w:rPr>
          <w:rFonts w:ascii="Verdana" w:hAnsi="Verdana" w:cs="Verdana"/>
          <w:sz w:val="20"/>
          <w:szCs w:val="20"/>
          <w:lang w:val="es-CR"/>
        </w:rPr>
        <w:t xml:space="preserve">. Según lo indicado por el Ministerio de Defensa del Perú, dichos cursos </w:t>
      </w:r>
      <w:r w:rsidR="00A06BA2">
        <w:rPr>
          <w:rFonts w:ascii="Verdana" w:hAnsi="Verdana" w:cs="Verdana"/>
          <w:sz w:val="20"/>
          <w:szCs w:val="20"/>
          <w:lang w:val="es-CR"/>
        </w:rPr>
        <w:t xml:space="preserve">consisten en “Derecho Internacional [P]úblico y Derechos Humano”, “Derechos Humanos y Derecho Internacional Humanitario”, “Programa de Maestría de Derechos Humanos, Derechos Internacional </w:t>
      </w:r>
      <w:r w:rsidR="009D42DC">
        <w:rPr>
          <w:rFonts w:ascii="Verdana" w:hAnsi="Verdana" w:cs="Verdana"/>
          <w:sz w:val="20"/>
          <w:szCs w:val="20"/>
          <w:lang w:val="es-CR"/>
        </w:rPr>
        <w:t>Humanitario</w:t>
      </w:r>
      <w:r w:rsidR="00A06BA2">
        <w:rPr>
          <w:rFonts w:ascii="Verdana" w:hAnsi="Verdana" w:cs="Verdana"/>
          <w:sz w:val="20"/>
          <w:szCs w:val="20"/>
          <w:lang w:val="es-CR"/>
        </w:rPr>
        <w:t xml:space="preserve"> y Resolución de Conflictos”, “</w:t>
      </w:r>
      <w:r w:rsidR="009D42DC">
        <w:rPr>
          <w:rFonts w:ascii="Verdana" w:hAnsi="Verdana" w:cs="Verdana"/>
          <w:sz w:val="20"/>
          <w:szCs w:val="20"/>
          <w:lang w:val="es-CR"/>
        </w:rPr>
        <w:t>Aplicaciones</w:t>
      </w:r>
      <w:r w:rsidR="00A06BA2">
        <w:rPr>
          <w:rFonts w:ascii="Verdana" w:hAnsi="Verdana" w:cs="Verdana"/>
          <w:sz w:val="20"/>
          <w:szCs w:val="20"/>
          <w:lang w:val="es-CR"/>
        </w:rPr>
        <w:t xml:space="preserve"> de Derechos Humanos en PKO. Política de Naciones Unidas en DDHH”, entre otros. Dichos cursos son impartidos por el “Centro del Derecho Internacional Humanitario y Derechos Humanos de las Fuerzas Armadas”, los “Centros de Altos Estudios Nacionales CAEN-EPG”, el “Centro de Entrenamiento y Capacitación para Operaciones de Paz” y la “Escuela Conjunta de las Fuerzas Armadas” </w:t>
      </w:r>
      <w:r w:rsidR="001C4CBF">
        <w:rPr>
          <w:rFonts w:ascii="Verdana" w:hAnsi="Verdana" w:cs="Verdana"/>
          <w:sz w:val="20"/>
          <w:szCs w:val="20"/>
          <w:lang w:val="es-CR"/>
        </w:rPr>
        <w:t xml:space="preserve">y están dirigidos </w:t>
      </w:r>
      <w:r>
        <w:rPr>
          <w:rFonts w:ascii="Verdana" w:hAnsi="Verdana" w:cs="Verdana"/>
          <w:sz w:val="20"/>
          <w:szCs w:val="20"/>
          <w:lang w:val="es-CR"/>
        </w:rPr>
        <w:t>a “Coroneles”, “Comandante[s]”, “Mayores”, “Capitanes”, “Tenientes”, “</w:t>
      </w:r>
      <w:r w:rsidR="00DA7D83">
        <w:rPr>
          <w:rFonts w:ascii="Verdana" w:hAnsi="Verdana" w:cs="Verdana"/>
          <w:sz w:val="20"/>
          <w:szCs w:val="20"/>
          <w:lang w:val="es-CR"/>
        </w:rPr>
        <w:t>Alfér</w:t>
      </w:r>
      <w:r>
        <w:rPr>
          <w:rFonts w:ascii="Verdana" w:hAnsi="Verdana" w:cs="Verdana"/>
          <w:sz w:val="20"/>
          <w:szCs w:val="20"/>
          <w:lang w:val="es-CR"/>
        </w:rPr>
        <w:t>ez”, “Cadetes”, “Supervisores”, “Técnicos”, “Sub Oficiales”, o “su[s] equivalente[s]” y “Alumnos”, tanto del Ejército del Perú, la Marina de Guerra del Perú y la Fuerza Aérea del Perú</w:t>
      </w:r>
      <w:r w:rsidR="00024E0F">
        <w:rPr>
          <w:rStyle w:val="Refdenotaalpie"/>
          <w:rFonts w:ascii="Verdana" w:hAnsi="Verdana" w:cs="Verdana"/>
          <w:sz w:val="20"/>
          <w:szCs w:val="20"/>
          <w:lang w:val="es-CR"/>
        </w:rPr>
        <w:footnoteReference w:id="75"/>
      </w:r>
      <w:r>
        <w:rPr>
          <w:rFonts w:ascii="Verdana" w:hAnsi="Verdana" w:cs="Verdana"/>
          <w:sz w:val="20"/>
          <w:szCs w:val="20"/>
          <w:lang w:val="es-CR"/>
        </w:rPr>
        <w:t>.</w:t>
      </w:r>
      <w:r w:rsidR="00007664">
        <w:rPr>
          <w:rFonts w:ascii="Verdana" w:hAnsi="Verdana" w:cs="Verdana"/>
          <w:sz w:val="20"/>
          <w:szCs w:val="20"/>
          <w:lang w:val="es-CR"/>
        </w:rPr>
        <w:t xml:space="preserve"> </w:t>
      </w:r>
      <w:r w:rsidR="00284420" w:rsidRPr="00F23FB0">
        <w:rPr>
          <w:rFonts w:ascii="Verdana" w:hAnsi="Verdana" w:cs="Verdana"/>
          <w:sz w:val="20"/>
          <w:szCs w:val="20"/>
          <w:lang w:val="es-CR"/>
        </w:rPr>
        <w:t>Al respecto, el Estado únicamente remitió copia de la “Estructura Curricular”</w:t>
      </w:r>
      <w:r w:rsidR="00FD2D48" w:rsidRPr="00F23FB0">
        <w:rPr>
          <w:rFonts w:ascii="Verdana" w:hAnsi="Verdana" w:cs="Verdana"/>
          <w:sz w:val="20"/>
          <w:szCs w:val="20"/>
          <w:lang w:val="es-CR"/>
        </w:rPr>
        <w:t xml:space="preserve"> de mayo de 2019</w:t>
      </w:r>
      <w:r w:rsidR="00284420" w:rsidRPr="00F23FB0">
        <w:rPr>
          <w:rFonts w:ascii="Verdana" w:hAnsi="Verdana" w:cs="Verdana"/>
          <w:sz w:val="20"/>
          <w:szCs w:val="20"/>
          <w:lang w:val="es-CR"/>
        </w:rPr>
        <w:t xml:space="preserve"> del referido “Centro del Derecho Internacional </w:t>
      </w:r>
      <w:r w:rsidR="00284420" w:rsidRPr="00F23FB0">
        <w:rPr>
          <w:rFonts w:ascii="Verdana" w:hAnsi="Verdana" w:cs="Verdana"/>
          <w:sz w:val="20"/>
          <w:szCs w:val="20"/>
          <w:lang w:val="es-CR"/>
        </w:rPr>
        <w:lastRenderedPageBreak/>
        <w:t>Humanitario y Derechos Humanos de las Fuerzas Armadas”</w:t>
      </w:r>
      <w:r w:rsidR="00C93AC3" w:rsidRPr="00F23FB0">
        <w:rPr>
          <w:rFonts w:ascii="Verdana" w:hAnsi="Verdana" w:cs="Verdana"/>
          <w:sz w:val="20"/>
          <w:szCs w:val="20"/>
          <w:lang w:val="es-CR"/>
        </w:rPr>
        <w:t>, en la cual se puede observar que, de los temas específicos requeridos en la Sentencia, la desaparición forzada se analiza en relación con la “Convención Internacional Sobre Desapariciones Forzadas” y el control de convencionalidad no está incluido como parte de los contenidos</w:t>
      </w:r>
      <w:r w:rsidR="000819D6" w:rsidRPr="00F23FB0">
        <w:rPr>
          <w:rFonts w:ascii="Verdana" w:hAnsi="Verdana" w:cs="Verdana"/>
          <w:sz w:val="20"/>
          <w:szCs w:val="20"/>
          <w:lang w:val="es-CR"/>
        </w:rPr>
        <w:t xml:space="preserve"> de la referida malla curricular</w:t>
      </w:r>
      <w:r w:rsidR="000819D6" w:rsidRPr="00F23FB0">
        <w:rPr>
          <w:rStyle w:val="Refdenotaalpie"/>
          <w:rFonts w:ascii="Verdana" w:hAnsi="Verdana" w:cs="Verdana"/>
          <w:sz w:val="20"/>
          <w:szCs w:val="20"/>
          <w:lang w:val="es-CR"/>
        </w:rPr>
        <w:footnoteReference w:id="76"/>
      </w:r>
      <w:r w:rsidR="000819D6" w:rsidRPr="00F23FB0">
        <w:rPr>
          <w:rFonts w:ascii="Verdana" w:hAnsi="Verdana" w:cs="Verdana"/>
          <w:sz w:val="20"/>
          <w:szCs w:val="20"/>
          <w:lang w:val="es-CR"/>
        </w:rPr>
        <w:t>.</w:t>
      </w:r>
    </w:p>
    <w:p w14:paraId="1022AE16" w14:textId="77777777" w:rsidR="00F064DE" w:rsidRPr="00F064DE" w:rsidRDefault="00F064DE" w:rsidP="00F064DE">
      <w:pPr>
        <w:autoSpaceDE w:val="0"/>
        <w:autoSpaceDN w:val="0"/>
        <w:adjustRightInd w:val="0"/>
        <w:spacing w:after="0" w:line="240" w:lineRule="auto"/>
        <w:jc w:val="both"/>
        <w:rPr>
          <w:rFonts w:ascii="Verdana" w:hAnsi="Verdana" w:cs="Verdana"/>
          <w:sz w:val="10"/>
          <w:szCs w:val="10"/>
          <w:lang w:val="es-CR"/>
        </w:rPr>
      </w:pPr>
    </w:p>
    <w:p w14:paraId="1D7D3CBD" w14:textId="77777777" w:rsidR="00F064DE" w:rsidRPr="0070159D" w:rsidRDefault="00D351F7"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Pr>
          <w:rFonts w:ascii="Verdana" w:hAnsi="Verdana" w:cs="Verdana"/>
          <w:sz w:val="20"/>
          <w:szCs w:val="20"/>
          <w:lang w:val="es-CR"/>
        </w:rPr>
        <w:t>Por su parte, los representantes de las víctimas han presentado diversas observaciones al cumplimiento de la presente garantía de no repetición. En primer lugar, el Tribunal recuerda que, a diferencia de lo señalado por los representantes en junio de 2016, la presente medida fue ordenada para ser implementada “</w:t>
      </w:r>
      <w:r w:rsidRPr="002D0752">
        <w:rPr>
          <w:rFonts w:ascii="Verdana" w:hAnsi="Verdana"/>
          <w:sz w:val="20"/>
          <w:szCs w:val="20"/>
          <w:lang w:val="es-CR"/>
        </w:rPr>
        <w:t xml:space="preserve">en las escuelas de formación de las Fuerzas </w:t>
      </w:r>
      <w:r w:rsidRPr="002D0752">
        <w:rPr>
          <w:rFonts w:ascii="Verdana" w:hAnsi="Verdana" w:cs="Verdana"/>
          <w:sz w:val="20"/>
          <w:szCs w:val="20"/>
          <w:lang w:val="es-CR"/>
        </w:rPr>
        <w:t>Armadas</w:t>
      </w:r>
      <w:r>
        <w:rPr>
          <w:rFonts w:ascii="Verdana" w:hAnsi="Verdana" w:cs="Verdana"/>
          <w:sz w:val="20"/>
          <w:szCs w:val="20"/>
          <w:lang w:val="es-CR"/>
        </w:rPr>
        <w:t>” y no incluyó a “los miembros de los servicios de inteligencia” o “jueces y fiscales” (</w:t>
      </w:r>
      <w:r>
        <w:rPr>
          <w:rFonts w:ascii="Verdana" w:hAnsi="Verdana" w:cs="Verdana"/>
          <w:i/>
          <w:sz w:val="20"/>
          <w:szCs w:val="20"/>
          <w:lang w:val="es-CR"/>
        </w:rPr>
        <w:t>supra</w:t>
      </w:r>
      <w:r w:rsidR="005C1892">
        <w:rPr>
          <w:rFonts w:ascii="Verdana" w:hAnsi="Verdana" w:cs="Verdana"/>
          <w:sz w:val="20"/>
          <w:szCs w:val="20"/>
          <w:lang w:val="es-CR"/>
        </w:rPr>
        <w:t xml:space="preserve"> Considerando 38</w:t>
      </w:r>
      <w:r>
        <w:rPr>
          <w:rFonts w:ascii="Verdana" w:hAnsi="Verdana" w:cs="Verdana"/>
          <w:sz w:val="20"/>
          <w:szCs w:val="20"/>
          <w:lang w:val="es-CR"/>
        </w:rPr>
        <w:t>)</w:t>
      </w:r>
      <w:r>
        <w:rPr>
          <w:rStyle w:val="Refdenotaalpie"/>
          <w:rFonts w:ascii="Verdana" w:hAnsi="Verdana" w:cs="Verdana"/>
          <w:sz w:val="20"/>
          <w:szCs w:val="20"/>
          <w:lang w:val="es-CR"/>
        </w:rPr>
        <w:footnoteReference w:id="77"/>
      </w:r>
      <w:r>
        <w:rPr>
          <w:rFonts w:ascii="Verdana" w:hAnsi="Verdana" w:cs="Verdana"/>
          <w:sz w:val="20"/>
          <w:szCs w:val="20"/>
          <w:lang w:val="es-CR"/>
        </w:rPr>
        <w:t>.</w:t>
      </w:r>
      <w:r w:rsidR="00F064DE">
        <w:rPr>
          <w:rFonts w:ascii="Verdana" w:hAnsi="Verdana" w:cs="Verdana"/>
          <w:sz w:val="20"/>
          <w:szCs w:val="20"/>
          <w:lang w:val="es-CR"/>
        </w:rPr>
        <w:t xml:space="preserve"> </w:t>
      </w:r>
      <w:r w:rsidR="00FF0157">
        <w:rPr>
          <w:rFonts w:ascii="Verdana" w:hAnsi="Verdana" w:cs="Verdana"/>
          <w:sz w:val="20"/>
          <w:szCs w:val="20"/>
          <w:lang w:val="es-CR"/>
        </w:rPr>
        <w:t xml:space="preserve">A su vez, </w:t>
      </w:r>
      <w:r w:rsidR="001E077B">
        <w:rPr>
          <w:rFonts w:ascii="Verdana" w:hAnsi="Verdana" w:cs="Verdana"/>
          <w:sz w:val="20"/>
          <w:szCs w:val="20"/>
          <w:lang w:val="es-CR"/>
        </w:rPr>
        <w:t>las principales objeciones</w:t>
      </w:r>
      <w:r w:rsidR="00FF0157">
        <w:rPr>
          <w:rFonts w:ascii="Verdana" w:hAnsi="Verdana" w:cs="Verdana"/>
          <w:sz w:val="20"/>
          <w:szCs w:val="20"/>
          <w:lang w:val="es-CR"/>
        </w:rPr>
        <w:t xml:space="preserve"> de los representantes</w:t>
      </w:r>
      <w:r w:rsidR="001E077B">
        <w:rPr>
          <w:rFonts w:ascii="Verdana" w:hAnsi="Verdana" w:cs="Verdana"/>
          <w:sz w:val="20"/>
          <w:szCs w:val="20"/>
          <w:lang w:val="es-CR"/>
        </w:rPr>
        <w:t xml:space="preserve"> a </w:t>
      </w:r>
      <w:r w:rsidR="00F064DE">
        <w:rPr>
          <w:rFonts w:ascii="Verdana" w:hAnsi="Verdana" w:cs="Verdana"/>
          <w:sz w:val="20"/>
          <w:szCs w:val="20"/>
          <w:lang w:val="es-CR"/>
        </w:rPr>
        <w:t xml:space="preserve">la información </w:t>
      </w:r>
      <w:r w:rsidR="009A2C07">
        <w:rPr>
          <w:rFonts w:ascii="Verdana" w:hAnsi="Verdana" w:cs="Verdana"/>
          <w:sz w:val="20"/>
          <w:szCs w:val="20"/>
          <w:lang w:val="es-CR"/>
        </w:rPr>
        <w:t xml:space="preserve">remitida por </w:t>
      </w:r>
      <w:r w:rsidR="00F064DE">
        <w:rPr>
          <w:rFonts w:ascii="Verdana" w:hAnsi="Verdana" w:cs="Verdana"/>
          <w:sz w:val="20"/>
          <w:szCs w:val="20"/>
          <w:lang w:val="es-CR"/>
        </w:rPr>
        <w:t>el Estado (</w:t>
      </w:r>
      <w:r w:rsidR="00F064DE">
        <w:rPr>
          <w:rFonts w:ascii="Verdana" w:hAnsi="Verdana" w:cs="Verdana"/>
          <w:i/>
          <w:sz w:val="20"/>
          <w:szCs w:val="20"/>
          <w:lang w:val="es-CR"/>
        </w:rPr>
        <w:t xml:space="preserve">supra </w:t>
      </w:r>
      <w:r w:rsidR="005C1892">
        <w:rPr>
          <w:rFonts w:ascii="Verdana" w:hAnsi="Verdana" w:cs="Verdana"/>
          <w:sz w:val="20"/>
          <w:szCs w:val="20"/>
          <w:lang w:val="es-CR"/>
        </w:rPr>
        <w:t>Considerando 41</w:t>
      </w:r>
      <w:r w:rsidR="00F064DE">
        <w:rPr>
          <w:rFonts w:ascii="Verdana" w:hAnsi="Verdana" w:cs="Verdana"/>
          <w:sz w:val="20"/>
          <w:szCs w:val="20"/>
          <w:lang w:val="es-CR"/>
        </w:rPr>
        <w:t xml:space="preserve">), </w:t>
      </w:r>
      <w:r w:rsidR="001E077B">
        <w:rPr>
          <w:rFonts w:ascii="Verdana" w:hAnsi="Verdana" w:cs="Verdana"/>
          <w:sz w:val="20"/>
          <w:szCs w:val="20"/>
          <w:lang w:val="es-CR"/>
        </w:rPr>
        <w:t xml:space="preserve">consisten en que: i) </w:t>
      </w:r>
      <w:r w:rsidR="00F064DE">
        <w:rPr>
          <w:rFonts w:ascii="Verdana" w:hAnsi="Verdana" w:cs="Verdana"/>
          <w:sz w:val="20"/>
          <w:szCs w:val="20"/>
          <w:lang w:val="es-CR"/>
        </w:rPr>
        <w:t>“no se desprende que […] se esté haciendo mención alguna a la Sentencia del caso de […] referencia”, a “los instrumentos internacionales relativos a la desaparición forzada” ni tampoco al “control de convencionalidad y la obligación de implementarlo”</w:t>
      </w:r>
      <w:r w:rsidR="001E077B">
        <w:rPr>
          <w:rFonts w:ascii="Verdana" w:hAnsi="Verdana" w:cs="Verdana"/>
          <w:sz w:val="20"/>
          <w:szCs w:val="20"/>
          <w:lang w:val="es-CR"/>
        </w:rPr>
        <w:t xml:space="preserve">; ii) </w:t>
      </w:r>
      <w:r w:rsidR="00EE590E">
        <w:rPr>
          <w:rFonts w:ascii="Verdana" w:hAnsi="Verdana" w:cs="Verdana"/>
          <w:sz w:val="20"/>
          <w:szCs w:val="20"/>
          <w:lang w:val="es-CR"/>
        </w:rPr>
        <w:t>“aunque pareciera que los programas […] son ‘permanentes’ […] la información aportada por el Estado no evidencia la periodicidad de dichos programas de educación ni el carácter obligatorio de los mismos”</w:t>
      </w:r>
      <w:r w:rsidR="001E077B">
        <w:rPr>
          <w:rFonts w:ascii="Verdana" w:hAnsi="Verdana" w:cs="Verdana"/>
          <w:sz w:val="20"/>
          <w:szCs w:val="20"/>
          <w:lang w:val="es-CR"/>
        </w:rPr>
        <w:t xml:space="preserve">; iii) </w:t>
      </w:r>
      <w:r w:rsidR="00EE590E">
        <w:rPr>
          <w:rFonts w:ascii="Verdana" w:hAnsi="Verdana" w:cs="Verdana"/>
          <w:sz w:val="20"/>
          <w:szCs w:val="20"/>
          <w:lang w:val="es-CR"/>
        </w:rPr>
        <w:t xml:space="preserve">“[se puede] observar que los ‘alumnos’ y los ‘cadetes’, no figuran como personal que ‘pueda’ o ‘deba’ tomar los cursos dictados en </w:t>
      </w:r>
      <w:r w:rsidR="005C1892">
        <w:rPr>
          <w:rFonts w:ascii="Verdana" w:hAnsi="Verdana" w:cs="Verdana"/>
          <w:sz w:val="20"/>
          <w:szCs w:val="20"/>
          <w:lang w:val="es-CR"/>
        </w:rPr>
        <w:t>[</w:t>
      </w:r>
      <w:r w:rsidR="00EE590E">
        <w:rPr>
          <w:rFonts w:ascii="Verdana" w:hAnsi="Verdana" w:cs="Verdana"/>
          <w:sz w:val="20"/>
          <w:szCs w:val="20"/>
          <w:lang w:val="es-CR"/>
        </w:rPr>
        <w:t>e</w:t>
      </w:r>
      <w:r w:rsidR="005C1892">
        <w:rPr>
          <w:rFonts w:ascii="Verdana" w:hAnsi="Verdana" w:cs="Verdana"/>
          <w:sz w:val="20"/>
          <w:szCs w:val="20"/>
          <w:lang w:val="es-CR"/>
        </w:rPr>
        <w:t>]</w:t>
      </w:r>
      <w:r w:rsidR="00EE590E">
        <w:rPr>
          <w:rFonts w:ascii="Verdana" w:hAnsi="Verdana" w:cs="Verdana"/>
          <w:sz w:val="20"/>
          <w:szCs w:val="20"/>
          <w:lang w:val="es-CR"/>
        </w:rPr>
        <w:t>l Centro del Derecho Internacional Humanitario y Derechos Humanos de las Fuerzas Armadas, los cuales son los cursos con el programa ‘más completo’”</w:t>
      </w:r>
      <w:r w:rsidR="001E077B">
        <w:rPr>
          <w:rFonts w:ascii="Verdana" w:hAnsi="Verdana" w:cs="Verdana"/>
          <w:sz w:val="20"/>
          <w:szCs w:val="20"/>
          <w:lang w:val="es-CR"/>
        </w:rPr>
        <w:t>, entre otras</w:t>
      </w:r>
      <w:r w:rsidR="00DC4B52">
        <w:rPr>
          <w:rStyle w:val="Refdenotaalpie"/>
          <w:rFonts w:ascii="Verdana" w:hAnsi="Verdana" w:cs="Verdana"/>
          <w:sz w:val="20"/>
          <w:szCs w:val="20"/>
          <w:lang w:val="es-CR"/>
        </w:rPr>
        <w:footnoteReference w:id="78"/>
      </w:r>
      <w:r w:rsidR="001E077B">
        <w:rPr>
          <w:rFonts w:ascii="Verdana" w:hAnsi="Verdana" w:cs="Verdana"/>
          <w:sz w:val="20"/>
          <w:szCs w:val="20"/>
          <w:lang w:val="es-CR"/>
        </w:rPr>
        <w:t xml:space="preserve">. </w:t>
      </w:r>
      <w:r w:rsidR="009A2C07" w:rsidRPr="0070159D">
        <w:rPr>
          <w:rFonts w:ascii="Verdana" w:hAnsi="Verdana" w:cs="Verdana"/>
          <w:sz w:val="20"/>
          <w:szCs w:val="20"/>
          <w:lang w:val="es-CR"/>
        </w:rPr>
        <w:t xml:space="preserve">Por </w:t>
      </w:r>
      <w:r w:rsidR="0070159D">
        <w:rPr>
          <w:rFonts w:ascii="Verdana" w:hAnsi="Verdana" w:cs="Verdana"/>
          <w:sz w:val="20"/>
          <w:szCs w:val="20"/>
          <w:lang w:val="es-CR"/>
        </w:rPr>
        <w:t>otro lado</w:t>
      </w:r>
      <w:r w:rsidR="009A2C07" w:rsidRPr="0070159D">
        <w:rPr>
          <w:rFonts w:ascii="Verdana" w:hAnsi="Verdana" w:cs="Verdana"/>
          <w:sz w:val="20"/>
          <w:szCs w:val="20"/>
          <w:lang w:val="es-CR"/>
        </w:rPr>
        <w:t>, e</w:t>
      </w:r>
      <w:r w:rsidR="00C94B76" w:rsidRPr="0070159D">
        <w:rPr>
          <w:rFonts w:ascii="Verdana" w:hAnsi="Verdana" w:cs="Verdana"/>
          <w:sz w:val="20"/>
          <w:szCs w:val="20"/>
          <w:lang w:val="es-CR"/>
        </w:rPr>
        <w:t xml:space="preserve">n cuanto a la </w:t>
      </w:r>
      <w:r w:rsidR="009A2C07" w:rsidRPr="0070159D">
        <w:rPr>
          <w:rFonts w:ascii="Verdana" w:hAnsi="Verdana" w:cs="Verdana"/>
          <w:sz w:val="20"/>
          <w:szCs w:val="20"/>
          <w:lang w:val="es-CR"/>
        </w:rPr>
        <w:t>objeción</w:t>
      </w:r>
      <w:r w:rsidR="00705568">
        <w:rPr>
          <w:rFonts w:ascii="Verdana" w:hAnsi="Verdana" w:cs="Verdana"/>
          <w:sz w:val="20"/>
          <w:szCs w:val="20"/>
          <w:lang w:val="es-CR"/>
        </w:rPr>
        <w:t xml:space="preserve"> de los representantes</w:t>
      </w:r>
      <w:r w:rsidR="009A2C07" w:rsidRPr="0070159D">
        <w:rPr>
          <w:rFonts w:ascii="Verdana" w:hAnsi="Verdana" w:cs="Verdana"/>
          <w:sz w:val="20"/>
          <w:szCs w:val="20"/>
          <w:lang w:val="es-CR"/>
        </w:rPr>
        <w:t xml:space="preserve"> relativa</w:t>
      </w:r>
      <w:r w:rsidR="00C94B76" w:rsidRPr="0070159D">
        <w:rPr>
          <w:rFonts w:ascii="Verdana" w:hAnsi="Verdana" w:cs="Verdana"/>
          <w:sz w:val="20"/>
          <w:szCs w:val="20"/>
          <w:lang w:val="es-CR"/>
        </w:rPr>
        <w:t xml:space="preserve"> a</w:t>
      </w:r>
      <w:r w:rsidR="009A2C07" w:rsidRPr="0070159D">
        <w:rPr>
          <w:rFonts w:ascii="Verdana" w:hAnsi="Verdana" w:cs="Verdana"/>
          <w:sz w:val="20"/>
          <w:szCs w:val="20"/>
          <w:lang w:val="es-CR"/>
        </w:rPr>
        <w:t xml:space="preserve"> que el Estado no ha aportado información sobre el “impacto real que las capacitaciones tengan en los integrantes de las Fuerzas Armadas”</w:t>
      </w:r>
      <w:r w:rsidR="00C94B76" w:rsidRPr="0070159D">
        <w:rPr>
          <w:rFonts w:ascii="Verdana" w:hAnsi="Verdana" w:cs="Verdana"/>
          <w:sz w:val="20"/>
          <w:szCs w:val="20"/>
          <w:lang w:val="es-CR"/>
        </w:rPr>
        <w:t xml:space="preserve"> </w:t>
      </w:r>
      <w:r w:rsidR="009A2C07" w:rsidRPr="0070159D">
        <w:rPr>
          <w:rFonts w:ascii="Verdana" w:hAnsi="Verdana" w:cs="Verdana"/>
          <w:sz w:val="20"/>
          <w:szCs w:val="20"/>
          <w:lang w:val="es-CR"/>
        </w:rPr>
        <w:t xml:space="preserve">o </w:t>
      </w:r>
      <w:r w:rsidR="007D4EEE">
        <w:rPr>
          <w:rFonts w:ascii="Verdana" w:hAnsi="Verdana" w:cs="Verdana"/>
          <w:sz w:val="20"/>
          <w:szCs w:val="20"/>
          <w:lang w:val="es-CR"/>
        </w:rPr>
        <w:t>su</w:t>
      </w:r>
      <w:r w:rsidR="009A2C07" w:rsidRPr="0070159D">
        <w:rPr>
          <w:rFonts w:ascii="Verdana" w:hAnsi="Verdana" w:cs="Verdana"/>
          <w:sz w:val="20"/>
          <w:szCs w:val="20"/>
          <w:lang w:val="es-CR"/>
        </w:rPr>
        <w:t xml:space="preserve"> solicitud de que el Tribunal “requiera al Estado elaborar un mecanismo de evaluación y seguimiento de la implementación </w:t>
      </w:r>
      <w:r w:rsidR="009A2C07" w:rsidRPr="009D42DC">
        <w:rPr>
          <w:rFonts w:ascii="Verdana" w:hAnsi="Verdana" w:cs="Verdana"/>
          <w:sz w:val="20"/>
          <w:szCs w:val="20"/>
          <w:lang w:val="es-CR"/>
        </w:rPr>
        <w:t xml:space="preserve">de los conocimientos adquiridos en las capacitaciones que se lleven a cabo”, </w:t>
      </w:r>
      <w:r w:rsidR="007D4EEE" w:rsidRPr="009D42DC">
        <w:rPr>
          <w:rFonts w:ascii="Verdana" w:hAnsi="Verdana" w:cs="Verdana"/>
          <w:sz w:val="20"/>
          <w:szCs w:val="20"/>
          <w:lang w:val="es-CR"/>
        </w:rPr>
        <w:t>la</w:t>
      </w:r>
      <w:r w:rsidR="00C94B76" w:rsidRPr="009D42DC">
        <w:rPr>
          <w:rFonts w:ascii="Verdana" w:hAnsi="Verdana" w:cs="Verdana"/>
          <w:sz w:val="20"/>
          <w:szCs w:val="20"/>
          <w:lang w:val="es-CR"/>
        </w:rPr>
        <w:t xml:space="preserve"> Corte nota que </w:t>
      </w:r>
      <w:r w:rsidR="009A2C07" w:rsidRPr="009D42DC">
        <w:rPr>
          <w:rFonts w:ascii="Verdana" w:hAnsi="Verdana" w:cs="Verdana"/>
          <w:sz w:val="20"/>
          <w:szCs w:val="20"/>
          <w:lang w:val="es-CR"/>
        </w:rPr>
        <w:t>dichas observaciones</w:t>
      </w:r>
      <w:r w:rsidR="00C94B76" w:rsidRPr="0070159D">
        <w:rPr>
          <w:rFonts w:ascii="Verdana" w:hAnsi="Verdana" w:cs="Verdana"/>
          <w:sz w:val="20"/>
          <w:szCs w:val="20"/>
          <w:lang w:val="es-CR"/>
        </w:rPr>
        <w:t xml:space="preserve"> exceden </w:t>
      </w:r>
      <w:r w:rsidR="009A2C07" w:rsidRPr="0070159D">
        <w:rPr>
          <w:rFonts w:ascii="Verdana" w:hAnsi="Verdana" w:cs="Verdana"/>
          <w:sz w:val="20"/>
          <w:szCs w:val="20"/>
          <w:lang w:val="es-CR"/>
        </w:rPr>
        <w:t>a</w:t>
      </w:r>
      <w:r w:rsidR="00C94B76" w:rsidRPr="0070159D">
        <w:rPr>
          <w:rFonts w:ascii="Verdana" w:hAnsi="Verdana" w:cs="Verdana"/>
          <w:sz w:val="20"/>
          <w:szCs w:val="20"/>
          <w:lang w:val="es-CR"/>
        </w:rPr>
        <w:t xml:space="preserve"> la reparación ordenada </w:t>
      </w:r>
      <w:r w:rsidR="009A2C07" w:rsidRPr="0070159D">
        <w:rPr>
          <w:rFonts w:ascii="Verdana" w:hAnsi="Verdana" w:cs="Verdana"/>
          <w:sz w:val="20"/>
          <w:szCs w:val="20"/>
          <w:lang w:val="es-CR"/>
        </w:rPr>
        <w:t xml:space="preserve">en la Sentencia </w:t>
      </w:r>
      <w:r w:rsidR="00C94B76" w:rsidRPr="0070159D">
        <w:rPr>
          <w:rFonts w:ascii="Verdana" w:hAnsi="Verdana" w:cs="Verdana"/>
          <w:sz w:val="20"/>
          <w:szCs w:val="20"/>
          <w:lang w:val="es-CR"/>
        </w:rPr>
        <w:t>y</w:t>
      </w:r>
      <w:r w:rsidR="009A2C07" w:rsidRPr="0070159D">
        <w:rPr>
          <w:rFonts w:ascii="Verdana" w:hAnsi="Verdana" w:cs="Verdana"/>
          <w:sz w:val="20"/>
          <w:szCs w:val="20"/>
          <w:lang w:val="es-CR"/>
        </w:rPr>
        <w:t>, por tanto,</w:t>
      </w:r>
      <w:r w:rsidR="00C94B76" w:rsidRPr="0070159D">
        <w:rPr>
          <w:rFonts w:ascii="Verdana" w:hAnsi="Verdana" w:cs="Verdana"/>
          <w:sz w:val="20"/>
          <w:szCs w:val="20"/>
          <w:lang w:val="es-CR"/>
        </w:rPr>
        <w:t xml:space="preserve"> no serán objeto de supervisión</w:t>
      </w:r>
      <w:r w:rsidR="007D4EEE">
        <w:rPr>
          <w:rFonts w:ascii="Verdana" w:hAnsi="Verdana" w:cs="Verdana"/>
          <w:sz w:val="20"/>
          <w:szCs w:val="20"/>
          <w:lang w:val="es-CR"/>
        </w:rPr>
        <w:t xml:space="preserve"> por este Tribunal</w:t>
      </w:r>
      <w:r>
        <w:rPr>
          <w:rStyle w:val="Refdenotaalpie"/>
          <w:rFonts w:ascii="Verdana" w:hAnsi="Verdana" w:cs="Verdana"/>
          <w:sz w:val="20"/>
          <w:szCs w:val="20"/>
          <w:lang w:val="es-CR"/>
        </w:rPr>
        <w:footnoteReference w:id="79"/>
      </w:r>
      <w:r w:rsidR="00C94B76" w:rsidRPr="0070159D">
        <w:rPr>
          <w:rFonts w:ascii="Verdana" w:hAnsi="Verdana" w:cs="Verdana"/>
          <w:sz w:val="20"/>
          <w:szCs w:val="20"/>
          <w:lang w:val="es-CR"/>
        </w:rPr>
        <w:t xml:space="preserve">. </w:t>
      </w:r>
    </w:p>
    <w:p w14:paraId="688FE1B8" w14:textId="77777777" w:rsidR="000917F8" w:rsidRPr="000917F8" w:rsidRDefault="000917F8" w:rsidP="000917F8">
      <w:pPr>
        <w:autoSpaceDE w:val="0"/>
        <w:autoSpaceDN w:val="0"/>
        <w:adjustRightInd w:val="0"/>
        <w:spacing w:after="0" w:line="240" w:lineRule="auto"/>
        <w:jc w:val="both"/>
        <w:rPr>
          <w:rFonts w:ascii="Verdana" w:hAnsi="Verdana" w:cs="Verdana"/>
          <w:sz w:val="10"/>
          <w:szCs w:val="10"/>
          <w:lang w:val="es-CR"/>
        </w:rPr>
      </w:pPr>
    </w:p>
    <w:p w14:paraId="72D33F7C" w14:textId="77777777" w:rsidR="00FE32E2" w:rsidRPr="009A29A3" w:rsidRDefault="001450ED" w:rsidP="00D50AFF">
      <w:pPr>
        <w:numPr>
          <w:ilvl w:val="0"/>
          <w:numId w:val="26"/>
        </w:numPr>
        <w:autoSpaceDE w:val="0"/>
        <w:autoSpaceDN w:val="0"/>
        <w:adjustRightInd w:val="0"/>
        <w:spacing w:after="0" w:line="240" w:lineRule="auto"/>
        <w:ind w:left="0" w:firstLine="0"/>
        <w:jc w:val="both"/>
        <w:rPr>
          <w:rFonts w:ascii="Verdana" w:hAnsi="Verdana"/>
          <w:sz w:val="10"/>
          <w:szCs w:val="10"/>
          <w:lang w:val="es-CR"/>
        </w:rPr>
      </w:pPr>
      <w:r w:rsidRPr="007D4EEE">
        <w:rPr>
          <w:rFonts w:ascii="Verdana" w:hAnsi="Verdana" w:cs="Verdana"/>
          <w:sz w:val="20"/>
          <w:szCs w:val="20"/>
          <w:lang w:val="es-CR"/>
        </w:rPr>
        <w:t xml:space="preserve">La Corte valora positivamente que el Estado haya presentado en marzo </w:t>
      </w:r>
      <w:r w:rsidR="003E0BCC" w:rsidRPr="00CA4C59">
        <w:rPr>
          <w:rFonts w:ascii="Verdana" w:hAnsi="Verdana" w:cs="Verdana"/>
          <w:sz w:val="20"/>
          <w:szCs w:val="20"/>
          <w:lang w:val="es-CR"/>
        </w:rPr>
        <w:t>y octubre</w:t>
      </w:r>
      <w:r w:rsidR="003E0BCC" w:rsidRPr="003E0BCC">
        <w:rPr>
          <w:rFonts w:ascii="Verdana" w:hAnsi="Verdana" w:cs="Verdana"/>
          <w:sz w:val="20"/>
          <w:szCs w:val="20"/>
          <w:u w:val="single"/>
          <w:lang w:val="es-CR"/>
        </w:rPr>
        <w:t xml:space="preserve"> </w:t>
      </w:r>
      <w:r w:rsidRPr="007D4EEE">
        <w:rPr>
          <w:rFonts w:ascii="Verdana" w:hAnsi="Verdana" w:cs="Verdana"/>
          <w:sz w:val="20"/>
          <w:szCs w:val="20"/>
          <w:lang w:val="es-CR"/>
        </w:rPr>
        <w:t>de 2019 informaci</w:t>
      </w:r>
      <w:r w:rsidR="00C94B76" w:rsidRPr="007D4EEE">
        <w:rPr>
          <w:rFonts w:ascii="Verdana" w:hAnsi="Verdana" w:cs="Verdana"/>
          <w:sz w:val="20"/>
          <w:szCs w:val="20"/>
          <w:lang w:val="es-CR"/>
        </w:rPr>
        <w:t xml:space="preserve">ón sobre cuáles son los “programas académicos” en materia de </w:t>
      </w:r>
      <w:r w:rsidR="00BF218F" w:rsidRPr="007D4EEE">
        <w:rPr>
          <w:rFonts w:ascii="Verdana" w:hAnsi="Verdana"/>
          <w:sz w:val="20"/>
          <w:szCs w:val="20"/>
          <w:lang w:val="es-CR"/>
        </w:rPr>
        <w:t>derechos humanos y derecho internacional humanitario</w:t>
      </w:r>
      <w:r w:rsidR="00C94B76" w:rsidRPr="007D4EEE">
        <w:rPr>
          <w:rFonts w:ascii="Verdana" w:hAnsi="Verdana" w:cs="Verdana"/>
          <w:sz w:val="20"/>
          <w:szCs w:val="20"/>
          <w:lang w:val="es-CR"/>
        </w:rPr>
        <w:t xml:space="preserve"> “que se están desarrollando en las instituciones [e]ducativas” de las Fuerzas Armadas</w:t>
      </w:r>
      <w:r w:rsidR="00BF218F" w:rsidRPr="007D4EEE">
        <w:rPr>
          <w:rFonts w:ascii="Verdana" w:hAnsi="Verdana" w:cs="Verdana"/>
          <w:sz w:val="20"/>
          <w:szCs w:val="20"/>
          <w:lang w:val="es-CR"/>
        </w:rPr>
        <w:t xml:space="preserve"> del Perú</w:t>
      </w:r>
      <w:r w:rsidR="009A2C07" w:rsidRPr="007D4EEE">
        <w:rPr>
          <w:rFonts w:ascii="Verdana" w:hAnsi="Verdana" w:cs="Verdana"/>
          <w:sz w:val="20"/>
          <w:szCs w:val="20"/>
          <w:lang w:val="es-CR"/>
        </w:rPr>
        <w:t xml:space="preserve"> (</w:t>
      </w:r>
      <w:r w:rsidR="009A2C07" w:rsidRPr="007D4EEE">
        <w:rPr>
          <w:rFonts w:ascii="Verdana" w:hAnsi="Verdana" w:cs="Verdana"/>
          <w:i/>
          <w:sz w:val="20"/>
          <w:szCs w:val="20"/>
          <w:lang w:val="es-CR"/>
        </w:rPr>
        <w:t xml:space="preserve">supra </w:t>
      </w:r>
      <w:r w:rsidR="009A2C07" w:rsidRPr="007D4EEE">
        <w:rPr>
          <w:rFonts w:ascii="Verdana" w:hAnsi="Verdana" w:cs="Verdana"/>
          <w:sz w:val="20"/>
          <w:szCs w:val="20"/>
          <w:lang w:val="es-CR"/>
        </w:rPr>
        <w:t xml:space="preserve">Considerando </w:t>
      </w:r>
      <w:r w:rsidR="00217DD5">
        <w:rPr>
          <w:rFonts w:ascii="Verdana" w:hAnsi="Verdana" w:cs="Verdana"/>
          <w:sz w:val="20"/>
          <w:szCs w:val="20"/>
          <w:lang w:val="es-CR"/>
        </w:rPr>
        <w:t>41</w:t>
      </w:r>
      <w:r w:rsidR="009A2C07" w:rsidRPr="007D4EEE">
        <w:rPr>
          <w:rFonts w:ascii="Verdana" w:hAnsi="Verdana" w:cs="Verdana"/>
          <w:sz w:val="20"/>
          <w:szCs w:val="20"/>
          <w:lang w:val="es-CR"/>
        </w:rPr>
        <w:t>)</w:t>
      </w:r>
      <w:r w:rsidR="00BF218F" w:rsidRPr="007D4EEE">
        <w:rPr>
          <w:rFonts w:ascii="Verdana" w:hAnsi="Verdana" w:cs="Verdana"/>
          <w:sz w:val="20"/>
          <w:szCs w:val="20"/>
          <w:lang w:val="es-CR"/>
        </w:rPr>
        <w:t xml:space="preserve">. </w:t>
      </w:r>
      <w:r w:rsidR="007D4EEE" w:rsidRPr="007D4EEE">
        <w:rPr>
          <w:rFonts w:ascii="Verdana" w:hAnsi="Verdana" w:cs="Verdana"/>
          <w:sz w:val="20"/>
          <w:szCs w:val="20"/>
          <w:lang w:val="es-CR"/>
        </w:rPr>
        <w:t xml:space="preserve">Sin embargo, el Tribunal considera que aun cuando de dicha información pareciera desprenderse que el Estado ha venido dando cumplimiento a uno de los extremos de la presente medida, la generalidad de la información remitida por el Perú no permite a la Corte </w:t>
      </w:r>
      <w:r w:rsidR="00D20D8F">
        <w:rPr>
          <w:rFonts w:ascii="Verdana" w:hAnsi="Verdana" w:cs="Verdana"/>
          <w:sz w:val="20"/>
          <w:szCs w:val="20"/>
          <w:lang w:val="es-CR"/>
        </w:rPr>
        <w:t>valorar si, tal como lo señalaron los representantes (</w:t>
      </w:r>
      <w:r w:rsidR="00D20D8F">
        <w:rPr>
          <w:rFonts w:ascii="Verdana" w:hAnsi="Verdana" w:cs="Verdana"/>
          <w:i/>
          <w:sz w:val="20"/>
          <w:szCs w:val="20"/>
          <w:lang w:val="es-CR"/>
        </w:rPr>
        <w:t xml:space="preserve">supra </w:t>
      </w:r>
      <w:r w:rsidR="00217DD5">
        <w:rPr>
          <w:rFonts w:ascii="Verdana" w:hAnsi="Verdana" w:cs="Verdana"/>
          <w:sz w:val="20"/>
          <w:szCs w:val="20"/>
          <w:lang w:val="es-CR"/>
        </w:rPr>
        <w:t>Considerando 42</w:t>
      </w:r>
      <w:r w:rsidR="00D20D8F">
        <w:rPr>
          <w:rFonts w:ascii="Verdana" w:hAnsi="Verdana" w:cs="Verdana"/>
          <w:sz w:val="20"/>
          <w:szCs w:val="20"/>
          <w:lang w:val="es-CR"/>
        </w:rPr>
        <w:t xml:space="preserve">), </w:t>
      </w:r>
      <w:r w:rsidR="007D4EEE" w:rsidRPr="007D4EEE">
        <w:rPr>
          <w:rFonts w:ascii="Verdana" w:hAnsi="Verdana" w:cs="Verdana"/>
          <w:sz w:val="20"/>
          <w:szCs w:val="20"/>
          <w:lang w:val="es-CR"/>
        </w:rPr>
        <w:t>en el contenido de los cursos señalados se está</w:t>
      </w:r>
      <w:r w:rsidR="007D4EEE">
        <w:rPr>
          <w:rFonts w:ascii="Verdana" w:hAnsi="Verdana" w:cs="Verdana"/>
          <w:sz w:val="20"/>
          <w:szCs w:val="20"/>
          <w:lang w:val="es-CR"/>
        </w:rPr>
        <w:t>n</w:t>
      </w:r>
      <w:r w:rsidR="007D4EEE" w:rsidRPr="007D4EEE">
        <w:rPr>
          <w:rFonts w:ascii="Verdana" w:hAnsi="Verdana" w:cs="Verdana"/>
          <w:sz w:val="20"/>
          <w:szCs w:val="20"/>
          <w:lang w:val="es-CR"/>
        </w:rPr>
        <w:t xml:space="preserve"> incluyendo</w:t>
      </w:r>
      <w:r w:rsidR="007D4EEE">
        <w:rPr>
          <w:rFonts w:ascii="Verdana" w:hAnsi="Verdana" w:cs="Verdana"/>
          <w:sz w:val="20"/>
          <w:szCs w:val="20"/>
          <w:lang w:val="es-CR"/>
        </w:rPr>
        <w:t xml:space="preserve"> los estándares internacionales relativos a</w:t>
      </w:r>
      <w:r w:rsidR="007D4EEE" w:rsidRPr="002D0752">
        <w:rPr>
          <w:rFonts w:ascii="Verdana" w:hAnsi="Verdana" w:cs="Verdana"/>
          <w:sz w:val="20"/>
          <w:szCs w:val="20"/>
          <w:lang w:val="es-CR"/>
        </w:rPr>
        <w:t xml:space="preserve"> </w:t>
      </w:r>
      <w:r w:rsidR="007D4EEE">
        <w:rPr>
          <w:rFonts w:ascii="Verdana" w:hAnsi="Verdana" w:cs="Verdana"/>
          <w:sz w:val="20"/>
          <w:szCs w:val="20"/>
          <w:lang w:val="es-CR"/>
        </w:rPr>
        <w:t xml:space="preserve">la </w:t>
      </w:r>
      <w:r w:rsidR="007D4EEE" w:rsidRPr="002D0752">
        <w:rPr>
          <w:rFonts w:ascii="Verdana" w:hAnsi="Verdana" w:cs="Verdana"/>
          <w:sz w:val="20"/>
          <w:szCs w:val="20"/>
          <w:lang w:val="es-CR"/>
        </w:rPr>
        <w:t>desaparición forzada de personas y</w:t>
      </w:r>
      <w:r w:rsidR="007D4EEE">
        <w:rPr>
          <w:rFonts w:ascii="Verdana" w:hAnsi="Verdana" w:cs="Verdana"/>
          <w:sz w:val="20"/>
          <w:szCs w:val="20"/>
          <w:lang w:val="es-CR"/>
        </w:rPr>
        <w:t xml:space="preserve"> el tema de </w:t>
      </w:r>
      <w:r w:rsidR="007D4EEE" w:rsidRPr="002D0752">
        <w:rPr>
          <w:rFonts w:ascii="Verdana" w:hAnsi="Verdana" w:cs="Verdana"/>
          <w:sz w:val="20"/>
          <w:szCs w:val="20"/>
          <w:lang w:val="es-CR"/>
        </w:rPr>
        <w:t>control de convencionalidad</w:t>
      </w:r>
      <w:r w:rsidR="00217DD5">
        <w:rPr>
          <w:rFonts w:ascii="Verdana" w:hAnsi="Verdana" w:cs="Verdana"/>
          <w:sz w:val="20"/>
          <w:szCs w:val="20"/>
          <w:lang w:val="es-CR"/>
        </w:rPr>
        <w:t>.</w:t>
      </w:r>
      <w:r w:rsidR="00715305">
        <w:rPr>
          <w:rFonts w:ascii="Verdana" w:hAnsi="Verdana" w:cs="Verdana"/>
          <w:sz w:val="20"/>
          <w:szCs w:val="20"/>
          <w:lang w:val="es-CR"/>
        </w:rPr>
        <w:t xml:space="preserve"> </w:t>
      </w:r>
      <w:r w:rsidR="003E0BCC" w:rsidRPr="004D7CFD">
        <w:rPr>
          <w:rFonts w:ascii="Verdana" w:hAnsi="Verdana" w:cs="Verdana"/>
          <w:sz w:val="20"/>
          <w:szCs w:val="20"/>
          <w:lang w:val="es-CR"/>
        </w:rPr>
        <w:t>Solamente se pudo constatar que en la malla curricular del “Centro del Derecho Internacional Humanitario y Derechos Humanos de las Fuerzas Armadas” se analiza un instrumento internacional sobre desaparición forzada</w:t>
      </w:r>
      <w:r w:rsidR="007A59F1" w:rsidRPr="004D7CFD">
        <w:rPr>
          <w:rFonts w:ascii="Verdana" w:hAnsi="Verdana" w:cs="Verdana"/>
          <w:sz w:val="20"/>
          <w:szCs w:val="20"/>
          <w:lang w:val="es-CR"/>
        </w:rPr>
        <w:t>, sin que se trate el tema de control de convencionalidad</w:t>
      </w:r>
      <w:r w:rsidR="001A7600" w:rsidRPr="004D7CFD">
        <w:rPr>
          <w:rFonts w:ascii="Verdana" w:hAnsi="Verdana" w:cs="Verdana"/>
          <w:sz w:val="20"/>
          <w:szCs w:val="20"/>
          <w:lang w:val="es-CR"/>
        </w:rPr>
        <w:t xml:space="preserve"> (</w:t>
      </w:r>
      <w:r w:rsidR="001A7600" w:rsidRPr="004D7CFD">
        <w:rPr>
          <w:rFonts w:ascii="Verdana" w:hAnsi="Verdana" w:cs="Verdana"/>
          <w:i/>
          <w:sz w:val="20"/>
          <w:szCs w:val="20"/>
          <w:lang w:val="es-CR"/>
        </w:rPr>
        <w:t xml:space="preserve">supra </w:t>
      </w:r>
      <w:r w:rsidR="00217DD5" w:rsidRPr="004D7CFD">
        <w:rPr>
          <w:rFonts w:ascii="Verdana" w:hAnsi="Verdana" w:cs="Verdana"/>
          <w:sz w:val="20"/>
          <w:szCs w:val="20"/>
          <w:lang w:val="es-CR"/>
        </w:rPr>
        <w:t>Considerando 41</w:t>
      </w:r>
      <w:r w:rsidR="001A7600" w:rsidRPr="004D7CFD">
        <w:rPr>
          <w:rFonts w:ascii="Verdana" w:hAnsi="Verdana" w:cs="Verdana"/>
          <w:sz w:val="20"/>
          <w:szCs w:val="20"/>
          <w:lang w:val="es-CR"/>
        </w:rPr>
        <w:t>)</w:t>
      </w:r>
      <w:r w:rsidR="003E0BCC" w:rsidRPr="003E0BCC">
        <w:rPr>
          <w:rFonts w:ascii="Verdana" w:hAnsi="Verdana" w:cs="Verdana"/>
          <w:sz w:val="20"/>
          <w:szCs w:val="20"/>
          <w:lang w:val="es-CR"/>
        </w:rPr>
        <w:t xml:space="preserve">. </w:t>
      </w:r>
      <w:r w:rsidR="0096212F">
        <w:rPr>
          <w:rFonts w:ascii="Verdana" w:hAnsi="Verdana" w:cs="Verdana"/>
          <w:sz w:val="20"/>
          <w:szCs w:val="20"/>
          <w:lang w:val="es-CR"/>
        </w:rPr>
        <w:t>Es por tanto necesa</w:t>
      </w:r>
      <w:r w:rsidR="00B71952">
        <w:rPr>
          <w:rFonts w:ascii="Verdana" w:hAnsi="Verdana" w:cs="Verdana"/>
          <w:sz w:val="20"/>
          <w:szCs w:val="20"/>
          <w:lang w:val="es-CR"/>
        </w:rPr>
        <w:t xml:space="preserve">rio que el Perú remita copia del contenido de </w:t>
      </w:r>
      <w:r w:rsidR="0096212F">
        <w:rPr>
          <w:rFonts w:ascii="Verdana" w:hAnsi="Verdana" w:cs="Verdana"/>
          <w:sz w:val="20"/>
          <w:szCs w:val="20"/>
          <w:lang w:val="es-CR"/>
        </w:rPr>
        <w:t xml:space="preserve">los programas de </w:t>
      </w:r>
      <w:r w:rsidR="00BC6CA9">
        <w:rPr>
          <w:rFonts w:ascii="Verdana" w:hAnsi="Verdana" w:cs="Verdana"/>
          <w:sz w:val="20"/>
          <w:szCs w:val="20"/>
          <w:lang w:val="es-CR"/>
        </w:rPr>
        <w:t xml:space="preserve">formación o </w:t>
      </w:r>
      <w:r w:rsidR="0096212F">
        <w:rPr>
          <w:rFonts w:ascii="Verdana" w:hAnsi="Verdana" w:cs="Verdana"/>
          <w:sz w:val="20"/>
          <w:szCs w:val="20"/>
          <w:lang w:val="es-CR"/>
        </w:rPr>
        <w:t>estudios de los cursos</w:t>
      </w:r>
      <w:r w:rsidR="003E0BCC">
        <w:rPr>
          <w:rFonts w:ascii="Verdana" w:hAnsi="Verdana" w:cs="Verdana"/>
          <w:sz w:val="20"/>
          <w:szCs w:val="20"/>
          <w:lang w:val="es-CR"/>
        </w:rPr>
        <w:t xml:space="preserve"> </w:t>
      </w:r>
      <w:r w:rsidR="003E0BCC" w:rsidRPr="004D7CFD">
        <w:rPr>
          <w:rFonts w:ascii="Verdana" w:hAnsi="Verdana" w:cs="Verdana"/>
          <w:sz w:val="20"/>
          <w:szCs w:val="20"/>
          <w:lang w:val="es-CR"/>
        </w:rPr>
        <w:t>de todos los centros referidos por el Estado (</w:t>
      </w:r>
      <w:r w:rsidR="003E0BCC" w:rsidRPr="004D7CFD">
        <w:rPr>
          <w:rFonts w:ascii="Verdana" w:hAnsi="Verdana" w:cs="Verdana"/>
          <w:i/>
          <w:sz w:val="20"/>
          <w:szCs w:val="20"/>
          <w:lang w:val="es-CR"/>
        </w:rPr>
        <w:t xml:space="preserve">supra </w:t>
      </w:r>
      <w:r w:rsidR="00217DD5" w:rsidRPr="004D7CFD">
        <w:rPr>
          <w:rFonts w:ascii="Verdana" w:hAnsi="Verdana" w:cs="Verdana"/>
          <w:sz w:val="20"/>
          <w:szCs w:val="20"/>
          <w:lang w:val="es-CR"/>
        </w:rPr>
        <w:t>Considerando 41</w:t>
      </w:r>
      <w:r w:rsidR="003E0BCC" w:rsidRPr="004D7CFD">
        <w:rPr>
          <w:rFonts w:ascii="Verdana" w:hAnsi="Verdana" w:cs="Verdana"/>
          <w:sz w:val="20"/>
          <w:szCs w:val="20"/>
          <w:lang w:val="es-CR"/>
        </w:rPr>
        <w:t>)</w:t>
      </w:r>
      <w:r w:rsidR="0096212F">
        <w:rPr>
          <w:rFonts w:ascii="Verdana" w:hAnsi="Verdana" w:cs="Verdana"/>
          <w:sz w:val="20"/>
          <w:szCs w:val="20"/>
          <w:lang w:val="es-CR"/>
        </w:rPr>
        <w:t xml:space="preserve">. </w:t>
      </w:r>
      <w:r w:rsidR="00715305">
        <w:rPr>
          <w:rFonts w:ascii="Verdana" w:hAnsi="Verdana" w:cs="Verdana"/>
          <w:sz w:val="20"/>
          <w:szCs w:val="20"/>
          <w:lang w:val="es-CR"/>
        </w:rPr>
        <w:t xml:space="preserve">Asimismo, el Estado no ha brindado una explicación detallada respecto de cuál es el carácter obligatorio de los referidos cursos para </w:t>
      </w:r>
      <w:r w:rsidR="00633FFC">
        <w:rPr>
          <w:rFonts w:ascii="Verdana" w:hAnsi="Verdana" w:cs="Verdana"/>
          <w:sz w:val="20"/>
          <w:szCs w:val="20"/>
          <w:lang w:val="es-CR"/>
        </w:rPr>
        <w:t xml:space="preserve">todos </w:t>
      </w:r>
      <w:r w:rsidR="00715305">
        <w:rPr>
          <w:rFonts w:ascii="Verdana" w:hAnsi="Verdana" w:cs="Verdana"/>
          <w:sz w:val="20"/>
          <w:szCs w:val="20"/>
          <w:lang w:val="es-CR"/>
        </w:rPr>
        <w:t>los miembros de las Fuerzas Armadas</w:t>
      </w:r>
      <w:r w:rsidR="00633FFC">
        <w:rPr>
          <w:rFonts w:ascii="Verdana" w:hAnsi="Verdana" w:cs="Verdana"/>
          <w:sz w:val="20"/>
          <w:szCs w:val="20"/>
          <w:lang w:val="es-CR"/>
        </w:rPr>
        <w:t xml:space="preserve"> referidos previamente</w:t>
      </w:r>
      <w:r w:rsidR="00715305">
        <w:rPr>
          <w:rFonts w:ascii="Verdana" w:hAnsi="Verdana" w:cs="Verdana"/>
          <w:sz w:val="20"/>
          <w:szCs w:val="20"/>
          <w:lang w:val="es-CR"/>
        </w:rPr>
        <w:t>, cuántos de dichos miembros han accedido a los cursos en cuestión ni cómo se acredita la permanencia y periodicidad de mismos.</w:t>
      </w:r>
      <w:r w:rsidR="007D4EEE">
        <w:rPr>
          <w:rFonts w:ascii="Verdana" w:hAnsi="Verdana" w:cs="Verdana"/>
          <w:sz w:val="20"/>
          <w:szCs w:val="20"/>
          <w:lang w:val="es-CR"/>
        </w:rPr>
        <w:t xml:space="preserve"> </w:t>
      </w:r>
    </w:p>
    <w:p w14:paraId="2D376A9D" w14:textId="77777777" w:rsidR="009A29A3" w:rsidRPr="009A29A3" w:rsidRDefault="009A29A3" w:rsidP="009A29A3">
      <w:pPr>
        <w:autoSpaceDE w:val="0"/>
        <w:autoSpaceDN w:val="0"/>
        <w:adjustRightInd w:val="0"/>
        <w:spacing w:after="0" w:line="240" w:lineRule="auto"/>
        <w:jc w:val="both"/>
        <w:rPr>
          <w:rFonts w:ascii="Verdana" w:hAnsi="Verdana"/>
          <w:sz w:val="10"/>
          <w:szCs w:val="10"/>
          <w:lang w:val="es-CR"/>
        </w:rPr>
      </w:pPr>
    </w:p>
    <w:p w14:paraId="4201D889" w14:textId="77777777" w:rsidR="009A29A3" w:rsidRPr="00BA580D" w:rsidRDefault="009A29A3" w:rsidP="00D50AFF">
      <w:pPr>
        <w:numPr>
          <w:ilvl w:val="0"/>
          <w:numId w:val="26"/>
        </w:numPr>
        <w:autoSpaceDE w:val="0"/>
        <w:autoSpaceDN w:val="0"/>
        <w:adjustRightInd w:val="0"/>
        <w:spacing w:after="0" w:line="240" w:lineRule="auto"/>
        <w:ind w:left="0" w:firstLine="0"/>
        <w:jc w:val="both"/>
        <w:rPr>
          <w:rFonts w:ascii="Verdana" w:hAnsi="Verdana" w:cs="Verdana"/>
          <w:sz w:val="20"/>
          <w:szCs w:val="20"/>
          <w:lang w:val="es-CR"/>
        </w:rPr>
      </w:pPr>
      <w:r w:rsidRPr="009A29A3">
        <w:rPr>
          <w:rFonts w:ascii="Verdana" w:hAnsi="Verdana"/>
          <w:sz w:val="20"/>
          <w:szCs w:val="20"/>
          <w:lang w:val="es-CR"/>
        </w:rPr>
        <w:t>En consecuencia</w:t>
      </w:r>
      <w:r w:rsidR="005740E1">
        <w:rPr>
          <w:rFonts w:ascii="Verdana" w:hAnsi="Verdana"/>
          <w:sz w:val="20"/>
          <w:szCs w:val="20"/>
          <w:lang w:val="es-CR"/>
        </w:rPr>
        <w:t>,</w:t>
      </w:r>
      <w:r w:rsidR="00BA580D" w:rsidRPr="00BA580D">
        <w:rPr>
          <w:lang w:val="es-CR"/>
        </w:rPr>
        <w:t xml:space="preserve"> </w:t>
      </w:r>
      <w:r w:rsidR="00BA580D" w:rsidRPr="00BA580D">
        <w:rPr>
          <w:rFonts w:ascii="Verdana" w:hAnsi="Verdana" w:cs="Verdana"/>
          <w:sz w:val="20"/>
          <w:szCs w:val="20"/>
          <w:lang w:val="es-CR"/>
        </w:rPr>
        <w:t>este Tribunal considera que se encuentra pendiente de</w:t>
      </w:r>
      <w:r w:rsidR="00F03B00">
        <w:rPr>
          <w:rFonts w:ascii="Verdana" w:hAnsi="Verdana" w:cs="Verdana"/>
          <w:sz w:val="20"/>
          <w:szCs w:val="20"/>
          <w:lang w:val="es-CR"/>
        </w:rPr>
        <w:t xml:space="preserve"> cumplimiento la medida relativa a </w:t>
      </w:r>
      <w:r w:rsidR="00F03B00" w:rsidRPr="002D0752">
        <w:rPr>
          <w:rFonts w:ascii="Verdana" w:hAnsi="Verdana"/>
          <w:sz w:val="20"/>
          <w:szCs w:val="20"/>
          <w:lang w:val="es-CR"/>
        </w:rPr>
        <w:t xml:space="preserve">implementar, en un plazo razonable, programas permanentes de derechos humanos y derecho internacional humanitario en las escuelas de formación de las Fuerzas </w:t>
      </w:r>
      <w:r w:rsidR="00F03B00">
        <w:rPr>
          <w:rFonts w:ascii="Verdana" w:hAnsi="Verdana" w:cs="Verdana"/>
          <w:sz w:val="20"/>
          <w:szCs w:val="20"/>
          <w:lang w:val="es-CR"/>
        </w:rPr>
        <w:t xml:space="preserve">Armadas, según fue ordenada </w:t>
      </w:r>
      <w:r w:rsidR="00BA580D" w:rsidRPr="00BA580D">
        <w:rPr>
          <w:rFonts w:ascii="Verdana" w:hAnsi="Verdana" w:cs="Verdana"/>
          <w:sz w:val="20"/>
          <w:szCs w:val="20"/>
          <w:lang w:val="es-CR"/>
        </w:rPr>
        <w:t xml:space="preserve">en el punto resolutivo décimo </w:t>
      </w:r>
      <w:r w:rsidR="00BA580D">
        <w:rPr>
          <w:rFonts w:ascii="Verdana" w:hAnsi="Verdana" w:cs="Verdana"/>
          <w:sz w:val="20"/>
          <w:szCs w:val="20"/>
          <w:lang w:val="es-CR"/>
        </w:rPr>
        <w:t xml:space="preserve">tercero </w:t>
      </w:r>
      <w:r w:rsidR="00BA580D" w:rsidRPr="00BA580D">
        <w:rPr>
          <w:rFonts w:ascii="Verdana" w:hAnsi="Verdana" w:cs="Verdana"/>
          <w:sz w:val="20"/>
          <w:szCs w:val="20"/>
          <w:lang w:val="es-CR"/>
        </w:rPr>
        <w:t>de la Sentencia</w:t>
      </w:r>
      <w:r w:rsidR="00BA580D">
        <w:rPr>
          <w:rFonts w:ascii="Verdana" w:hAnsi="Verdana" w:cs="Verdana"/>
          <w:sz w:val="20"/>
          <w:szCs w:val="20"/>
          <w:lang w:val="es-CR"/>
        </w:rPr>
        <w:t>.</w:t>
      </w:r>
    </w:p>
    <w:p w14:paraId="5BDCCEE4" w14:textId="77777777" w:rsidR="00FE32E2" w:rsidRPr="00FE32E2" w:rsidRDefault="00FE32E2" w:rsidP="002C70F6">
      <w:pPr>
        <w:autoSpaceDE w:val="0"/>
        <w:autoSpaceDN w:val="0"/>
        <w:adjustRightInd w:val="0"/>
        <w:spacing w:after="0" w:line="240" w:lineRule="auto"/>
        <w:jc w:val="both"/>
        <w:rPr>
          <w:rFonts w:ascii="Verdana" w:hAnsi="Verdana"/>
          <w:sz w:val="14"/>
          <w:szCs w:val="14"/>
          <w:lang w:val="es-MX"/>
        </w:rPr>
      </w:pPr>
    </w:p>
    <w:p w14:paraId="40F9F9D6" w14:textId="77777777" w:rsidR="001052AB" w:rsidRPr="0099378D" w:rsidRDefault="001052AB" w:rsidP="004B6FAC">
      <w:pPr>
        <w:pStyle w:val="Cuadrculamedia1-nfasis21"/>
        <w:numPr>
          <w:ilvl w:val="0"/>
          <w:numId w:val="7"/>
        </w:numPr>
        <w:spacing w:after="0" w:line="240" w:lineRule="auto"/>
        <w:contextualSpacing w:val="0"/>
        <w:jc w:val="both"/>
        <w:outlineLvl w:val="0"/>
        <w:rPr>
          <w:rFonts w:ascii="Verdana" w:hAnsi="Verdana"/>
          <w:b/>
          <w:i/>
          <w:sz w:val="20"/>
          <w:lang w:val="es-MX"/>
        </w:rPr>
      </w:pPr>
      <w:bookmarkStart w:id="11" w:name="_Toc23770418"/>
      <w:bookmarkStart w:id="12" w:name="_Toc495655662"/>
      <w:r w:rsidRPr="0099378D">
        <w:rPr>
          <w:rFonts w:ascii="Verdana" w:hAnsi="Verdana"/>
          <w:b/>
          <w:i/>
          <w:sz w:val="20"/>
          <w:lang w:val="es-MX"/>
        </w:rPr>
        <w:t>Pago de indemnizaciones por concepto de daño</w:t>
      </w:r>
      <w:r w:rsidR="00316A39" w:rsidRPr="0099378D">
        <w:rPr>
          <w:rFonts w:ascii="Verdana" w:hAnsi="Verdana"/>
          <w:b/>
          <w:i/>
          <w:sz w:val="20"/>
          <w:lang w:val="es-MX"/>
        </w:rPr>
        <w:t>s</w:t>
      </w:r>
      <w:r w:rsidRPr="0099378D">
        <w:rPr>
          <w:rFonts w:ascii="Verdana" w:hAnsi="Verdana"/>
          <w:b/>
          <w:i/>
          <w:sz w:val="20"/>
          <w:lang w:val="es-MX"/>
        </w:rPr>
        <w:t xml:space="preserve"> material</w:t>
      </w:r>
      <w:r w:rsidR="00316A39" w:rsidRPr="0099378D">
        <w:rPr>
          <w:rFonts w:ascii="Verdana" w:hAnsi="Verdana"/>
          <w:b/>
          <w:i/>
          <w:sz w:val="20"/>
          <w:lang w:val="es-MX"/>
        </w:rPr>
        <w:t>es</w:t>
      </w:r>
      <w:r w:rsidRPr="0099378D">
        <w:rPr>
          <w:rFonts w:ascii="Verdana" w:hAnsi="Verdana"/>
          <w:b/>
          <w:i/>
          <w:sz w:val="20"/>
          <w:lang w:val="es-MX"/>
        </w:rPr>
        <w:t xml:space="preserve"> e inmaterial</w:t>
      </w:r>
      <w:r w:rsidR="00316A39" w:rsidRPr="0099378D">
        <w:rPr>
          <w:rFonts w:ascii="Verdana" w:hAnsi="Verdana"/>
          <w:b/>
          <w:i/>
          <w:sz w:val="20"/>
          <w:lang w:val="es-MX"/>
        </w:rPr>
        <w:t>es</w:t>
      </w:r>
      <w:bookmarkEnd w:id="11"/>
      <w:r w:rsidRPr="0099378D">
        <w:rPr>
          <w:rFonts w:ascii="Verdana" w:hAnsi="Verdana"/>
          <w:b/>
          <w:i/>
          <w:sz w:val="20"/>
          <w:lang w:val="es-MX"/>
        </w:rPr>
        <w:t xml:space="preserve"> </w:t>
      </w:r>
      <w:bookmarkEnd w:id="12"/>
      <w:r w:rsidR="006E7F4C" w:rsidRPr="0099378D">
        <w:rPr>
          <w:rFonts w:ascii="Verdana" w:hAnsi="Verdana"/>
          <w:b/>
          <w:i/>
          <w:sz w:val="20"/>
          <w:lang w:val="es-MX"/>
        </w:rPr>
        <w:t>y reintegro de costas y gastos</w:t>
      </w:r>
    </w:p>
    <w:p w14:paraId="50F26DFE" w14:textId="77777777" w:rsidR="00800D7D" w:rsidRPr="0099378D" w:rsidRDefault="00800D7D" w:rsidP="001E0FFB">
      <w:pPr>
        <w:pStyle w:val="Cuadrculamedia1-nfasis21"/>
        <w:spacing w:after="0" w:line="240" w:lineRule="auto"/>
        <w:ind w:left="0"/>
        <w:contextualSpacing w:val="0"/>
        <w:jc w:val="both"/>
        <w:outlineLvl w:val="0"/>
        <w:rPr>
          <w:rFonts w:ascii="Verdana" w:hAnsi="Verdana"/>
          <w:sz w:val="14"/>
          <w:szCs w:val="14"/>
          <w:lang w:val="es-MX"/>
        </w:rPr>
      </w:pPr>
    </w:p>
    <w:p w14:paraId="7F728EA6" w14:textId="77777777" w:rsidR="005F2113" w:rsidRPr="0099378D" w:rsidRDefault="00FE32E2" w:rsidP="004B6FAC">
      <w:pPr>
        <w:pStyle w:val="Cuadrculamedia1-nfasis21"/>
        <w:spacing w:after="0" w:line="240" w:lineRule="auto"/>
        <w:ind w:left="450"/>
        <w:contextualSpacing w:val="0"/>
        <w:jc w:val="both"/>
        <w:rPr>
          <w:rFonts w:ascii="Verdana" w:hAnsi="Verdana"/>
          <w:i/>
          <w:sz w:val="20"/>
          <w:szCs w:val="20"/>
          <w:lang w:val="es-MX"/>
        </w:rPr>
      </w:pPr>
      <w:r w:rsidRPr="0099378D">
        <w:rPr>
          <w:rFonts w:ascii="Verdana" w:hAnsi="Verdana"/>
          <w:i/>
          <w:sz w:val="20"/>
          <w:szCs w:val="20"/>
          <w:lang w:val="es-MX"/>
        </w:rPr>
        <w:t>H</w:t>
      </w:r>
      <w:r w:rsidR="005F2113" w:rsidRPr="0099378D">
        <w:rPr>
          <w:rFonts w:ascii="Verdana" w:hAnsi="Verdana"/>
          <w:i/>
          <w:sz w:val="20"/>
          <w:szCs w:val="20"/>
          <w:lang w:val="es-MX"/>
        </w:rPr>
        <w:t xml:space="preserve">.1 Medida ordenada por la Corte </w:t>
      </w:r>
    </w:p>
    <w:p w14:paraId="68D76D4A" w14:textId="77777777" w:rsidR="002C70F6" w:rsidRPr="0099378D" w:rsidRDefault="002C70F6" w:rsidP="001E0FFB">
      <w:pPr>
        <w:pStyle w:val="Cuadrculamedia1-nfasis21"/>
        <w:spacing w:after="0" w:line="240" w:lineRule="auto"/>
        <w:ind w:left="0"/>
        <w:contextualSpacing w:val="0"/>
        <w:jc w:val="both"/>
        <w:rPr>
          <w:rFonts w:ascii="Verdana" w:hAnsi="Verdana"/>
          <w:sz w:val="14"/>
          <w:szCs w:val="14"/>
          <w:lang w:val="es-MX"/>
        </w:rPr>
      </w:pPr>
    </w:p>
    <w:p w14:paraId="2B889ACF" w14:textId="77777777" w:rsidR="00FA7C94" w:rsidRPr="00A86AED" w:rsidRDefault="001E0FFB" w:rsidP="00D50AFF">
      <w:pPr>
        <w:numPr>
          <w:ilvl w:val="0"/>
          <w:numId w:val="26"/>
        </w:numPr>
        <w:autoSpaceDE w:val="0"/>
        <w:autoSpaceDN w:val="0"/>
        <w:adjustRightInd w:val="0"/>
        <w:spacing w:after="0" w:line="240" w:lineRule="auto"/>
        <w:ind w:left="0" w:firstLine="0"/>
        <w:jc w:val="both"/>
        <w:rPr>
          <w:rFonts w:ascii="Verdana" w:hAnsi="Verdana"/>
          <w:sz w:val="20"/>
          <w:szCs w:val="20"/>
          <w:lang w:val="es-MX"/>
        </w:rPr>
      </w:pPr>
      <w:r w:rsidRPr="0099378D">
        <w:rPr>
          <w:rFonts w:ascii="Verdana" w:hAnsi="Verdana" w:cs="Verdana"/>
          <w:sz w:val="20"/>
          <w:szCs w:val="20"/>
          <w:lang w:val="es-CR"/>
        </w:rPr>
        <w:t xml:space="preserve">En el punto dispositivo décimo cuarto y en los párrafos </w:t>
      </w:r>
      <w:r w:rsidR="006E7F4C" w:rsidRPr="0099378D">
        <w:rPr>
          <w:rFonts w:ascii="Verdana" w:hAnsi="Verdana" w:cs="Verdana"/>
          <w:sz w:val="20"/>
          <w:szCs w:val="20"/>
          <w:lang w:val="es-CR"/>
        </w:rPr>
        <w:t>280, 283, 288, 289, 290</w:t>
      </w:r>
      <w:r w:rsidR="009E73DA" w:rsidRPr="0099378D">
        <w:rPr>
          <w:rFonts w:ascii="Verdana" w:hAnsi="Verdana" w:cs="Verdana"/>
          <w:sz w:val="20"/>
          <w:szCs w:val="20"/>
          <w:lang w:val="es-CR"/>
        </w:rPr>
        <w:t xml:space="preserve"> y </w:t>
      </w:r>
      <w:r w:rsidR="006E7F4C" w:rsidRPr="0099378D">
        <w:rPr>
          <w:rFonts w:ascii="Verdana" w:hAnsi="Verdana" w:cs="Verdana"/>
          <w:sz w:val="20"/>
          <w:szCs w:val="20"/>
          <w:lang w:val="es-CR"/>
        </w:rPr>
        <w:t xml:space="preserve">296 </w:t>
      </w:r>
      <w:r w:rsidR="006702AA" w:rsidRPr="0099378D">
        <w:rPr>
          <w:rFonts w:ascii="Verdana" w:hAnsi="Verdana" w:cs="Verdana"/>
          <w:sz w:val="20"/>
          <w:szCs w:val="20"/>
          <w:lang w:val="es-CR"/>
        </w:rPr>
        <w:t>de la Sentencia</w:t>
      </w:r>
      <w:r w:rsidRPr="0099378D">
        <w:rPr>
          <w:rFonts w:ascii="Verdana" w:hAnsi="Verdana" w:cs="Verdana"/>
          <w:sz w:val="20"/>
          <w:szCs w:val="20"/>
          <w:lang w:val="es-CR"/>
        </w:rPr>
        <w:t xml:space="preserve">, la Corte dispuso que el Estado </w:t>
      </w:r>
      <w:r w:rsidR="0099378D">
        <w:rPr>
          <w:rFonts w:ascii="Verdana" w:hAnsi="Verdana" w:cs="Verdana"/>
          <w:sz w:val="20"/>
          <w:szCs w:val="20"/>
          <w:lang w:val="es-CR"/>
        </w:rPr>
        <w:t>debía</w:t>
      </w:r>
      <w:r w:rsidRPr="0099378D">
        <w:rPr>
          <w:rFonts w:ascii="Verdana" w:hAnsi="Verdana" w:cs="Verdana"/>
          <w:sz w:val="20"/>
          <w:szCs w:val="20"/>
          <w:lang w:val="es-CR"/>
        </w:rPr>
        <w:t xml:space="preserve"> realizar los pagos </w:t>
      </w:r>
      <w:r w:rsidR="006702AA" w:rsidRPr="0099378D">
        <w:rPr>
          <w:rFonts w:ascii="Verdana" w:hAnsi="Verdana"/>
          <w:sz w:val="20"/>
          <w:szCs w:val="20"/>
          <w:lang w:val="es-CR"/>
        </w:rPr>
        <w:t xml:space="preserve">de las cantidades establecidas </w:t>
      </w:r>
      <w:r w:rsidRPr="0099378D">
        <w:rPr>
          <w:rFonts w:ascii="Verdana" w:hAnsi="Verdana" w:cs="Verdana"/>
          <w:sz w:val="20"/>
          <w:szCs w:val="20"/>
          <w:lang w:val="es-CR"/>
        </w:rPr>
        <w:t>por concepto de daños materiales</w:t>
      </w:r>
      <w:r w:rsidR="009E73DA" w:rsidRPr="0099378D">
        <w:rPr>
          <w:rStyle w:val="Refdenotaalpie"/>
          <w:rFonts w:ascii="Verdana" w:hAnsi="Verdana" w:cs="Verdana"/>
          <w:sz w:val="20"/>
          <w:szCs w:val="20"/>
          <w:lang w:val="es-CR"/>
        </w:rPr>
        <w:footnoteReference w:id="80"/>
      </w:r>
      <w:r w:rsidRPr="0099378D">
        <w:rPr>
          <w:rFonts w:ascii="Verdana" w:hAnsi="Verdana" w:cs="Verdana"/>
          <w:sz w:val="20"/>
          <w:szCs w:val="20"/>
          <w:lang w:val="es-CR"/>
        </w:rPr>
        <w:t>, daños inmateriales</w:t>
      </w:r>
      <w:r w:rsidR="0099378D">
        <w:rPr>
          <w:rStyle w:val="Refdenotaalpie"/>
          <w:rFonts w:ascii="Verdana" w:hAnsi="Verdana" w:cs="Verdana"/>
          <w:sz w:val="20"/>
          <w:szCs w:val="20"/>
          <w:lang w:val="es-CR"/>
        </w:rPr>
        <w:footnoteReference w:id="81"/>
      </w:r>
      <w:r w:rsidRPr="0099378D">
        <w:rPr>
          <w:rFonts w:ascii="Verdana" w:hAnsi="Verdana" w:cs="Verdana"/>
          <w:sz w:val="20"/>
          <w:szCs w:val="20"/>
          <w:lang w:val="es-CR"/>
        </w:rPr>
        <w:t xml:space="preserve"> y reintegro de costas y gastos</w:t>
      </w:r>
      <w:r w:rsidRPr="0099378D">
        <w:rPr>
          <w:rStyle w:val="Refdenotaalpie"/>
          <w:rFonts w:ascii="Verdana" w:hAnsi="Verdana" w:cs="Verdana"/>
          <w:sz w:val="20"/>
          <w:szCs w:val="20"/>
          <w:lang w:val="es-CR"/>
        </w:rPr>
        <w:footnoteReference w:id="82"/>
      </w:r>
      <w:r w:rsidRPr="0099378D">
        <w:rPr>
          <w:rFonts w:ascii="Verdana" w:hAnsi="Verdana" w:cs="Verdana"/>
          <w:sz w:val="20"/>
          <w:szCs w:val="20"/>
          <w:lang w:val="es-CR"/>
        </w:rPr>
        <w:t>. La Corte dispuso</w:t>
      </w:r>
      <w:r w:rsidR="00DE1B98">
        <w:rPr>
          <w:rFonts w:ascii="Verdana" w:hAnsi="Verdana" w:cs="Verdana"/>
          <w:sz w:val="20"/>
          <w:szCs w:val="20"/>
          <w:lang w:val="es-CR"/>
        </w:rPr>
        <w:t xml:space="preserve"> en el párrafo 300 de la Sentencia que</w:t>
      </w:r>
      <w:r w:rsidRPr="0099378D">
        <w:rPr>
          <w:rFonts w:ascii="Verdana" w:hAnsi="Verdana" w:cs="Verdana"/>
          <w:sz w:val="20"/>
          <w:szCs w:val="20"/>
          <w:lang w:val="es-CR"/>
        </w:rPr>
        <w:t xml:space="preserve"> </w:t>
      </w:r>
      <w:r w:rsidR="00DE1B98">
        <w:rPr>
          <w:rFonts w:ascii="Verdana" w:hAnsi="Verdana" w:cs="Verdana"/>
          <w:sz w:val="20"/>
          <w:szCs w:val="20"/>
          <w:lang w:val="es-CR"/>
        </w:rPr>
        <w:t>e</w:t>
      </w:r>
      <w:r w:rsidR="00DE1B98">
        <w:rPr>
          <w:lang w:val="es-CR"/>
        </w:rPr>
        <w:t xml:space="preserve">l </w:t>
      </w:r>
      <w:r w:rsidR="00DE1B98" w:rsidRPr="00DE1B98">
        <w:rPr>
          <w:rFonts w:ascii="Verdana" w:hAnsi="Verdana" w:cs="Verdana"/>
          <w:sz w:val="20"/>
          <w:szCs w:val="20"/>
          <w:lang w:val="es-CR"/>
        </w:rPr>
        <w:t xml:space="preserve">Estado debería efectuar el pago de las </w:t>
      </w:r>
      <w:r w:rsidR="00DE1B98">
        <w:rPr>
          <w:rFonts w:ascii="Verdana" w:hAnsi="Verdana" w:cs="Verdana"/>
          <w:sz w:val="20"/>
          <w:szCs w:val="20"/>
          <w:lang w:val="es-CR"/>
        </w:rPr>
        <w:t xml:space="preserve">referidas </w:t>
      </w:r>
      <w:r w:rsidR="00DE1B98" w:rsidRPr="00DE1B98">
        <w:rPr>
          <w:rFonts w:ascii="Verdana" w:hAnsi="Verdana" w:cs="Verdana"/>
          <w:sz w:val="20"/>
          <w:szCs w:val="20"/>
          <w:lang w:val="es-CR"/>
        </w:rPr>
        <w:t>indemnizaciones y el reintegro de costas y gastos directamente a las personas y organizaciones indicadas en la misma, dentro del plazo de un año, contado a partir de la notificación del Fallo</w:t>
      </w:r>
      <w:r w:rsidR="00DE1B98">
        <w:rPr>
          <w:rFonts w:ascii="Verdana" w:hAnsi="Verdana" w:cs="Verdana"/>
          <w:sz w:val="20"/>
          <w:szCs w:val="20"/>
          <w:lang w:val="es-CR"/>
        </w:rPr>
        <w:t>. También en el párrafo 305 de la Sentencia</w:t>
      </w:r>
      <w:r w:rsidRPr="00DE1B98">
        <w:rPr>
          <w:rFonts w:ascii="Verdana" w:hAnsi="Verdana" w:cs="Verdana"/>
          <w:sz w:val="20"/>
          <w:szCs w:val="20"/>
          <w:lang w:val="es-CR"/>
        </w:rPr>
        <w:t xml:space="preserve"> que, en caso </w:t>
      </w:r>
      <w:r w:rsidRPr="00A86AED">
        <w:rPr>
          <w:rFonts w:ascii="Verdana" w:hAnsi="Verdana" w:cs="Verdana"/>
          <w:sz w:val="20"/>
          <w:szCs w:val="20"/>
          <w:lang w:val="es-CR"/>
        </w:rPr>
        <w:t xml:space="preserve">de </w:t>
      </w:r>
      <w:r w:rsidR="00DE1B98" w:rsidRPr="00A86AED">
        <w:rPr>
          <w:rFonts w:ascii="Verdana" w:hAnsi="Verdana" w:cs="Verdana"/>
          <w:sz w:val="20"/>
          <w:szCs w:val="20"/>
          <w:lang w:val="es-CR"/>
        </w:rPr>
        <w:t xml:space="preserve">que el Estado incurriera en </w:t>
      </w:r>
      <w:r w:rsidRPr="00A86AED">
        <w:rPr>
          <w:rFonts w:ascii="Verdana" w:hAnsi="Verdana" w:cs="Verdana"/>
          <w:sz w:val="20"/>
          <w:szCs w:val="20"/>
          <w:lang w:val="es-CR"/>
        </w:rPr>
        <w:t>mora, debería pagar un interés sobre la cantidad adeudada, correspondiente al interés bancario moratorio en el Perú.</w:t>
      </w:r>
    </w:p>
    <w:p w14:paraId="32A7B265" w14:textId="77777777" w:rsidR="00FA7C94" w:rsidRPr="006F5F3E" w:rsidRDefault="00FA7C94" w:rsidP="00FA7C94">
      <w:pPr>
        <w:autoSpaceDE w:val="0"/>
        <w:autoSpaceDN w:val="0"/>
        <w:adjustRightInd w:val="0"/>
        <w:spacing w:after="0" w:line="240" w:lineRule="auto"/>
        <w:jc w:val="both"/>
        <w:rPr>
          <w:rFonts w:ascii="Verdana" w:hAnsi="Verdana"/>
          <w:sz w:val="14"/>
          <w:szCs w:val="10"/>
          <w:lang w:val="es-MX"/>
        </w:rPr>
      </w:pPr>
    </w:p>
    <w:p w14:paraId="66739332" w14:textId="77777777" w:rsidR="001E0FFB" w:rsidRPr="00841DC8" w:rsidRDefault="00D42B2D" w:rsidP="005036B1">
      <w:pPr>
        <w:pStyle w:val="Cuadrculamedia1-nfasis21"/>
        <w:spacing w:after="0" w:line="240" w:lineRule="auto"/>
        <w:ind w:left="426"/>
        <w:contextualSpacing w:val="0"/>
        <w:jc w:val="both"/>
        <w:rPr>
          <w:rFonts w:ascii="Verdana" w:hAnsi="Verdana"/>
          <w:i/>
          <w:sz w:val="20"/>
          <w:szCs w:val="20"/>
          <w:lang w:val="es-MX"/>
        </w:rPr>
      </w:pPr>
      <w:r w:rsidRPr="00B733AA">
        <w:rPr>
          <w:rFonts w:ascii="Verdana" w:hAnsi="Verdana"/>
          <w:i/>
          <w:sz w:val="20"/>
          <w:szCs w:val="20"/>
          <w:lang w:val="es-MX"/>
        </w:rPr>
        <w:t>H</w:t>
      </w:r>
      <w:r w:rsidR="001E0FFB" w:rsidRPr="00B733AA">
        <w:rPr>
          <w:rFonts w:ascii="Verdana" w:hAnsi="Verdana"/>
          <w:i/>
          <w:sz w:val="20"/>
          <w:szCs w:val="20"/>
          <w:lang w:val="es-MX"/>
        </w:rPr>
        <w:t xml:space="preserve">.2. </w:t>
      </w:r>
      <w:r w:rsidR="00284E87" w:rsidRPr="00841DC8">
        <w:rPr>
          <w:rFonts w:ascii="Verdana" w:hAnsi="Verdana"/>
          <w:i/>
          <w:sz w:val="20"/>
          <w:szCs w:val="20"/>
          <w:lang w:val="es-MX"/>
        </w:rPr>
        <w:t>Consideraciones de la Corte</w:t>
      </w:r>
    </w:p>
    <w:p w14:paraId="7AE2E271" w14:textId="77777777" w:rsidR="001E0FFB" w:rsidRPr="00841DC8" w:rsidRDefault="001E0FFB" w:rsidP="00970863">
      <w:pPr>
        <w:pStyle w:val="Cuadrculamedia1-nfasis21"/>
        <w:spacing w:after="0" w:line="240" w:lineRule="auto"/>
        <w:ind w:left="0"/>
        <w:contextualSpacing w:val="0"/>
        <w:jc w:val="both"/>
        <w:rPr>
          <w:rFonts w:ascii="Verdana" w:hAnsi="Verdana"/>
          <w:sz w:val="14"/>
          <w:szCs w:val="14"/>
          <w:lang w:val="es-MX"/>
        </w:rPr>
      </w:pPr>
    </w:p>
    <w:p w14:paraId="6D15FDDD" w14:textId="77777777" w:rsidR="00B74664" w:rsidRPr="00B07408" w:rsidRDefault="00284E87" w:rsidP="00D50AFF">
      <w:pPr>
        <w:numPr>
          <w:ilvl w:val="0"/>
          <w:numId w:val="26"/>
        </w:numPr>
        <w:autoSpaceDE w:val="0"/>
        <w:autoSpaceDN w:val="0"/>
        <w:adjustRightInd w:val="0"/>
        <w:spacing w:after="0" w:line="240" w:lineRule="auto"/>
        <w:ind w:left="0" w:firstLine="0"/>
        <w:jc w:val="both"/>
        <w:rPr>
          <w:rFonts w:ascii="Verdana" w:hAnsi="Verdana"/>
          <w:b/>
          <w:sz w:val="10"/>
          <w:szCs w:val="10"/>
          <w:lang w:val="es-CR"/>
        </w:rPr>
      </w:pPr>
      <w:r w:rsidRPr="00841DC8">
        <w:rPr>
          <w:rFonts w:ascii="Verdana" w:hAnsi="Verdana"/>
          <w:sz w:val="20"/>
          <w:szCs w:val="20"/>
          <w:lang w:val="es-CR"/>
        </w:rPr>
        <w:t xml:space="preserve">Con base en los comprobantes remitidos por el </w:t>
      </w:r>
      <w:r w:rsidR="00970863" w:rsidRPr="00841DC8">
        <w:rPr>
          <w:rFonts w:ascii="Verdana" w:hAnsi="Verdana"/>
          <w:sz w:val="20"/>
          <w:szCs w:val="20"/>
          <w:lang w:val="es-CR"/>
        </w:rPr>
        <w:t>Perú</w:t>
      </w:r>
      <w:r w:rsidR="00796291" w:rsidRPr="00841DC8">
        <w:rPr>
          <w:rStyle w:val="Refdenotaalpie"/>
          <w:rFonts w:ascii="Verdana" w:hAnsi="Verdana"/>
          <w:sz w:val="20"/>
          <w:szCs w:val="20"/>
          <w:lang w:val="es-CR"/>
        </w:rPr>
        <w:footnoteReference w:id="83"/>
      </w:r>
      <w:r w:rsidR="00796291" w:rsidRPr="00841DC8">
        <w:rPr>
          <w:rFonts w:ascii="Verdana" w:hAnsi="Verdana"/>
          <w:sz w:val="20"/>
          <w:szCs w:val="20"/>
          <w:lang w:val="es-CR"/>
        </w:rPr>
        <w:t xml:space="preserve"> y lo afirmado por los representantes de las víctimas</w:t>
      </w:r>
      <w:r w:rsidR="00796291" w:rsidRPr="00841DC8">
        <w:rPr>
          <w:rStyle w:val="Refdenotaalpie"/>
          <w:rFonts w:ascii="Verdana" w:hAnsi="Verdana"/>
          <w:sz w:val="20"/>
          <w:szCs w:val="20"/>
          <w:lang w:val="es-CR"/>
        </w:rPr>
        <w:footnoteReference w:id="84"/>
      </w:r>
      <w:r w:rsidRPr="00841DC8">
        <w:rPr>
          <w:rFonts w:ascii="Verdana" w:hAnsi="Verdana"/>
          <w:sz w:val="20"/>
          <w:szCs w:val="20"/>
          <w:lang w:val="es-CR"/>
        </w:rPr>
        <w:t xml:space="preserve">, la Corte </w:t>
      </w:r>
      <w:r w:rsidR="005B2388" w:rsidRPr="00841DC8">
        <w:rPr>
          <w:rFonts w:ascii="Verdana" w:hAnsi="Verdana"/>
          <w:sz w:val="20"/>
          <w:szCs w:val="20"/>
          <w:lang w:val="es-CR"/>
        </w:rPr>
        <w:t>valora positivamente</w:t>
      </w:r>
      <w:r w:rsidRPr="00841DC8">
        <w:rPr>
          <w:rFonts w:ascii="Verdana" w:hAnsi="Verdana"/>
          <w:sz w:val="20"/>
          <w:szCs w:val="20"/>
          <w:lang w:val="es-CR"/>
        </w:rPr>
        <w:t xml:space="preserve"> que</w:t>
      </w:r>
      <w:r w:rsidR="00BA1734">
        <w:rPr>
          <w:rFonts w:ascii="Verdana" w:hAnsi="Verdana"/>
          <w:sz w:val="20"/>
          <w:szCs w:val="20"/>
          <w:lang w:val="es-CR"/>
        </w:rPr>
        <w:t>,</w:t>
      </w:r>
      <w:r w:rsidRPr="00841DC8">
        <w:rPr>
          <w:rFonts w:ascii="Verdana" w:hAnsi="Verdana"/>
          <w:sz w:val="20"/>
          <w:szCs w:val="20"/>
          <w:lang w:val="es-CR"/>
        </w:rPr>
        <w:t xml:space="preserve"> </w:t>
      </w:r>
      <w:r w:rsidR="005F4A2C" w:rsidRPr="00841DC8">
        <w:rPr>
          <w:rFonts w:ascii="Verdana" w:hAnsi="Verdana"/>
          <w:sz w:val="20"/>
          <w:szCs w:val="20"/>
          <w:lang w:val="es-CR"/>
        </w:rPr>
        <w:t>en</w:t>
      </w:r>
      <w:r w:rsidR="00CA7323" w:rsidRPr="00841DC8">
        <w:rPr>
          <w:rFonts w:ascii="Verdana" w:hAnsi="Verdana"/>
          <w:sz w:val="20"/>
          <w:szCs w:val="20"/>
          <w:lang w:val="es-CR"/>
        </w:rPr>
        <w:t xml:space="preserve"> enero de 201</w:t>
      </w:r>
      <w:r w:rsidR="001E192D">
        <w:rPr>
          <w:rFonts w:ascii="Verdana" w:hAnsi="Verdana"/>
          <w:sz w:val="20"/>
          <w:szCs w:val="20"/>
          <w:lang w:val="es-CR"/>
        </w:rPr>
        <w:t>5</w:t>
      </w:r>
      <w:r w:rsidR="00701B9C" w:rsidRPr="00841DC8">
        <w:rPr>
          <w:rFonts w:ascii="Verdana" w:hAnsi="Verdana"/>
          <w:sz w:val="20"/>
          <w:szCs w:val="20"/>
          <w:lang w:val="es-CR"/>
        </w:rPr>
        <w:t xml:space="preserve">, </w:t>
      </w:r>
      <w:r w:rsidR="00CA7323" w:rsidRPr="00841DC8">
        <w:rPr>
          <w:rFonts w:ascii="Verdana" w:hAnsi="Verdana"/>
          <w:sz w:val="20"/>
          <w:szCs w:val="20"/>
          <w:lang w:val="es-CR"/>
        </w:rPr>
        <w:t>e</w:t>
      </w:r>
      <w:r w:rsidRPr="00841DC8">
        <w:rPr>
          <w:rFonts w:ascii="Verdana" w:hAnsi="Verdana"/>
          <w:sz w:val="20"/>
          <w:szCs w:val="20"/>
          <w:lang w:val="es-CR"/>
        </w:rPr>
        <w:t xml:space="preserve">l Estado </w:t>
      </w:r>
      <w:r w:rsidR="006F5EED" w:rsidRPr="00841DC8">
        <w:rPr>
          <w:rFonts w:ascii="Verdana" w:hAnsi="Verdana"/>
          <w:sz w:val="20"/>
          <w:szCs w:val="20"/>
          <w:lang w:val="es-CR"/>
        </w:rPr>
        <w:t>realizó el pago</w:t>
      </w:r>
      <w:r w:rsidR="005F4A2C" w:rsidRPr="00841DC8">
        <w:rPr>
          <w:rFonts w:ascii="Verdana" w:hAnsi="Verdana"/>
          <w:sz w:val="20"/>
          <w:szCs w:val="20"/>
          <w:lang w:val="es-CR"/>
        </w:rPr>
        <w:t xml:space="preserve"> de</w:t>
      </w:r>
      <w:r w:rsidR="00796291" w:rsidRPr="00841DC8">
        <w:rPr>
          <w:rFonts w:ascii="Verdana" w:hAnsi="Verdana"/>
          <w:sz w:val="20"/>
          <w:szCs w:val="20"/>
          <w:lang w:val="es-CR"/>
        </w:rPr>
        <w:t xml:space="preserve"> la totalidad de las</w:t>
      </w:r>
      <w:r w:rsidR="005F4A2C" w:rsidRPr="00841DC8">
        <w:rPr>
          <w:rFonts w:ascii="Verdana" w:hAnsi="Verdana"/>
          <w:sz w:val="20"/>
          <w:szCs w:val="20"/>
          <w:lang w:val="es-CR"/>
        </w:rPr>
        <w:t xml:space="preserve"> indemnizaciones </w:t>
      </w:r>
      <w:r w:rsidR="00F31EEE">
        <w:rPr>
          <w:rFonts w:ascii="Verdana" w:hAnsi="Verdana"/>
          <w:sz w:val="20"/>
          <w:szCs w:val="20"/>
          <w:lang w:val="es-CR"/>
        </w:rPr>
        <w:t>por concepto de daños materiales e inmateriales</w:t>
      </w:r>
      <w:r w:rsidR="005F4A2C" w:rsidRPr="00841DC8">
        <w:rPr>
          <w:rFonts w:ascii="Verdana" w:hAnsi="Verdana"/>
          <w:sz w:val="20"/>
          <w:szCs w:val="20"/>
          <w:lang w:val="es-CR"/>
        </w:rPr>
        <w:t xml:space="preserve"> a</w:t>
      </w:r>
      <w:r w:rsidR="006F5EED" w:rsidRPr="00841DC8">
        <w:rPr>
          <w:rFonts w:ascii="Verdana" w:hAnsi="Verdana"/>
          <w:sz w:val="20"/>
          <w:szCs w:val="20"/>
          <w:lang w:val="es-CR"/>
        </w:rPr>
        <w:t xml:space="preserve"> </w:t>
      </w:r>
      <w:r w:rsidR="005F4A2C" w:rsidRPr="00841DC8">
        <w:rPr>
          <w:rFonts w:ascii="Verdana" w:hAnsi="Verdana"/>
          <w:sz w:val="20"/>
          <w:szCs w:val="20"/>
          <w:lang w:val="es-CR"/>
        </w:rPr>
        <w:t xml:space="preserve">favor de </w:t>
      </w:r>
      <w:r w:rsidR="00796291" w:rsidRPr="00841DC8">
        <w:rPr>
          <w:rFonts w:ascii="Verdana" w:hAnsi="Verdana"/>
          <w:sz w:val="20"/>
          <w:szCs w:val="20"/>
          <w:lang w:val="es-CR"/>
        </w:rPr>
        <w:t>10</w:t>
      </w:r>
      <w:r w:rsidR="005F4A2C" w:rsidRPr="00841DC8">
        <w:rPr>
          <w:rFonts w:ascii="Verdana" w:hAnsi="Verdana"/>
          <w:sz w:val="20"/>
          <w:szCs w:val="20"/>
          <w:lang w:val="es-CR"/>
        </w:rPr>
        <w:t xml:space="preserve"> </w:t>
      </w:r>
      <w:r w:rsidR="00F31EEE">
        <w:rPr>
          <w:rFonts w:ascii="Verdana" w:hAnsi="Verdana"/>
          <w:sz w:val="20"/>
          <w:szCs w:val="20"/>
          <w:lang w:val="es-CR"/>
        </w:rPr>
        <w:t>beneficiarios</w:t>
      </w:r>
      <w:r w:rsidR="005F4A2C" w:rsidRPr="00841DC8">
        <w:rPr>
          <w:rStyle w:val="Refdenotaalpie"/>
          <w:rFonts w:ascii="Verdana" w:hAnsi="Verdana"/>
          <w:sz w:val="20"/>
          <w:szCs w:val="20"/>
          <w:lang w:val="es-CR"/>
        </w:rPr>
        <w:footnoteReference w:id="85"/>
      </w:r>
      <w:r w:rsidR="00796291" w:rsidRPr="00841DC8">
        <w:rPr>
          <w:rFonts w:ascii="Verdana" w:hAnsi="Verdana"/>
          <w:sz w:val="20"/>
          <w:szCs w:val="20"/>
          <w:lang w:val="es-CR"/>
        </w:rPr>
        <w:t xml:space="preserve"> y el pago parcial de las referidas indemnizaciones a favor de </w:t>
      </w:r>
      <w:r w:rsidR="00BA1734">
        <w:rPr>
          <w:rFonts w:ascii="Verdana" w:hAnsi="Verdana"/>
          <w:sz w:val="20"/>
          <w:szCs w:val="20"/>
          <w:lang w:val="es-CR"/>
        </w:rPr>
        <w:t>una</w:t>
      </w:r>
      <w:r w:rsidR="00796291" w:rsidRPr="00841DC8">
        <w:rPr>
          <w:rFonts w:ascii="Verdana" w:hAnsi="Verdana"/>
          <w:sz w:val="20"/>
          <w:szCs w:val="20"/>
          <w:lang w:val="es-CR"/>
        </w:rPr>
        <w:t xml:space="preserve"> </w:t>
      </w:r>
      <w:r w:rsidR="004E1F79">
        <w:rPr>
          <w:rFonts w:ascii="Verdana" w:hAnsi="Verdana"/>
          <w:sz w:val="20"/>
          <w:szCs w:val="20"/>
          <w:lang w:val="es-CR"/>
        </w:rPr>
        <w:t>beneficiaria</w:t>
      </w:r>
      <w:r w:rsidR="00796291" w:rsidRPr="00841DC8">
        <w:rPr>
          <w:rStyle w:val="Refdenotaalpie"/>
          <w:rFonts w:ascii="Verdana" w:hAnsi="Verdana"/>
          <w:sz w:val="20"/>
          <w:szCs w:val="20"/>
          <w:lang w:val="es-CR"/>
        </w:rPr>
        <w:footnoteReference w:id="86"/>
      </w:r>
      <w:r w:rsidR="00234C19" w:rsidRPr="00841DC8">
        <w:rPr>
          <w:rFonts w:ascii="Verdana" w:hAnsi="Verdana"/>
          <w:sz w:val="20"/>
          <w:szCs w:val="20"/>
          <w:lang w:val="es-CR"/>
        </w:rPr>
        <w:t>.</w:t>
      </w:r>
      <w:r w:rsidR="000324F9" w:rsidRPr="00841DC8">
        <w:rPr>
          <w:rFonts w:ascii="Verdana" w:hAnsi="Verdana"/>
          <w:sz w:val="20"/>
          <w:szCs w:val="20"/>
          <w:lang w:val="es-CR"/>
        </w:rPr>
        <w:t xml:space="preserve"> </w:t>
      </w:r>
      <w:r w:rsidR="00701B9C" w:rsidRPr="00841DC8">
        <w:rPr>
          <w:rFonts w:ascii="Verdana" w:hAnsi="Verdana"/>
          <w:sz w:val="20"/>
          <w:szCs w:val="20"/>
          <w:lang w:val="es-CR"/>
        </w:rPr>
        <w:t>Asimismo, el Tribunal nota que el Estado afirmó que en junio de 2017 realizó el pago</w:t>
      </w:r>
      <w:r w:rsidR="000F2D32" w:rsidRPr="00841DC8">
        <w:rPr>
          <w:rFonts w:ascii="Verdana" w:hAnsi="Verdana"/>
          <w:sz w:val="20"/>
          <w:szCs w:val="20"/>
          <w:lang w:val="es-CR"/>
        </w:rPr>
        <w:t xml:space="preserve"> de la totalidad de la indemnización </w:t>
      </w:r>
      <w:r w:rsidR="00F31EEE">
        <w:rPr>
          <w:rFonts w:ascii="Verdana" w:hAnsi="Verdana"/>
          <w:sz w:val="20"/>
          <w:szCs w:val="20"/>
          <w:lang w:val="es-CR"/>
        </w:rPr>
        <w:t xml:space="preserve">por concepto </w:t>
      </w:r>
      <w:r w:rsidR="00F31EEE">
        <w:rPr>
          <w:rFonts w:ascii="Verdana" w:hAnsi="Verdana"/>
          <w:sz w:val="20"/>
          <w:szCs w:val="20"/>
          <w:lang w:val="es-CR"/>
        </w:rPr>
        <w:lastRenderedPageBreak/>
        <w:t xml:space="preserve">de daño inmaterial </w:t>
      </w:r>
      <w:r w:rsidR="000F2D32" w:rsidRPr="00841DC8">
        <w:rPr>
          <w:rFonts w:ascii="Verdana" w:hAnsi="Verdana"/>
          <w:sz w:val="20"/>
          <w:szCs w:val="20"/>
          <w:lang w:val="es-CR"/>
        </w:rPr>
        <w:t xml:space="preserve">correspondiente a otro de </w:t>
      </w:r>
      <w:r w:rsidR="00B07408">
        <w:rPr>
          <w:rFonts w:ascii="Verdana" w:hAnsi="Verdana"/>
          <w:sz w:val="20"/>
          <w:szCs w:val="20"/>
          <w:lang w:val="es-CR"/>
        </w:rPr>
        <w:t xml:space="preserve">los </w:t>
      </w:r>
      <w:r w:rsidR="000F2D32" w:rsidRPr="00841DC8">
        <w:rPr>
          <w:rFonts w:ascii="Verdana" w:hAnsi="Verdana"/>
          <w:sz w:val="20"/>
          <w:szCs w:val="20"/>
          <w:lang w:val="es-CR"/>
        </w:rPr>
        <w:t>beneficiarios</w:t>
      </w:r>
      <w:r w:rsidR="000F2D32" w:rsidRPr="00841DC8">
        <w:rPr>
          <w:rStyle w:val="Refdenotaalpie"/>
          <w:rFonts w:ascii="Verdana" w:hAnsi="Verdana"/>
          <w:sz w:val="20"/>
          <w:szCs w:val="20"/>
          <w:lang w:val="es-CR"/>
        </w:rPr>
        <w:footnoteReference w:id="87"/>
      </w:r>
      <w:r w:rsidR="00BA1734">
        <w:rPr>
          <w:rFonts w:ascii="Verdana" w:hAnsi="Verdana"/>
          <w:sz w:val="20"/>
          <w:szCs w:val="20"/>
          <w:lang w:val="es-CR"/>
        </w:rPr>
        <w:t>.</w:t>
      </w:r>
      <w:r w:rsidR="000F2D32" w:rsidRPr="00841DC8">
        <w:rPr>
          <w:rFonts w:ascii="Verdana" w:hAnsi="Verdana"/>
          <w:sz w:val="20"/>
          <w:szCs w:val="20"/>
          <w:lang w:val="es-CR"/>
        </w:rPr>
        <w:t xml:space="preserve"> </w:t>
      </w:r>
      <w:r w:rsidR="00BA1734">
        <w:rPr>
          <w:rFonts w:ascii="Verdana" w:hAnsi="Verdana"/>
          <w:sz w:val="20"/>
          <w:szCs w:val="20"/>
          <w:lang w:val="es-CR"/>
        </w:rPr>
        <w:t>S</w:t>
      </w:r>
      <w:r w:rsidR="000F2D32" w:rsidRPr="00841DC8">
        <w:rPr>
          <w:rFonts w:ascii="Verdana" w:hAnsi="Verdana"/>
          <w:sz w:val="20"/>
          <w:szCs w:val="20"/>
          <w:lang w:val="es-CR"/>
        </w:rPr>
        <w:t xml:space="preserve">i bien el Estado no aportó el comprobante de </w:t>
      </w:r>
      <w:r w:rsidR="00B733AA" w:rsidRPr="00841DC8">
        <w:rPr>
          <w:rFonts w:ascii="Verdana" w:hAnsi="Verdana"/>
          <w:sz w:val="20"/>
          <w:szCs w:val="20"/>
          <w:lang w:val="es-CR"/>
        </w:rPr>
        <w:t xml:space="preserve">este último </w:t>
      </w:r>
      <w:r w:rsidR="000F2D32" w:rsidRPr="00841DC8">
        <w:rPr>
          <w:rFonts w:ascii="Verdana" w:hAnsi="Verdana"/>
          <w:sz w:val="20"/>
          <w:szCs w:val="20"/>
          <w:lang w:val="es-CR"/>
        </w:rPr>
        <w:t>pago, los representantes de las víctimas no objetaron dicha afirmación</w:t>
      </w:r>
      <w:r w:rsidR="00C5087B" w:rsidRPr="00841DC8">
        <w:rPr>
          <w:rStyle w:val="Refdenotaalpie"/>
          <w:rFonts w:ascii="Verdana" w:hAnsi="Verdana"/>
          <w:sz w:val="20"/>
          <w:szCs w:val="20"/>
          <w:lang w:val="es-CR"/>
        </w:rPr>
        <w:footnoteReference w:id="88"/>
      </w:r>
      <w:r w:rsidR="000F2D32" w:rsidRPr="00841DC8">
        <w:rPr>
          <w:rFonts w:ascii="Verdana" w:hAnsi="Verdana"/>
          <w:sz w:val="20"/>
          <w:szCs w:val="20"/>
          <w:lang w:val="es-CR"/>
        </w:rPr>
        <w:t xml:space="preserve">. </w:t>
      </w:r>
      <w:r w:rsidR="00B733AA" w:rsidRPr="00841DC8">
        <w:rPr>
          <w:rFonts w:ascii="Verdana" w:hAnsi="Verdana"/>
          <w:sz w:val="20"/>
          <w:szCs w:val="20"/>
          <w:lang w:val="es-CR"/>
        </w:rPr>
        <w:t>En est</w:t>
      </w:r>
      <w:r w:rsidR="00B07408">
        <w:rPr>
          <w:rFonts w:ascii="Verdana" w:hAnsi="Verdana"/>
          <w:sz w:val="20"/>
          <w:szCs w:val="20"/>
          <w:lang w:val="es-CR"/>
        </w:rPr>
        <w:t>e sentido, la Corte observa que</w:t>
      </w:r>
      <w:r w:rsidR="00BA1734">
        <w:rPr>
          <w:rFonts w:ascii="Verdana" w:hAnsi="Verdana"/>
          <w:sz w:val="20"/>
          <w:szCs w:val="20"/>
          <w:lang w:val="es-CR"/>
        </w:rPr>
        <w:t>,</w:t>
      </w:r>
      <w:r w:rsidR="00B07408">
        <w:rPr>
          <w:rFonts w:ascii="Verdana" w:hAnsi="Verdana"/>
          <w:sz w:val="20"/>
          <w:szCs w:val="20"/>
          <w:lang w:val="es-CR"/>
        </w:rPr>
        <w:t xml:space="preserve"> de la información aportada por las partes </w:t>
      </w:r>
      <w:r w:rsidR="00B733AA" w:rsidRPr="00841DC8">
        <w:rPr>
          <w:rFonts w:ascii="Verdana" w:hAnsi="Verdana"/>
          <w:sz w:val="20"/>
          <w:szCs w:val="20"/>
          <w:lang w:val="es-CR"/>
        </w:rPr>
        <w:t>a la fecha de la presente Resolución</w:t>
      </w:r>
      <w:r w:rsidR="00B07408">
        <w:rPr>
          <w:rFonts w:ascii="Verdana" w:hAnsi="Verdana"/>
          <w:sz w:val="20"/>
          <w:szCs w:val="20"/>
          <w:lang w:val="es-CR"/>
        </w:rPr>
        <w:t>,</w:t>
      </w:r>
      <w:r w:rsidR="00B733AA" w:rsidRPr="00841DC8">
        <w:rPr>
          <w:rFonts w:ascii="Verdana" w:hAnsi="Verdana"/>
          <w:sz w:val="20"/>
          <w:szCs w:val="20"/>
          <w:lang w:val="es-CR"/>
        </w:rPr>
        <w:t xml:space="preserve"> se encuentra pendiente de cumplimiento el pago parcial </w:t>
      </w:r>
      <w:r w:rsidR="00B07408">
        <w:rPr>
          <w:rFonts w:ascii="Verdana" w:hAnsi="Verdana"/>
          <w:sz w:val="20"/>
          <w:szCs w:val="20"/>
          <w:lang w:val="es-CR"/>
        </w:rPr>
        <w:t xml:space="preserve">de las indemnizaciones </w:t>
      </w:r>
      <w:r w:rsidR="00F31EEE">
        <w:rPr>
          <w:rFonts w:ascii="Verdana" w:hAnsi="Verdana"/>
          <w:sz w:val="20"/>
          <w:szCs w:val="20"/>
          <w:lang w:val="es-CR"/>
        </w:rPr>
        <w:t>por concepto de daños materiales e inmateriales</w:t>
      </w:r>
      <w:r w:rsidR="00F31EEE" w:rsidRPr="00841DC8">
        <w:rPr>
          <w:rFonts w:ascii="Verdana" w:hAnsi="Verdana"/>
          <w:sz w:val="20"/>
          <w:szCs w:val="20"/>
          <w:lang w:val="es-CR"/>
        </w:rPr>
        <w:t xml:space="preserve"> </w:t>
      </w:r>
      <w:r w:rsidR="00B733AA" w:rsidRPr="00841DC8">
        <w:rPr>
          <w:rFonts w:ascii="Verdana" w:hAnsi="Verdana"/>
          <w:sz w:val="20"/>
          <w:szCs w:val="20"/>
          <w:lang w:val="es-CR"/>
        </w:rPr>
        <w:t>a favor de la persona anteriormente referida</w:t>
      </w:r>
      <w:r w:rsidR="004E1F79">
        <w:rPr>
          <w:rStyle w:val="Refdenotaalpie"/>
          <w:rFonts w:ascii="Verdana" w:hAnsi="Verdana"/>
          <w:sz w:val="20"/>
          <w:szCs w:val="20"/>
          <w:lang w:val="es-CR"/>
        </w:rPr>
        <w:footnoteReference w:id="89"/>
      </w:r>
      <w:r w:rsidR="00B733AA" w:rsidRPr="00841DC8">
        <w:rPr>
          <w:rFonts w:ascii="Verdana" w:hAnsi="Verdana"/>
          <w:sz w:val="20"/>
          <w:szCs w:val="20"/>
          <w:lang w:val="es-CR"/>
        </w:rPr>
        <w:t xml:space="preserve">, el pago total </w:t>
      </w:r>
      <w:r w:rsidR="00B07408">
        <w:rPr>
          <w:rFonts w:ascii="Verdana" w:hAnsi="Verdana"/>
          <w:sz w:val="20"/>
          <w:szCs w:val="20"/>
          <w:lang w:val="es-CR"/>
        </w:rPr>
        <w:t xml:space="preserve">de las referidas indemnizaciones </w:t>
      </w:r>
      <w:r w:rsidR="00B733AA" w:rsidRPr="00841DC8">
        <w:rPr>
          <w:rFonts w:ascii="Verdana" w:hAnsi="Verdana"/>
          <w:sz w:val="20"/>
          <w:szCs w:val="20"/>
          <w:lang w:val="es-CR"/>
        </w:rPr>
        <w:t xml:space="preserve">a </w:t>
      </w:r>
      <w:r w:rsidR="00B733AA" w:rsidRPr="00B07408">
        <w:rPr>
          <w:rFonts w:ascii="Verdana" w:hAnsi="Verdana"/>
          <w:sz w:val="20"/>
          <w:szCs w:val="20"/>
          <w:lang w:val="es-CR"/>
        </w:rPr>
        <w:t>favor de otro beneficiario</w:t>
      </w:r>
      <w:r w:rsidR="00B733AA" w:rsidRPr="00B07408">
        <w:rPr>
          <w:rStyle w:val="Refdenotaalpie"/>
          <w:rFonts w:ascii="Verdana" w:hAnsi="Verdana"/>
          <w:sz w:val="20"/>
          <w:szCs w:val="20"/>
          <w:lang w:val="es-CR"/>
        </w:rPr>
        <w:footnoteReference w:id="90"/>
      </w:r>
      <w:r w:rsidR="00841DC8" w:rsidRPr="00B07408">
        <w:rPr>
          <w:rFonts w:ascii="Verdana" w:hAnsi="Verdana"/>
          <w:sz w:val="20"/>
          <w:szCs w:val="20"/>
          <w:lang w:val="es-CR"/>
        </w:rPr>
        <w:t xml:space="preserve">, </w:t>
      </w:r>
      <w:r w:rsidR="00B733AA" w:rsidRPr="00B07408">
        <w:rPr>
          <w:rFonts w:ascii="Verdana" w:hAnsi="Verdana"/>
          <w:sz w:val="20"/>
          <w:szCs w:val="20"/>
          <w:lang w:val="es-CR"/>
        </w:rPr>
        <w:t>el reintegro de costas y gastos</w:t>
      </w:r>
      <w:r w:rsidR="00B733AA" w:rsidRPr="00B07408">
        <w:rPr>
          <w:rStyle w:val="Refdenotaalpie"/>
          <w:rFonts w:ascii="Verdana" w:hAnsi="Verdana"/>
          <w:sz w:val="20"/>
          <w:szCs w:val="20"/>
          <w:lang w:val="es-CR"/>
        </w:rPr>
        <w:footnoteReference w:id="91"/>
      </w:r>
      <w:r w:rsidR="00841DC8" w:rsidRPr="00B07408">
        <w:rPr>
          <w:rFonts w:ascii="Verdana" w:hAnsi="Verdana"/>
          <w:sz w:val="20"/>
          <w:szCs w:val="20"/>
          <w:lang w:val="es-CR"/>
        </w:rPr>
        <w:t xml:space="preserve"> y el pago de los </w:t>
      </w:r>
      <w:r w:rsidR="001E192D">
        <w:rPr>
          <w:rFonts w:ascii="Verdana" w:hAnsi="Verdana"/>
          <w:sz w:val="20"/>
          <w:szCs w:val="20"/>
          <w:lang w:val="es-CR"/>
        </w:rPr>
        <w:t>correspondientes</w:t>
      </w:r>
      <w:r w:rsidR="00841DC8" w:rsidRPr="00B07408">
        <w:rPr>
          <w:rFonts w:ascii="Verdana" w:hAnsi="Verdana"/>
          <w:sz w:val="20"/>
          <w:szCs w:val="20"/>
          <w:lang w:val="es-CR"/>
        </w:rPr>
        <w:t xml:space="preserve"> intereses moratorios</w:t>
      </w:r>
      <w:r w:rsidR="00F31EEE">
        <w:rPr>
          <w:rStyle w:val="Refdenotaalpie"/>
          <w:rFonts w:ascii="Verdana" w:hAnsi="Verdana"/>
          <w:sz w:val="20"/>
          <w:szCs w:val="20"/>
          <w:lang w:val="es-CR"/>
        </w:rPr>
        <w:footnoteReference w:id="92"/>
      </w:r>
      <w:r w:rsidR="00B733AA" w:rsidRPr="00B07408">
        <w:rPr>
          <w:rFonts w:ascii="Verdana" w:hAnsi="Verdana"/>
          <w:sz w:val="20"/>
          <w:szCs w:val="20"/>
          <w:lang w:val="es-CR"/>
        </w:rPr>
        <w:t>.</w:t>
      </w:r>
      <w:r w:rsidR="005672FF">
        <w:rPr>
          <w:rFonts w:ascii="Verdana" w:hAnsi="Verdana"/>
          <w:sz w:val="20"/>
          <w:szCs w:val="20"/>
          <w:lang w:val="es-CR"/>
        </w:rPr>
        <w:t xml:space="preserve"> </w:t>
      </w:r>
      <w:r w:rsidR="005672FF" w:rsidRPr="006F5F3E">
        <w:rPr>
          <w:rFonts w:ascii="Verdana" w:hAnsi="Verdana"/>
          <w:sz w:val="20"/>
          <w:szCs w:val="20"/>
          <w:lang w:val="es-CR"/>
        </w:rPr>
        <w:t xml:space="preserve">Si bien el Estado indicó que en septiembre de 2019 “la Presidencia del Consejo de Defensa Jurídica del Estado […] determinó a las entidades responsables de cumplimiento” </w:t>
      </w:r>
      <w:r w:rsidR="0011538D" w:rsidRPr="006F5F3E">
        <w:rPr>
          <w:rFonts w:ascii="Verdana" w:hAnsi="Verdana"/>
          <w:sz w:val="20"/>
          <w:szCs w:val="20"/>
          <w:lang w:val="es-CR"/>
        </w:rPr>
        <w:t>de los referidos pagos pendientes</w:t>
      </w:r>
      <w:r w:rsidR="005672FF" w:rsidRPr="006F5F3E">
        <w:rPr>
          <w:rFonts w:ascii="Verdana" w:hAnsi="Verdana"/>
          <w:sz w:val="20"/>
          <w:szCs w:val="20"/>
          <w:lang w:val="es-CR"/>
        </w:rPr>
        <w:t>, no aportó los comprobantes de pago respectivos</w:t>
      </w:r>
      <w:r w:rsidR="0011538D" w:rsidRPr="006F5F3E">
        <w:rPr>
          <w:rStyle w:val="Refdenotaalpie"/>
          <w:rFonts w:ascii="Verdana" w:hAnsi="Verdana"/>
          <w:sz w:val="20"/>
          <w:szCs w:val="20"/>
          <w:lang w:val="es-CR"/>
        </w:rPr>
        <w:footnoteReference w:id="93"/>
      </w:r>
      <w:r w:rsidR="00A04448">
        <w:rPr>
          <w:rFonts w:ascii="Verdana" w:hAnsi="Verdana"/>
          <w:sz w:val="20"/>
          <w:szCs w:val="20"/>
          <w:lang w:val="es-CR"/>
        </w:rPr>
        <w:t>.</w:t>
      </w:r>
    </w:p>
    <w:p w14:paraId="7FB8E804" w14:textId="77777777" w:rsidR="00841DC8" w:rsidRPr="00B07408" w:rsidRDefault="00841DC8" w:rsidP="00841DC8">
      <w:pPr>
        <w:autoSpaceDE w:val="0"/>
        <w:autoSpaceDN w:val="0"/>
        <w:adjustRightInd w:val="0"/>
        <w:spacing w:after="0" w:line="240" w:lineRule="auto"/>
        <w:jc w:val="both"/>
        <w:rPr>
          <w:rFonts w:ascii="Verdana" w:hAnsi="Verdana"/>
          <w:b/>
          <w:sz w:val="10"/>
          <w:szCs w:val="10"/>
          <w:lang w:val="es-CR"/>
        </w:rPr>
      </w:pPr>
    </w:p>
    <w:p w14:paraId="73A9CE79" w14:textId="77777777" w:rsidR="003370CB" w:rsidRPr="00B07408" w:rsidRDefault="001E0FFB" w:rsidP="00D50AFF">
      <w:pPr>
        <w:widowControl w:val="0"/>
        <w:numPr>
          <w:ilvl w:val="0"/>
          <w:numId w:val="26"/>
        </w:numPr>
        <w:autoSpaceDE w:val="0"/>
        <w:autoSpaceDN w:val="0"/>
        <w:adjustRightInd w:val="0"/>
        <w:spacing w:after="0" w:line="240" w:lineRule="auto"/>
        <w:ind w:left="0" w:firstLine="0"/>
        <w:jc w:val="both"/>
        <w:rPr>
          <w:rFonts w:ascii="Verdana" w:hAnsi="Verdana" w:cs="Verdana"/>
          <w:b/>
          <w:bCs/>
          <w:iCs/>
          <w:sz w:val="14"/>
          <w:szCs w:val="14"/>
          <w:lang w:val="es-MX"/>
        </w:rPr>
      </w:pPr>
      <w:r w:rsidRPr="00B07408">
        <w:rPr>
          <w:rFonts w:ascii="Verdana" w:hAnsi="Verdana" w:cs="Verdana"/>
          <w:sz w:val="20"/>
          <w:szCs w:val="20"/>
          <w:lang w:val="es-MX"/>
        </w:rPr>
        <w:t xml:space="preserve">En razón de lo anterior, la Corte </w:t>
      </w:r>
      <w:r w:rsidR="00E30EE7">
        <w:rPr>
          <w:rFonts w:ascii="Verdana" w:hAnsi="Verdana" w:cs="Verdana"/>
          <w:sz w:val="20"/>
          <w:szCs w:val="20"/>
          <w:lang w:val="es-MX"/>
        </w:rPr>
        <w:t>declara</w:t>
      </w:r>
      <w:r w:rsidRPr="00B07408">
        <w:rPr>
          <w:rFonts w:ascii="Verdana" w:hAnsi="Verdana" w:cs="Verdana"/>
          <w:sz w:val="20"/>
          <w:szCs w:val="20"/>
          <w:lang w:val="es-MX"/>
        </w:rPr>
        <w:t xml:space="preserve"> que el Estado ha</w:t>
      </w:r>
      <w:r w:rsidR="00B74664" w:rsidRPr="00B07408">
        <w:rPr>
          <w:rFonts w:ascii="Verdana" w:hAnsi="Verdana" w:cs="Verdana"/>
          <w:sz w:val="20"/>
          <w:szCs w:val="20"/>
          <w:lang w:val="es-MX"/>
        </w:rPr>
        <w:t xml:space="preserve"> dado cumplimiento a las</w:t>
      </w:r>
      <w:r w:rsidRPr="00B07408">
        <w:rPr>
          <w:rFonts w:ascii="Verdana" w:hAnsi="Verdana" w:cs="Verdana"/>
          <w:sz w:val="20"/>
          <w:szCs w:val="20"/>
          <w:lang w:val="es-MX"/>
        </w:rPr>
        <w:t xml:space="preserve"> medida</w:t>
      </w:r>
      <w:r w:rsidR="00B74664" w:rsidRPr="00B07408">
        <w:rPr>
          <w:rFonts w:ascii="Verdana" w:hAnsi="Verdana" w:cs="Verdana"/>
          <w:sz w:val="20"/>
          <w:szCs w:val="20"/>
          <w:lang w:val="es-MX"/>
        </w:rPr>
        <w:t>s</w:t>
      </w:r>
      <w:r w:rsidRPr="00B07408">
        <w:rPr>
          <w:rFonts w:ascii="Verdana" w:hAnsi="Verdana" w:cs="Verdana"/>
          <w:sz w:val="20"/>
          <w:szCs w:val="20"/>
          <w:lang w:val="es-MX"/>
        </w:rPr>
        <w:t xml:space="preserve"> de reparación relativa</w:t>
      </w:r>
      <w:r w:rsidR="00B74664" w:rsidRPr="00B07408">
        <w:rPr>
          <w:rFonts w:ascii="Verdana" w:hAnsi="Verdana" w:cs="Verdana"/>
          <w:sz w:val="20"/>
          <w:szCs w:val="20"/>
          <w:lang w:val="es-MX"/>
        </w:rPr>
        <w:t>s</w:t>
      </w:r>
      <w:r w:rsidRPr="00B07408">
        <w:rPr>
          <w:rFonts w:ascii="Verdana" w:hAnsi="Verdana" w:cs="Verdana"/>
          <w:sz w:val="20"/>
          <w:szCs w:val="20"/>
          <w:lang w:val="es-MX"/>
        </w:rPr>
        <w:t xml:space="preserve"> a </w:t>
      </w:r>
      <w:r w:rsidRPr="00B07408">
        <w:rPr>
          <w:rFonts w:ascii="Verdana" w:hAnsi="Verdana" w:cs="Verdana"/>
          <w:sz w:val="20"/>
          <w:szCs w:val="20"/>
          <w:lang w:val="es-CR"/>
        </w:rPr>
        <w:t xml:space="preserve">realizar los pagos de las </w:t>
      </w:r>
      <w:r w:rsidR="00B758F1">
        <w:rPr>
          <w:rFonts w:ascii="Verdana" w:hAnsi="Verdana" w:cs="Verdana"/>
          <w:sz w:val="20"/>
          <w:szCs w:val="20"/>
          <w:lang w:val="es-CR"/>
        </w:rPr>
        <w:t xml:space="preserve">indemnizaciones </w:t>
      </w:r>
      <w:r w:rsidRPr="00B07408">
        <w:rPr>
          <w:rFonts w:ascii="Verdana" w:hAnsi="Verdana" w:cs="Verdana"/>
          <w:sz w:val="20"/>
          <w:szCs w:val="20"/>
          <w:lang w:val="es-CR"/>
        </w:rPr>
        <w:t>establecidas en la Sentencia p</w:t>
      </w:r>
      <w:r w:rsidR="00E646CB" w:rsidRPr="00B07408">
        <w:rPr>
          <w:rFonts w:ascii="Verdana" w:hAnsi="Verdana" w:cs="Verdana"/>
          <w:sz w:val="20"/>
          <w:szCs w:val="20"/>
          <w:lang w:val="es-CR"/>
        </w:rPr>
        <w:t>or concepto de daños materiales</w:t>
      </w:r>
      <w:r w:rsidR="00B07408" w:rsidRPr="00B07408">
        <w:rPr>
          <w:rFonts w:ascii="Verdana" w:hAnsi="Verdana" w:cs="Verdana"/>
          <w:sz w:val="20"/>
          <w:szCs w:val="20"/>
          <w:lang w:val="es-CR"/>
        </w:rPr>
        <w:t xml:space="preserve"> y</w:t>
      </w:r>
      <w:r w:rsidRPr="00B07408">
        <w:rPr>
          <w:rFonts w:ascii="Verdana" w:hAnsi="Verdana" w:cs="Verdana"/>
          <w:sz w:val="20"/>
          <w:szCs w:val="20"/>
          <w:lang w:val="es-CR"/>
        </w:rPr>
        <w:t xml:space="preserve"> daños inmateriales</w:t>
      </w:r>
      <w:r w:rsidR="0029089C">
        <w:rPr>
          <w:rFonts w:ascii="Verdana" w:hAnsi="Verdana" w:cs="Verdana"/>
          <w:sz w:val="20"/>
          <w:szCs w:val="20"/>
          <w:lang w:val="es-CR"/>
        </w:rPr>
        <w:t xml:space="preserve"> a favor de 10</w:t>
      </w:r>
      <w:r w:rsidR="00B07408">
        <w:rPr>
          <w:rFonts w:ascii="Verdana" w:hAnsi="Verdana" w:cs="Verdana"/>
          <w:sz w:val="20"/>
          <w:szCs w:val="20"/>
          <w:lang w:val="es-CR"/>
        </w:rPr>
        <w:t xml:space="preserve"> beneficiarios</w:t>
      </w:r>
      <w:r w:rsidR="00B07408" w:rsidRPr="00B07408">
        <w:rPr>
          <w:rFonts w:ascii="Verdana" w:hAnsi="Verdana" w:cs="Verdana"/>
          <w:sz w:val="20"/>
          <w:szCs w:val="20"/>
          <w:lang w:val="es-CR"/>
        </w:rPr>
        <w:t xml:space="preserve">, quedando </w:t>
      </w:r>
      <w:r w:rsidR="00D71D51" w:rsidRPr="00B07408">
        <w:rPr>
          <w:rFonts w:ascii="Verdana" w:hAnsi="Verdana" w:cs="Verdana"/>
          <w:sz w:val="20"/>
          <w:szCs w:val="20"/>
          <w:lang w:val="es-CR"/>
        </w:rPr>
        <w:t xml:space="preserve">pendiente el pago </w:t>
      </w:r>
      <w:r w:rsidR="00B07408">
        <w:rPr>
          <w:rFonts w:ascii="Verdana" w:hAnsi="Verdana" w:cs="Verdana"/>
          <w:sz w:val="20"/>
          <w:szCs w:val="20"/>
          <w:lang w:val="es-CR"/>
        </w:rPr>
        <w:t xml:space="preserve">parcial y total </w:t>
      </w:r>
      <w:r w:rsidR="00D71D51" w:rsidRPr="00B07408">
        <w:rPr>
          <w:rFonts w:ascii="Verdana" w:hAnsi="Verdana" w:cs="Verdana"/>
          <w:sz w:val="20"/>
          <w:szCs w:val="20"/>
          <w:lang w:val="es-CR"/>
        </w:rPr>
        <w:t xml:space="preserve">de </w:t>
      </w:r>
      <w:r w:rsidR="00B07408" w:rsidRPr="00B07408">
        <w:rPr>
          <w:rFonts w:ascii="Verdana" w:hAnsi="Verdana" w:cs="Verdana"/>
          <w:sz w:val="20"/>
          <w:szCs w:val="20"/>
          <w:lang w:val="es-CR"/>
        </w:rPr>
        <w:t xml:space="preserve">las referidas indemnizaciones a favor de dos beneficiarios, </w:t>
      </w:r>
      <w:r w:rsidR="008C4B81">
        <w:rPr>
          <w:rFonts w:ascii="Verdana" w:hAnsi="Verdana" w:cs="Verdana"/>
          <w:sz w:val="20"/>
          <w:szCs w:val="20"/>
          <w:lang w:val="es-CR"/>
        </w:rPr>
        <w:t xml:space="preserve">el reintegro de costas y gastos, así como </w:t>
      </w:r>
      <w:r w:rsidR="00B07408">
        <w:rPr>
          <w:rFonts w:ascii="Verdana" w:hAnsi="Verdana" w:cs="Verdana"/>
          <w:sz w:val="20"/>
          <w:szCs w:val="20"/>
          <w:lang w:val="es-CR"/>
        </w:rPr>
        <w:t>el pago de</w:t>
      </w:r>
      <w:r w:rsidR="00B07408" w:rsidRPr="00B07408">
        <w:rPr>
          <w:rFonts w:ascii="Verdana" w:hAnsi="Verdana" w:cs="Verdana"/>
          <w:sz w:val="20"/>
          <w:szCs w:val="20"/>
          <w:lang w:val="es-CR"/>
        </w:rPr>
        <w:t xml:space="preserve"> </w:t>
      </w:r>
      <w:r w:rsidR="00D71D51" w:rsidRPr="00B07408">
        <w:rPr>
          <w:rFonts w:ascii="Verdana" w:hAnsi="Verdana" w:cs="Verdana"/>
          <w:sz w:val="20"/>
          <w:szCs w:val="20"/>
          <w:lang w:val="es-CR"/>
        </w:rPr>
        <w:t>los correspondientes intereses moratorios, según fue</w:t>
      </w:r>
      <w:r w:rsidRPr="00B07408">
        <w:rPr>
          <w:rFonts w:ascii="Verdana" w:hAnsi="Verdana" w:cs="Verdana"/>
          <w:sz w:val="20"/>
          <w:szCs w:val="20"/>
          <w:lang w:val="es-CR"/>
        </w:rPr>
        <w:t xml:space="preserve"> </w:t>
      </w:r>
      <w:r w:rsidR="00D71D51" w:rsidRPr="00B07408">
        <w:rPr>
          <w:rFonts w:ascii="Verdana" w:hAnsi="Verdana" w:cs="Verdana"/>
          <w:sz w:val="20"/>
          <w:szCs w:val="20"/>
          <w:lang w:val="es-MX"/>
        </w:rPr>
        <w:t>ordenad</w:t>
      </w:r>
      <w:r w:rsidR="004E62CB" w:rsidRPr="00B07408">
        <w:rPr>
          <w:rFonts w:ascii="Verdana" w:hAnsi="Verdana" w:cs="Verdana"/>
          <w:sz w:val="20"/>
          <w:szCs w:val="20"/>
          <w:lang w:val="es-MX"/>
        </w:rPr>
        <w:t>o</w:t>
      </w:r>
      <w:r w:rsidRPr="00B07408">
        <w:rPr>
          <w:rFonts w:ascii="Verdana" w:hAnsi="Verdana" w:cs="Verdana"/>
          <w:sz w:val="20"/>
          <w:szCs w:val="20"/>
          <w:lang w:val="es-MX"/>
        </w:rPr>
        <w:t xml:space="preserve"> en el punto dispositivo décimo </w:t>
      </w:r>
      <w:r w:rsidR="00B07408" w:rsidRPr="00B07408">
        <w:rPr>
          <w:rFonts w:ascii="Verdana" w:hAnsi="Verdana" w:cs="Verdana"/>
          <w:sz w:val="20"/>
          <w:szCs w:val="20"/>
          <w:lang w:val="es-MX"/>
        </w:rPr>
        <w:t>tercero</w:t>
      </w:r>
      <w:r w:rsidRPr="00B07408">
        <w:rPr>
          <w:rFonts w:ascii="Verdana" w:hAnsi="Verdana" w:cs="Verdana"/>
          <w:sz w:val="20"/>
          <w:szCs w:val="20"/>
          <w:lang w:val="es-MX"/>
        </w:rPr>
        <w:t xml:space="preserve"> de la </w:t>
      </w:r>
      <w:r w:rsidR="00B07408" w:rsidRPr="00B07408">
        <w:rPr>
          <w:rFonts w:ascii="Verdana" w:hAnsi="Verdana" w:cs="Verdana"/>
          <w:sz w:val="20"/>
          <w:szCs w:val="20"/>
          <w:lang w:val="es-MX"/>
        </w:rPr>
        <w:t>Sentencia</w:t>
      </w:r>
      <w:r w:rsidRPr="00B07408">
        <w:rPr>
          <w:rFonts w:ascii="Verdana" w:hAnsi="Verdana" w:cs="Verdana"/>
          <w:sz w:val="20"/>
          <w:szCs w:val="20"/>
          <w:lang w:val="es-MX"/>
        </w:rPr>
        <w:t>.</w:t>
      </w:r>
      <w:r w:rsidR="00E646CB" w:rsidRPr="00B07408">
        <w:rPr>
          <w:rFonts w:ascii="Verdana" w:hAnsi="Verdana" w:cs="Verdana"/>
          <w:sz w:val="20"/>
          <w:szCs w:val="20"/>
          <w:lang w:val="es-MX"/>
        </w:rPr>
        <w:t xml:space="preserve"> </w:t>
      </w:r>
    </w:p>
    <w:p w14:paraId="5462DCE2" w14:textId="77777777" w:rsidR="00B07408" w:rsidRDefault="00B07408" w:rsidP="004B6FAC">
      <w:pPr>
        <w:tabs>
          <w:tab w:val="left" w:pos="680"/>
        </w:tabs>
        <w:spacing w:after="0" w:line="240" w:lineRule="auto"/>
        <w:jc w:val="both"/>
        <w:rPr>
          <w:rFonts w:ascii="Verdana" w:hAnsi="Verdana"/>
          <w:b/>
          <w:sz w:val="14"/>
          <w:szCs w:val="14"/>
          <w:lang w:val="es-MX"/>
        </w:rPr>
      </w:pPr>
    </w:p>
    <w:p w14:paraId="6FC0BDB7" w14:textId="77777777" w:rsidR="00B872A4" w:rsidRDefault="00B872A4" w:rsidP="004B6FAC">
      <w:pPr>
        <w:tabs>
          <w:tab w:val="left" w:pos="680"/>
        </w:tabs>
        <w:spacing w:after="0" w:line="240" w:lineRule="auto"/>
        <w:jc w:val="both"/>
        <w:rPr>
          <w:rFonts w:ascii="Verdana" w:hAnsi="Verdana"/>
          <w:b/>
          <w:sz w:val="14"/>
          <w:szCs w:val="14"/>
          <w:lang w:val="es-MX"/>
        </w:rPr>
      </w:pPr>
    </w:p>
    <w:p w14:paraId="503AF9BC" w14:textId="77777777" w:rsidR="009F78E3" w:rsidRPr="002217E9" w:rsidRDefault="009F78E3" w:rsidP="004B6FAC">
      <w:pPr>
        <w:tabs>
          <w:tab w:val="left" w:pos="680"/>
        </w:tabs>
        <w:spacing w:after="0" w:line="240" w:lineRule="auto"/>
        <w:jc w:val="both"/>
        <w:rPr>
          <w:rFonts w:ascii="Verdana" w:hAnsi="Verdana"/>
          <w:b/>
          <w:sz w:val="20"/>
          <w:szCs w:val="20"/>
          <w:lang w:val="es-MX"/>
        </w:rPr>
      </w:pPr>
      <w:r w:rsidRPr="002217E9">
        <w:rPr>
          <w:rFonts w:ascii="Verdana" w:hAnsi="Verdana"/>
          <w:b/>
          <w:sz w:val="20"/>
          <w:szCs w:val="20"/>
          <w:lang w:val="es-MX"/>
        </w:rPr>
        <w:t>POR TANTO:</w:t>
      </w:r>
    </w:p>
    <w:p w14:paraId="018B7CA3" w14:textId="77777777" w:rsidR="009F78E3" w:rsidRPr="002217E9" w:rsidRDefault="009F78E3" w:rsidP="004B6FAC">
      <w:pPr>
        <w:pStyle w:val="Textoindependiente"/>
        <w:tabs>
          <w:tab w:val="left" w:pos="360"/>
          <w:tab w:val="left" w:pos="567"/>
        </w:tabs>
        <w:spacing w:after="0" w:line="240" w:lineRule="auto"/>
        <w:jc w:val="both"/>
        <w:rPr>
          <w:rFonts w:ascii="Verdana" w:hAnsi="Verdana"/>
          <w:b/>
          <w:sz w:val="10"/>
          <w:szCs w:val="10"/>
          <w:lang w:val="es-CR"/>
        </w:rPr>
      </w:pPr>
    </w:p>
    <w:p w14:paraId="5F393CCC" w14:textId="77777777" w:rsidR="009F78E3" w:rsidRPr="002217E9" w:rsidRDefault="009F78E3" w:rsidP="004B6FAC">
      <w:pPr>
        <w:pStyle w:val="Textoindependiente"/>
        <w:tabs>
          <w:tab w:val="left" w:pos="360"/>
          <w:tab w:val="left" w:pos="567"/>
        </w:tabs>
        <w:spacing w:after="0" w:line="240" w:lineRule="auto"/>
        <w:jc w:val="both"/>
        <w:rPr>
          <w:rFonts w:ascii="Verdana" w:hAnsi="Verdana"/>
          <w:b/>
          <w:sz w:val="20"/>
          <w:lang w:val="es-CR"/>
        </w:rPr>
      </w:pPr>
      <w:r w:rsidRPr="002217E9">
        <w:rPr>
          <w:rFonts w:ascii="Verdana" w:hAnsi="Verdana"/>
          <w:b/>
          <w:sz w:val="20"/>
          <w:lang w:val="es-CR"/>
        </w:rPr>
        <w:t>LA CORTE INTERAMERICANA DE DERECHOS HUMANOS,</w:t>
      </w:r>
    </w:p>
    <w:p w14:paraId="31DE582B" w14:textId="77777777" w:rsidR="002C70F6" w:rsidRPr="002217E9" w:rsidRDefault="002C70F6" w:rsidP="004B6FAC">
      <w:pPr>
        <w:pStyle w:val="Textoindependiente"/>
        <w:tabs>
          <w:tab w:val="left" w:pos="360"/>
          <w:tab w:val="left" w:pos="567"/>
        </w:tabs>
        <w:spacing w:after="0" w:line="240" w:lineRule="auto"/>
        <w:jc w:val="both"/>
        <w:rPr>
          <w:rFonts w:ascii="Verdana" w:hAnsi="Verdana"/>
          <w:b/>
          <w:sz w:val="14"/>
          <w:szCs w:val="14"/>
          <w:lang w:val="es-CR"/>
        </w:rPr>
      </w:pPr>
    </w:p>
    <w:p w14:paraId="39E94ACE" w14:textId="77777777" w:rsidR="009F78E3" w:rsidRPr="002217E9" w:rsidRDefault="009F78E3" w:rsidP="004B6FAC">
      <w:pPr>
        <w:tabs>
          <w:tab w:val="left" w:pos="567"/>
        </w:tabs>
        <w:spacing w:after="0" w:line="240" w:lineRule="auto"/>
        <w:jc w:val="both"/>
        <w:rPr>
          <w:rFonts w:ascii="Verdana" w:hAnsi="Verdana"/>
          <w:sz w:val="20"/>
          <w:lang w:val="es-CR"/>
        </w:rPr>
      </w:pPr>
      <w:r w:rsidRPr="002217E9">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14:paraId="45E78ADD" w14:textId="77777777" w:rsidR="00B872A4" w:rsidRPr="002217E9" w:rsidRDefault="00B872A4" w:rsidP="004B6FAC">
      <w:pPr>
        <w:tabs>
          <w:tab w:val="left" w:pos="567"/>
        </w:tabs>
        <w:spacing w:after="0" w:line="240" w:lineRule="auto"/>
        <w:jc w:val="both"/>
        <w:rPr>
          <w:rFonts w:ascii="Verdana" w:hAnsi="Verdana"/>
          <w:sz w:val="14"/>
          <w:szCs w:val="14"/>
          <w:lang w:val="es-CR"/>
        </w:rPr>
      </w:pPr>
    </w:p>
    <w:p w14:paraId="5EC72BCE" w14:textId="77777777" w:rsidR="006F0AF8" w:rsidRPr="002217E9" w:rsidRDefault="009F78E3" w:rsidP="004B6FAC">
      <w:pPr>
        <w:tabs>
          <w:tab w:val="left" w:pos="567"/>
        </w:tabs>
        <w:spacing w:after="0" w:line="240" w:lineRule="auto"/>
        <w:ind w:right="22"/>
        <w:jc w:val="both"/>
        <w:rPr>
          <w:rFonts w:ascii="Verdana" w:hAnsi="Verdana"/>
          <w:b/>
          <w:sz w:val="20"/>
          <w:lang w:val="es-CR"/>
        </w:rPr>
      </w:pPr>
      <w:r w:rsidRPr="002217E9">
        <w:rPr>
          <w:rFonts w:ascii="Verdana" w:hAnsi="Verdana"/>
          <w:b/>
          <w:sz w:val="20"/>
          <w:lang w:val="es-CR"/>
        </w:rPr>
        <w:t>RESUELVE:</w:t>
      </w:r>
      <w:r w:rsidR="006F0AF8" w:rsidRPr="002217E9">
        <w:rPr>
          <w:rFonts w:ascii="Verdana" w:hAnsi="Verdana"/>
          <w:b/>
          <w:sz w:val="20"/>
          <w:lang w:val="es-CR"/>
        </w:rPr>
        <w:t xml:space="preserve"> </w:t>
      </w:r>
    </w:p>
    <w:p w14:paraId="19E870C7" w14:textId="77777777" w:rsidR="002C70F6" w:rsidRPr="002217E9" w:rsidRDefault="002C70F6" w:rsidP="004B6FAC">
      <w:pPr>
        <w:tabs>
          <w:tab w:val="left" w:pos="567"/>
        </w:tabs>
        <w:spacing w:after="0" w:line="240" w:lineRule="auto"/>
        <w:ind w:right="22"/>
        <w:jc w:val="both"/>
        <w:rPr>
          <w:rFonts w:ascii="Verdana" w:hAnsi="Verdana"/>
          <w:b/>
          <w:sz w:val="20"/>
          <w:lang w:val="es-CR"/>
        </w:rPr>
      </w:pPr>
    </w:p>
    <w:p w14:paraId="053B4E33" w14:textId="77777777" w:rsidR="009929D5" w:rsidRDefault="009929D5" w:rsidP="00ED5C1C">
      <w:pPr>
        <w:numPr>
          <w:ilvl w:val="0"/>
          <w:numId w:val="2"/>
        </w:numPr>
        <w:tabs>
          <w:tab w:val="left" w:pos="567"/>
        </w:tabs>
        <w:spacing w:after="0" w:line="240" w:lineRule="auto"/>
        <w:ind w:left="0" w:firstLine="0"/>
        <w:jc w:val="both"/>
        <w:rPr>
          <w:rFonts w:ascii="Verdana" w:hAnsi="Verdana"/>
          <w:sz w:val="20"/>
          <w:szCs w:val="20"/>
          <w:lang w:val="es-CR"/>
        </w:rPr>
      </w:pPr>
      <w:r w:rsidRPr="002217E9">
        <w:rPr>
          <w:rFonts w:ascii="Verdana" w:hAnsi="Verdana"/>
          <w:sz w:val="20"/>
          <w:szCs w:val="20"/>
          <w:lang w:val="es-CR"/>
        </w:rPr>
        <w:t>Declarar, de conformidad con lo señalado en los</w:t>
      </w:r>
      <w:r>
        <w:rPr>
          <w:rFonts w:ascii="Verdana" w:hAnsi="Verdana"/>
          <w:sz w:val="20"/>
          <w:szCs w:val="20"/>
          <w:lang w:val="es-CR"/>
        </w:rPr>
        <w:t xml:space="preserve"> Considerandos </w:t>
      </w:r>
      <w:r w:rsidR="00906E33">
        <w:rPr>
          <w:rFonts w:ascii="Verdana" w:hAnsi="Verdana"/>
          <w:sz w:val="20"/>
          <w:szCs w:val="20"/>
          <w:lang w:val="es-CR"/>
        </w:rPr>
        <w:t>27 y 28, 30 y 31</w:t>
      </w:r>
      <w:r>
        <w:rPr>
          <w:rFonts w:ascii="Verdana" w:hAnsi="Verdana"/>
          <w:sz w:val="20"/>
          <w:szCs w:val="20"/>
          <w:lang w:val="es-CR"/>
        </w:rPr>
        <w:t xml:space="preserve"> de la presente Resolución, que el Estado ha dado cumplimiento </w:t>
      </w:r>
      <w:r w:rsidR="00ED5C1C">
        <w:rPr>
          <w:rFonts w:ascii="Verdana" w:hAnsi="Verdana"/>
          <w:sz w:val="20"/>
          <w:szCs w:val="20"/>
          <w:lang w:val="es-CR"/>
        </w:rPr>
        <w:t>total</w:t>
      </w:r>
      <w:r>
        <w:rPr>
          <w:rFonts w:ascii="Verdana" w:hAnsi="Verdana"/>
          <w:sz w:val="20"/>
          <w:szCs w:val="20"/>
          <w:lang w:val="es-CR"/>
        </w:rPr>
        <w:t xml:space="preserve"> a la</w:t>
      </w:r>
      <w:r w:rsidR="00DD6DF1">
        <w:rPr>
          <w:rFonts w:ascii="Verdana" w:hAnsi="Verdana"/>
          <w:sz w:val="20"/>
          <w:szCs w:val="20"/>
          <w:lang w:val="es-CR"/>
        </w:rPr>
        <w:t xml:space="preserve">s siguientes medidas: </w:t>
      </w:r>
    </w:p>
    <w:p w14:paraId="4F33AE14" w14:textId="77777777" w:rsidR="0024035B" w:rsidRPr="0024035B" w:rsidRDefault="0024035B" w:rsidP="0024035B">
      <w:pPr>
        <w:autoSpaceDE w:val="0"/>
        <w:autoSpaceDN w:val="0"/>
        <w:adjustRightInd w:val="0"/>
        <w:spacing w:after="0" w:line="240" w:lineRule="auto"/>
        <w:ind w:left="720"/>
        <w:jc w:val="both"/>
        <w:rPr>
          <w:rFonts w:ascii="Verdana" w:hAnsi="Verdana"/>
          <w:sz w:val="10"/>
          <w:szCs w:val="10"/>
          <w:lang w:val="es-CR"/>
        </w:rPr>
      </w:pPr>
    </w:p>
    <w:p w14:paraId="0CAA0DE9" w14:textId="77777777" w:rsidR="002C70F6" w:rsidRDefault="006F476E" w:rsidP="002C70F6">
      <w:pPr>
        <w:numPr>
          <w:ilvl w:val="0"/>
          <w:numId w:val="9"/>
        </w:numPr>
        <w:autoSpaceDE w:val="0"/>
        <w:autoSpaceDN w:val="0"/>
        <w:adjustRightInd w:val="0"/>
        <w:spacing w:after="0" w:line="240" w:lineRule="auto"/>
        <w:jc w:val="both"/>
        <w:rPr>
          <w:rFonts w:ascii="Verdana" w:hAnsi="Verdana"/>
          <w:sz w:val="20"/>
          <w:szCs w:val="20"/>
          <w:lang w:val="es-CR"/>
        </w:rPr>
      </w:pPr>
      <w:r>
        <w:rPr>
          <w:rFonts w:ascii="Verdana" w:hAnsi="Verdana"/>
          <w:sz w:val="20"/>
          <w:lang w:val="es-MX"/>
        </w:rPr>
        <w:t>publicación y difusión de la Sentencia y de su resumen oficial (</w:t>
      </w:r>
      <w:r w:rsidRPr="006F476E">
        <w:rPr>
          <w:rFonts w:ascii="Verdana" w:hAnsi="Verdana"/>
          <w:i/>
          <w:sz w:val="20"/>
          <w:lang w:val="es-MX"/>
        </w:rPr>
        <w:t>punto resolutivo noveno de la Sentencia</w:t>
      </w:r>
      <w:r>
        <w:rPr>
          <w:rFonts w:ascii="Verdana" w:hAnsi="Verdana" w:cs="Verdana"/>
          <w:sz w:val="20"/>
          <w:szCs w:val="20"/>
          <w:lang w:val="es-CR"/>
        </w:rPr>
        <w:t>)</w:t>
      </w:r>
      <w:r w:rsidR="003A061C">
        <w:rPr>
          <w:rFonts w:ascii="Verdana" w:hAnsi="Verdana" w:cs="Verdana"/>
          <w:sz w:val="20"/>
          <w:szCs w:val="20"/>
          <w:lang w:val="es-CR"/>
        </w:rPr>
        <w:t xml:space="preserve"> y </w:t>
      </w:r>
    </w:p>
    <w:p w14:paraId="72E4528C" w14:textId="77777777" w:rsidR="002B373D" w:rsidRDefault="006F476E" w:rsidP="002C70F6">
      <w:pPr>
        <w:numPr>
          <w:ilvl w:val="0"/>
          <w:numId w:val="9"/>
        </w:numPr>
        <w:autoSpaceDE w:val="0"/>
        <w:autoSpaceDN w:val="0"/>
        <w:adjustRightInd w:val="0"/>
        <w:spacing w:after="0" w:line="240" w:lineRule="auto"/>
        <w:jc w:val="both"/>
        <w:rPr>
          <w:rFonts w:ascii="Verdana" w:hAnsi="Verdana"/>
          <w:sz w:val="20"/>
          <w:szCs w:val="20"/>
          <w:lang w:val="es-CR"/>
        </w:rPr>
      </w:pPr>
      <w:r w:rsidRPr="00B80DB2">
        <w:rPr>
          <w:rFonts w:ascii="Verdana" w:hAnsi="Verdana"/>
          <w:sz w:val="20"/>
          <w:szCs w:val="20"/>
          <w:lang w:val="es-CR"/>
        </w:rPr>
        <w:t>realizar un acto público de reconocimiento de su responsabilidad internacional</w:t>
      </w:r>
      <w:r w:rsidRPr="002C70F6">
        <w:rPr>
          <w:rFonts w:ascii="Verdana" w:hAnsi="Verdana"/>
          <w:sz w:val="20"/>
          <w:szCs w:val="20"/>
          <w:lang w:val="es-CR"/>
        </w:rPr>
        <w:t xml:space="preserve"> </w:t>
      </w:r>
      <w:r w:rsidR="002B373D" w:rsidRPr="002C70F6">
        <w:rPr>
          <w:rFonts w:ascii="Verdana" w:hAnsi="Verdana"/>
          <w:sz w:val="20"/>
          <w:szCs w:val="20"/>
          <w:lang w:val="es-CR"/>
        </w:rPr>
        <w:t>(</w:t>
      </w:r>
      <w:r w:rsidR="00045A07">
        <w:rPr>
          <w:rFonts w:ascii="Verdana" w:hAnsi="Verdana"/>
          <w:i/>
          <w:sz w:val="20"/>
          <w:szCs w:val="20"/>
          <w:lang w:val="es-CR"/>
        </w:rPr>
        <w:t>punto dispositivo</w:t>
      </w:r>
      <w:r w:rsidR="002B373D" w:rsidRPr="002C70F6">
        <w:rPr>
          <w:rFonts w:ascii="Verdana" w:hAnsi="Verdana"/>
          <w:i/>
          <w:sz w:val="20"/>
          <w:szCs w:val="20"/>
          <w:lang w:val="es-CR"/>
        </w:rPr>
        <w:t xml:space="preserve"> décimo de la Sentencia</w:t>
      </w:r>
      <w:r w:rsidR="002B373D" w:rsidRPr="002C70F6">
        <w:rPr>
          <w:rFonts w:ascii="Verdana" w:hAnsi="Verdana"/>
          <w:sz w:val="20"/>
          <w:szCs w:val="20"/>
          <w:lang w:val="es-CR"/>
        </w:rPr>
        <w:t>)</w:t>
      </w:r>
      <w:r w:rsidR="007A5CEE">
        <w:rPr>
          <w:rFonts w:ascii="Verdana" w:hAnsi="Verdana"/>
          <w:sz w:val="20"/>
          <w:szCs w:val="20"/>
          <w:lang w:val="es-CR"/>
        </w:rPr>
        <w:t>.</w:t>
      </w:r>
    </w:p>
    <w:p w14:paraId="3C3FB9D3" w14:textId="77777777" w:rsidR="002C70F6" w:rsidRPr="00C96FC0" w:rsidRDefault="002C70F6" w:rsidP="002C70F6">
      <w:pPr>
        <w:autoSpaceDE w:val="0"/>
        <w:autoSpaceDN w:val="0"/>
        <w:adjustRightInd w:val="0"/>
        <w:spacing w:after="0" w:line="240" w:lineRule="auto"/>
        <w:ind w:left="720"/>
        <w:jc w:val="both"/>
        <w:rPr>
          <w:rFonts w:ascii="Verdana" w:hAnsi="Verdana"/>
          <w:sz w:val="10"/>
          <w:szCs w:val="10"/>
          <w:lang w:val="es-CR"/>
        </w:rPr>
      </w:pPr>
    </w:p>
    <w:p w14:paraId="73C89BF5" w14:textId="77777777" w:rsidR="00ED5C1C" w:rsidRDefault="00ED5C1C" w:rsidP="00ED5C1C">
      <w:pPr>
        <w:numPr>
          <w:ilvl w:val="0"/>
          <w:numId w:val="2"/>
        </w:numPr>
        <w:tabs>
          <w:tab w:val="left" w:pos="567"/>
        </w:tabs>
        <w:spacing w:after="0" w:line="240" w:lineRule="auto"/>
        <w:ind w:left="0" w:firstLine="0"/>
        <w:jc w:val="both"/>
        <w:rPr>
          <w:rFonts w:ascii="Verdana" w:hAnsi="Verdana"/>
          <w:sz w:val="20"/>
          <w:szCs w:val="20"/>
          <w:lang w:val="es-CR"/>
        </w:rPr>
      </w:pPr>
      <w:r w:rsidRPr="002217E9">
        <w:rPr>
          <w:rFonts w:ascii="Verdana" w:hAnsi="Verdana"/>
          <w:sz w:val="20"/>
          <w:szCs w:val="20"/>
          <w:lang w:val="es-CR"/>
        </w:rPr>
        <w:t>Declarar, de conformidad con lo señalado en los</w:t>
      </w:r>
      <w:r>
        <w:rPr>
          <w:rFonts w:ascii="Verdana" w:hAnsi="Verdana"/>
          <w:sz w:val="20"/>
          <w:szCs w:val="20"/>
          <w:lang w:val="es-CR"/>
        </w:rPr>
        <w:t xml:space="preserve"> Considerandos </w:t>
      </w:r>
      <w:r w:rsidR="00906E33">
        <w:rPr>
          <w:rFonts w:ascii="Verdana" w:hAnsi="Verdana"/>
          <w:sz w:val="20"/>
          <w:szCs w:val="20"/>
          <w:lang w:val="es-CR"/>
        </w:rPr>
        <w:t>46 y 47</w:t>
      </w:r>
      <w:r w:rsidR="00935A10">
        <w:rPr>
          <w:rFonts w:ascii="Verdana" w:hAnsi="Verdana"/>
          <w:sz w:val="20"/>
          <w:szCs w:val="20"/>
          <w:lang w:val="es-CR"/>
        </w:rPr>
        <w:t xml:space="preserve"> </w:t>
      </w:r>
      <w:r>
        <w:rPr>
          <w:rFonts w:ascii="Verdana" w:hAnsi="Verdana"/>
          <w:sz w:val="20"/>
          <w:szCs w:val="20"/>
          <w:lang w:val="es-CR"/>
        </w:rPr>
        <w:t xml:space="preserve">de la presente Resolución, que el Estado </w:t>
      </w:r>
      <w:r w:rsidR="007A5CEE" w:rsidRPr="00B07408">
        <w:rPr>
          <w:rFonts w:ascii="Verdana" w:hAnsi="Verdana" w:cs="Verdana"/>
          <w:sz w:val="20"/>
          <w:szCs w:val="20"/>
          <w:lang w:val="es-MX"/>
        </w:rPr>
        <w:t xml:space="preserve">ha dado cumplimiento a las medidas de reparación relativas a </w:t>
      </w:r>
      <w:r w:rsidR="007A5CEE" w:rsidRPr="00B07408">
        <w:rPr>
          <w:rFonts w:ascii="Verdana" w:hAnsi="Verdana" w:cs="Verdana"/>
          <w:sz w:val="20"/>
          <w:szCs w:val="20"/>
          <w:lang w:val="es-CR"/>
        </w:rPr>
        <w:t xml:space="preserve">realizar los pagos de las </w:t>
      </w:r>
      <w:r w:rsidR="007A5CEE">
        <w:rPr>
          <w:rFonts w:ascii="Verdana" w:hAnsi="Verdana" w:cs="Verdana"/>
          <w:sz w:val="20"/>
          <w:szCs w:val="20"/>
          <w:lang w:val="es-CR"/>
        </w:rPr>
        <w:t xml:space="preserve">indemnizaciones </w:t>
      </w:r>
      <w:r w:rsidR="007A5CEE" w:rsidRPr="00B07408">
        <w:rPr>
          <w:rFonts w:ascii="Verdana" w:hAnsi="Verdana" w:cs="Verdana"/>
          <w:sz w:val="20"/>
          <w:szCs w:val="20"/>
          <w:lang w:val="es-CR"/>
        </w:rPr>
        <w:t>establecidas en la Sentencia por concepto de daños materiales y daños inmateriales</w:t>
      </w:r>
      <w:r w:rsidR="007A5CEE">
        <w:rPr>
          <w:rFonts w:ascii="Verdana" w:hAnsi="Verdana" w:cs="Verdana"/>
          <w:sz w:val="20"/>
          <w:szCs w:val="20"/>
          <w:lang w:val="es-CR"/>
        </w:rPr>
        <w:t xml:space="preserve"> a favor de 1</w:t>
      </w:r>
      <w:r w:rsidR="00B872A4">
        <w:rPr>
          <w:rFonts w:ascii="Verdana" w:hAnsi="Verdana" w:cs="Verdana"/>
          <w:sz w:val="20"/>
          <w:szCs w:val="20"/>
          <w:lang w:val="es-CR"/>
        </w:rPr>
        <w:t>0</w:t>
      </w:r>
      <w:r w:rsidR="007A5CEE">
        <w:rPr>
          <w:rFonts w:ascii="Verdana" w:hAnsi="Verdana" w:cs="Verdana"/>
          <w:sz w:val="20"/>
          <w:szCs w:val="20"/>
          <w:lang w:val="es-CR"/>
        </w:rPr>
        <w:t xml:space="preserve"> beneficiarios</w:t>
      </w:r>
      <w:r w:rsidR="007A5CEE" w:rsidRPr="00B07408">
        <w:rPr>
          <w:rFonts w:ascii="Verdana" w:hAnsi="Verdana" w:cs="Verdana"/>
          <w:sz w:val="20"/>
          <w:szCs w:val="20"/>
          <w:lang w:val="es-CR"/>
        </w:rPr>
        <w:t xml:space="preserve">, quedando pendiente el pago </w:t>
      </w:r>
      <w:r w:rsidR="007A5CEE">
        <w:rPr>
          <w:rFonts w:ascii="Verdana" w:hAnsi="Verdana" w:cs="Verdana"/>
          <w:sz w:val="20"/>
          <w:szCs w:val="20"/>
          <w:lang w:val="es-CR"/>
        </w:rPr>
        <w:t xml:space="preserve">parcial y total </w:t>
      </w:r>
      <w:r w:rsidR="007A5CEE" w:rsidRPr="00B07408">
        <w:rPr>
          <w:rFonts w:ascii="Verdana" w:hAnsi="Verdana" w:cs="Verdana"/>
          <w:sz w:val="20"/>
          <w:szCs w:val="20"/>
          <w:lang w:val="es-CR"/>
        </w:rPr>
        <w:t>de las referidas indemnizaciones a favor de dos beneficiarios, e</w:t>
      </w:r>
      <w:r w:rsidR="008C4B81">
        <w:rPr>
          <w:rFonts w:ascii="Verdana" w:hAnsi="Verdana" w:cs="Verdana"/>
          <w:sz w:val="20"/>
          <w:szCs w:val="20"/>
          <w:lang w:val="es-CR"/>
        </w:rPr>
        <w:t xml:space="preserve">l </w:t>
      </w:r>
      <w:r w:rsidR="008C4B81">
        <w:rPr>
          <w:rFonts w:ascii="Verdana" w:hAnsi="Verdana" w:cs="Verdana"/>
          <w:sz w:val="20"/>
          <w:szCs w:val="20"/>
          <w:lang w:val="es-CR"/>
        </w:rPr>
        <w:lastRenderedPageBreak/>
        <w:t xml:space="preserve">reintegro de costas y gastos, así como </w:t>
      </w:r>
      <w:r w:rsidR="007A5CEE">
        <w:rPr>
          <w:rFonts w:ascii="Verdana" w:hAnsi="Verdana" w:cs="Verdana"/>
          <w:sz w:val="20"/>
          <w:szCs w:val="20"/>
          <w:lang w:val="es-CR"/>
        </w:rPr>
        <w:t>el pago de</w:t>
      </w:r>
      <w:r w:rsidR="007A5CEE" w:rsidRPr="00B07408">
        <w:rPr>
          <w:rFonts w:ascii="Verdana" w:hAnsi="Verdana" w:cs="Verdana"/>
          <w:sz w:val="20"/>
          <w:szCs w:val="20"/>
          <w:lang w:val="es-CR"/>
        </w:rPr>
        <w:t xml:space="preserve"> los correspondientes intereses moratorios</w:t>
      </w:r>
      <w:r w:rsidR="007A5CEE">
        <w:rPr>
          <w:rFonts w:ascii="Verdana" w:hAnsi="Verdana" w:cs="Verdana"/>
          <w:sz w:val="20"/>
          <w:szCs w:val="20"/>
          <w:lang w:val="es-CR"/>
        </w:rPr>
        <w:t xml:space="preserve"> (</w:t>
      </w:r>
      <w:r w:rsidR="007A5CEE" w:rsidRPr="007A5CEE">
        <w:rPr>
          <w:rFonts w:ascii="Verdana" w:hAnsi="Verdana" w:cs="Verdana"/>
          <w:i/>
          <w:sz w:val="20"/>
          <w:szCs w:val="20"/>
          <w:lang w:val="es-MX"/>
        </w:rPr>
        <w:t>punto dispositivo décimo tercero de la Sentencia</w:t>
      </w:r>
      <w:r w:rsidR="007A5CEE">
        <w:rPr>
          <w:rFonts w:ascii="Verdana" w:hAnsi="Verdana" w:cs="Verdana"/>
          <w:sz w:val="20"/>
          <w:szCs w:val="20"/>
          <w:lang w:val="es-MX"/>
        </w:rPr>
        <w:t>).</w:t>
      </w:r>
      <w:r>
        <w:rPr>
          <w:rFonts w:ascii="Verdana" w:hAnsi="Verdana"/>
          <w:sz w:val="20"/>
          <w:szCs w:val="20"/>
          <w:lang w:val="es-CR"/>
        </w:rPr>
        <w:t xml:space="preserve"> </w:t>
      </w:r>
    </w:p>
    <w:p w14:paraId="7213EAB4" w14:textId="77777777" w:rsidR="0024035B" w:rsidRPr="0024035B" w:rsidRDefault="0024035B" w:rsidP="0024035B">
      <w:pPr>
        <w:autoSpaceDE w:val="0"/>
        <w:autoSpaceDN w:val="0"/>
        <w:adjustRightInd w:val="0"/>
        <w:spacing w:after="0" w:line="240" w:lineRule="auto"/>
        <w:ind w:left="720"/>
        <w:jc w:val="both"/>
        <w:rPr>
          <w:rFonts w:ascii="Verdana" w:hAnsi="Verdana"/>
          <w:sz w:val="10"/>
          <w:szCs w:val="10"/>
          <w:lang w:val="es-CR"/>
        </w:rPr>
      </w:pPr>
    </w:p>
    <w:p w14:paraId="01200064" w14:textId="77777777" w:rsidR="003115A1" w:rsidRPr="00C96FC0" w:rsidRDefault="003115A1" w:rsidP="00ED5C1C">
      <w:pPr>
        <w:tabs>
          <w:tab w:val="left" w:pos="567"/>
        </w:tabs>
        <w:spacing w:after="0" w:line="240" w:lineRule="auto"/>
        <w:jc w:val="both"/>
        <w:rPr>
          <w:rFonts w:ascii="Verdana" w:hAnsi="Verdana"/>
          <w:sz w:val="10"/>
          <w:szCs w:val="10"/>
          <w:lang w:val="es-CR"/>
        </w:rPr>
      </w:pPr>
    </w:p>
    <w:p w14:paraId="43BBBFB0" w14:textId="77777777" w:rsidR="009929D5" w:rsidRDefault="009F78E3" w:rsidP="00ED5C1C">
      <w:pPr>
        <w:numPr>
          <w:ilvl w:val="0"/>
          <w:numId w:val="2"/>
        </w:numPr>
        <w:tabs>
          <w:tab w:val="left" w:pos="567"/>
        </w:tabs>
        <w:spacing w:after="0" w:line="240" w:lineRule="auto"/>
        <w:ind w:left="0" w:firstLine="0"/>
        <w:jc w:val="both"/>
        <w:rPr>
          <w:rFonts w:ascii="Verdana" w:hAnsi="Verdana"/>
          <w:sz w:val="20"/>
          <w:szCs w:val="20"/>
          <w:lang w:val="es-CR"/>
        </w:rPr>
      </w:pPr>
      <w:r w:rsidRPr="009F78E3">
        <w:rPr>
          <w:rFonts w:ascii="Verdana" w:hAnsi="Verdana"/>
          <w:sz w:val="20"/>
          <w:szCs w:val="20"/>
          <w:lang w:val="es-CR"/>
        </w:rPr>
        <w:t>Mantener abierto el procedimiento de supervisión de cumplimiento respecto de la</w:t>
      </w:r>
      <w:r w:rsidR="00103F32">
        <w:rPr>
          <w:rFonts w:ascii="Verdana" w:hAnsi="Verdana"/>
          <w:sz w:val="20"/>
          <w:szCs w:val="20"/>
          <w:lang w:val="es-CR"/>
        </w:rPr>
        <w:t>s</w:t>
      </w:r>
      <w:r w:rsidRPr="009F78E3">
        <w:rPr>
          <w:rFonts w:ascii="Verdana" w:hAnsi="Verdana"/>
          <w:sz w:val="20"/>
          <w:szCs w:val="20"/>
          <w:lang w:val="es-CR"/>
        </w:rPr>
        <w:t xml:space="preserve"> medida</w:t>
      </w:r>
      <w:r w:rsidR="00103F32">
        <w:rPr>
          <w:rFonts w:ascii="Verdana" w:hAnsi="Verdana"/>
          <w:sz w:val="20"/>
          <w:szCs w:val="20"/>
          <w:lang w:val="es-CR"/>
        </w:rPr>
        <w:t>s</w:t>
      </w:r>
      <w:r w:rsidR="00D15376">
        <w:rPr>
          <w:rFonts w:ascii="Verdana" w:hAnsi="Verdana"/>
          <w:sz w:val="20"/>
          <w:szCs w:val="20"/>
          <w:lang w:val="es-CR"/>
        </w:rPr>
        <w:t xml:space="preserve"> de reparación </w:t>
      </w:r>
      <w:r w:rsidRPr="009F78E3">
        <w:rPr>
          <w:rFonts w:ascii="Verdana" w:hAnsi="Verdana"/>
          <w:sz w:val="20"/>
          <w:szCs w:val="20"/>
          <w:lang w:val="es-CR"/>
        </w:rPr>
        <w:t>que</w:t>
      </w:r>
      <w:r w:rsidR="00D15376">
        <w:rPr>
          <w:rFonts w:ascii="Verdana" w:hAnsi="Verdana"/>
          <w:sz w:val="20"/>
          <w:szCs w:val="20"/>
          <w:lang w:val="es-CR"/>
        </w:rPr>
        <w:t>,</w:t>
      </w:r>
      <w:r w:rsidRPr="009F78E3">
        <w:rPr>
          <w:rFonts w:ascii="Verdana" w:hAnsi="Verdana"/>
          <w:sz w:val="20"/>
          <w:szCs w:val="20"/>
          <w:lang w:val="es-CR"/>
        </w:rPr>
        <w:t xml:space="preserve"> de conformidad con los Considerandos </w:t>
      </w:r>
      <w:r w:rsidR="007A5CEE">
        <w:rPr>
          <w:rFonts w:ascii="Verdana" w:hAnsi="Verdana"/>
          <w:sz w:val="20"/>
          <w:szCs w:val="20"/>
          <w:lang w:val="es-CR"/>
        </w:rPr>
        <w:t>5 a 10</w:t>
      </w:r>
      <w:r w:rsidR="0059292A">
        <w:rPr>
          <w:rFonts w:ascii="Verdana" w:hAnsi="Verdana"/>
          <w:sz w:val="20"/>
          <w:szCs w:val="20"/>
          <w:lang w:val="es-CR"/>
        </w:rPr>
        <w:t xml:space="preserve">, </w:t>
      </w:r>
      <w:r w:rsidR="007A5CEE">
        <w:rPr>
          <w:rFonts w:ascii="Verdana" w:hAnsi="Verdana"/>
          <w:sz w:val="20"/>
          <w:szCs w:val="20"/>
          <w:lang w:val="es-CR"/>
        </w:rPr>
        <w:t>12</w:t>
      </w:r>
      <w:r w:rsidR="0059292A">
        <w:rPr>
          <w:rFonts w:ascii="Verdana" w:hAnsi="Verdana"/>
          <w:sz w:val="20"/>
          <w:szCs w:val="20"/>
          <w:lang w:val="es-CR"/>
        </w:rPr>
        <w:t xml:space="preserve"> a </w:t>
      </w:r>
      <w:r w:rsidR="007A5CEE">
        <w:rPr>
          <w:rFonts w:ascii="Verdana" w:hAnsi="Verdana"/>
          <w:sz w:val="20"/>
          <w:szCs w:val="20"/>
          <w:lang w:val="es-CR"/>
        </w:rPr>
        <w:t>18</w:t>
      </w:r>
      <w:r w:rsidR="00C8662E">
        <w:rPr>
          <w:rFonts w:ascii="Verdana" w:hAnsi="Verdana"/>
          <w:sz w:val="20"/>
          <w:szCs w:val="20"/>
          <w:lang w:val="es-CR"/>
        </w:rPr>
        <w:t xml:space="preserve">, </w:t>
      </w:r>
      <w:r w:rsidR="00690138">
        <w:rPr>
          <w:rFonts w:ascii="Verdana" w:hAnsi="Verdana"/>
          <w:sz w:val="20"/>
          <w:szCs w:val="20"/>
          <w:lang w:val="es-CR"/>
        </w:rPr>
        <w:t>20</w:t>
      </w:r>
      <w:r w:rsidR="00C8662E">
        <w:rPr>
          <w:rFonts w:ascii="Verdana" w:hAnsi="Verdana"/>
          <w:sz w:val="20"/>
          <w:szCs w:val="20"/>
          <w:lang w:val="es-CR"/>
        </w:rPr>
        <w:t xml:space="preserve"> a </w:t>
      </w:r>
      <w:r w:rsidR="00690138">
        <w:rPr>
          <w:rFonts w:ascii="Verdana" w:hAnsi="Verdana"/>
          <w:sz w:val="20"/>
          <w:szCs w:val="20"/>
          <w:lang w:val="es-CR"/>
        </w:rPr>
        <w:t>25</w:t>
      </w:r>
      <w:r w:rsidR="007A5CEE">
        <w:rPr>
          <w:rFonts w:ascii="Verdana" w:hAnsi="Verdana"/>
          <w:sz w:val="20"/>
          <w:szCs w:val="20"/>
          <w:lang w:val="es-CR"/>
        </w:rPr>
        <w:t xml:space="preserve">, </w:t>
      </w:r>
      <w:r w:rsidR="00690138">
        <w:rPr>
          <w:rFonts w:ascii="Verdana" w:hAnsi="Verdana"/>
          <w:sz w:val="20"/>
          <w:szCs w:val="20"/>
          <w:lang w:val="es-CR"/>
        </w:rPr>
        <w:t>33</w:t>
      </w:r>
      <w:r w:rsidR="007A5CEE">
        <w:rPr>
          <w:rFonts w:ascii="Verdana" w:hAnsi="Verdana"/>
          <w:sz w:val="20"/>
          <w:szCs w:val="20"/>
          <w:lang w:val="es-CR"/>
        </w:rPr>
        <w:t xml:space="preserve"> a</w:t>
      </w:r>
      <w:r w:rsidR="00C8662E">
        <w:rPr>
          <w:rFonts w:ascii="Verdana" w:hAnsi="Verdana"/>
          <w:sz w:val="20"/>
          <w:szCs w:val="20"/>
          <w:lang w:val="es-CR"/>
        </w:rPr>
        <w:t xml:space="preserve"> </w:t>
      </w:r>
      <w:r w:rsidR="00690138">
        <w:rPr>
          <w:rFonts w:ascii="Verdana" w:hAnsi="Verdana"/>
          <w:sz w:val="20"/>
          <w:szCs w:val="20"/>
          <w:lang w:val="es-CR"/>
        </w:rPr>
        <w:t>37,</w:t>
      </w:r>
      <w:r w:rsidR="00C8662E">
        <w:rPr>
          <w:rFonts w:ascii="Verdana" w:hAnsi="Verdana"/>
          <w:sz w:val="20"/>
          <w:szCs w:val="20"/>
          <w:lang w:val="es-CR"/>
        </w:rPr>
        <w:t xml:space="preserve"> </w:t>
      </w:r>
      <w:r w:rsidR="00690138">
        <w:rPr>
          <w:rFonts w:ascii="Verdana" w:hAnsi="Verdana"/>
          <w:sz w:val="20"/>
          <w:szCs w:val="20"/>
          <w:lang w:val="es-CR"/>
        </w:rPr>
        <w:t>39</w:t>
      </w:r>
      <w:r w:rsidR="007A5CEE">
        <w:rPr>
          <w:rFonts w:ascii="Verdana" w:hAnsi="Verdana"/>
          <w:sz w:val="20"/>
          <w:szCs w:val="20"/>
          <w:lang w:val="es-CR"/>
        </w:rPr>
        <w:t xml:space="preserve"> a </w:t>
      </w:r>
      <w:r w:rsidR="00690138">
        <w:rPr>
          <w:rFonts w:ascii="Verdana" w:hAnsi="Verdana"/>
          <w:sz w:val="20"/>
          <w:szCs w:val="20"/>
          <w:lang w:val="es-CR"/>
        </w:rPr>
        <w:t>44 y 46 y 47</w:t>
      </w:r>
      <w:r w:rsidR="00103F32">
        <w:rPr>
          <w:rFonts w:ascii="Verdana" w:hAnsi="Verdana"/>
          <w:sz w:val="20"/>
          <w:szCs w:val="20"/>
          <w:lang w:val="es-CR"/>
        </w:rPr>
        <w:t xml:space="preserve"> </w:t>
      </w:r>
      <w:r w:rsidRPr="009F78E3">
        <w:rPr>
          <w:rFonts w:ascii="Verdana" w:hAnsi="Verdana"/>
          <w:sz w:val="20"/>
          <w:szCs w:val="20"/>
          <w:lang w:val="es-CR"/>
        </w:rPr>
        <w:t>de la presente Resolución, se encuen</w:t>
      </w:r>
      <w:r w:rsidR="002C70F6">
        <w:rPr>
          <w:rFonts w:ascii="Verdana" w:hAnsi="Verdana"/>
          <w:sz w:val="20"/>
          <w:szCs w:val="20"/>
          <w:lang w:val="es-CR"/>
        </w:rPr>
        <w:t>tran pendientes de acatamiento:</w:t>
      </w:r>
    </w:p>
    <w:p w14:paraId="14B5A818" w14:textId="77777777" w:rsidR="0024035B" w:rsidRPr="0024035B" w:rsidRDefault="0024035B" w:rsidP="0024035B">
      <w:pPr>
        <w:tabs>
          <w:tab w:val="left" w:pos="567"/>
        </w:tabs>
        <w:spacing w:after="0" w:line="240" w:lineRule="auto"/>
        <w:jc w:val="both"/>
        <w:rPr>
          <w:rFonts w:ascii="Verdana" w:hAnsi="Verdana"/>
          <w:sz w:val="10"/>
          <w:szCs w:val="10"/>
          <w:lang w:val="es-CR"/>
        </w:rPr>
      </w:pPr>
    </w:p>
    <w:p w14:paraId="17FE67E7" w14:textId="77777777" w:rsidR="009929D5" w:rsidRPr="00EC055E" w:rsidRDefault="00EC055E" w:rsidP="004B6FAC">
      <w:pPr>
        <w:numPr>
          <w:ilvl w:val="0"/>
          <w:numId w:val="5"/>
        </w:numPr>
        <w:tabs>
          <w:tab w:val="left" w:pos="567"/>
        </w:tabs>
        <w:spacing w:after="0" w:line="240" w:lineRule="auto"/>
        <w:jc w:val="both"/>
        <w:rPr>
          <w:rFonts w:ascii="Verdana" w:hAnsi="Verdana"/>
          <w:sz w:val="20"/>
          <w:szCs w:val="20"/>
          <w:lang w:val="es-CR"/>
        </w:rPr>
      </w:pPr>
      <w:r w:rsidRPr="00EC055E">
        <w:rPr>
          <w:rFonts w:ascii="Verdana" w:hAnsi="Verdana"/>
          <w:sz w:val="20"/>
          <w:szCs w:val="20"/>
          <w:lang w:val="es-CR"/>
        </w:rPr>
        <w:t>iniciar y realizar las investigaciones y procesos necesarios, en un plazo razonable, con el fin de establecer la verdad de los hechos, así como de determinar y, en su caso, sancionar a los responsables de la desaparición forzada de Jeremías Osorio Rivera</w:t>
      </w:r>
      <w:r w:rsidRPr="00EC055E">
        <w:rPr>
          <w:rFonts w:ascii="Verdana" w:hAnsi="Verdana"/>
          <w:i/>
          <w:sz w:val="20"/>
          <w:szCs w:val="20"/>
          <w:lang w:val="es-CR"/>
        </w:rPr>
        <w:t xml:space="preserve"> </w:t>
      </w:r>
      <w:r w:rsidR="009929D5" w:rsidRPr="00EC055E">
        <w:rPr>
          <w:rFonts w:ascii="Verdana" w:hAnsi="Verdana"/>
          <w:i/>
          <w:sz w:val="20"/>
          <w:szCs w:val="20"/>
          <w:lang w:val="es-CR"/>
        </w:rPr>
        <w:t xml:space="preserve">(punto resolutivo </w:t>
      </w:r>
      <w:r w:rsidRPr="00EC055E">
        <w:rPr>
          <w:rFonts w:ascii="Verdana" w:hAnsi="Verdana"/>
          <w:i/>
          <w:sz w:val="20"/>
          <w:szCs w:val="20"/>
          <w:lang w:val="es-CR"/>
        </w:rPr>
        <w:t>sexto</w:t>
      </w:r>
      <w:r w:rsidR="009929D5" w:rsidRPr="00EC055E">
        <w:rPr>
          <w:rFonts w:ascii="Verdana" w:hAnsi="Verdana"/>
          <w:i/>
          <w:sz w:val="20"/>
          <w:szCs w:val="20"/>
          <w:lang w:val="es-CR"/>
        </w:rPr>
        <w:t xml:space="preserve"> de la Sentencia)</w:t>
      </w:r>
      <w:r w:rsidR="005940EB" w:rsidRPr="00EC055E">
        <w:rPr>
          <w:rFonts w:ascii="Verdana" w:hAnsi="Verdana"/>
          <w:sz w:val="20"/>
          <w:szCs w:val="20"/>
          <w:lang w:val="es-CR"/>
        </w:rPr>
        <w:t>;</w:t>
      </w:r>
      <w:r w:rsidR="00103F32" w:rsidRPr="00EC055E">
        <w:rPr>
          <w:rFonts w:ascii="Verdana" w:hAnsi="Verdana"/>
          <w:sz w:val="20"/>
          <w:szCs w:val="20"/>
          <w:lang w:val="es-CR"/>
        </w:rPr>
        <w:t xml:space="preserve"> </w:t>
      </w:r>
    </w:p>
    <w:p w14:paraId="15E4D1D3" w14:textId="77777777" w:rsidR="00103F32" w:rsidRPr="00D116E0" w:rsidRDefault="00D116E0" w:rsidP="004B6FAC">
      <w:pPr>
        <w:numPr>
          <w:ilvl w:val="0"/>
          <w:numId w:val="5"/>
        </w:numPr>
        <w:tabs>
          <w:tab w:val="left" w:pos="567"/>
        </w:tabs>
        <w:spacing w:after="0" w:line="240" w:lineRule="auto"/>
        <w:jc w:val="both"/>
        <w:rPr>
          <w:rFonts w:ascii="Verdana" w:hAnsi="Verdana"/>
          <w:sz w:val="20"/>
          <w:szCs w:val="20"/>
          <w:lang w:val="es-CR"/>
        </w:rPr>
      </w:pPr>
      <w:r w:rsidRPr="00D116E0">
        <w:rPr>
          <w:rFonts w:ascii="Verdana" w:hAnsi="Verdana"/>
          <w:sz w:val="20"/>
          <w:szCs w:val="20"/>
          <w:lang w:val="es-CR"/>
        </w:rPr>
        <w:t xml:space="preserve">efectuar, a la mayor brevedad, </w:t>
      </w:r>
      <w:r w:rsidR="005B7751" w:rsidRPr="00E23941">
        <w:rPr>
          <w:rFonts w:ascii="Verdana" w:hAnsi="Verdana"/>
          <w:sz w:val="20"/>
          <w:szCs w:val="20"/>
          <w:lang w:val="es-CR"/>
        </w:rPr>
        <w:t xml:space="preserve">un proceso de búsqueda serio que acredite la realización de todos los esfuerzos técnicos y periciales </w:t>
      </w:r>
      <w:r w:rsidR="005B7751" w:rsidRPr="00E23941">
        <w:rPr>
          <w:rFonts w:ascii="Verdana" w:hAnsi="Verdana" w:cs="Verdana"/>
          <w:sz w:val="20"/>
          <w:szCs w:val="20"/>
          <w:lang w:val="es-CR"/>
        </w:rPr>
        <w:t xml:space="preserve">para determinar el paradero de Jeremías Osorio Rivera a la mayor brevedad, el </w:t>
      </w:r>
      <w:r w:rsidR="005B7751">
        <w:rPr>
          <w:rFonts w:ascii="Verdana" w:hAnsi="Verdana" w:cs="Verdana"/>
          <w:sz w:val="20"/>
          <w:szCs w:val="20"/>
          <w:lang w:val="es-CR"/>
        </w:rPr>
        <w:t>cual deberá</w:t>
      </w:r>
      <w:r w:rsidR="005B7751" w:rsidRPr="00957B4A">
        <w:rPr>
          <w:rFonts w:ascii="Verdana" w:hAnsi="Verdana" w:cs="Verdana"/>
          <w:sz w:val="20"/>
          <w:szCs w:val="20"/>
          <w:lang w:val="es-CR"/>
        </w:rPr>
        <w:t xml:space="preserve"> realizarse de manera sistemática y rigurosa, contar con los recursos humanos, técnicos y </w:t>
      </w:r>
      <w:r w:rsidR="005B7751">
        <w:rPr>
          <w:rFonts w:ascii="Verdana" w:hAnsi="Verdana" w:cs="Verdana"/>
          <w:sz w:val="20"/>
          <w:szCs w:val="20"/>
          <w:lang w:val="es-CR"/>
        </w:rPr>
        <w:t>científicos adecuados e idóneos</w:t>
      </w:r>
      <w:r w:rsidR="005B7751" w:rsidRPr="00D116E0">
        <w:rPr>
          <w:rFonts w:ascii="Verdana" w:hAnsi="Verdana"/>
          <w:sz w:val="20"/>
          <w:szCs w:val="20"/>
          <w:lang w:val="es-CR"/>
        </w:rPr>
        <w:t xml:space="preserve"> </w:t>
      </w:r>
      <w:r w:rsidR="005940EB" w:rsidRPr="00D116E0">
        <w:rPr>
          <w:rFonts w:ascii="Verdana" w:hAnsi="Verdana"/>
          <w:sz w:val="20"/>
          <w:szCs w:val="20"/>
          <w:lang w:val="es-CR"/>
        </w:rPr>
        <w:t>(</w:t>
      </w:r>
      <w:r w:rsidR="005940EB" w:rsidRPr="00D116E0">
        <w:rPr>
          <w:rFonts w:ascii="Verdana" w:hAnsi="Verdana"/>
          <w:i/>
          <w:sz w:val="20"/>
          <w:szCs w:val="20"/>
          <w:lang w:val="es-CR"/>
        </w:rPr>
        <w:t xml:space="preserve">punto resolutivo </w:t>
      </w:r>
      <w:r w:rsidRPr="00D116E0">
        <w:rPr>
          <w:rFonts w:ascii="Verdana" w:hAnsi="Verdana"/>
          <w:i/>
          <w:sz w:val="20"/>
          <w:szCs w:val="20"/>
          <w:lang w:val="es-CR"/>
        </w:rPr>
        <w:t>séptimo</w:t>
      </w:r>
      <w:r w:rsidR="005940EB" w:rsidRPr="00D116E0">
        <w:rPr>
          <w:rFonts w:ascii="Verdana" w:hAnsi="Verdana"/>
          <w:i/>
          <w:sz w:val="20"/>
          <w:szCs w:val="20"/>
          <w:lang w:val="es-CR"/>
        </w:rPr>
        <w:t xml:space="preserve"> de la Sentencia</w:t>
      </w:r>
      <w:r w:rsidR="005940EB" w:rsidRPr="00D116E0">
        <w:rPr>
          <w:rFonts w:ascii="Verdana" w:hAnsi="Verdana"/>
          <w:sz w:val="20"/>
          <w:szCs w:val="20"/>
          <w:lang w:val="es-CR"/>
        </w:rPr>
        <w:t>);</w:t>
      </w:r>
      <w:r w:rsidR="008F52C2">
        <w:rPr>
          <w:rFonts w:ascii="Verdana" w:hAnsi="Verdana"/>
          <w:sz w:val="20"/>
          <w:szCs w:val="20"/>
          <w:lang w:val="es-CR"/>
        </w:rPr>
        <w:t xml:space="preserve"> </w:t>
      </w:r>
    </w:p>
    <w:p w14:paraId="06525B61" w14:textId="77777777" w:rsidR="00103F32" w:rsidRDefault="00D116E0" w:rsidP="001B1B7E">
      <w:pPr>
        <w:numPr>
          <w:ilvl w:val="0"/>
          <w:numId w:val="5"/>
        </w:numPr>
        <w:tabs>
          <w:tab w:val="left" w:pos="720"/>
        </w:tabs>
        <w:spacing w:after="0" w:line="240" w:lineRule="auto"/>
        <w:jc w:val="both"/>
        <w:rPr>
          <w:rFonts w:ascii="Verdana" w:hAnsi="Verdana"/>
          <w:sz w:val="20"/>
          <w:szCs w:val="20"/>
          <w:lang w:val="es-CR"/>
        </w:rPr>
      </w:pPr>
      <w:r w:rsidRPr="00D116E0">
        <w:rPr>
          <w:rFonts w:ascii="Verdana" w:hAnsi="Verdana"/>
          <w:sz w:val="20"/>
          <w:szCs w:val="20"/>
          <w:lang w:val="es-CR"/>
        </w:rPr>
        <w:t>brindar, de forma inmediata, el tratamiento médico y psicológico o psiquiátrico a las víctimas que así lo soliciten</w:t>
      </w:r>
      <w:r w:rsidR="001B1B7E">
        <w:rPr>
          <w:rFonts w:ascii="Verdana" w:hAnsi="Verdana"/>
          <w:sz w:val="20"/>
          <w:szCs w:val="20"/>
          <w:lang w:val="es-CR"/>
        </w:rPr>
        <w:t xml:space="preserve"> </w:t>
      </w:r>
      <w:r w:rsidR="00103F32">
        <w:rPr>
          <w:rFonts w:ascii="Verdana" w:hAnsi="Verdana"/>
          <w:sz w:val="20"/>
          <w:szCs w:val="20"/>
          <w:lang w:val="es-CR"/>
        </w:rPr>
        <w:t>(</w:t>
      </w:r>
      <w:r w:rsidR="00103F32">
        <w:rPr>
          <w:rFonts w:ascii="Verdana" w:hAnsi="Verdana"/>
          <w:i/>
          <w:sz w:val="20"/>
          <w:szCs w:val="20"/>
          <w:lang w:val="es-CR"/>
        </w:rPr>
        <w:t xml:space="preserve">punto resolutivo </w:t>
      </w:r>
      <w:r>
        <w:rPr>
          <w:rFonts w:ascii="Verdana" w:hAnsi="Verdana"/>
          <w:i/>
          <w:sz w:val="20"/>
          <w:szCs w:val="20"/>
          <w:lang w:val="es-CR"/>
        </w:rPr>
        <w:t>octavo</w:t>
      </w:r>
      <w:r w:rsidR="00103F32">
        <w:rPr>
          <w:rFonts w:ascii="Verdana" w:hAnsi="Verdana"/>
          <w:i/>
          <w:sz w:val="20"/>
          <w:szCs w:val="20"/>
          <w:lang w:val="es-CR"/>
        </w:rPr>
        <w:t xml:space="preserve"> de la Sentencia</w:t>
      </w:r>
      <w:r w:rsidR="001B1B7E">
        <w:rPr>
          <w:rFonts w:ascii="Verdana" w:hAnsi="Verdana"/>
          <w:sz w:val="20"/>
          <w:szCs w:val="20"/>
          <w:lang w:val="es-CR"/>
        </w:rPr>
        <w:t>);</w:t>
      </w:r>
      <w:r w:rsidR="00103F32">
        <w:rPr>
          <w:rFonts w:ascii="Verdana" w:hAnsi="Verdana"/>
          <w:sz w:val="20"/>
          <w:szCs w:val="20"/>
          <w:lang w:val="es-CR"/>
        </w:rPr>
        <w:t xml:space="preserve"> </w:t>
      </w:r>
    </w:p>
    <w:p w14:paraId="208855E8" w14:textId="77777777" w:rsidR="00103F32" w:rsidRDefault="001959A1" w:rsidP="004B6FAC">
      <w:pPr>
        <w:numPr>
          <w:ilvl w:val="0"/>
          <w:numId w:val="5"/>
        </w:numPr>
        <w:autoSpaceDE w:val="0"/>
        <w:autoSpaceDN w:val="0"/>
        <w:adjustRightInd w:val="0"/>
        <w:spacing w:after="0" w:line="240" w:lineRule="auto"/>
        <w:jc w:val="both"/>
        <w:rPr>
          <w:rFonts w:ascii="Verdana" w:hAnsi="Verdana"/>
          <w:sz w:val="20"/>
          <w:szCs w:val="20"/>
          <w:lang w:val="es-CR"/>
        </w:rPr>
      </w:pPr>
      <w:r w:rsidRPr="001959A1">
        <w:rPr>
          <w:rFonts w:ascii="Verdana" w:hAnsi="Verdana"/>
          <w:sz w:val="20"/>
          <w:szCs w:val="20"/>
          <w:lang w:val="es-CR"/>
        </w:rPr>
        <w:t>otorgar a Edith Laritza Osorio Gaytán, Neida Rocío Osorio Gaitán, Vannesa Judith Osorio Gaitán y Jersy Jeremías Osorio Gaitán una beca en una institución pública peruana concertada entre cada hijo de Jeremías Osorio Rivera y el Estado del Perú para realizar estudios o capacitarse en un oficio</w:t>
      </w:r>
      <w:r w:rsidRPr="00103F32">
        <w:rPr>
          <w:rFonts w:ascii="Verdana" w:hAnsi="Verdana"/>
          <w:sz w:val="20"/>
          <w:szCs w:val="20"/>
          <w:lang w:val="es-CR"/>
        </w:rPr>
        <w:t xml:space="preserve"> </w:t>
      </w:r>
      <w:r w:rsidR="00103F32" w:rsidRPr="00103F32">
        <w:rPr>
          <w:rFonts w:ascii="Verdana" w:hAnsi="Verdana"/>
          <w:sz w:val="20"/>
          <w:szCs w:val="20"/>
          <w:lang w:val="es-CR"/>
        </w:rPr>
        <w:t>(</w:t>
      </w:r>
      <w:r w:rsidR="00103F32" w:rsidRPr="00103F32">
        <w:rPr>
          <w:rFonts w:ascii="Verdana" w:hAnsi="Verdana"/>
          <w:i/>
          <w:sz w:val="20"/>
          <w:szCs w:val="20"/>
          <w:lang w:val="es-CR"/>
        </w:rPr>
        <w:t xml:space="preserve">punto resolutivo décimo </w:t>
      </w:r>
      <w:r>
        <w:rPr>
          <w:rFonts w:ascii="Verdana" w:hAnsi="Verdana"/>
          <w:i/>
          <w:sz w:val="20"/>
          <w:szCs w:val="20"/>
          <w:lang w:val="es-CR"/>
        </w:rPr>
        <w:t>primero</w:t>
      </w:r>
      <w:r w:rsidR="00103F32" w:rsidRPr="00103F32">
        <w:rPr>
          <w:rFonts w:ascii="Verdana" w:hAnsi="Verdana"/>
          <w:i/>
          <w:sz w:val="20"/>
          <w:szCs w:val="20"/>
          <w:lang w:val="es-CR"/>
        </w:rPr>
        <w:t xml:space="preserve"> de la Sentencia</w:t>
      </w:r>
      <w:r w:rsidR="000315EB">
        <w:rPr>
          <w:rFonts w:ascii="Verdana" w:hAnsi="Verdana"/>
          <w:sz w:val="20"/>
          <w:szCs w:val="20"/>
          <w:lang w:val="es-CR"/>
        </w:rPr>
        <w:t>);</w:t>
      </w:r>
    </w:p>
    <w:p w14:paraId="29546B91" w14:textId="77777777" w:rsidR="000315EB" w:rsidRDefault="000315EB" w:rsidP="004B6FAC">
      <w:pPr>
        <w:numPr>
          <w:ilvl w:val="0"/>
          <w:numId w:val="5"/>
        </w:numPr>
        <w:autoSpaceDE w:val="0"/>
        <w:autoSpaceDN w:val="0"/>
        <w:adjustRightInd w:val="0"/>
        <w:spacing w:after="0" w:line="240" w:lineRule="auto"/>
        <w:jc w:val="both"/>
        <w:rPr>
          <w:rFonts w:ascii="Verdana" w:hAnsi="Verdana"/>
          <w:sz w:val="20"/>
          <w:szCs w:val="20"/>
          <w:lang w:val="es-CR"/>
        </w:rPr>
      </w:pPr>
      <w:r w:rsidRPr="000315EB">
        <w:rPr>
          <w:rFonts w:ascii="Verdana" w:hAnsi="Verdana"/>
          <w:sz w:val="20"/>
          <w:szCs w:val="20"/>
          <w:lang w:val="es-CR"/>
        </w:rPr>
        <w:t>implementar, en un plazo razonable, programas permanentes de derechos humanos y derecho internacional humanitario en las escuelas de formación de las Fuerzas Armadas</w:t>
      </w:r>
      <w:r>
        <w:rPr>
          <w:rFonts w:ascii="Verdana" w:hAnsi="Verdana"/>
          <w:sz w:val="20"/>
          <w:szCs w:val="20"/>
          <w:lang w:val="es-CR"/>
        </w:rPr>
        <w:t xml:space="preserve"> </w:t>
      </w:r>
      <w:r w:rsidRPr="00103F32">
        <w:rPr>
          <w:rFonts w:ascii="Verdana" w:hAnsi="Verdana"/>
          <w:sz w:val="20"/>
          <w:szCs w:val="20"/>
          <w:lang w:val="es-CR"/>
        </w:rPr>
        <w:t>(</w:t>
      </w:r>
      <w:r w:rsidRPr="00103F32">
        <w:rPr>
          <w:rFonts w:ascii="Verdana" w:hAnsi="Verdana"/>
          <w:i/>
          <w:sz w:val="20"/>
          <w:szCs w:val="20"/>
          <w:lang w:val="es-CR"/>
        </w:rPr>
        <w:t xml:space="preserve">punto resolutivo décimo </w:t>
      </w:r>
      <w:r>
        <w:rPr>
          <w:rFonts w:ascii="Verdana" w:hAnsi="Verdana"/>
          <w:i/>
          <w:sz w:val="20"/>
          <w:szCs w:val="20"/>
          <w:lang w:val="es-CR"/>
        </w:rPr>
        <w:t>tercero</w:t>
      </w:r>
      <w:r w:rsidRPr="00103F32">
        <w:rPr>
          <w:rFonts w:ascii="Verdana" w:hAnsi="Verdana"/>
          <w:i/>
          <w:sz w:val="20"/>
          <w:szCs w:val="20"/>
          <w:lang w:val="es-CR"/>
        </w:rPr>
        <w:t xml:space="preserve"> de la Sentencia</w:t>
      </w:r>
      <w:r>
        <w:rPr>
          <w:rFonts w:ascii="Verdana" w:hAnsi="Verdana"/>
          <w:sz w:val="20"/>
          <w:szCs w:val="20"/>
          <w:lang w:val="es-CR"/>
        </w:rPr>
        <w:t>);</w:t>
      </w:r>
    </w:p>
    <w:p w14:paraId="26AF5BB1" w14:textId="77777777" w:rsidR="000315EB" w:rsidRPr="000315EB" w:rsidRDefault="000315EB" w:rsidP="004B6FAC">
      <w:pPr>
        <w:numPr>
          <w:ilvl w:val="0"/>
          <w:numId w:val="5"/>
        </w:numPr>
        <w:autoSpaceDE w:val="0"/>
        <w:autoSpaceDN w:val="0"/>
        <w:adjustRightInd w:val="0"/>
        <w:spacing w:after="0" w:line="240" w:lineRule="auto"/>
        <w:jc w:val="both"/>
        <w:rPr>
          <w:rFonts w:ascii="Verdana" w:hAnsi="Verdana"/>
          <w:sz w:val="20"/>
          <w:szCs w:val="20"/>
          <w:lang w:val="es-CR"/>
        </w:rPr>
      </w:pPr>
      <w:r w:rsidRPr="00B07408">
        <w:rPr>
          <w:rFonts w:ascii="Verdana" w:hAnsi="Verdana" w:cs="Verdana"/>
          <w:sz w:val="20"/>
          <w:szCs w:val="20"/>
          <w:lang w:val="es-CR"/>
        </w:rPr>
        <w:t xml:space="preserve">realizar los pagos de las </w:t>
      </w:r>
      <w:r>
        <w:rPr>
          <w:rFonts w:ascii="Verdana" w:hAnsi="Verdana" w:cs="Verdana"/>
          <w:sz w:val="20"/>
          <w:szCs w:val="20"/>
          <w:lang w:val="es-CR"/>
        </w:rPr>
        <w:t xml:space="preserve">indemnizaciones </w:t>
      </w:r>
      <w:r w:rsidRPr="00B07408">
        <w:rPr>
          <w:rFonts w:ascii="Verdana" w:hAnsi="Verdana" w:cs="Verdana"/>
          <w:sz w:val="20"/>
          <w:szCs w:val="20"/>
          <w:lang w:val="es-CR"/>
        </w:rPr>
        <w:t>establecidas en la Sentencia por concepto de daños materiales y daños inmateriales</w:t>
      </w:r>
      <w:r>
        <w:rPr>
          <w:rFonts w:ascii="Verdana" w:hAnsi="Verdana" w:cs="Verdana"/>
          <w:sz w:val="20"/>
          <w:szCs w:val="20"/>
          <w:lang w:val="es-CR"/>
        </w:rPr>
        <w:t xml:space="preserve"> a favor 2</w:t>
      </w:r>
      <w:r w:rsidRPr="00B07408">
        <w:rPr>
          <w:rFonts w:ascii="Verdana" w:hAnsi="Verdana" w:cs="Verdana"/>
          <w:sz w:val="20"/>
          <w:szCs w:val="20"/>
          <w:lang w:val="es-CR"/>
        </w:rPr>
        <w:t xml:space="preserve"> beneficiarios</w:t>
      </w:r>
      <w:r>
        <w:rPr>
          <w:rFonts w:ascii="Verdana" w:hAnsi="Verdana" w:cs="Verdana"/>
          <w:sz w:val="20"/>
          <w:szCs w:val="20"/>
          <w:lang w:val="es-CR"/>
        </w:rPr>
        <w:t xml:space="preserve">, así como de los correspondientes intereses moratorios </w:t>
      </w:r>
      <w:r w:rsidRPr="00103F32">
        <w:rPr>
          <w:rFonts w:ascii="Verdana" w:hAnsi="Verdana"/>
          <w:sz w:val="20"/>
          <w:szCs w:val="20"/>
          <w:lang w:val="es-CR"/>
        </w:rPr>
        <w:t>(</w:t>
      </w:r>
      <w:r w:rsidRPr="00103F32">
        <w:rPr>
          <w:rFonts w:ascii="Verdana" w:hAnsi="Verdana"/>
          <w:i/>
          <w:sz w:val="20"/>
          <w:szCs w:val="20"/>
          <w:lang w:val="es-CR"/>
        </w:rPr>
        <w:t xml:space="preserve">punto resolutivo décimo </w:t>
      </w:r>
      <w:r>
        <w:rPr>
          <w:rFonts w:ascii="Verdana" w:hAnsi="Verdana"/>
          <w:i/>
          <w:sz w:val="20"/>
          <w:szCs w:val="20"/>
          <w:lang w:val="es-CR"/>
        </w:rPr>
        <w:t>cuarto</w:t>
      </w:r>
      <w:r w:rsidRPr="00103F32">
        <w:rPr>
          <w:rFonts w:ascii="Verdana" w:hAnsi="Verdana"/>
          <w:i/>
          <w:sz w:val="20"/>
          <w:szCs w:val="20"/>
          <w:lang w:val="es-CR"/>
        </w:rPr>
        <w:t xml:space="preserve"> de la Sentencia</w:t>
      </w:r>
      <w:r>
        <w:rPr>
          <w:rFonts w:ascii="Verdana" w:hAnsi="Verdana"/>
          <w:sz w:val="20"/>
          <w:szCs w:val="20"/>
          <w:lang w:val="es-CR"/>
        </w:rPr>
        <w:t xml:space="preserve">), y </w:t>
      </w:r>
    </w:p>
    <w:p w14:paraId="305D49C0" w14:textId="77777777" w:rsidR="0099578D" w:rsidRPr="009929D5" w:rsidRDefault="000315EB" w:rsidP="004B6FAC">
      <w:pPr>
        <w:numPr>
          <w:ilvl w:val="0"/>
          <w:numId w:val="5"/>
        </w:numPr>
        <w:tabs>
          <w:tab w:val="left" w:pos="567"/>
        </w:tabs>
        <w:spacing w:after="0" w:line="240" w:lineRule="auto"/>
        <w:jc w:val="both"/>
        <w:rPr>
          <w:rFonts w:ascii="Verdana" w:hAnsi="Verdana"/>
          <w:sz w:val="20"/>
          <w:szCs w:val="20"/>
          <w:lang w:val="es-CR"/>
        </w:rPr>
      </w:pPr>
      <w:r>
        <w:rPr>
          <w:rFonts w:ascii="Verdana" w:hAnsi="Verdana" w:cs="Verdana"/>
          <w:sz w:val="20"/>
          <w:szCs w:val="20"/>
          <w:lang w:val="es-CR"/>
        </w:rPr>
        <w:t xml:space="preserve">realizar </w:t>
      </w:r>
      <w:r w:rsidRPr="00B07408">
        <w:rPr>
          <w:rFonts w:ascii="Verdana" w:hAnsi="Verdana" w:cs="Verdana"/>
          <w:sz w:val="20"/>
          <w:szCs w:val="20"/>
          <w:lang w:val="es-CR"/>
        </w:rPr>
        <w:t>el reintegro de costas y gastos</w:t>
      </w:r>
      <w:r>
        <w:rPr>
          <w:rFonts w:ascii="Verdana" w:hAnsi="Verdana" w:cs="Verdana"/>
          <w:sz w:val="20"/>
          <w:szCs w:val="20"/>
          <w:lang w:val="es-CR"/>
        </w:rPr>
        <w:t>, así como de los correspondientes intereses moratorios</w:t>
      </w:r>
      <w:r w:rsidRPr="009929D5">
        <w:rPr>
          <w:rFonts w:ascii="Verdana" w:hAnsi="Verdana"/>
          <w:sz w:val="20"/>
          <w:szCs w:val="20"/>
          <w:lang w:val="es-CR"/>
        </w:rPr>
        <w:t xml:space="preserve"> </w:t>
      </w:r>
      <w:r w:rsidR="009929D5" w:rsidRPr="009929D5">
        <w:rPr>
          <w:rFonts w:ascii="Verdana" w:hAnsi="Verdana"/>
          <w:sz w:val="20"/>
          <w:szCs w:val="20"/>
          <w:lang w:val="es-CR"/>
        </w:rPr>
        <w:t>(</w:t>
      </w:r>
      <w:r w:rsidRPr="00103F32">
        <w:rPr>
          <w:rFonts w:ascii="Verdana" w:hAnsi="Verdana"/>
          <w:i/>
          <w:sz w:val="20"/>
          <w:szCs w:val="20"/>
          <w:lang w:val="es-CR"/>
        </w:rPr>
        <w:t xml:space="preserve">punto resolutivo décimo </w:t>
      </w:r>
      <w:r>
        <w:rPr>
          <w:rFonts w:ascii="Verdana" w:hAnsi="Verdana"/>
          <w:i/>
          <w:sz w:val="20"/>
          <w:szCs w:val="20"/>
          <w:lang w:val="es-CR"/>
        </w:rPr>
        <w:t>cuarto</w:t>
      </w:r>
      <w:r w:rsidRPr="00103F32">
        <w:rPr>
          <w:rFonts w:ascii="Verdana" w:hAnsi="Verdana"/>
          <w:i/>
          <w:sz w:val="20"/>
          <w:szCs w:val="20"/>
          <w:lang w:val="es-CR"/>
        </w:rPr>
        <w:t xml:space="preserve"> de la Sentencia</w:t>
      </w:r>
      <w:r w:rsidR="009929D5" w:rsidRPr="009929D5">
        <w:rPr>
          <w:rFonts w:ascii="Verdana" w:hAnsi="Verdana"/>
          <w:sz w:val="20"/>
          <w:szCs w:val="20"/>
          <w:lang w:val="es-CR"/>
        </w:rPr>
        <w:t>).</w:t>
      </w:r>
    </w:p>
    <w:p w14:paraId="05E32A4A" w14:textId="77777777" w:rsidR="009929D5" w:rsidRPr="00C96FC0" w:rsidRDefault="009929D5" w:rsidP="00C96FC0">
      <w:pPr>
        <w:pStyle w:val="Cuadrculamedia1-nfasis21"/>
        <w:tabs>
          <w:tab w:val="left" w:pos="709"/>
        </w:tabs>
        <w:spacing w:after="0" w:line="240" w:lineRule="auto"/>
        <w:ind w:left="0"/>
        <w:jc w:val="both"/>
        <w:rPr>
          <w:rFonts w:ascii="Verdana" w:hAnsi="Verdana"/>
          <w:sz w:val="10"/>
          <w:szCs w:val="10"/>
          <w:lang w:val="es-CR"/>
        </w:rPr>
      </w:pPr>
    </w:p>
    <w:p w14:paraId="76D9FCB2" w14:textId="77777777" w:rsidR="00B058F7" w:rsidRPr="00E0113A" w:rsidRDefault="00B058F7" w:rsidP="00B058F7">
      <w:pPr>
        <w:numPr>
          <w:ilvl w:val="0"/>
          <w:numId w:val="2"/>
        </w:numPr>
        <w:tabs>
          <w:tab w:val="left" w:pos="567"/>
        </w:tabs>
        <w:spacing w:after="80" w:line="240" w:lineRule="auto"/>
        <w:ind w:left="0" w:firstLine="0"/>
        <w:jc w:val="both"/>
        <w:rPr>
          <w:rFonts w:ascii="Verdana" w:hAnsi="Verdana"/>
          <w:sz w:val="20"/>
          <w:szCs w:val="20"/>
          <w:lang w:val="es-CR"/>
        </w:rPr>
      </w:pPr>
      <w:r w:rsidRPr="00E0113A">
        <w:rPr>
          <w:rFonts w:ascii="Verdana" w:hAnsi="Verdana"/>
          <w:sz w:val="20"/>
          <w:szCs w:val="20"/>
          <w:lang w:val="es-CR"/>
        </w:rPr>
        <w:t>Disponer que el Estado presente, en el plazo de tres semanas a partir de la notificación de la presente Resolución, un informe sobre la posibilidad de establecer un espacio de diálogo con las víctimas y su</w:t>
      </w:r>
      <w:r>
        <w:rPr>
          <w:rFonts w:ascii="Verdana" w:hAnsi="Verdana"/>
          <w:sz w:val="20"/>
          <w:szCs w:val="20"/>
          <w:lang w:val="es-CR"/>
        </w:rPr>
        <w:t>s</w:t>
      </w:r>
      <w:r w:rsidRPr="00E0113A">
        <w:rPr>
          <w:rFonts w:ascii="Verdana" w:hAnsi="Verdana"/>
          <w:sz w:val="20"/>
          <w:szCs w:val="20"/>
          <w:lang w:val="es-CR"/>
        </w:rPr>
        <w:t xml:space="preserve"> representante</w:t>
      </w:r>
      <w:r>
        <w:rPr>
          <w:rFonts w:ascii="Verdana" w:hAnsi="Verdana"/>
          <w:sz w:val="20"/>
          <w:szCs w:val="20"/>
          <w:lang w:val="es-CR"/>
        </w:rPr>
        <w:t>s</w:t>
      </w:r>
      <w:r w:rsidRPr="00E0113A">
        <w:rPr>
          <w:rFonts w:ascii="Verdana" w:hAnsi="Verdana"/>
          <w:sz w:val="20"/>
          <w:szCs w:val="20"/>
          <w:lang w:val="es-CR"/>
        </w:rPr>
        <w:t xml:space="preserve"> con el fin de avanzar en el cumplimiento de </w:t>
      </w:r>
      <w:r>
        <w:rPr>
          <w:rFonts w:ascii="Verdana" w:hAnsi="Verdana"/>
          <w:sz w:val="20"/>
          <w:szCs w:val="20"/>
          <w:lang w:val="es-CR"/>
        </w:rPr>
        <w:t>la reparación</w:t>
      </w:r>
      <w:r w:rsidRPr="00E0113A">
        <w:rPr>
          <w:rFonts w:ascii="Verdana" w:hAnsi="Verdana"/>
          <w:sz w:val="20"/>
          <w:szCs w:val="20"/>
          <w:lang w:val="es-CR"/>
        </w:rPr>
        <w:t xml:space="preserve"> relativa a </w:t>
      </w:r>
      <w:r>
        <w:rPr>
          <w:rFonts w:ascii="Verdana" w:hAnsi="Verdana"/>
          <w:sz w:val="20"/>
          <w:szCs w:val="20"/>
          <w:lang w:val="es-CR"/>
        </w:rPr>
        <w:t xml:space="preserve">otorgar a </w:t>
      </w:r>
      <w:r w:rsidRPr="001959A1">
        <w:rPr>
          <w:rFonts w:ascii="Verdana" w:hAnsi="Verdana"/>
          <w:sz w:val="20"/>
          <w:szCs w:val="20"/>
          <w:lang w:val="es-CR"/>
        </w:rPr>
        <w:t>Edith Laritza Osorio Gaytán, Neida Rocío Osorio Gaitán, Vannesa Judith Osorio Gaitán y Jersy Jeremías Osorio Gaitán una beca en una institución pública peruana concertada entre cada hijo de Jeremías Osorio Rivera y el Estado del Perú para realizar estudios o capacitarse en un oficio</w:t>
      </w:r>
      <w:r w:rsidRPr="00E0113A">
        <w:rPr>
          <w:rFonts w:ascii="Verdana" w:hAnsi="Verdana"/>
          <w:sz w:val="20"/>
          <w:szCs w:val="20"/>
          <w:lang w:val="es-CR"/>
        </w:rPr>
        <w:t xml:space="preserve">, de conformidad con lo establecido en los Considerandos </w:t>
      </w:r>
      <w:r w:rsidR="000E66D2">
        <w:rPr>
          <w:rFonts w:ascii="Verdana" w:hAnsi="Verdana"/>
          <w:sz w:val="20"/>
          <w:szCs w:val="20"/>
          <w:lang w:val="es-CR"/>
        </w:rPr>
        <w:t>33 a 37</w:t>
      </w:r>
      <w:r w:rsidRPr="00E0113A">
        <w:rPr>
          <w:rFonts w:ascii="Verdana" w:hAnsi="Verdana"/>
          <w:sz w:val="20"/>
          <w:szCs w:val="20"/>
          <w:lang w:val="es-CR"/>
        </w:rPr>
        <w:t xml:space="preserve"> de la presente Resolución. </w:t>
      </w:r>
    </w:p>
    <w:p w14:paraId="23C03220" w14:textId="77777777" w:rsidR="00180727" w:rsidRPr="00180727" w:rsidRDefault="00180727" w:rsidP="00180727">
      <w:pPr>
        <w:tabs>
          <w:tab w:val="left" w:pos="567"/>
        </w:tabs>
        <w:spacing w:after="0" w:line="240" w:lineRule="auto"/>
        <w:jc w:val="both"/>
        <w:rPr>
          <w:rFonts w:ascii="Verdana" w:hAnsi="Verdana"/>
          <w:sz w:val="10"/>
          <w:szCs w:val="10"/>
          <w:lang w:val="es-CR"/>
        </w:rPr>
      </w:pPr>
    </w:p>
    <w:p w14:paraId="1F4FBA09" w14:textId="77777777" w:rsidR="009F78E3" w:rsidRPr="002C70F6" w:rsidRDefault="009F78E3" w:rsidP="004B6FAC">
      <w:pPr>
        <w:numPr>
          <w:ilvl w:val="0"/>
          <w:numId w:val="2"/>
        </w:numPr>
        <w:tabs>
          <w:tab w:val="left" w:pos="567"/>
        </w:tabs>
        <w:spacing w:after="0" w:line="240" w:lineRule="auto"/>
        <w:ind w:left="0" w:hanging="11"/>
        <w:jc w:val="both"/>
        <w:rPr>
          <w:rFonts w:ascii="Verdana" w:hAnsi="Verdana"/>
          <w:sz w:val="20"/>
          <w:lang w:val="es-CR"/>
        </w:rPr>
      </w:pPr>
      <w:r w:rsidRPr="009F78E3">
        <w:rPr>
          <w:rFonts w:ascii="Verdana" w:hAnsi="Verdana"/>
          <w:sz w:val="20"/>
          <w:szCs w:val="20"/>
          <w:lang w:val="es-CR"/>
        </w:rPr>
        <w:t xml:space="preserve">Disponer que el Estado presente a la Corte Interamericana de Derechos Humanos, a más tardar el </w:t>
      </w:r>
      <w:r w:rsidR="0009532D">
        <w:rPr>
          <w:rFonts w:ascii="Verdana" w:hAnsi="Verdana"/>
          <w:sz w:val="20"/>
          <w:szCs w:val="20"/>
          <w:lang w:val="es-CR"/>
        </w:rPr>
        <w:t>9</w:t>
      </w:r>
      <w:r w:rsidR="0092723E">
        <w:rPr>
          <w:rFonts w:ascii="Verdana" w:hAnsi="Verdana"/>
          <w:sz w:val="20"/>
          <w:szCs w:val="20"/>
          <w:lang w:val="es-CR"/>
        </w:rPr>
        <w:t xml:space="preserve"> de </w:t>
      </w:r>
      <w:r w:rsidR="0009532D">
        <w:rPr>
          <w:rFonts w:ascii="Verdana" w:hAnsi="Verdana"/>
          <w:sz w:val="20"/>
          <w:szCs w:val="20"/>
          <w:lang w:val="es-CR"/>
        </w:rPr>
        <w:t>julio</w:t>
      </w:r>
      <w:r w:rsidR="0092723E">
        <w:rPr>
          <w:rFonts w:ascii="Verdana" w:hAnsi="Verdana"/>
          <w:sz w:val="20"/>
          <w:szCs w:val="20"/>
          <w:lang w:val="es-CR"/>
        </w:rPr>
        <w:t xml:space="preserve"> de 20</w:t>
      </w:r>
      <w:r w:rsidR="00180727">
        <w:rPr>
          <w:rFonts w:ascii="Verdana" w:hAnsi="Verdana"/>
          <w:sz w:val="20"/>
          <w:szCs w:val="20"/>
          <w:lang w:val="es-CR"/>
        </w:rPr>
        <w:t>20</w:t>
      </w:r>
      <w:r w:rsidR="0092723E">
        <w:rPr>
          <w:rFonts w:ascii="Verdana" w:hAnsi="Verdana"/>
          <w:sz w:val="20"/>
          <w:szCs w:val="20"/>
          <w:lang w:val="es-CR"/>
        </w:rPr>
        <w:t xml:space="preserve"> </w:t>
      </w:r>
      <w:r w:rsidRPr="009F78E3">
        <w:rPr>
          <w:rFonts w:ascii="Verdana" w:hAnsi="Verdana"/>
          <w:sz w:val="20"/>
          <w:szCs w:val="20"/>
          <w:lang w:val="es-CR"/>
        </w:rPr>
        <w:t xml:space="preserve">un </w:t>
      </w:r>
      <w:r w:rsidRPr="0099578D">
        <w:rPr>
          <w:rFonts w:ascii="Verdana" w:hAnsi="Verdana"/>
          <w:sz w:val="20"/>
          <w:szCs w:val="20"/>
          <w:lang w:val="es-CR"/>
        </w:rPr>
        <w:t>informe sobre el cumplimiento de la</w:t>
      </w:r>
      <w:r w:rsidR="00F9143D" w:rsidRPr="0099578D">
        <w:rPr>
          <w:rFonts w:ascii="Verdana" w:hAnsi="Verdana"/>
          <w:sz w:val="20"/>
          <w:szCs w:val="20"/>
          <w:lang w:val="es-CR"/>
        </w:rPr>
        <w:t>s reparaciones</w:t>
      </w:r>
      <w:r w:rsidRPr="0099578D">
        <w:rPr>
          <w:rFonts w:ascii="Verdana" w:hAnsi="Verdana"/>
          <w:sz w:val="20"/>
          <w:szCs w:val="20"/>
          <w:lang w:val="es-CR"/>
        </w:rPr>
        <w:t xml:space="preserve"> </w:t>
      </w:r>
      <w:r w:rsidR="00180727">
        <w:rPr>
          <w:rFonts w:ascii="Verdana" w:hAnsi="Verdana"/>
          <w:sz w:val="20"/>
          <w:szCs w:val="20"/>
          <w:lang w:val="es-CR"/>
        </w:rPr>
        <w:t>señaladas en el punto resolutivo tercero de la presente Resolución.</w:t>
      </w:r>
      <w:r w:rsidRPr="0099578D">
        <w:rPr>
          <w:rFonts w:ascii="Verdana" w:hAnsi="Verdana"/>
          <w:sz w:val="20"/>
          <w:szCs w:val="20"/>
          <w:lang w:val="es-CR"/>
        </w:rPr>
        <w:t xml:space="preserve"> </w:t>
      </w:r>
    </w:p>
    <w:p w14:paraId="50A0BEE4" w14:textId="77777777" w:rsidR="002C70F6" w:rsidRPr="00C96FC0" w:rsidRDefault="002C70F6" w:rsidP="00D15376">
      <w:pPr>
        <w:tabs>
          <w:tab w:val="left" w:pos="630"/>
        </w:tabs>
        <w:spacing w:after="0" w:line="240" w:lineRule="auto"/>
        <w:jc w:val="both"/>
        <w:rPr>
          <w:rFonts w:ascii="Verdana" w:hAnsi="Verdana"/>
          <w:sz w:val="10"/>
          <w:szCs w:val="10"/>
          <w:lang w:val="es-CR"/>
        </w:rPr>
      </w:pPr>
    </w:p>
    <w:p w14:paraId="41C7FF94" w14:textId="77777777" w:rsidR="009F78E3" w:rsidRDefault="009F78E3" w:rsidP="004B6FAC">
      <w:pPr>
        <w:numPr>
          <w:ilvl w:val="0"/>
          <w:numId w:val="2"/>
        </w:numPr>
        <w:tabs>
          <w:tab w:val="left" w:pos="567"/>
        </w:tabs>
        <w:spacing w:after="0" w:line="240" w:lineRule="auto"/>
        <w:ind w:left="0" w:firstLine="0"/>
        <w:jc w:val="both"/>
        <w:rPr>
          <w:rFonts w:ascii="Verdana" w:hAnsi="Verdana"/>
          <w:sz w:val="20"/>
          <w:lang w:val="es-CR"/>
        </w:rPr>
      </w:pPr>
      <w:r w:rsidRPr="0099578D">
        <w:rPr>
          <w:rFonts w:ascii="Verdana" w:hAnsi="Verdana"/>
          <w:sz w:val="20"/>
          <w:lang w:val="es-CR"/>
        </w:rPr>
        <w:t xml:space="preserve">Disponer que </w:t>
      </w:r>
      <w:r w:rsidR="00EC667A">
        <w:rPr>
          <w:rFonts w:ascii="Verdana" w:hAnsi="Verdana"/>
          <w:sz w:val="20"/>
          <w:lang w:val="es-CR"/>
        </w:rPr>
        <w:t>los</w:t>
      </w:r>
      <w:r w:rsidRPr="0099578D">
        <w:rPr>
          <w:rFonts w:ascii="Verdana" w:hAnsi="Verdana"/>
          <w:sz w:val="20"/>
          <w:lang w:val="es-CR"/>
        </w:rPr>
        <w:t xml:space="preserve"> representante</w:t>
      </w:r>
      <w:r w:rsidR="00EC667A">
        <w:rPr>
          <w:rFonts w:ascii="Verdana" w:hAnsi="Verdana"/>
          <w:sz w:val="20"/>
          <w:lang w:val="es-CR"/>
        </w:rPr>
        <w:t>s</w:t>
      </w:r>
      <w:r w:rsidRPr="0099578D">
        <w:rPr>
          <w:rFonts w:ascii="Verdana" w:hAnsi="Verdana"/>
          <w:sz w:val="20"/>
          <w:lang w:val="es-CR"/>
        </w:rPr>
        <w:t xml:space="preserve"> de la</w:t>
      </w:r>
      <w:r w:rsidR="00EC667A">
        <w:rPr>
          <w:rFonts w:ascii="Verdana" w:hAnsi="Verdana"/>
          <w:sz w:val="20"/>
          <w:lang w:val="es-CR"/>
        </w:rPr>
        <w:t>s</w:t>
      </w:r>
      <w:r w:rsidRPr="0099578D">
        <w:rPr>
          <w:rFonts w:ascii="Verdana" w:hAnsi="Verdana"/>
          <w:sz w:val="20"/>
          <w:lang w:val="es-CR"/>
        </w:rPr>
        <w:t xml:space="preserve"> víctima</w:t>
      </w:r>
      <w:r w:rsidR="00EC667A">
        <w:rPr>
          <w:rFonts w:ascii="Verdana" w:hAnsi="Verdana"/>
          <w:sz w:val="20"/>
          <w:lang w:val="es-CR"/>
        </w:rPr>
        <w:t>s</w:t>
      </w:r>
      <w:r w:rsidRPr="0099578D">
        <w:rPr>
          <w:rFonts w:ascii="Verdana" w:hAnsi="Verdana"/>
          <w:sz w:val="20"/>
          <w:lang w:val="es-CR"/>
        </w:rPr>
        <w:t xml:space="preserve"> y la Comisión Interamericana de Derechos Humanos presenten observaciones al informe del Estado mencionado</w:t>
      </w:r>
      <w:r w:rsidRPr="009F78E3">
        <w:rPr>
          <w:rFonts w:ascii="Verdana" w:hAnsi="Verdana"/>
          <w:sz w:val="20"/>
          <w:lang w:val="es-CR"/>
        </w:rPr>
        <w:t xml:space="preserve"> en el punto resolutivo anterior, en los plazos de cuatro y seis semanas, respectivamente, contados a partir de la recepción del informe.</w:t>
      </w:r>
    </w:p>
    <w:p w14:paraId="30A4A6EF" w14:textId="77777777" w:rsidR="002C70F6" w:rsidRPr="00C96FC0" w:rsidRDefault="002C70F6" w:rsidP="002C70F6">
      <w:pPr>
        <w:tabs>
          <w:tab w:val="left" w:pos="567"/>
        </w:tabs>
        <w:spacing w:after="0" w:line="240" w:lineRule="auto"/>
        <w:jc w:val="both"/>
        <w:rPr>
          <w:rFonts w:ascii="Verdana" w:hAnsi="Verdana"/>
          <w:sz w:val="10"/>
          <w:szCs w:val="10"/>
          <w:lang w:val="es-CR"/>
        </w:rPr>
      </w:pPr>
    </w:p>
    <w:p w14:paraId="37A4F451" w14:textId="77777777" w:rsidR="009F78E3" w:rsidRDefault="009F78E3" w:rsidP="004B6FAC">
      <w:pPr>
        <w:numPr>
          <w:ilvl w:val="0"/>
          <w:numId w:val="2"/>
        </w:numPr>
        <w:tabs>
          <w:tab w:val="left" w:pos="567"/>
        </w:tabs>
        <w:spacing w:after="0" w:line="240" w:lineRule="auto"/>
        <w:ind w:left="0" w:firstLine="0"/>
        <w:jc w:val="both"/>
        <w:rPr>
          <w:rFonts w:ascii="Verdana" w:hAnsi="Verdana"/>
          <w:sz w:val="20"/>
          <w:lang w:val="es-CR"/>
        </w:rPr>
      </w:pPr>
      <w:r w:rsidRPr="009F78E3">
        <w:rPr>
          <w:rFonts w:ascii="Verdana" w:hAnsi="Verdana"/>
          <w:sz w:val="20"/>
          <w:lang w:val="es-CR"/>
        </w:rPr>
        <w:t>Disponer que la Secretaría de la Corte notifique la presente Resolución al Estado, a los representantes de la</w:t>
      </w:r>
      <w:r w:rsidR="0009532D">
        <w:rPr>
          <w:rFonts w:ascii="Verdana" w:hAnsi="Verdana"/>
          <w:sz w:val="20"/>
          <w:lang w:val="es-CR"/>
        </w:rPr>
        <w:t>s</w:t>
      </w:r>
      <w:r w:rsidRPr="009F78E3">
        <w:rPr>
          <w:rFonts w:ascii="Verdana" w:hAnsi="Verdana"/>
          <w:sz w:val="20"/>
          <w:lang w:val="es-CR"/>
        </w:rPr>
        <w:t xml:space="preserve"> víctima</w:t>
      </w:r>
      <w:r w:rsidR="0009532D">
        <w:rPr>
          <w:rFonts w:ascii="Verdana" w:hAnsi="Verdana"/>
          <w:sz w:val="20"/>
          <w:lang w:val="es-CR"/>
        </w:rPr>
        <w:t>s</w:t>
      </w:r>
      <w:r w:rsidRPr="009F78E3">
        <w:rPr>
          <w:rFonts w:ascii="Verdana" w:hAnsi="Verdana"/>
          <w:sz w:val="20"/>
          <w:lang w:val="es-CR"/>
        </w:rPr>
        <w:t xml:space="preserve"> y a la Comisión Interamericana de Derechos Humanos.</w:t>
      </w:r>
    </w:p>
    <w:p w14:paraId="4E3DAAEE" w14:textId="77777777" w:rsidR="00904374" w:rsidRPr="00904374" w:rsidRDefault="00904374" w:rsidP="00904374">
      <w:pPr>
        <w:keepNext/>
        <w:spacing w:after="0" w:line="240" w:lineRule="auto"/>
        <w:jc w:val="both"/>
        <w:outlineLvl w:val="0"/>
        <w:rPr>
          <w:rFonts w:ascii="Verdana" w:eastAsia="Times" w:hAnsi="Verdana" w:cs="Verdana"/>
          <w:b/>
          <w:bCs/>
          <w:sz w:val="20"/>
          <w:szCs w:val="20"/>
          <w:lang w:val="es-ES"/>
        </w:rPr>
      </w:pPr>
      <w:r>
        <w:rPr>
          <w:rFonts w:ascii="Verdana" w:hAnsi="Verdana"/>
          <w:sz w:val="20"/>
          <w:szCs w:val="20"/>
          <w:lang w:val="es-CR"/>
        </w:rPr>
        <w:br w:type="page"/>
      </w:r>
      <w:r w:rsidRPr="00904374">
        <w:rPr>
          <w:rFonts w:ascii="Verdana" w:eastAsia="Times" w:hAnsi="Verdana" w:cs="Courier New"/>
          <w:noProof/>
          <w:sz w:val="20"/>
          <w:szCs w:val="20"/>
          <w:lang w:val="es-AR"/>
        </w:rPr>
        <w:lastRenderedPageBreak/>
        <w:t xml:space="preserve">Corte IDH. </w:t>
      </w:r>
      <w:r w:rsidRPr="00904374">
        <w:rPr>
          <w:rFonts w:ascii="Verdana" w:eastAsia="Times" w:hAnsi="Verdana"/>
          <w:bCs/>
          <w:i/>
          <w:sz w:val="20"/>
          <w:szCs w:val="20"/>
          <w:lang w:val="es-CR"/>
        </w:rPr>
        <w:t xml:space="preserve">Caso Osorio Rivera y familiares Vs. Perú. </w:t>
      </w:r>
      <w:r w:rsidRPr="00904374">
        <w:rPr>
          <w:rFonts w:ascii="Verdana" w:eastAsia="Times" w:hAnsi="Verdana" w:cs="Arial"/>
          <w:sz w:val="20"/>
          <w:szCs w:val="20"/>
          <w:lang w:val="es-CR"/>
        </w:rPr>
        <w:t>Supervisión de Cumplimiento de Sentencia.</w:t>
      </w:r>
      <w:r w:rsidRPr="00904374">
        <w:rPr>
          <w:rFonts w:ascii="Verdana" w:eastAsia="Times" w:hAnsi="Verdana" w:cs="Arial"/>
          <w:i/>
          <w:sz w:val="20"/>
          <w:szCs w:val="20"/>
          <w:lang w:val="es-CR"/>
        </w:rPr>
        <w:t xml:space="preserve"> </w:t>
      </w:r>
      <w:r w:rsidRPr="00904374">
        <w:rPr>
          <w:rFonts w:ascii="Verdana" w:eastAsia="Times" w:hAnsi="Verdana"/>
          <w:sz w:val="20"/>
          <w:szCs w:val="20"/>
          <w:lang w:val="es-ES"/>
        </w:rPr>
        <w:t>Resolución de la Corte Interamericana de Derechos Humanos de 9</w:t>
      </w:r>
      <w:r w:rsidRPr="00904374">
        <w:rPr>
          <w:rFonts w:ascii="Verdana" w:eastAsia="Times" w:hAnsi="Verdana"/>
          <w:sz w:val="20"/>
          <w:szCs w:val="20"/>
          <w:lang w:val="es-CR"/>
        </w:rPr>
        <w:t xml:space="preserve"> de marzo de 2020</w:t>
      </w:r>
      <w:r w:rsidRPr="00904374">
        <w:rPr>
          <w:rFonts w:ascii="Verdana" w:eastAsia="Times" w:hAnsi="Verdana"/>
          <w:sz w:val="20"/>
          <w:szCs w:val="20"/>
          <w:lang w:val="es-ES"/>
        </w:rPr>
        <w:t xml:space="preserve">. </w:t>
      </w:r>
    </w:p>
    <w:p w14:paraId="2ED34EB1" w14:textId="77777777" w:rsidR="00904374" w:rsidRPr="00904374" w:rsidRDefault="00904374" w:rsidP="00904374">
      <w:pPr>
        <w:spacing w:after="0" w:line="240" w:lineRule="auto"/>
        <w:jc w:val="center"/>
        <w:rPr>
          <w:rFonts w:ascii="Verdana" w:eastAsia="Times" w:hAnsi="Verdana"/>
          <w:sz w:val="20"/>
          <w:szCs w:val="20"/>
          <w:lang w:val="es-ES"/>
        </w:rPr>
      </w:pPr>
    </w:p>
    <w:p w14:paraId="7B7EBB28" w14:textId="77777777" w:rsidR="00904374" w:rsidRPr="00904374" w:rsidRDefault="00904374" w:rsidP="00904374">
      <w:pPr>
        <w:spacing w:after="0" w:line="240" w:lineRule="auto"/>
        <w:jc w:val="center"/>
        <w:rPr>
          <w:rFonts w:ascii="Verdana" w:eastAsia="Times" w:hAnsi="Verdana"/>
          <w:sz w:val="20"/>
          <w:szCs w:val="20"/>
          <w:lang w:val="es-ES"/>
        </w:rPr>
      </w:pPr>
    </w:p>
    <w:p w14:paraId="47DEEC16" w14:textId="77777777" w:rsidR="00904374" w:rsidRPr="00904374" w:rsidRDefault="00904374" w:rsidP="00904374">
      <w:pPr>
        <w:spacing w:after="0" w:line="240" w:lineRule="auto"/>
        <w:jc w:val="center"/>
        <w:rPr>
          <w:rFonts w:ascii="Verdana" w:eastAsia="Times" w:hAnsi="Verdana"/>
          <w:sz w:val="20"/>
          <w:szCs w:val="20"/>
          <w:lang w:val="es-ES"/>
        </w:rPr>
      </w:pPr>
    </w:p>
    <w:p w14:paraId="4E13D9E3" w14:textId="77777777" w:rsidR="00904374" w:rsidRPr="00A0177F" w:rsidRDefault="00904374" w:rsidP="00904374">
      <w:pPr>
        <w:spacing w:after="0" w:line="240" w:lineRule="auto"/>
        <w:jc w:val="center"/>
        <w:rPr>
          <w:rFonts w:ascii="Verdana" w:eastAsia="Times" w:hAnsi="Verdana"/>
          <w:sz w:val="20"/>
          <w:szCs w:val="20"/>
          <w:lang w:val="pt-BR"/>
        </w:rPr>
      </w:pPr>
      <w:r w:rsidRPr="00904374">
        <w:rPr>
          <w:rFonts w:ascii="Verdana" w:eastAsia="Times" w:hAnsi="Verdana"/>
          <w:sz w:val="20"/>
          <w:szCs w:val="20"/>
          <w:lang w:val="pt-BR"/>
        </w:rPr>
        <w:t>Elizabeth Odio Benito</w:t>
      </w:r>
    </w:p>
    <w:p w14:paraId="6A9AC7C2" w14:textId="77777777" w:rsidR="00904374" w:rsidRPr="00904374" w:rsidRDefault="00904374" w:rsidP="00904374">
      <w:pPr>
        <w:spacing w:after="0" w:line="240" w:lineRule="auto"/>
        <w:jc w:val="center"/>
        <w:rPr>
          <w:rFonts w:ascii="Verdana" w:eastAsia="Times" w:hAnsi="Verdana"/>
          <w:sz w:val="20"/>
          <w:szCs w:val="20"/>
          <w:lang w:val="pt-BR"/>
        </w:rPr>
      </w:pPr>
      <w:r w:rsidRPr="00904374">
        <w:rPr>
          <w:rFonts w:ascii="Verdana" w:eastAsia="Times" w:hAnsi="Verdana"/>
          <w:sz w:val="20"/>
          <w:szCs w:val="20"/>
          <w:lang w:val="pt-BR"/>
        </w:rPr>
        <w:t>Presidenta</w:t>
      </w:r>
    </w:p>
    <w:p w14:paraId="4EEE45B4" w14:textId="77777777" w:rsidR="00904374" w:rsidRPr="00A0177F" w:rsidRDefault="00904374" w:rsidP="00904374">
      <w:pPr>
        <w:spacing w:after="0" w:line="240" w:lineRule="auto"/>
        <w:jc w:val="center"/>
        <w:rPr>
          <w:rFonts w:ascii="Verdana" w:eastAsia="Times" w:hAnsi="Verdana"/>
          <w:sz w:val="20"/>
          <w:szCs w:val="20"/>
          <w:lang w:val="pt-BR"/>
        </w:rPr>
      </w:pPr>
    </w:p>
    <w:p w14:paraId="25F4D745" w14:textId="77777777" w:rsidR="00904374" w:rsidRPr="00904374" w:rsidRDefault="00904374" w:rsidP="00904374">
      <w:pPr>
        <w:spacing w:after="0" w:line="240" w:lineRule="auto"/>
        <w:jc w:val="both"/>
        <w:rPr>
          <w:rFonts w:ascii="Verdana" w:eastAsia="Times" w:hAnsi="Verdana"/>
          <w:sz w:val="20"/>
          <w:szCs w:val="20"/>
          <w:lang w:val="pt-BR"/>
        </w:rPr>
      </w:pPr>
    </w:p>
    <w:p w14:paraId="3CF3337B" w14:textId="77777777" w:rsidR="00904374" w:rsidRPr="00904374" w:rsidRDefault="00904374" w:rsidP="00904374">
      <w:pPr>
        <w:spacing w:after="0" w:line="240" w:lineRule="auto"/>
        <w:jc w:val="both"/>
        <w:rPr>
          <w:rFonts w:ascii="Verdana" w:eastAsia="Times" w:hAnsi="Verdana"/>
          <w:sz w:val="20"/>
          <w:szCs w:val="20"/>
          <w:lang w:val="pt-BR"/>
        </w:rPr>
      </w:pPr>
    </w:p>
    <w:p w14:paraId="590ABF1D" w14:textId="77777777" w:rsidR="00904374" w:rsidRPr="00904374" w:rsidRDefault="00904374" w:rsidP="00904374">
      <w:pPr>
        <w:spacing w:after="0" w:line="240" w:lineRule="auto"/>
        <w:jc w:val="both"/>
        <w:rPr>
          <w:rFonts w:ascii="Verdana" w:eastAsia="Times" w:hAnsi="Verdana"/>
          <w:sz w:val="20"/>
          <w:szCs w:val="20"/>
          <w:lang w:val="pt-BR"/>
        </w:rPr>
      </w:pPr>
    </w:p>
    <w:p w14:paraId="0C5295AD" w14:textId="77777777" w:rsidR="00904374" w:rsidRPr="00904374" w:rsidRDefault="00904374" w:rsidP="00904374">
      <w:pPr>
        <w:spacing w:after="0" w:line="240" w:lineRule="auto"/>
        <w:rPr>
          <w:rFonts w:ascii="Verdana" w:eastAsia="Times" w:hAnsi="Verdana"/>
          <w:sz w:val="20"/>
          <w:szCs w:val="20"/>
          <w:lang w:val="pt-BR"/>
        </w:rPr>
      </w:pPr>
    </w:p>
    <w:p w14:paraId="5744D507" w14:textId="77777777" w:rsidR="00904374" w:rsidRPr="00904374" w:rsidRDefault="00904374" w:rsidP="00904374">
      <w:pPr>
        <w:spacing w:after="0" w:line="240" w:lineRule="auto"/>
        <w:jc w:val="both"/>
        <w:rPr>
          <w:rFonts w:ascii="Verdana" w:eastAsia="Times" w:hAnsi="Verdana"/>
          <w:sz w:val="20"/>
          <w:szCs w:val="20"/>
          <w:lang w:val="pt-BR"/>
        </w:rPr>
      </w:pPr>
      <w:r w:rsidRPr="00904374">
        <w:rPr>
          <w:rFonts w:ascii="Verdana" w:eastAsia="Times" w:hAnsi="Verdana"/>
          <w:sz w:val="20"/>
          <w:szCs w:val="20"/>
          <w:lang w:val="pt-BR"/>
        </w:rPr>
        <w:t xml:space="preserve">L. Patricio Pazmiño Freire </w:t>
      </w:r>
      <w:r w:rsidRPr="00904374">
        <w:rPr>
          <w:rFonts w:ascii="Verdana" w:eastAsia="Times" w:hAnsi="Verdana"/>
          <w:sz w:val="20"/>
          <w:szCs w:val="20"/>
          <w:lang w:val="pt-BR"/>
        </w:rPr>
        <w:tab/>
      </w:r>
      <w:r w:rsidRPr="00904374">
        <w:rPr>
          <w:rFonts w:ascii="Verdana" w:eastAsia="Times" w:hAnsi="Verdana"/>
          <w:sz w:val="20"/>
          <w:szCs w:val="20"/>
          <w:lang w:val="pt-BR"/>
        </w:rPr>
        <w:tab/>
      </w:r>
      <w:r w:rsidRPr="00904374">
        <w:rPr>
          <w:rFonts w:ascii="Verdana" w:eastAsia="Times" w:hAnsi="Verdana"/>
          <w:sz w:val="20"/>
          <w:szCs w:val="20"/>
          <w:lang w:val="pt-BR"/>
        </w:rPr>
        <w:tab/>
      </w:r>
      <w:r w:rsidRPr="00904374">
        <w:rPr>
          <w:rFonts w:ascii="Verdana" w:eastAsia="Times" w:hAnsi="Verdana"/>
          <w:sz w:val="20"/>
          <w:szCs w:val="20"/>
          <w:lang w:val="pt-BR"/>
        </w:rPr>
        <w:tab/>
      </w:r>
      <w:r w:rsidRPr="00904374">
        <w:rPr>
          <w:rFonts w:ascii="Verdana" w:eastAsia="Times" w:hAnsi="Verdana"/>
          <w:sz w:val="20"/>
          <w:szCs w:val="20"/>
          <w:lang w:val="pt-BR"/>
        </w:rPr>
        <w:tab/>
      </w:r>
      <w:r w:rsidR="0032176D" w:rsidRPr="00904374">
        <w:rPr>
          <w:rFonts w:ascii="Verdana" w:eastAsia="Times" w:hAnsi="Verdana"/>
          <w:sz w:val="20"/>
          <w:szCs w:val="20"/>
          <w:lang w:val="pt-BR"/>
        </w:rPr>
        <w:t xml:space="preserve">Eduardo Ferrer Mac-Gregor </w:t>
      </w:r>
      <w:proofErr w:type="gramStart"/>
      <w:r w:rsidR="0032176D" w:rsidRPr="00904374">
        <w:rPr>
          <w:rFonts w:ascii="Verdana" w:eastAsia="Times" w:hAnsi="Verdana"/>
          <w:sz w:val="20"/>
          <w:szCs w:val="20"/>
          <w:lang w:val="pt-BR"/>
        </w:rPr>
        <w:t>Poisot</w:t>
      </w:r>
      <w:proofErr w:type="gramEnd"/>
    </w:p>
    <w:p w14:paraId="06AD5CD1" w14:textId="77777777" w:rsidR="00904374" w:rsidRPr="00904374" w:rsidRDefault="00904374" w:rsidP="00904374">
      <w:pPr>
        <w:spacing w:after="0" w:line="240" w:lineRule="auto"/>
        <w:jc w:val="both"/>
        <w:rPr>
          <w:rFonts w:ascii="Verdana" w:eastAsia="Times" w:hAnsi="Verdana"/>
          <w:sz w:val="20"/>
          <w:szCs w:val="20"/>
          <w:lang w:val="pt-BR"/>
        </w:rPr>
      </w:pPr>
    </w:p>
    <w:p w14:paraId="43CE6749" w14:textId="77777777" w:rsidR="00904374" w:rsidRPr="00904374" w:rsidRDefault="00904374" w:rsidP="00904374">
      <w:pPr>
        <w:spacing w:after="0" w:line="240" w:lineRule="auto"/>
        <w:jc w:val="both"/>
        <w:rPr>
          <w:rFonts w:ascii="Verdana" w:eastAsia="Times" w:hAnsi="Verdana"/>
          <w:sz w:val="20"/>
          <w:szCs w:val="20"/>
          <w:lang w:val="pt-BR"/>
        </w:rPr>
      </w:pPr>
    </w:p>
    <w:p w14:paraId="605D3F8C" w14:textId="77777777" w:rsidR="00904374" w:rsidRPr="00904374" w:rsidRDefault="00904374" w:rsidP="00904374">
      <w:pPr>
        <w:spacing w:after="0" w:line="240" w:lineRule="auto"/>
        <w:jc w:val="both"/>
        <w:rPr>
          <w:rFonts w:ascii="Verdana" w:eastAsia="Times" w:hAnsi="Verdana"/>
          <w:sz w:val="20"/>
          <w:szCs w:val="20"/>
          <w:lang w:val="pt-BR"/>
        </w:rPr>
      </w:pPr>
    </w:p>
    <w:p w14:paraId="745BCA81" w14:textId="77777777" w:rsidR="00904374" w:rsidRPr="00904374" w:rsidRDefault="00904374" w:rsidP="00904374">
      <w:pPr>
        <w:spacing w:after="0" w:line="240" w:lineRule="auto"/>
        <w:jc w:val="both"/>
        <w:rPr>
          <w:rFonts w:ascii="Verdana" w:eastAsia="Times" w:hAnsi="Verdana"/>
          <w:sz w:val="20"/>
          <w:szCs w:val="20"/>
          <w:lang w:val="pt-BR"/>
        </w:rPr>
      </w:pPr>
    </w:p>
    <w:p w14:paraId="00749F3E" w14:textId="77777777" w:rsidR="00904374" w:rsidRPr="00904374" w:rsidRDefault="00904374" w:rsidP="00904374">
      <w:pPr>
        <w:spacing w:after="0" w:line="240" w:lineRule="auto"/>
        <w:jc w:val="both"/>
        <w:rPr>
          <w:rFonts w:ascii="Verdana" w:eastAsia="Times" w:hAnsi="Verdana"/>
          <w:sz w:val="20"/>
          <w:szCs w:val="20"/>
          <w:lang w:val="pt-BR"/>
        </w:rPr>
      </w:pPr>
    </w:p>
    <w:p w14:paraId="150DC20D" w14:textId="77777777" w:rsidR="0032176D" w:rsidRPr="00904374" w:rsidRDefault="0032176D" w:rsidP="0032176D">
      <w:pPr>
        <w:spacing w:after="0" w:line="240" w:lineRule="auto"/>
        <w:rPr>
          <w:rFonts w:ascii="Verdana" w:eastAsia="Times" w:hAnsi="Verdana"/>
          <w:sz w:val="20"/>
          <w:szCs w:val="20"/>
          <w:lang w:val="pt-BR"/>
        </w:rPr>
      </w:pPr>
      <w:r w:rsidRPr="00904374">
        <w:rPr>
          <w:rFonts w:ascii="Verdana" w:eastAsia="Times" w:hAnsi="Verdana"/>
          <w:sz w:val="20"/>
          <w:szCs w:val="20"/>
          <w:lang w:val="pt-BR"/>
        </w:rPr>
        <w:t>Eugenio Raúl Zaffaroni</w:t>
      </w:r>
      <w:r w:rsidR="00904374" w:rsidRPr="00A0177F">
        <w:rPr>
          <w:rFonts w:ascii="Verdana" w:eastAsia="Times" w:hAnsi="Verdana"/>
          <w:sz w:val="20"/>
          <w:szCs w:val="20"/>
          <w:lang w:val="pt-BR"/>
        </w:rPr>
        <w:tab/>
      </w:r>
      <w:r w:rsidR="00904374" w:rsidRPr="00A0177F">
        <w:rPr>
          <w:rFonts w:ascii="Verdana" w:eastAsia="Times" w:hAnsi="Verdana"/>
          <w:sz w:val="20"/>
          <w:szCs w:val="20"/>
          <w:lang w:val="pt-BR"/>
        </w:rPr>
        <w:tab/>
      </w:r>
      <w:r w:rsidR="00904374" w:rsidRPr="00A0177F">
        <w:rPr>
          <w:rFonts w:ascii="Verdana" w:eastAsia="Times" w:hAnsi="Verdana"/>
          <w:sz w:val="20"/>
          <w:szCs w:val="20"/>
          <w:lang w:val="pt-BR"/>
        </w:rPr>
        <w:tab/>
      </w:r>
      <w:r w:rsidR="00904374" w:rsidRPr="00A0177F">
        <w:rPr>
          <w:rFonts w:ascii="Verdana" w:eastAsia="Times" w:hAnsi="Verdana"/>
          <w:sz w:val="20"/>
          <w:szCs w:val="20"/>
          <w:lang w:val="pt-BR"/>
        </w:rPr>
        <w:tab/>
      </w:r>
      <w:r w:rsidR="00904374" w:rsidRPr="00A0177F">
        <w:rPr>
          <w:rFonts w:ascii="Verdana" w:eastAsia="Times" w:hAnsi="Verdana"/>
          <w:sz w:val="20"/>
          <w:szCs w:val="20"/>
          <w:lang w:val="pt-BR"/>
        </w:rPr>
        <w:tab/>
      </w:r>
      <w:r w:rsidRPr="00A0177F">
        <w:rPr>
          <w:rFonts w:ascii="Verdana" w:eastAsia="Times" w:hAnsi="Verdana"/>
          <w:sz w:val="20"/>
          <w:szCs w:val="20"/>
          <w:lang w:val="pt-BR"/>
        </w:rPr>
        <w:t xml:space="preserve">             Ricardo C. Pérez Manrique</w:t>
      </w:r>
    </w:p>
    <w:p w14:paraId="4BDA2CDD" w14:textId="77777777" w:rsidR="00904374" w:rsidRPr="00A0177F" w:rsidRDefault="00904374" w:rsidP="00904374">
      <w:pPr>
        <w:spacing w:after="0" w:line="240" w:lineRule="auto"/>
        <w:rPr>
          <w:rFonts w:ascii="Verdana" w:eastAsia="Times" w:hAnsi="Verdana"/>
          <w:sz w:val="20"/>
          <w:szCs w:val="20"/>
          <w:lang w:val="pt-BR"/>
        </w:rPr>
      </w:pPr>
    </w:p>
    <w:p w14:paraId="0BF7EBD9" w14:textId="77777777" w:rsidR="00904374" w:rsidRPr="00904374" w:rsidRDefault="00904374" w:rsidP="00904374">
      <w:pPr>
        <w:spacing w:after="0" w:line="240" w:lineRule="auto"/>
        <w:rPr>
          <w:rFonts w:ascii="Verdana" w:eastAsia="Times" w:hAnsi="Verdana"/>
          <w:sz w:val="20"/>
          <w:szCs w:val="20"/>
          <w:lang w:val="pt-BR"/>
        </w:rPr>
      </w:pPr>
    </w:p>
    <w:p w14:paraId="411F9FA0" w14:textId="77777777" w:rsidR="00904374" w:rsidRPr="00904374" w:rsidRDefault="00904374" w:rsidP="00904374">
      <w:pPr>
        <w:spacing w:after="0" w:line="240" w:lineRule="auto"/>
        <w:rPr>
          <w:rFonts w:ascii="Verdana" w:eastAsia="Times" w:hAnsi="Verdana"/>
          <w:sz w:val="20"/>
          <w:szCs w:val="20"/>
          <w:lang w:val="pt-BR"/>
        </w:rPr>
      </w:pPr>
    </w:p>
    <w:p w14:paraId="753B9503" w14:textId="77777777" w:rsidR="00904374" w:rsidRPr="00904374" w:rsidRDefault="00904374" w:rsidP="00904374">
      <w:pPr>
        <w:spacing w:after="0" w:line="240" w:lineRule="auto"/>
        <w:rPr>
          <w:rFonts w:ascii="Verdana" w:eastAsia="Times" w:hAnsi="Verdana"/>
          <w:sz w:val="20"/>
          <w:szCs w:val="20"/>
          <w:lang w:val="pt-BR"/>
        </w:rPr>
      </w:pPr>
    </w:p>
    <w:p w14:paraId="09D096C5" w14:textId="77777777" w:rsidR="00904374" w:rsidRDefault="00904374" w:rsidP="00904374">
      <w:pPr>
        <w:spacing w:after="0" w:line="240" w:lineRule="auto"/>
        <w:jc w:val="both"/>
        <w:rPr>
          <w:rFonts w:ascii="Verdana" w:eastAsia="Times" w:hAnsi="Verdana"/>
          <w:sz w:val="20"/>
          <w:szCs w:val="20"/>
          <w:lang w:val="pt-BR"/>
        </w:rPr>
      </w:pPr>
    </w:p>
    <w:p w14:paraId="2234AEA7" w14:textId="77777777" w:rsidR="0032176D" w:rsidRDefault="0032176D" w:rsidP="00904374">
      <w:pPr>
        <w:spacing w:after="0" w:line="240" w:lineRule="auto"/>
        <w:jc w:val="both"/>
        <w:rPr>
          <w:rFonts w:ascii="Verdana" w:eastAsia="Times" w:hAnsi="Verdana"/>
          <w:sz w:val="20"/>
          <w:szCs w:val="20"/>
          <w:lang w:val="pt-BR"/>
        </w:rPr>
      </w:pPr>
    </w:p>
    <w:p w14:paraId="5A1D0127" w14:textId="77777777" w:rsidR="0032176D" w:rsidRPr="00904374" w:rsidRDefault="0032176D" w:rsidP="00904374">
      <w:pPr>
        <w:spacing w:after="0" w:line="240" w:lineRule="auto"/>
        <w:jc w:val="both"/>
        <w:rPr>
          <w:rFonts w:ascii="Verdana" w:eastAsia="Times" w:hAnsi="Verdana"/>
          <w:sz w:val="20"/>
          <w:szCs w:val="20"/>
          <w:lang w:val="pt-BR"/>
        </w:rPr>
      </w:pPr>
    </w:p>
    <w:p w14:paraId="25C20FC2" w14:textId="77777777" w:rsidR="00904374" w:rsidRPr="00904374" w:rsidRDefault="00904374" w:rsidP="00904374">
      <w:pPr>
        <w:spacing w:after="0" w:line="240" w:lineRule="auto"/>
        <w:jc w:val="center"/>
        <w:rPr>
          <w:rFonts w:ascii="Verdana" w:eastAsia="Times" w:hAnsi="Verdana"/>
          <w:sz w:val="20"/>
          <w:szCs w:val="20"/>
          <w:lang w:val="pt-BR"/>
        </w:rPr>
      </w:pPr>
      <w:r w:rsidRPr="00904374">
        <w:rPr>
          <w:rFonts w:ascii="Verdana" w:eastAsia="Times" w:hAnsi="Verdana"/>
          <w:sz w:val="20"/>
          <w:szCs w:val="20"/>
          <w:lang w:val="pt-BR"/>
        </w:rPr>
        <w:t>Pablo Saavedra Alessandri</w:t>
      </w:r>
    </w:p>
    <w:p w14:paraId="20E3501B" w14:textId="77777777" w:rsidR="00904374" w:rsidRPr="00904374" w:rsidRDefault="00904374" w:rsidP="00904374">
      <w:pPr>
        <w:spacing w:after="0" w:line="240" w:lineRule="auto"/>
        <w:jc w:val="center"/>
        <w:rPr>
          <w:rFonts w:ascii="Verdana" w:eastAsia="Times" w:hAnsi="Verdana"/>
          <w:sz w:val="20"/>
          <w:szCs w:val="20"/>
          <w:lang w:val="pt-BR"/>
        </w:rPr>
      </w:pPr>
      <w:r w:rsidRPr="00904374">
        <w:rPr>
          <w:rFonts w:ascii="Verdana" w:eastAsia="Times" w:hAnsi="Verdana"/>
          <w:sz w:val="20"/>
          <w:szCs w:val="20"/>
          <w:lang w:val="pt-BR"/>
        </w:rPr>
        <w:t>Secretario</w:t>
      </w:r>
    </w:p>
    <w:p w14:paraId="4B84F25A" w14:textId="77777777" w:rsidR="00904374" w:rsidRPr="00904374" w:rsidRDefault="00904374" w:rsidP="00904374">
      <w:pPr>
        <w:spacing w:after="0" w:line="240" w:lineRule="auto"/>
        <w:rPr>
          <w:rFonts w:ascii="Verdana" w:eastAsia="Times" w:hAnsi="Verdana"/>
          <w:sz w:val="20"/>
          <w:szCs w:val="20"/>
          <w:lang w:val="pt-BR"/>
        </w:rPr>
      </w:pPr>
    </w:p>
    <w:p w14:paraId="465238AB" w14:textId="77777777" w:rsidR="00904374" w:rsidRPr="00904374" w:rsidRDefault="00904374" w:rsidP="00904374">
      <w:pPr>
        <w:spacing w:after="0" w:line="240" w:lineRule="auto"/>
        <w:rPr>
          <w:rFonts w:ascii="Verdana" w:eastAsia="Times" w:hAnsi="Verdana"/>
          <w:sz w:val="20"/>
          <w:szCs w:val="20"/>
          <w:lang w:val="pt-BR"/>
        </w:rPr>
      </w:pPr>
    </w:p>
    <w:p w14:paraId="5B54C705" w14:textId="77777777" w:rsidR="00904374" w:rsidRPr="00904374" w:rsidRDefault="00904374" w:rsidP="00904374">
      <w:pPr>
        <w:spacing w:after="0" w:line="240" w:lineRule="auto"/>
        <w:jc w:val="both"/>
        <w:rPr>
          <w:rFonts w:ascii="Verdana" w:eastAsia="Times" w:hAnsi="Verdana"/>
          <w:sz w:val="20"/>
          <w:szCs w:val="20"/>
          <w:lang w:val="pt-BR"/>
        </w:rPr>
      </w:pPr>
    </w:p>
    <w:p w14:paraId="5E63EEEB" w14:textId="77777777" w:rsidR="00904374" w:rsidRPr="00904374" w:rsidRDefault="00904374" w:rsidP="00904374">
      <w:pPr>
        <w:spacing w:after="0" w:line="240" w:lineRule="auto"/>
        <w:jc w:val="both"/>
        <w:rPr>
          <w:rFonts w:ascii="Verdana" w:eastAsia="Times" w:hAnsi="Verdana"/>
          <w:sz w:val="20"/>
          <w:szCs w:val="20"/>
          <w:lang w:val="pt-BR"/>
        </w:rPr>
      </w:pPr>
      <w:r w:rsidRPr="00904374">
        <w:rPr>
          <w:rFonts w:ascii="Verdana" w:eastAsia="Times" w:hAnsi="Verdana"/>
          <w:sz w:val="20"/>
          <w:szCs w:val="20"/>
          <w:lang w:val="pt-BR"/>
        </w:rPr>
        <w:t>Comuníquese y ejecútese,</w:t>
      </w:r>
    </w:p>
    <w:p w14:paraId="3AD1A0FC" w14:textId="77777777" w:rsidR="00904374" w:rsidRPr="00904374" w:rsidRDefault="00904374" w:rsidP="00904374">
      <w:pPr>
        <w:spacing w:after="0" w:line="240" w:lineRule="auto"/>
        <w:jc w:val="both"/>
        <w:rPr>
          <w:rFonts w:ascii="Verdana" w:eastAsia="Times" w:hAnsi="Verdana"/>
          <w:sz w:val="20"/>
          <w:szCs w:val="20"/>
          <w:lang w:val="pt-BR"/>
        </w:rPr>
      </w:pPr>
    </w:p>
    <w:p w14:paraId="1719C7CE" w14:textId="77777777" w:rsidR="00904374" w:rsidRPr="00904374" w:rsidRDefault="00904374" w:rsidP="00904374">
      <w:pPr>
        <w:spacing w:after="0" w:line="240" w:lineRule="auto"/>
        <w:jc w:val="both"/>
        <w:rPr>
          <w:rFonts w:ascii="Verdana" w:eastAsia="Times" w:hAnsi="Verdana"/>
          <w:sz w:val="20"/>
          <w:szCs w:val="20"/>
          <w:lang w:val="pt-BR"/>
        </w:rPr>
      </w:pPr>
    </w:p>
    <w:p w14:paraId="5312DEA9" w14:textId="77777777" w:rsidR="00904374" w:rsidRPr="00904374" w:rsidRDefault="00904374" w:rsidP="00904374">
      <w:pPr>
        <w:spacing w:after="0" w:line="240" w:lineRule="auto"/>
        <w:jc w:val="both"/>
        <w:rPr>
          <w:rFonts w:ascii="Verdana" w:eastAsia="Times" w:hAnsi="Verdana"/>
          <w:sz w:val="20"/>
          <w:szCs w:val="20"/>
          <w:lang w:val="pt-BR"/>
        </w:rPr>
      </w:pPr>
    </w:p>
    <w:p w14:paraId="15F4D569" w14:textId="77777777" w:rsidR="00904374" w:rsidRPr="00904374" w:rsidRDefault="00904374" w:rsidP="00904374">
      <w:pPr>
        <w:spacing w:after="0" w:line="240" w:lineRule="auto"/>
        <w:jc w:val="both"/>
        <w:rPr>
          <w:rFonts w:ascii="Verdana" w:eastAsia="Times" w:hAnsi="Verdana"/>
          <w:sz w:val="20"/>
          <w:szCs w:val="20"/>
          <w:lang w:val="pt-BR"/>
        </w:rPr>
      </w:pPr>
    </w:p>
    <w:p w14:paraId="6CABD2B7" w14:textId="77777777" w:rsidR="00904374" w:rsidRPr="00904374" w:rsidRDefault="00904374" w:rsidP="00904374">
      <w:pPr>
        <w:spacing w:after="0" w:line="240" w:lineRule="auto"/>
        <w:jc w:val="both"/>
        <w:rPr>
          <w:rFonts w:ascii="Verdana" w:eastAsia="Times" w:hAnsi="Verdana"/>
          <w:sz w:val="20"/>
          <w:szCs w:val="20"/>
          <w:lang w:val="pt-BR"/>
        </w:rPr>
      </w:pPr>
    </w:p>
    <w:p w14:paraId="16BFB1D1" w14:textId="77777777" w:rsidR="00904374" w:rsidRPr="00A0177F" w:rsidRDefault="00904374" w:rsidP="00904374">
      <w:pPr>
        <w:spacing w:after="0" w:line="240" w:lineRule="auto"/>
        <w:ind w:left="4248" w:firstLine="708"/>
        <w:jc w:val="center"/>
        <w:rPr>
          <w:rFonts w:ascii="Verdana" w:eastAsia="Times" w:hAnsi="Verdana"/>
          <w:sz w:val="20"/>
          <w:szCs w:val="20"/>
          <w:lang w:val="pt-BR"/>
        </w:rPr>
      </w:pPr>
      <w:r w:rsidRPr="00904374">
        <w:rPr>
          <w:rFonts w:ascii="Verdana" w:eastAsia="Times" w:hAnsi="Verdana"/>
          <w:sz w:val="20"/>
          <w:szCs w:val="20"/>
          <w:lang w:val="pt-BR"/>
        </w:rPr>
        <w:t>Elizabeth Odio Benito</w:t>
      </w:r>
    </w:p>
    <w:p w14:paraId="531551CD" w14:textId="77777777" w:rsidR="00904374" w:rsidRPr="00904374" w:rsidRDefault="00904374" w:rsidP="00904374">
      <w:pPr>
        <w:spacing w:after="0" w:line="240" w:lineRule="auto"/>
        <w:ind w:left="4248" w:firstLine="708"/>
        <w:jc w:val="center"/>
        <w:rPr>
          <w:rFonts w:ascii="Verdana" w:eastAsia="Times" w:hAnsi="Verdana"/>
          <w:sz w:val="20"/>
          <w:szCs w:val="20"/>
          <w:lang w:val="pt-BR"/>
        </w:rPr>
      </w:pPr>
      <w:r w:rsidRPr="00904374">
        <w:rPr>
          <w:rFonts w:ascii="Verdana" w:eastAsia="Times" w:hAnsi="Verdana"/>
          <w:sz w:val="20"/>
          <w:szCs w:val="20"/>
          <w:lang w:val="pt-BR"/>
        </w:rPr>
        <w:t>Presidenta</w:t>
      </w:r>
    </w:p>
    <w:p w14:paraId="73F00C1F" w14:textId="77777777" w:rsidR="00904374" w:rsidRPr="00904374" w:rsidRDefault="00904374" w:rsidP="00904374">
      <w:pPr>
        <w:spacing w:after="0" w:line="240" w:lineRule="auto"/>
        <w:jc w:val="both"/>
        <w:rPr>
          <w:rFonts w:ascii="Verdana" w:eastAsia="Times" w:hAnsi="Verdana"/>
          <w:sz w:val="20"/>
          <w:szCs w:val="20"/>
          <w:lang w:val="pt-BR"/>
        </w:rPr>
      </w:pPr>
    </w:p>
    <w:p w14:paraId="5B0DFB9E" w14:textId="77777777" w:rsidR="00904374" w:rsidRPr="00904374" w:rsidRDefault="00904374" w:rsidP="00904374">
      <w:pPr>
        <w:spacing w:after="0" w:line="240" w:lineRule="auto"/>
        <w:jc w:val="both"/>
        <w:rPr>
          <w:rFonts w:ascii="Verdana" w:eastAsia="Times" w:hAnsi="Verdana"/>
          <w:sz w:val="20"/>
          <w:szCs w:val="20"/>
          <w:lang w:val="pt-BR"/>
        </w:rPr>
      </w:pPr>
    </w:p>
    <w:p w14:paraId="427ACE11" w14:textId="77777777" w:rsidR="00904374" w:rsidRPr="00904374" w:rsidRDefault="00904374" w:rsidP="00904374">
      <w:pPr>
        <w:spacing w:after="0" w:line="240" w:lineRule="auto"/>
        <w:jc w:val="both"/>
        <w:rPr>
          <w:rFonts w:ascii="Verdana" w:eastAsia="Times" w:hAnsi="Verdana"/>
          <w:sz w:val="20"/>
          <w:szCs w:val="20"/>
          <w:lang w:val="pt-BR"/>
        </w:rPr>
      </w:pPr>
    </w:p>
    <w:p w14:paraId="7C402AB4" w14:textId="77777777" w:rsidR="00904374" w:rsidRPr="00904374" w:rsidRDefault="00904374" w:rsidP="00904374">
      <w:pPr>
        <w:spacing w:after="0" w:line="240" w:lineRule="auto"/>
        <w:jc w:val="both"/>
        <w:rPr>
          <w:rFonts w:ascii="Verdana" w:eastAsia="Times" w:hAnsi="Verdana"/>
          <w:sz w:val="20"/>
          <w:szCs w:val="20"/>
          <w:lang w:val="pt-BR"/>
        </w:rPr>
      </w:pPr>
    </w:p>
    <w:p w14:paraId="44B33500" w14:textId="77777777" w:rsidR="00904374" w:rsidRPr="00A0177F" w:rsidRDefault="00904374" w:rsidP="00904374">
      <w:pPr>
        <w:spacing w:after="0" w:line="240" w:lineRule="auto"/>
        <w:jc w:val="both"/>
        <w:rPr>
          <w:rFonts w:ascii="Verdana" w:eastAsia="Times" w:hAnsi="Verdana"/>
          <w:sz w:val="20"/>
          <w:szCs w:val="20"/>
          <w:lang w:val="pt-BR"/>
        </w:rPr>
      </w:pPr>
      <w:r w:rsidRPr="00A0177F">
        <w:rPr>
          <w:rFonts w:ascii="Verdana" w:eastAsia="Times" w:hAnsi="Verdana"/>
          <w:sz w:val="20"/>
          <w:szCs w:val="20"/>
          <w:lang w:val="pt-BR"/>
        </w:rPr>
        <w:t>Pablo Saavedra Alessandri</w:t>
      </w:r>
    </w:p>
    <w:p w14:paraId="2A051359" w14:textId="77777777" w:rsidR="00904374" w:rsidRPr="00904374" w:rsidRDefault="00904374" w:rsidP="00904374">
      <w:pPr>
        <w:spacing w:after="0" w:line="240" w:lineRule="auto"/>
        <w:rPr>
          <w:rFonts w:ascii="Verdana" w:eastAsia="Times" w:hAnsi="Verdana"/>
          <w:sz w:val="20"/>
          <w:szCs w:val="20"/>
          <w:lang w:val="es-CR"/>
        </w:rPr>
      </w:pPr>
      <w:r w:rsidRPr="00A0177F">
        <w:rPr>
          <w:rFonts w:ascii="Verdana" w:eastAsia="Times" w:hAnsi="Verdana"/>
          <w:sz w:val="20"/>
          <w:szCs w:val="20"/>
          <w:lang w:val="pt-BR"/>
        </w:rPr>
        <w:tab/>
      </w:r>
      <w:r w:rsidRPr="00904374">
        <w:rPr>
          <w:rFonts w:ascii="Verdana" w:eastAsia="Times" w:hAnsi="Verdana"/>
          <w:sz w:val="20"/>
          <w:szCs w:val="20"/>
          <w:lang w:val="es-CR"/>
        </w:rPr>
        <w:t>Secretario</w:t>
      </w:r>
    </w:p>
    <w:p w14:paraId="1FC408B6" w14:textId="77777777" w:rsidR="00904374" w:rsidRPr="00904374" w:rsidRDefault="00904374" w:rsidP="00904374">
      <w:pPr>
        <w:spacing w:after="160" w:line="259" w:lineRule="auto"/>
        <w:rPr>
          <w:lang w:val="es-ES"/>
        </w:rPr>
      </w:pPr>
    </w:p>
    <w:p w14:paraId="3E8EFD9E" w14:textId="77777777" w:rsidR="00CF0138" w:rsidRPr="00C96FC0" w:rsidRDefault="00CF0138" w:rsidP="009F08CC">
      <w:pPr>
        <w:tabs>
          <w:tab w:val="left" w:pos="540"/>
        </w:tabs>
        <w:spacing w:after="0" w:line="240" w:lineRule="auto"/>
        <w:jc w:val="both"/>
        <w:rPr>
          <w:rFonts w:ascii="Verdana" w:hAnsi="Verdana"/>
          <w:sz w:val="20"/>
          <w:szCs w:val="20"/>
          <w:lang w:val="es-CR"/>
        </w:rPr>
      </w:pPr>
    </w:p>
    <w:sectPr w:rsidR="00CF0138" w:rsidRPr="00C96FC0" w:rsidSect="00795392">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3FB79" w14:textId="77777777" w:rsidR="00751F24" w:rsidRDefault="00751F24" w:rsidP="005A1B3D">
      <w:pPr>
        <w:spacing w:after="0" w:line="240" w:lineRule="auto"/>
      </w:pPr>
      <w:r>
        <w:separator/>
      </w:r>
    </w:p>
  </w:endnote>
  <w:endnote w:type="continuationSeparator" w:id="0">
    <w:p w14:paraId="54353C15" w14:textId="77777777" w:rsidR="00751F24" w:rsidRDefault="00751F24"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596CD" w14:textId="77777777" w:rsidR="00217DD5" w:rsidRPr="00774571" w:rsidRDefault="00217DD5">
    <w:pPr>
      <w:pStyle w:val="Piedepgina"/>
      <w:jc w:val="center"/>
      <w:rPr>
        <w:rFonts w:ascii="Verdana" w:hAnsi="Verdana"/>
        <w:sz w:val="16"/>
        <w:szCs w:val="16"/>
      </w:rPr>
    </w:pPr>
    <w:r w:rsidRPr="00774571">
      <w:rPr>
        <w:rFonts w:ascii="Verdana" w:hAnsi="Verdana"/>
        <w:sz w:val="16"/>
        <w:szCs w:val="16"/>
      </w:rPr>
      <w:t>-</w:t>
    </w:r>
    <w:r w:rsidRPr="00774571">
      <w:rPr>
        <w:rFonts w:ascii="Verdana" w:hAnsi="Verdana"/>
        <w:sz w:val="16"/>
        <w:szCs w:val="16"/>
      </w:rPr>
      <w:fldChar w:fldCharType="begin"/>
    </w:r>
    <w:r w:rsidRPr="00774571">
      <w:rPr>
        <w:rFonts w:ascii="Verdana" w:hAnsi="Verdana"/>
        <w:sz w:val="16"/>
        <w:szCs w:val="16"/>
      </w:rPr>
      <w:instrText>PAGE   \* MERGEFORMAT</w:instrText>
    </w:r>
    <w:r w:rsidRPr="00774571">
      <w:rPr>
        <w:rFonts w:ascii="Verdana" w:hAnsi="Verdana"/>
        <w:sz w:val="16"/>
        <w:szCs w:val="16"/>
      </w:rPr>
      <w:fldChar w:fldCharType="separate"/>
    </w:r>
    <w:r w:rsidR="00A0177F" w:rsidRPr="00A0177F">
      <w:rPr>
        <w:rFonts w:ascii="Verdana" w:hAnsi="Verdana"/>
        <w:noProof/>
        <w:sz w:val="16"/>
        <w:szCs w:val="16"/>
        <w:lang w:val="es-ES"/>
      </w:rPr>
      <w:t>3</w:t>
    </w:r>
    <w:r w:rsidRPr="00774571">
      <w:rPr>
        <w:rFonts w:ascii="Verdana" w:hAnsi="Verdana"/>
        <w:sz w:val="16"/>
        <w:szCs w:val="16"/>
      </w:rPr>
      <w:fldChar w:fldCharType="end"/>
    </w:r>
    <w:r w:rsidRPr="00774571">
      <w:rPr>
        <w:rFonts w:ascii="Verdana" w:hAnsi="Verdana"/>
        <w:sz w:val="16"/>
        <w:szCs w:val="16"/>
      </w:rPr>
      <w:t>-</w:t>
    </w:r>
  </w:p>
  <w:p w14:paraId="39E6F21E" w14:textId="77777777" w:rsidR="00217DD5" w:rsidRDefault="00217DD5"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06720" w14:textId="77777777" w:rsidR="00751F24" w:rsidRDefault="00751F24" w:rsidP="005A1B3D">
      <w:pPr>
        <w:spacing w:after="0" w:line="240" w:lineRule="auto"/>
      </w:pPr>
      <w:r>
        <w:separator/>
      </w:r>
    </w:p>
  </w:footnote>
  <w:footnote w:type="continuationSeparator" w:id="0">
    <w:p w14:paraId="569B6A8B" w14:textId="77777777" w:rsidR="00751F24" w:rsidRDefault="00751F24" w:rsidP="005A1B3D">
      <w:pPr>
        <w:spacing w:after="0" w:line="240" w:lineRule="auto"/>
      </w:pPr>
      <w:r>
        <w:continuationSeparator/>
      </w:r>
    </w:p>
  </w:footnote>
  <w:footnote w:id="1">
    <w:p w14:paraId="00AF43D3" w14:textId="77777777" w:rsidR="00217DD5" w:rsidRPr="00973981" w:rsidRDefault="00217DD5" w:rsidP="00973981">
      <w:pPr>
        <w:pStyle w:val="Textonotapie"/>
        <w:rPr>
          <w:lang w:val="es-CR"/>
        </w:rPr>
      </w:pPr>
      <w:r w:rsidRPr="00C9786F">
        <w:rPr>
          <w:rStyle w:val="Refdenotaalpie"/>
          <w:lang w:val="es-CR"/>
        </w:rPr>
        <w:t>*</w:t>
      </w:r>
      <w:r w:rsidRPr="00C9786F">
        <w:rPr>
          <w:lang w:val="es-CR"/>
        </w:rPr>
        <w:t xml:space="preserve"> </w:t>
      </w:r>
      <w:r w:rsidRPr="00C9786F">
        <w:rPr>
          <w:lang w:val="es-CR"/>
        </w:rPr>
        <w:tab/>
        <w:t>El Juez Eduardo Vio Grossi y el Juez Humberto Antonio Sierra Porto no participaron en la deliberación y firma de la presente Resolución por motivos de fuerza mayor.</w:t>
      </w:r>
    </w:p>
    <w:p w14:paraId="5EC9A29C" w14:textId="77777777" w:rsidR="00217DD5" w:rsidRPr="00CC07CB" w:rsidRDefault="00217DD5" w:rsidP="00BA0D6D">
      <w:pPr>
        <w:pStyle w:val="Textonotapie"/>
        <w:tabs>
          <w:tab w:val="left" w:pos="720"/>
        </w:tabs>
        <w:rPr>
          <w:b/>
          <w:color w:val="000000"/>
          <w:szCs w:val="16"/>
          <w:lang w:val="es-CR"/>
        </w:rPr>
      </w:pPr>
      <w:r w:rsidRPr="00933FE7">
        <w:rPr>
          <w:rStyle w:val="Refdenotaalpie"/>
          <w:color w:val="000000"/>
          <w:szCs w:val="16"/>
        </w:rPr>
        <w:footnoteRef/>
      </w:r>
      <w:r w:rsidRPr="00933FE7">
        <w:rPr>
          <w:color w:val="000000"/>
          <w:szCs w:val="16"/>
          <w:lang w:val="es-CR"/>
        </w:rPr>
        <w:t xml:space="preserve"> </w:t>
      </w:r>
      <w:r w:rsidRPr="00933FE7">
        <w:rPr>
          <w:color w:val="000000"/>
          <w:szCs w:val="16"/>
          <w:lang w:val="es-CR"/>
        </w:rPr>
        <w:tab/>
      </w:r>
      <w:r w:rsidRPr="00933FE7">
        <w:rPr>
          <w:i/>
          <w:color w:val="000000"/>
          <w:szCs w:val="16"/>
          <w:lang w:val="es-CR"/>
        </w:rPr>
        <w:t xml:space="preserve">Cfr. </w:t>
      </w:r>
      <w:r>
        <w:rPr>
          <w:i/>
          <w:color w:val="000000"/>
          <w:szCs w:val="16"/>
          <w:lang w:val="es-CR"/>
        </w:rPr>
        <w:t>C</w:t>
      </w:r>
      <w:r w:rsidRPr="00DB7EEE">
        <w:rPr>
          <w:bCs/>
          <w:i/>
          <w:color w:val="000000"/>
          <w:szCs w:val="16"/>
          <w:lang w:val="es-CR"/>
        </w:rPr>
        <w:t xml:space="preserve">aso Osorio Rivera y familiares Vs. Perú. Excepciones Preliminares, Fondo, Reparaciones y Costas. </w:t>
      </w:r>
      <w:r w:rsidRPr="002220E1">
        <w:rPr>
          <w:bCs/>
          <w:color w:val="000000"/>
          <w:szCs w:val="16"/>
          <w:lang w:val="es-CR"/>
        </w:rPr>
        <w:t>Sentencia de 26 de noviembre de 2013. Serie C No. 274.</w:t>
      </w:r>
      <w:r>
        <w:rPr>
          <w:bCs/>
          <w:color w:val="000000"/>
          <w:szCs w:val="16"/>
          <w:lang w:val="es-CR"/>
        </w:rPr>
        <w:t xml:space="preserve"> </w:t>
      </w:r>
      <w:r w:rsidRPr="00933FE7">
        <w:rPr>
          <w:color w:val="000000"/>
          <w:szCs w:val="16"/>
          <w:lang w:val="es-CR"/>
        </w:rPr>
        <w:t>El texto íntegro de la Sentencia se encuentra disponible en:</w:t>
      </w:r>
      <w:r>
        <w:rPr>
          <w:color w:val="000000"/>
          <w:szCs w:val="16"/>
          <w:lang w:val="es-CR"/>
        </w:rPr>
        <w:t xml:space="preserve"> </w:t>
      </w:r>
      <w:hyperlink r:id="rId1" w:history="1">
        <w:r w:rsidRPr="00F5073D">
          <w:rPr>
            <w:rStyle w:val="Hipervnculo"/>
            <w:szCs w:val="16"/>
            <w:lang w:val="es-CR"/>
          </w:rPr>
          <w:t>http://www.corteidh.or.cr/docs/casos/articulos/seriec_274_esp.pdf</w:t>
        </w:r>
      </w:hyperlink>
      <w:r w:rsidRPr="00933FE7">
        <w:rPr>
          <w:color w:val="000000"/>
          <w:szCs w:val="16"/>
          <w:lang w:val="es-CR"/>
        </w:rPr>
        <w:t xml:space="preserve">. La Sentencia fue notificada al Estado el </w:t>
      </w:r>
      <w:r>
        <w:rPr>
          <w:color w:val="000000"/>
          <w:szCs w:val="16"/>
          <w:lang w:val="es-CR"/>
        </w:rPr>
        <w:t>2</w:t>
      </w:r>
      <w:r w:rsidRPr="00933FE7">
        <w:rPr>
          <w:color w:val="000000"/>
          <w:szCs w:val="16"/>
          <w:lang w:val="es-CR"/>
        </w:rPr>
        <w:t xml:space="preserve">3 </w:t>
      </w:r>
      <w:r w:rsidRPr="00CC07CB">
        <w:rPr>
          <w:color w:val="000000"/>
          <w:szCs w:val="16"/>
          <w:lang w:val="es-CR"/>
        </w:rPr>
        <w:t xml:space="preserve">de </w:t>
      </w:r>
      <w:r>
        <w:rPr>
          <w:color w:val="000000"/>
          <w:szCs w:val="16"/>
          <w:lang w:val="es-CR"/>
        </w:rPr>
        <w:t>diciembre</w:t>
      </w:r>
      <w:r w:rsidRPr="00CC07CB">
        <w:rPr>
          <w:color w:val="000000"/>
          <w:szCs w:val="16"/>
          <w:lang w:val="es-CR"/>
        </w:rPr>
        <w:t xml:space="preserve"> de 20</w:t>
      </w:r>
      <w:r>
        <w:rPr>
          <w:color w:val="000000"/>
          <w:szCs w:val="16"/>
          <w:lang w:val="es-CR"/>
        </w:rPr>
        <w:t>13</w:t>
      </w:r>
      <w:r w:rsidRPr="00CC07CB">
        <w:rPr>
          <w:color w:val="000000"/>
          <w:szCs w:val="16"/>
          <w:lang w:val="es-CR"/>
        </w:rPr>
        <w:t>.</w:t>
      </w:r>
    </w:p>
  </w:footnote>
  <w:footnote w:id="2">
    <w:p w14:paraId="787013E9" w14:textId="77777777" w:rsidR="00217DD5" w:rsidRPr="00774571" w:rsidRDefault="00217DD5" w:rsidP="00BA0D6D">
      <w:pPr>
        <w:pStyle w:val="Textonotapie"/>
        <w:tabs>
          <w:tab w:val="left" w:pos="720"/>
        </w:tabs>
        <w:rPr>
          <w:lang w:val="es-CR"/>
        </w:rPr>
      </w:pPr>
      <w:r>
        <w:rPr>
          <w:rStyle w:val="Refdenotaalpie"/>
        </w:rPr>
        <w:footnoteRef/>
      </w:r>
      <w:r w:rsidRPr="001A7C2F">
        <w:rPr>
          <w:lang w:val="es-CR"/>
        </w:rPr>
        <w:t xml:space="preserve"> </w:t>
      </w:r>
      <w:r>
        <w:rPr>
          <w:lang w:val="es-CR"/>
        </w:rPr>
        <w:tab/>
      </w:r>
      <w:r>
        <w:rPr>
          <w:lang w:val="es-ES_tradnl"/>
        </w:rPr>
        <w:t>Dichos familiares son</w:t>
      </w:r>
      <w:r w:rsidRPr="00CC07CB">
        <w:rPr>
          <w:lang w:val="es-ES_tradnl"/>
        </w:rPr>
        <w:t xml:space="preserve">: </w:t>
      </w:r>
      <w:r w:rsidRPr="00953042">
        <w:rPr>
          <w:lang w:val="es-ES_tradnl"/>
        </w:rPr>
        <w:t>Santa Fe Gaitán Calderón</w:t>
      </w:r>
      <w:r>
        <w:rPr>
          <w:lang w:val="es-ES_tradnl"/>
        </w:rPr>
        <w:t xml:space="preserve"> (conviviente), Edith Laritza Osorio Gai</w:t>
      </w:r>
      <w:r w:rsidRPr="00953042">
        <w:rPr>
          <w:lang w:val="es-ES_tradnl"/>
        </w:rPr>
        <w:t>tán</w:t>
      </w:r>
      <w:r>
        <w:rPr>
          <w:lang w:val="es-ES_tradnl"/>
        </w:rPr>
        <w:t xml:space="preserve"> (hija)</w:t>
      </w:r>
      <w:r w:rsidRPr="00953042">
        <w:rPr>
          <w:lang w:val="es-ES_tradnl"/>
        </w:rPr>
        <w:t>, Neida Rocío Osorio</w:t>
      </w:r>
      <w:r>
        <w:rPr>
          <w:lang w:val="es-ES_tradnl"/>
        </w:rPr>
        <w:t xml:space="preserve"> </w:t>
      </w:r>
      <w:r w:rsidRPr="00953042">
        <w:rPr>
          <w:lang w:val="es-ES_tradnl"/>
        </w:rPr>
        <w:t>Gaitán</w:t>
      </w:r>
      <w:r>
        <w:rPr>
          <w:lang w:val="es-ES_tradnl"/>
        </w:rPr>
        <w:t xml:space="preserve"> (hija)</w:t>
      </w:r>
      <w:r w:rsidRPr="00953042">
        <w:rPr>
          <w:lang w:val="es-ES_tradnl"/>
        </w:rPr>
        <w:t>, Vannesa Judith Osorio Gaitán</w:t>
      </w:r>
      <w:r>
        <w:rPr>
          <w:lang w:val="es-ES_tradnl"/>
        </w:rPr>
        <w:t xml:space="preserve"> (hija)</w:t>
      </w:r>
      <w:r w:rsidRPr="00953042">
        <w:rPr>
          <w:lang w:val="es-ES_tradnl"/>
        </w:rPr>
        <w:t>, Jersy Jeremías Osorio Gaitán</w:t>
      </w:r>
      <w:r>
        <w:rPr>
          <w:lang w:val="es-ES_tradnl"/>
        </w:rPr>
        <w:t xml:space="preserve"> (hijo)</w:t>
      </w:r>
      <w:r w:rsidRPr="00953042">
        <w:rPr>
          <w:lang w:val="es-ES_tradnl"/>
        </w:rPr>
        <w:t>, Juana Rivera Lozano</w:t>
      </w:r>
      <w:r>
        <w:rPr>
          <w:lang w:val="es-ES_tradnl"/>
        </w:rPr>
        <w:t xml:space="preserve"> (madre)</w:t>
      </w:r>
      <w:r w:rsidRPr="00953042">
        <w:rPr>
          <w:lang w:val="es-ES_tradnl"/>
        </w:rPr>
        <w:t>, Epifanía</w:t>
      </w:r>
      <w:r>
        <w:rPr>
          <w:lang w:val="es-ES_tradnl"/>
        </w:rPr>
        <w:t xml:space="preserve"> </w:t>
      </w:r>
      <w:r w:rsidRPr="00953042">
        <w:rPr>
          <w:lang w:val="es-ES_tradnl"/>
        </w:rPr>
        <w:t>Alejandrina Osorio Rivera</w:t>
      </w:r>
      <w:r>
        <w:rPr>
          <w:lang w:val="es-ES_tradnl"/>
        </w:rPr>
        <w:t xml:space="preserve"> (hermana)</w:t>
      </w:r>
      <w:r w:rsidRPr="00953042">
        <w:rPr>
          <w:lang w:val="es-ES_tradnl"/>
        </w:rPr>
        <w:t>, Elena Máxima Osorio Rivera</w:t>
      </w:r>
      <w:r>
        <w:rPr>
          <w:lang w:val="es-ES_tradnl"/>
        </w:rPr>
        <w:t xml:space="preserve"> (hermana)</w:t>
      </w:r>
      <w:r w:rsidRPr="00953042">
        <w:rPr>
          <w:lang w:val="es-ES_tradnl"/>
        </w:rPr>
        <w:t>, Porfirio Osorio Rivera</w:t>
      </w:r>
      <w:r>
        <w:rPr>
          <w:lang w:val="es-ES_tradnl"/>
        </w:rPr>
        <w:t xml:space="preserve"> (hermano)</w:t>
      </w:r>
      <w:r w:rsidRPr="00953042">
        <w:rPr>
          <w:lang w:val="es-ES_tradnl"/>
        </w:rPr>
        <w:t>, Adelaida Osorio</w:t>
      </w:r>
      <w:r>
        <w:rPr>
          <w:lang w:val="es-ES_tradnl"/>
        </w:rPr>
        <w:t xml:space="preserve"> </w:t>
      </w:r>
      <w:r w:rsidRPr="00953042">
        <w:rPr>
          <w:lang w:val="es-ES_tradnl"/>
        </w:rPr>
        <w:t>Rivera</w:t>
      </w:r>
      <w:r>
        <w:rPr>
          <w:lang w:val="es-ES_tradnl"/>
        </w:rPr>
        <w:t xml:space="preserve"> (hermana)</w:t>
      </w:r>
      <w:r w:rsidRPr="00953042">
        <w:rPr>
          <w:lang w:val="es-ES_tradnl"/>
        </w:rPr>
        <w:t>, Silvia Osorio Rivera</w:t>
      </w:r>
      <w:r>
        <w:rPr>
          <w:lang w:val="es-ES_tradnl"/>
        </w:rPr>
        <w:t xml:space="preserve"> (hermana)</w:t>
      </w:r>
      <w:r w:rsidRPr="00953042">
        <w:rPr>
          <w:lang w:val="es-ES_tradnl"/>
        </w:rPr>
        <w:t>, Mario Osorio Rivera</w:t>
      </w:r>
      <w:r>
        <w:rPr>
          <w:lang w:val="es-ES_tradnl"/>
        </w:rPr>
        <w:t xml:space="preserve"> (hermano)</w:t>
      </w:r>
      <w:r w:rsidRPr="00953042">
        <w:rPr>
          <w:lang w:val="es-ES_tradnl"/>
        </w:rPr>
        <w:t xml:space="preserve"> y Efraín </w:t>
      </w:r>
      <w:r w:rsidRPr="00774571">
        <w:rPr>
          <w:lang w:val="es-ES_tradnl"/>
        </w:rPr>
        <w:t>Osorio Rivera (hermano)</w:t>
      </w:r>
      <w:r>
        <w:rPr>
          <w:lang w:val="es-CR"/>
        </w:rPr>
        <w:t>.</w:t>
      </w:r>
    </w:p>
  </w:footnote>
  <w:footnote w:id="3">
    <w:p w14:paraId="7EB8C3C2" w14:textId="77777777" w:rsidR="00217DD5" w:rsidRPr="001A7C2F" w:rsidRDefault="00217DD5" w:rsidP="00BA0D6D">
      <w:pPr>
        <w:pStyle w:val="Textonotapie"/>
        <w:tabs>
          <w:tab w:val="left" w:pos="720"/>
        </w:tabs>
        <w:rPr>
          <w:lang w:val="es-CR"/>
        </w:rPr>
      </w:pPr>
      <w:r w:rsidRPr="00774571">
        <w:rPr>
          <w:rStyle w:val="Refdenotaalpie"/>
        </w:rPr>
        <w:footnoteRef/>
      </w:r>
      <w:r w:rsidRPr="00774571">
        <w:rPr>
          <w:lang w:val="es-CR"/>
        </w:rPr>
        <w:t xml:space="preserve"> </w:t>
      </w:r>
      <w:r w:rsidRPr="00774571">
        <w:rPr>
          <w:lang w:val="es-CR"/>
        </w:rPr>
        <w:tab/>
      </w:r>
      <w:r w:rsidRPr="00774571">
        <w:rPr>
          <w:i/>
          <w:lang w:val="es-CR"/>
        </w:rPr>
        <w:t xml:space="preserve">Supra </w:t>
      </w:r>
      <w:r w:rsidRPr="00774571">
        <w:rPr>
          <w:lang w:val="es-CR"/>
        </w:rPr>
        <w:t>nota 2.</w:t>
      </w:r>
    </w:p>
  </w:footnote>
  <w:footnote w:id="4">
    <w:p w14:paraId="113ADBE5" w14:textId="77777777" w:rsidR="00217DD5" w:rsidRPr="00F21718" w:rsidRDefault="00217DD5" w:rsidP="00BA0D6D">
      <w:pPr>
        <w:pStyle w:val="Textonotapie"/>
        <w:tabs>
          <w:tab w:val="left" w:pos="720"/>
        </w:tabs>
        <w:rPr>
          <w:szCs w:val="16"/>
          <w:lang w:val="es-CR"/>
        </w:rPr>
      </w:pPr>
      <w:r w:rsidRPr="00933FE7">
        <w:rPr>
          <w:rStyle w:val="Refdenotaalpie"/>
          <w:szCs w:val="16"/>
        </w:rPr>
        <w:footnoteRef/>
      </w:r>
      <w:r w:rsidRPr="00933FE7">
        <w:rPr>
          <w:szCs w:val="16"/>
          <w:lang w:val="es-CR"/>
        </w:rPr>
        <w:t xml:space="preserve"> </w:t>
      </w:r>
      <w:r w:rsidRPr="00933FE7">
        <w:rPr>
          <w:szCs w:val="16"/>
          <w:lang w:val="es-CR"/>
        </w:rPr>
        <w:tab/>
      </w:r>
      <w:r w:rsidRPr="0069211A">
        <w:rPr>
          <w:i/>
          <w:szCs w:val="16"/>
          <w:lang w:val="es-CR"/>
        </w:rPr>
        <w:t xml:space="preserve">Cfr. </w:t>
      </w:r>
      <w:r w:rsidRPr="00F21718">
        <w:rPr>
          <w:i/>
          <w:color w:val="000000"/>
          <w:szCs w:val="16"/>
          <w:lang w:val="es-CR"/>
        </w:rPr>
        <w:t xml:space="preserve">Caso Osorio Rivera y familiares Vs. Perú. Interpretación de la Sentencia de Excepciones Preliminares, Fondo, Reparaciones y Costas. </w:t>
      </w:r>
      <w:r w:rsidRPr="00F21718">
        <w:rPr>
          <w:color w:val="000000"/>
          <w:szCs w:val="16"/>
          <w:lang w:val="es-CR"/>
        </w:rPr>
        <w:t>Sentencia de 20 de noviembre de 2014. Serie C No. 290, disponible en</w:t>
      </w:r>
      <w:r w:rsidRPr="00F21718">
        <w:rPr>
          <w:rStyle w:val="Textoennegrita"/>
          <w:b w:val="0"/>
          <w:color w:val="000000"/>
          <w:szCs w:val="16"/>
          <w:lang w:val="es-CR"/>
        </w:rPr>
        <w:t xml:space="preserve">: </w:t>
      </w:r>
      <w:hyperlink r:id="rId2" w:history="1">
        <w:r w:rsidRPr="00F21718">
          <w:rPr>
            <w:rStyle w:val="Hipervnculo"/>
            <w:szCs w:val="16"/>
            <w:lang w:val="es-CR"/>
          </w:rPr>
          <w:t>http://www.corteidh.or.cr/docs/casos/articulos/seriec_290_esp.pdf</w:t>
        </w:r>
      </w:hyperlink>
      <w:r w:rsidRPr="00F21718">
        <w:rPr>
          <w:rStyle w:val="Textoennegrita"/>
          <w:b w:val="0"/>
          <w:color w:val="000000"/>
          <w:szCs w:val="16"/>
          <w:lang w:val="es-CR"/>
        </w:rPr>
        <w:t>.</w:t>
      </w:r>
    </w:p>
  </w:footnote>
  <w:footnote w:id="5">
    <w:p w14:paraId="1A12A1C2" w14:textId="77777777" w:rsidR="00217DD5" w:rsidRPr="00F21718" w:rsidRDefault="00217DD5" w:rsidP="00BA0D6D">
      <w:pPr>
        <w:pStyle w:val="Textonotapie"/>
        <w:tabs>
          <w:tab w:val="left" w:pos="720"/>
        </w:tabs>
        <w:rPr>
          <w:b/>
          <w:szCs w:val="16"/>
          <w:lang w:val="es-CR"/>
        </w:rPr>
      </w:pPr>
      <w:r w:rsidRPr="0069211A">
        <w:rPr>
          <w:rStyle w:val="Refdenotaalpie"/>
          <w:szCs w:val="16"/>
        </w:rPr>
        <w:footnoteRef/>
      </w:r>
      <w:r w:rsidRPr="00F21718">
        <w:rPr>
          <w:b/>
          <w:szCs w:val="16"/>
          <w:lang w:val="es-CR"/>
        </w:rPr>
        <w:tab/>
      </w:r>
      <w:r w:rsidRPr="00F21718">
        <w:rPr>
          <w:i/>
          <w:szCs w:val="16"/>
          <w:lang w:val="es-CR"/>
        </w:rPr>
        <w:t>Cfr.</w:t>
      </w:r>
      <w:r w:rsidRPr="00F21718">
        <w:rPr>
          <w:b/>
          <w:i/>
          <w:szCs w:val="16"/>
          <w:lang w:val="es-CR"/>
        </w:rPr>
        <w:t xml:space="preserve"> </w:t>
      </w:r>
      <w:r w:rsidRPr="00F21718">
        <w:rPr>
          <w:rStyle w:val="Textoennegrita"/>
          <w:b w:val="0"/>
          <w:i/>
          <w:color w:val="000000"/>
          <w:szCs w:val="16"/>
          <w:shd w:val="clear" w:color="auto" w:fill="FFFFFF"/>
          <w:lang w:val="es-CR"/>
        </w:rPr>
        <w:t>Casos Osorio Rivera y familiares, J., Penal Miguel Castro, Tarazona Arrieta y otros, Espinoza Gonzáles, Cruz Sánchez y otros, Canales Huapaya y otros, Comunidad Campesina de Santa Bárbara, Quispialaya Vilcapoma y Tenorio Roca y otros Vs. Perú. Reintegro al Fondo de Asistencia Legal de Víctimas</w:t>
      </w:r>
      <w:r w:rsidRPr="00F21718">
        <w:rPr>
          <w:rStyle w:val="Textoennegrita"/>
          <w:b w:val="0"/>
          <w:color w:val="000000"/>
          <w:szCs w:val="16"/>
          <w:shd w:val="clear" w:color="auto" w:fill="FFFFFF"/>
          <w:lang w:val="es-CR"/>
        </w:rPr>
        <w:t>. Resolución de la Corte Interamericana de Derechos Humanos de 14 de noviembre de 2017</w:t>
      </w:r>
      <w:r w:rsidRPr="00F21718">
        <w:rPr>
          <w:rStyle w:val="Textoennegrita"/>
          <w:b w:val="0"/>
          <w:i/>
          <w:color w:val="000000"/>
          <w:szCs w:val="16"/>
          <w:lang w:val="es-CR"/>
        </w:rPr>
        <w:t xml:space="preserve">, </w:t>
      </w:r>
      <w:r w:rsidRPr="00F21718">
        <w:rPr>
          <w:rStyle w:val="Textoennegrita"/>
          <w:b w:val="0"/>
          <w:color w:val="000000"/>
          <w:szCs w:val="16"/>
          <w:lang w:val="es-CR"/>
        </w:rPr>
        <w:t xml:space="preserve">disponible en: </w:t>
      </w:r>
      <w:hyperlink r:id="rId3" w:history="1">
        <w:r w:rsidRPr="00F21718">
          <w:rPr>
            <w:rStyle w:val="Hipervnculo"/>
            <w:szCs w:val="16"/>
            <w:lang w:val="es-CR"/>
          </w:rPr>
          <w:t>http://www.corteidh.or.cr/docs/asuntos/osorivperu_fv_17.pdf</w:t>
        </w:r>
      </w:hyperlink>
      <w:r w:rsidRPr="00F21718">
        <w:rPr>
          <w:rStyle w:val="Textoennegrita"/>
          <w:b w:val="0"/>
          <w:color w:val="000000"/>
          <w:szCs w:val="16"/>
          <w:lang w:val="es-CR"/>
        </w:rPr>
        <w:t xml:space="preserve">. </w:t>
      </w:r>
    </w:p>
  </w:footnote>
  <w:footnote w:id="6">
    <w:p w14:paraId="57D4407B" w14:textId="77777777" w:rsidR="00217DD5" w:rsidRPr="00F21718" w:rsidRDefault="00217DD5" w:rsidP="00BA0D6D">
      <w:pPr>
        <w:pStyle w:val="Textonotapie"/>
        <w:tabs>
          <w:tab w:val="left" w:pos="720"/>
        </w:tabs>
        <w:rPr>
          <w:lang w:val="es-CR"/>
        </w:rPr>
      </w:pPr>
      <w:r>
        <w:rPr>
          <w:rStyle w:val="Refdenotaalpie"/>
        </w:rPr>
        <w:footnoteRef/>
      </w:r>
      <w:r w:rsidRPr="00F21718">
        <w:rPr>
          <w:lang w:val="es-CR"/>
        </w:rPr>
        <w:t xml:space="preserve"> </w:t>
      </w:r>
      <w:r>
        <w:rPr>
          <w:lang w:val="es-CR"/>
        </w:rPr>
        <w:tab/>
      </w:r>
      <w:r>
        <w:rPr>
          <w:i/>
          <w:lang w:val="es-CR"/>
        </w:rPr>
        <w:t xml:space="preserve">Cfr. </w:t>
      </w:r>
      <w:r w:rsidRPr="00F21718">
        <w:rPr>
          <w:i/>
          <w:lang w:val="es-CR"/>
        </w:rPr>
        <w:t>Casos Gómez Palomino, Anzualdo Castro, Osorio Rivera y familiares y Tenorio Roca y otros Vs. Perú. Supervisión de Cumplimiento de Sentencia</w:t>
      </w:r>
      <w:r w:rsidRPr="00F21718">
        <w:rPr>
          <w:lang w:val="es-CR"/>
        </w:rPr>
        <w:t>. Resolución de la Corte Interamericana de Derechos Humanos de 14 de mayo de 2019</w:t>
      </w:r>
      <w:r>
        <w:rPr>
          <w:lang w:val="es-CR"/>
        </w:rPr>
        <w:t xml:space="preserve">, disponible en: </w:t>
      </w:r>
      <w:hyperlink r:id="rId4" w:history="1">
        <w:r w:rsidRPr="00F5073D">
          <w:rPr>
            <w:rStyle w:val="Hipervnculo"/>
            <w:lang w:val="es-CR"/>
          </w:rPr>
          <w:t>http://www.corteidh.or.cr/docs/supervisiones/GP_AC_OR_TR__14_05_19.pdf</w:t>
        </w:r>
      </w:hyperlink>
      <w:r>
        <w:rPr>
          <w:lang w:val="es-CR"/>
        </w:rPr>
        <w:t xml:space="preserve">. </w:t>
      </w:r>
    </w:p>
  </w:footnote>
  <w:footnote w:id="7">
    <w:p w14:paraId="04BA8096" w14:textId="77777777" w:rsidR="00217DD5" w:rsidRPr="00933FE7" w:rsidRDefault="00217DD5" w:rsidP="00BA0D6D">
      <w:pPr>
        <w:pStyle w:val="Textonotapie"/>
        <w:tabs>
          <w:tab w:val="left" w:pos="720"/>
        </w:tabs>
        <w:rPr>
          <w:szCs w:val="16"/>
          <w:lang w:val="es-CR"/>
        </w:rPr>
      </w:pPr>
      <w:r w:rsidRPr="00933FE7">
        <w:rPr>
          <w:rStyle w:val="Refdenotaalpie"/>
          <w:szCs w:val="16"/>
        </w:rPr>
        <w:footnoteRef/>
      </w:r>
      <w:r w:rsidRPr="00933FE7">
        <w:rPr>
          <w:szCs w:val="16"/>
          <w:lang w:val="es-CR"/>
        </w:rPr>
        <w:t xml:space="preserve"> </w:t>
      </w:r>
      <w:r w:rsidRPr="00933FE7">
        <w:rPr>
          <w:szCs w:val="16"/>
          <w:lang w:val="es-CR"/>
        </w:rPr>
        <w:tab/>
        <w:t>Las víctimas del presente caso son representadas por la Asociación Pro Derechos Humanos (APRODEH).</w:t>
      </w:r>
    </w:p>
  </w:footnote>
  <w:footnote w:id="8">
    <w:p w14:paraId="01E39C10" w14:textId="77777777" w:rsidR="00217DD5" w:rsidRPr="00933FE7" w:rsidRDefault="00217DD5" w:rsidP="00BA0D6D">
      <w:pPr>
        <w:pStyle w:val="Textonotapie"/>
        <w:tabs>
          <w:tab w:val="left" w:pos="720"/>
        </w:tabs>
        <w:rPr>
          <w:szCs w:val="16"/>
          <w:lang w:val="es-CR"/>
        </w:rPr>
      </w:pPr>
      <w:r w:rsidRPr="00933FE7">
        <w:rPr>
          <w:rStyle w:val="Refdenotaalpie"/>
          <w:szCs w:val="16"/>
        </w:rPr>
        <w:footnoteRef/>
      </w:r>
      <w:r w:rsidRPr="00933FE7">
        <w:rPr>
          <w:szCs w:val="16"/>
          <w:lang w:val="es-CR"/>
        </w:rPr>
        <w:t xml:space="preserve"> </w:t>
      </w:r>
      <w:r w:rsidRPr="00933FE7">
        <w:rPr>
          <w:szCs w:val="16"/>
          <w:lang w:val="es-CR"/>
        </w:rPr>
        <w:tab/>
        <w:t xml:space="preserve">Facultad que además </w:t>
      </w:r>
      <w:r w:rsidRPr="00933FE7">
        <w:rPr>
          <w:szCs w:val="16"/>
          <w:lang w:val="es-ES"/>
        </w:rPr>
        <w:t xml:space="preserve">se desprende de lo dispuesto en los artículos 33, 62.1, 62.3 y 65 de la Convención Americana y </w:t>
      </w:r>
      <w:r w:rsidRPr="00933FE7">
        <w:rPr>
          <w:szCs w:val="16"/>
          <w:lang w:val="es-CR"/>
        </w:rPr>
        <w:t>30 de su Estatuto y se encuentra regulada en el artículo 69 de su Reglamento.</w:t>
      </w:r>
    </w:p>
  </w:footnote>
  <w:footnote w:id="9">
    <w:p w14:paraId="13E6D3AD" w14:textId="77777777" w:rsidR="00217DD5" w:rsidRPr="00933FE7" w:rsidRDefault="00217DD5" w:rsidP="00BA0D6D">
      <w:pPr>
        <w:pStyle w:val="Textonotapie"/>
        <w:tabs>
          <w:tab w:val="left" w:pos="720"/>
        </w:tabs>
        <w:ind w:right="4"/>
        <w:rPr>
          <w:b/>
          <w:color w:val="000000"/>
          <w:szCs w:val="16"/>
          <w:lang w:val="es-CR"/>
        </w:rPr>
      </w:pPr>
      <w:r w:rsidRPr="00933FE7">
        <w:rPr>
          <w:rStyle w:val="Refdenotaalpie"/>
          <w:szCs w:val="16"/>
        </w:rPr>
        <w:footnoteRef/>
      </w:r>
      <w:r w:rsidRPr="00933FE7">
        <w:rPr>
          <w:i/>
          <w:color w:val="000000"/>
          <w:szCs w:val="16"/>
          <w:lang w:val="es-AR"/>
        </w:rPr>
        <w:tab/>
        <w:t xml:space="preserve">Cfr. Caso Cinco Pensionistas Vs. Perú. Supervisión de </w:t>
      </w:r>
      <w:r w:rsidRPr="0064101E">
        <w:rPr>
          <w:i/>
          <w:color w:val="000000"/>
          <w:szCs w:val="16"/>
          <w:lang w:val="es-AR"/>
        </w:rPr>
        <w:t xml:space="preserve">cumplimiento de Sentencia. </w:t>
      </w:r>
      <w:r w:rsidRPr="0064101E">
        <w:rPr>
          <w:color w:val="000000"/>
          <w:szCs w:val="16"/>
          <w:lang w:val="es-AR"/>
        </w:rPr>
        <w:t xml:space="preserve">Resolución de la Corte de 17 de noviembre de 2004, Considerando 5, y </w:t>
      </w:r>
      <w:r w:rsidRPr="00C70AE7">
        <w:rPr>
          <w:rStyle w:val="Textoennegrita"/>
          <w:b w:val="0"/>
          <w:i/>
          <w:color w:val="000000"/>
          <w:shd w:val="clear" w:color="auto" w:fill="FFFFFF"/>
          <w:lang w:val="es-CR"/>
        </w:rPr>
        <w:t>Caso Colindres Schonenberg Vs. El Salvador. Supervisión de Cumplimiento de Sentencia</w:t>
      </w:r>
      <w:r w:rsidRPr="00C70AE7">
        <w:rPr>
          <w:rStyle w:val="Textoennegrita"/>
          <w:b w:val="0"/>
          <w:color w:val="000000"/>
          <w:shd w:val="clear" w:color="auto" w:fill="FFFFFF"/>
          <w:lang w:val="es-CR"/>
        </w:rPr>
        <w:t>. Resolución de la Corte Interamericana de Derechos Humanos de 22 de noviembre de 2019</w:t>
      </w:r>
      <w:r w:rsidRPr="0064101E">
        <w:rPr>
          <w:color w:val="000000"/>
          <w:szCs w:val="16"/>
          <w:lang w:val="es-AR"/>
        </w:rPr>
        <w:t>, Considerando 2</w:t>
      </w:r>
      <w:r w:rsidRPr="0064101E">
        <w:rPr>
          <w:rStyle w:val="Textoennegrita"/>
          <w:b w:val="0"/>
          <w:color w:val="000000"/>
          <w:szCs w:val="16"/>
          <w:shd w:val="clear" w:color="auto" w:fill="FFFFFF"/>
          <w:lang w:val="es-CR"/>
        </w:rPr>
        <w:t>.</w:t>
      </w:r>
    </w:p>
  </w:footnote>
  <w:footnote w:id="10">
    <w:p w14:paraId="195360BB" w14:textId="77777777" w:rsidR="00217DD5" w:rsidRPr="00933FE7" w:rsidRDefault="00217DD5" w:rsidP="00BA0D6D">
      <w:pPr>
        <w:pStyle w:val="Textonotapie"/>
        <w:tabs>
          <w:tab w:val="left" w:pos="720"/>
        </w:tabs>
        <w:ind w:right="4"/>
        <w:rPr>
          <w:b/>
          <w:color w:val="000000"/>
          <w:szCs w:val="16"/>
          <w:lang w:val="es-CR"/>
        </w:rPr>
      </w:pPr>
      <w:r w:rsidRPr="0064101E">
        <w:rPr>
          <w:rStyle w:val="Refdenotaalpie"/>
          <w:szCs w:val="16"/>
        </w:rPr>
        <w:footnoteRef/>
      </w:r>
      <w:r w:rsidRPr="0064101E">
        <w:rPr>
          <w:szCs w:val="16"/>
          <w:lang w:val="es-CR"/>
        </w:rPr>
        <w:tab/>
      </w:r>
      <w:r w:rsidRPr="0064101E">
        <w:rPr>
          <w:i/>
          <w:szCs w:val="16"/>
          <w:lang w:val="es-CR"/>
        </w:rPr>
        <w:t>Cfr. Caso Ivcher Bronstein Vs. Perú. Competencia</w:t>
      </w:r>
      <w:r w:rsidRPr="0064101E">
        <w:rPr>
          <w:szCs w:val="16"/>
          <w:lang w:val="es-CR"/>
        </w:rPr>
        <w:t>. Sentencia de la Corte Interamericana de Derechos Humanos de 24 de septiembre de 1999. Serie C No. 54, párr. 37, y</w:t>
      </w:r>
      <w:r w:rsidRPr="0064101E">
        <w:rPr>
          <w:i/>
          <w:color w:val="000000"/>
          <w:szCs w:val="16"/>
          <w:lang w:val="es-AR"/>
        </w:rPr>
        <w:t xml:space="preserve"> </w:t>
      </w:r>
      <w:r w:rsidRPr="00C70AE7">
        <w:rPr>
          <w:rStyle w:val="Textoennegrita"/>
          <w:b w:val="0"/>
          <w:i/>
          <w:color w:val="000000"/>
          <w:shd w:val="clear" w:color="auto" w:fill="FFFFFF"/>
          <w:lang w:val="es-CR"/>
        </w:rPr>
        <w:t>Caso Colindres Schonenberg Vs. El Salvador</w:t>
      </w:r>
      <w:r w:rsidRPr="0064101E">
        <w:rPr>
          <w:i/>
          <w:color w:val="000000"/>
          <w:szCs w:val="16"/>
          <w:lang w:val="es-AR"/>
        </w:rPr>
        <w:t xml:space="preserve">, supra </w:t>
      </w:r>
      <w:r>
        <w:rPr>
          <w:color w:val="000000"/>
          <w:szCs w:val="16"/>
          <w:lang w:val="es-AR"/>
        </w:rPr>
        <w:t>nota 9</w:t>
      </w:r>
      <w:r w:rsidRPr="0064101E">
        <w:rPr>
          <w:color w:val="000000"/>
          <w:szCs w:val="16"/>
          <w:lang w:val="es-AR"/>
        </w:rPr>
        <w:t>, Considerando 2</w:t>
      </w:r>
      <w:r w:rsidRPr="0064101E">
        <w:rPr>
          <w:rStyle w:val="Textoennegrita"/>
          <w:b w:val="0"/>
          <w:color w:val="000000"/>
          <w:szCs w:val="16"/>
          <w:shd w:val="clear" w:color="auto" w:fill="FFFFFF"/>
          <w:lang w:val="es-CR"/>
        </w:rPr>
        <w:t>.</w:t>
      </w:r>
      <w:r w:rsidRPr="00933FE7">
        <w:rPr>
          <w:rStyle w:val="Textoennegrita"/>
          <w:b w:val="0"/>
          <w:color w:val="000000"/>
          <w:szCs w:val="16"/>
          <w:shd w:val="clear" w:color="auto" w:fill="FFFFFF"/>
          <w:lang w:val="es-CR"/>
        </w:rPr>
        <w:t xml:space="preserve"> </w:t>
      </w:r>
    </w:p>
  </w:footnote>
  <w:footnote w:id="11">
    <w:p w14:paraId="2EB297FD" w14:textId="77777777" w:rsidR="00217DD5" w:rsidRPr="00F72F94" w:rsidRDefault="00217DD5" w:rsidP="00BA0D6D">
      <w:pPr>
        <w:pStyle w:val="Textonotapie"/>
        <w:tabs>
          <w:tab w:val="left" w:pos="720"/>
        </w:tabs>
        <w:rPr>
          <w:szCs w:val="16"/>
          <w:lang w:val="es-CR"/>
        </w:rPr>
      </w:pPr>
      <w:r w:rsidRPr="00933FE7">
        <w:rPr>
          <w:rStyle w:val="Refdenotaalpie"/>
          <w:szCs w:val="16"/>
        </w:rPr>
        <w:footnoteRef/>
      </w:r>
      <w:r w:rsidRPr="00933FE7">
        <w:rPr>
          <w:szCs w:val="16"/>
          <w:lang w:val="es-CR"/>
        </w:rPr>
        <w:t xml:space="preserve"> </w:t>
      </w:r>
      <w:r w:rsidRPr="00933FE7">
        <w:rPr>
          <w:szCs w:val="16"/>
          <w:lang w:val="es-CR"/>
        </w:rPr>
        <w:tab/>
      </w:r>
      <w:r>
        <w:rPr>
          <w:i/>
          <w:szCs w:val="16"/>
          <w:lang w:val="es-CR"/>
        </w:rPr>
        <w:t xml:space="preserve">Cfr. </w:t>
      </w:r>
      <w:r>
        <w:rPr>
          <w:szCs w:val="16"/>
          <w:lang w:val="es-CR"/>
        </w:rPr>
        <w:t>Informes estatales de 5 de enero de 2015, 15 de agosto de 2016, 26 de febrero de 2018, 26 de marzo de 2019 y 3 de octubre de 2019, así como escritos de observaciones de los representantes de las víctimas de 3 de junio de 2016,</w:t>
      </w:r>
      <w:r w:rsidRPr="002029E1">
        <w:rPr>
          <w:szCs w:val="16"/>
          <w:lang w:val="es-CR"/>
        </w:rPr>
        <w:t xml:space="preserve"> </w:t>
      </w:r>
      <w:r>
        <w:rPr>
          <w:szCs w:val="16"/>
          <w:lang w:val="es-CR"/>
        </w:rPr>
        <w:t xml:space="preserve">7 de septiembre de 2018 y 28 de mayo de 2019. </w:t>
      </w:r>
    </w:p>
  </w:footnote>
  <w:footnote w:id="12">
    <w:p w14:paraId="147D8547" w14:textId="77777777" w:rsidR="00217DD5" w:rsidRPr="00B301A4" w:rsidRDefault="00217DD5" w:rsidP="00BA0D6D">
      <w:pPr>
        <w:pStyle w:val="Textonotapie"/>
        <w:tabs>
          <w:tab w:val="left" w:pos="720"/>
        </w:tabs>
        <w:rPr>
          <w:b/>
          <w:lang w:val="es-CR"/>
        </w:rPr>
      </w:pPr>
      <w:r>
        <w:rPr>
          <w:rStyle w:val="Refdenotaalpie"/>
        </w:rPr>
        <w:footnoteRef/>
      </w:r>
      <w:r w:rsidRPr="004715DF">
        <w:rPr>
          <w:lang w:val="es-CR"/>
        </w:rPr>
        <w:t xml:space="preserve"> </w:t>
      </w:r>
      <w:r>
        <w:rPr>
          <w:lang w:val="es-CR"/>
        </w:rPr>
        <w:tab/>
        <w:t xml:space="preserve">Tales como: recibir declaraciones; revisar el “expediente N° 859-92 […] que contiene las actuaciones judiciales en el fuer[o] militar en torno a la desaparición de Jeremías Osorio Rivera”; “[o]ficiar a la Secretaría General del Ejército del Perú [para] que inform[e] si [el Teniente Coronel a cargo del Batallón de Infantería Blindado No. 77, que ejecutaba el Plan Operativo Palmira, y el Teniente a cargo de la patrulla del Ejército de la Base Contrasubversiva de Cajatambo que se estableció en la comunidad de Nunumia como parte del referido operativo se encuentran o no en situación de actividad en la referida institución, así como [… su] último domicilio señalad[o]”, así como que el Ministerio Público informe si los referidos militares “registran investigaciones a nivel nacional”; “[u]na vez recibidas las declaraciones […] y recabados mayores indicios sobre el probable paradero del agraviado, pr[ogramar] una reunión de coordinación con una unidad policial especializada”, entre otras. </w:t>
      </w:r>
      <w:r>
        <w:rPr>
          <w:i/>
          <w:lang w:val="es-CR"/>
        </w:rPr>
        <w:t xml:space="preserve">Cfr. </w:t>
      </w:r>
      <w:r>
        <w:rPr>
          <w:lang w:val="es-CR"/>
        </w:rPr>
        <w:t xml:space="preserve">Resolución de la Cuarta Fiscalía Penal Supraprovincial del Ministerio Público del Perú de 3 de agosto de 2015 en el marco del expediente N° 23-2015 (anexo al informe estatal de 15 de agosto de 2016). </w:t>
      </w:r>
    </w:p>
  </w:footnote>
  <w:footnote w:id="13">
    <w:p w14:paraId="2E6EA965" w14:textId="77777777" w:rsidR="00217DD5" w:rsidRPr="00404A2E" w:rsidRDefault="00217DD5" w:rsidP="00BA0D6D">
      <w:pPr>
        <w:pStyle w:val="Textonotapie"/>
        <w:tabs>
          <w:tab w:val="left" w:pos="720"/>
        </w:tabs>
        <w:rPr>
          <w:b/>
          <w:lang w:val="es-CR"/>
        </w:rPr>
      </w:pPr>
      <w:r>
        <w:rPr>
          <w:rStyle w:val="Refdenotaalpie"/>
        </w:rPr>
        <w:footnoteRef/>
      </w:r>
      <w:r w:rsidRPr="003A701D">
        <w:rPr>
          <w:lang w:val="es-CR"/>
        </w:rPr>
        <w:t xml:space="preserve"> </w:t>
      </w:r>
      <w:r>
        <w:rPr>
          <w:lang w:val="es-CR"/>
        </w:rPr>
        <w:tab/>
      </w:r>
      <w:r>
        <w:rPr>
          <w:i/>
          <w:lang w:val="es-CR"/>
        </w:rPr>
        <w:t xml:space="preserve">Cfr. </w:t>
      </w:r>
      <w:r>
        <w:rPr>
          <w:lang w:val="es-CR"/>
        </w:rPr>
        <w:t xml:space="preserve">Informe N° 003-2018-4°FPSP de 29 de enero de 2018 suscrito por el Fiscal Provincial Titular de la Cuarta Fiscalía Penal Supraprovincial del Ministerio Público del Perú (anexo al informe estatal de 26 de febrero de 2018). </w:t>
      </w:r>
    </w:p>
  </w:footnote>
  <w:footnote w:id="14">
    <w:p w14:paraId="66654ECC" w14:textId="77777777" w:rsidR="00217DD5" w:rsidRPr="002B4A29" w:rsidRDefault="00217DD5" w:rsidP="00BA0D6D">
      <w:pPr>
        <w:pStyle w:val="Textonotapie"/>
        <w:tabs>
          <w:tab w:val="left" w:pos="720"/>
        </w:tabs>
        <w:rPr>
          <w:lang w:val="es-CR"/>
        </w:rPr>
      </w:pPr>
      <w:r>
        <w:rPr>
          <w:rStyle w:val="Refdenotaalpie"/>
        </w:rPr>
        <w:footnoteRef/>
      </w:r>
      <w:r w:rsidRPr="002B4A29">
        <w:rPr>
          <w:lang w:val="es-CR"/>
        </w:rPr>
        <w:t xml:space="preserve"> </w:t>
      </w:r>
      <w:r>
        <w:rPr>
          <w:lang w:val="es-CR"/>
        </w:rPr>
        <w:tab/>
      </w:r>
      <w:r>
        <w:rPr>
          <w:i/>
          <w:lang w:val="es-CR"/>
        </w:rPr>
        <w:t xml:space="preserve">Cfr. </w:t>
      </w:r>
      <w:r>
        <w:rPr>
          <w:lang w:val="es-CR"/>
        </w:rPr>
        <w:t xml:space="preserve">Informe N° 86-2019-FSPNC-MP-FN de 21 de enero de 2019 suscrito por el Fiscal Provincial Titular de la Cuarta Fiscalía Penal Supraprovincial del Ministerio Público del Perú (anexo al informe estatal de 26 de marzo de 2019). Algunas de las diligencias entre septiembre de 2018 y enero de 2019 son: recibir declaraciones testimoniales de varias personas, realizar “una constatación en el lugar donde funcionó la Base Contrasubversiva de Cajatambo con la participación de profesionales del Equipo Forense Especializado, a fin de evaluar la posibilidad de realizar una excavación en el lugar para ubicar los restos del agraviado”. </w:t>
      </w:r>
    </w:p>
  </w:footnote>
  <w:footnote w:id="15">
    <w:p w14:paraId="578CD069" w14:textId="77777777" w:rsidR="00217DD5" w:rsidRPr="00A053D4" w:rsidRDefault="00217DD5">
      <w:pPr>
        <w:pStyle w:val="Textonotapie"/>
        <w:rPr>
          <w:lang w:val="es-ES_tradnl"/>
        </w:rPr>
      </w:pPr>
      <w:r>
        <w:rPr>
          <w:rStyle w:val="Refdenotaalpie"/>
        </w:rPr>
        <w:footnoteRef/>
      </w:r>
      <w:r w:rsidRPr="007F66C7">
        <w:rPr>
          <w:lang w:val="es-AR"/>
        </w:rPr>
        <w:t xml:space="preserve"> </w:t>
      </w:r>
      <w:r>
        <w:rPr>
          <w:lang w:val="es-ES_tradnl"/>
        </w:rPr>
        <w:tab/>
      </w:r>
      <w:r>
        <w:rPr>
          <w:i/>
          <w:lang w:val="es-ES_tradnl"/>
        </w:rPr>
        <w:t xml:space="preserve">Cfr. </w:t>
      </w:r>
      <w:r>
        <w:rPr>
          <w:lang w:val="es-ES_tradnl"/>
        </w:rPr>
        <w:t>Oficio N</w:t>
      </w:r>
      <w:r>
        <w:rPr>
          <w:lang w:val="es-CR"/>
        </w:rPr>
        <w:t xml:space="preserve">° 1779-2019/CDJE/PPES de 24 de septiembre de 2019 suscrito por el Fiscal Adjunto Provincial Penal de la Cuarta Fiscalía Penal Supraprovincial del Ministerio Público del Perú (anexo </w:t>
      </w:r>
      <w:r>
        <w:rPr>
          <w:lang w:val="es-ES_tradnl"/>
        </w:rPr>
        <w:t xml:space="preserve">al informe estatal de 3 de octubre de 2019). </w:t>
      </w:r>
    </w:p>
  </w:footnote>
  <w:footnote w:id="16">
    <w:p w14:paraId="50241FFD" w14:textId="77777777" w:rsidR="00217DD5" w:rsidRPr="006F5124" w:rsidRDefault="00217DD5" w:rsidP="00BA0D6D">
      <w:pPr>
        <w:pStyle w:val="Textonotapie"/>
        <w:tabs>
          <w:tab w:val="left" w:pos="720"/>
        </w:tabs>
        <w:rPr>
          <w:lang w:val="es-CR"/>
        </w:rPr>
      </w:pPr>
      <w:r>
        <w:rPr>
          <w:rStyle w:val="Refdenotaalpie"/>
        </w:rPr>
        <w:footnoteRef/>
      </w:r>
      <w:r w:rsidRPr="006F5124">
        <w:rPr>
          <w:lang w:val="es-CR"/>
        </w:rPr>
        <w:t xml:space="preserve"> </w:t>
      </w:r>
      <w:r>
        <w:rPr>
          <w:lang w:val="es-CR"/>
        </w:rPr>
        <w:tab/>
        <w:t xml:space="preserve">Al respecto, mediante resolución de la Cuarta Fiscalía Penal Supraprovincial de 20 de septiembre de 2018, se indicó que “[d]e la revisión de los actuados se desprende que la resolución de archivo provisional se encuentra pendiente [de] notificación a la parte agraviada, por lo que corresponde concretar la notificación de forma inmediata para los fines pertinentes”. </w:t>
      </w:r>
      <w:r>
        <w:rPr>
          <w:i/>
          <w:lang w:val="es-CR"/>
        </w:rPr>
        <w:t xml:space="preserve">Cfr. </w:t>
      </w:r>
      <w:r>
        <w:rPr>
          <w:lang w:val="es-CR"/>
        </w:rPr>
        <w:t>Resolución de 20 de septiembre de 2018 emitida por la Cuarta Fiscalía Penal Supraprovincial del Ministerio Público del Perú (anexo al informe estatal de 26 de marzo de 2019).</w:t>
      </w:r>
    </w:p>
  </w:footnote>
  <w:footnote w:id="17">
    <w:p w14:paraId="14EC1091" w14:textId="77777777" w:rsidR="00217DD5" w:rsidRPr="002C5ED8" w:rsidRDefault="00217DD5" w:rsidP="00BA0D6D">
      <w:pPr>
        <w:pStyle w:val="Textonotapie"/>
        <w:tabs>
          <w:tab w:val="left" w:pos="720"/>
        </w:tabs>
        <w:rPr>
          <w:lang w:val="es-CR"/>
        </w:rPr>
      </w:pPr>
      <w:r>
        <w:rPr>
          <w:rStyle w:val="Refdenotaalpie"/>
        </w:rPr>
        <w:footnoteRef/>
      </w:r>
      <w:r w:rsidRPr="002C5ED8">
        <w:rPr>
          <w:lang w:val="es-CR"/>
        </w:rPr>
        <w:t xml:space="preserve"> </w:t>
      </w:r>
      <w:r>
        <w:rPr>
          <w:lang w:val="es-CR"/>
        </w:rPr>
        <w:tab/>
      </w:r>
      <w:r>
        <w:rPr>
          <w:i/>
          <w:lang w:val="es-CR"/>
        </w:rPr>
        <w:t xml:space="preserve">Cfr. </w:t>
      </w:r>
      <w:r>
        <w:rPr>
          <w:lang w:val="es-CR"/>
        </w:rPr>
        <w:t xml:space="preserve">Escrito de observaciones de los representantes de las víctimas de 28 de mayo de 2019. </w:t>
      </w:r>
    </w:p>
  </w:footnote>
  <w:footnote w:id="18">
    <w:p w14:paraId="3F44547B" w14:textId="77777777" w:rsidR="00217DD5" w:rsidRPr="00AA213A" w:rsidRDefault="00217DD5" w:rsidP="00BB2DD9">
      <w:pPr>
        <w:pStyle w:val="Textonotapie"/>
        <w:rPr>
          <w:lang w:val="es-ES_tradnl"/>
        </w:rPr>
      </w:pPr>
      <w:r>
        <w:rPr>
          <w:rStyle w:val="Refdenotaalpie"/>
        </w:rPr>
        <w:footnoteRef/>
      </w:r>
      <w:r w:rsidRPr="007F66C7">
        <w:rPr>
          <w:lang w:val="es-AR"/>
        </w:rPr>
        <w:t xml:space="preserve"> </w:t>
      </w:r>
      <w:r>
        <w:rPr>
          <w:lang w:val="es-ES_tradnl"/>
        </w:rPr>
        <w:tab/>
      </w:r>
      <w:r w:rsidR="001E4C80">
        <w:rPr>
          <w:lang w:val="es-ES_tradnl"/>
        </w:rPr>
        <w:t xml:space="preserve">La Comisión Interamericana indicó que “la respuesta del Estado no es satisfactoria […] pues le corresponde al mismo Ministerio Público tomar las medidas </w:t>
      </w:r>
      <w:proofErr w:type="gramStart"/>
      <w:r w:rsidR="001E4C80">
        <w:rPr>
          <w:lang w:val="es-ES_tradnl"/>
        </w:rPr>
        <w:t>necesarias[</w:t>
      </w:r>
      <w:proofErr w:type="gramEnd"/>
      <w:r w:rsidR="001E4C80">
        <w:rPr>
          <w:lang w:val="es-ES_tradnl"/>
        </w:rPr>
        <w:t>,] agotar exhaustivamente todas las posibilidades de esclarecimiento y sanción, incluyendo conseguir [los] medios de prueba, aunque no sea fácil acceder a determinados territorios o testigos”. Por su parte, los</w:t>
      </w:r>
      <w:r w:rsidR="00BB2DD9">
        <w:rPr>
          <w:lang w:val="es-ES_tradnl"/>
        </w:rPr>
        <w:t xml:space="preserve"> representantes de las víctimas indicaron que la “</w:t>
      </w:r>
      <w:r w:rsidR="00BB2DD9" w:rsidRPr="00BB2DD9">
        <w:rPr>
          <w:lang w:val="es-ES_tradnl"/>
        </w:rPr>
        <w:t>investigación es aparente,</w:t>
      </w:r>
      <w:r w:rsidR="00BB2DD9">
        <w:rPr>
          <w:lang w:val="es-ES_tradnl"/>
        </w:rPr>
        <w:t xml:space="preserve"> </w:t>
      </w:r>
      <w:r w:rsidR="00BB2DD9" w:rsidRPr="00BB2DD9">
        <w:rPr>
          <w:lang w:val="es-ES_tradnl"/>
        </w:rPr>
        <w:t>no tiene como finalidad conocer la verdad de los hechos y mucho menos la</w:t>
      </w:r>
      <w:r w:rsidR="00BB2DD9">
        <w:rPr>
          <w:lang w:val="es-ES_tradnl"/>
        </w:rPr>
        <w:t xml:space="preserve"> </w:t>
      </w:r>
      <w:r w:rsidR="00BB2DD9" w:rsidRPr="00BB2DD9">
        <w:rPr>
          <w:lang w:val="es-ES_tradnl"/>
        </w:rPr>
        <w:t>ubicación de los restos</w:t>
      </w:r>
      <w:r w:rsidR="00BB2DD9">
        <w:rPr>
          <w:lang w:val="es-ES_tradnl"/>
        </w:rPr>
        <w:t>” y que, por tanto, “[dicha]</w:t>
      </w:r>
      <w:r w:rsidR="00BB2DD9" w:rsidRPr="00BB2DD9">
        <w:rPr>
          <w:lang w:val="es-ES_tradnl"/>
        </w:rPr>
        <w:t xml:space="preserve"> representación coincide con la posición de la </w:t>
      </w:r>
      <w:r w:rsidR="00BB2DD9">
        <w:rPr>
          <w:lang w:val="es-ES_tradnl"/>
        </w:rPr>
        <w:t>[Comisión IDH]</w:t>
      </w:r>
      <w:r w:rsidR="00BB2DD9" w:rsidRPr="00BB2DD9">
        <w:rPr>
          <w:lang w:val="es-ES_tradnl"/>
        </w:rPr>
        <w:t xml:space="preserve"> al</w:t>
      </w:r>
      <w:r w:rsidR="00BB2DD9">
        <w:rPr>
          <w:lang w:val="es-ES_tradnl"/>
        </w:rPr>
        <w:t xml:space="preserve"> </w:t>
      </w:r>
      <w:r w:rsidR="00BB2DD9" w:rsidRPr="00BB2DD9">
        <w:rPr>
          <w:lang w:val="es-ES_tradnl"/>
        </w:rPr>
        <w:t>observar que la respuesta de parte del Estado no es satisfactoria en cuanto a la</w:t>
      </w:r>
      <w:r w:rsidR="00BB2DD9">
        <w:rPr>
          <w:lang w:val="es-ES_tradnl"/>
        </w:rPr>
        <w:t xml:space="preserve"> </w:t>
      </w:r>
      <w:r w:rsidR="00BB2DD9" w:rsidRPr="00BB2DD9">
        <w:rPr>
          <w:lang w:val="es-ES_tradnl"/>
        </w:rPr>
        <w:t>obligación que se desprende de la sentencia de la Corte IDH</w:t>
      </w:r>
      <w:r w:rsidR="00BB2DD9">
        <w:rPr>
          <w:lang w:val="es-ES_tradnl"/>
        </w:rPr>
        <w:t xml:space="preserve">”. </w:t>
      </w:r>
      <w:r>
        <w:rPr>
          <w:i/>
          <w:lang w:val="es-CR"/>
        </w:rPr>
        <w:t xml:space="preserve">Cfr. </w:t>
      </w:r>
      <w:r>
        <w:rPr>
          <w:lang w:val="es-CR"/>
        </w:rPr>
        <w:t>Escrito de observaciones de la Comisión Interameri</w:t>
      </w:r>
      <w:r w:rsidR="001E4C80">
        <w:rPr>
          <w:lang w:val="es-CR"/>
        </w:rPr>
        <w:t>cana de 4 de septiembre de 2018 y escrito de observaciones de</w:t>
      </w:r>
      <w:r w:rsidR="001E4C80" w:rsidRPr="001E4C80">
        <w:rPr>
          <w:lang w:val="es-CR"/>
        </w:rPr>
        <w:t xml:space="preserve"> </w:t>
      </w:r>
      <w:r w:rsidR="001E4C80">
        <w:rPr>
          <w:lang w:val="es-CR"/>
        </w:rPr>
        <w:t>los representantes de las víctimas de 28 de mayo de 2019.</w:t>
      </w:r>
    </w:p>
  </w:footnote>
  <w:footnote w:id="19">
    <w:p w14:paraId="3B69C94D" w14:textId="77777777" w:rsidR="00217DD5" w:rsidRPr="007E01F9" w:rsidRDefault="00217DD5" w:rsidP="00BA0D6D">
      <w:pPr>
        <w:pStyle w:val="Textonotapie"/>
        <w:tabs>
          <w:tab w:val="left" w:pos="720"/>
        </w:tabs>
        <w:rPr>
          <w:lang w:val="es-CR"/>
        </w:rPr>
      </w:pPr>
      <w:r>
        <w:rPr>
          <w:rStyle w:val="Refdenotaalpie"/>
        </w:rPr>
        <w:footnoteRef/>
      </w:r>
      <w:r w:rsidRPr="007831C8">
        <w:rPr>
          <w:lang w:val="es-CR"/>
        </w:rPr>
        <w:t xml:space="preserve"> </w:t>
      </w:r>
      <w:r>
        <w:rPr>
          <w:lang w:val="es-CR"/>
        </w:rPr>
        <w:tab/>
        <w:t>Los representantes indicaron que “esta investigación […] no tiene como finalidad conocer la verdad de los hechos y mucho menos la ubicación de los restos”,</w:t>
      </w:r>
      <w:r>
        <w:rPr>
          <w:b/>
          <w:lang w:val="es-CR"/>
        </w:rPr>
        <w:t xml:space="preserve"> </w:t>
      </w:r>
      <w:r>
        <w:rPr>
          <w:lang w:val="es-CR"/>
        </w:rPr>
        <w:t xml:space="preserve">mientras que la Comisión Interamericana indicó que “es inadmisible que la investigación haya sido archivada por la falta de cumplimiento del propio Ministerio Público con su deber de llevar a cabo una investigación exhaustiva, oficiosa y dirigida a determinar la verdad de los hechos y los eventuales responsables”. La Comisión también señaló que “le corresponde al mismo Ministerio Público tomar las medidas </w:t>
      </w:r>
      <w:proofErr w:type="gramStart"/>
      <w:r>
        <w:rPr>
          <w:lang w:val="es-CR"/>
        </w:rPr>
        <w:t>necesarias[</w:t>
      </w:r>
      <w:proofErr w:type="gramEnd"/>
      <w:r>
        <w:rPr>
          <w:lang w:val="es-CR"/>
        </w:rPr>
        <w:t xml:space="preserve">,] agotar exhaustivamente todas las posibilidades de esclarecimiento y sanción, incluyendo conseguir […] medios de prueba, aunque no sea fácil acceder a determinados territorios o testigos. Dicha responsabilidad se ve reforzada cuando […] se trata de una desaparición efectuada por agentes del </w:t>
      </w:r>
      <w:proofErr w:type="gramStart"/>
      <w:r>
        <w:rPr>
          <w:lang w:val="es-CR"/>
        </w:rPr>
        <w:t>Estado[</w:t>
      </w:r>
      <w:proofErr w:type="gramEnd"/>
      <w:r>
        <w:rPr>
          <w:lang w:val="es-CR"/>
        </w:rPr>
        <w:t xml:space="preserve">,] por lo que se presume que la información relevante para avanzar en la investigación reposa en manos del mismo Estado”. </w:t>
      </w:r>
      <w:r>
        <w:rPr>
          <w:i/>
          <w:lang w:val="es-CR"/>
        </w:rPr>
        <w:t xml:space="preserve">Cfr. </w:t>
      </w:r>
      <w:r>
        <w:rPr>
          <w:lang w:val="es-CR"/>
        </w:rPr>
        <w:t>Escrito de observaciones de la Comisión de 4 de septiembre de 2018 y escrito de observaciones de los representantes de las víctimas de 28 de mayo de 2019.</w:t>
      </w:r>
    </w:p>
  </w:footnote>
  <w:footnote w:id="20">
    <w:p w14:paraId="645C67E9" w14:textId="77777777" w:rsidR="00217DD5" w:rsidRPr="007831C8" w:rsidRDefault="00217DD5" w:rsidP="00BA0D6D">
      <w:pPr>
        <w:pStyle w:val="Textonotapie"/>
        <w:tabs>
          <w:tab w:val="left" w:pos="720"/>
        </w:tabs>
        <w:rPr>
          <w:b/>
          <w:lang w:val="es-CR"/>
        </w:rPr>
      </w:pPr>
      <w:r w:rsidRPr="007F3815">
        <w:rPr>
          <w:rStyle w:val="Refdenotaalpie"/>
        </w:rPr>
        <w:footnoteRef/>
      </w:r>
      <w:r w:rsidRPr="007F3815">
        <w:rPr>
          <w:lang w:val="es-CR"/>
        </w:rPr>
        <w:t xml:space="preserve"> </w:t>
      </w:r>
      <w:r w:rsidRPr="007831C8">
        <w:rPr>
          <w:b/>
          <w:lang w:val="es-CR"/>
        </w:rPr>
        <w:tab/>
      </w:r>
      <w:r w:rsidRPr="007831C8">
        <w:rPr>
          <w:i/>
          <w:lang w:val="es-CR"/>
        </w:rPr>
        <w:t>Cfr</w:t>
      </w:r>
      <w:r w:rsidRPr="007831C8">
        <w:rPr>
          <w:lang w:val="es-CR"/>
        </w:rPr>
        <w:t xml:space="preserve">. </w:t>
      </w:r>
      <w:r w:rsidRPr="00A20F1F">
        <w:rPr>
          <w:i/>
          <w:lang w:val="es-CR"/>
        </w:rPr>
        <w:t>C</w:t>
      </w:r>
      <w:r w:rsidRPr="00A20F1F">
        <w:rPr>
          <w:rStyle w:val="Textoennegrita"/>
          <w:b w:val="0"/>
          <w:i/>
          <w:color w:val="000000"/>
          <w:shd w:val="clear" w:color="auto" w:fill="FFFFFF"/>
          <w:lang w:val="es-CR"/>
        </w:rPr>
        <w:t>aso Velásquez Rodríguez Vs. Honduras. Fondo</w:t>
      </w:r>
      <w:r w:rsidRPr="007831C8">
        <w:rPr>
          <w:rStyle w:val="Textoennegrita"/>
          <w:b w:val="0"/>
          <w:color w:val="000000"/>
          <w:shd w:val="clear" w:color="auto" w:fill="FFFFFF"/>
          <w:lang w:val="es-CR"/>
        </w:rPr>
        <w:t xml:space="preserve">. Sentencia de 29 de julio de 1988. Serie C No. 4, párr. 177 y </w:t>
      </w:r>
      <w:r w:rsidRPr="007831C8">
        <w:rPr>
          <w:rStyle w:val="Textoennegrita"/>
          <w:b w:val="0"/>
          <w:i/>
          <w:color w:val="000000"/>
          <w:shd w:val="clear" w:color="auto" w:fill="FFFFFF"/>
          <w:lang w:val="es-CR"/>
        </w:rPr>
        <w:t>Caso Alvarado Espinoza y otros Vs. México. Fondo, Reparaciones y Costas.</w:t>
      </w:r>
      <w:r w:rsidRPr="007831C8">
        <w:rPr>
          <w:rStyle w:val="Textoennegrita"/>
          <w:b w:val="0"/>
          <w:color w:val="000000"/>
          <w:shd w:val="clear" w:color="auto" w:fill="FFFFFF"/>
          <w:lang w:val="es-CR"/>
        </w:rPr>
        <w:t xml:space="preserve"> Sentencia de 28 de noviembre de 2018. Serie C No. 370, párr. 240.</w:t>
      </w:r>
    </w:p>
  </w:footnote>
  <w:footnote w:id="21">
    <w:p w14:paraId="480B46C9" w14:textId="77777777" w:rsidR="00217DD5" w:rsidRPr="007F3815" w:rsidRDefault="00217DD5" w:rsidP="00BA0D6D">
      <w:pPr>
        <w:pStyle w:val="Textonotapie"/>
        <w:tabs>
          <w:tab w:val="left" w:pos="720"/>
        </w:tabs>
        <w:rPr>
          <w:lang w:val="es-CR"/>
        </w:rPr>
      </w:pPr>
      <w:r>
        <w:rPr>
          <w:rStyle w:val="Refdenotaalpie"/>
        </w:rPr>
        <w:footnoteRef/>
      </w:r>
      <w:r w:rsidRPr="007F3815">
        <w:rPr>
          <w:lang w:val="es-CR"/>
        </w:rPr>
        <w:t xml:space="preserve"> </w:t>
      </w:r>
      <w:r>
        <w:rPr>
          <w:lang w:val="es-CR"/>
        </w:rPr>
        <w:tab/>
      </w:r>
      <w:r>
        <w:rPr>
          <w:i/>
          <w:lang w:val="es-CR"/>
        </w:rPr>
        <w:t>Cfr.</w:t>
      </w:r>
      <w:r w:rsidRPr="00933FE7">
        <w:rPr>
          <w:i/>
          <w:color w:val="000000"/>
          <w:szCs w:val="16"/>
          <w:lang w:val="es-CR"/>
        </w:rPr>
        <w:t xml:space="preserve"> </w:t>
      </w:r>
      <w:r>
        <w:rPr>
          <w:i/>
          <w:color w:val="000000"/>
          <w:szCs w:val="16"/>
          <w:lang w:val="es-CR"/>
        </w:rPr>
        <w:t>C</w:t>
      </w:r>
      <w:r w:rsidRPr="00DB7EEE">
        <w:rPr>
          <w:bCs/>
          <w:i/>
          <w:color w:val="000000"/>
          <w:szCs w:val="16"/>
          <w:lang w:val="es-CR"/>
        </w:rPr>
        <w:t>aso Osor</w:t>
      </w:r>
      <w:r>
        <w:rPr>
          <w:bCs/>
          <w:i/>
          <w:color w:val="000000"/>
          <w:szCs w:val="16"/>
          <w:lang w:val="es-CR"/>
        </w:rPr>
        <w:t xml:space="preserve">io Rivera y familiares Vs. Perú, supra </w:t>
      </w:r>
      <w:r>
        <w:rPr>
          <w:bCs/>
          <w:color w:val="000000"/>
          <w:szCs w:val="16"/>
          <w:lang w:val="es-CR"/>
        </w:rPr>
        <w:t>nota 1, párr. 244.</w:t>
      </w:r>
    </w:p>
  </w:footnote>
  <w:footnote w:id="22">
    <w:p w14:paraId="73A7717F" w14:textId="77777777" w:rsidR="00217DD5" w:rsidRPr="00DB77F7" w:rsidRDefault="00217DD5" w:rsidP="00BA0D6D">
      <w:pPr>
        <w:pStyle w:val="Textonotapie"/>
        <w:tabs>
          <w:tab w:val="left" w:pos="720"/>
        </w:tabs>
        <w:rPr>
          <w:lang w:val="es-CR"/>
        </w:rPr>
      </w:pPr>
      <w:r>
        <w:rPr>
          <w:rStyle w:val="Refdenotaalpie"/>
        </w:rPr>
        <w:footnoteRef/>
      </w:r>
      <w:r w:rsidRPr="00DB77F7">
        <w:rPr>
          <w:lang w:val="es-CR"/>
        </w:rPr>
        <w:t xml:space="preserve"> </w:t>
      </w:r>
      <w:r>
        <w:rPr>
          <w:lang w:val="es-CR"/>
        </w:rPr>
        <w:tab/>
      </w:r>
      <w:r>
        <w:rPr>
          <w:i/>
          <w:lang w:val="es-CR"/>
        </w:rPr>
        <w:t xml:space="preserve">Cfr. Caso Osorio Rivera y familiares, supra </w:t>
      </w:r>
      <w:r>
        <w:rPr>
          <w:lang w:val="es-CR"/>
        </w:rPr>
        <w:t xml:space="preserve">nota 1, párrs. 249-250. </w:t>
      </w:r>
    </w:p>
  </w:footnote>
  <w:footnote w:id="23">
    <w:p w14:paraId="79BA053A" w14:textId="77777777" w:rsidR="00217DD5" w:rsidRPr="005A6D61" w:rsidRDefault="00217DD5" w:rsidP="00BA0D6D">
      <w:pPr>
        <w:pStyle w:val="Textonotapie"/>
        <w:tabs>
          <w:tab w:val="left" w:pos="720"/>
        </w:tabs>
        <w:rPr>
          <w:b/>
          <w:lang w:val="es-CR"/>
        </w:rPr>
      </w:pPr>
      <w:r>
        <w:rPr>
          <w:rStyle w:val="Refdenotaalpie"/>
        </w:rPr>
        <w:footnoteRef/>
      </w:r>
      <w:r w:rsidRPr="005A6D61">
        <w:rPr>
          <w:lang w:val="es-CR"/>
        </w:rPr>
        <w:t xml:space="preserve"> </w:t>
      </w:r>
      <w:r>
        <w:rPr>
          <w:lang w:val="es-CR"/>
        </w:rPr>
        <w:tab/>
        <w:t xml:space="preserve">El Estado afirmó que dicha Ley “se enmarca dentro de una política integral del Estado, cuyo objetivo es brindar todo el apoyo material y logístico para que los deudos puedan encontrar a sus familiares desaparecidos en el período 1980-2000, a través de la búsqueda, recuperación, análisis, identificación y restitución de restos humanos”. </w:t>
      </w:r>
      <w:r>
        <w:rPr>
          <w:i/>
          <w:lang w:val="es-CR"/>
        </w:rPr>
        <w:t xml:space="preserve">Cfr. </w:t>
      </w:r>
      <w:r>
        <w:rPr>
          <w:lang w:val="es-CR"/>
        </w:rPr>
        <w:t xml:space="preserve">Informe estatal de 26 de febrero de 2018. </w:t>
      </w:r>
    </w:p>
  </w:footnote>
  <w:footnote w:id="24">
    <w:p w14:paraId="70677814" w14:textId="77777777" w:rsidR="00217DD5" w:rsidRPr="00F14A52" w:rsidRDefault="00217DD5" w:rsidP="00BA0D6D">
      <w:pPr>
        <w:pStyle w:val="Textonotapie"/>
        <w:tabs>
          <w:tab w:val="left" w:pos="720"/>
        </w:tabs>
        <w:rPr>
          <w:b/>
          <w:lang w:val="es-CR"/>
        </w:rPr>
      </w:pPr>
      <w:r>
        <w:rPr>
          <w:rStyle w:val="Refdenotaalpie"/>
        </w:rPr>
        <w:footnoteRef/>
      </w:r>
      <w:r w:rsidRPr="00F14A52">
        <w:rPr>
          <w:lang w:val="es-CR"/>
        </w:rPr>
        <w:t xml:space="preserve"> </w:t>
      </w:r>
      <w:r>
        <w:rPr>
          <w:lang w:val="es-CR"/>
        </w:rPr>
        <w:tab/>
      </w:r>
      <w:r>
        <w:rPr>
          <w:i/>
          <w:lang w:val="es-CR"/>
        </w:rPr>
        <w:t xml:space="preserve">Cfr. </w:t>
      </w:r>
      <w:r>
        <w:rPr>
          <w:lang w:val="es-CR"/>
        </w:rPr>
        <w:t xml:space="preserve">Resolución Ministerial N° 0363-2016-JUS publicada en el Diario Oficial El Peruano el 25 de diciembre de 2016, mediante la cual se aprueba el “Plan Nacional para la búsqueda de personas desaparecidas (1980-2000)” (anexos al informe estatal de 26 de febrero de 2018). </w:t>
      </w:r>
    </w:p>
  </w:footnote>
  <w:footnote w:id="25">
    <w:p w14:paraId="4C769AC4" w14:textId="77777777" w:rsidR="00217DD5" w:rsidRPr="00F14A52" w:rsidRDefault="00217DD5" w:rsidP="00BA0D6D">
      <w:pPr>
        <w:pStyle w:val="Textonotapie"/>
        <w:tabs>
          <w:tab w:val="left" w:pos="720"/>
        </w:tabs>
        <w:rPr>
          <w:b/>
          <w:lang w:val="es-CR"/>
        </w:rPr>
      </w:pPr>
      <w:r>
        <w:rPr>
          <w:rStyle w:val="Refdenotaalpie"/>
        </w:rPr>
        <w:footnoteRef/>
      </w:r>
      <w:r w:rsidRPr="00F14A52">
        <w:rPr>
          <w:lang w:val="es-CR"/>
        </w:rPr>
        <w:t xml:space="preserve"> </w:t>
      </w:r>
      <w:r>
        <w:rPr>
          <w:lang w:val="es-CR"/>
        </w:rPr>
        <w:tab/>
      </w:r>
      <w:r>
        <w:rPr>
          <w:i/>
          <w:lang w:val="es-CR"/>
        </w:rPr>
        <w:t xml:space="preserve">Cfr. </w:t>
      </w:r>
      <w:r>
        <w:rPr>
          <w:lang w:val="es-CR"/>
        </w:rPr>
        <w:t xml:space="preserve">Resolución de la Fiscalía de la Nación N° 5244-2016-MP-FN de 30 de diciembre de 2016 mediante la cual se aprueba la “Guía práctica </w:t>
      </w:r>
      <w:r w:rsidRPr="00F14A52">
        <w:rPr>
          <w:lang w:val="es-CR"/>
        </w:rPr>
        <w:t>para la Recuperación y Análisis de Restos Humanos en Contextos de Violaciones a los Derechos Humanos e Infracciones contra el Derecho Internacional Humanitario</w:t>
      </w:r>
      <w:r>
        <w:rPr>
          <w:lang w:val="es-CR"/>
        </w:rPr>
        <w:t xml:space="preserve">” (anexos al informe estatal de 26 de febrero de 2018). </w:t>
      </w:r>
    </w:p>
  </w:footnote>
  <w:footnote w:id="26">
    <w:p w14:paraId="7D1C22A6" w14:textId="77777777" w:rsidR="00217DD5" w:rsidRPr="00616108" w:rsidRDefault="00217DD5" w:rsidP="00BA0D6D">
      <w:pPr>
        <w:pStyle w:val="Textonotapie"/>
        <w:tabs>
          <w:tab w:val="left" w:pos="720"/>
        </w:tabs>
        <w:rPr>
          <w:b/>
          <w:lang w:val="es-CR"/>
        </w:rPr>
      </w:pPr>
      <w:r>
        <w:rPr>
          <w:rStyle w:val="Refdenotaalpie"/>
        </w:rPr>
        <w:footnoteRef/>
      </w:r>
      <w:r w:rsidRPr="00F14A52">
        <w:rPr>
          <w:lang w:val="es-CR"/>
        </w:rPr>
        <w:t xml:space="preserve"> </w:t>
      </w:r>
      <w:r>
        <w:rPr>
          <w:lang w:val="es-CR"/>
        </w:rPr>
        <w:tab/>
      </w:r>
      <w:r>
        <w:rPr>
          <w:i/>
          <w:lang w:val="es-CR"/>
        </w:rPr>
        <w:t xml:space="preserve">Cfr. </w:t>
      </w:r>
      <w:r>
        <w:rPr>
          <w:lang w:val="es-CR"/>
        </w:rPr>
        <w:t>Decreto Supremo N° 013-2017-JUS publicado en el Diario Oficial El Peruano el 22 de junio de 2017 mediante el cual se aprueba el “</w:t>
      </w:r>
      <w:r w:rsidRPr="00F14A52">
        <w:rPr>
          <w:lang w:val="es-CR"/>
        </w:rPr>
        <w:t>Reglamento de Organización y Funciones del Ministerio de Justicia y Derechos Humanos</w:t>
      </w:r>
      <w:r>
        <w:rPr>
          <w:lang w:val="es-CR"/>
        </w:rPr>
        <w:t xml:space="preserve">” (anexos al informe estatal de 26 de febrero de 2018). </w:t>
      </w:r>
    </w:p>
  </w:footnote>
  <w:footnote w:id="27">
    <w:p w14:paraId="3B6A2527" w14:textId="77777777" w:rsidR="00217DD5" w:rsidRPr="005C6635" w:rsidRDefault="00217DD5" w:rsidP="00BA0D6D">
      <w:pPr>
        <w:pStyle w:val="Textonotapie"/>
        <w:tabs>
          <w:tab w:val="left" w:pos="720"/>
        </w:tabs>
        <w:rPr>
          <w:b/>
          <w:lang w:val="es-CR"/>
        </w:rPr>
      </w:pPr>
      <w:r>
        <w:rPr>
          <w:rStyle w:val="Refdenotaalpie"/>
        </w:rPr>
        <w:footnoteRef/>
      </w:r>
      <w:r w:rsidRPr="005C6635">
        <w:rPr>
          <w:lang w:val="es-CR"/>
        </w:rPr>
        <w:t xml:space="preserve"> </w:t>
      </w:r>
      <w:r>
        <w:rPr>
          <w:lang w:val="es-CR"/>
        </w:rPr>
        <w:tab/>
      </w:r>
      <w:r>
        <w:rPr>
          <w:i/>
          <w:lang w:val="es-CR"/>
        </w:rPr>
        <w:t xml:space="preserve">Cfr. </w:t>
      </w:r>
      <w:r>
        <w:rPr>
          <w:lang w:val="es-CR"/>
        </w:rPr>
        <w:t xml:space="preserve">Artículo 88 del </w:t>
      </w:r>
      <w:r w:rsidRPr="00F14A52">
        <w:rPr>
          <w:lang w:val="es-CR"/>
        </w:rPr>
        <w:t>Reglamento de Organización y Funciones del Ministerio de Justicia y Derechos Humanos</w:t>
      </w:r>
      <w:r>
        <w:rPr>
          <w:lang w:val="es-CR"/>
        </w:rPr>
        <w:t xml:space="preserve">, </w:t>
      </w:r>
      <w:r>
        <w:rPr>
          <w:i/>
          <w:lang w:val="es-CR"/>
        </w:rPr>
        <w:t xml:space="preserve">supra </w:t>
      </w:r>
      <w:r>
        <w:rPr>
          <w:lang w:val="es-CR"/>
        </w:rPr>
        <w:t xml:space="preserve">nota 26. </w:t>
      </w:r>
    </w:p>
  </w:footnote>
  <w:footnote w:id="28">
    <w:p w14:paraId="722023E7" w14:textId="77777777" w:rsidR="00217DD5" w:rsidRPr="00BE58A2" w:rsidRDefault="00217DD5" w:rsidP="00BA0D6D">
      <w:pPr>
        <w:pStyle w:val="Textonotapie"/>
        <w:tabs>
          <w:tab w:val="left" w:pos="720"/>
        </w:tabs>
        <w:rPr>
          <w:b/>
          <w:lang w:val="es-CR"/>
        </w:rPr>
      </w:pPr>
      <w:r>
        <w:rPr>
          <w:rStyle w:val="Refdenotaalpie"/>
        </w:rPr>
        <w:footnoteRef/>
      </w:r>
      <w:r w:rsidRPr="001B6F30">
        <w:rPr>
          <w:lang w:val="es-CR"/>
        </w:rPr>
        <w:t xml:space="preserve"> </w:t>
      </w:r>
      <w:r>
        <w:rPr>
          <w:lang w:val="es-CR"/>
        </w:rPr>
        <w:tab/>
      </w:r>
      <w:r>
        <w:rPr>
          <w:i/>
          <w:lang w:val="es-CR"/>
        </w:rPr>
        <w:t xml:space="preserve">Cfr. </w:t>
      </w:r>
      <w:r>
        <w:rPr>
          <w:lang w:val="es-CR"/>
        </w:rPr>
        <w:t xml:space="preserve">Resolución Directoral N° 001-2017-JUS/DGBPD publicada en el Diario Oficial El Peruano de 31 de octubre de 2017 (anexo al informe estatal de 26 de febrero de 2018). </w:t>
      </w:r>
    </w:p>
  </w:footnote>
  <w:footnote w:id="29">
    <w:p w14:paraId="560E53D8" w14:textId="77777777" w:rsidR="00217DD5" w:rsidRPr="00415760" w:rsidRDefault="00217DD5">
      <w:pPr>
        <w:pStyle w:val="Textonotapie"/>
        <w:rPr>
          <w:lang w:val="es-ES_tradnl"/>
        </w:rPr>
      </w:pPr>
      <w:r>
        <w:rPr>
          <w:rStyle w:val="Refdenotaalpie"/>
        </w:rPr>
        <w:footnoteRef/>
      </w:r>
      <w:r w:rsidRPr="007F66C7">
        <w:rPr>
          <w:lang w:val="es-AR"/>
        </w:rPr>
        <w:t xml:space="preserve"> </w:t>
      </w:r>
      <w:r>
        <w:rPr>
          <w:lang w:val="es-ES_tradnl"/>
        </w:rPr>
        <w:tab/>
      </w:r>
      <w:r w:rsidRPr="00415760">
        <w:rPr>
          <w:i/>
          <w:lang w:val="es-ES_tradnl"/>
        </w:rPr>
        <w:t>Cfr</w:t>
      </w:r>
      <w:r>
        <w:rPr>
          <w:lang w:val="es-ES_tradnl"/>
        </w:rPr>
        <w:t>. Informe estatal de 3 de octubre de 2019.</w:t>
      </w:r>
    </w:p>
  </w:footnote>
  <w:footnote w:id="30">
    <w:p w14:paraId="7EB37A47" w14:textId="77777777" w:rsidR="00217DD5" w:rsidRPr="007D3428" w:rsidRDefault="00217DD5" w:rsidP="00BA0D6D">
      <w:pPr>
        <w:pStyle w:val="Textonotapie"/>
        <w:tabs>
          <w:tab w:val="left" w:pos="720"/>
        </w:tabs>
        <w:rPr>
          <w:lang w:val="es-CR"/>
        </w:rPr>
      </w:pPr>
      <w:r>
        <w:rPr>
          <w:rStyle w:val="Refdenotaalpie"/>
        </w:rPr>
        <w:footnoteRef/>
      </w:r>
      <w:r w:rsidRPr="00502240">
        <w:rPr>
          <w:lang w:val="es-CR"/>
        </w:rPr>
        <w:t xml:space="preserve"> </w:t>
      </w:r>
      <w:r>
        <w:rPr>
          <w:lang w:val="es-CR"/>
        </w:rPr>
        <w:tab/>
        <w:t xml:space="preserve">En este sentido, en el punto resolutivo 7 de la Sentencia emitida para el caso </w:t>
      </w:r>
      <w:r>
        <w:rPr>
          <w:i/>
          <w:lang w:val="es-CR"/>
        </w:rPr>
        <w:t>Anzualdo Castro Vs. Perú</w:t>
      </w:r>
      <w:r>
        <w:rPr>
          <w:lang w:val="es-CR"/>
        </w:rPr>
        <w:t xml:space="preserve"> el Tribunal ordenó una garantía de no repetición relativa a que el Estado “</w:t>
      </w:r>
      <w:r w:rsidRPr="00575D18">
        <w:rPr>
          <w:lang w:val="es-CR"/>
        </w:rPr>
        <w:t>deberá continuar realizando todos los esfuerzos necesarios, y</w:t>
      </w:r>
      <w:r>
        <w:rPr>
          <w:lang w:val="es-CR"/>
        </w:rPr>
        <w:t xml:space="preserve"> </w:t>
      </w:r>
      <w:r w:rsidRPr="00575D18">
        <w:rPr>
          <w:lang w:val="es-CR"/>
        </w:rPr>
        <w:t>adoptar las medidas administrativas, legales y políticas públicas que correspondan,</w:t>
      </w:r>
      <w:r>
        <w:rPr>
          <w:lang w:val="es-CR"/>
        </w:rPr>
        <w:t xml:space="preserve"> </w:t>
      </w:r>
      <w:r w:rsidRPr="00575D18">
        <w:rPr>
          <w:lang w:val="es-CR"/>
        </w:rPr>
        <w:t>para determinar e identificar a personas desaparecidas durante el conflicto interno a</w:t>
      </w:r>
      <w:r>
        <w:rPr>
          <w:lang w:val="es-CR"/>
        </w:rPr>
        <w:t xml:space="preserve"> </w:t>
      </w:r>
      <w:r w:rsidRPr="00575D18">
        <w:rPr>
          <w:lang w:val="es-CR"/>
        </w:rPr>
        <w:t>través de los medios técnicos y científicos más eficaces y, en la medida de lo posible</w:t>
      </w:r>
      <w:r>
        <w:rPr>
          <w:lang w:val="es-CR"/>
        </w:rPr>
        <w:t xml:space="preserve"> </w:t>
      </w:r>
      <w:r w:rsidRPr="00575D18">
        <w:rPr>
          <w:lang w:val="es-CR"/>
        </w:rPr>
        <w:t>y científicamente recomendable, mediante la estandarización de los criterios de</w:t>
      </w:r>
      <w:r>
        <w:rPr>
          <w:lang w:val="es-CR"/>
        </w:rPr>
        <w:t xml:space="preserve"> </w:t>
      </w:r>
      <w:r w:rsidRPr="00575D18">
        <w:rPr>
          <w:lang w:val="es-CR"/>
        </w:rPr>
        <w:t>investigación, para lo cual es conveniente el establecimiento de un sistema de</w:t>
      </w:r>
      <w:r>
        <w:rPr>
          <w:lang w:val="es-CR"/>
        </w:rPr>
        <w:t xml:space="preserve"> </w:t>
      </w:r>
      <w:r w:rsidRPr="00575D18">
        <w:rPr>
          <w:lang w:val="es-CR"/>
        </w:rPr>
        <w:t>información genética que permita la determinación y esclarecimiento de la filiación</w:t>
      </w:r>
      <w:r>
        <w:rPr>
          <w:lang w:val="es-CR"/>
        </w:rPr>
        <w:t xml:space="preserve"> </w:t>
      </w:r>
      <w:r w:rsidRPr="00575D18">
        <w:rPr>
          <w:lang w:val="es-CR"/>
        </w:rPr>
        <w:t>de las víctimas y su identificación</w:t>
      </w:r>
      <w:r>
        <w:rPr>
          <w:lang w:val="es-CR"/>
        </w:rPr>
        <w:t xml:space="preserve">”. </w:t>
      </w:r>
      <w:r>
        <w:rPr>
          <w:i/>
          <w:lang w:val="es-CR"/>
        </w:rPr>
        <w:t xml:space="preserve">Cfr. </w:t>
      </w:r>
      <w:r w:rsidRPr="007D3428">
        <w:rPr>
          <w:i/>
          <w:lang w:val="es-CR"/>
        </w:rPr>
        <w:t>Caso Anzualdo Castro Vs. Perú. Excepción Preliminar, Fondo, Reparaciones y Costas</w:t>
      </w:r>
      <w:r w:rsidRPr="007D3428">
        <w:rPr>
          <w:lang w:val="es-CR"/>
        </w:rPr>
        <w:t>. Sentencia de 22 de septiembre de 2009. Serie C No. 202</w:t>
      </w:r>
      <w:r>
        <w:rPr>
          <w:lang w:val="es-CR"/>
        </w:rPr>
        <w:t xml:space="preserve">, párrs. 188-189 y </w:t>
      </w:r>
      <w:r w:rsidRPr="007D3428">
        <w:rPr>
          <w:i/>
          <w:lang w:val="es-CR"/>
        </w:rPr>
        <w:t xml:space="preserve">Caso Anzualdo Castro Vs. Perú. Supervisión de Cumplimiento de Sentencia. </w:t>
      </w:r>
      <w:r w:rsidRPr="007D3428">
        <w:rPr>
          <w:lang w:val="es-CR"/>
        </w:rPr>
        <w:t xml:space="preserve">Resolución de la Corte Interamericana de Derechos </w:t>
      </w:r>
      <w:r>
        <w:rPr>
          <w:lang w:val="es-CR"/>
        </w:rPr>
        <w:t xml:space="preserve">Humanos de 21 de agosto de 2013, Considerandos 17 a 20. </w:t>
      </w:r>
    </w:p>
  </w:footnote>
  <w:footnote w:id="31">
    <w:p w14:paraId="4666FCD0" w14:textId="77777777" w:rsidR="00217DD5" w:rsidRPr="00D96F4E" w:rsidRDefault="00217DD5" w:rsidP="00BA0D6D">
      <w:pPr>
        <w:pStyle w:val="Textonotapie"/>
        <w:tabs>
          <w:tab w:val="left" w:pos="720"/>
        </w:tabs>
        <w:rPr>
          <w:lang w:val="es-CR"/>
        </w:rPr>
      </w:pPr>
      <w:r>
        <w:rPr>
          <w:rStyle w:val="Refdenotaalpie"/>
        </w:rPr>
        <w:footnoteRef/>
      </w:r>
      <w:r w:rsidRPr="00D96F4E">
        <w:rPr>
          <w:lang w:val="es-CR"/>
        </w:rPr>
        <w:t xml:space="preserve"> </w:t>
      </w:r>
      <w:r>
        <w:rPr>
          <w:lang w:val="es-CR"/>
        </w:rPr>
        <w:tab/>
      </w:r>
      <w:r>
        <w:rPr>
          <w:i/>
          <w:lang w:val="es-CR"/>
        </w:rPr>
        <w:t xml:space="preserve">Cfr. </w:t>
      </w:r>
      <w:r>
        <w:rPr>
          <w:lang w:val="es-CR"/>
        </w:rPr>
        <w:t xml:space="preserve">Informes estatales de 5 de enero de 2015, 15 de agosto de 2016, 26 de febrero de 2018, 26 de marzo y 3 de octubre de 2019, así como escritos de observaciones de los representantes de las víctimas de 3 de junio de 2016, 7 de septiembre de 2018 y 28 de mayo de 2019. </w:t>
      </w:r>
    </w:p>
  </w:footnote>
  <w:footnote w:id="32">
    <w:p w14:paraId="77FD9DB0" w14:textId="77777777" w:rsidR="00217DD5" w:rsidRPr="00E56070" w:rsidRDefault="00217DD5" w:rsidP="00BA0D6D">
      <w:pPr>
        <w:pStyle w:val="Textonotapie"/>
        <w:tabs>
          <w:tab w:val="left" w:pos="720"/>
        </w:tabs>
        <w:rPr>
          <w:b/>
          <w:lang w:val="es-CR"/>
        </w:rPr>
      </w:pPr>
      <w:r>
        <w:rPr>
          <w:rStyle w:val="Refdenotaalpie"/>
        </w:rPr>
        <w:footnoteRef/>
      </w:r>
      <w:r w:rsidRPr="00E56070">
        <w:rPr>
          <w:lang w:val="es-CR"/>
        </w:rPr>
        <w:t xml:space="preserve"> </w:t>
      </w:r>
      <w:r>
        <w:rPr>
          <w:lang w:val="es-CR"/>
        </w:rPr>
        <w:tab/>
        <w:t xml:space="preserve">El Estado indicó que en dicha diligencia se entrevistó al párroco de la zona y se tomaron fotografías del lugar. </w:t>
      </w:r>
      <w:r>
        <w:rPr>
          <w:i/>
          <w:lang w:val="es-CR"/>
        </w:rPr>
        <w:t xml:space="preserve">Cfr. </w:t>
      </w:r>
      <w:r>
        <w:rPr>
          <w:lang w:val="es-CR"/>
        </w:rPr>
        <w:t xml:space="preserve">Resolución de 27 de mayo de 2016 de la Cuarta Fiscalía Penal Supraprovincial; acta de la “Declaración indagatoria de Faustino Asunción Chavarría” de 22 de junio de 2016; acta de la “Declaratoria indagatoria de Silvia Osorio Rivera” de 23 de junio de 2016; actas fiscales de 21 y 23 de junio de 2016 (anexos al informe estatal de 15 de agosto de 2016). </w:t>
      </w:r>
    </w:p>
  </w:footnote>
  <w:footnote w:id="33">
    <w:p w14:paraId="579758E1" w14:textId="77777777" w:rsidR="00217DD5" w:rsidRPr="00D04D2F" w:rsidRDefault="00217DD5" w:rsidP="00BA0D6D">
      <w:pPr>
        <w:pStyle w:val="Textonotapie"/>
        <w:tabs>
          <w:tab w:val="left" w:pos="720"/>
        </w:tabs>
        <w:rPr>
          <w:b/>
          <w:lang w:val="es-CR"/>
        </w:rPr>
      </w:pPr>
      <w:r>
        <w:rPr>
          <w:rStyle w:val="Refdenotaalpie"/>
        </w:rPr>
        <w:footnoteRef/>
      </w:r>
      <w:r w:rsidRPr="00D04D2F">
        <w:rPr>
          <w:lang w:val="es-CR"/>
        </w:rPr>
        <w:t xml:space="preserve"> </w:t>
      </w:r>
      <w:r>
        <w:rPr>
          <w:lang w:val="es-CR"/>
        </w:rPr>
        <w:tab/>
      </w:r>
      <w:r>
        <w:rPr>
          <w:i/>
          <w:lang w:val="es-CR"/>
        </w:rPr>
        <w:t xml:space="preserve">Cfr. </w:t>
      </w:r>
      <w:r>
        <w:rPr>
          <w:lang w:val="es-CR"/>
        </w:rPr>
        <w:t xml:space="preserve">Informe usuario N° 003-2019/DAA de 11 de enero de 2019 suscrito por el Especialista de Contexto Social de la Dirección de Atención y Acompañamiento de la Dirección General de Búsqueda de Personas Desaparecidas (anexo al informe estatal de 26 de marzo de 2019). </w:t>
      </w:r>
    </w:p>
  </w:footnote>
  <w:footnote w:id="34">
    <w:p w14:paraId="643997F6" w14:textId="77777777" w:rsidR="00217DD5" w:rsidRPr="00D753F1" w:rsidRDefault="00217DD5">
      <w:pPr>
        <w:pStyle w:val="Textonotapie"/>
        <w:rPr>
          <w:lang w:val="es-ES_tradnl"/>
        </w:rPr>
      </w:pPr>
      <w:r>
        <w:rPr>
          <w:rStyle w:val="Refdenotaalpie"/>
        </w:rPr>
        <w:footnoteRef/>
      </w:r>
      <w:r w:rsidRPr="007F66C7">
        <w:rPr>
          <w:lang w:val="es-AR"/>
        </w:rPr>
        <w:t xml:space="preserve"> </w:t>
      </w:r>
      <w:r>
        <w:rPr>
          <w:lang w:val="es-ES_tradnl"/>
        </w:rPr>
        <w:tab/>
      </w:r>
      <w:r>
        <w:rPr>
          <w:i/>
          <w:lang w:val="es-ES_tradnl"/>
        </w:rPr>
        <w:t xml:space="preserve">Cfr. </w:t>
      </w:r>
      <w:r>
        <w:rPr>
          <w:lang w:val="es-ES_tradnl"/>
        </w:rPr>
        <w:t xml:space="preserve">Informe estatal de 3 de octubre de 2019. </w:t>
      </w:r>
    </w:p>
  </w:footnote>
  <w:footnote w:id="35">
    <w:p w14:paraId="1087AB9C" w14:textId="77777777" w:rsidR="00217DD5" w:rsidRPr="00876203" w:rsidRDefault="00217DD5" w:rsidP="00BA0D6D">
      <w:pPr>
        <w:pStyle w:val="Textonotapie"/>
        <w:tabs>
          <w:tab w:val="left" w:pos="720"/>
        </w:tabs>
        <w:rPr>
          <w:b/>
          <w:lang w:val="es-CR"/>
        </w:rPr>
      </w:pPr>
      <w:r>
        <w:rPr>
          <w:rStyle w:val="Refdenotaalpie"/>
        </w:rPr>
        <w:footnoteRef/>
      </w:r>
      <w:r w:rsidRPr="00876203">
        <w:rPr>
          <w:lang w:val="es-CR"/>
        </w:rPr>
        <w:t xml:space="preserve"> </w:t>
      </w:r>
      <w:r>
        <w:rPr>
          <w:lang w:val="es-CR"/>
        </w:rPr>
        <w:tab/>
      </w:r>
      <w:r>
        <w:rPr>
          <w:i/>
          <w:lang w:val="es-CR"/>
        </w:rPr>
        <w:t xml:space="preserve">Cfr. </w:t>
      </w:r>
      <w:r>
        <w:rPr>
          <w:lang w:val="es-CR"/>
        </w:rPr>
        <w:t xml:space="preserve">Escrito de observaciones de los representantes de las víctimas de 7 de septiembre de 2018. </w:t>
      </w:r>
    </w:p>
  </w:footnote>
  <w:footnote w:id="36">
    <w:p w14:paraId="3FCF4116" w14:textId="77777777" w:rsidR="00217DD5" w:rsidRPr="00126EEB" w:rsidRDefault="00217DD5" w:rsidP="00BA0D6D">
      <w:pPr>
        <w:pStyle w:val="Textonotapie"/>
        <w:tabs>
          <w:tab w:val="left" w:pos="720"/>
        </w:tabs>
        <w:rPr>
          <w:b/>
          <w:lang w:val="es-CR"/>
        </w:rPr>
      </w:pPr>
      <w:r>
        <w:rPr>
          <w:rStyle w:val="Refdenotaalpie"/>
        </w:rPr>
        <w:footnoteRef/>
      </w:r>
      <w:r w:rsidRPr="006149F2">
        <w:rPr>
          <w:lang w:val="es-CR"/>
        </w:rPr>
        <w:t xml:space="preserve"> </w:t>
      </w:r>
      <w:r>
        <w:rPr>
          <w:lang w:val="es-CR"/>
        </w:rPr>
        <w:tab/>
      </w:r>
      <w:r>
        <w:rPr>
          <w:i/>
          <w:lang w:val="es-CR"/>
        </w:rPr>
        <w:t xml:space="preserve">Cfr. </w:t>
      </w:r>
      <w:r>
        <w:rPr>
          <w:lang w:val="es-CR"/>
        </w:rPr>
        <w:t xml:space="preserve">Escrito de observaciones de los representantes de las víctimas de 28 de mayo de 2019. </w:t>
      </w:r>
    </w:p>
  </w:footnote>
  <w:footnote w:id="37">
    <w:p w14:paraId="0D00B26D" w14:textId="77777777" w:rsidR="00217DD5" w:rsidRPr="004A2DA2" w:rsidRDefault="00217DD5" w:rsidP="00BA0D6D">
      <w:pPr>
        <w:pStyle w:val="Textonotapie"/>
        <w:tabs>
          <w:tab w:val="left" w:pos="720"/>
        </w:tabs>
        <w:rPr>
          <w:lang w:val="es-CR"/>
        </w:rPr>
      </w:pPr>
      <w:r>
        <w:rPr>
          <w:rStyle w:val="Refdenotaalpie"/>
        </w:rPr>
        <w:footnoteRef/>
      </w:r>
      <w:r w:rsidRPr="004A2DA2">
        <w:rPr>
          <w:lang w:val="es-CR"/>
        </w:rPr>
        <w:t xml:space="preserve"> </w:t>
      </w:r>
      <w:r>
        <w:rPr>
          <w:lang w:val="es-CR"/>
        </w:rPr>
        <w:tab/>
      </w:r>
      <w:r w:rsidRPr="004A2DA2">
        <w:rPr>
          <w:i/>
          <w:lang w:val="es-CR"/>
        </w:rPr>
        <w:t>Cfr. Caso Molina Theissen Vs. Guatemala. Supervisión de Cumplimiento de Sentencia.</w:t>
      </w:r>
      <w:r w:rsidRPr="004A2DA2">
        <w:rPr>
          <w:lang w:val="es-CR"/>
        </w:rPr>
        <w:t xml:space="preserve"> Resolución de la Corte</w:t>
      </w:r>
      <w:r>
        <w:rPr>
          <w:lang w:val="es-CR"/>
        </w:rPr>
        <w:t xml:space="preserve"> </w:t>
      </w:r>
      <w:r w:rsidRPr="004A2DA2">
        <w:rPr>
          <w:lang w:val="es-CR"/>
        </w:rPr>
        <w:t xml:space="preserve">Interamericana de Derechos Humanos de </w:t>
      </w:r>
      <w:r>
        <w:rPr>
          <w:lang w:val="es-CR"/>
        </w:rPr>
        <w:t>14 de marzo de 2019, Considerando 4</w:t>
      </w:r>
      <w:r w:rsidRPr="004A2DA2">
        <w:rPr>
          <w:lang w:val="es-CR"/>
        </w:rPr>
        <w:t xml:space="preserve">2, y </w:t>
      </w:r>
      <w:r w:rsidRPr="004A2DA2">
        <w:rPr>
          <w:i/>
          <w:lang w:val="es-CR"/>
        </w:rPr>
        <w:t>Caso Gomes Lund y otros (“Guerrilha do Araguaia”) Vs. Brasil. Supervisión de Cumplimiento de Sentencia.</w:t>
      </w:r>
      <w:r w:rsidRPr="004A2DA2">
        <w:rPr>
          <w:lang w:val="es-CR"/>
        </w:rPr>
        <w:t xml:space="preserve"> Resolución de la Corte</w:t>
      </w:r>
      <w:r>
        <w:rPr>
          <w:lang w:val="es-CR"/>
        </w:rPr>
        <w:t xml:space="preserve"> </w:t>
      </w:r>
      <w:r w:rsidRPr="004A2DA2">
        <w:rPr>
          <w:lang w:val="es-CR"/>
        </w:rPr>
        <w:t>Interamericana de Derechos Humanos de 17 de octubre de 2014, Considerando 41</w:t>
      </w:r>
    </w:p>
  </w:footnote>
  <w:footnote w:id="38">
    <w:p w14:paraId="6EC9B35F" w14:textId="77777777" w:rsidR="00217DD5" w:rsidRPr="00AB2F1B" w:rsidRDefault="00217DD5" w:rsidP="00BA0D6D">
      <w:pPr>
        <w:pStyle w:val="Textonotapie"/>
        <w:tabs>
          <w:tab w:val="left" w:pos="720"/>
        </w:tabs>
        <w:rPr>
          <w:lang w:val="es-CR"/>
        </w:rPr>
      </w:pPr>
      <w:r>
        <w:rPr>
          <w:rStyle w:val="Refdenotaalpie"/>
        </w:rPr>
        <w:footnoteRef/>
      </w:r>
      <w:r w:rsidRPr="00AB2F1B">
        <w:rPr>
          <w:lang w:val="es-CR"/>
        </w:rPr>
        <w:t xml:space="preserve"> </w:t>
      </w:r>
      <w:r>
        <w:rPr>
          <w:lang w:val="es-CR"/>
        </w:rPr>
        <w:tab/>
        <w:t>En la Sentencia se dispuso que l</w:t>
      </w:r>
      <w:r w:rsidRPr="00AB2F1B">
        <w:rPr>
          <w:lang w:val="es-CR"/>
        </w:rPr>
        <w:t xml:space="preserve">as víctimas que querían solicitar esta medida de reparación, o sus representantes legales, disponían de un plazo de seis meses, contado a partir de la notificación </w:t>
      </w:r>
      <w:r>
        <w:rPr>
          <w:lang w:val="es-CR"/>
        </w:rPr>
        <w:t>del referido Fallo</w:t>
      </w:r>
      <w:r w:rsidRPr="00AB2F1B">
        <w:rPr>
          <w:lang w:val="es-CR"/>
        </w:rPr>
        <w:t>, para dar a conocer al Estado su intención de recibir atención psicológica o psiquiátrica</w:t>
      </w:r>
      <w:r>
        <w:rPr>
          <w:lang w:val="es-CR"/>
        </w:rPr>
        <w:t>.</w:t>
      </w:r>
    </w:p>
  </w:footnote>
  <w:footnote w:id="39">
    <w:p w14:paraId="4AF3310E" w14:textId="77777777" w:rsidR="00217DD5" w:rsidRPr="00A0177F" w:rsidRDefault="00217DD5" w:rsidP="00BA0D6D">
      <w:pPr>
        <w:pStyle w:val="Textonotapie"/>
        <w:tabs>
          <w:tab w:val="left" w:pos="720"/>
        </w:tabs>
        <w:rPr>
          <w:b/>
          <w:lang w:val="es-AR"/>
        </w:rPr>
      </w:pPr>
      <w:r>
        <w:rPr>
          <w:rStyle w:val="Refdenotaalpie"/>
        </w:rPr>
        <w:footnoteRef/>
      </w:r>
      <w:r w:rsidRPr="00104863">
        <w:rPr>
          <w:lang w:val="es-CR"/>
        </w:rPr>
        <w:t xml:space="preserve"> </w:t>
      </w:r>
      <w:r>
        <w:rPr>
          <w:lang w:val="es-CR"/>
        </w:rPr>
        <w:tab/>
        <w:t xml:space="preserve">Las víctimas Santa Fe Gaitán Calderón, Edith Laritza Osorio Gaitán, </w:t>
      </w:r>
      <w:r w:rsidRPr="00104863">
        <w:rPr>
          <w:lang w:val="es-CR"/>
        </w:rPr>
        <w:t>Neida Rocío Osorio Gaitán</w:t>
      </w:r>
      <w:r>
        <w:rPr>
          <w:lang w:val="es-CR"/>
        </w:rPr>
        <w:t xml:space="preserve">, </w:t>
      </w:r>
      <w:r w:rsidRPr="00104863">
        <w:rPr>
          <w:lang w:val="es-CR"/>
        </w:rPr>
        <w:t>Epifanía</w:t>
      </w:r>
      <w:r>
        <w:rPr>
          <w:lang w:val="es-CR"/>
        </w:rPr>
        <w:t xml:space="preserve"> </w:t>
      </w:r>
      <w:r w:rsidRPr="00104863">
        <w:rPr>
          <w:lang w:val="es-CR"/>
        </w:rPr>
        <w:t>Alejandrina Osorio Rivera</w:t>
      </w:r>
      <w:r>
        <w:rPr>
          <w:lang w:val="es-CR"/>
        </w:rPr>
        <w:t xml:space="preserve">, </w:t>
      </w:r>
      <w:r w:rsidRPr="00104863">
        <w:rPr>
          <w:lang w:val="es-CR"/>
        </w:rPr>
        <w:t>Elena Máxima Osorio Rivera</w:t>
      </w:r>
      <w:r>
        <w:rPr>
          <w:lang w:val="es-CR"/>
        </w:rPr>
        <w:t>,</w:t>
      </w:r>
      <w:r w:rsidRPr="00D1175A">
        <w:rPr>
          <w:lang w:val="es-CR"/>
        </w:rPr>
        <w:t xml:space="preserve"> </w:t>
      </w:r>
      <w:r w:rsidRPr="00104863">
        <w:rPr>
          <w:lang w:val="es-CR"/>
        </w:rPr>
        <w:t>Silvia Osorio Rivera</w:t>
      </w:r>
      <w:r>
        <w:rPr>
          <w:lang w:val="es-CR"/>
        </w:rPr>
        <w:t xml:space="preserve"> y </w:t>
      </w:r>
      <w:r w:rsidRPr="00104863">
        <w:rPr>
          <w:lang w:val="es-CR"/>
        </w:rPr>
        <w:t>Mario Osorio Rivera</w:t>
      </w:r>
      <w:r>
        <w:rPr>
          <w:lang w:val="es-CR"/>
        </w:rPr>
        <w:t xml:space="preserve"> se encuentran afiliadas al SIS, mientras que las víctimas </w:t>
      </w:r>
      <w:r w:rsidRPr="00104863">
        <w:rPr>
          <w:lang w:val="es-CR"/>
        </w:rPr>
        <w:t>Vannesa Judith Osorio Gaitán</w:t>
      </w:r>
      <w:r>
        <w:rPr>
          <w:lang w:val="es-CR"/>
        </w:rPr>
        <w:t xml:space="preserve">, </w:t>
      </w:r>
      <w:r w:rsidRPr="00104863">
        <w:rPr>
          <w:lang w:val="es-CR"/>
        </w:rPr>
        <w:t>Jersy</w:t>
      </w:r>
      <w:r>
        <w:rPr>
          <w:lang w:val="es-CR"/>
        </w:rPr>
        <w:t xml:space="preserve"> </w:t>
      </w:r>
      <w:r w:rsidRPr="00104863">
        <w:rPr>
          <w:lang w:val="es-CR"/>
        </w:rPr>
        <w:t>Jeremías Osorio Gaitán</w:t>
      </w:r>
      <w:r>
        <w:rPr>
          <w:lang w:val="es-CR"/>
        </w:rPr>
        <w:t xml:space="preserve">, </w:t>
      </w:r>
      <w:r w:rsidRPr="00104863">
        <w:rPr>
          <w:lang w:val="es-CR"/>
        </w:rPr>
        <w:t>Porfirio Osorio Rivera</w:t>
      </w:r>
      <w:r>
        <w:rPr>
          <w:lang w:val="es-CR"/>
        </w:rPr>
        <w:t xml:space="preserve"> y </w:t>
      </w:r>
      <w:r w:rsidRPr="00104863">
        <w:rPr>
          <w:lang w:val="es-CR"/>
        </w:rPr>
        <w:t>Adelaida Osorio</w:t>
      </w:r>
      <w:r>
        <w:rPr>
          <w:lang w:val="es-CR"/>
        </w:rPr>
        <w:t xml:space="preserve"> </w:t>
      </w:r>
      <w:r w:rsidRPr="00104863">
        <w:rPr>
          <w:lang w:val="es-CR"/>
        </w:rPr>
        <w:t>Rivera</w:t>
      </w:r>
      <w:r>
        <w:rPr>
          <w:lang w:val="es-CR"/>
        </w:rPr>
        <w:t xml:space="preserve"> se encuentran afiliadas a ESSALUD. Por otra parte, las víctimas Juana Rivera Lozano y Efraín Osorio Rivera fueron reportadas como “</w:t>
      </w:r>
      <w:proofErr w:type="gramStart"/>
      <w:r>
        <w:rPr>
          <w:lang w:val="es-CR"/>
        </w:rPr>
        <w:t>fallecid[</w:t>
      </w:r>
      <w:proofErr w:type="gramEnd"/>
      <w:r>
        <w:rPr>
          <w:lang w:val="es-CR"/>
        </w:rPr>
        <w:t xml:space="preserve">as]”. </w:t>
      </w:r>
      <w:r>
        <w:rPr>
          <w:i/>
          <w:lang w:val="es-CR"/>
        </w:rPr>
        <w:t xml:space="preserve">Cfr. </w:t>
      </w:r>
      <w:r>
        <w:rPr>
          <w:lang w:val="es-CR"/>
        </w:rPr>
        <w:t xml:space="preserve">Informe N° 11-2019-SIS-GA-GADJ de 21 de enero de 2019 suscrito por el Gerente de Gerencia del Asegurado del Ministerio de Salud del Perú (anexo al informe estatal de 26 de marzo de 2019). </w:t>
      </w:r>
    </w:p>
  </w:footnote>
  <w:footnote w:id="40">
    <w:p w14:paraId="6EADD580" w14:textId="77777777" w:rsidR="00217DD5" w:rsidRPr="008C4B79" w:rsidRDefault="00217DD5" w:rsidP="00BA0D6D">
      <w:pPr>
        <w:pStyle w:val="Textonotapie"/>
        <w:tabs>
          <w:tab w:val="left" w:pos="720"/>
        </w:tabs>
        <w:rPr>
          <w:lang w:val="pt-BR"/>
        </w:rPr>
      </w:pPr>
      <w:r>
        <w:rPr>
          <w:rStyle w:val="Refdenotaalpie"/>
        </w:rPr>
        <w:footnoteRef/>
      </w:r>
      <w:r w:rsidRPr="008C4B79">
        <w:rPr>
          <w:lang w:val="pt-BR"/>
        </w:rPr>
        <w:t xml:space="preserve"> </w:t>
      </w:r>
      <w:r w:rsidRPr="008C4B79">
        <w:rPr>
          <w:lang w:val="pt-BR"/>
        </w:rPr>
        <w:tab/>
      </w:r>
      <w:r w:rsidRPr="008C4B79">
        <w:rPr>
          <w:i/>
          <w:lang w:val="pt-BR"/>
        </w:rPr>
        <w:t xml:space="preserve">Cfr. </w:t>
      </w:r>
      <w:r w:rsidRPr="008C4B79">
        <w:rPr>
          <w:lang w:val="pt-BR"/>
        </w:rPr>
        <w:t xml:space="preserve">Informe N° 11-2019-SIS-GA-GADJ, </w:t>
      </w:r>
      <w:proofErr w:type="gramStart"/>
      <w:r w:rsidRPr="008C4B79">
        <w:rPr>
          <w:i/>
          <w:lang w:val="pt-BR"/>
        </w:rPr>
        <w:t xml:space="preserve">supra </w:t>
      </w:r>
      <w:r>
        <w:rPr>
          <w:lang w:val="pt-BR"/>
        </w:rPr>
        <w:t>nota</w:t>
      </w:r>
      <w:proofErr w:type="gramEnd"/>
      <w:r>
        <w:rPr>
          <w:lang w:val="pt-BR"/>
        </w:rPr>
        <w:t xml:space="preserve"> 39.</w:t>
      </w:r>
    </w:p>
  </w:footnote>
  <w:footnote w:id="41">
    <w:p w14:paraId="1DE49387" w14:textId="77777777" w:rsidR="00217DD5" w:rsidRPr="00AF5C99" w:rsidRDefault="00217DD5" w:rsidP="00BA0D6D">
      <w:pPr>
        <w:pStyle w:val="Textonotapie"/>
        <w:tabs>
          <w:tab w:val="left" w:pos="720"/>
        </w:tabs>
        <w:rPr>
          <w:b/>
          <w:lang w:val="es-CR"/>
        </w:rPr>
      </w:pPr>
      <w:r>
        <w:rPr>
          <w:rStyle w:val="Refdenotaalpie"/>
        </w:rPr>
        <w:footnoteRef/>
      </w:r>
      <w:r w:rsidRPr="004A397A">
        <w:rPr>
          <w:lang w:val="es-CR"/>
        </w:rPr>
        <w:t xml:space="preserve"> </w:t>
      </w:r>
      <w:r>
        <w:rPr>
          <w:lang w:val="es-CR"/>
        </w:rPr>
        <w:tab/>
      </w:r>
      <w:r>
        <w:rPr>
          <w:i/>
          <w:lang w:val="es-CR"/>
        </w:rPr>
        <w:t xml:space="preserve">Cfr. </w:t>
      </w:r>
      <w:r>
        <w:rPr>
          <w:lang w:val="es-CR"/>
        </w:rPr>
        <w:t>Informes estatales de 15 de agosto de 2016 y 26 de febrero de 2018.</w:t>
      </w:r>
      <w:r w:rsidRPr="00AF5C99">
        <w:rPr>
          <w:lang w:val="es-CR"/>
        </w:rPr>
        <w:t xml:space="preserve"> </w:t>
      </w:r>
      <w:r>
        <w:rPr>
          <w:lang w:val="es-CR"/>
        </w:rPr>
        <w:t>En el último de los referidos informes, el Estado incluso intentó revertir la carga de la explicación sobre en qué consiste el trato diferenciado que brinda el SIS, en tanto “solicitó a los representantes […] que puedan señalar claramente en qué consistiría dicho trato diferenciado ‘en relación al trámite, el procedimiento y los padecimientos específicos sufridos por las víctimas’”.</w:t>
      </w:r>
    </w:p>
  </w:footnote>
  <w:footnote w:id="42">
    <w:p w14:paraId="64FC579D" w14:textId="77777777" w:rsidR="00217DD5" w:rsidRPr="008D3D3D" w:rsidRDefault="00217DD5" w:rsidP="00BA0D6D">
      <w:pPr>
        <w:pStyle w:val="Textonotapie"/>
        <w:tabs>
          <w:tab w:val="left" w:pos="720"/>
        </w:tabs>
        <w:rPr>
          <w:b/>
          <w:lang w:val="es-CR"/>
        </w:rPr>
      </w:pPr>
      <w:r>
        <w:rPr>
          <w:rStyle w:val="Refdenotaalpie"/>
        </w:rPr>
        <w:footnoteRef/>
      </w:r>
      <w:r w:rsidRPr="003D7658">
        <w:rPr>
          <w:lang w:val="es-CR"/>
        </w:rPr>
        <w:t xml:space="preserve"> </w:t>
      </w:r>
      <w:r>
        <w:rPr>
          <w:lang w:val="es-CR"/>
        </w:rPr>
        <w:tab/>
      </w:r>
      <w:r>
        <w:rPr>
          <w:i/>
          <w:lang w:val="es-CR"/>
        </w:rPr>
        <w:t xml:space="preserve">Cfr. </w:t>
      </w:r>
      <w:r>
        <w:rPr>
          <w:lang w:val="es-CR"/>
        </w:rPr>
        <w:t xml:space="preserve">Informe N° 11-2019-SIS-GA-GADJ, </w:t>
      </w:r>
      <w:r>
        <w:rPr>
          <w:i/>
          <w:lang w:val="es-CR"/>
        </w:rPr>
        <w:t xml:space="preserve">supra </w:t>
      </w:r>
      <w:r>
        <w:rPr>
          <w:lang w:val="es-CR"/>
        </w:rPr>
        <w:t xml:space="preserve">nota 39 y “Reporte de atenciones en el SIS 2011-2018 para familiares </w:t>
      </w:r>
      <w:proofErr w:type="gramStart"/>
      <w:r>
        <w:rPr>
          <w:lang w:val="es-CR"/>
        </w:rPr>
        <w:t>de[</w:t>
      </w:r>
      <w:proofErr w:type="gramEnd"/>
      <w:r>
        <w:rPr>
          <w:lang w:val="es-CR"/>
        </w:rPr>
        <w:t xml:space="preserve">l señor Jeremías] Osorio Rivera” (anexos al informe estatal de 26 de marzo de 2019). </w:t>
      </w:r>
    </w:p>
  </w:footnote>
  <w:footnote w:id="43">
    <w:p w14:paraId="3FBA1D5E" w14:textId="77777777" w:rsidR="00217DD5" w:rsidRPr="00B46A92" w:rsidRDefault="00217DD5" w:rsidP="00BA0D6D">
      <w:pPr>
        <w:pStyle w:val="Textonotapie"/>
        <w:tabs>
          <w:tab w:val="left" w:pos="720"/>
        </w:tabs>
        <w:rPr>
          <w:b/>
          <w:lang w:val="es-CR"/>
        </w:rPr>
      </w:pPr>
      <w:r>
        <w:rPr>
          <w:rStyle w:val="Refdenotaalpie"/>
        </w:rPr>
        <w:footnoteRef/>
      </w:r>
      <w:r w:rsidRPr="00B46A92">
        <w:rPr>
          <w:lang w:val="es-CR"/>
        </w:rPr>
        <w:t xml:space="preserve"> </w:t>
      </w:r>
      <w:r>
        <w:rPr>
          <w:lang w:val="es-CR"/>
        </w:rPr>
        <w:tab/>
      </w:r>
      <w:r>
        <w:rPr>
          <w:i/>
          <w:lang w:val="es-CR"/>
        </w:rPr>
        <w:t xml:space="preserve">Cfr. </w:t>
      </w:r>
      <w:r>
        <w:rPr>
          <w:lang w:val="es-CR"/>
        </w:rPr>
        <w:t>Informes estatales de 26 de febrero de 2018</w:t>
      </w:r>
      <w:r w:rsidRPr="00A25E52">
        <w:rPr>
          <w:lang w:val="es-CR"/>
        </w:rPr>
        <w:t xml:space="preserve"> </w:t>
      </w:r>
      <w:r>
        <w:rPr>
          <w:lang w:val="es-CR"/>
        </w:rPr>
        <w:t>y 26 de marzo de 2019.</w:t>
      </w:r>
    </w:p>
  </w:footnote>
  <w:footnote w:id="44">
    <w:p w14:paraId="6205783D" w14:textId="77777777" w:rsidR="00217DD5" w:rsidRPr="001F672F" w:rsidRDefault="00217DD5">
      <w:pPr>
        <w:pStyle w:val="Textonotapie"/>
        <w:rPr>
          <w:lang w:val="es-ES_tradnl"/>
        </w:rPr>
      </w:pPr>
      <w:r>
        <w:rPr>
          <w:rStyle w:val="Refdenotaalpie"/>
        </w:rPr>
        <w:footnoteRef/>
      </w:r>
      <w:r w:rsidRPr="007F66C7">
        <w:rPr>
          <w:lang w:val="es-AR"/>
        </w:rPr>
        <w:t xml:space="preserve"> </w:t>
      </w:r>
      <w:r>
        <w:rPr>
          <w:lang w:val="es-ES_tradnl"/>
        </w:rPr>
        <w:tab/>
        <w:t xml:space="preserve">La Procuraduría Pública Especializada Supranacional “solicitó al Ministerio de Salud que gestione la conformación” de dicho “Grupo de Trabajo”, que “tenga como funciones elaborar, proponer y adoptar los instrumentos de gestión mencionados […] desde la perspectiva de los siguientes ejes fundamentales: i) el financiamiento oportuno de los tratamientos médicos y/o psicológicos, ii) la calidad y condiciones adecuadas de las prestaciones y iii) l supervisión de las mismas”. </w:t>
      </w:r>
      <w:r>
        <w:rPr>
          <w:i/>
          <w:lang w:val="es-ES_tradnl"/>
        </w:rPr>
        <w:t xml:space="preserve">Cfr. </w:t>
      </w:r>
      <w:r>
        <w:rPr>
          <w:lang w:val="es-ES_tradnl"/>
        </w:rPr>
        <w:t xml:space="preserve">Informe estatal de 3 de octubre de 2019. </w:t>
      </w:r>
    </w:p>
  </w:footnote>
  <w:footnote w:id="45">
    <w:p w14:paraId="06E294E1" w14:textId="77777777" w:rsidR="00217DD5" w:rsidRPr="00E27A4C" w:rsidRDefault="00217DD5" w:rsidP="00BA0D6D">
      <w:pPr>
        <w:pStyle w:val="Textonotapie"/>
        <w:tabs>
          <w:tab w:val="left" w:pos="720"/>
        </w:tabs>
        <w:rPr>
          <w:lang w:val="es-CR"/>
        </w:rPr>
      </w:pPr>
      <w:r>
        <w:rPr>
          <w:rStyle w:val="Refdenotaalpie"/>
        </w:rPr>
        <w:footnoteRef/>
      </w:r>
      <w:r w:rsidRPr="00E27A4C">
        <w:rPr>
          <w:lang w:val="es-CR"/>
        </w:rPr>
        <w:t xml:space="preserve"> </w:t>
      </w:r>
      <w:r>
        <w:rPr>
          <w:lang w:val="es-CR"/>
        </w:rPr>
        <w:tab/>
      </w:r>
      <w:r>
        <w:rPr>
          <w:i/>
          <w:lang w:val="es-CR"/>
        </w:rPr>
        <w:t xml:space="preserve">Cfr. </w:t>
      </w:r>
      <w:r>
        <w:rPr>
          <w:lang w:val="es-CR"/>
        </w:rPr>
        <w:t>Informe Defensorial N° 162 titulado “</w:t>
      </w:r>
      <w:r w:rsidRPr="00E27A4C">
        <w:rPr>
          <w:lang w:val="es-CR"/>
        </w:rPr>
        <w:t>A diez años de verdad, justicia y</w:t>
      </w:r>
      <w:r>
        <w:rPr>
          <w:lang w:val="es-CR"/>
        </w:rPr>
        <w:t xml:space="preserve"> </w:t>
      </w:r>
      <w:r w:rsidRPr="00E27A4C">
        <w:rPr>
          <w:lang w:val="es-CR"/>
        </w:rPr>
        <w:t>reparación. Avances, retrocesos y</w:t>
      </w:r>
      <w:r>
        <w:rPr>
          <w:lang w:val="es-CR"/>
        </w:rPr>
        <w:t xml:space="preserve"> </w:t>
      </w:r>
      <w:r w:rsidRPr="00E27A4C">
        <w:rPr>
          <w:lang w:val="es-CR"/>
        </w:rPr>
        <w:t>desafíos de un proceso inconcluso</w:t>
      </w:r>
      <w:r>
        <w:rPr>
          <w:lang w:val="es-CR"/>
        </w:rPr>
        <w:t xml:space="preserve">” emitido en agosto de 2013, disponible en: </w:t>
      </w:r>
      <w:hyperlink r:id="rId5" w:history="1">
        <w:r w:rsidRPr="00E27A4C">
          <w:rPr>
            <w:rStyle w:val="Hipervnculo"/>
            <w:lang w:val="es-CR"/>
          </w:rPr>
          <w:t>https://www.defensoria.gob.pe/modules/Downloads/informes/defensoriales/INFORME-DEFENSORIAL-162.pdf</w:t>
        </w:r>
      </w:hyperlink>
      <w:r w:rsidRPr="00E27A4C">
        <w:rPr>
          <w:lang w:val="es-CR"/>
        </w:rPr>
        <w:t xml:space="preserve"> (enlace electr</w:t>
      </w:r>
      <w:r>
        <w:rPr>
          <w:lang w:val="es-CR"/>
        </w:rPr>
        <w:t>ónico incluido en el escrito de observaciones de los representantes de las víctimas de 3 de junio de 2016).</w:t>
      </w:r>
    </w:p>
  </w:footnote>
  <w:footnote w:id="46">
    <w:p w14:paraId="3D76319D" w14:textId="77777777" w:rsidR="00217DD5" w:rsidRPr="009E49E2" w:rsidRDefault="00217DD5" w:rsidP="00BA0D6D">
      <w:pPr>
        <w:pStyle w:val="Textonotapie"/>
        <w:tabs>
          <w:tab w:val="left" w:pos="720"/>
        </w:tabs>
        <w:rPr>
          <w:b/>
          <w:lang w:val="es-CR"/>
        </w:rPr>
      </w:pPr>
      <w:r>
        <w:rPr>
          <w:rStyle w:val="Refdenotaalpie"/>
        </w:rPr>
        <w:footnoteRef/>
      </w:r>
      <w:r w:rsidRPr="001D29C5">
        <w:rPr>
          <w:lang w:val="es-CR"/>
        </w:rPr>
        <w:t xml:space="preserve"> </w:t>
      </w:r>
      <w:r>
        <w:rPr>
          <w:lang w:val="es-CR"/>
        </w:rPr>
        <w:tab/>
        <w:t xml:space="preserve">Por ejemplo, señalaron que “[e]l personal de los centros de salud aún no ha recibido ningún tipo de formación sobre el cuidado especial que se debe tener y brindar respecto a las víctimas de graves violaciones a los derechos humanos”, y más bien dicho personal “considera que el servicio de salud brindado por el SIS ‘está dirigido solo a usuarios en condición de pobreza o pobreza extrema’”. </w:t>
      </w:r>
      <w:r>
        <w:rPr>
          <w:i/>
          <w:lang w:val="es-CR"/>
        </w:rPr>
        <w:t xml:space="preserve">Cfr. </w:t>
      </w:r>
      <w:r>
        <w:rPr>
          <w:lang w:val="es-CR"/>
        </w:rPr>
        <w:t>Escrito de observaciones de los representantes de las víctimas de 28 de mayo de 2019.</w:t>
      </w:r>
    </w:p>
  </w:footnote>
  <w:footnote w:id="47">
    <w:p w14:paraId="7A5A1E83" w14:textId="77777777" w:rsidR="00217DD5" w:rsidRPr="00C71EB9" w:rsidRDefault="00217DD5" w:rsidP="00BA0D6D">
      <w:pPr>
        <w:pStyle w:val="Textonotapie"/>
        <w:tabs>
          <w:tab w:val="left" w:pos="720"/>
        </w:tabs>
        <w:rPr>
          <w:b/>
          <w:lang w:val="es-CR"/>
        </w:rPr>
      </w:pPr>
      <w:r>
        <w:rPr>
          <w:rStyle w:val="Refdenotaalpie"/>
        </w:rPr>
        <w:footnoteRef/>
      </w:r>
      <w:r w:rsidRPr="00C71EB9">
        <w:rPr>
          <w:lang w:val="es-CR"/>
        </w:rPr>
        <w:t xml:space="preserve"> </w:t>
      </w:r>
      <w:r>
        <w:rPr>
          <w:lang w:val="es-CR"/>
        </w:rPr>
        <w:tab/>
        <w:t xml:space="preserve">Por ejemplo, una de dichas víctimas indicó que </w:t>
      </w:r>
      <w:r w:rsidRPr="00C71EB9">
        <w:rPr>
          <w:lang w:val="es-CR"/>
        </w:rPr>
        <w:t xml:space="preserve">“para poder sacar una cita con el SIS [tuvo] que estar en el centro de atención entre las 4 y 5 de la madrugada, hacer fila y esperar a ver si </w:t>
      </w:r>
      <w:proofErr w:type="gramStart"/>
      <w:r w:rsidRPr="00C71EB9">
        <w:rPr>
          <w:lang w:val="es-CR"/>
        </w:rPr>
        <w:t>logra[</w:t>
      </w:r>
      <w:proofErr w:type="gramEnd"/>
      <w:r w:rsidRPr="00C71EB9">
        <w:rPr>
          <w:lang w:val="es-CR"/>
        </w:rPr>
        <w:t>ba] alcanzar recibir uno de los cupos de citas que se entregan”</w:t>
      </w:r>
      <w:r>
        <w:rPr>
          <w:lang w:val="es-CR"/>
        </w:rPr>
        <w:t xml:space="preserve">. </w:t>
      </w:r>
      <w:r>
        <w:rPr>
          <w:i/>
          <w:lang w:val="es-CR"/>
        </w:rPr>
        <w:t xml:space="preserve">Cfr. </w:t>
      </w:r>
      <w:r>
        <w:rPr>
          <w:lang w:val="es-CR"/>
        </w:rPr>
        <w:t>Escrito de observaciones de los representantes de las víctimas de 28 de mayo de 2019.</w:t>
      </w:r>
      <w:r w:rsidRPr="00C71EB9">
        <w:rPr>
          <w:lang w:val="es-CR"/>
        </w:rPr>
        <w:t xml:space="preserve"> </w:t>
      </w:r>
    </w:p>
  </w:footnote>
  <w:footnote w:id="48">
    <w:p w14:paraId="6E51768E" w14:textId="77777777" w:rsidR="00217DD5" w:rsidRPr="001F2B3D" w:rsidRDefault="00217DD5" w:rsidP="00BA0D6D">
      <w:pPr>
        <w:pStyle w:val="Textonotapie"/>
        <w:tabs>
          <w:tab w:val="left" w:pos="720"/>
        </w:tabs>
        <w:rPr>
          <w:b/>
          <w:lang w:val="es-CR"/>
        </w:rPr>
      </w:pPr>
      <w:r>
        <w:rPr>
          <w:rStyle w:val="Refdenotaalpie"/>
        </w:rPr>
        <w:footnoteRef/>
      </w:r>
      <w:r w:rsidRPr="001F2B3D">
        <w:rPr>
          <w:lang w:val="es-CR"/>
        </w:rPr>
        <w:t xml:space="preserve"> </w:t>
      </w:r>
      <w:r>
        <w:rPr>
          <w:lang w:val="es-CR"/>
        </w:rPr>
        <w:tab/>
        <w:t xml:space="preserve">Los representantes de las víctimas señalaron que en abril de 2018 enviaron “cartas al Ministerio de Salud” y “al Ministerio de Justicia y Derechos Humanos” respecto de una de dichas víctimas, mediante las cuales hicieron notar que “el servicio de atención médica en [ESSALUD] se brinda sólo una vez al mes”. Solicitaron que dichas autoridades realizaran “las gestiones pertinentes ante la entidad anteriormente mencionada, a fin de que [dicha víctima] pueda tener un tratamiento adecuado e integral de salud, sin mayor limitación por razones administrativas y/o de carácter interno”. No obstante, indicaron que no se recibió respuesta alguna al respecto. </w:t>
      </w:r>
      <w:r>
        <w:rPr>
          <w:i/>
          <w:lang w:val="es-CR"/>
        </w:rPr>
        <w:t xml:space="preserve">Cfr. </w:t>
      </w:r>
      <w:r>
        <w:rPr>
          <w:lang w:val="es-CR"/>
        </w:rPr>
        <w:t xml:space="preserve">Escrito de observaciones de los representantes de las víctimas de 7 de septiembre de 2018. </w:t>
      </w:r>
    </w:p>
  </w:footnote>
  <w:footnote w:id="49">
    <w:p w14:paraId="463E263D" w14:textId="77777777" w:rsidR="00217DD5" w:rsidRPr="00FC2907" w:rsidRDefault="00217DD5" w:rsidP="00BA0D6D">
      <w:pPr>
        <w:pStyle w:val="Textonotapie"/>
        <w:tabs>
          <w:tab w:val="left" w:pos="720"/>
        </w:tabs>
        <w:rPr>
          <w:lang w:val="es-CR"/>
        </w:rPr>
      </w:pPr>
      <w:r>
        <w:rPr>
          <w:rStyle w:val="Refdenotaalpie"/>
        </w:rPr>
        <w:footnoteRef/>
      </w:r>
      <w:r w:rsidRPr="00FC2907">
        <w:rPr>
          <w:lang w:val="es-CR"/>
        </w:rPr>
        <w:t xml:space="preserve"> </w:t>
      </w:r>
      <w:r>
        <w:rPr>
          <w:lang w:val="es-CR"/>
        </w:rPr>
        <w:tab/>
      </w:r>
      <w:r>
        <w:rPr>
          <w:i/>
          <w:lang w:val="es-CR"/>
        </w:rPr>
        <w:t xml:space="preserve">Cfr. </w:t>
      </w:r>
      <w:r>
        <w:rPr>
          <w:lang w:val="es-CR"/>
        </w:rPr>
        <w:t>Escrito de observaciones de los representantes de las víctimas de 28 de mayo de 2019.</w:t>
      </w:r>
    </w:p>
  </w:footnote>
  <w:footnote w:id="50">
    <w:p w14:paraId="594DC75A" w14:textId="77777777" w:rsidR="00217DD5" w:rsidRPr="00933FE7" w:rsidRDefault="00217DD5" w:rsidP="00BA0D6D">
      <w:pPr>
        <w:pStyle w:val="Textonotapie"/>
        <w:tabs>
          <w:tab w:val="left" w:pos="720"/>
        </w:tabs>
        <w:rPr>
          <w:i/>
          <w:szCs w:val="16"/>
          <w:lang w:val="es-CR"/>
        </w:rPr>
      </w:pPr>
      <w:r w:rsidRPr="00933FE7">
        <w:rPr>
          <w:rStyle w:val="Refdenotaalpie"/>
          <w:szCs w:val="16"/>
        </w:rPr>
        <w:footnoteRef/>
      </w:r>
      <w:r w:rsidRPr="00933FE7">
        <w:rPr>
          <w:szCs w:val="16"/>
          <w:lang w:val="es-CR"/>
        </w:rPr>
        <w:t xml:space="preserve"> </w:t>
      </w:r>
      <w:r w:rsidRPr="00933FE7">
        <w:rPr>
          <w:szCs w:val="16"/>
          <w:lang w:val="es-CR"/>
        </w:rPr>
        <w:tab/>
      </w:r>
      <w:r w:rsidRPr="00933FE7">
        <w:rPr>
          <w:i/>
          <w:szCs w:val="16"/>
          <w:lang w:val="es-CR"/>
        </w:rPr>
        <w:t xml:space="preserve">Cfr. </w:t>
      </w:r>
      <w:r w:rsidRPr="00933FE7">
        <w:rPr>
          <w:bCs/>
          <w:i/>
          <w:szCs w:val="16"/>
          <w:lang w:val="es-CR"/>
        </w:rPr>
        <w:t xml:space="preserve">Caso Gómez Palomino Vs. Perú. </w:t>
      </w:r>
      <w:r w:rsidRPr="00933FE7">
        <w:rPr>
          <w:bCs/>
          <w:szCs w:val="16"/>
          <w:lang w:val="es-CR"/>
        </w:rPr>
        <w:t xml:space="preserve">Supervisión de Cumplimiento de Sentencia. Resolución de la Corte Interamericana de Derechos </w:t>
      </w:r>
      <w:r>
        <w:rPr>
          <w:bCs/>
          <w:szCs w:val="16"/>
          <w:lang w:val="es-CR"/>
        </w:rPr>
        <w:t>Humanos de 5 de julio de 2011, C</w:t>
      </w:r>
      <w:r w:rsidRPr="00933FE7">
        <w:rPr>
          <w:bCs/>
          <w:szCs w:val="16"/>
          <w:lang w:val="es-CR"/>
        </w:rPr>
        <w:t xml:space="preserve">onsiderando 24 y </w:t>
      </w:r>
      <w:r w:rsidRPr="00933FE7">
        <w:rPr>
          <w:i/>
          <w:szCs w:val="16"/>
          <w:lang w:val="es-CR"/>
        </w:rPr>
        <w:t>Caso La Cantuta Vs</w:t>
      </w:r>
      <w:r w:rsidRPr="00933FE7">
        <w:rPr>
          <w:szCs w:val="16"/>
          <w:lang w:val="es-CR"/>
        </w:rPr>
        <w:t xml:space="preserve">. </w:t>
      </w:r>
      <w:r w:rsidRPr="00933FE7">
        <w:rPr>
          <w:i/>
          <w:szCs w:val="16"/>
          <w:lang w:val="es-CR"/>
        </w:rPr>
        <w:t>Perú.</w:t>
      </w:r>
      <w:r w:rsidRPr="00933FE7">
        <w:rPr>
          <w:szCs w:val="16"/>
          <w:lang w:val="es-CR"/>
        </w:rPr>
        <w:t xml:space="preserve"> Supervisión de Cumplimiento de Sentencia. Resolución de la Corte Interamericana de Derechos Humanos de 20 de n</w:t>
      </w:r>
      <w:r>
        <w:rPr>
          <w:szCs w:val="16"/>
          <w:lang w:val="es-CR"/>
        </w:rPr>
        <w:t>oviembre de 2009, C</w:t>
      </w:r>
      <w:r w:rsidRPr="00933FE7">
        <w:rPr>
          <w:szCs w:val="16"/>
          <w:lang w:val="es-CR"/>
        </w:rPr>
        <w:t>onsiderando 30.</w:t>
      </w:r>
    </w:p>
  </w:footnote>
  <w:footnote w:id="51">
    <w:p w14:paraId="17E5B5B1" w14:textId="77777777" w:rsidR="00217DD5" w:rsidRPr="00E463BC" w:rsidRDefault="00217DD5" w:rsidP="00BA0D6D">
      <w:pPr>
        <w:pStyle w:val="Textonotapie"/>
        <w:tabs>
          <w:tab w:val="left" w:pos="720"/>
        </w:tabs>
        <w:rPr>
          <w:lang w:val="es-CR"/>
        </w:rPr>
      </w:pPr>
      <w:r>
        <w:rPr>
          <w:rStyle w:val="Refdenotaalpie"/>
        </w:rPr>
        <w:footnoteRef/>
      </w:r>
      <w:r w:rsidRPr="00E463BC">
        <w:rPr>
          <w:lang w:val="es-CR"/>
        </w:rPr>
        <w:t xml:space="preserve"> </w:t>
      </w:r>
      <w:r>
        <w:rPr>
          <w:lang w:val="es-CR"/>
        </w:rPr>
        <w:tab/>
      </w:r>
      <w:r>
        <w:rPr>
          <w:i/>
          <w:szCs w:val="16"/>
          <w:lang w:val="es-CR"/>
        </w:rPr>
        <w:t>Inter alia</w:t>
      </w:r>
      <w:r w:rsidRPr="0093489C">
        <w:rPr>
          <w:szCs w:val="16"/>
          <w:lang w:val="es-CR"/>
        </w:rPr>
        <w:t>:</w:t>
      </w:r>
      <w:r>
        <w:rPr>
          <w:szCs w:val="16"/>
          <w:lang w:val="es-CR"/>
        </w:rPr>
        <w:t xml:space="preserve"> </w:t>
      </w:r>
      <w:r w:rsidRPr="00E463BC">
        <w:rPr>
          <w:bCs/>
          <w:i/>
          <w:szCs w:val="16"/>
          <w:lang w:val="es-CR"/>
        </w:rPr>
        <w:t>Caso del Penal Miguel Castro Castro Vs. Perú. Supervisión de Cumplimiento de Sentencia</w:t>
      </w:r>
      <w:r w:rsidRPr="00E463BC">
        <w:rPr>
          <w:bCs/>
          <w:szCs w:val="16"/>
          <w:lang w:val="es-CR"/>
        </w:rPr>
        <w:t>. Resolución de la Corte Interamericana de Derechos Humanos de 31 de marzo de 2014</w:t>
      </w:r>
      <w:r>
        <w:rPr>
          <w:bCs/>
          <w:szCs w:val="16"/>
          <w:lang w:val="es-CR"/>
        </w:rPr>
        <w:t xml:space="preserve">, Considerando 46; </w:t>
      </w:r>
      <w:r w:rsidRPr="00873E04">
        <w:rPr>
          <w:bCs/>
          <w:i/>
          <w:szCs w:val="16"/>
          <w:lang w:val="es-CR"/>
        </w:rPr>
        <w:t>Casos Fernández Ortega y otros y Rosendo Cantú y otra Vs. México. Supervisión de Cumplimiento de Sentencia</w:t>
      </w:r>
      <w:r w:rsidRPr="00873E04">
        <w:rPr>
          <w:bCs/>
          <w:szCs w:val="16"/>
          <w:lang w:val="es-CR"/>
        </w:rPr>
        <w:t>. Resolución de la Corte Interamericana de Derechos Hum</w:t>
      </w:r>
      <w:r>
        <w:rPr>
          <w:bCs/>
          <w:szCs w:val="16"/>
          <w:lang w:val="es-CR"/>
        </w:rPr>
        <w:t xml:space="preserve">anos de 21 de noviembre de 2014, Considerandos 16 a 20; </w:t>
      </w:r>
      <w:r w:rsidRPr="00E463BC">
        <w:rPr>
          <w:bCs/>
          <w:i/>
          <w:szCs w:val="16"/>
          <w:lang w:val="es-CR"/>
        </w:rPr>
        <w:t>Caso Contreras y otros Vs. El Salvador. Supervisión de Cumplimiento de Sentencia</w:t>
      </w:r>
      <w:r w:rsidRPr="00E463BC">
        <w:rPr>
          <w:bCs/>
          <w:szCs w:val="16"/>
          <w:lang w:val="es-CR"/>
        </w:rPr>
        <w:t>. Resolución de la Corte Interamericana de Derechos Human</w:t>
      </w:r>
      <w:r>
        <w:rPr>
          <w:bCs/>
          <w:szCs w:val="16"/>
          <w:lang w:val="es-CR"/>
        </w:rPr>
        <w:t>os de 1 de septiembre de 2016, C</w:t>
      </w:r>
      <w:r w:rsidRPr="00E463BC">
        <w:rPr>
          <w:bCs/>
          <w:szCs w:val="16"/>
          <w:lang w:val="es-CR"/>
        </w:rPr>
        <w:t>onsiderando</w:t>
      </w:r>
      <w:r>
        <w:rPr>
          <w:bCs/>
          <w:szCs w:val="16"/>
          <w:lang w:val="es-CR"/>
        </w:rPr>
        <w:t xml:space="preserve"> 21</w:t>
      </w:r>
      <w:r w:rsidRPr="00E463BC">
        <w:rPr>
          <w:bCs/>
          <w:szCs w:val="16"/>
          <w:lang w:val="es-CR"/>
        </w:rPr>
        <w:t xml:space="preserve"> y </w:t>
      </w:r>
      <w:r w:rsidRPr="00E463BC">
        <w:rPr>
          <w:bCs/>
          <w:i/>
          <w:szCs w:val="16"/>
          <w:lang w:val="es-CR"/>
        </w:rPr>
        <w:t>Caso de las Hermanas Serrano Cruz Vs. El Salvador. Supervisión de Cumplimiento de Sentencia</w:t>
      </w:r>
      <w:r w:rsidRPr="00E463BC">
        <w:rPr>
          <w:bCs/>
          <w:szCs w:val="16"/>
          <w:lang w:val="es-CR"/>
        </w:rPr>
        <w:t xml:space="preserve">. Resolución de la Corte Interamericana de Derechos Humanos de 1 de septiembre de 2016, </w:t>
      </w:r>
      <w:r>
        <w:rPr>
          <w:bCs/>
          <w:szCs w:val="16"/>
          <w:lang w:val="es-CR"/>
        </w:rPr>
        <w:t>C</w:t>
      </w:r>
      <w:r w:rsidRPr="00E463BC">
        <w:rPr>
          <w:bCs/>
          <w:szCs w:val="16"/>
          <w:lang w:val="es-CR"/>
        </w:rPr>
        <w:t>onsiderando</w:t>
      </w:r>
      <w:r>
        <w:rPr>
          <w:lang w:val="es-CR"/>
        </w:rPr>
        <w:t xml:space="preserve"> 17.</w:t>
      </w:r>
    </w:p>
  </w:footnote>
  <w:footnote w:id="52">
    <w:p w14:paraId="627813A7" w14:textId="77777777" w:rsidR="00217DD5" w:rsidRPr="00933FE7" w:rsidRDefault="00217DD5" w:rsidP="00BA0D6D">
      <w:pPr>
        <w:pStyle w:val="Textonotapie"/>
        <w:tabs>
          <w:tab w:val="left" w:pos="720"/>
        </w:tabs>
        <w:rPr>
          <w:szCs w:val="16"/>
          <w:lang w:val="es-CR"/>
        </w:rPr>
      </w:pPr>
      <w:r w:rsidRPr="00933FE7">
        <w:rPr>
          <w:rStyle w:val="Refdenotaalpie"/>
          <w:szCs w:val="16"/>
        </w:rPr>
        <w:footnoteRef/>
      </w:r>
      <w:r w:rsidRPr="00933FE7">
        <w:rPr>
          <w:szCs w:val="16"/>
          <w:lang w:val="es-CR"/>
        </w:rPr>
        <w:t xml:space="preserve"> </w:t>
      </w:r>
      <w:r w:rsidRPr="00933FE7">
        <w:rPr>
          <w:szCs w:val="16"/>
          <w:lang w:val="es-CR"/>
        </w:rPr>
        <w:tab/>
      </w:r>
      <w:r w:rsidRPr="00933FE7">
        <w:rPr>
          <w:i/>
          <w:szCs w:val="16"/>
          <w:lang w:val="es-CR"/>
        </w:rPr>
        <w:t>Cfr.</w:t>
      </w:r>
      <w:r w:rsidRPr="00933FE7">
        <w:rPr>
          <w:szCs w:val="16"/>
          <w:lang w:val="es-CR"/>
        </w:rPr>
        <w:t xml:space="preserve"> </w:t>
      </w:r>
      <w:r w:rsidRPr="006834AD">
        <w:rPr>
          <w:i/>
          <w:szCs w:val="16"/>
          <w:lang w:val="es-CR"/>
        </w:rPr>
        <w:t xml:space="preserve">Caso </w:t>
      </w:r>
      <w:r w:rsidR="00C62B1B">
        <w:rPr>
          <w:i/>
          <w:szCs w:val="16"/>
          <w:lang w:val="es-CR"/>
        </w:rPr>
        <w:t xml:space="preserve">Osorio Rivera y familiares Vs. Perú, supra </w:t>
      </w:r>
      <w:r w:rsidR="00C62B1B">
        <w:rPr>
          <w:szCs w:val="16"/>
          <w:lang w:val="es-CR"/>
        </w:rPr>
        <w:t>nota 1, párr. 256.</w:t>
      </w:r>
      <w:r>
        <w:rPr>
          <w:szCs w:val="16"/>
          <w:lang w:val="es-CR"/>
        </w:rPr>
        <w:t xml:space="preserve"> </w:t>
      </w:r>
    </w:p>
  </w:footnote>
  <w:footnote w:id="53">
    <w:p w14:paraId="3396CB08" w14:textId="77777777" w:rsidR="00217DD5" w:rsidRPr="004C4471" w:rsidRDefault="00217DD5" w:rsidP="00BA0D6D">
      <w:pPr>
        <w:pStyle w:val="Textonotapie"/>
        <w:tabs>
          <w:tab w:val="left" w:pos="720"/>
        </w:tabs>
        <w:rPr>
          <w:b/>
          <w:lang w:val="es-CR"/>
        </w:rPr>
      </w:pPr>
      <w:r w:rsidRPr="00E43450">
        <w:rPr>
          <w:rStyle w:val="Refdenotaalpie"/>
          <w:szCs w:val="16"/>
        </w:rPr>
        <w:footnoteRef/>
      </w:r>
      <w:r w:rsidRPr="00E43450">
        <w:rPr>
          <w:lang w:val="es-CR"/>
        </w:rPr>
        <w:t xml:space="preserve"> </w:t>
      </w:r>
      <w:r w:rsidRPr="00E43450">
        <w:rPr>
          <w:lang w:val="es-CR"/>
        </w:rPr>
        <w:tab/>
      </w:r>
      <w:r>
        <w:rPr>
          <w:i/>
          <w:lang w:val="es-CR"/>
        </w:rPr>
        <w:t xml:space="preserve">Infra </w:t>
      </w:r>
      <w:r w:rsidR="00841C7B">
        <w:rPr>
          <w:lang w:val="es-CR"/>
        </w:rPr>
        <w:t>notas al pie 55 a 57</w:t>
      </w:r>
      <w:r>
        <w:rPr>
          <w:lang w:val="es-CR"/>
        </w:rPr>
        <w:t>.</w:t>
      </w:r>
    </w:p>
  </w:footnote>
  <w:footnote w:id="54">
    <w:p w14:paraId="3AF7B1D2" w14:textId="77777777" w:rsidR="00217DD5" w:rsidRPr="00467561" w:rsidRDefault="00217DD5" w:rsidP="00BA0D6D">
      <w:pPr>
        <w:pStyle w:val="Textonotapie"/>
        <w:tabs>
          <w:tab w:val="left" w:pos="720"/>
        </w:tabs>
        <w:rPr>
          <w:b/>
          <w:lang w:val="es-CR"/>
        </w:rPr>
      </w:pPr>
      <w:r w:rsidRPr="00E43450">
        <w:rPr>
          <w:rStyle w:val="Refdenotaalpie"/>
          <w:szCs w:val="16"/>
        </w:rPr>
        <w:footnoteRef/>
      </w:r>
      <w:r w:rsidRPr="00E43450">
        <w:rPr>
          <w:lang w:val="es-CR"/>
        </w:rPr>
        <w:t xml:space="preserve"> </w:t>
      </w:r>
      <w:r w:rsidRPr="00E43450">
        <w:rPr>
          <w:lang w:val="es-CR"/>
        </w:rPr>
        <w:tab/>
      </w:r>
      <w:r w:rsidRPr="00467561">
        <w:rPr>
          <w:lang w:val="es-CR"/>
        </w:rPr>
        <w:t xml:space="preserve">Los representantes indicaron que “que se ha cumplido en su totalidad con esta medida de satisfacción, por lo que solicitamos a la Corte que dé por cerrada la supervisión del [referido] punto resolutivo”. </w:t>
      </w:r>
      <w:r w:rsidRPr="00467561">
        <w:rPr>
          <w:i/>
          <w:lang w:val="es-CR"/>
        </w:rPr>
        <w:t>Cfr.</w:t>
      </w:r>
      <w:r w:rsidRPr="00467561">
        <w:rPr>
          <w:lang w:val="es-CR"/>
        </w:rPr>
        <w:t xml:space="preserve"> Escrito de observaciones de los representantes de las vícti</w:t>
      </w:r>
      <w:r>
        <w:rPr>
          <w:lang w:val="es-CR"/>
        </w:rPr>
        <w:t>mas de 7 de septiembre de 2018.</w:t>
      </w:r>
      <w:r w:rsidRPr="00467561">
        <w:rPr>
          <w:lang w:val="es-CR"/>
        </w:rPr>
        <w:t xml:space="preserve"> Esto fue reiterado mediante su escrito de obser</w:t>
      </w:r>
      <w:r>
        <w:rPr>
          <w:lang w:val="es-CR"/>
        </w:rPr>
        <w:t>vaciones de 28 de mayo de 2019.</w:t>
      </w:r>
    </w:p>
  </w:footnote>
  <w:footnote w:id="55">
    <w:p w14:paraId="4B6D9CCE" w14:textId="77777777" w:rsidR="00217DD5" w:rsidRPr="00467561" w:rsidRDefault="00217DD5" w:rsidP="00BA0D6D">
      <w:pPr>
        <w:pStyle w:val="Textonotapie"/>
        <w:tabs>
          <w:tab w:val="left" w:pos="720"/>
        </w:tabs>
        <w:rPr>
          <w:b/>
          <w:lang w:val="es-CR"/>
        </w:rPr>
      </w:pPr>
      <w:r w:rsidRPr="00467561">
        <w:rPr>
          <w:rStyle w:val="Refdenotaalpie"/>
        </w:rPr>
        <w:footnoteRef/>
      </w:r>
      <w:r w:rsidRPr="00467561">
        <w:rPr>
          <w:lang w:val="es-CR"/>
        </w:rPr>
        <w:t xml:space="preserve"> </w:t>
      </w:r>
      <w:r w:rsidRPr="00467561">
        <w:rPr>
          <w:lang w:val="es-CR"/>
        </w:rPr>
        <w:tab/>
        <w:t xml:space="preserve">El Estado informó en enero de 2015 que el texto íntegro de la Sentencia fue “publicad[o] en el sitio web oficial del Ministerio de Justicia y Derechos Humanos desde su notificación”. El enlace proporcionado por el Perú es: </w:t>
      </w:r>
      <w:hyperlink r:id="rId6" w:history="1">
        <w:r w:rsidRPr="00467561">
          <w:rPr>
            <w:rStyle w:val="Hipervnculo"/>
            <w:lang w:val="es-CR"/>
          </w:rPr>
          <w:t>https://www.minjus.gob.pe/resoluciones-internacionales/</w:t>
        </w:r>
      </w:hyperlink>
      <w:r w:rsidRPr="00467561">
        <w:rPr>
          <w:lang w:val="es-CR"/>
        </w:rPr>
        <w:t xml:space="preserve">. La última vez que la mencionada página fue visitada se pudo constatar que la Sentencia estaba disponible en el referido enlace (visitada por última vez el </w:t>
      </w:r>
      <w:r>
        <w:rPr>
          <w:lang w:val="es-CR"/>
        </w:rPr>
        <w:t>9 de marzo</w:t>
      </w:r>
      <w:r w:rsidRPr="00467561">
        <w:rPr>
          <w:lang w:val="es-CR"/>
        </w:rPr>
        <w:t xml:space="preserve"> de 2020). </w:t>
      </w:r>
      <w:r w:rsidRPr="00467561">
        <w:rPr>
          <w:i/>
          <w:lang w:val="es-CR"/>
        </w:rPr>
        <w:t>Cfr</w:t>
      </w:r>
      <w:r w:rsidRPr="00467561">
        <w:rPr>
          <w:lang w:val="es-CR"/>
        </w:rPr>
        <w:t xml:space="preserve">. Informe estatal de 5 de enero de 2015. </w:t>
      </w:r>
    </w:p>
  </w:footnote>
  <w:footnote w:id="56">
    <w:p w14:paraId="47256AAB" w14:textId="77777777" w:rsidR="00217DD5" w:rsidRPr="00467561" w:rsidRDefault="00217DD5" w:rsidP="00BA0D6D">
      <w:pPr>
        <w:pStyle w:val="Textonotapie"/>
        <w:tabs>
          <w:tab w:val="left" w:pos="720"/>
        </w:tabs>
        <w:rPr>
          <w:b/>
          <w:lang w:val="es-CR"/>
        </w:rPr>
      </w:pPr>
      <w:r w:rsidRPr="00467561">
        <w:rPr>
          <w:rStyle w:val="Refdenotaalpie"/>
        </w:rPr>
        <w:footnoteRef/>
      </w:r>
      <w:r w:rsidRPr="00467561">
        <w:rPr>
          <w:lang w:val="es-CR"/>
        </w:rPr>
        <w:t xml:space="preserve"> </w:t>
      </w:r>
      <w:r w:rsidRPr="00467561">
        <w:rPr>
          <w:lang w:val="es-CR"/>
        </w:rPr>
        <w:tab/>
      </w:r>
      <w:r w:rsidRPr="00467561">
        <w:rPr>
          <w:i/>
          <w:lang w:val="es-CR"/>
        </w:rPr>
        <w:t>Cfr</w:t>
      </w:r>
      <w:r w:rsidRPr="00467561">
        <w:rPr>
          <w:lang w:val="es-CR"/>
        </w:rPr>
        <w:t>. Copia de la publicación realizada en el Diario El Peruano de 29 de diciembre de 2016, pág. 24 (anexo al informe estata</w:t>
      </w:r>
      <w:r>
        <w:rPr>
          <w:lang w:val="es-CR"/>
        </w:rPr>
        <w:t>l de 19 de septiembre de 2017).</w:t>
      </w:r>
    </w:p>
  </w:footnote>
  <w:footnote w:id="57">
    <w:p w14:paraId="017A082D" w14:textId="77777777" w:rsidR="00217DD5" w:rsidRPr="00984E8F" w:rsidRDefault="00217DD5" w:rsidP="00BA0D6D">
      <w:pPr>
        <w:pStyle w:val="Textonotapie"/>
        <w:tabs>
          <w:tab w:val="left" w:pos="720"/>
        </w:tabs>
        <w:rPr>
          <w:lang w:val="es-CR"/>
        </w:rPr>
      </w:pPr>
      <w:r w:rsidRPr="00467561">
        <w:rPr>
          <w:rStyle w:val="Refdenotaalpie"/>
        </w:rPr>
        <w:footnoteRef/>
      </w:r>
      <w:r w:rsidRPr="00467561">
        <w:rPr>
          <w:lang w:val="es-CR"/>
        </w:rPr>
        <w:t xml:space="preserve"> </w:t>
      </w:r>
      <w:r w:rsidRPr="00467561">
        <w:rPr>
          <w:lang w:val="es-CR"/>
        </w:rPr>
        <w:tab/>
      </w:r>
      <w:r w:rsidRPr="00467561">
        <w:rPr>
          <w:i/>
          <w:lang w:val="es-CR"/>
        </w:rPr>
        <w:t xml:space="preserve">Cfr. </w:t>
      </w:r>
      <w:r w:rsidRPr="00467561">
        <w:rPr>
          <w:lang w:val="es-CR"/>
        </w:rPr>
        <w:t xml:space="preserve">Copia de la publicación realizada en el Diario “La República” de 18 de agosto de 2017, pág. 4 (anexo al informe estatal de 19 de septiembre de 2017). </w:t>
      </w:r>
    </w:p>
  </w:footnote>
  <w:footnote w:id="58">
    <w:p w14:paraId="419868F6" w14:textId="77777777" w:rsidR="00217DD5" w:rsidRPr="002424A9" w:rsidRDefault="00217DD5" w:rsidP="00BA0D6D">
      <w:pPr>
        <w:pStyle w:val="Textonotapie"/>
        <w:tabs>
          <w:tab w:val="left" w:pos="720"/>
        </w:tabs>
        <w:rPr>
          <w:b/>
          <w:szCs w:val="16"/>
          <w:lang w:val="es-CR"/>
        </w:rPr>
      </w:pPr>
      <w:r w:rsidRPr="001520F9">
        <w:rPr>
          <w:rStyle w:val="Refdenotaalpie"/>
          <w:szCs w:val="16"/>
        </w:rPr>
        <w:footnoteRef/>
      </w:r>
      <w:r w:rsidRPr="008C4B79">
        <w:rPr>
          <w:szCs w:val="16"/>
          <w:lang w:val="es-CR"/>
        </w:rPr>
        <w:t xml:space="preserve"> </w:t>
      </w:r>
      <w:r w:rsidRPr="008C4B79">
        <w:rPr>
          <w:szCs w:val="16"/>
          <w:lang w:val="es-CR"/>
        </w:rPr>
        <w:tab/>
      </w:r>
      <w:r w:rsidRPr="008C4B79">
        <w:rPr>
          <w:i/>
          <w:szCs w:val="16"/>
          <w:lang w:val="es-CR"/>
        </w:rPr>
        <w:t xml:space="preserve">Cfr. </w:t>
      </w:r>
      <w:r w:rsidRPr="008C4B79">
        <w:rPr>
          <w:szCs w:val="16"/>
          <w:lang w:val="es-CR"/>
        </w:rPr>
        <w:t>Informe</w:t>
      </w:r>
      <w:r>
        <w:rPr>
          <w:szCs w:val="16"/>
          <w:lang w:val="es-CR"/>
        </w:rPr>
        <w:t>s</w:t>
      </w:r>
      <w:r w:rsidRPr="008C4B79">
        <w:rPr>
          <w:szCs w:val="16"/>
          <w:lang w:val="es-CR"/>
        </w:rPr>
        <w:t xml:space="preserve"> estatal</w:t>
      </w:r>
      <w:r>
        <w:rPr>
          <w:szCs w:val="16"/>
          <w:lang w:val="es-CR"/>
        </w:rPr>
        <w:t>es</w:t>
      </w:r>
      <w:r w:rsidRPr="008C4B79">
        <w:rPr>
          <w:szCs w:val="16"/>
          <w:lang w:val="es-CR"/>
        </w:rPr>
        <w:t xml:space="preserve"> de </w:t>
      </w:r>
      <w:r>
        <w:rPr>
          <w:szCs w:val="16"/>
          <w:lang w:val="es-CR"/>
        </w:rPr>
        <w:t>5 y 6 de enero de 2015 y 26 de marzo de 2019</w:t>
      </w:r>
      <w:r w:rsidRPr="008C4B79">
        <w:rPr>
          <w:szCs w:val="16"/>
          <w:lang w:val="es-CR"/>
        </w:rPr>
        <w:t>.</w:t>
      </w:r>
    </w:p>
  </w:footnote>
  <w:footnote w:id="59">
    <w:p w14:paraId="0EFF6B34" w14:textId="77777777" w:rsidR="00217DD5" w:rsidRPr="00933FE7" w:rsidRDefault="00217DD5" w:rsidP="00BA0D6D">
      <w:pPr>
        <w:pStyle w:val="Textonotapie"/>
        <w:tabs>
          <w:tab w:val="left" w:pos="720"/>
        </w:tabs>
        <w:rPr>
          <w:szCs w:val="16"/>
          <w:lang w:val="es-CR"/>
        </w:rPr>
      </w:pPr>
      <w:r w:rsidRPr="001520F9">
        <w:rPr>
          <w:rStyle w:val="Refdenotaalpie"/>
          <w:szCs w:val="16"/>
        </w:rPr>
        <w:footnoteRef/>
      </w:r>
      <w:r w:rsidRPr="001520F9">
        <w:rPr>
          <w:szCs w:val="16"/>
          <w:lang w:val="es-CR"/>
        </w:rPr>
        <w:t xml:space="preserve"> </w:t>
      </w:r>
      <w:r w:rsidRPr="001520F9">
        <w:rPr>
          <w:szCs w:val="16"/>
          <w:lang w:val="es-CR"/>
        </w:rPr>
        <w:tab/>
      </w:r>
      <w:r>
        <w:rPr>
          <w:szCs w:val="16"/>
          <w:lang w:val="es-CR"/>
        </w:rPr>
        <w:t>Los representantes de las víctimas “</w:t>
      </w:r>
      <w:proofErr w:type="gramStart"/>
      <w:r>
        <w:rPr>
          <w:szCs w:val="16"/>
          <w:lang w:val="es-CR"/>
        </w:rPr>
        <w:t>confirma[</w:t>
      </w:r>
      <w:proofErr w:type="gramEnd"/>
      <w:r>
        <w:rPr>
          <w:szCs w:val="16"/>
          <w:lang w:val="es-CR"/>
        </w:rPr>
        <w:t xml:space="preserve">ron] que el 5 de junio de 2014 se llevó a cabo el acto público de reconocimiento de responsabilidad internacional, por lo que considera[ron … que la] Corte puede dar por cumplida esta medida de satisfacción en su totalidad”. </w:t>
      </w:r>
      <w:r w:rsidRPr="001520F9">
        <w:rPr>
          <w:i/>
          <w:szCs w:val="16"/>
          <w:lang w:val="es-CR"/>
        </w:rPr>
        <w:t xml:space="preserve">Cfr. </w:t>
      </w:r>
      <w:r w:rsidRPr="001520F9">
        <w:rPr>
          <w:szCs w:val="16"/>
          <w:lang w:val="es-CR"/>
        </w:rPr>
        <w:t xml:space="preserve">Escrito de observaciones de los representantes </w:t>
      </w:r>
      <w:r>
        <w:rPr>
          <w:szCs w:val="16"/>
          <w:lang w:val="es-CR"/>
        </w:rPr>
        <w:t>de 28 de mayo de 2019</w:t>
      </w:r>
      <w:r w:rsidRPr="001520F9">
        <w:rPr>
          <w:szCs w:val="16"/>
          <w:lang w:val="es-CR"/>
        </w:rPr>
        <w:t>.</w:t>
      </w:r>
      <w:r>
        <w:rPr>
          <w:szCs w:val="16"/>
          <w:lang w:val="es-CR"/>
        </w:rPr>
        <w:t xml:space="preserve">  </w:t>
      </w:r>
    </w:p>
  </w:footnote>
  <w:footnote w:id="60">
    <w:p w14:paraId="77C073EB" w14:textId="77777777" w:rsidR="00217DD5" w:rsidRPr="00DB3AD3" w:rsidRDefault="00217DD5">
      <w:pPr>
        <w:pStyle w:val="Textonotapie"/>
        <w:rPr>
          <w:b/>
          <w:lang w:val="es-CR"/>
        </w:rPr>
      </w:pPr>
      <w:r>
        <w:rPr>
          <w:rStyle w:val="Refdenotaalpie"/>
        </w:rPr>
        <w:footnoteRef/>
      </w:r>
      <w:r w:rsidRPr="00C455C3">
        <w:rPr>
          <w:lang w:val="es-CR"/>
        </w:rPr>
        <w:t xml:space="preserve"> </w:t>
      </w:r>
      <w:r>
        <w:rPr>
          <w:lang w:val="es-CR"/>
        </w:rPr>
        <w:tab/>
        <w:t xml:space="preserve">El Estado aportó soporte fotográfico y en video del referido acto público. </w:t>
      </w:r>
      <w:r>
        <w:rPr>
          <w:i/>
          <w:lang w:val="es-CR"/>
        </w:rPr>
        <w:t xml:space="preserve">Cfr. </w:t>
      </w:r>
      <w:r>
        <w:rPr>
          <w:lang w:val="es-CR"/>
        </w:rPr>
        <w:t xml:space="preserve">Informe estatal de 5 de enero de 2015). </w:t>
      </w:r>
    </w:p>
  </w:footnote>
  <w:footnote w:id="61">
    <w:p w14:paraId="2D2BE9E5" w14:textId="77777777" w:rsidR="00217DD5" w:rsidRPr="00FF11BE" w:rsidRDefault="00217DD5" w:rsidP="00BA0D6D">
      <w:pPr>
        <w:pStyle w:val="Textonotapie"/>
        <w:tabs>
          <w:tab w:val="left" w:pos="720"/>
        </w:tabs>
        <w:rPr>
          <w:lang w:val="es-CR"/>
        </w:rPr>
      </w:pPr>
      <w:r>
        <w:rPr>
          <w:rStyle w:val="Refdenotaalpie"/>
        </w:rPr>
        <w:footnoteRef/>
      </w:r>
      <w:r w:rsidRPr="00FF11BE">
        <w:rPr>
          <w:lang w:val="es-CR"/>
        </w:rPr>
        <w:t xml:space="preserve"> </w:t>
      </w:r>
      <w:r>
        <w:rPr>
          <w:lang w:val="es-CR"/>
        </w:rPr>
        <w:tab/>
        <w:t>E</w:t>
      </w:r>
      <w:r>
        <w:rPr>
          <w:szCs w:val="16"/>
          <w:lang w:val="es-CR"/>
        </w:rPr>
        <w:t>ntre otras</w:t>
      </w:r>
      <w:r w:rsidRPr="00933FE7">
        <w:rPr>
          <w:szCs w:val="16"/>
          <w:lang w:val="es-CR"/>
        </w:rPr>
        <w:t xml:space="preserve">: i) </w:t>
      </w:r>
      <w:r>
        <w:rPr>
          <w:szCs w:val="16"/>
          <w:lang w:val="es-CR"/>
        </w:rPr>
        <w:t>n</w:t>
      </w:r>
      <w:r w:rsidRPr="00933FE7">
        <w:rPr>
          <w:szCs w:val="16"/>
          <w:lang w:val="es-CR"/>
        </w:rPr>
        <w:t xml:space="preserve">ota de prensa </w:t>
      </w:r>
      <w:r>
        <w:rPr>
          <w:szCs w:val="16"/>
          <w:lang w:val="es-CR"/>
        </w:rPr>
        <w:t>publicada</w:t>
      </w:r>
      <w:r w:rsidRPr="00933FE7">
        <w:rPr>
          <w:szCs w:val="16"/>
          <w:lang w:val="es-CR"/>
        </w:rPr>
        <w:t xml:space="preserve"> </w:t>
      </w:r>
      <w:r>
        <w:rPr>
          <w:szCs w:val="16"/>
          <w:lang w:val="es-CR"/>
        </w:rPr>
        <w:t>el 5 de junio de 2014 en la página web del Ministerio de Justicia y Derechos Humanos (anexo al informe estatal de 5 de enero de 2015); y ii)</w:t>
      </w:r>
      <w:r w:rsidRPr="00933FE7">
        <w:rPr>
          <w:szCs w:val="16"/>
          <w:lang w:val="es-CR"/>
        </w:rPr>
        <w:t xml:space="preserve"> </w:t>
      </w:r>
      <w:r>
        <w:rPr>
          <w:szCs w:val="16"/>
          <w:lang w:val="es-CR"/>
        </w:rPr>
        <w:t>seis videoclips de diferentes noticieros televisivos que hicieron referencia al acto de disculpas públicas en el marco del presente caso (anexos al informe estatal de 5 de enero de 2015).</w:t>
      </w:r>
    </w:p>
  </w:footnote>
  <w:footnote w:id="62">
    <w:p w14:paraId="08B8C2D9" w14:textId="77777777" w:rsidR="00217DD5" w:rsidRPr="0098432D" w:rsidRDefault="00217DD5">
      <w:pPr>
        <w:pStyle w:val="Textonotapie"/>
        <w:rPr>
          <w:lang w:val="es-CR"/>
        </w:rPr>
      </w:pPr>
      <w:r>
        <w:rPr>
          <w:rStyle w:val="Refdenotaalpie"/>
        </w:rPr>
        <w:footnoteRef/>
      </w:r>
      <w:r w:rsidRPr="0098432D">
        <w:rPr>
          <w:lang w:val="es-CR"/>
        </w:rPr>
        <w:t xml:space="preserve"> </w:t>
      </w:r>
      <w:r>
        <w:rPr>
          <w:lang w:val="es-CR"/>
        </w:rPr>
        <w:tab/>
      </w:r>
      <w:r>
        <w:rPr>
          <w:i/>
          <w:lang w:val="es-CR"/>
        </w:rPr>
        <w:t xml:space="preserve">Cfr. Osorio Rivera y familiares Vs. Perú, supra </w:t>
      </w:r>
      <w:r>
        <w:rPr>
          <w:lang w:val="es-CR"/>
        </w:rPr>
        <w:t>nota 1, párr. 267.</w:t>
      </w:r>
    </w:p>
  </w:footnote>
  <w:footnote w:id="63">
    <w:p w14:paraId="3317AB57" w14:textId="77777777" w:rsidR="00217DD5" w:rsidRPr="006C2CB2" w:rsidRDefault="00217DD5">
      <w:pPr>
        <w:pStyle w:val="Textonotapie"/>
        <w:rPr>
          <w:b/>
          <w:lang w:val="es-CR"/>
        </w:rPr>
      </w:pPr>
      <w:r>
        <w:rPr>
          <w:rStyle w:val="Refdenotaalpie"/>
        </w:rPr>
        <w:footnoteRef/>
      </w:r>
      <w:r w:rsidRPr="006C2CB2">
        <w:rPr>
          <w:lang w:val="es-CR"/>
        </w:rPr>
        <w:t xml:space="preserve"> </w:t>
      </w:r>
      <w:r>
        <w:rPr>
          <w:lang w:val="es-CR"/>
        </w:rPr>
        <w:tab/>
        <w:t xml:space="preserve">Tales como: i) “[r]eserva de vacantes en los exámenes de admisión en instituciones educativas públicas de nivel técnico y superior”; ii) “[e]xoneración de pagos de matrícula, pensiones, derecho de examen de ingreso, grados y títulos académicos y certificados de estudios; además de los servicios de comedor y vivienda, en los casos que correspondan, en instituciones educativas públicas de nivel básico, técnico y superior”; y iii) “[o]torgamiento de becas”. </w:t>
      </w:r>
      <w:r>
        <w:rPr>
          <w:i/>
          <w:lang w:val="es-CR"/>
        </w:rPr>
        <w:t xml:space="preserve">Cfr. </w:t>
      </w:r>
      <w:r>
        <w:rPr>
          <w:lang w:val="es-CR"/>
        </w:rPr>
        <w:t>Informe estatal de 15 de agosto de 2016.</w:t>
      </w:r>
    </w:p>
  </w:footnote>
  <w:footnote w:id="64">
    <w:p w14:paraId="2E14FE66" w14:textId="77777777" w:rsidR="00217DD5" w:rsidRPr="007E66F8" w:rsidRDefault="00217DD5">
      <w:pPr>
        <w:pStyle w:val="Textonotapie"/>
        <w:rPr>
          <w:b/>
          <w:lang w:val="es-CR"/>
        </w:rPr>
      </w:pPr>
      <w:r>
        <w:rPr>
          <w:rStyle w:val="Refdenotaalpie"/>
        </w:rPr>
        <w:footnoteRef/>
      </w:r>
      <w:r w:rsidRPr="007E66F8">
        <w:rPr>
          <w:lang w:val="es-CR"/>
        </w:rPr>
        <w:t xml:space="preserve"> </w:t>
      </w:r>
      <w:r>
        <w:rPr>
          <w:lang w:val="es-CR"/>
        </w:rPr>
        <w:tab/>
      </w:r>
      <w:r>
        <w:rPr>
          <w:i/>
          <w:lang w:val="es-CR"/>
        </w:rPr>
        <w:t xml:space="preserve">Cfr. </w:t>
      </w:r>
      <w:r>
        <w:rPr>
          <w:lang w:val="es-CR"/>
        </w:rPr>
        <w:t xml:space="preserve">Escrito de observaciones de la Comisión de 28 de octubre de 2016. </w:t>
      </w:r>
    </w:p>
  </w:footnote>
  <w:footnote w:id="65">
    <w:p w14:paraId="76706811" w14:textId="77777777" w:rsidR="00217DD5" w:rsidRPr="00A7085E" w:rsidRDefault="00217DD5">
      <w:pPr>
        <w:pStyle w:val="Textonotapie"/>
        <w:rPr>
          <w:b/>
          <w:lang w:val="es-CR"/>
        </w:rPr>
      </w:pPr>
      <w:r>
        <w:rPr>
          <w:rStyle w:val="Refdenotaalpie"/>
        </w:rPr>
        <w:footnoteRef/>
      </w:r>
      <w:r w:rsidRPr="00A7085E">
        <w:rPr>
          <w:lang w:val="es-CR"/>
        </w:rPr>
        <w:t xml:space="preserve"> </w:t>
      </w:r>
      <w:r>
        <w:rPr>
          <w:lang w:val="es-CR"/>
        </w:rPr>
        <w:tab/>
      </w:r>
      <w:r>
        <w:rPr>
          <w:i/>
          <w:lang w:val="es-CR"/>
        </w:rPr>
        <w:t xml:space="preserve">Cfr. </w:t>
      </w:r>
      <w:r>
        <w:rPr>
          <w:lang w:val="es-CR"/>
        </w:rPr>
        <w:t xml:space="preserve">Informe estatal de 26 de febrero de 2018. </w:t>
      </w:r>
    </w:p>
  </w:footnote>
  <w:footnote w:id="66">
    <w:p w14:paraId="51554C49" w14:textId="77777777" w:rsidR="00217DD5" w:rsidRPr="00B45835" w:rsidRDefault="00217DD5">
      <w:pPr>
        <w:pStyle w:val="Textonotapie"/>
        <w:rPr>
          <w:lang w:val="es-ES_tradnl"/>
        </w:rPr>
      </w:pPr>
      <w:r>
        <w:rPr>
          <w:rStyle w:val="Refdenotaalpie"/>
        </w:rPr>
        <w:footnoteRef/>
      </w:r>
      <w:r w:rsidRPr="007F66C7">
        <w:rPr>
          <w:lang w:val="es-AR"/>
        </w:rPr>
        <w:t xml:space="preserve"> </w:t>
      </w:r>
      <w:r>
        <w:rPr>
          <w:lang w:val="es-ES_tradnl"/>
        </w:rPr>
        <w:tab/>
      </w:r>
      <w:r>
        <w:rPr>
          <w:i/>
          <w:lang w:val="es-ES_tradnl"/>
        </w:rPr>
        <w:t xml:space="preserve">Cfr. </w:t>
      </w:r>
      <w:r>
        <w:rPr>
          <w:lang w:val="es-ES_tradnl"/>
        </w:rPr>
        <w:t xml:space="preserve">Informe estatal de 3 de octubre de 2019. </w:t>
      </w:r>
    </w:p>
  </w:footnote>
  <w:footnote w:id="67">
    <w:p w14:paraId="505C6CF4" w14:textId="77777777" w:rsidR="00217DD5" w:rsidRPr="004D3DA1" w:rsidRDefault="00217DD5">
      <w:pPr>
        <w:pStyle w:val="Textonotapie"/>
        <w:rPr>
          <w:b/>
          <w:i/>
          <w:lang w:val="es-CR"/>
        </w:rPr>
      </w:pPr>
      <w:r>
        <w:rPr>
          <w:rStyle w:val="Refdenotaalpie"/>
        </w:rPr>
        <w:footnoteRef/>
      </w:r>
      <w:r w:rsidRPr="004D3DA1">
        <w:rPr>
          <w:lang w:val="es-CR"/>
        </w:rPr>
        <w:t xml:space="preserve"> </w:t>
      </w:r>
      <w:r>
        <w:rPr>
          <w:lang w:val="es-CR"/>
        </w:rPr>
        <w:tab/>
        <w:t xml:space="preserve">Las víctimas comunicaron que: i) Edith Laritza Osorio Gaitán “[t]ransfiere la Beca a su hija, Rosa Evelyn Chavarr[í]a Osorio”; ii) Neida Osorio Gaitán “[t]ransfiere su Beca a su hija, Jade Rocío Cabana Osorio”; iii) Vannesa Judith Osorio Gaitán “[t]ransfiere su Beca a su hija, Cindy Lizbeth Solano Osorio”, y iv) Jersy Jeremías Osorio Gaitán “[a]ccede directamente a la Beca”. </w:t>
      </w:r>
      <w:r>
        <w:rPr>
          <w:i/>
          <w:lang w:val="es-CR"/>
        </w:rPr>
        <w:t xml:space="preserve">Cfr. </w:t>
      </w:r>
      <w:r>
        <w:rPr>
          <w:lang w:val="es-CR"/>
        </w:rPr>
        <w:t xml:space="preserve">Copia de la carta suscrita por la representación de las víctimas el 6 de abril de 2018 y presentada ante el Ministerio de Justicia y Derechos Humanos (anexo al escrito de observaciones de los representantes de 7 de septiembre de 2018). </w:t>
      </w:r>
    </w:p>
  </w:footnote>
  <w:footnote w:id="68">
    <w:p w14:paraId="04CC9DB8" w14:textId="77777777" w:rsidR="00217DD5" w:rsidRPr="00725889" w:rsidRDefault="00217DD5">
      <w:pPr>
        <w:pStyle w:val="Textonotapie"/>
        <w:rPr>
          <w:lang w:val="es-CR"/>
        </w:rPr>
      </w:pPr>
      <w:r>
        <w:rPr>
          <w:rStyle w:val="Refdenotaalpie"/>
        </w:rPr>
        <w:footnoteRef/>
      </w:r>
      <w:r w:rsidRPr="00725889">
        <w:rPr>
          <w:lang w:val="es-CR"/>
        </w:rPr>
        <w:t xml:space="preserve"> </w:t>
      </w:r>
      <w:r>
        <w:rPr>
          <w:lang w:val="es-CR"/>
        </w:rPr>
        <w:tab/>
      </w:r>
      <w:r>
        <w:rPr>
          <w:i/>
          <w:lang w:val="es-CR"/>
        </w:rPr>
        <w:t xml:space="preserve">Cfr. </w:t>
      </w:r>
      <w:r>
        <w:rPr>
          <w:lang w:val="es-CR"/>
        </w:rPr>
        <w:t xml:space="preserve">Copia de la carta suscrita por la representación de las víctimas el 6 de abril de 2018, </w:t>
      </w:r>
      <w:r>
        <w:rPr>
          <w:i/>
          <w:lang w:val="es-CR"/>
        </w:rPr>
        <w:t xml:space="preserve">supra </w:t>
      </w:r>
      <w:r w:rsidR="00120A34">
        <w:rPr>
          <w:lang w:val="es-CR"/>
        </w:rPr>
        <w:t>nota 67</w:t>
      </w:r>
      <w:r>
        <w:rPr>
          <w:lang w:val="es-CR"/>
        </w:rPr>
        <w:t xml:space="preserve">. </w:t>
      </w:r>
    </w:p>
  </w:footnote>
  <w:footnote w:id="69">
    <w:p w14:paraId="38CB3D7D" w14:textId="77777777" w:rsidR="00217DD5" w:rsidRPr="00077399" w:rsidRDefault="00217DD5">
      <w:pPr>
        <w:pStyle w:val="Textonotapie"/>
        <w:rPr>
          <w:b/>
          <w:lang w:val="es-CR"/>
        </w:rPr>
      </w:pPr>
      <w:r>
        <w:rPr>
          <w:rStyle w:val="Refdenotaalpie"/>
        </w:rPr>
        <w:footnoteRef/>
      </w:r>
      <w:r w:rsidRPr="00077399">
        <w:rPr>
          <w:lang w:val="es-CR"/>
        </w:rPr>
        <w:t xml:space="preserve"> </w:t>
      </w:r>
      <w:r>
        <w:rPr>
          <w:lang w:val="es-CR"/>
        </w:rPr>
        <w:tab/>
      </w:r>
      <w:r>
        <w:rPr>
          <w:i/>
          <w:lang w:val="es-CR"/>
        </w:rPr>
        <w:t xml:space="preserve">Cfr. </w:t>
      </w:r>
      <w:r>
        <w:rPr>
          <w:lang w:val="es-CR"/>
        </w:rPr>
        <w:t>Escrito de observaciones de los representantes de 28 de mayo de 2019</w:t>
      </w:r>
      <w:r w:rsidRPr="00994793">
        <w:rPr>
          <w:lang w:val="es-CR"/>
        </w:rPr>
        <w:t>.</w:t>
      </w:r>
    </w:p>
  </w:footnote>
  <w:footnote w:id="70">
    <w:p w14:paraId="6802AD3D" w14:textId="77777777" w:rsidR="00217DD5" w:rsidRPr="005D5FA5" w:rsidRDefault="00217DD5" w:rsidP="00BA0D6D">
      <w:pPr>
        <w:pStyle w:val="Textonotapie"/>
        <w:tabs>
          <w:tab w:val="left" w:pos="720"/>
        </w:tabs>
        <w:rPr>
          <w:lang w:val="es-CR"/>
        </w:rPr>
      </w:pPr>
      <w:r>
        <w:rPr>
          <w:rStyle w:val="Refdenotaalpie"/>
        </w:rPr>
        <w:footnoteRef/>
      </w:r>
      <w:r w:rsidRPr="005D5FA5">
        <w:rPr>
          <w:lang w:val="es-CR"/>
        </w:rPr>
        <w:t xml:space="preserve"> </w:t>
      </w:r>
      <w:r>
        <w:rPr>
          <w:lang w:val="es-CR"/>
        </w:rPr>
        <w:tab/>
      </w:r>
      <w:r>
        <w:rPr>
          <w:i/>
          <w:lang w:val="es-CR"/>
        </w:rPr>
        <w:t xml:space="preserve">Cfr. Caso Osorio Rivera y familiares Vs. Perú, supra </w:t>
      </w:r>
      <w:r>
        <w:rPr>
          <w:lang w:val="es-CR"/>
        </w:rPr>
        <w:t xml:space="preserve">nota 1, párrs. 126 y 274. </w:t>
      </w:r>
    </w:p>
  </w:footnote>
  <w:footnote w:id="71">
    <w:p w14:paraId="49BCEC47" w14:textId="77777777" w:rsidR="00217DD5" w:rsidRPr="00BA0D6D" w:rsidRDefault="00217DD5" w:rsidP="00F3605E">
      <w:pPr>
        <w:pStyle w:val="Textonotapie"/>
        <w:rPr>
          <w:b/>
          <w:lang w:val="es-CR"/>
        </w:rPr>
      </w:pPr>
      <w:r>
        <w:rPr>
          <w:rStyle w:val="Refdenotaalpie"/>
        </w:rPr>
        <w:footnoteRef/>
      </w:r>
      <w:r w:rsidRPr="00BA0D6D">
        <w:rPr>
          <w:lang w:val="es-CR"/>
        </w:rPr>
        <w:t xml:space="preserve"> </w:t>
      </w:r>
      <w:r>
        <w:rPr>
          <w:lang w:val="es-CR"/>
        </w:rPr>
        <w:tab/>
      </w:r>
      <w:r>
        <w:rPr>
          <w:i/>
          <w:lang w:val="es-CR"/>
        </w:rPr>
        <w:t xml:space="preserve">Cfr. </w:t>
      </w:r>
      <w:r>
        <w:rPr>
          <w:lang w:val="es-CR"/>
        </w:rPr>
        <w:t xml:space="preserve">Informes estatales de 5 de enero de 2015, 15 de agosto de 2016 y 26 de febrero de 2018. </w:t>
      </w:r>
    </w:p>
  </w:footnote>
  <w:footnote w:id="72">
    <w:p w14:paraId="6FC147F1" w14:textId="77777777" w:rsidR="00217DD5" w:rsidRPr="00C232AF" w:rsidRDefault="00217DD5" w:rsidP="00C232AF">
      <w:pPr>
        <w:pStyle w:val="Textonotapie"/>
        <w:rPr>
          <w:i/>
          <w:lang w:val="es-CR"/>
        </w:rPr>
      </w:pPr>
      <w:r>
        <w:rPr>
          <w:rStyle w:val="Refdenotaalpie"/>
        </w:rPr>
        <w:footnoteRef/>
      </w:r>
      <w:r w:rsidRPr="00C232AF">
        <w:rPr>
          <w:lang w:val="es-CR"/>
        </w:rPr>
        <w:t xml:space="preserve"> </w:t>
      </w:r>
      <w:r>
        <w:rPr>
          <w:lang w:val="es-CR"/>
        </w:rPr>
        <w:tab/>
        <w:t xml:space="preserve">En dicha Sentencia, la Corte </w:t>
      </w:r>
      <w:r w:rsidRPr="00C232AF">
        <w:rPr>
          <w:lang w:val="es-CR"/>
        </w:rPr>
        <w:t>declaró responsable internacionalmente al Estado de Perú por la violación al</w:t>
      </w:r>
      <w:r>
        <w:rPr>
          <w:lang w:val="es-CR"/>
        </w:rPr>
        <w:t xml:space="preserve"> </w:t>
      </w:r>
      <w:r w:rsidRPr="00C232AF">
        <w:rPr>
          <w:lang w:val="es-CR"/>
        </w:rPr>
        <w:t>principio del plazo razonable del proceso penal seguido en contra de un miembro del Ejército</w:t>
      </w:r>
      <w:r>
        <w:rPr>
          <w:lang w:val="es-CR"/>
        </w:rPr>
        <w:t xml:space="preserve"> </w:t>
      </w:r>
      <w:r w:rsidRPr="00C232AF">
        <w:rPr>
          <w:lang w:val="es-CR"/>
        </w:rPr>
        <w:t>peruano quien efectuó un disparo contra un vehículo de transporte público, causando la muerte</w:t>
      </w:r>
      <w:r>
        <w:rPr>
          <w:lang w:val="es-CR"/>
        </w:rPr>
        <w:t xml:space="preserve"> </w:t>
      </w:r>
      <w:r w:rsidRPr="00C232AF">
        <w:rPr>
          <w:lang w:val="es-CR"/>
        </w:rPr>
        <w:t>de dos pasajeras</w:t>
      </w:r>
      <w:r>
        <w:rPr>
          <w:lang w:val="es-CR"/>
        </w:rPr>
        <w:t xml:space="preserve">. También consideró que el Estado había sido </w:t>
      </w:r>
      <w:r w:rsidRPr="00C232AF">
        <w:rPr>
          <w:lang w:val="es-CR"/>
        </w:rPr>
        <w:t>responsable por haber violado, al momento de los hechos, su deber de adecuar el derecho interno</w:t>
      </w:r>
      <w:r>
        <w:rPr>
          <w:lang w:val="es-CR"/>
        </w:rPr>
        <w:t xml:space="preserve"> </w:t>
      </w:r>
      <w:r w:rsidRPr="00C232AF">
        <w:rPr>
          <w:lang w:val="es-CR"/>
        </w:rPr>
        <w:t>sobre precaución y prevención en el ejercicio del uso de la fuerza y sobre la asistencia debida a</w:t>
      </w:r>
      <w:r>
        <w:rPr>
          <w:lang w:val="es-CR"/>
        </w:rPr>
        <w:t xml:space="preserve"> </w:t>
      </w:r>
      <w:r w:rsidRPr="00C232AF">
        <w:rPr>
          <w:lang w:val="es-CR"/>
        </w:rPr>
        <w:t>las personas heridas o afectadas, así como por la aplicación de la Ley de Amnistía No 26.479 en</w:t>
      </w:r>
      <w:r>
        <w:rPr>
          <w:lang w:val="es-CR"/>
        </w:rPr>
        <w:t xml:space="preserve"> </w:t>
      </w:r>
      <w:r w:rsidRPr="00C232AF">
        <w:rPr>
          <w:lang w:val="es-CR"/>
        </w:rPr>
        <w:t>los procesos seguidos en contra del responsable del disparo</w:t>
      </w:r>
      <w:r>
        <w:rPr>
          <w:lang w:val="es-CR"/>
        </w:rPr>
        <w:t xml:space="preserve">. Por tanto, la Corte declaró que el Perú violó el artículo 8.1 de la Convención Americana, </w:t>
      </w:r>
      <w:r w:rsidRPr="00C232AF">
        <w:rPr>
          <w:lang w:val="es-CR"/>
        </w:rPr>
        <w:t>en relación co</w:t>
      </w:r>
      <w:r>
        <w:rPr>
          <w:lang w:val="es-CR"/>
        </w:rPr>
        <w:t xml:space="preserve">n el artículo 1.1 de la misma, así como </w:t>
      </w:r>
      <w:r w:rsidRPr="00C232AF">
        <w:rPr>
          <w:lang w:val="es-CR"/>
        </w:rPr>
        <w:t>el artículo 2 de la Convención Americana, en relación con los artículos</w:t>
      </w:r>
      <w:r>
        <w:rPr>
          <w:lang w:val="es-CR"/>
        </w:rPr>
        <w:t xml:space="preserve"> 4, 5, 8.1 y 25 de la misma. Las medidas de reparación ordenadas en razón de las referidas violaciones fueron una medida de satisfacción (publicación y difusión de la Sentencia) y una medida pecuniaria (reintegro de costas y gastos). </w:t>
      </w:r>
      <w:r>
        <w:rPr>
          <w:i/>
          <w:lang w:val="es-CR"/>
        </w:rPr>
        <w:t>Cfr. C</w:t>
      </w:r>
      <w:r w:rsidRPr="00C232AF">
        <w:rPr>
          <w:i/>
          <w:lang w:val="es-CR"/>
        </w:rPr>
        <w:t xml:space="preserve">aso Tarazona Arrieta y otros Vs. Perú. Excepción Preliminar, Fondo, Reparaciones y Costas. </w:t>
      </w:r>
      <w:r w:rsidRPr="00C232AF">
        <w:rPr>
          <w:lang w:val="es-CR"/>
        </w:rPr>
        <w:t>Sentencia de 15 de o</w:t>
      </w:r>
      <w:r>
        <w:rPr>
          <w:lang w:val="es-CR"/>
        </w:rPr>
        <w:t>ctubre de 2014. Serie C No. 286, párrs. 95 a 122, 155 a 169 y puntos resolutivos 7 y 8.</w:t>
      </w:r>
    </w:p>
  </w:footnote>
  <w:footnote w:id="73">
    <w:p w14:paraId="64F1D4D2" w14:textId="77777777" w:rsidR="00217DD5" w:rsidRPr="00267425" w:rsidRDefault="00217DD5">
      <w:pPr>
        <w:pStyle w:val="Textonotapie"/>
        <w:rPr>
          <w:lang w:val="es-CR"/>
        </w:rPr>
      </w:pPr>
      <w:r>
        <w:rPr>
          <w:rStyle w:val="Refdenotaalpie"/>
        </w:rPr>
        <w:footnoteRef/>
      </w:r>
      <w:r w:rsidRPr="00267425">
        <w:rPr>
          <w:lang w:val="es-CR"/>
        </w:rPr>
        <w:t xml:space="preserve"> </w:t>
      </w:r>
      <w:r>
        <w:rPr>
          <w:lang w:val="es-CR"/>
        </w:rPr>
        <w:tab/>
      </w:r>
      <w:r>
        <w:rPr>
          <w:i/>
          <w:lang w:val="es-CR"/>
        </w:rPr>
        <w:t xml:space="preserve">Cfr. Caso Osorio Rivera y familiares Vs. Perú, supra </w:t>
      </w:r>
      <w:r>
        <w:rPr>
          <w:lang w:val="es-CR"/>
        </w:rPr>
        <w:t>nota 1, párr. 58.</w:t>
      </w:r>
    </w:p>
  </w:footnote>
  <w:footnote w:id="74">
    <w:p w14:paraId="2C7E6843" w14:textId="77777777" w:rsidR="00217DD5" w:rsidRPr="00D011AE" w:rsidRDefault="00217DD5">
      <w:pPr>
        <w:pStyle w:val="Textonotapie"/>
        <w:rPr>
          <w:b/>
          <w:lang w:val="es-CR"/>
        </w:rPr>
      </w:pPr>
      <w:r>
        <w:rPr>
          <w:rStyle w:val="Refdenotaalpie"/>
        </w:rPr>
        <w:footnoteRef/>
      </w:r>
      <w:r w:rsidRPr="00D011AE">
        <w:rPr>
          <w:lang w:val="es-CR"/>
        </w:rPr>
        <w:t xml:space="preserve"> </w:t>
      </w:r>
      <w:r>
        <w:rPr>
          <w:lang w:val="es-CR"/>
        </w:rPr>
        <w:tab/>
      </w:r>
      <w:r>
        <w:rPr>
          <w:i/>
          <w:lang w:val="es-CR"/>
        </w:rPr>
        <w:t xml:space="preserve">Cfr. </w:t>
      </w:r>
      <w:r>
        <w:rPr>
          <w:lang w:val="es-CR"/>
        </w:rPr>
        <w:t>Informe estatal de 26 de marzo de 2019.</w:t>
      </w:r>
    </w:p>
  </w:footnote>
  <w:footnote w:id="75">
    <w:p w14:paraId="0872A25E" w14:textId="77777777" w:rsidR="00217DD5" w:rsidRPr="00024E0F" w:rsidRDefault="00217DD5">
      <w:pPr>
        <w:pStyle w:val="Textonotapie"/>
        <w:rPr>
          <w:b/>
          <w:lang w:val="es-CR"/>
        </w:rPr>
      </w:pPr>
      <w:r>
        <w:rPr>
          <w:rStyle w:val="Refdenotaalpie"/>
        </w:rPr>
        <w:footnoteRef/>
      </w:r>
      <w:r w:rsidRPr="00024E0F">
        <w:rPr>
          <w:lang w:val="es-CR"/>
        </w:rPr>
        <w:t xml:space="preserve"> </w:t>
      </w:r>
      <w:r>
        <w:rPr>
          <w:lang w:val="es-CR"/>
        </w:rPr>
        <w:tab/>
      </w:r>
      <w:r>
        <w:rPr>
          <w:i/>
          <w:lang w:val="es-CR"/>
        </w:rPr>
        <w:t xml:space="preserve">Cfr. </w:t>
      </w:r>
      <w:r>
        <w:rPr>
          <w:lang w:val="es-CR"/>
        </w:rPr>
        <w:t xml:space="preserve">Oficio N° 01086-2019-MINDEF/SG de 14 de febrero de 2019 suscrito por la Secretaría General del Ministerio de Defensa del Perú (anexo al informe estatal de 26 de marzo de 2019). </w:t>
      </w:r>
    </w:p>
  </w:footnote>
  <w:footnote w:id="76">
    <w:p w14:paraId="30CBA353" w14:textId="77777777" w:rsidR="00217DD5" w:rsidRPr="000819D6" w:rsidRDefault="00217DD5">
      <w:pPr>
        <w:pStyle w:val="Textonotapie"/>
        <w:rPr>
          <w:lang w:val="es-ES_tradnl"/>
        </w:rPr>
      </w:pPr>
      <w:r>
        <w:rPr>
          <w:rStyle w:val="Refdenotaalpie"/>
        </w:rPr>
        <w:footnoteRef/>
      </w:r>
      <w:r w:rsidRPr="007F66C7">
        <w:rPr>
          <w:lang w:val="es-AR"/>
        </w:rPr>
        <w:t xml:space="preserve"> </w:t>
      </w:r>
      <w:r>
        <w:rPr>
          <w:lang w:val="es-ES_tradnl"/>
        </w:rPr>
        <w:tab/>
      </w:r>
      <w:r>
        <w:rPr>
          <w:i/>
          <w:lang w:val="es-ES_tradnl"/>
        </w:rPr>
        <w:t xml:space="preserve">Cfr. </w:t>
      </w:r>
      <w:r>
        <w:rPr>
          <w:lang w:val="es-ES_tradnl"/>
        </w:rPr>
        <w:t xml:space="preserve">Oficio </w:t>
      </w:r>
      <w:r>
        <w:rPr>
          <w:lang w:val="es-CR"/>
        </w:rPr>
        <w:t>N° 849/DIEDOCE/C-3.a/05.00 de 4 de julio de 2019 del Ministerio de Defensa (anexo al informe estatal de 3 de octubre de 2019).</w:t>
      </w:r>
    </w:p>
  </w:footnote>
  <w:footnote w:id="77">
    <w:p w14:paraId="0F458351" w14:textId="77777777" w:rsidR="00217DD5" w:rsidRPr="00D351F7" w:rsidRDefault="00217DD5">
      <w:pPr>
        <w:pStyle w:val="Textonotapie"/>
        <w:rPr>
          <w:b/>
          <w:lang w:val="es-CR"/>
        </w:rPr>
      </w:pPr>
      <w:r>
        <w:rPr>
          <w:rStyle w:val="Refdenotaalpie"/>
        </w:rPr>
        <w:footnoteRef/>
      </w:r>
      <w:r w:rsidRPr="00D351F7">
        <w:rPr>
          <w:lang w:val="es-CR"/>
        </w:rPr>
        <w:t xml:space="preserve"> </w:t>
      </w:r>
      <w:r>
        <w:rPr>
          <w:lang w:val="es-CR"/>
        </w:rPr>
        <w:tab/>
      </w:r>
      <w:r>
        <w:rPr>
          <w:i/>
          <w:lang w:val="es-CR"/>
        </w:rPr>
        <w:t xml:space="preserve">Cfr. </w:t>
      </w:r>
      <w:r>
        <w:rPr>
          <w:lang w:val="es-CR"/>
        </w:rPr>
        <w:t xml:space="preserve">Escrito de observaciones de los representantes de 3 de junio de 2016. </w:t>
      </w:r>
    </w:p>
  </w:footnote>
  <w:footnote w:id="78">
    <w:p w14:paraId="78CB7DEF" w14:textId="77777777" w:rsidR="00217DD5" w:rsidRPr="00DC4B52" w:rsidRDefault="00217DD5">
      <w:pPr>
        <w:pStyle w:val="Textonotapie"/>
        <w:rPr>
          <w:b/>
          <w:lang w:val="es-CR"/>
        </w:rPr>
      </w:pPr>
      <w:r>
        <w:rPr>
          <w:rStyle w:val="Refdenotaalpie"/>
        </w:rPr>
        <w:footnoteRef/>
      </w:r>
      <w:r w:rsidRPr="00DC4B52">
        <w:rPr>
          <w:lang w:val="es-CR"/>
        </w:rPr>
        <w:t xml:space="preserve"> </w:t>
      </w:r>
      <w:r>
        <w:rPr>
          <w:lang w:val="es-CR"/>
        </w:rPr>
        <w:tab/>
      </w:r>
      <w:r>
        <w:rPr>
          <w:i/>
          <w:lang w:val="es-CR"/>
        </w:rPr>
        <w:t xml:space="preserve">Cfr. </w:t>
      </w:r>
      <w:r>
        <w:rPr>
          <w:lang w:val="es-CR"/>
        </w:rPr>
        <w:t xml:space="preserve">Escrito de observaciones de los representantes de 28 de mayo de 2019. </w:t>
      </w:r>
    </w:p>
  </w:footnote>
  <w:footnote w:id="79">
    <w:p w14:paraId="31AB2CEA" w14:textId="77777777" w:rsidR="00217DD5" w:rsidRPr="00D351F7" w:rsidRDefault="00217DD5">
      <w:pPr>
        <w:pStyle w:val="Textonotapie"/>
        <w:rPr>
          <w:i/>
          <w:lang w:val="es-CR"/>
        </w:rPr>
      </w:pPr>
      <w:r>
        <w:rPr>
          <w:rStyle w:val="Refdenotaalpie"/>
        </w:rPr>
        <w:footnoteRef/>
      </w:r>
      <w:r w:rsidRPr="00D351F7">
        <w:rPr>
          <w:lang w:val="es-CR"/>
        </w:rPr>
        <w:t xml:space="preserve"> </w:t>
      </w:r>
      <w:r>
        <w:rPr>
          <w:lang w:val="es-CR"/>
        </w:rPr>
        <w:tab/>
      </w:r>
      <w:r>
        <w:rPr>
          <w:i/>
          <w:lang w:val="es-CR"/>
        </w:rPr>
        <w:t xml:space="preserve">Cfr. </w:t>
      </w:r>
      <w:r>
        <w:rPr>
          <w:lang w:val="es-CR"/>
        </w:rPr>
        <w:t xml:space="preserve">Escrito de observaciones de los representantes de 28 de mayo de 2019. </w:t>
      </w:r>
    </w:p>
  </w:footnote>
  <w:footnote w:id="80">
    <w:p w14:paraId="0EE6E6DA" w14:textId="77777777" w:rsidR="00217DD5" w:rsidRPr="00047D1F" w:rsidRDefault="00217DD5" w:rsidP="009E73DA">
      <w:pPr>
        <w:pStyle w:val="Textonotapie"/>
        <w:rPr>
          <w:lang w:val="es-CR"/>
        </w:rPr>
      </w:pPr>
      <w:r>
        <w:rPr>
          <w:rStyle w:val="Refdenotaalpie"/>
        </w:rPr>
        <w:footnoteRef/>
      </w:r>
      <w:r w:rsidRPr="009E73DA">
        <w:rPr>
          <w:lang w:val="es-CR"/>
        </w:rPr>
        <w:t xml:space="preserve"> </w:t>
      </w:r>
      <w:r>
        <w:rPr>
          <w:lang w:val="es-CR"/>
        </w:rPr>
        <w:tab/>
        <w:t xml:space="preserve">La Corte determinó </w:t>
      </w:r>
      <w:r w:rsidRPr="009E73DA">
        <w:rPr>
          <w:lang w:val="es-CR"/>
        </w:rPr>
        <w:t>fijar</w:t>
      </w:r>
      <w:r>
        <w:rPr>
          <w:lang w:val="es-CR"/>
        </w:rPr>
        <w:t>, en equidad,</w:t>
      </w:r>
      <w:r w:rsidRPr="009E73DA">
        <w:rPr>
          <w:lang w:val="es-CR"/>
        </w:rPr>
        <w:t xml:space="preserve"> la cantidad de US$ 57.500,00 (cincuenta y siete mil quinientos dólares de los</w:t>
      </w:r>
      <w:r>
        <w:rPr>
          <w:lang w:val="es-CR"/>
        </w:rPr>
        <w:t xml:space="preserve"> </w:t>
      </w:r>
      <w:r w:rsidRPr="009E73DA">
        <w:rPr>
          <w:lang w:val="es-CR"/>
        </w:rPr>
        <w:t>Estados Unidos de América) por concepto de ingresos dejados de percibir por el señor Jeremías</w:t>
      </w:r>
      <w:r>
        <w:rPr>
          <w:lang w:val="es-CR"/>
        </w:rPr>
        <w:t xml:space="preserve"> </w:t>
      </w:r>
      <w:r w:rsidRPr="009E73DA">
        <w:rPr>
          <w:lang w:val="es-CR"/>
        </w:rPr>
        <w:t>Osorio Rivera. L</w:t>
      </w:r>
      <w:r>
        <w:rPr>
          <w:lang w:val="es-CR"/>
        </w:rPr>
        <w:t>a mitad de dicha cantidad debería</w:t>
      </w:r>
      <w:r w:rsidRPr="009E73DA">
        <w:rPr>
          <w:lang w:val="es-CR"/>
        </w:rPr>
        <w:t xml:space="preserve"> ser entregada a la señora Santa Fe Gaitán</w:t>
      </w:r>
      <w:r>
        <w:rPr>
          <w:lang w:val="es-CR"/>
        </w:rPr>
        <w:t xml:space="preserve"> </w:t>
      </w:r>
      <w:r w:rsidRPr="009E73DA">
        <w:rPr>
          <w:lang w:val="es-CR"/>
        </w:rPr>
        <w:t xml:space="preserve">Calderón, y la otra mitad </w:t>
      </w:r>
      <w:r>
        <w:rPr>
          <w:lang w:val="es-CR"/>
        </w:rPr>
        <w:t>debería</w:t>
      </w:r>
      <w:r w:rsidRPr="009E73DA">
        <w:rPr>
          <w:lang w:val="es-CR"/>
        </w:rPr>
        <w:t xml:space="preserve"> ser repartida en partes iguales, entre las hijas e hijo del señor</w:t>
      </w:r>
      <w:r>
        <w:rPr>
          <w:lang w:val="es-CR"/>
        </w:rPr>
        <w:t xml:space="preserve"> </w:t>
      </w:r>
      <w:r w:rsidRPr="009E73DA">
        <w:rPr>
          <w:lang w:val="es-CR"/>
        </w:rPr>
        <w:t>Jeremías Osorio Rivera, a saber, Edith Laritza Osorio Gaytán, Neida Rocío Osorio Gaitán, Vannesa</w:t>
      </w:r>
      <w:r>
        <w:rPr>
          <w:lang w:val="es-CR"/>
        </w:rPr>
        <w:t xml:space="preserve"> </w:t>
      </w:r>
      <w:r w:rsidRPr="009E73DA">
        <w:rPr>
          <w:lang w:val="es-CR"/>
        </w:rPr>
        <w:t>Judith Osorio Gaitán y Jersy Jeremías Osorio Gaitán</w:t>
      </w:r>
      <w:r>
        <w:rPr>
          <w:lang w:val="es-CR"/>
        </w:rPr>
        <w:t xml:space="preserve">. Asimismo, el Tribunal fijó, en equidad, </w:t>
      </w:r>
      <w:r w:rsidRPr="009E73DA">
        <w:rPr>
          <w:lang w:val="es-CR"/>
        </w:rPr>
        <w:t>la cantidad de US$</w:t>
      </w:r>
      <w:r>
        <w:rPr>
          <w:lang w:val="es-CR"/>
        </w:rPr>
        <w:t xml:space="preserve"> </w:t>
      </w:r>
      <w:r w:rsidRPr="009E73DA">
        <w:rPr>
          <w:lang w:val="es-CR"/>
        </w:rPr>
        <w:t>10.000,00 (diez mil dólares de los Estados Unidos de América)</w:t>
      </w:r>
      <w:r>
        <w:rPr>
          <w:lang w:val="es-CR"/>
        </w:rPr>
        <w:t xml:space="preserve"> por concepto de daño emergente. Estableció que l</w:t>
      </w:r>
      <w:r w:rsidRPr="00047D1F">
        <w:rPr>
          <w:lang w:val="es-CR"/>
        </w:rPr>
        <w:t xml:space="preserve">a mitad de dicha cantidad </w:t>
      </w:r>
      <w:r>
        <w:rPr>
          <w:lang w:val="es-CR"/>
        </w:rPr>
        <w:t>debería</w:t>
      </w:r>
      <w:r w:rsidRPr="00047D1F">
        <w:rPr>
          <w:lang w:val="es-CR"/>
        </w:rPr>
        <w:t xml:space="preserve"> ser entregada a la </w:t>
      </w:r>
      <w:r>
        <w:rPr>
          <w:lang w:val="es-CR"/>
        </w:rPr>
        <w:t>señora Santa Fe Gaitán Calderón</w:t>
      </w:r>
      <w:r w:rsidRPr="00047D1F">
        <w:rPr>
          <w:lang w:val="es-CR"/>
        </w:rPr>
        <w:t xml:space="preserve"> y la otra mitad al señor Porfirio Osorio Rivera.</w:t>
      </w:r>
    </w:p>
  </w:footnote>
  <w:footnote w:id="81">
    <w:p w14:paraId="4B32E481" w14:textId="77777777" w:rsidR="00217DD5" w:rsidRPr="006F53D5" w:rsidRDefault="00217DD5">
      <w:pPr>
        <w:pStyle w:val="Textonotapie"/>
        <w:rPr>
          <w:lang w:val="es-CR"/>
        </w:rPr>
      </w:pPr>
      <w:r>
        <w:rPr>
          <w:rStyle w:val="Refdenotaalpie"/>
        </w:rPr>
        <w:footnoteRef/>
      </w:r>
      <w:r w:rsidRPr="0099378D">
        <w:rPr>
          <w:lang w:val="es-CR"/>
        </w:rPr>
        <w:t xml:space="preserve"> </w:t>
      </w:r>
      <w:r>
        <w:rPr>
          <w:lang w:val="es-CR"/>
        </w:rPr>
        <w:tab/>
        <w:t xml:space="preserve">El Tribunal determinó fijar, en equidad, la cantidad de </w:t>
      </w:r>
      <w:r w:rsidRPr="0099378D">
        <w:rPr>
          <w:lang w:val="es-CR"/>
        </w:rPr>
        <w:t>US$ 80.000,00 (ochenta mil dólares de</w:t>
      </w:r>
      <w:r>
        <w:rPr>
          <w:lang w:val="es-CR"/>
        </w:rPr>
        <w:t xml:space="preserve"> los Estados Unidos de América) a favor del señor Jeremías Osorio Rivera. </w:t>
      </w:r>
      <w:r w:rsidRPr="0099378D">
        <w:rPr>
          <w:lang w:val="es-CR"/>
        </w:rPr>
        <w:t xml:space="preserve">La mitad de dicha cantidad </w:t>
      </w:r>
      <w:r>
        <w:rPr>
          <w:lang w:val="es-CR"/>
        </w:rPr>
        <w:t>debería</w:t>
      </w:r>
      <w:r w:rsidRPr="0099378D">
        <w:rPr>
          <w:lang w:val="es-CR"/>
        </w:rPr>
        <w:t xml:space="preserve"> ser entregada a la señora Santa Fe Gaitán Calderón, y la otra mitad </w:t>
      </w:r>
      <w:r>
        <w:rPr>
          <w:lang w:val="es-CR"/>
        </w:rPr>
        <w:t>debería</w:t>
      </w:r>
      <w:r w:rsidRPr="0099378D">
        <w:rPr>
          <w:lang w:val="es-CR"/>
        </w:rPr>
        <w:t xml:space="preserve"> ser repartida en partes iguales, entre las hijas e hijo del señor Jeremías Osorio Rivera, a saber, Edith Laritza Osorio Gaytán, Neida Rocío Osorio Gaitán, Vannesa Judith Osorio Gaitán y Jersy Jeremías Osorio Gaitán</w:t>
      </w:r>
      <w:r>
        <w:rPr>
          <w:lang w:val="es-CR"/>
        </w:rPr>
        <w:t xml:space="preserve">. Asimismo, la Corte fijó en equidad </w:t>
      </w:r>
      <w:r w:rsidRPr="0099378D">
        <w:rPr>
          <w:lang w:val="es-CR"/>
        </w:rPr>
        <w:t xml:space="preserve">la cantidad de US$ 45.000,00 (cuarenta y cinco mil dólares de </w:t>
      </w:r>
      <w:r>
        <w:rPr>
          <w:lang w:val="es-CR"/>
        </w:rPr>
        <w:t xml:space="preserve">los Estados Unidos de América) </w:t>
      </w:r>
      <w:r w:rsidRPr="0099378D">
        <w:rPr>
          <w:lang w:val="es-CR"/>
        </w:rPr>
        <w:t xml:space="preserve">a favor de Santa Fe Gaitán Calderón, así como de cada uno </w:t>
      </w:r>
      <w:r>
        <w:rPr>
          <w:lang w:val="es-CR"/>
        </w:rPr>
        <w:t xml:space="preserve">de </w:t>
      </w:r>
      <w:r w:rsidRPr="0099378D">
        <w:rPr>
          <w:lang w:val="es-CR"/>
        </w:rPr>
        <w:t>los hijos de Jeremías Osorio Rivera</w:t>
      </w:r>
      <w:r>
        <w:rPr>
          <w:lang w:val="es-CR"/>
        </w:rPr>
        <w:t>,</w:t>
      </w:r>
      <w:r w:rsidRPr="0099378D">
        <w:rPr>
          <w:lang w:val="es-CR"/>
        </w:rPr>
        <w:t xml:space="preserve"> a saber, Edith Laritza Osorio Gaytán, Neida Rocío Osorio Gaitán, Vannesa Judith Osorio Gaitán y Jersy Jeremías Osorio Gaitán</w:t>
      </w:r>
      <w:r>
        <w:rPr>
          <w:lang w:val="es-CR"/>
        </w:rPr>
        <w:t>. También la Corte fijó</w:t>
      </w:r>
      <w:r w:rsidRPr="006F53D5">
        <w:rPr>
          <w:lang w:val="es-CR"/>
        </w:rPr>
        <w:t xml:space="preserve"> en equidad la cantidad de US$ 20.000,00 (veinte mil dólares de los Estados Unidos de América) a favor de Juana Rivera Lozano, así como la cantidad de US$ 10.000,00 (diez mil dólares de los Estados Unidos de América) a favor de cada uno de los siguientes hermanos de Jeremías Osorio Rivera, a saber, Epifanía Alejandrina, Elena Máxima, Adelaida, Silvia, Mario y Efraín, todos ellos de apellido Osorio Rivera. </w:t>
      </w:r>
      <w:r>
        <w:rPr>
          <w:lang w:val="es-CR"/>
        </w:rPr>
        <w:t>Finalmente, la Corte fijó</w:t>
      </w:r>
      <w:r w:rsidRPr="006F53D5">
        <w:rPr>
          <w:lang w:val="es-CR"/>
        </w:rPr>
        <w:t xml:space="preserve"> en equidad la cantidad de US$ 45.000,00 (cuarenta y cinco mil dólares de los Estados Unidos de América) a </w:t>
      </w:r>
      <w:r>
        <w:rPr>
          <w:lang w:val="es-CR"/>
        </w:rPr>
        <w:t>favor de Porfirio Osorio Rivera.</w:t>
      </w:r>
    </w:p>
  </w:footnote>
  <w:footnote w:id="82">
    <w:p w14:paraId="7A750240" w14:textId="77777777" w:rsidR="00217DD5" w:rsidRPr="00130C5C" w:rsidRDefault="00217DD5" w:rsidP="00BA0D6D">
      <w:pPr>
        <w:pStyle w:val="Textonotapie"/>
        <w:tabs>
          <w:tab w:val="left" w:pos="720"/>
        </w:tabs>
        <w:rPr>
          <w:szCs w:val="16"/>
          <w:lang w:val="es-CR"/>
        </w:rPr>
      </w:pPr>
      <w:r w:rsidRPr="00933FE7">
        <w:rPr>
          <w:rStyle w:val="Refdenotaalpie"/>
          <w:szCs w:val="16"/>
          <w:lang w:val="es-CR"/>
        </w:rPr>
        <w:footnoteRef/>
      </w:r>
      <w:r w:rsidRPr="00933FE7">
        <w:rPr>
          <w:szCs w:val="16"/>
          <w:lang w:val="es-CR"/>
        </w:rPr>
        <w:t xml:space="preserve"> </w:t>
      </w:r>
      <w:r w:rsidRPr="00933FE7">
        <w:rPr>
          <w:szCs w:val="16"/>
          <w:lang w:val="es-CR"/>
        </w:rPr>
        <w:tab/>
      </w:r>
      <w:r>
        <w:rPr>
          <w:lang w:val="es-CR"/>
        </w:rPr>
        <w:t>La</w:t>
      </w:r>
      <w:r w:rsidRPr="00130C5C">
        <w:rPr>
          <w:lang w:val="es-CR"/>
        </w:rPr>
        <w:t xml:space="preserve"> Corte </w:t>
      </w:r>
      <w:r>
        <w:rPr>
          <w:lang w:val="es-CR"/>
        </w:rPr>
        <w:t>fijó</w:t>
      </w:r>
      <w:r w:rsidRPr="00130C5C">
        <w:rPr>
          <w:lang w:val="es-CR"/>
        </w:rPr>
        <w:t>, en equidad, la cantidad de US$ 10.000,00 (diez mil dólares de los Estados Unidos de América) para la Asociación Pro Derechos Humanos (APRODEH)</w:t>
      </w:r>
      <w:r>
        <w:rPr>
          <w:lang w:val="es-CR"/>
        </w:rPr>
        <w:t>.</w:t>
      </w:r>
    </w:p>
  </w:footnote>
  <w:footnote w:id="83">
    <w:p w14:paraId="75E445D6" w14:textId="77777777" w:rsidR="00217DD5" w:rsidRPr="00426A6D" w:rsidRDefault="00217DD5">
      <w:pPr>
        <w:pStyle w:val="Textonotapie"/>
        <w:rPr>
          <w:b/>
          <w:lang w:val="es-CR"/>
        </w:rPr>
      </w:pPr>
      <w:r>
        <w:rPr>
          <w:rStyle w:val="Refdenotaalpie"/>
        </w:rPr>
        <w:footnoteRef/>
      </w:r>
      <w:r w:rsidRPr="00796291">
        <w:rPr>
          <w:lang w:val="es-CR"/>
        </w:rPr>
        <w:t xml:space="preserve"> </w:t>
      </w:r>
      <w:r>
        <w:rPr>
          <w:lang w:val="es-CR"/>
        </w:rPr>
        <w:tab/>
      </w:r>
      <w:r>
        <w:rPr>
          <w:i/>
          <w:lang w:val="es-CR"/>
        </w:rPr>
        <w:t xml:space="preserve">Cfr. </w:t>
      </w:r>
      <w:r>
        <w:rPr>
          <w:lang w:val="es-CR"/>
        </w:rPr>
        <w:t xml:space="preserve">Comprobantes de pago de fecha 15 de enero de 2015 (anexos al informe estatal de 15 de agosto de 2016). </w:t>
      </w:r>
    </w:p>
  </w:footnote>
  <w:footnote w:id="84">
    <w:p w14:paraId="515814DB" w14:textId="77777777" w:rsidR="00217DD5" w:rsidRPr="00332C61" w:rsidRDefault="00217DD5">
      <w:pPr>
        <w:pStyle w:val="Textonotapie"/>
        <w:rPr>
          <w:b/>
          <w:lang w:val="es-CR"/>
        </w:rPr>
      </w:pPr>
      <w:r>
        <w:rPr>
          <w:rStyle w:val="Refdenotaalpie"/>
        </w:rPr>
        <w:footnoteRef/>
      </w:r>
      <w:r w:rsidRPr="00796291">
        <w:rPr>
          <w:lang w:val="es-CR"/>
        </w:rPr>
        <w:t xml:space="preserve"> </w:t>
      </w:r>
      <w:r>
        <w:rPr>
          <w:lang w:val="es-CR"/>
        </w:rPr>
        <w:tab/>
      </w:r>
      <w:r>
        <w:rPr>
          <w:i/>
          <w:lang w:val="es-CR"/>
        </w:rPr>
        <w:t xml:space="preserve">Cfr. </w:t>
      </w:r>
      <w:r>
        <w:rPr>
          <w:lang w:val="es-CR"/>
        </w:rPr>
        <w:t xml:space="preserve">Escrito de observaciones de los representantes de 3 de junio de 2016. </w:t>
      </w:r>
    </w:p>
  </w:footnote>
  <w:footnote w:id="85">
    <w:p w14:paraId="3B2507FA" w14:textId="77777777" w:rsidR="00217DD5" w:rsidRPr="00796291" w:rsidRDefault="00217DD5" w:rsidP="00BA0D6D">
      <w:pPr>
        <w:pStyle w:val="Textonotapie"/>
        <w:tabs>
          <w:tab w:val="left" w:pos="720"/>
        </w:tabs>
        <w:rPr>
          <w:b/>
          <w:szCs w:val="16"/>
          <w:lang w:val="es-CR"/>
        </w:rPr>
      </w:pPr>
      <w:r w:rsidRPr="00933FE7">
        <w:rPr>
          <w:rStyle w:val="Refdenotaalpie"/>
          <w:szCs w:val="16"/>
        </w:rPr>
        <w:footnoteRef/>
      </w:r>
      <w:r w:rsidRPr="00796291">
        <w:rPr>
          <w:szCs w:val="16"/>
          <w:lang w:val="es-CR"/>
        </w:rPr>
        <w:t xml:space="preserve"> </w:t>
      </w:r>
      <w:r w:rsidRPr="00796291">
        <w:rPr>
          <w:szCs w:val="16"/>
          <w:lang w:val="es-CR"/>
        </w:rPr>
        <w:tab/>
        <w:t xml:space="preserve">A favor de: Santa Fe Gaitán Calderón, Edith Laritza Osorio Gaitán, </w:t>
      </w:r>
      <w:r w:rsidRPr="00796291">
        <w:rPr>
          <w:lang w:val="es-CR"/>
        </w:rPr>
        <w:t xml:space="preserve">Neida Rocío Osorio Gaitán, Porfirio Osorio Rivera, Juana Rivera Lozano, Epifanía Alejandrina Osorio Rivera, Elena Máxima Osorio Rivera, Adelaida Osorio Rivera, Silvia Osorio Rivera y </w:t>
      </w:r>
      <w:r>
        <w:rPr>
          <w:lang w:val="es-CR"/>
        </w:rPr>
        <w:t>Mario</w:t>
      </w:r>
      <w:r w:rsidRPr="00796291">
        <w:rPr>
          <w:lang w:val="es-CR"/>
        </w:rPr>
        <w:t xml:space="preserve"> Osorio Rivera.</w:t>
      </w:r>
      <w:r>
        <w:rPr>
          <w:lang w:val="es-CR"/>
        </w:rPr>
        <w:t xml:space="preserve"> </w:t>
      </w:r>
    </w:p>
  </w:footnote>
  <w:footnote w:id="86">
    <w:p w14:paraId="16AFC34F" w14:textId="77777777" w:rsidR="00217DD5" w:rsidRPr="00796291" w:rsidRDefault="00217DD5">
      <w:pPr>
        <w:pStyle w:val="Textonotapie"/>
        <w:rPr>
          <w:lang w:val="es-CR"/>
        </w:rPr>
      </w:pPr>
      <w:r>
        <w:rPr>
          <w:rStyle w:val="Refdenotaalpie"/>
        </w:rPr>
        <w:footnoteRef/>
      </w:r>
      <w:r w:rsidRPr="00796291">
        <w:rPr>
          <w:lang w:val="es-CR"/>
        </w:rPr>
        <w:t xml:space="preserve"> </w:t>
      </w:r>
      <w:r>
        <w:rPr>
          <w:lang w:val="es-CR"/>
        </w:rPr>
        <w:tab/>
        <w:t>A favor de Vannesa Judith Osorio Gaitán.</w:t>
      </w:r>
    </w:p>
  </w:footnote>
  <w:footnote w:id="87">
    <w:p w14:paraId="6FE47E18" w14:textId="77777777" w:rsidR="00217DD5" w:rsidRPr="00C071FD" w:rsidRDefault="00217DD5">
      <w:pPr>
        <w:pStyle w:val="Textonotapie"/>
        <w:rPr>
          <w:b/>
          <w:lang w:val="es-CR"/>
        </w:rPr>
      </w:pPr>
      <w:r>
        <w:rPr>
          <w:rStyle w:val="Refdenotaalpie"/>
        </w:rPr>
        <w:footnoteRef/>
      </w:r>
      <w:r w:rsidRPr="000F2D32">
        <w:rPr>
          <w:lang w:val="es-CR"/>
        </w:rPr>
        <w:t xml:space="preserve"> </w:t>
      </w:r>
      <w:r>
        <w:rPr>
          <w:lang w:val="es-CR"/>
        </w:rPr>
        <w:tab/>
        <w:t xml:space="preserve">A favor de Efraín Osorio Rivera. El Estado indicó que dicho pago se realizó el 9 de junio de 2017 mediante el “Giro N°3211599560”, a “los herederos del señor Efraín […] Osorio”, quien había fallecido. </w:t>
      </w:r>
      <w:r>
        <w:rPr>
          <w:i/>
          <w:lang w:val="es-CR"/>
        </w:rPr>
        <w:t xml:space="preserve">Cfr. </w:t>
      </w:r>
      <w:r>
        <w:rPr>
          <w:lang w:val="es-CR"/>
        </w:rPr>
        <w:t xml:space="preserve">Informe estatal de 19 de septiembre de 2017. </w:t>
      </w:r>
    </w:p>
  </w:footnote>
  <w:footnote w:id="88">
    <w:p w14:paraId="2BC65B1A" w14:textId="77777777" w:rsidR="00217DD5" w:rsidRPr="000061E9" w:rsidRDefault="00217DD5">
      <w:pPr>
        <w:pStyle w:val="Textonotapie"/>
        <w:rPr>
          <w:b/>
          <w:lang w:val="es-CR"/>
        </w:rPr>
      </w:pPr>
      <w:r>
        <w:rPr>
          <w:rStyle w:val="Refdenotaalpie"/>
        </w:rPr>
        <w:footnoteRef/>
      </w:r>
      <w:r w:rsidRPr="00C5087B">
        <w:rPr>
          <w:lang w:val="es-CR"/>
        </w:rPr>
        <w:t xml:space="preserve"> </w:t>
      </w:r>
      <w:r>
        <w:rPr>
          <w:lang w:val="es-CR"/>
        </w:rPr>
        <w:tab/>
        <w:t xml:space="preserve">Con posterioridad al informe estatal de septiembre de 2017, los representantes señalaron que al Estado le restaba por pagar el “saldo pendiente de cancelar a Vannesa Judith Osorio Ga[i]tán”, “el pago total del monto a reparar” a favor de “Jersy Jeremías Osorio Ga[i]tán” y el “pago concerniente a costas y gastos”. </w:t>
      </w:r>
      <w:r>
        <w:rPr>
          <w:i/>
          <w:lang w:val="es-CR"/>
        </w:rPr>
        <w:t xml:space="preserve">Cfr. </w:t>
      </w:r>
      <w:r>
        <w:rPr>
          <w:lang w:val="es-CR"/>
        </w:rPr>
        <w:t xml:space="preserve">Escrito de observaciones de los representantes de 7 de septiembre de 2018. </w:t>
      </w:r>
    </w:p>
  </w:footnote>
  <w:footnote w:id="89">
    <w:p w14:paraId="73A1BC00" w14:textId="77777777" w:rsidR="00217DD5" w:rsidRPr="004E1F79" w:rsidRDefault="00217DD5">
      <w:pPr>
        <w:pStyle w:val="Textonotapie"/>
        <w:rPr>
          <w:lang w:val="es-CR"/>
        </w:rPr>
      </w:pPr>
      <w:r>
        <w:rPr>
          <w:rStyle w:val="Refdenotaalpie"/>
        </w:rPr>
        <w:footnoteRef/>
      </w:r>
      <w:r w:rsidRPr="007F66C7">
        <w:rPr>
          <w:lang w:val="es-AR"/>
        </w:rPr>
        <w:t xml:space="preserve"> </w:t>
      </w:r>
      <w:r>
        <w:rPr>
          <w:lang w:val="es-CR"/>
        </w:rPr>
        <w:tab/>
        <w:t xml:space="preserve">La víctima Vannesa Judith Osorio Gaitán. </w:t>
      </w:r>
    </w:p>
  </w:footnote>
  <w:footnote w:id="90">
    <w:p w14:paraId="1EB637C0" w14:textId="77777777" w:rsidR="00217DD5" w:rsidRPr="00B733AA" w:rsidRDefault="00217DD5">
      <w:pPr>
        <w:pStyle w:val="Textonotapie"/>
        <w:rPr>
          <w:b/>
          <w:lang w:val="es-CR"/>
        </w:rPr>
      </w:pPr>
      <w:r>
        <w:rPr>
          <w:rStyle w:val="Refdenotaalpie"/>
        </w:rPr>
        <w:footnoteRef/>
      </w:r>
      <w:r w:rsidRPr="00B733AA">
        <w:rPr>
          <w:lang w:val="es-CR"/>
        </w:rPr>
        <w:t xml:space="preserve"> </w:t>
      </w:r>
      <w:r>
        <w:rPr>
          <w:lang w:val="es-CR"/>
        </w:rPr>
        <w:tab/>
        <w:t xml:space="preserve">La víctima Jersy Jeremías Osorio Gaitán. </w:t>
      </w:r>
    </w:p>
  </w:footnote>
  <w:footnote w:id="91">
    <w:p w14:paraId="4F857C05" w14:textId="77777777" w:rsidR="00217DD5" w:rsidRPr="00B733AA" w:rsidRDefault="00217DD5">
      <w:pPr>
        <w:pStyle w:val="Textonotapie"/>
        <w:rPr>
          <w:b/>
          <w:lang w:val="es-CR"/>
        </w:rPr>
      </w:pPr>
      <w:r>
        <w:rPr>
          <w:rStyle w:val="Refdenotaalpie"/>
        </w:rPr>
        <w:footnoteRef/>
      </w:r>
      <w:r w:rsidRPr="00B733AA">
        <w:rPr>
          <w:lang w:val="es-CR"/>
        </w:rPr>
        <w:t xml:space="preserve"> </w:t>
      </w:r>
      <w:r>
        <w:rPr>
          <w:lang w:val="es-CR"/>
        </w:rPr>
        <w:tab/>
      </w:r>
      <w:r>
        <w:rPr>
          <w:i/>
          <w:lang w:val="es-CR"/>
        </w:rPr>
        <w:t xml:space="preserve">Cfr. </w:t>
      </w:r>
      <w:r>
        <w:rPr>
          <w:lang w:val="es-CR"/>
        </w:rPr>
        <w:t xml:space="preserve">Escrito de observaciones de los representantes de 28 de mayo de 2019. </w:t>
      </w:r>
    </w:p>
  </w:footnote>
  <w:footnote w:id="92">
    <w:p w14:paraId="4EF3994B" w14:textId="77777777" w:rsidR="00217DD5" w:rsidRPr="00F31EEE" w:rsidRDefault="00217DD5">
      <w:pPr>
        <w:pStyle w:val="Textonotapie"/>
        <w:rPr>
          <w:lang w:val="es-CR"/>
        </w:rPr>
      </w:pPr>
      <w:r>
        <w:rPr>
          <w:rStyle w:val="Refdenotaalpie"/>
        </w:rPr>
        <w:footnoteRef/>
      </w:r>
      <w:r w:rsidRPr="00F31EEE">
        <w:rPr>
          <w:lang w:val="es-CR"/>
        </w:rPr>
        <w:t xml:space="preserve"> </w:t>
      </w:r>
      <w:r>
        <w:rPr>
          <w:lang w:val="es-CR"/>
        </w:rPr>
        <w:tab/>
        <w:t>El plazo de un año establecido en la Sentencia se cumplió el 24 de diciembre de 2014.</w:t>
      </w:r>
    </w:p>
  </w:footnote>
  <w:footnote w:id="93">
    <w:p w14:paraId="724CA50A" w14:textId="77777777" w:rsidR="00217DD5" w:rsidRPr="0011538D" w:rsidRDefault="00217DD5">
      <w:pPr>
        <w:pStyle w:val="Textonotapie"/>
        <w:rPr>
          <w:lang w:val="es-ES_tradnl"/>
        </w:rPr>
      </w:pPr>
      <w:r>
        <w:rPr>
          <w:rStyle w:val="Refdenotaalpie"/>
        </w:rPr>
        <w:footnoteRef/>
      </w:r>
      <w:r w:rsidRPr="007F66C7">
        <w:rPr>
          <w:lang w:val="es-AR"/>
        </w:rPr>
        <w:t xml:space="preserve"> </w:t>
      </w:r>
      <w:r>
        <w:rPr>
          <w:lang w:val="es-ES_tradnl"/>
        </w:rPr>
        <w:tab/>
      </w:r>
      <w:r>
        <w:rPr>
          <w:i/>
          <w:lang w:val="es-ES_tradnl"/>
        </w:rPr>
        <w:t xml:space="preserve">Cfr. </w:t>
      </w:r>
      <w:r>
        <w:rPr>
          <w:lang w:val="es-ES_tradnl"/>
        </w:rPr>
        <w:t>Informe estatal de 3 de octubre de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975B3" w14:textId="77777777" w:rsidR="00217DD5" w:rsidRPr="00117900" w:rsidRDefault="00217DD5" w:rsidP="0002220E">
    <w:pPr>
      <w:pStyle w:val="Encabezado"/>
      <w:jc w:val="center"/>
      <w:rPr>
        <w:rFonts w:ascii="Verdana" w:hAnsi="Verdana"/>
        <w:sz w:val="20"/>
        <w:szCs w:val="20"/>
        <w:lang w:val="es-CR"/>
      </w:rPr>
    </w:pPr>
  </w:p>
  <w:p w14:paraId="04A5227B" w14:textId="77777777" w:rsidR="00217DD5" w:rsidRPr="00C720AD" w:rsidRDefault="00217DD5" w:rsidP="0002220E">
    <w:pPr>
      <w:pStyle w:val="Encabezado"/>
      <w:jc w:val="center"/>
      <w:rPr>
        <w:rFonts w:ascii="Verdana" w:hAnsi="Verdana"/>
        <w:sz w:val="20"/>
        <w:szCs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FD6D9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997214"/>
    <w:multiLevelType w:val="hybridMultilevel"/>
    <w:tmpl w:val="0742EA82"/>
    <w:lvl w:ilvl="0" w:tplc="1408DE42">
      <w:start w:val="25"/>
      <w:numFmt w:val="decimal"/>
      <w:lvlText w:val="%1."/>
      <w:lvlJc w:val="left"/>
      <w:pPr>
        <w:ind w:left="81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26358"/>
    <w:multiLevelType w:val="hybridMultilevel"/>
    <w:tmpl w:val="360E1EE0"/>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55B45"/>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4A63CC"/>
    <w:multiLevelType w:val="hybridMultilevel"/>
    <w:tmpl w:val="C5B0764E"/>
    <w:lvl w:ilvl="0" w:tplc="771E357A">
      <w:start w:val="28"/>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0E242228"/>
    <w:multiLevelType w:val="hybridMultilevel"/>
    <w:tmpl w:val="3E6899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0F1C5B94"/>
    <w:multiLevelType w:val="hybridMultilevel"/>
    <w:tmpl w:val="65FAB4C4"/>
    <w:lvl w:ilvl="0" w:tplc="A654814E">
      <w:start w:val="4"/>
      <w:numFmt w:val="decimal"/>
      <w:lvlText w:val="%1."/>
      <w:lvlJc w:val="left"/>
      <w:pPr>
        <w:ind w:left="810" w:hanging="360"/>
      </w:pPr>
      <w:rPr>
        <w:rFonts w:ascii="Verdana" w:hAnsi="Verdana" w:hint="default"/>
        <w:b w:val="0"/>
        <w:i w:val="0"/>
        <w:sz w:val="20"/>
        <w:szCs w:val="20"/>
      </w:rPr>
    </w:lvl>
    <w:lvl w:ilvl="1" w:tplc="52529C1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53459"/>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860703"/>
    <w:multiLevelType w:val="hybridMultilevel"/>
    <w:tmpl w:val="7AC2008E"/>
    <w:lvl w:ilvl="0" w:tplc="140A0017">
      <w:start w:val="1"/>
      <w:numFmt w:val="lowerLetter"/>
      <w:lvlText w:val="%1)"/>
      <w:lvlJc w:val="left"/>
      <w:pPr>
        <w:ind w:left="791" w:hanging="360"/>
      </w:pPr>
    </w:lvl>
    <w:lvl w:ilvl="1" w:tplc="140A0019" w:tentative="1">
      <w:start w:val="1"/>
      <w:numFmt w:val="lowerLetter"/>
      <w:lvlText w:val="%2."/>
      <w:lvlJc w:val="left"/>
      <w:pPr>
        <w:ind w:left="1511" w:hanging="360"/>
      </w:pPr>
    </w:lvl>
    <w:lvl w:ilvl="2" w:tplc="140A001B" w:tentative="1">
      <w:start w:val="1"/>
      <w:numFmt w:val="lowerRoman"/>
      <w:lvlText w:val="%3."/>
      <w:lvlJc w:val="right"/>
      <w:pPr>
        <w:ind w:left="2231" w:hanging="180"/>
      </w:pPr>
    </w:lvl>
    <w:lvl w:ilvl="3" w:tplc="140A000F" w:tentative="1">
      <w:start w:val="1"/>
      <w:numFmt w:val="decimal"/>
      <w:lvlText w:val="%4."/>
      <w:lvlJc w:val="left"/>
      <w:pPr>
        <w:ind w:left="2951" w:hanging="360"/>
      </w:pPr>
    </w:lvl>
    <w:lvl w:ilvl="4" w:tplc="140A0019" w:tentative="1">
      <w:start w:val="1"/>
      <w:numFmt w:val="lowerLetter"/>
      <w:lvlText w:val="%5."/>
      <w:lvlJc w:val="left"/>
      <w:pPr>
        <w:ind w:left="3671" w:hanging="360"/>
      </w:pPr>
    </w:lvl>
    <w:lvl w:ilvl="5" w:tplc="140A001B" w:tentative="1">
      <w:start w:val="1"/>
      <w:numFmt w:val="lowerRoman"/>
      <w:lvlText w:val="%6."/>
      <w:lvlJc w:val="right"/>
      <w:pPr>
        <w:ind w:left="4391" w:hanging="180"/>
      </w:pPr>
    </w:lvl>
    <w:lvl w:ilvl="6" w:tplc="140A000F" w:tentative="1">
      <w:start w:val="1"/>
      <w:numFmt w:val="decimal"/>
      <w:lvlText w:val="%7."/>
      <w:lvlJc w:val="left"/>
      <w:pPr>
        <w:ind w:left="5111" w:hanging="360"/>
      </w:pPr>
    </w:lvl>
    <w:lvl w:ilvl="7" w:tplc="140A0019" w:tentative="1">
      <w:start w:val="1"/>
      <w:numFmt w:val="lowerLetter"/>
      <w:lvlText w:val="%8."/>
      <w:lvlJc w:val="left"/>
      <w:pPr>
        <w:ind w:left="5831" w:hanging="360"/>
      </w:pPr>
    </w:lvl>
    <w:lvl w:ilvl="8" w:tplc="140A001B" w:tentative="1">
      <w:start w:val="1"/>
      <w:numFmt w:val="lowerRoman"/>
      <w:lvlText w:val="%9."/>
      <w:lvlJc w:val="right"/>
      <w:pPr>
        <w:ind w:left="6551" w:hanging="180"/>
      </w:pPr>
    </w:lvl>
  </w:abstractNum>
  <w:abstractNum w:abstractNumId="9">
    <w:nsid w:val="20C973F9"/>
    <w:multiLevelType w:val="hybridMultilevel"/>
    <w:tmpl w:val="D3F024B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1310A36"/>
    <w:multiLevelType w:val="hybridMultilevel"/>
    <w:tmpl w:val="3BEEADDA"/>
    <w:lvl w:ilvl="0" w:tplc="07746D3E">
      <w:start w:val="12"/>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4F1F02"/>
    <w:multiLevelType w:val="hybridMultilevel"/>
    <w:tmpl w:val="9A4E079A"/>
    <w:lvl w:ilvl="0" w:tplc="B10C97CE">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93502AD"/>
    <w:multiLevelType w:val="hybridMultilevel"/>
    <w:tmpl w:val="BAE09C6A"/>
    <w:lvl w:ilvl="0" w:tplc="9D30B65A">
      <w:start w:val="19"/>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2E7C7F8F"/>
    <w:multiLevelType w:val="hybridMultilevel"/>
    <w:tmpl w:val="511ACDE0"/>
    <w:lvl w:ilvl="0" w:tplc="8BFE3276">
      <w:start w:val="1"/>
      <w:numFmt w:val="decimal"/>
      <w:lvlText w:val="%1."/>
      <w:lvlJc w:val="left"/>
      <w:pPr>
        <w:ind w:left="36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393014FD"/>
    <w:multiLevelType w:val="hybridMultilevel"/>
    <w:tmpl w:val="5B1E1BD4"/>
    <w:lvl w:ilvl="0" w:tplc="140A000F">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C1C3142"/>
    <w:multiLevelType w:val="hybridMultilevel"/>
    <w:tmpl w:val="BA722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C30DF4"/>
    <w:multiLevelType w:val="hybridMultilevel"/>
    <w:tmpl w:val="A2E00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56857562"/>
    <w:multiLevelType w:val="hybridMultilevel"/>
    <w:tmpl w:val="057603DA"/>
    <w:lvl w:ilvl="0" w:tplc="262A9CBE">
      <w:start w:val="1"/>
      <w:numFmt w:val="decimal"/>
      <w:lvlText w:val="%1."/>
      <w:lvlJc w:val="left"/>
      <w:pPr>
        <w:ind w:left="360" w:hanging="360"/>
      </w:pPr>
      <w:rPr>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72613EE"/>
    <w:multiLevelType w:val="hybridMultilevel"/>
    <w:tmpl w:val="9E98B6E8"/>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592C38A9"/>
    <w:multiLevelType w:val="hybridMultilevel"/>
    <w:tmpl w:val="B316E784"/>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5B562918"/>
    <w:multiLevelType w:val="hybridMultilevel"/>
    <w:tmpl w:val="706ECE90"/>
    <w:lvl w:ilvl="0" w:tplc="477A7B68">
      <w:start w:val="25"/>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63B023B6"/>
    <w:multiLevelType w:val="hybridMultilevel"/>
    <w:tmpl w:val="5E3CC286"/>
    <w:lvl w:ilvl="0" w:tplc="3F46D60C">
      <w:start w:val="6"/>
      <w:numFmt w:val="decimal"/>
      <w:lvlText w:val="%1."/>
      <w:lvlJc w:val="left"/>
      <w:pPr>
        <w:ind w:left="720" w:hanging="360"/>
      </w:pPr>
      <w:rPr>
        <w:rFonts w:ascii="Verdana" w:hAnsi="Verdana"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5607065"/>
    <w:multiLevelType w:val="hybridMultilevel"/>
    <w:tmpl w:val="48D68AE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6AAD3C9F"/>
    <w:multiLevelType w:val="hybridMultilevel"/>
    <w:tmpl w:val="B7B649D6"/>
    <w:lvl w:ilvl="0" w:tplc="910E32BC">
      <w:start w:val="3"/>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72160799"/>
    <w:multiLevelType w:val="hybridMultilevel"/>
    <w:tmpl w:val="774E7044"/>
    <w:lvl w:ilvl="0" w:tplc="4EE06EB2">
      <w:start w:val="1"/>
      <w:numFmt w:val="decimal"/>
      <w:lvlText w:val="%1."/>
      <w:lvlJc w:val="left"/>
      <w:pPr>
        <w:ind w:left="720" w:hanging="360"/>
      </w:pPr>
      <w:rPr>
        <w:rFonts w:hint="default"/>
        <w:b w:val="0"/>
        <w:i w:val="0"/>
        <w:color w:val="auto"/>
        <w:sz w:val="20"/>
        <w:szCs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67387D"/>
    <w:multiLevelType w:val="hybridMultilevel"/>
    <w:tmpl w:val="28886E2A"/>
    <w:lvl w:ilvl="0" w:tplc="9B105D20">
      <w:start w:val="16"/>
      <w:numFmt w:val="decimal"/>
      <w:lvlText w:val="%1."/>
      <w:lvlJc w:val="left"/>
      <w:pPr>
        <w:ind w:left="810" w:hanging="36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DE4A5F"/>
    <w:multiLevelType w:val="hybridMultilevel"/>
    <w:tmpl w:val="AEB849CA"/>
    <w:lvl w:ilvl="0" w:tplc="EABEF920">
      <w:start w:val="2825"/>
      <w:numFmt w:val="decimal"/>
      <w:lvlText w:val="%1."/>
      <w:lvlJc w:val="left"/>
      <w:pPr>
        <w:ind w:left="81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983635B"/>
    <w:multiLevelType w:val="hybridMultilevel"/>
    <w:tmpl w:val="6908DD66"/>
    <w:lvl w:ilvl="0" w:tplc="C1B49366">
      <w:start w:val="1"/>
      <w:numFmt w:val="decimal"/>
      <w:lvlText w:val="%1."/>
      <w:lvlJc w:val="left"/>
      <w:pPr>
        <w:ind w:left="567" w:hanging="360"/>
      </w:pPr>
      <w:rPr>
        <w:rFonts w:ascii="Verdana" w:hAnsi="Verdana" w:hint="default"/>
        <w:b w:val="0"/>
        <w:i w:val="0"/>
        <w:color w:val="auto"/>
        <w:sz w:val="20"/>
        <w:szCs w:val="20"/>
      </w:rPr>
    </w:lvl>
    <w:lvl w:ilvl="1" w:tplc="140A0019">
      <w:start w:val="1"/>
      <w:numFmt w:val="lowerLetter"/>
      <w:lvlText w:val="%2."/>
      <w:lvlJc w:val="left"/>
      <w:pPr>
        <w:ind w:left="1287" w:hanging="360"/>
      </w:pPr>
    </w:lvl>
    <w:lvl w:ilvl="2" w:tplc="140A001B" w:tentative="1">
      <w:start w:val="1"/>
      <w:numFmt w:val="lowerRoman"/>
      <w:lvlText w:val="%3."/>
      <w:lvlJc w:val="right"/>
      <w:pPr>
        <w:ind w:left="2007" w:hanging="180"/>
      </w:pPr>
    </w:lvl>
    <w:lvl w:ilvl="3" w:tplc="140A000F" w:tentative="1">
      <w:start w:val="1"/>
      <w:numFmt w:val="decimal"/>
      <w:lvlText w:val="%4."/>
      <w:lvlJc w:val="left"/>
      <w:pPr>
        <w:ind w:left="2727" w:hanging="360"/>
      </w:pPr>
    </w:lvl>
    <w:lvl w:ilvl="4" w:tplc="140A0019" w:tentative="1">
      <w:start w:val="1"/>
      <w:numFmt w:val="lowerLetter"/>
      <w:lvlText w:val="%5."/>
      <w:lvlJc w:val="left"/>
      <w:pPr>
        <w:ind w:left="3447" w:hanging="360"/>
      </w:pPr>
    </w:lvl>
    <w:lvl w:ilvl="5" w:tplc="140A001B" w:tentative="1">
      <w:start w:val="1"/>
      <w:numFmt w:val="lowerRoman"/>
      <w:lvlText w:val="%6."/>
      <w:lvlJc w:val="right"/>
      <w:pPr>
        <w:ind w:left="4167" w:hanging="180"/>
      </w:pPr>
    </w:lvl>
    <w:lvl w:ilvl="6" w:tplc="140A000F" w:tentative="1">
      <w:start w:val="1"/>
      <w:numFmt w:val="decimal"/>
      <w:lvlText w:val="%7."/>
      <w:lvlJc w:val="left"/>
      <w:pPr>
        <w:ind w:left="4887" w:hanging="360"/>
      </w:pPr>
    </w:lvl>
    <w:lvl w:ilvl="7" w:tplc="140A0019" w:tentative="1">
      <w:start w:val="1"/>
      <w:numFmt w:val="lowerLetter"/>
      <w:lvlText w:val="%8."/>
      <w:lvlJc w:val="left"/>
      <w:pPr>
        <w:ind w:left="5607" w:hanging="360"/>
      </w:pPr>
    </w:lvl>
    <w:lvl w:ilvl="8" w:tplc="140A001B" w:tentative="1">
      <w:start w:val="1"/>
      <w:numFmt w:val="lowerRoman"/>
      <w:lvlText w:val="%9."/>
      <w:lvlJc w:val="right"/>
      <w:pPr>
        <w:ind w:left="6327" w:hanging="180"/>
      </w:pPr>
    </w:lvl>
  </w:abstractNum>
  <w:abstractNum w:abstractNumId="29">
    <w:nsid w:val="7ADE6978"/>
    <w:multiLevelType w:val="hybridMultilevel"/>
    <w:tmpl w:val="C10A3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64D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18"/>
  </w:num>
  <w:num w:numId="2">
    <w:abstractNumId w:val="14"/>
  </w:num>
  <w:num w:numId="3">
    <w:abstractNumId w:val="22"/>
  </w:num>
  <w:num w:numId="4">
    <w:abstractNumId w:val="24"/>
  </w:num>
  <w:num w:numId="5">
    <w:abstractNumId w:val="20"/>
  </w:num>
  <w:num w:numId="6">
    <w:abstractNumId w:val="13"/>
  </w:num>
  <w:num w:numId="7">
    <w:abstractNumId w:val="19"/>
  </w:num>
  <w:num w:numId="8">
    <w:abstractNumId w:val="10"/>
  </w:num>
  <w:num w:numId="9">
    <w:abstractNumId w:val="3"/>
  </w:num>
  <w:num w:numId="10">
    <w:abstractNumId w:val="16"/>
  </w:num>
  <w:num w:numId="11">
    <w:abstractNumId w:val="7"/>
  </w:num>
  <w:num w:numId="12">
    <w:abstractNumId w:val="29"/>
  </w:num>
  <w:num w:numId="13">
    <w:abstractNumId w:val="15"/>
  </w:num>
  <w:num w:numId="14">
    <w:abstractNumId w:val="5"/>
  </w:num>
  <w:num w:numId="15">
    <w:abstractNumId w:val="17"/>
  </w:num>
  <w:num w:numId="16">
    <w:abstractNumId w:val="9"/>
  </w:num>
  <w:num w:numId="17">
    <w:abstractNumId w:val="11"/>
  </w:num>
  <w:num w:numId="18">
    <w:abstractNumId w:val="8"/>
  </w:num>
  <w:num w:numId="19">
    <w:abstractNumId w:val="28"/>
  </w:num>
  <w:num w:numId="20">
    <w:abstractNumId w:val="23"/>
  </w:num>
  <w:num w:numId="21">
    <w:abstractNumId w:val="12"/>
  </w:num>
  <w:num w:numId="22">
    <w:abstractNumId w:val="21"/>
  </w:num>
  <w:num w:numId="23">
    <w:abstractNumId w:val="27"/>
  </w:num>
  <w:num w:numId="24">
    <w:abstractNumId w:val="4"/>
  </w:num>
  <w:num w:numId="25">
    <w:abstractNumId w:val="0"/>
  </w:num>
  <w:num w:numId="26">
    <w:abstractNumId w:val="6"/>
  </w:num>
  <w:num w:numId="27">
    <w:abstractNumId w:val="26"/>
  </w:num>
  <w:num w:numId="28">
    <w:abstractNumId w:val="1"/>
  </w:num>
  <w:num w:numId="29">
    <w:abstractNumId w:val="25"/>
  </w:num>
  <w:num w:numId="30">
    <w:abstractNumId w:val="30"/>
  </w:num>
  <w:num w:numId="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CR"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es-AR" w:vendorID="64" w:dllVersion="131078" w:nlCheck="1" w:checkStyle="0"/>
  <w:activeWritingStyle w:appName="MSWord" w:lang="es-ES" w:vendorID="64" w:dllVersion="131078" w:nlCheck="1" w:checkStyle="0"/>
  <w:activeWritingStyle w:appName="MSWord" w:lang="es-CR" w:vendorID="64" w:dllVersion="0" w:nlCheck="1" w:checkStyle="0"/>
  <w:activeWritingStyle w:appName="MSWord" w:lang="es-MX" w:vendorID="64" w:dllVersion="0" w:nlCheck="1" w:checkStyle="0"/>
  <w:activeWritingStyle w:appName="MSWord" w:lang="es-ES" w:vendorID="64" w:dllVersion="0" w:nlCheck="1" w:checkStyle="0"/>
  <w:activeWritingStyle w:appName="MSWord" w:lang="es-CO" w:vendorID="64" w:dllVersion="0" w:nlCheck="1" w:checkStyle="0"/>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C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4096" w:nlCheck="1" w:checkStyle="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D4F"/>
    <w:rsid w:val="000005C3"/>
    <w:rsid w:val="0000489E"/>
    <w:rsid w:val="0000617D"/>
    <w:rsid w:val="000061E9"/>
    <w:rsid w:val="00006DB9"/>
    <w:rsid w:val="00007664"/>
    <w:rsid w:val="00010063"/>
    <w:rsid w:val="00010BF7"/>
    <w:rsid w:val="00011D34"/>
    <w:rsid w:val="000121ED"/>
    <w:rsid w:val="000142A3"/>
    <w:rsid w:val="00014366"/>
    <w:rsid w:val="00015432"/>
    <w:rsid w:val="00015578"/>
    <w:rsid w:val="000159FF"/>
    <w:rsid w:val="00017A74"/>
    <w:rsid w:val="00017E73"/>
    <w:rsid w:val="00020F1A"/>
    <w:rsid w:val="0002220E"/>
    <w:rsid w:val="00022CC4"/>
    <w:rsid w:val="00024A8B"/>
    <w:rsid w:val="00024E0F"/>
    <w:rsid w:val="000264F8"/>
    <w:rsid w:val="00026893"/>
    <w:rsid w:val="0002719D"/>
    <w:rsid w:val="000315EB"/>
    <w:rsid w:val="00032244"/>
    <w:rsid w:val="000324F9"/>
    <w:rsid w:val="00032A4E"/>
    <w:rsid w:val="00034765"/>
    <w:rsid w:val="00035113"/>
    <w:rsid w:val="00035307"/>
    <w:rsid w:val="00036781"/>
    <w:rsid w:val="000368A4"/>
    <w:rsid w:val="00036946"/>
    <w:rsid w:val="00037483"/>
    <w:rsid w:val="00040684"/>
    <w:rsid w:val="00041E2E"/>
    <w:rsid w:val="00043B6F"/>
    <w:rsid w:val="000444EB"/>
    <w:rsid w:val="00045254"/>
    <w:rsid w:val="000457D4"/>
    <w:rsid w:val="00045A07"/>
    <w:rsid w:val="000463B0"/>
    <w:rsid w:val="00046F7E"/>
    <w:rsid w:val="00047288"/>
    <w:rsid w:val="000477CE"/>
    <w:rsid w:val="00047D1F"/>
    <w:rsid w:val="000534CE"/>
    <w:rsid w:val="000547FB"/>
    <w:rsid w:val="00054A01"/>
    <w:rsid w:val="00055FA5"/>
    <w:rsid w:val="000568D5"/>
    <w:rsid w:val="0006095B"/>
    <w:rsid w:val="00060D08"/>
    <w:rsid w:val="00061045"/>
    <w:rsid w:val="00061686"/>
    <w:rsid w:val="00062679"/>
    <w:rsid w:val="00064748"/>
    <w:rsid w:val="00065360"/>
    <w:rsid w:val="00065564"/>
    <w:rsid w:val="00065B58"/>
    <w:rsid w:val="0006620E"/>
    <w:rsid w:val="00066A2D"/>
    <w:rsid w:val="00072210"/>
    <w:rsid w:val="000734F1"/>
    <w:rsid w:val="0007528C"/>
    <w:rsid w:val="00076512"/>
    <w:rsid w:val="00077084"/>
    <w:rsid w:val="00077139"/>
    <w:rsid w:val="00077399"/>
    <w:rsid w:val="00077D44"/>
    <w:rsid w:val="000819D6"/>
    <w:rsid w:val="0008321A"/>
    <w:rsid w:val="000843EB"/>
    <w:rsid w:val="00084C87"/>
    <w:rsid w:val="00086AAE"/>
    <w:rsid w:val="0009166C"/>
    <w:rsid w:val="000917F8"/>
    <w:rsid w:val="00092F40"/>
    <w:rsid w:val="0009517F"/>
    <w:rsid w:val="0009532D"/>
    <w:rsid w:val="00096CE4"/>
    <w:rsid w:val="000A0585"/>
    <w:rsid w:val="000A2B57"/>
    <w:rsid w:val="000A3A1E"/>
    <w:rsid w:val="000A4229"/>
    <w:rsid w:val="000A52F1"/>
    <w:rsid w:val="000A552E"/>
    <w:rsid w:val="000B01FF"/>
    <w:rsid w:val="000B0702"/>
    <w:rsid w:val="000B39B4"/>
    <w:rsid w:val="000B3A07"/>
    <w:rsid w:val="000B5603"/>
    <w:rsid w:val="000B7DCD"/>
    <w:rsid w:val="000C042D"/>
    <w:rsid w:val="000C0CBF"/>
    <w:rsid w:val="000C3BC9"/>
    <w:rsid w:val="000C609F"/>
    <w:rsid w:val="000D23E2"/>
    <w:rsid w:val="000D5673"/>
    <w:rsid w:val="000D5FAC"/>
    <w:rsid w:val="000D7802"/>
    <w:rsid w:val="000E08DB"/>
    <w:rsid w:val="000E1063"/>
    <w:rsid w:val="000E197E"/>
    <w:rsid w:val="000E20B7"/>
    <w:rsid w:val="000E2345"/>
    <w:rsid w:val="000E2D62"/>
    <w:rsid w:val="000E3909"/>
    <w:rsid w:val="000E4460"/>
    <w:rsid w:val="000E50D8"/>
    <w:rsid w:val="000E591B"/>
    <w:rsid w:val="000E59FE"/>
    <w:rsid w:val="000E66D2"/>
    <w:rsid w:val="000E71A9"/>
    <w:rsid w:val="000E7572"/>
    <w:rsid w:val="000F0C43"/>
    <w:rsid w:val="000F1CF4"/>
    <w:rsid w:val="000F1DE0"/>
    <w:rsid w:val="000F29C9"/>
    <w:rsid w:val="000F2D32"/>
    <w:rsid w:val="000F6413"/>
    <w:rsid w:val="000F769D"/>
    <w:rsid w:val="00102481"/>
    <w:rsid w:val="00103F32"/>
    <w:rsid w:val="00104788"/>
    <w:rsid w:val="00104861"/>
    <w:rsid w:val="00104863"/>
    <w:rsid w:val="001052AB"/>
    <w:rsid w:val="001064CC"/>
    <w:rsid w:val="00106618"/>
    <w:rsid w:val="00106CFE"/>
    <w:rsid w:val="00110AA5"/>
    <w:rsid w:val="001112E8"/>
    <w:rsid w:val="0011258A"/>
    <w:rsid w:val="001141EE"/>
    <w:rsid w:val="00114CDB"/>
    <w:rsid w:val="0011538D"/>
    <w:rsid w:val="00117900"/>
    <w:rsid w:val="00117D2D"/>
    <w:rsid w:val="00120501"/>
    <w:rsid w:val="00120836"/>
    <w:rsid w:val="00120A34"/>
    <w:rsid w:val="00120C2D"/>
    <w:rsid w:val="00121288"/>
    <w:rsid w:val="001235EA"/>
    <w:rsid w:val="00126EEB"/>
    <w:rsid w:val="00127E72"/>
    <w:rsid w:val="001303A2"/>
    <w:rsid w:val="00130C5C"/>
    <w:rsid w:val="00132974"/>
    <w:rsid w:val="00132F50"/>
    <w:rsid w:val="0013369F"/>
    <w:rsid w:val="001339E3"/>
    <w:rsid w:val="001343F9"/>
    <w:rsid w:val="00136053"/>
    <w:rsid w:val="00136725"/>
    <w:rsid w:val="001409EA"/>
    <w:rsid w:val="001416F9"/>
    <w:rsid w:val="00141C87"/>
    <w:rsid w:val="00142AA9"/>
    <w:rsid w:val="001434DF"/>
    <w:rsid w:val="001450ED"/>
    <w:rsid w:val="00145EA9"/>
    <w:rsid w:val="00147C42"/>
    <w:rsid w:val="001504C1"/>
    <w:rsid w:val="00150C79"/>
    <w:rsid w:val="001519CD"/>
    <w:rsid w:val="001520F9"/>
    <w:rsid w:val="001527CB"/>
    <w:rsid w:val="001540F7"/>
    <w:rsid w:val="00154C30"/>
    <w:rsid w:val="001551B2"/>
    <w:rsid w:val="00156E17"/>
    <w:rsid w:val="00157974"/>
    <w:rsid w:val="00160398"/>
    <w:rsid w:val="001633AC"/>
    <w:rsid w:val="00163598"/>
    <w:rsid w:val="00163C46"/>
    <w:rsid w:val="001647F6"/>
    <w:rsid w:val="00164AAB"/>
    <w:rsid w:val="00165278"/>
    <w:rsid w:val="00165CB6"/>
    <w:rsid w:val="00165D3F"/>
    <w:rsid w:val="00170510"/>
    <w:rsid w:val="00172722"/>
    <w:rsid w:val="00173B86"/>
    <w:rsid w:val="00173D74"/>
    <w:rsid w:val="0017535E"/>
    <w:rsid w:val="001759FF"/>
    <w:rsid w:val="00175BF0"/>
    <w:rsid w:val="00177775"/>
    <w:rsid w:val="001804FA"/>
    <w:rsid w:val="00180727"/>
    <w:rsid w:val="00180992"/>
    <w:rsid w:val="00181BBF"/>
    <w:rsid w:val="00182A2F"/>
    <w:rsid w:val="00183334"/>
    <w:rsid w:val="00183848"/>
    <w:rsid w:val="001844DB"/>
    <w:rsid w:val="0018479F"/>
    <w:rsid w:val="00185401"/>
    <w:rsid w:val="0018606C"/>
    <w:rsid w:val="00187008"/>
    <w:rsid w:val="00187580"/>
    <w:rsid w:val="001916B5"/>
    <w:rsid w:val="00191815"/>
    <w:rsid w:val="001919A4"/>
    <w:rsid w:val="00193CD3"/>
    <w:rsid w:val="001959A1"/>
    <w:rsid w:val="00195B71"/>
    <w:rsid w:val="00196256"/>
    <w:rsid w:val="001978EC"/>
    <w:rsid w:val="00197F8D"/>
    <w:rsid w:val="001A0A01"/>
    <w:rsid w:val="001A0AC7"/>
    <w:rsid w:val="001A0FCF"/>
    <w:rsid w:val="001A23A8"/>
    <w:rsid w:val="001A34A8"/>
    <w:rsid w:val="001A3510"/>
    <w:rsid w:val="001A36AE"/>
    <w:rsid w:val="001A47CF"/>
    <w:rsid w:val="001A526E"/>
    <w:rsid w:val="001A6685"/>
    <w:rsid w:val="001A7600"/>
    <w:rsid w:val="001A7C2F"/>
    <w:rsid w:val="001B004F"/>
    <w:rsid w:val="001B0651"/>
    <w:rsid w:val="001B0BB6"/>
    <w:rsid w:val="001B1B7E"/>
    <w:rsid w:val="001B36A5"/>
    <w:rsid w:val="001B3A73"/>
    <w:rsid w:val="001B501F"/>
    <w:rsid w:val="001B5547"/>
    <w:rsid w:val="001B64AD"/>
    <w:rsid w:val="001B6F30"/>
    <w:rsid w:val="001B768D"/>
    <w:rsid w:val="001C048B"/>
    <w:rsid w:val="001C0DED"/>
    <w:rsid w:val="001C1572"/>
    <w:rsid w:val="001C247F"/>
    <w:rsid w:val="001C2A96"/>
    <w:rsid w:val="001C3AB5"/>
    <w:rsid w:val="001C3BEE"/>
    <w:rsid w:val="001C406F"/>
    <w:rsid w:val="001C483E"/>
    <w:rsid w:val="001C4984"/>
    <w:rsid w:val="001C4CBF"/>
    <w:rsid w:val="001C5446"/>
    <w:rsid w:val="001C5E0F"/>
    <w:rsid w:val="001C5F14"/>
    <w:rsid w:val="001C6CA2"/>
    <w:rsid w:val="001C6F50"/>
    <w:rsid w:val="001C70A4"/>
    <w:rsid w:val="001C7189"/>
    <w:rsid w:val="001D29C5"/>
    <w:rsid w:val="001D4307"/>
    <w:rsid w:val="001D4878"/>
    <w:rsid w:val="001D4F99"/>
    <w:rsid w:val="001D5D29"/>
    <w:rsid w:val="001D776E"/>
    <w:rsid w:val="001D7BC5"/>
    <w:rsid w:val="001E077B"/>
    <w:rsid w:val="001E0FFB"/>
    <w:rsid w:val="001E192D"/>
    <w:rsid w:val="001E19A3"/>
    <w:rsid w:val="001E23A6"/>
    <w:rsid w:val="001E37B0"/>
    <w:rsid w:val="001E39A1"/>
    <w:rsid w:val="001E40B0"/>
    <w:rsid w:val="001E4180"/>
    <w:rsid w:val="001E43A2"/>
    <w:rsid w:val="001E4C80"/>
    <w:rsid w:val="001E557C"/>
    <w:rsid w:val="001E5F69"/>
    <w:rsid w:val="001E64A7"/>
    <w:rsid w:val="001F019B"/>
    <w:rsid w:val="001F1266"/>
    <w:rsid w:val="001F15BB"/>
    <w:rsid w:val="001F2B3D"/>
    <w:rsid w:val="001F62D3"/>
    <w:rsid w:val="001F672F"/>
    <w:rsid w:val="001F6932"/>
    <w:rsid w:val="00201CA9"/>
    <w:rsid w:val="0020249E"/>
    <w:rsid w:val="002029E1"/>
    <w:rsid w:val="00202DF4"/>
    <w:rsid w:val="00202E30"/>
    <w:rsid w:val="00204F09"/>
    <w:rsid w:val="00212564"/>
    <w:rsid w:val="002134FE"/>
    <w:rsid w:val="002174A2"/>
    <w:rsid w:val="00217DD5"/>
    <w:rsid w:val="0022010E"/>
    <w:rsid w:val="00220A97"/>
    <w:rsid w:val="002217E9"/>
    <w:rsid w:val="002220E1"/>
    <w:rsid w:val="002243E4"/>
    <w:rsid w:val="002249E9"/>
    <w:rsid w:val="002306B6"/>
    <w:rsid w:val="00230C1B"/>
    <w:rsid w:val="00231E69"/>
    <w:rsid w:val="00232151"/>
    <w:rsid w:val="0023290D"/>
    <w:rsid w:val="00234C19"/>
    <w:rsid w:val="0023520D"/>
    <w:rsid w:val="00235FA5"/>
    <w:rsid w:val="00236856"/>
    <w:rsid w:val="00236C4D"/>
    <w:rsid w:val="0024035B"/>
    <w:rsid w:val="002424A9"/>
    <w:rsid w:val="002431B9"/>
    <w:rsid w:val="002439D0"/>
    <w:rsid w:val="00243B67"/>
    <w:rsid w:val="00244281"/>
    <w:rsid w:val="002446E6"/>
    <w:rsid w:val="00244715"/>
    <w:rsid w:val="00246221"/>
    <w:rsid w:val="00247B4B"/>
    <w:rsid w:val="0025078D"/>
    <w:rsid w:val="0025143F"/>
    <w:rsid w:val="00251DB6"/>
    <w:rsid w:val="00252520"/>
    <w:rsid w:val="00253240"/>
    <w:rsid w:val="00254C35"/>
    <w:rsid w:val="00255B9F"/>
    <w:rsid w:val="00260551"/>
    <w:rsid w:val="00264887"/>
    <w:rsid w:val="00265EBD"/>
    <w:rsid w:val="0026611F"/>
    <w:rsid w:val="00267425"/>
    <w:rsid w:val="00267DF3"/>
    <w:rsid w:val="00270013"/>
    <w:rsid w:val="002712ED"/>
    <w:rsid w:val="00271DC5"/>
    <w:rsid w:val="002728B0"/>
    <w:rsid w:val="002733A0"/>
    <w:rsid w:val="0027470D"/>
    <w:rsid w:val="002750CC"/>
    <w:rsid w:val="002751B7"/>
    <w:rsid w:val="00275A17"/>
    <w:rsid w:val="00276A9C"/>
    <w:rsid w:val="00276D5B"/>
    <w:rsid w:val="00277370"/>
    <w:rsid w:val="002776A8"/>
    <w:rsid w:val="002807A0"/>
    <w:rsid w:val="00280883"/>
    <w:rsid w:val="0028093C"/>
    <w:rsid w:val="0028181B"/>
    <w:rsid w:val="00282994"/>
    <w:rsid w:val="00282B6A"/>
    <w:rsid w:val="002835BA"/>
    <w:rsid w:val="00284420"/>
    <w:rsid w:val="00284B91"/>
    <w:rsid w:val="00284E87"/>
    <w:rsid w:val="002869F1"/>
    <w:rsid w:val="00287108"/>
    <w:rsid w:val="00290176"/>
    <w:rsid w:val="0029089C"/>
    <w:rsid w:val="00290A1E"/>
    <w:rsid w:val="002911F3"/>
    <w:rsid w:val="002912E0"/>
    <w:rsid w:val="00291D37"/>
    <w:rsid w:val="00296D92"/>
    <w:rsid w:val="002A0F4D"/>
    <w:rsid w:val="002A4405"/>
    <w:rsid w:val="002A4433"/>
    <w:rsid w:val="002A727E"/>
    <w:rsid w:val="002A743B"/>
    <w:rsid w:val="002B0BD8"/>
    <w:rsid w:val="002B373D"/>
    <w:rsid w:val="002B4690"/>
    <w:rsid w:val="002B4A29"/>
    <w:rsid w:val="002B5773"/>
    <w:rsid w:val="002B604E"/>
    <w:rsid w:val="002B625E"/>
    <w:rsid w:val="002B79C6"/>
    <w:rsid w:val="002C174F"/>
    <w:rsid w:val="002C2C27"/>
    <w:rsid w:val="002C2D79"/>
    <w:rsid w:val="002C316F"/>
    <w:rsid w:val="002C33E5"/>
    <w:rsid w:val="002C5590"/>
    <w:rsid w:val="002C5ED8"/>
    <w:rsid w:val="002C70F6"/>
    <w:rsid w:val="002D018B"/>
    <w:rsid w:val="002D0752"/>
    <w:rsid w:val="002D13B7"/>
    <w:rsid w:val="002D3468"/>
    <w:rsid w:val="002D5D44"/>
    <w:rsid w:val="002D640D"/>
    <w:rsid w:val="002D7C72"/>
    <w:rsid w:val="002D7DA5"/>
    <w:rsid w:val="002E038E"/>
    <w:rsid w:val="002E1101"/>
    <w:rsid w:val="002E1EEC"/>
    <w:rsid w:val="002E305D"/>
    <w:rsid w:val="002E484D"/>
    <w:rsid w:val="002E6550"/>
    <w:rsid w:val="002F006C"/>
    <w:rsid w:val="002F50F0"/>
    <w:rsid w:val="002F5624"/>
    <w:rsid w:val="002F65B1"/>
    <w:rsid w:val="002F704F"/>
    <w:rsid w:val="00300475"/>
    <w:rsid w:val="003004B3"/>
    <w:rsid w:val="00300D02"/>
    <w:rsid w:val="00301964"/>
    <w:rsid w:val="00302621"/>
    <w:rsid w:val="00302AB0"/>
    <w:rsid w:val="00302DAA"/>
    <w:rsid w:val="00303D83"/>
    <w:rsid w:val="00303E4C"/>
    <w:rsid w:val="0030486D"/>
    <w:rsid w:val="0030529E"/>
    <w:rsid w:val="00306011"/>
    <w:rsid w:val="00306990"/>
    <w:rsid w:val="00307FCA"/>
    <w:rsid w:val="0031087F"/>
    <w:rsid w:val="00310E36"/>
    <w:rsid w:val="003115A1"/>
    <w:rsid w:val="003139CB"/>
    <w:rsid w:val="00314A94"/>
    <w:rsid w:val="003151C8"/>
    <w:rsid w:val="0031538C"/>
    <w:rsid w:val="0031539E"/>
    <w:rsid w:val="00316149"/>
    <w:rsid w:val="00316A39"/>
    <w:rsid w:val="00316CDC"/>
    <w:rsid w:val="00317144"/>
    <w:rsid w:val="0031749C"/>
    <w:rsid w:val="00317502"/>
    <w:rsid w:val="00317822"/>
    <w:rsid w:val="00317DB3"/>
    <w:rsid w:val="00317ED6"/>
    <w:rsid w:val="003202D8"/>
    <w:rsid w:val="0032176D"/>
    <w:rsid w:val="00322612"/>
    <w:rsid w:val="0032570B"/>
    <w:rsid w:val="00325965"/>
    <w:rsid w:val="00330CE2"/>
    <w:rsid w:val="003320E3"/>
    <w:rsid w:val="00332C61"/>
    <w:rsid w:val="003355A2"/>
    <w:rsid w:val="003370B3"/>
    <w:rsid w:val="003370CB"/>
    <w:rsid w:val="0033725D"/>
    <w:rsid w:val="00337FAA"/>
    <w:rsid w:val="0034046E"/>
    <w:rsid w:val="00341D99"/>
    <w:rsid w:val="00342BD7"/>
    <w:rsid w:val="00342CE4"/>
    <w:rsid w:val="0034342A"/>
    <w:rsid w:val="00343DC7"/>
    <w:rsid w:val="00343FC2"/>
    <w:rsid w:val="00344B3F"/>
    <w:rsid w:val="003453C7"/>
    <w:rsid w:val="003453F7"/>
    <w:rsid w:val="0035396C"/>
    <w:rsid w:val="00353B1C"/>
    <w:rsid w:val="003552B5"/>
    <w:rsid w:val="003563C4"/>
    <w:rsid w:val="00357F47"/>
    <w:rsid w:val="00360398"/>
    <w:rsid w:val="003615CB"/>
    <w:rsid w:val="0036260B"/>
    <w:rsid w:val="003628A6"/>
    <w:rsid w:val="003631F8"/>
    <w:rsid w:val="00364459"/>
    <w:rsid w:val="00365FC1"/>
    <w:rsid w:val="00365FDE"/>
    <w:rsid w:val="0036774A"/>
    <w:rsid w:val="00367E71"/>
    <w:rsid w:val="003711FA"/>
    <w:rsid w:val="00372198"/>
    <w:rsid w:val="00372ED8"/>
    <w:rsid w:val="00373956"/>
    <w:rsid w:val="00374AB2"/>
    <w:rsid w:val="00374BE9"/>
    <w:rsid w:val="00375077"/>
    <w:rsid w:val="00375DFC"/>
    <w:rsid w:val="00375E03"/>
    <w:rsid w:val="00375E7C"/>
    <w:rsid w:val="003804EB"/>
    <w:rsid w:val="00380604"/>
    <w:rsid w:val="00382381"/>
    <w:rsid w:val="00382CE9"/>
    <w:rsid w:val="00383078"/>
    <w:rsid w:val="00383328"/>
    <w:rsid w:val="003833CC"/>
    <w:rsid w:val="0038360F"/>
    <w:rsid w:val="00383D27"/>
    <w:rsid w:val="00383F9C"/>
    <w:rsid w:val="003840A3"/>
    <w:rsid w:val="00384D60"/>
    <w:rsid w:val="00384F4E"/>
    <w:rsid w:val="00385396"/>
    <w:rsid w:val="0038562F"/>
    <w:rsid w:val="003878CA"/>
    <w:rsid w:val="003904A1"/>
    <w:rsid w:val="00390D23"/>
    <w:rsid w:val="003919C7"/>
    <w:rsid w:val="00391EC4"/>
    <w:rsid w:val="00392FA8"/>
    <w:rsid w:val="00393991"/>
    <w:rsid w:val="003A023E"/>
    <w:rsid w:val="003A0376"/>
    <w:rsid w:val="003A061C"/>
    <w:rsid w:val="003A40AF"/>
    <w:rsid w:val="003A701D"/>
    <w:rsid w:val="003A7F60"/>
    <w:rsid w:val="003B0CE6"/>
    <w:rsid w:val="003B18F7"/>
    <w:rsid w:val="003B49A5"/>
    <w:rsid w:val="003B4EBF"/>
    <w:rsid w:val="003B7948"/>
    <w:rsid w:val="003B7AD2"/>
    <w:rsid w:val="003C11A2"/>
    <w:rsid w:val="003C1505"/>
    <w:rsid w:val="003C16AE"/>
    <w:rsid w:val="003C21E7"/>
    <w:rsid w:val="003C36FF"/>
    <w:rsid w:val="003C3E54"/>
    <w:rsid w:val="003C5369"/>
    <w:rsid w:val="003C67A9"/>
    <w:rsid w:val="003D0047"/>
    <w:rsid w:val="003D182E"/>
    <w:rsid w:val="003D2021"/>
    <w:rsid w:val="003D2BFC"/>
    <w:rsid w:val="003D30E0"/>
    <w:rsid w:val="003D36CC"/>
    <w:rsid w:val="003D3AB4"/>
    <w:rsid w:val="003D4B93"/>
    <w:rsid w:val="003D57A1"/>
    <w:rsid w:val="003D7658"/>
    <w:rsid w:val="003D7FCF"/>
    <w:rsid w:val="003E00DA"/>
    <w:rsid w:val="003E094A"/>
    <w:rsid w:val="003E0BCC"/>
    <w:rsid w:val="003E423E"/>
    <w:rsid w:val="003E4608"/>
    <w:rsid w:val="003E4CF5"/>
    <w:rsid w:val="003E70D1"/>
    <w:rsid w:val="003E759D"/>
    <w:rsid w:val="003E7F34"/>
    <w:rsid w:val="003F08A8"/>
    <w:rsid w:val="003F2A24"/>
    <w:rsid w:val="003F32BF"/>
    <w:rsid w:val="003F493D"/>
    <w:rsid w:val="003F511E"/>
    <w:rsid w:val="003F5288"/>
    <w:rsid w:val="003F5F46"/>
    <w:rsid w:val="003F6201"/>
    <w:rsid w:val="003F77E0"/>
    <w:rsid w:val="003F7EAA"/>
    <w:rsid w:val="00400293"/>
    <w:rsid w:val="00401C06"/>
    <w:rsid w:val="004026E5"/>
    <w:rsid w:val="00403ADF"/>
    <w:rsid w:val="00404A2E"/>
    <w:rsid w:val="004057FF"/>
    <w:rsid w:val="00405B38"/>
    <w:rsid w:val="004063E0"/>
    <w:rsid w:val="00407CBE"/>
    <w:rsid w:val="0041245E"/>
    <w:rsid w:val="00412BE6"/>
    <w:rsid w:val="00413495"/>
    <w:rsid w:val="00415760"/>
    <w:rsid w:val="00416E20"/>
    <w:rsid w:val="00417478"/>
    <w:rsid w:val="004203C4"/>
    <w:rsid w:val="00422EFD"/>
    <w:rsid w:val="00423684"/>
    <w:rsid w:val="00425C79"/>
    <w:rsid w:val="004267A7"/>
    <w:rsid w:val="004267A8"/>
    <w:rsid w:val="00426A6D"/>
    <w:rsid w:val="00426BB6"/>
    <w:rsid w:val="00427378"/>
    <w:rsid w:val="0042771F"/>
    <w:rsid w:val="00431733"/>
    <w:rsid w:val="00432D4E"/>
    <w:rsid w:val="0043334B"/>
    <w:rsid w:val="00433471"/>
    <w:rsid w:val="0043359D"/>
    <w:rsid w:val="00435933"/>
    <w:rsid w:val="0043620A"/>
    <w:rsid w:val="00436301"/>
    <w:rsid w:val="00436B42"/>
    <w:rsid w:val="004372CF"/>
    <w:rsid w:val="00437B8C"/>
    <w:rsid w:val="004402A4"/>
    <w:rsid w:val="00441DB4"/>
    <w:rsid w:val="004435C2"/>
    <w:rsid w:val="00444BC9"/>
    <w:rsid w:val="004453FF"/>
    <w:rsid w:val="004466D0"/>
    <w:rsid w:val="00450D75"/>
    <w:rsid w:val="004517B4"/>
    <w:rsid w:val="00452C6A"/>
    <w:rsid w:val="00453865"/>
    <w:rsid w:val="00455579"/>
    <w:rsid w:val="004555E0"/>
    <w:rsid w:val="00456387"/>
    <w:rsid w:val="00456633"/>
    <w:rsid w:val="004566C1"/>
    <w:rsid w:val="00456885"/>
    <w:rsid w:val="00456FE8"/>
    <w:rsid w:val="00457485"/>
    <w:rsid w:val="0045756A"/>
    <w:rsid w:val="00460087"/>
    <w:rsid w:val="00461544"/>
    <w:rsid w:val="004633A4"/>
    <w:rsid w:val="004639B6"/>
    <w:rsid w:val="004647F2"/>
    <w:rsid w:val="00464D3B"/>
    <w:rsid w:val="00465C31"/>
    <w:rsid w:val="00467445"/>
    <w:rsid w:val="00467561"/>
    <w:rsid w:val="00467AED"/>
    <w:rsid w:val="00467C1D"/>
    <w:rsid w:val="00470338"/>
    <w:rsid w:val="00470A76"/>
    <w:rsid w:val="00471329"/>
    <w:rsid w:val="004715DF"/>
    <w:rsid w:val="00471923"/>
    <w:rsid w:val="00471AE0"/>
    <w:rsid w:val="0047217D"/>
    <w:rsid w:val="0047228E"/>
    <w:rsid w:val="0047235E"/>
    <w:rsid w:val="00474222"/>
    <w:rsid w:val="00474E86"/>
    <w:rsid w:val="00474EB9"/>
    <w:rsid w:val="00475416"/>
    <w:rsid w:val="00475A3E"/>
    <w:rsid w:val="0047662E"/>
    <w:rsid w:val="00477A2B"/>
    <w:rsid w:val="00477CDD"/>
    <w:rsid w:val="00480252"/>
    <w:rsid w:val="00480AFF"/>
    <w:rsid w:val="00480B28"/>
    <w:rsid w:val="00480BDB"/>
    <w:rsid w:val="00482F09"/>
    <w:rsid w:val="00482F23"/>
    <w:rsid w:val="0048307D"/>
    <w:rsid w:val="004848A7"/>
    <w:rsid w:val="00484BD0"/>
    <w:rsid w:val="00485674"/>
    <w:rsid w:val="004861DE"/>
    <w:rsid w:val="00487233"/>
    <w:rsid w:val="00487B99"/>
    <w:rsid w:val="0049112F"/>
    <w:rsid w:val="0049195D"/>
    <w:rsid w:val="00492EAF"/>
    <w:rsid w:val="00493331"/>
    <w:rsid w:val="004936A6"/>
    <w:rsid w:val="0049395E"/>
    <w:rsid w:val="00493CD4"/>
    <w:rsid w:val="00496F7E"/>
    <w:rsid w:val="00497085"/>
    <w:rsid w:val="004971B8"/>
    <w:rsid w:val="004972AC"/>
    <w:rsid w:val="004A0F49"/>
    <w:rsid w:val="004A171B"/>
    <w:rsid w:val="004A176F"/>
    <w:rsid w:val="004A24B4"/>
    <w:rsid w:val="004A2DA2"/>
    <w:rsid w:val="004A31B5"/>
    <w:rsid w:val="004A3773"/>
    <w:rsid w:val="004A397A"/>
    <w:rsid w:val="004A4928"/>
    <w:rsid w:val="004A578A"/>
    <w:rsid w:val="004A5E20"/>
    <w:rsid w:val="004A6627"/>
    <w:rsid w:val="004A6A22"/>
    <w:rsid w:val="004B1F06"/>
    <w:rsid w:val="004B53AF"/>
    <w:rsid w:val="004B6FAC"/>
    <w:rsid w:val="004B7887"/>
    <w:rsid w:val="004C04C4"/>
    <w:rsid w:val="004C33FB"/>
    <w:rsid w:val="004C41A4"/>
    <w:rsid w:val="004C430A"/>
    <w:rsid w:val="004C4471"/>
    <w:rsid w:val="004C5062"/>
    <w:rsid w:val="004C5C95"/>
    <w:rsid w:val="004C6BAE"/>
    <w:rsid w:val="004C7B35"/>
    <w:rsid w:val="004C7E5C"/>
    <w:rsid w:val="004D0659"/>
    <w:rsid w:val="004D0B3B"/>
    <w:rsid w:val="004D3129"/>
    <w:rsid w:val="004D3929"/>
    <w:rsid w:val="004D3A23"/>
    <w:rsid w:val="004D3DA1"/>
    <w:rsid w:val="004D40FA"/>
    <w:rsid w:val="004D45F9"/>
    <w:rsid w:val="004D4C34"/>
    <w:rsid w:val="004D4ED5"/>
    <w:rsid w:val="004D50B3"/>
    <w:rsid w:val="004D550F"/>
    <w:rsid w:val="004D5876"/>
    <w:rsid w:val="004D6330"/>
    <w:rsid w:val="004D6607"/>
    <w:rsid w:val="004D6643"/>
    <w:rsid w:val="004D6936"/>
    <w:rsid w:val="004D764E"/>
    <w:rsid w:val="004D7CFD"/>
    <w:rsid w:val="004E06F3"/>
    <w:rsid w:val="004E1037"/>
    <w:rsid w:val="004E18DB"/>
    <w:rsid w:val="004E1F79"/>
    <w:rsid w:val="004E252C"/>
    <w:rsid w:val="004E3181"/>
    <w:rsid w:val="004E34B0"/>
    <w:rsid w:val="004E3998"/>
    <w:rsid w:val="004E442E"/>
    <w:rsid w:val="004E62CB"/>
    <w:rsid w:val="004E6320"/>
    <w:rsid w:val="004E7702"/>
    <w:rsid w:val="004E7BCB"/>
    <w:rsid w:val="004E7DE6"/>
    <w:rsid w:val="004F09B8"/>
    <w:rsid w:val="004F1A4B"/>
    <w:rsid w:val="004F4293"/>
    <w:rsid w:val="004F4B79"/>
    <w:rsid w:val="004F57BA"/>
    <w:rsid w:val="004F6647"/>
    <w:rsid w:val="004F682B"/>
    <w:rsid w:val="005004F7"/>
    <w:rsid w:val="005012E3"/>
    <w:rsid w:val="00502240"/>
    <w:rsid w:val="00503374"/>
    <w:rsid w:val="005034A8"/>
    <w:rsid w:val="005034CA"/>
    <w:rsid w:val="005036B1"/>
    <w:rsid w:val="00504E3E"/>
    <w:rsid w:val="00505829"/>
    <w:rsid w:val="00513877"/>
    <w:rsid w:val="005142D4"/>
    <w:rsid w:val="0051635A"/>
    <w:rsid w:val="00517244"/>
    <w:rsid w:val="00520034"/>
    <w:rsid w:val="00520424"/>
    <w:rsid w:val="00520868"/>
    <w:rsid w:val="00520FC1"/>
    <w:rsid w:val="00521176"/>
    <w:rsid w:val="00523004"/>
    <w:rsid w:val="005230DD"/>
    <w:rsid w:val="005237EB"/>
    <w:rsid w:val="005254C4"/>
    <w:rsid w:val="00527FEA"/>
    <w:rsid w:val="00530289"/>
    <w:rsid w:val="005307DB"/>
    <w:rsid w:val="005326B7"/>
    <w:rsid w:val="00533307"/>
    <w:rsid w:val="00534268"/>
    <w:rsid w:val="00535064"/>
    <w:rsid w:val="005371D6"/>
    <w:rsid w:val="00540471"/>
    <w:rsid w:val="00541208"/>
    <w:rsid w:val="0054122A"/>
    <w:rsid w:val="005439B2"/>
    <w:rsid w:val="005458A6"/>
    <w:rsid w:val="00545B44"/>
    <w:rsid w:val="005460D3"/>
    <w:rsid w:val="00547CB9"/>
    <w:rsid w:val="005550CD"/>
    <w:rsid w:val="00555371"/>
    <w:rsid w:val="00560313"/>
    <w:rsid w:val="00560316"/>
    <w:rsid w:val="00563E3A"/>
    <w:rsid w:val="00565F2A"/>
    <w:rsid w:val="00566F3C"/>
    <w:rsid w:val="00566FBC"/>
    <w:rsid w:val="00567043"/>
    <w:rsid w:val="005672FF"/>
    <w:rsid w:val="00567FD7"/>
    <w:rsid w:val="00570BC8"/>
    <w:rsid w:val="0057155D"/>
    <w:rsid w:val="00571888"/>
    <w:rsid w:val="005719C6"/>
    <w:rsid w:val="00572E45"/>
    <w:rsid w:val="0057307B"/>
    <w:rsid w:val="005740E1"/>
    <w:rsid w:val="00574642"/>
    <w:rsid w:val="00575D18"/>
    <w:rsid w:val="0057609C"/>
    <w:rsid w:val="00576156"/>
    <w:rsid w:val="005767CF"/>
    <w:rsid w:val="005809F6"/>
    <w:rsid w:val="00582FFB"/>
    <w:rsid w:val="0058401A"/>
    <w:rsid w:val="005842F7"/>
    <w:rsid w:val="00585FB4"/>
    <w:rsid w:val="00586DBE"/>
    <w:rsid w:val="00590E52"/>
    <w:rsid w:val="00591089"/>
    <w:rsid w:val="005910EA"/>
    <w:rsid w:val="00592164"/>
    <w:rsid w:val="005921C0"/>
    <w:rsid w:val="005923F4"/>
    <w:rsid w:val="0059292A"/>
    <w:rsid w:val="0059338E"/>
    <w:rsid w:val="00593569"/>
    <w:rsid w:val="005940EB"/>
    <w:rsid w:val="005952CF"/>
    <w:rsid w:val="0059605C"/>
    <w:rsid w:val="00596584"/>
    <w:rsid w:val="00596D5E"/>
    <w:rsid w:val="005977CB"/>
    <w:rsid w:val="005A1B3D"/>
    <w:rsid w:val="005A29F3"/>
    <w:rsid w:val="005A2E32"/>
    <w:rsid w:val="005A3FC4"/>
    <w:rsid w:val="005A43A1"/>
    <w:rsid w:val="005A562F"/>
    <w:rsid w:val="005A5B84"/>
    <w:rsid w:val="005A631D"/>
    <w:rsid w:val="005A6D61"/>
    <w:rsid w:val="005A7B1D"/>
    <w:rsid w:val="005A7CBF"/>
    <w:rsid w:val="005B0107"/>
    <w:rsid w:val="005B069C"/>
    <w:rsid w:val="005B2388"/>
    <w:rsid w:val="005B3B1C"/>
    <w:rsid w:val="005B4A61"/>
    <w:rsid w:val="005B5CF2"/>
    <w:rsid w:val="005B68CC"/>
    <w:rsid w:val="005B6BE9"/>
    <w:rsid w:val="005B7751"/>
    <w:rsid w:val="005C025D"/>
    <w:rsid w:val="005C0DF5"/>
    <w:rsid w:val="005C0F4B"/>
    <w:rsid w:val="005C1892"/>
    <w:rsid w:val="005C2E66"/>
    <w:rsid w:val="005C2F80"/>
    <w:rsid w:val="005C3529"/>
    <w:rsid w:val="005C4587"/>
    <w:rsid w:val="005C49B4"/>
    <w:rsid w:val="005C4A78"/>
    <w:rsid w:val="005C5F3D"/>
    <w:rsid w:val="005C6019"/>
    <w:rsid w:val="005C6635"/>
    <w:rsid w:val="005C7768"/>
    <w:rsid w:val="005C7FEC"/>
    <w:rsid w:val="005D02AD"/>
    <w:rsid w:val="005D0BFA"/>
    <w:rsid w:val="005D26C7"/>
    <w:rsid w:val="005D28A2"/>
    <w:rsid w:val="005D5157"/>
    <w:rsid w:val="005D5FA5"/>
    <w:rsid w:val="005D6159"/>
    <w:rsid w:val="005D68FE"/>
    <w:rsid w:val="005D6A03"/>
    <w:rsid w:val="005D74B8"/>
    <w:rsid w:val="005E1062"/>
    <w:rsid w:val="005E2160"/>
    <w:rsid w:val="005E3278"/>
    <w:rsid w:val="005E3AA2"/>
    <w:rsid w:val="005E3E2F"/>
    <w:rsid w:val="005E3F1C"/>
    <w:rsid w:val="005E4340"/>
    <w:rsid w:val="005F19AA"/>
    <w:rsid w:val="005F2113"/>
    <w:rsid w:val="005F402B"/>
    <w:rsid w:val="005F4A2C"/>
    <w:rsid w:val="005F564E"/>
    <w:rsid w:val="005F5FCA"/>
    <w:rsid w:val="005F7A2E"/>
    <w:rsid w:val="005F7C9B"/>
    <w:rsid w:val="0060189A"/>
    <w:rsid w:val="006021E3"/>
    <w:rsid w:val="0060361E"/>
    <w:rsid w:val="00604CCA"/>
    <w:rsid w:val="00605722"/>
    <w:rsid w:val="00605885"/>
    <w:rsid w:val="00605FC0"/>
    <w:rsid w:val="006063C0"/>
    <w:rsid w:val="006063D6"/>
    <w:rsid w:val="00606C37"/>
    <w:rsid w:val="00610AA0"/>
    <w:rsid w:val="00611911"/>
    <w:rsid w:val="00612458"/>
    <w:rsid w:val="006126A8"/>
    <w:rsid w:val="00612F08"/>
    <w:rsid w:val="00613151"/>
    <w:rsid w:val="00613B0B"/>
    <w:rsid w:val="006149F2"/>
    <w:rsid w:val="00615471"/>
    <w:rsid w:val="00616108"/>
    <w:rsid w:val="006162F0"/>
    <w:rsid w:val="006170B8"/>
    <w:rsid w:val="00617A05"/>
    <w:rsid w:val="006209FB"/>
    <w:rsid w:val="00621F88"/>
    <w:rsid w:val="00621FD7"/>
    <w:rsid w:val="006230A5"/>
    <w:rsid w:val="006232CA"/>
    <w:rsid w:val="00623717"/>
    <w:rsid w:val="00624BAD"/>
    <w:rsid w:val="0062612D"/>
    <w:rsid w:val="00627CF8"/>
    <w:rsid w:val="00630DB8"/>
    <w:rsid w:val="00632930"/>
    <w:rsid w:val="0063311A"/>
    <w:rsid w:val="006336A2"/>
    <w:rsid w:val="00633DC9"/>
    <w:rsid w:val="00633F7C"/>
    <w:rsid w:val="00633FE2"/>
    <w:rsid w:val="00633FFC"/>
    <w:rsid w:val="00634041"/>
    <w:rsid w:val="006347AA"/>
    <w:rsid w:val="00635196"/>
    <w:rsid w:val="0063541E"/>
    <w:rsid w:val="0063668A"/>
    <w:rsid w:val="00637414"/>
    <w:rsid w:val="00637E9D"/>
    <w:rsid w:val="0064028A"/>
    <w:rsid w:val="006402BF"/>
    <w:rsid w:val="0064101E"/>
    <w:rsid w:val="00641915"/>
    <w:rsid w:val="00641F79"/>
    <w:rsid w:val="006430B8"/>
    <w:rsid w:val="00643491"/>
    <w:rsid w:val="00644240"/>
    <w:rsid w:val="00644DAC"/>
    <w:rsid w:val="0064586F"/>
    <w:rsid w:val="0064650D"/>
    <w:rsid w:val="00646AE7"/>
    <w:rsid w:val="00651322"/>
    <w:rsid w:val="00655EA9"/>
    <w:rsid w:val="0065675A"/>
    <w:rsid w:val="00656B92"/>
    <w:rsid w:val="00657109"/>
    <w:rsid w:val="0065734F"/>
    <w:rsid w:val="00657427"/>
    <w:rsid w:val="006607C7"/>
    <w:rsid w:val="0066670D"/>
    <w:rsid w:val="00667CB1"/>
    <w:rsid w:val="006702AA"/>
    <w:rsid w:val="00671120"/>
    <w:rsid w:val="006744E5"/>
    <w:rsid w:val="00675265"/>
    <w:rsid w:val="00677344"/>
    <w:rsid w:val="0068014E"/>
    <w:rsid w:val="00680283"/>
    <w:rsid w:val="00681861"/>
    <w:rsid w:val="006818D3"/>
    <w:rsid w:val="006834AD"/>
    <w:rsid w:val="00684C4D"/>
    <w:rsid w:val="00690138"/>
    <w:rsid w:val="00691A77"/>
    <w:rsid w:val="00692070"/>
    <w:rsid w:val="0069211A"/>
    <w:rsid w:val="006921EA"/>
    <w:rsid w:val="006946C8"/>
    <w:rsid w:val="00694DC6"/>
    <w:rsid w:val="00694EF7"/>
    <w:rsid w:val="00695A82"/>
    <w:rsid w:val="00695D03"/>
    <w:rsid w:val="00697101"/>
    <w:rsid w:val="006A08FC"/>
    <w:rsid w:val="006A1C78"/>
    <w:rsid w:val="006A1E2A"/>
    <w:rsid w:val="006A44E3"/>
    <w:rsid w:val="006A47D3"/>
    <w:rsid w:val="006A61C9"/>
    <w:rsid w:val="006A66FC"/>
    <w:rsid w:val="006A7AD2"/>
    <w:rsid w:val="006B10B9"/>
    <w:rsid w:val="006B208B"/>
    <w:rsid w:val="006B37CF"/>
    <w:rsid w:val="006B43FC"/>
    <w:rsid w:val="006B4A3A"/>
    <w:rsid w:val="006B5EC8"/>
    <w:rsid w:val="006B6029"/>
    <w:rsid w:val="006B6526"/>
    <w:rsid w:val="006B6721"/>
    <w:rsid w:val="006C093A"/>
    <w:rsid w:val="006C0E7B"/>
    <w:rsid w:val="006C1912"/>
    <w:rsid w:val="006C2CB2"/>
    <w:rsid w:val="006C2E2D"/>
    <w:rsid w:val="006C42FF"/>
    <w:rsid w:val="006D08D9"/>
    <w:rsid w:val="006D19D6"/>
    <w:rsid w:val="006D46CD"/>
    <w:rsid w:val="006D46DA"/>
    <w:rsid w:val="006D5229"/>
    <w:rsid w:val="006D52AB"/>
    <w:rsid w:val="006D5A7B"/>
    <w:rsid w:val="006D65CD"/>
    <w:rsid w:val="006D69B6"/>
    <w:rsid w:val="006D78ED"/>
    <w:rsid w:val="006D7E83"/>
    <w:rsid w:val="006E08EF"/>
    <w:rsid w:val="006E0FC6"/>
    <w:rsid w:val="006E2CEE"/>
    <w:rsid w:val="006E46F7"/>
    <w:rsid w:val="006E589E"/>
    <w:rsid w:val="006E63CF"/>
    <w:rsid w:val="006E7F4C"/>
    <w:rsid w:val="006F0AF8"/>
    <w:rsid w:val="006F1520"/>
    <w:rsid w:val="006F2F58"/>
    <w:rsid w:val="006F3FD1"/>
    <w:rsid w:val="006F476E"/>
    <w:rsid w:val="006F4AF1"/>
    <w:rsid w:val="006F4DDF"/>
    <w:rsid w:val="006F4E0F"/>
    <w:rsid w:val="006F5124"/>
    <w:rsid w:val="006F53D5"/>
    <w:rsid w:val="006F5EED"/>
    <w:rsid w:val="006F5F3E"/>
    <w:rsid w:val="006F6910"/>
    <w:rsid w:val="0070159D"/>
    <w:rsid w:val="00701B9C"/>
    <w:rsid w:val="00703903"/>
    <w:rsid w:val="00704DDA"/>
    <w:rsid w:val="0070545A"/>
    <w:rsid w:val="00705568"/>
    <w:rsid w:val="00705D08"/>
    <w:rsid w:val="007068AB"/>
    <w:rsid w:val="00707C50"/>
    <w:rsid w:val="00707F54"/>
    <w:rsid w:val="007101FC"/>
    <w:rsid w:val="00710938"/>
    <w:rsid w:val="00711795"/>
    <w:rsid w:val="00712088"/>
    <w:rsid w:val="00712B38"/>
    <w:rsid w:val="00715182"/>
    <w:rsid w:val="00715305"/>
    <w:rsid w:val="00715C62"/>
    <w:rsid w:val="0071707B"/>
    <w:rsid w:val="00720225"/>
    <w:rsid w:val="00720785"/>
    <w:rsid w:val="0072229C"/>
    <w:rsid w:val="007231F2"/>
    <w:rsid w:val="00724970"/>
    <w:rsid w:val="007249FC"/>
    <w:rsid w:val="0072546D"/>
    <w:rsid w:val="00725889"/>
    <w:rsid w:val="00726B99"/>
    <w:rsid w:val="007277CE"/>
    <w:rsid w:val="00731CED"/>
    <w:rsid w:val="00733B92"/>
    <w:rsid w:val="00734610"/>
    <w:rsid w:val="0073525E"/>
    <w:rsid w:val="00740706"/>
    <w:rsid w:val="00740F3F"/>
    <w:rsid w:val="007424D6"/>
    <w:rsid w:val="00743E84"/>
    <w:rsid w:val="007454AB"/>
    <w:rsid w:val="007455AB"/>
    <w:rsid w:val="00745AE4"/>
    <w:rsid w:val="00751F24"/>
    <w:rsid w:val="00752EA6"/>
    <w:rsid w:val="00753A39"/>
    <w:rsid w:val="007547B9"/>
    <w:rsid w:val="00754C71"/>
    <w:rsid w:val="00757F87"/>
    <w:rsid w:val="00760F6D"/>
    <w:rsid w:val="00762359"/>
    <w:rsid w:val="007636AF"/>
    <w:rsid w:val="007640EA"/>
    <w:rsid w:val="00765E19"/>
    <w:rsid w:val="00766423"/>
    <w:rsid w:val="00766755"/>
    <w:rsid w:val="00766B20"/>
    <w:rsid w:val="007703C8"/>
    <w:rsid w:val="00773EF7"/>
    <w:rsid w:val="00774571"/>
    <w:rsid w:val="007747E9"/>
    <w:rsid w:val="00774C04"/>
    <w:rsid w:val="00775879"/>
    <w:rsid w:val="007769DB"/>
    <w:rsid w:val="00776A05"/>
    <w:rsid w:val="00777008"/>
    <w:rsid w:val="0078205C"/>
    <w:rsid w:val="0078220C"/>
    <w:rsid w:val="00782730"/>
    <w:rsid w:val="00782BE4"/>
    <w:rsid w:val="007831C8"/>
    <w:rsid w:val="00783B44"/>
    <w:rsid w:val="00785A12"/>
    <w:rsid w:val="007874D5"/>
    <w:rsid w:val="007875A5"/>
    <w:rsid w:val="00790114"/>
    <w:rsid w:val="00791988"/>
    <w:rsid w:val="00794A91"/>
    <w:rsid w:val="007951B6"/>
    <w:rsid w:val="00795392"/>
    <w:rsid w:val="00796039"/>
    <w:rsid w:val="00796291"/>
    <w:rsid w:val="007962F8"/>
    <w:rsid w:val="00797F92"/>
    <w:rsid w:val="007A0767"/>
    <w:rsid w:val="007A0BE5"/>
    <w:rsid w:val="007A284E"/>
    <w:rsid w:val="007A398C"/>
    <w:rsid w:val="007A4E98"/>
    <w:rsid w:val="007A4EC7"/>
    <w:rsid w:val="007A59F1"/>
    <w:rsid w:val="007A5CEE"/>
    <w:rsid w:val="007A5ED9"/>
    <w:rsid w:val="007B080C"/>
    <w:rsid w:val="007B1643"/>
    <w:rsid w:val="007B1D26"/>
    <w:rsid w:val="007B1D29"/>
    <w:rsid w:val="007B1ECB"/>
    <w:rsid w:val="007B364E"/>
    <w:rsid w:val="007B5310"/>
    <w:rsid w:val="007B6E99"/>
    <w:rsid w:val="007B7691"/>
    <w:rsid w:val="007C060B"/>
    <w:rsid w:val="007C19E3"/>
    <w:rsid w:val="007C1D49"/>
    <w:rsid w:val="007C3913"/>
    <w:rsid w:val="007C6007"/>
    <w:rsid w:val="007C6865"/>
    <w:rsid w:val="007C72BB"/>
    <w:rsid w:val="007D03BF"/>
    <w:rsid w:val="007D0C27"/>
    <w:rsid w:val="007D14D6"/>
    <w:rsid w:val="007D3428"/>
    <w:rsid w:val="007D3690"/>
    <w:rsid w:val="007D38ED"/>
    <w:rsid w:val="007D4EEE"/>
    <w:rsid w:val="007D5657"/>
    <w:rsid w:val="007D5727"/>
    <w:rsid w:val="007E01F9"/>
    <w:rsid w:val="007E0648"/>
    <w:rsid w:val="007E114A"/>
    <w:rsid w:val="007E1B45"/>
    <w:rsid w:val="007E3D6E"/>
    <w:rsid w:val="007E66F8"/>
    <w:rsid w:val="007E6918"/>
    <w:rsid w:val="007F0BB2"/>
    <w:rsid w:val="007F0BDA"/>
    <w:rsid w:val="007F242D"/>
    <w:rsid w:val="007F24F7"/>
    <w:rsid w:val="007F28AB"/>
    <w:rsid w:val="007F3106"/>
    <w:rsid w:val="007F3815"/>
    <w:rsid w:val="007F3AA3"/>
    <w:rsid w:val="007F3C4A"/>
    <w:rsid w:val="007F4BC5"/>
    <w:rsid w:val="007F567C"/>
    <w:rsid w:val="007F613F"/>
    <w:rsid w:val="007F66C7"/>
    <w:rsid w:val="00800210"/>
    <w:rsid w:val="00800D7D"/>
    <w:rsid w:val="0080145B"/>
    <w:rsid w:val="00801F0E"/>
    <w:rsid w:val="00802185"/>
    <w:rsid w:val="00805778"/>
    <w:rsid w:val="008122DA"/>
    <w:rsid w:val="00814063"/>
    <w:rsid w:val="00814445"/>
    <w:rsid w:val="00817967"/>
    <w:rsid w:val="00820A15"/>
    <w:rsid w:val="00821C49"/>
    <w:rsid w:val="0082609F"/>
    <w:rsid w:val="008262F7"/>
    <w:rsid w:val="0082668D"/>
    <w:rsid w:val="00832540"/>
    <w:rsid w:val="00832F3B"/>
    <w:rsid w:val="0083327D"/>
    <w:rsid w:val="00834D5C"/>
    <w:rsid w:val="00835CEA"/>
    <w:rsid w:val="00836F8E"/>
    <w:rsid w:val="0084194B"/>
    <w:rsid w:val="0084196C"/>
    <w:rsid w:val="00841C7B"/>
    <w:rsid w:val="00841DC8"/>
    <w:rsid w:val="008428A9"/>
    <w:rsid w:val="00842CAC"/>
    <w:rsid w:val="0084323B"/>
    <w:rsid w:val="00844436"/>
    <w:rsid w:val="00846413"/>
    <w:rsid w:val="0085029B"/>
    <w:rsid w:val="00850DEB"/>
    <w:rsid w:val="008514DC"/>
    <w:rsid w:val="00851A18"/>
    <w:rsid w:val="00853B22"/>
    <w:rsid w:val="008545CD"/>
    <w:rsid w:val="0085511F"/>
    <w:rsid w:val="008564A5"/>
    <w:rsid w:val="0085654B"/>
    <w:rsid w:val="00856EB3"/>
    <w:rsid w:val="00860D69"/>
    <w:rsid w:val="00861D6F"/>
    <w:rsid w:val="00862D86"/>
    <w:rsid w:val="00863257"/>
    <w:rsid w:val="00863C90"/>
    <w:rsid w:val="008648F7"/>
    <w:rsid w:val="00865839"/>
    <w:rsid w:val="0087252B"/>
    <w:rsid w:val="008729E6"/>
    <w:rsid w:val="00872A34"/>
    <w:rsid w:val="00873E04"/>
    <w:rsid w:val="008749E4"/>
    <w:rsid w:val="00875DCD"/>
    <w:rsid w:val="00876203"/>
    <w:rsid w:val="00877B7C"/>
    <w:rsid w:val="00877F95"/>
    <w:rsid w:val="00881D4D"/>
    <w:rsid w:val="00884C78"/>
    <w:rsid w:val="00884D02"/>
    <w:rsid w:val="00884DDA"/>
    <w:rsid w:val="00884F22"/>
    <w:rsid w:val="00885581"/>
    <w:rsid w:val="00886837"/>
    <w:rsid w:val="00890897"/>
    <w:rsid w:val="00891F37"/>
    <w:rsid w:val="008935B3"/>
    <w:rsid w:val="00893BCB"/>
    <w:rsid w:val="00894883"/>
    <w:rsid w:val="008949DC"/>
    <w:rsid w:val="00894C04"/>
    <w:rsid w:val="008951A2"/>
    <w:rsid w:val="008968EA"/>
    <w:rsid w:val="00896AA2"/>
    <w:rsid w:val="008A205B"/>
    <w:rsid w:val="008A24C2"/>
    <w:rsid w:val="008A3EE6"/>
    <w:rsid w:val="008A625C"/>
    <w:rsid w:val="008B5002"/>
    <w:rsid w:val="008B5244"/>
    <w:rsid w:val="008C0E58"/>
    <w:rsid w:val="008C2089"/>
    <w:rsid w:val="008C2ADD"/>
    <w:rsid w:val="008C2CC6"/>
    <w:rsid w:val="008C315B"/>
    <w:rsid w:val="008C43C5"/>
    <w:rsid w:val="008C4663"/>
    <w:rsid w:val="008C4B79"/>
    <w:rsid w:val="008C4B81"/>
    <w:rsid w:val="008C57AB"/>
    <w:rsid w:val="008C5F98"/>
    <w:rsid w:val="008D039A"/>
    <w:rsid w:val="008D0655"/>
    <w:rsid w:val="008D1D36"/>
    <w:rsid w:val="008D2300"/>
    <w:rsid w:val="008D24C3"/>
    <w:rsid w:val="008D2D5F"/>
    <w:rsid w:val="008D3402"/>
    <w:rsid w:val="008D3D3D"/>
    <w:rsid w:val="008D512C"/>
    <w:rsid w:val="008D5265"/>
    <w:rsid w:val="008D5DFE"/>
    <w:rsid w:val="008D5FB0"/>
    <w:rsid w:val="008D7702"/>
    <w:rsid w:val="008E01EF"/>
    <w:rsid w:val="008E283B"/>
    <w:rsid w:val="008E3A15"/>
    <w:rsid w:val="008E635E"/>
    <w:rsid w:val="008E70A8"/>
    <w:rsid w:val="008F0922"/>
    <w:rsid w:val="008F119A"/>
    <w:rsid w:val="008F192F"/>
    <w:rsid w:val="008F1ADF"/>
    <w:rsid w:val="008F2187"/>
    <w:rsid w:val="008F2C62"/>
    <w:rsid w:val="008F2F7B"/>
    <w:rsid w:val="008F3B2B"/>
    <w:rsid w:val="008F4695"/>
    <w:rsid w:val="008F47E2"/>
    <w:rsid w:val="008F52C2"/>
    <w:rsid w:val="008F542A"/>
    <w:rsid w:val="008F5FD0"/>
    <w:rsid w:val="008F7462"/>
    <w:rsid w:val="008F7933"/>
    <w:rsid w:val="00900E61"/>
    <w:rsid w:val="00901C7A"/>
    <w:rsid w:val="00903BEC"/>
    <w:rsid w:val="00904374"/>
    <w:rsid w:val="009044CD"/>
    <w:rsid w:val="009067E4"/>
    <w:rsid w:val="00906E33"/>
    <w:rsid w:val="00910390"/>
    <w:rsid w:val="00913E5A"/>
    <w:rsid w:val="0091443C"/>
    <w:rsid w:val="00914764"/>
    <w:rsid w:val="00914867"/>
    <w:rsid w:val="00914969"/>
    <w:rsid w:val="0091532B"/>
    <w:rsid w:val="009166C3"/>
    <w:rsid w:val="009215B5"/>
    <w:rsid w:val="00921764"/>
    <w:rsid w:val="009243FB"/>
    <w:rsid w:val="00924728"/>
    <w:rsid w:val="00924736"/>
    <w:rsid w:val="00924907"/>
    <w:rsid w:val="00924CCD"/>
    <w:rsid w:val="00924FC3"/>
    <w:rsid w:val="00926CE7"/>
    <w:rsid w:val="0092723E"/>
    <w:rsid w:val="009272B6"/>
    <w:rsid w:val="00927FD1"/>
    <w:rsid w:val="0093233E"/>
    <w:rsid w:val="009323FF"/>
    <w:rsid w:val="0093294F"/>
    <w:rsid w:val="009329DD"/>
    <w:rsid w:val="00933FE7"/>
    <w:rsid w:val="0093489C"/>
    <w:rsid w:val="009350E3"/>
    <w:rsid w:val="0093543D"/>
    <w:rsid w:val="00935A10"/>
    <w:rsid w:val="00935E0A"/>
    <w:rsid w:val="0093789A"/>
    <w:rsid w:val="00937CBE"/>
    <w:rsid w:val="009400C6"/>
    <w:rsid w:val="009400E5"/>
    <w:rsid w:val="00940C1C"/>
    <w:rsid w:val="00941769"/>
    <w:rsid w:val="009436E9"/>
    <w:rsid w:val="009439FD"/>
    <w:rsid w:val="00943C43"/>
    <w:rsid w:val="009442C4"/>
    <w:rsid w:val="009455D3"/>
    <w:rsid w:val="009468E5"/>
    <w:rsid w:val="00947054"/>
    <w:rsid w:val="00950263"/>
    <w:rsid w:val="00950A74"/>
    <w:rsid w:val="0095111F"/>
    <w:rsid w:val="00953042"/>
    <w:rsid w:val="009534EC"/>
    <w:rsid w:val="0095489F"/>
    <w:rsid w:val="00954F6E"/>
    <w:rsid w:val="00956100"/>
    <w:rsid w:val="009577BD"/>
    <w:rsid w:val="00957B4A"/>
    <w:rsid w:val="00957FD1"/>
    <w:rsid w:val="009603D6"/>
    <w:rsid w:val="0096164F"/>
    <w:rsid w:val="00962005"/>
    <w:rsid w:val="0096212F"/>
    <w:rsid w:val="00964D84"/>
    <w:rsid w:val="00965335"/>
    <w:rsid w:val="00966A07"/>
    <w:rsid w:val="00967037"/>
    <w:rsid w:val="00967544"/>
    <w:rsid w:val="00970863"/>
    <w:rsid w:val="009717D2"/>
    <w:rsid w:val="0097275F"/>
    <w:rsid w:val="00972C38"/>
    <w:rsid w:val="00973981"/>
    <w:rsid w:val="00974081"/>
    <w:rsid w:val="00974E3F"/>
    <w:rsid w:val="00975365"/>
    <w:rsid w:val="00975397"/>
    <w:rsid w:val="00975B02"/>
    <w:rsid w:val="009770BC"/>
    <w:rsid w:val="00977F0D"/>
    <w:rsid w:val="00982779"/>
    <w:rsid w:val="00984195"/>
    <w:rsid w:val="0098432D"/>
    <w:rsid w:val="00984E8F"/>
    <w:rsid w:val="009851A6"/>
    <w:rsid w:val="00985211"/>
    <w:rsid w:val="00985A39"/>
    <w:rsid w:val="00985E8C"/>
    <w:rsid w:val="00986257"/>
    <w:rsid w:val="009867B7"/>
    <w:rsid w:val="00987142"/>
    <w:rsid w:val="00987E8F"/>
    <w:rsid w:val="0099045B"/>
    <w:rsid w:val="009919DB"/>
    <w:rsid w:val="00992186"/>
    <w:rsid w:val="009929D5"/>
    <w:rsid w:val="00992F79"/>
    <w:rsid w:val="00993038"/>
    <w:rsid w:val="00993515"/>
    <w:rsid w:val="0099378D"/>
    <w:rsid w:val="00993FE3"/>
    <w:rsid w:val="00994793"/>
    <w:rsid w:val="0099578D"/>
    <w:rsid w:val="00995E7C"/>
    <w:rsid w:val="00996C34"/>
    <w:rsid w:val="009A04EC"/>
    <w:rsid w:val="009A29A3"/>
    <w:rsid w:val="009A2C07"/>
    <w:rsid w:val="009A47C6"/>
    <w:rsid w:val="009A59D0"/>
    <w:rsid w:val="009A6379"/>
    <w:rsid w:val="009A6D02"/>
    <w:rsid w:val="009A7871"/>
    <w:rsid w:val="009B00E5"/>
    <w:rsid w:val="009B1C51"/>
    <w:rsid w:val="009B29CA"/>
    <w:rsid w:val="009B2AEB"/>
    <w:rsid w:val="009B4B9D"/>
    <w:rsid w:val="009B591D"/>
    <w:rsid w:val="009B66C6"/>
    <w:rsid w:val="009C1694"/>
    <w:rsid w:val="009C36DE"/>
    <w:rsid w:val="009C5D40"/>
    <w:rsid w:val="009C75C8"/>
    <w:rsid w:val="009C7A15"/>
    <w:rsid w:val="009D002A"/>
    <w:rsid w:val="009D0674"/>
    <w:rsid w:val="009D0ABE"/>
    <w:rsid w:val="009D0C28"/>
    <w:rsid w:val="009D14E2"/>
    <w:rsid w:val="009D15F8"/>
    <w:rsid w:val="009D2608"/>
    <w:rsid w:val="009D42DC"/>
    <w:rsid w:val="009D4381"/>
    <w:rsid w:val="009D4425"/>
    <w:rsid w:val="009D5292"/>
    <w:rsid w:val="009D5421"/>
    <w:rsid w:val="009D58FD"/>
    <w:rsid w:val="009D5A20"/>
    <w:rsid w:val="009D72E2"/>
    <w:rsid w:val="009E007E"/>
    <w:rsid w:val="009E04D5"/>
    <w:rsid w:val="009E1F71"/>
    <w:rsid w:val="009E258A"/>
    <w:rsid w:val="009E3502"/>
    <w:rsid w:val="009E41CE"/>
    <w:rsid w:val="009E49E2"/>
    <w:rsid w:val="009E61E9"/>
    <w:rsid w:val="009E6E02"/>
    <w:rsid w:val="009E73DA"/>
    <w:rsid w:val="009F0325"/>
    <w:rsid w:val="009F07E3"/>
    <w:rsid w:val="009F08CC"/>
    <w:rsid w:val="009F0F3E"/>
    <w:rsid w:val="009F18AA"/>
    <w:rsid w:val="009F215D"/>
    <w:rsid w:val="009F273E"/>
    <w:rsid w:val="009F2D15"/>
    <w:rsid w:val="009F5CEC"/>
    <w:rsid w:val="009F6389"/>
    <w:rsid w:val="009F78E3"/>
    <w:rsid w:val="00A00132"/>
    <w:rsid w:val="00A0177F"/>
    <w:rsid w:val="00A0422D"/>
    <w:rsid w:val="00A04448"/>
    <w:rsid w:val="00A053D4"/>
    <w:rsid w:val="00A0685F"/>
    <w:rsid w:val="00A06BA2"/>
    <w:rsid w:val="00A109FC"/>
    <w:rsid w:val="00A123FF"/>
    <w:rsid w:val="00A12DF2"/>
    <w:rsid w:val="00A16606"/>
    <w:rsid w:val="00A167F9"/>
    <w:rsid w:val="00A168C5"/>
    <w:rsid w:val="00A17306"/>
    <w:rsid w:val="00A1762F"/>
    <w:rsid w:val="00A20175"/>
    <w:rsid w:val="00A203FC"/>
    <w:rsid w:val="00A20F1F"/>
    <w:rsid w:val="00A22859"/>
    <w:rsid w:val="00A23C67"/>
    <w:rsid w:val="00A23F9B"/>
    <w:rsid w:val="00A244D1"/>
    <w:rsid w:val="00A2540C"/>
    <w:rsid w:val="00A25961"/>
    <w:rsid w:val="00A25E52"/>
    <w:rsid w:val="00A308D7"/>
    <w:rsid w:val="00A31FEA"/>
    <w:rsid w:val="00A32C77"/>
    <w:rsid w:val="00A32D1C"/>
    <w:rsid w:val="00A37CD9"/>
    <w:rsid w:val="00A40811"/>
    <w:rsid w:val="00A44DA6"/>
    <w:rsid w:val="00A47337"/>
    <w:rsid w:val="00A4796F"/>
    <w:rsid w:val="00A508B6"/>
    <w:rsid w:val="00A5175D"/>
    <w:rsid w:val="00A52F18"/>
    <w:rsid w:val="00A55DC5"/>
    <w:rsid w:val="00A57148"/>
    <w:rsid w:val="00A57230"/>
    <w:rsid w:val="00A60B1C"/>
    <w:rsid w:val="00A616FC"/>
    <w:rsid w:val="00A61FD5"/>
    <w:rsid w:val="00A62E62"/>
    <w:rsid w:val="00A6363B"/>
    <w:rsid w:val="00A63A68"/>
    <w:rsid w:val="00A63ABA"/>
    <w:rsid w:val="00A653EB"/>
    <w:rsid w:val="00A66616"/>
    <w:rsid w:val="00A7085E"/>
    <w:rsid w:val="00A7090A"/>
    <w:rsid w:val="00A71A83"/>
    <w:rsid w:val="00A72DF6"/>
    <w:rsid w:val="00A7334B"/>
    <w:rsid w:val="00A73EDE"/>
    <w:rsid w:val="00A74A2C"/>
    <w:rsid w:val="00A75FA4"/>
    <w:rsid w:val="00A7610D"/>
    <w:rsid w:val="00A761EC"/>
    <w:rsid w:val="00A76391"/>
    <w:rsid w:val="00A76E6F"/>
    <w:rsid w:val="00A77F1D"/>
    <w:rsid w:val="00A80A22"/>
    <w:rsid w:val="00A81046"/>
    <w:rsid w:val="00A812DC"/>
    <w:rsid w:val="00A81AB4"/>
    <w:rsid w:val="00A8278E"/>
    <w:rsid w:val="00A82A2A"/>
    <w:rsid w:val="00A82CF5"/>
    <w:rsid w:val="00A82EAD"/>
    <w:rsid w:val="00A84E90"/>
    <w:rsid w:val="00A86AED"/>
    <w:rsid w:val="00A86F17"/>
    <w:rsid w:val="00A870DF"/>
    <w:rsid w:val="00A8728D"/>
    <w:rsid w:val="00A918BD"/>
    <w:rsid w:val="00A919B4"/>
    <w:rsid w:val="00A93D4F"/>
    <w:rsid w:val="00A93E15"/>
    <w:rsid w:val="00A94984"/>
    <w:rsid w:val="00A94ABD"/>
    <w:rsid w:val="00A95EF8"/>
    <w:rsid w:val="00A96B72"/>
    <w:rsid w:val="00A970D6"/>
    <w:rsid w:val="00AA0C7B"/>
    <w:rsid w:val="00AA1E55"/>
    <w:rsid w:val="00AA1FE0"/>
    <w:rsid w:val="00AA213A"/>
    <w:rsid w:val="00AA3B4C"/>
    <w:rsid w:val="00AA4178"/>
    <w:rsid w:val="00AA535D"/>
    <w:rsid w:val="00AA639A"/>
    <w:rsid w:val="00AA6956"/>
    <w:rsid w:val="00AB0AC4"/>
    <w:rsid w:val="00AB0B52"/>
    <w:rsid w:val="00AB2F1B"/>
    <w:rsid w:val="00AB3C1D"/>
    <w:rsid w:val="00AB43F3"/>
    <w:rsid w:val="00AB5CB9"/>
    <w:rsid w:val="00AB66DD"/>
    <w:rsid w:val="00AC2872"/>
    <w:rsid w:val="00AC28BB"/>
    <w:rsid w:val="00AC5F1D"/>
    <w:rsid w:val="00AD00FC"/>
    <w:rsid w:val="00AD049B"/>
    <w:rsid w:val="00AD186A"/>
    <w:rsid w:val="00AD202D"/>
    <w:rsid w:val="00AD277C"/>
    <w:rsid w:val="00AD38E8"/>
    <w:rsid w:val="00AD4012"/>
    <w:rsid w:val="00AD4184"/>
    <w:rsid w:val="00AD49D3"/>
    <w:rsid w:val="00AD6417"/>
    <w:rsid w:val="00AE115F"/>
    <w:rsid w:val="00AE2BC4"/>
    <w:rsid w:val="00AE338B"/>
    <w:rsid w:val="00AE36A3"/>
    <w:rsid w:val="00AE4356"/>
    <w:rsid w:val="00AE5941"/>
    <w:rsid w:val="00AE5E44"/>
    <w:rsid w:val="00AE72B1"/>
    <w:rsid w:val="00AE791E"/>
    <w:rsid w:val="00AF100B"/>
    <w:rsid w:val="00AF1D4D"/>
    <w:rsid w:val="00AF216A"/>
    <w:rsid w:val="00AF3012"/>
    <w:rsid w:val="00AF33ED"/>
    <w:rsid w:val="00AF39F4"/>
    <w:rsid w:val="00AF49CA"/>
    <w:rsid w:val="00AF556E"/>
    <w:rsid w:val="00AF5C99"/>
    <w:rsid w:val="00AF718F"/>
    <w:rsid w:val="00B00248"/>
    <w:rsid w:val="00B022F0"/>
    <w:rsid w:val="00B02D14"/>
    <w:rsid w:val="00B0329A"/>
    <w:rsid w:val="00B045AF"/>
    <w:rsid w:val="00B04F2C"/>
    <w:rsid w:val="00B058F7"/>
    <w:rsid w:val="00B065D7"/>
    <w:rsid w:val="00B07408"/>
    <w:rsid w:val="00B10EDC"/>
    <w:rsid w:val="00B12851"/>
    <w:rsid w:val="00B12C2E"/>
    <w:rsid w:val="00B14D68"/>
    <w:rsid w:val="00B14F2D"/>
    <w:rsid w:val="00B16C6B"/>
    <w:rsid w:val="00B17524"/>
    <w:rsid w:val="00B211AF"/>
    <w:rsid w:val="00B212FC"/>
    <w:rsid w:val="00B214E0"/>
    <w:rsid w:val="00B22D17"/>
    <w:rsid w:val="00B243BE"/>
    <w:rsid w:val="00B25F17"/>
    <w:rsid w:val="00B26EB9"/>
    <w:rsid w:val="00B2714A"/>
    <w:rsid w:val="00B27C16"/>
    <w:rsid w:val="00B301A4"/>
    <w:rsid w:val="00B30AB8"/>
    <w:rsid w:val="00B32467"/>
    <w:rsid w:val="00B33ABF"/>
    <w:rsid w:val="00B346CE"/>
    <w:rsid w:val="00B36822"/>
    <w:rsid w:val="00B37F2C"/>
    <w:rsid w:val="00B401FA"/>
    <w:rsid w:val="00B4033F"/>
    <w:rsid w:val="00B426FD"/>
    <w:rsid w:val="00B42E49"/>
    <w:rsid w:val="00B44372"/>
    <w:rsid w:val="00B4505D"/>
    <w:rsid w:val="00B453BC"/>
    <w:rsid w:val="00B45835"/>
    <w:rsid w:val="00B462CC"/>
    <w:rsid w:val="00B46A92"/>
    <w:rsid w:val="00B47A3F"/>
    <w:rsid w:val="00B517E1"/>
    <w:rsid w:val="00B51976"/>
    <w:rsid w:val="00B53B05"/>
    <w:rsid w:val="00B5659F"/>
    <w:rsid w:val="00B56D98"/>
    <w:rsid w:val="00B57C37"/>
    <w:rsid w:val="00B603DF"/>
    <w:rsid w:val="00B6102A"/>
    <w:rsid w:val="00B62A84"/>
    <w:rsid w:val="00B62E7F"/>
    <w:rsid w:val="00B71171"/>
    <w:rsid w:val="00B7144A"/>
    <w:rsid w:val="00B71952"/>
    <w:rsid w:val="00B71BB4"/>
    <w:rsid w:val="00B71C60"/>
    <w:rsid w:val="00B72232"/>
    <w:rsid w:val="00B72976"/>
    <w:rsid w:val="00B72BAF"/>
    <w:rsid w:val="00B733AA"/>
    <w:rsid w:val="00B73520"/>
    <w:rsid w:val="00B73E59"/>
    <w:rsid w:val="00B74664"/>
    <w:rsid w:val="00B74D23"/>
    <w:rsid w:val="00B758F1"/>
    <w:rsid w:val="00B75CD4"/>
    <w:rsid w:val="00B76500"/>
    <w:rsid w:val="00B80DB2"/>
    <w:rsid w:val="00B80E3F"/>
    <w:rsid w:val="00B82998"/>
    <w:rsid w:val="00B835D0"/>
    <w:rsid w:val="00B85F57"/>
    <w:rsid w:val="00B86026"/>
    <w:rsid w:val="00B864CE"/>
    <w:rsid w:val="00B872A4"/>
    <w:rsid w:val="00B87381"/>
    <w:rsid w:val="00B91655"/>
    <w:rsid w:val="00B93792"/>
    <w:rsid w:val="00B94831"/>
    <w:rsid w:val="00B94ED3"/>
    <w:rsid w:val="00B96D8B"/>
    <w:rsid w:val="00B971F9"/>
    <w:rsid w:val="00BA0D6D"/>
    <w:rsid w:val="00BA1734"/>
    <w:rsid w:val="00BA2EEF"/>
    <w:rsid w:val="00BA46E1"/>
    <w:rsid w:val="00BA4AD2"/>
    <w:rsid w:val="00BA4D1E"/>
    <w:rsid w:val="00BA580D"/>
    <w:rsid w:val="00BA618E"/>
    <w:rsid w:val="00BA6D2A"/>
    <w:rsid w:val="00BA6F53"/>
    <w:rsid w:val="00BA7C80"/>
    <w:rsid w:val="00BA7D78"/>
    <w:rsid w:val="00BB25CB"/>
    <w:rsid w:val="00BB2DD9"/>
    <w:rsid w:val="00BB3A65"/>
    <w:rsid w:val="00BB3D74"/>
    <w:rsid w:val="00BB5E6E"/>
    <w:rsid w:val="00BB65D3"/>
    <w:rsid w:val="00BB78C5"/>
    <w:rsid w:val="00BC126B"/>
    <w:rsid w:val="00BC17FD"/>
    <w:rsid w:val="00BC2F52"/>
    <w:rsid w:val="00BC47AC"/>
    <w:rsid w:val="00BC6662"/>
    <w:rsid w:val="00BC6974"/>
    <w:rsid w:val="00BC6CA9"/>
    <w:rsid w:val="00BD22E6"/>
    <w:rsid w:val="00BD2A86"/>
    <w:rsid w:val="00BD2F9C"/>
    <w:rsid w:val="00BD3694"/>
    <w:rsid w:val="00BD4B7E"/>
    <w:rsid w:val="00BD5422"/>
    <w:rsid w:val="00BD55FC"/>
    <w:rsid w:val="00BD6195"/>
    <w:rsid w:val="00BD66D0"/>
    <w:rsid w:val="00BD66E0"/>
    <w:rsid w:val="00BD6F58"/>
    <w:rsid w:val="00BE0838"/>
    <w:rsid w:val="00BE0A71"/>
    <w:rsid w:val="00BE27F8"/>
    <w:rsid w:val="00BE46ED"/>
    <w:rsid w:val="00BE58A2"/>
    <w:rsid w:val="00BE75B3"/>
    <w:rsid w:val="00BE77A7"/>
    <w:rsid w:val="00BE7A47"/>
    <w:rsid w:val="00BE7A98"/>
    <w:rsid w:val="00BF084A"/>
    <w:rsid w:val="00BF0DE7"/>
    <w:rsid w:val="00BF0E49"/>
    <w:rsid w:val="00BF218F"/>
    <w:rsid w:val="00BF3405"/>
    <w:rsid w:val="00BF3F30"/>
    <w:rsid w:val="00BF42A7"/>
    <w:rsid w:val="00BF4CDD"/>
    <w:rsid w:val="00BF6F58"/>
    <w:rsid w:val="00C03332"/>
    <w:rsid w:val="00C03640"/>
    <w:rsid w:val="00C03D9F"/>
    <w:rsid w:val="00C04A53"/>
    <w:rsid w:val="00C05DD2"/>
    <w:rsid w:val="00C062F5"/>
    <w:rsid w:val="00C064CE"/>
    <w:rsid w:val="00C071FD"/>
    <w:rsid w:val="00C07F55"/>
    <w:rsid w:val="00C107E0"/>
    <w:rsid w:val="00C10923"/>
    <w:rsid w:val="00C10FB3"/>
    <w:rsid w:val="00C1243A"/>
    <w:rsid w:val="00C12457"/>
    <w:rsid w:val="00C13905"/>
    <w:rsid w:val="00C13CE5"/>
    <w:rsid w:val="00C1710D"/>
    <w:rsid w:val="00C17D1D"/>
    <w:rsid w:val="00C223CF"/>
    <w:rsid w:val="00C22CE6"/>
    <w:rsid w:val="00C232AF"/>
    <w:rsid w:val="00C234DD"/>
    <w:rsid w:val="00C23779"/>
    <w:rsid w:val="00C26D11"/>
    <w:rsid w:val="00C27A78"/>
    <w:rsid w:val="00C27FED"/>
    <w:rsid w:val="00C30870"/>
    <w:rsid w:val="00C31439"/>
    <w:rsid w:val="00C314F2"/>
    <w:rsid w:val="00C31835"/>
    <w:rsid w:val="00C34642"/>
    <w:rsid w:val="00C350B1"/>
    <w:rsid w:val="00C36C69"/>
    <w:rsid w:val="00C375C5"/>
    <w:rsid w:val="00C40404"/>
    <w:rsid w:val="00C40C3B"/>
    <w:rsid w:val="00C416D3"/>
    <w:rsid w:val="00C42B83"/>
    <w:rsid w:val="00C42EE4"/>
    <w:rsid w:val="00C43E38"/>
    <w:rsid w:val="00C44CD6"/>
    <w:rsid w:val="00C453B4"/>
    <w:rsid w:val="00C455C3"/>
    <w:rsid w:val="00C50000"/>
    <w:rsid w:val="00C5087B"/>
    <w:rsid w:val="00C511A5"/>
    <w:rsid w:val="00C517D6"/>
    <w:rsid w:val="00C52368"/>
    <w:rsid w:val="00C52796"/>
    <w:rsid w:val="00C532A3"/>
    <w:rsid w:val="00C5444C"/>
    <w:rsid w:val="00C54C9C"/>
    <w:rsid w:val="00C54D7F"/>
    <w:rsid w:val="00C56C08"/>
    <w:rsid w:val="00C57450"/>
    <w:rsid w:val="00C578E8"/>
    <w:rsid w:val="00C6228B"/>
    <w:rsid w:val="00C62877"/>
    <w:rsid w:val="00C62B1B"/>
    <w:rsid w:val="00C62FFB"/>
    <w:rsid w:val="00C63160"/>
    <w:rsid w:val="00C6463C"/>
    <w:rsid w:val="00C64C26"/>
    <w:rsid w:val="00C673D6"/>
    <w:rsid w:val="00C70927"/>
    <w:rsid w:val="00C70AE7"/>
    <w:rsid w:val="00C710AE"/>
    <w:rsid w:val="00C71288"/>
    <w:rsid w:val="00C71D27"/>
    <w:rsid w:val="00C71EB9"/>
    <w:rsid w:val="00C71F38"/>
    <w:rsid w:val="00C720AD"/>
    <w:rsid w:val="00C7213E"/>
    <w:rsid w:val="00C72BD8"/>
    <w:rsid w:val="00C72E11"/>
    <w:rsid w:val="00C737DB"/>
    <w:rsid w:val="00C75D67"/>
    <w:rsid w:val="00C77CCE"/>
    <w:rsid w:val="00C8103B"/>
    <w:rsid w:val="00C81C4C"/>
    <w:rsid w:val="00C82A1C"/>
    <w:rsid w:val="00C83BFB"/>
    <w:rsid w:val="00C8434A"/>
    <w:rsid w:val="00C8470D"/>
    <w:rsid w:val="00C8662E"/>
    <w:rsid w:val="00C869E0"/>
    <w:rsid w:val="00C878BB"/>
    <w:rsid w:val="00C91444"/>
    <w:rsid w:val="00C9214B"/>
    <w:rsid w:val="00C9257D"/>
    <w:rsid w:val="00C92E77"/>
    <w:rsid w:val="00C93475"/>
    <w:rsid w:val="00C9373D"/>
    <w:rsid w:val="00C93A31"/>
    <w:rsid w:val="00C93AC3"/>
    <w:rsid w:val="00C94B76"/>
    <w:rsid w:val="00C96FC0"/>
    <w:rsid w:val="00C9786F"/>
    <w:rsid w:val="00C97E74"/>
    <w:rsid w:val="00CA3FD6"/>
    <w:rsid w:val="00CA4C59"/>
    <w:rsid w:val="00CA5E38"/>
    <w:rsid w:val="00CA6F53"/>
    <w:rsid w:val="00CA7323"/>
    <w:rsid w:val="00CB478D"/>
    <w:rsid w:val="00CB51F2"/>
    <w:rsid w:val="00CB5365"/>
    <w:rsid w:val="00CB6980"/>
    <w:rsid w:val="00CB6DAC"/>
    <w:rsid w:val="00CB6FDA"/>
    <w:rsid w:val="00CC07CB"/>
    <w:rsid w:val="00CC0A24"/>
    <w:rsid w:val="00CC0B2F"/>
    <w:rsid w:val="00CC1D2C"/>
    <w:rsid w:val="00CC21D9"/>
    <w:rsid w:val="00CC2534"/>
    <w:rsid w:val="00CC3378"/>
    <w:rsid w:val="00CC3B44"/>
    <w:rsid w:val="00CC5B7C"/>
    <w:rsid w:val="00CD131C"/>
    <w:rsid w:val="00CD1AD9"/>
    <w:rsid w:val="00CD2BD7"/>
    <w:rsid w:val="00CD44FE"/>
    <w:rsid w:val="00CD4637"/>
    <w:rsid w:val="00CD4DDE"/>
    <w:rsid w:val="00CD5CB8"/>
    <w:rsid w:val="00CD60EF"/>
    <w:rsid w:val="00CD79C6"/>
    <w:rsid w:val="00CE1D20"/>
    <w:rsid w:val="00CE23AD"/>
    <w:rsid w:val="00CE269E"/>
    <w:rsid w:val="00CE2C33"/>
    <w:rsid w:val="00CE3A8F"/>
    <w:rsid w:val="00CE4AF2"/>
    <w:rsid w:val="00CE4C51"/>
    <w:rsid w:val="00CE5636"/>
    <w:rsid w:val="00CF0138"/>
    <w:rsid w:val="00CF0524"/>
    <w:rsid w:val="00CF1084"/>
    <w:rsid w:val="00CF4882"/>
    <w:rsid w:val="00CF4A36"/>
    <w:rsid w:val="00CF550C"/>
    <w:rsid w:val="00CF7557"/>
    <w:rsid w:val="00CF7B40"/>
    <w:rsid w:val="00CF7F8A"/>
    <w:rsid w:val="00D00417"/>
    <w:rsid w:val="00D009BD"/>
    <w:rsid w:val="00D00BB1"/>
    <w:rsid w:val="00D011AE"/>
    <w:rsid w:val="00D01897"/>
    <w:rsid w:val="00D01B4B"/>
    <w:rsid w:val="00D01DE8"/>
    <w:rsid w:val="00D0218C"/>
    <w:rsid w:val="00D03615"/>
    <w:rsid w:val="00D03D7D"/>
    <w:rsid w:val="00D03F5B"/>
    <w:rsid w:val="00D0442C"/>
    <w:rsid w:val="00D04D2F"/>
    <w:rsid w:val="00D04F6E"/>
    <w:rsid w:val="00D05489"/>
    <w:rsid w:val="00D116E0"/>
    <w:rsid w:val="00D1175A"/>
    <w:rsid w:val="00D118D8"/>
    <w:rsid w:val="00D12A92"/>
    <w:rsid w:val="00D140E1"/>
    <w:rsid w:val="00D15376"/>
    <w:rsid w:val="00D15961"/>
    <w:rsid w:val="00D205E8"/>
    <w:rsid w:val="00D2090E"/>
    <w:rsid w:val="00D20D8F"/>
    <w:rsid w:val="00D22103"/>
    <w:rsid w:val="00D224C1"/>
    <w:rsid w:val="00D236A5"/>
    <w:rsid w:val="00D2463E"/>
    <w:rsid w:val="00D24E80"/>
    <w:rsid w:val="00D251BB"/>
    <w:rsid w:val="00D2578C"/>
    <w:rsid w:val="00D25A1A"/>
    <w:rsid w:val="00D2775B"/>
    <w:rsid w:val="00D318A0"/>
    <w:rsid w:val="00D32091"/>
    <w:rsid w:val="00D323FC"/>
    <w:rsid w:val="00D33BB6"/>
    <w:rsid w:val="00D351F7"/>
    <w:rsid w:val="00D35885"/>
    <w:rsid w:val="00D35DF8"/>
    <w:rsid w:val="00D3626F"/>
    <w:rsid w:val="00D37085"/>
    <w:rsid w:val="00D37730"/>
    <w:rsid w:val="00D40B36"/>
    <w:rsid w:val="00D42487"/>
    <w:rsid w:val="00D42842"/>
    <w:rsid w:val="00D42B2D"/>
    <w:rsid w:val="00D438FE"/>
    <w:rsid w:val="00D45C36"/>
    <w:rsid w:val="00D50462"/>
    <w:rsid w:val="00D50AFF"/>
    <w:rsid w:val="00D529B7"/>
    <w:rsid w:val="00D54751"/>
    <w:rsid w:val="00D56236"/>
    <w:rsid w:val="00D56924"/>
    <w:rsid w:val="00D572F8"/>
    <w:rsid w:val="00D573DE"/>
    <w:rsid w:val="00D57B97"/>
    <w:rsid w:val="00D60AB6"/>
    <w:rsid w:val="00D61283"/>
    <w:rsid w:val="00D620F7"/>
    <w:rsid w:val="00D65D71"/>
    <w:rsid w:val="00D665C7"/>
    <w:rsid w:val="00D668CF"/>
    <w:rsid w:val="00D66DEA"/>
    <w:rsid w:val="00D67306"/>
    <w:rsid w:val="00D67524"/>
    <w:rsid w:val="00D70F1E"/>
    <w:rsid w:val="00D71D51"/>
    <w:rsid w:val="00D72CFA"/>
    <w:rsid w:val="00D72D95"/>
    <w:rsid w:val="00D73759"/>
    <w:rsid w:val="00D7381F"/>
    <w:rsid w:val="00D738AE"/>
    <w:rsid w:val="00D73B08"/>
    <w:rsid w:val="00D753F1"/>
    <w:rsid w:val="00D763B1"/>
    <w:rsid w:val="00D8057A"/>
    <w:rsid w:val="00D82689"/>
    <w:rsid w:val="00D834C3"/>
    <w:rsid w:val="00D8432E"/>
    <w:rsid w:val="00D84380"/>
    <w:rsid w:val="00D84638"/>
    <w:rsid w:val="00D84A6E"/>
    <w:rsid w:val="00D85CA3"/>
    <w:rsid w:val="00D85CC6"/>
    <w:rsid w:val="00D85E81"/>
    <w:rsid w:val="00D870CA"/>
    <w:rsid w:val="00D87BE1"/>
    <w:rsid w:val="00D9141A"/>
    <w:rsid w:val="00D9544D"/>
    <w:rsid w:val="00D95855"/>
    <w:rsid w:val="00D95916"/>
    <w:rsid w:val="00D9597E"/>
    <w:rsid w:val="00D96F4E"/>
    <w:rsid w:val="00D97F5B"/>
    <w:rsid w:val="00DA0204"/>
    <w:rsid w:val="00DA0E2A"/>
    <w:rsid w:val="00DA31B9"/>
    <w:rsid w:val="00DA3DC6"/>
    <w:rsid w:val="00DA509B"/>
    <w:rsid w:val="00DA63F6"/>
    <w:rsid w:val="00DA7D83"/>
    <w:rsid w:val="00DB0EAE"/>
    <w:rsid w:val="00DB0F56"/>
    <w:rsid w:val="00DB158B"/>
    <w:rsid w:val="00DB3AD3"/>
    <w:rsid w:val="00DB48C4"/>
    <w:rsid w:val="00DB4A01"/>
    <w:rsid w:val="00DB6CC5"/>
    <w:rsid w:val="00DB6D03"/>
    <w:rsid w:val="00DB7116"/>
    <w:rsid w:val="00DB77F7"/>
    <w:rsid w:val="00DB7D2B"/>
    <w:rsid w:val="00DB7EEE"/>
    <w:rsid w:val="00DC0115"/>
    <w:rsid w:val="00DC05DC"/>
    <w:rsid w:val="00DC33AC"/>
    <w:rsid w:val="00DC355B"/>
    <w:rsid w:val="00DC4B52"/>
    <w:rsid w:val="00DC5D85"/>
    <w:rsid w:val="00DC5E5B"/>
    <w:rsid w:val="00DC6EC0"/>
    <w:rsid w:val="00DD05E0"/>
    <w:rsid w:val="00DD08A1"/>
    <w:rsid w:val="00DD16F2"/>
    <w:rsid w:val="00DD2F02"/>
    <w:rsid w:val="00DD5F49"/>
    <w:rsid w:val="00DD6DF1"/>
    <w:rsid w:val="00DE1B98"/>
    <w:rsid w:val="00DE247E"/>
    <w:rsid w:val="00DE2CC4"/>
    <w:rsid w:val="00DE45A9"/>
    <w:rsid w:val="00DE638B"/>
    <w:rsid w:val="00DE7BD4"/>
    <w:rsid w:val="00DF16B1"/>
    <w:rsid w:val="00DF37D4"/>
    <w:rsid w:val="00DF468E"/>
    <w:rsid w:val="00DF5E63"/>
    <w:rsid w:val="00DF7107"/>
    <w:rsid w:val="00E00C0F"/>
    <w:rsid w:val="00E00D18"/>
    <w:rsid w:val="00E00F25"/>
    <w:rsid w:val="00E01787"/>
    <w:rsid w:val="00E023B3"/>
    <w:rsid w:val="00E026EF"/>
    <w:rsid w:val="00E03626"/>
    <w:rsid w:val="00E03813"/>
    <w:rsid w:val="00E03A34"/>
    <w:rsid w:val="00E04113"/>
    <w:rsid w:val="00E04875"/>
    <w:rsid w:val="00E061C9"/>
    <w:rsid w:val="00E06AF7"/>
    <w:rsid w:val="00E07A61"/>
    <w:rsid w:val="00E1047A"/>
    <w:rsid w:val="00E123AA"/>
    <w:rsid w:val="00E12FF7"/>
    <w:rsid w:val="00E152DC"/>
    <w:rsid w:val="00E162B9"/>
    <w:rsid w:val="00E16810"/>
    <w:rsid w:val="00E16C3E"/>
    <w:rsid w:val="00E17101"/>
    <w:rsid w:val="00E20916"/>
    <w:rsid w:val="00E23941"/>
    <w:rsid w:val="00E23D9F"/>
    <w:rsid w:val="00E25338"/>
    <w:rsid w:val="00E25566"/>
    <w:rsid w:val="00E2563F"/>
    <w:rsid w:val="00E259A4"/>
    <w:rsid w:val="00E25F0D"/>
    <w:rsid w:val="00E262FC"/>
    <w:rsid w:val="00E26C67"/>
    <w:rsid w:val="00E27A4C"/>
    <w:rsid w:val="00E30719"/>
    <w:rsid w:val="00E30B3D"/>
    <w:rsid w:val="00E30EE7"/>
    <w:rsid w:val="00E31805"/>
    <w:rsid w:val="00E31D28"/>
    <w:rsid w:val="00E337AE"/>
    <w:rsid w:val="00E344B8"/>
    <w:rsid w:val="00E34D5D"/>
    <w:rsid w:val="00E37A65"/>
    <w:rsid w:val="00E40574"/>
    <w:rsid w:val="00E40645"/>
    <w:rsid w:val="00E408EC"/>
    <w:rsid w:val="00E410FD"/>
    <w:rsid w:val="00E4296F"/>
    <w:rsid w:val="00E442DA"/>
    <w:rsid w:val="00E4588A"/>
    <w:rsid w:val="00E463BC"/>
    <w:rsid w:val="00E521E3"/>
    <w:rsid w:val="00E54B4F"/>
    <w:rsid w:val="00E550F6"/>
    <w:rsid w:val="00E55DAC"/>
    <w:rsid w:val="00E56070"/>
    <w:rsid w:val="00E578B9"/>
    <w:rsid w:val="00E6023C"/>
    <w:rsid w:val="00E621EB"/>
    <w:rsid w:val="00E646CB"/>
    <w:rsid w:val="00E66137"/>
    <w:rsid w:val="00E67FA3"/>
    <w:rsid w:val="00E70D78"/>
    <w:rsid w:val="00E70F84"/>
    <w:rsid w:val="00E714CB"/>
    <w:rsid w:val="00E71924"/>
    <w:rsid w:val="00E71DB0"/>
    <w:rsid w:val="00E73989"/>
    <w:rsid w:val="00E74286"/>
    <w:rsid w:val="00E74A28"/>
    <w:rsid w:val="00E74E7B"/>
    <w:rsid w:val="00E74F37"/>
    <w:rsid w:val="00E76634"/>
    <w:rsid w:val="00E80592"/>
    <w:rsid w:val="00E80BBC"/>
    <w:rsid w:val="00E80EA6"/>
    <w:rsid w:val="00E830B6"/>
    <w:rsid w:val="00E83551"/>
    <w:rsid w:val="00E83EB7"/>
    <w:rsid w:val="00E85F85"/>
    <w:rsid w:val="00E86EA8"/>
    <w:rsid w:val="00E878D8"/>
    <w:rsid w:val="00E900C3"/>
    <w:rsid w:val="00E9162F"/>
    <w:rsid w:val="00E91CA8"/>
    <w:rsid w:val="00E935D8"/>
    <w:rsid w:val="00E94A75"/>
    <w:rsid w:val="00E95107"/>
    <w:rsid w:val="00E95989"/>
    <w:rsid w:val="00E96993"/>
    <w:rsid w:val="00E96F7A"/>
    <w:rsid w:val="00EA0254"/>
    <w:rsid w:val="00EA0D9F"/>
    <w:rsid w:val="00EA2304"/>
    <w:rsid w:val="00EA2506"/>
    <w:rsid w:val="00EA3394"/>
    <w:rsid w:val="00EA3445"/>
    <w:rsid w:val="00EA35E8"/>
    <w:rsid w:val="00EA6741"/>
    <w:rsid w:val="00EA6CFF"/>
    <w:rsid w:val="00EB091F"/>
    <w:rsid w:val="00EB0F87"/>
    <w:rsid w:val="00EB1599"/>
    <w:rsid w:val="00EB2584"/>
    <w:rsid w:val="00EB3804"/>
    <w:rsid w:val="00EB401A"/>
    <w:rsid w:val="00EB5230"/>
    <w:rsid w:val="00EB55F6"/>
    <w:rsid w:val="00EB5BB0"/>
    <w:rsid w:val="00EB687C"/>
    <w:rsid w:val="00EB78B2"/>
    <w:rsid w:val="00EC055E"/>
    <w:rsid w:val="00EC06A7"/>
    <w:rsid w:val="00EC11BC"/>
    <w:rsid w:val="00EC1A45"/>
    <w:rsid w:val="00EC458B"/>
    <w:rsid w:val="00EC6433"/>
    <w:rsid w:val="00EC667A"/>
    <w:rsid w:val="00EC700D"/>
    <w:rsid w:val="00ED17A5"/>
    <w:rsid w:val="00ED1C33"/>
    <w:rsid w:val="00ED1DDD"/>
    <w:rsid w:val="00ED4BFE"/>
    <w:rsid w:val="00ED5C1C"/>
    <w:rsid w:val="00ED5F3C"/>
    <w:rsid w:val="00ED6D6F"/>
    <w:rsid w:val="00ED720D"/>
    <w:rsid w:val="00EE037A"/>
    <w:rsid w:val="00EE16B6"/>
    <w:rsid w:val="00EE170C"/>
    <w:rsid w:val="00EE4C73"/>
    <w:rsid w:val="00EE5573"/>
    <w:rsid w:val="00EE590E"/>
    <w:rsid w:val="00EE5995"/>
    <w:rsid w:val="00EE7074"/>
    <w:rsid w:val="00EE7ACA"/>
    <w:rsid w:val="00EF0622"/>
    <w:rsid w:val="00EF0838"/>
    <w:rsid w:val="00EF12A8"/>
    <w:rsid w:val="00EF248D"/>
    <w:rsid w:val="00EF2EB4"/>
    <w:rsid w:val="00EF3DB8"/>
    <w:rsid w:val="00EF41C3"/>
    <w:rsid w:val="00EF41D5"/>
    <w:rsid w:val="00EF420E"/>
    <w:rsid w:val="00EF4B4F"/>
    <w:rsid w:val="00EF5045"/>
    <w:rsid w:val="00EF5F08"/>
    <w:rsid w:val="00EF7930"/>
    <w:rsid w:val="00EF7996"/>
    <w:rsid w:val="00F0018D"/>
    <w:rsid w:val="00F0083F"/>
    <w:rsid w:val="00F00F06"/>
    <w:rsid w:val="00F02594"/>
    <w:rsid w:val="00F029BA"/>
    <w:rsid w:val="00F0336F"/>
    <w:rsid w:val="00F03843"/>
    <w:rsid w:val="00F03B00"/>
    <w:rsid w:val="00F05A17"/>
    <w:rsid w:val="00F064DE"/>
    <w:rsid w:val="00F07F3C"/>
    <w:rsid w:val="00F110A5"/>
    <w:rsid w:val="00F1487A"/>
    <w:rsid w:val="00F14A52"/>
    <w:rsid w:val="00F16A34"/>
    <w:rsid w:val="00F2083F"/>
    <w:rsid w:val="00F20F98"/>
    <w:rsid w:val="00F21718"/>
    <w:rsid w:val="00F21931"/>
    <w:rsid w:val="00F2362D"/>
    <w:rsid w:val="00F23FB0"/>
    <w:rsid w:val="00F24917"/>
    <w:rsid w:val="00F252A6"/>
    <w:rsid w:val="00F25C30"/>
    <w:rsid w:val="00F2619C"/>
    <w:rsid w:val="00F26B00"/>
    <w:rsid w:val="00F2790A"/>
    <w:rsid w:val="00F305BF"/>
    <w:rsid w:val="00F30CFB"/>
    <w:rsid w:val="00F31EEE"/>
    <w:rsid w:val="00F325C2"/>
    <w:rsid w:val="00F32618"/>
    <w:rsid w:val="00F32DFC"/>
    <w:rsid w:val="00F33A3F"/>
    <w:rsid w:val="00F33A6A"/>
    <w:rsid w:val="00F347DA"/>
    <w:rsid w:val="00F34DAA"/>
    <w:rsid w:val="00F35D06"/>
    <w:rsid w:val="00F3605E"/>
    <w:rsid w:val="00F376E8"/>
    <w:rsid w:val="00F37F62"/>
    <w:rsid w:val="00F437CB"/>
    <w:rsid w:val="00F440AE"/>
    <w:rsid w:val="00F44EF4"/>
    <w:rsid w:val="00F4512C"/>
    <w:rsid w:val="00F454BE"/>
    <w:rsid w:val="00F46605"/>
    <w:rsid w:val="00F47AE3"/>
    <w:rsid w:val="00F47C21"/>
    <w:rsid w:val="00F51359"/>
    <w:rsid w:val="00F52E18"/>
    <w:rsid w:val="00F53A9A"/>
    <w:rsid w:val="00F53E6B"/>
    <w:rsid w:val="00F55286"/>
    <w:rsid w:val="00F55F82"/>
    <w:rsid w:val="00F56ACD"/>
    <w:rsid w:val="00F56D97"/>
    <w:rsid w:val="00F57226"/>
    <w:rsid w:val="00F57856"/>
    <w:rsid w:val="00F608F5"/>
    <w:rsid w:val="00F60F84"/>
    <w:rsid w:val="00F6177C"/>
    <w:rsid w:val="00F6245B"/>
    <w:rsid w:val="00F65039"/>
    <w:rsid w:val="00F65F66"/>
    <w:rsid w:val="00F66E3F"/>
    <w:rsid w:val="00F67486"/>
    <w:rsid w:val="00F67F8E"/>
    <w:rsid w:val="00F70B39"/>
    <w:rsid w:val="00F7128B"/>
    <w:rsid w:val="00F71436"/>
    <w:rsid w:val="00F7180F"/>
    <w:rsid w:val="00F72F94"/>
    <w:rsid w:val="00F7406C"/>
    <w:rsid w:val="00F749C0"/>
    <w:rsid w:val="00F76BFB"/>
    <w:rsid w:val="00F81399"/>
    <w:rsid w:val="00F813AE"/>
    <w:rsid w:val="00F81FAF"/>
    <w:rsid w:val="00F82AE0"/>
    <w:rsid w:val="00F8331D"/>
    <w:rsid w:val="00F83AFD"/>
    <w:rsid w:val="00F84727"/>
    <w:rsid w:val="00F84F35"/>
    <w:rsid w:val="00F851CD"/>
    <w:rsid w:val="00F8539C"/>
    <w:rsid w:val="00F85D78"/>
    <w:rsid w:val="00F86F9F"/>
    <w:rsid w:val="00F87D11"/>
    <w:rsid w:val="00F87D5C"/>
    <w:rsid w:val="00F905E6"/>
    <w:rsid w:val="00F90AD1"/>
    <w:rsid w:val="00F9143D"/>
    <w:rsid w:val="00F93759"/>
    <w:rsid w:val="00F95817"/>
    <w:rsid w:val="00F960ED"/>
    <w:rsid w:val="00F97981"/>
    <w:rsid w:val="00FA00C1"/>
    <w:rsid w:val="00FA010E"/>
    <w:rsid w:val="00FA1BD6"/>
    <w:rsid w:val="00FA2DCE"/>
    <w:rsid w:val="00FA33C3"/>
    <w:rsid w:val="00FA4FDB"/>
    <w:rsid w:val="00FA5A2B"/>
    <w:rsid w:val="00FA5F62"/>
    <w:rsid w:val="00FA78BA"/>
    <w:rsid w:val="00FA7C94"/>
    <w:rsid w:val="00FB0391"/>
    <w:rsid w:val="00FB05D0"/>
    <w:rsid w:val="00FB101F"/>
    <w:rsid w:val="00FB182C"/>
    <w:rsid w:val="00FB20AF"/>
    <w:rsid w:val="00FB2607"/>
    <w:rsid w:val="00FB377C"/>
    <w:rsid w:val="00FB3834"/>
    <w:rsid w:val="00FB4D85"/>
    <w:rsid w:val="00FB60A9"/>
    <w:rsid w:val="00FB781F"/>
    <w:rsid w:val="00FB7C9E"/>
    <w:rsid w:val="00FC04BE"/>
    <w:rsid w:val="00FC2907"/>
    <w:rsid w:val="00FC40A5"/>
    <w:rsid w:val="00FC433E"/>
    <w:rsid w:val="00FC4512"/>
    <w:rsid w:val="00FC46C7"/>
    <w:rsid w:val="00FC4B49"/>
    <w:rsid w:val="00FC5CBC"/>
    <w:rsid w:val="00FC6473"/>
    <w:rsid w:val="00FC68F3"/>
    <w:rsid w:val="00FC78C8"/>
    <w:rsid w:val="00FD21C9"/>
    <w:rsid w:val="00FD2D37"/>
    <w:rsid w:val="00FD2D48"/>
    <w:rsid w:val="00FD3A13"/>
    <w:rsid w:val="00FD3E62"/>
    <w:rsid w:val="00FD4265"/>
    <w:rsid w:val="00FD5005"/>
    <w:rsid w:val="00FD55ED"/>
    <w:rsid w:val="00FD7AE6"/>
    <w:rsid w:val="00FE0BB1"/>
    <w:rsid w:val="00FE2AC2"/>
    <w:rsid w:val="00FE32E2"/>
    <w:rsid w:val="00FE3F6C"/>
    <w:rsid w:val="00FE6451"/>
    <w:rsid w:val="00FF0157"/>
    <w:rsid w:val="00FF04A0"/>
    <w:rsid w:val="00FF11BE"/>
    <w:rsid w:val="00FF3551"/>
    <w:rsid w:val="00FF482C"/>
    <w:rsid w:val="00FF5FF3"/>
    <w:rsid w:val="00FF6308"/>
    <w:rsid w:val="00FF7A94"/>
    <w:rsid w:val="00FF7E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3A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7E01F9"/>
    <w:pPr>
      <w:spacing w:after="0" w:line="240" w:lineRule="auto"/>
      <w:jc w:val="both"/>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7E01F9"/>
    <w:rPr>
      <w:rFonts w:ascii="Verdana" w:hAnsi="Verdana"/>
      <w:sz w:val="16"/>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Cuadrculamedia1-nfasis21">
    <w:name w:val="Cuadrícula media 1 - Énfasis 21"/>
    <w:aliases w:val="Footnote,Párrafo de lista1,Colorful List - Accent 11,Cuadrícula clara - Énfasis 31,Lista media 2 - Énfasis 41"/>
    <w:basedOn w:val="Normal"/>
    <w:link w:val="Cuadrculamedia1-nfasis2Car"/>
    <w:uiPriority w:val="99"/>
    <w:qFormat/>
    <w:rsid w:val="00D665C7"/>
    <w:pPr>
      <w:ind w:left="720"/>
      <w:contextualSpacing/>
    </w:pPr>
  </w:style>
  <w:style w:type="character" w:customStyle="1" w:styleId="Cuadrculamedia1-nfasis2Car">
    <w:name w:val="Cuadrícula media 1 - Énfasis 2 Car"/>
    <w:aliases w:val="Footnote Car1,Párrafo de lista1 Car1,Colorful List - Accent 11 Car,Cuadrícula clara - Énfasis 31 Car,Lista media 2 - Énfasis 41 Car"/>
    <w:link w:val="Cuadrculamedia1-nfasis2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Listamedia2-nfasis21">
    <w:name w:val="Lista media 2 - Énfasis 21"/>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1052AB"/>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abladecuadrcula31">
    <w:name w:val="Tabla de cuadrícula 3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customStyle="1" w:styleId="Cuadrculaclara-nfasis3Car">
    <w:name w:val="Cuadrícula clara - Énfasis 3 Car"/>
    <w:aliases w:val="Footnote Car,Párrafo de lista1 Car,Párrafo de lista Car,Lista media 2 - Énfasis 4 Car"/>
    <w:uiPriority w:val="34"/>
    <w:rsid w:val="004C33FB"/>
    <w:rPr>
      <w:rFonts w:ascii="Times" w:eastAsia="Times" w:hAnsi="Times" w:cs="Times New Roman"/>
      <w:sz w:val="24"/>
      <w:szCs w:val="20"/>
      <w:lang w:val="es-ES_tradnl"/>
    </w:rPr>
  </w:style>
  <w:style w:type="paragraph" w:styleId="NormalWeb">
    <w:name w:val="Normal (Web)"/>
    <w:basedOn w:val="Normal"/>
    <w:uiPriority w:val="99"/>
    <w:semiHidden/>
    <w:unhideWhenUsed/>
    <w:rsid w:val="0007528C"/>
    <w:pPr>
      <w:spacing w:before="100" w:beforeAutospacing="1" w:after="100" w:afterAutospacing="1" w:line="240" w:lineRule="auto"/>
    </w:pPr>
    <w:rPr>
      <w:rFonts w:ascii="Times" w:hAnsi="Times"/>
      <w:sz w:val="20"/>
      <w:szCs w:val="20"/>
    </w:rPr>
  </w:style>
  <w:style w:type="paragraph" w:customStyle="1" w:styleId="Listavistosa-nfasis11">
    <w:name w:val="Lista vistosa - Énfasis 11"/>
    <w:basedOn w:val="Normal"/>
    <w:uiPriority w:val="99"/>
    <w:qFormat/>
    <w:rsid w:val="00CC07CB"/>
    <w:pPr>
      <w:ind w:left="720"/>
    </w:pPr>
  </w:style>
  <w:style w:type="paragraph" w:styleId="Prrafodelista">
    <w:name w:val="List Paragraph"/>
    <w:basedOn w:val="Normal"/>
    <w:uiPriority w:val="99"/>
    <w:qFormat/>
    <w:rsid w:val="00E23D9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7E01F9"/>
    <w:pPr>
      <w:spacing w:after="0" w:line="240" w:lineRule="auto"/>
      <w:jc w:val="both"/>
    </w:pPr>
    <w:rPr>
      <w:rFonts w:ascii="Verdana" w:hAnsi="Verdana"/>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7E01F9"/>
    <w:rPr>
      <w:rFonts w:ascii="Verdana" w:hAnsi="Verdana"/>
      <w:sz w:val="16"/>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5A1B3D"/>
    <w:rPr>
      <w:vertAlign w:val="superscript"/>
    </w:rPr>
  </w:style>
  <w:style w:type="character" w:styleId="Hipervnculo">
    <w:name w:val="Hyperlink"/>
    <w:uiPriority w:val="99"/>
    <w:unhideWhenUsed/>
    <w:rsid w:val="00D665C7"/>
    <w:rPr>
      <w:color w:val="0000FF"/>
      <w:u w:val="single"/>
    </w:rPr>
  </w:style>
  <w:style w:type="paragraph" w:customStyle="1" w:styleId="Cuadrculamedia1-nfasis21">
    <w:name w:val="Cuadrícula media 1 - Énfasis 21"/>
    <w:aliases w:val="Footnote,Párrafo de lista1,Colorful List - Accent 11,Cuadrícula clara - Énfasis 31,Lista media 2 - Énfasis 41"/>
    <w:basedOn w:val="Normal"/>
    <w:link w:val="Cuadrculamedia1-nfasis2Car"/>
    <w:uiPriority w:val="99"/>
    <w:qFormat/>
    <w:rsid w:val="00D665C7"/>
    <w:pPr>
      <w:ind w:left="720"/>
      <w:contextualSpacing/>
    </w:pPr>
  </w:style>
  <w:style w:type="character" w:customStyle="1" w:styleId="Cuadrculamedia1-nfasis2Car">
    <w:name w:val="Cuadrícula media 1 - Énfasis 2 Car"/>
    <w:aliases w:val="Footnote Car1,Párrafo de lista1 Car1,Colorful List - Accent 11 Car,Cuadrícula clara - Énfasis 31 Car,Lista media 2 - Énfasis 41 Car"/>
    <w:link w:val="Cuadrculamedia1-nfasis21"/>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customStyle="1" w:styleId="Listamedia2-nfasis21">
    <w:name w:val="Lista media 2 - Énfasis 21"/>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1052AB"/>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abladecuadrcula31">
    <w:name w:val="Tabla de cuadrícula 31"/>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customStyle="1" w:styleId="Cuadrculaclara-nfasis3Car">
    <w:name w:val="Cuadrícula clara - Énfasis 3 Car"/>
    <w:aliases w:val="Footnote Car,Párrafo de lista1 Car,Párrafo de lista Car,Lista media 2 - Énfasis 4 Car"/>
    <w:uiPriority w:val="34"/>
    <w:rsid w:val="004C33FB"/>
    <w:rPr>
      <w:rFonts w:ascii="Times" w:eastAsia="Times" w:hAnsi="Times" w:cs="Times New Roman"/>
      <w:sz w:val="24"/>
      <w:szCs w:val="20"/>
      <w:lang w:val="es-ES_tradnl"/>
    </w:rPr>
  </w:style>
  <w:style w:type="paragraph" w:styleId="NormalWeb">
    <w:name w:val="Normal (Web)"/>
    <w:basedOn w:val="Normal"/>
    <w:uiPriority w:val="99"/>
    <w:semiHidden/>
    <w:unhideWhenUsed/>
    <w:rsid w:val="0007528C"/>
    <w:pPr>
      <w:spacing w:before="100" w:beforeAutospacing="1" w:after="100" w:afterAutospacing="1" w:line="240" w:lineRule="auto"/>
    </w:pPr>
    <w:rPr>
      <w:rFonts w:ascii="Times" w:hAnsi="Times"/>
      <w:sz w:val="20"/>
      <w:szCs w:val="20"/>
    </w:rPr>
  </w:style>
  <w:style w:type="paragraph" w:customStyle="1" w:styleId="Listavistosa-nfasis11">
    <w:name w:val="Lista vistosa - Énfasis 11"/>
    <w:basedOn w:val="Normal"/>
    <w:uiPriority w:val="99"/>
    <w:qFormat/>
    <w:rsid w:val="00CC07CB"/>
    <w:pPr>
      <w:ind w:left="720"/>
    </w:pPr>
  </w:style>
  <w:style w:type="paragraph" w:styleId="Prrafodelista">
    <w:name w:val="List Paragraph"/>
    <w:basedOn w:val="Normal"/>
    <w:uiPriority w:val="99"/>
    <w:qFormat/>
    <w:rsid w:val="00E23D9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730347150">
      <w:bodyDiv w:val="1"/>
      <w:marLeft w:val="0"/>
      <w:marRight w:val="0"/>
      <w:marTop w:val="0"/>
      <w:marBottom w:val="0"/>
      <w:divBdr>
        <w:top w:val="none" w:sz="0" w:space="0" w:color="auto"/>
        <w:left w:val="none" w:sz="0" w:space="0" w:color="auto"/>
        <w:bottom w:val="none" w:sz="0" w:space="0" w:color="auto"/>
        <w:right w:val="none" w:sz="0" w:space="0" w:color="auto"/>
      </w:divBdr>
      <w:divsChild>
        <w:div w:id="813523859">
          <w:marLeft w:val="0"/>
          <w:marRight w:val="0"/>
          <w:marTop w:val="0"/>
          <w:marBottom w:val="0"/>
          <w:divBdr>
            <w:top w:val="none" w:sz="0" w:space="0" w:color="auto"/>
            <w:left w:val="none" w:sz="0" w:space="0" w:color="auto"/>
            <w:bottom w:val="none" w:sz="0" w:space="0" w:color="auto"/>
            <w:right w:val="none" w:sz="0" w:space="0" w:color="auto"/>
          </w:divBdr>
          <w:divsChild>
            <w:div w:id="647436578">
              <w:marLeft w:val="0"/>
              <w:marRight w:val="0"/>
              <w:marTop w:val="0"/>
              <w:marBottom w:val="0"/>
              <w:divBdr>
                <w:top w:val="none" w:sz="0" w:space="0" w:color="auto"/>
                <w:left w:val="none" w:sz="0" w:space="0" w:color="auto"/>
                <w:bottom w:val="none" w:sz="0" w:space="0" w:color="auto"/>
                <w:right w:val="none" w:sz="0" w:space="0" w:color="auto"/>
              </w:divBdr>
              <w:divsChild>
                <w:div w:id="17030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osorivperu_fv_17.pdf" TargetMode="External"/><Relationship Id="rId2" Type="http://schemas.openxmlformats.org/officeDocument/2006/relationships/hyperlink" Target="http://www.corteidh.or.cr/docs/casos/articulos/seriec_290_esp.pdf" TargetMode="External"/><Relationship Id="rId1" Type="http://schemas.openxmlformats.org/officeDocument/2006/relationships/hyperlink" Target="http://www.corteidh.or.cr/docs/casos/articulos/seriec_274_esp.pdf" TargetMode="External"/><Relationship Id="rId6" Type="http://schemas.openxmlformats.org/officeDocument/2006/relationships/hyperlink" Target="https://www.minjus.gob.pe/resoluciones-internacionales/" TargetMode="External"/><Relationship Id="rId5" Type="http://schemas.openxmlformats.org/officeDocument/2006/relationships/hyperlink" Target="https://www.defensoria.gob.pe/modules/Downloads/informes/defensoriales/INFORME-DEFENSORIAL-162.pdf" TargetMode="External"/><Relationship Id="rId4" Type="http://schemas.openxmlformats.org/officeDocument/2006/relationships/hyperlink" Target="http://www.corteidh.or.cr/docs/supervisiones/GP_AC_OR_TR__14_05_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C7881-D54B-46C7-8733-DD6C5A5E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9692</Words>
  <Characters>53311</Characters>
  <Application>Microsoft Office Word</Application>
  <DocSecurity>0</DocSecurity>
  <Lines>444</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62878</CharactersWithSpaces>
  <SharedDoc>false</SharedDoc>
  <HLinks>
    <vt:vector size="84" baseType="variant">
      <vt:variant>
        <vt:i4>2031668</vt:i4>
      </vt:variant>
      <vt:variant>
        <vt:i4>44</vt:i4>
      </vt:variant>
      <vt:variant>
        <vt:i4>0</vt:i4>
      </vt:variant>
      <vt:variant>
        <vt:i4>5</vt:i4>
      </vt:variant>
      <vt:variant>
        <vt:lpwstr/>
      </vt:variant>
      <vt:variant>
        <vt:lpwstr>_Toc23770418</vt:lpwstr>
      </vt:variant>
      <vt:variant>
        <vt:i4>1048628</vt:i4>
      </vt:variant>
      <vt:variant>
        <vt:i4>38</vt:i4>
      </vt:variant>
      <vt:variant>
        <vt:i4>0</vt:i4>
      </vt:variant>
      <vt:variant>
        <vt:i4>5</vt:i4>
      </vt:variant>
      <vt:variant>
        <vt:lpwstr/>
      </vt:variant>
      <vt:variant>
        <vt:lpwstr>_Toc23770417</vt:lpwstr>
      </vt:variant>
      <vt:variant>
        <vt:i4>1114164</vt:i4>
      </vt:variant>
      <vt:variant>
        <vt:i4>32</vt:i4>
      </vt:variant>
      <vt:variant>
        <vt:i4>0</vt:i4>
      </vt:variant>
      <vt:variant>
        <vt:i4>5</vt:i4>
      </vt:variant>
      <vt:variant>
        <vt:lpwstr/>
      </vt:variant>
      <vt:variant>
        <vt:lpwstr>_Toc23770416</vt:lpwstr>
      </vt:variant>
      <vt:variant>
        <vt:i4>1179700</vt:i4>
      </vt:variant>
      <vt:variant>
        <vt:i4>26</vt:i4>
      </vt:variant>
      <vt:variant>
        <vt:i4>0</vt:i4>
      </vt:variant>
      <vt:variant>
        <vt:i4>5</vt:i4>
      </vt:variant>
      <vt:variant>
        <vt:lpwstr/>
      </vt:variant>
      <vt:variant>
        <vt:lpwstr>_Toc23770415</vt:lpwstr>
      </vt:variant>
      <vt:variant>
        <vt:i4>1245236</vt:i4>
      </vt:variant>
      <vt:variant>
        <vt:i4>20</vt:i4>
      </vt:variant>
      <vt:variant>
        <vt:i4>0</vt:i4>
      </vt:variant>
      <vt:variant>
        <vt:i4>5</vt:i4>
      </vt:variant>
      <vt:variant>
        <vt:lpwstr/>
      </vt:variant>
      <vt:variant>
        <vt:lpwstr>_Toc23770414</vt:lpwstr>
      </vt:variant>
      <vt:variant>
        <vt:i4>1310772</vt:i4>
      </vt:variant>
      <vt:variant>
        <vt:i4>14</vt:i4>
      </vt:variant>
      <vt:variant>
        <vt:i4>0</vt:i4>
      </vt:variant>
      <vt:variant>
        <vt:i4>5</vt:i4>
      </vt:variant>
      <vt:variant>
        <vt:lpwstr/>
      </vt:variant>
      <vt:variant>
        <vt:lpwstr>_Toc23770413</vt:lpwstr>
      </vt:variant>
      <vt:variant>
        <vt:i4>1376308</vt:i4>
      </vt:variant>
      <vt:variant>
        <vt:i4>8</vt:i4>
      </vt:variant>
      <vt:variant>
        <vt:i4>0</vt:i4>
      </vt:variant>
      <vt:variant>
        <vt:i4>5</vt:i4>
      </vt:variant>
      <vt:variant>
        <vt:lpwstr/>
      </vt:variant>
      <vt:variant>
        <vt:lpwstr>_Toc23770412</vt:lpwstr>
      </vt:variant>
      <vt:variant>
        <vt:i4>1441844</vt:i4>
      </vt:variant>
      <vt:variant>
        <vt:i4>2</vt:i4>
      </vt:variant>
      <vt:variant>
        <vt:i4>0</vt:i4>
      </vt:variant>
      <vt:variant>
        <vt:i4>5</vt:i4>
      </vt:variant>
      <vt:variant>
        <vt:lpwstr/>
      </vt:variant>
      <vt:variant>
        <vt:lpwstr>_Toc23770411</vt:lpwstr>
      </vt:variant>
      <vt:variant>
        <vt:i4>8323192</vt:i4>
      </vt:variant>
      <vt:variant>
        <vt:i4>15</vt:i4>
      </vt:variant>
      <vt:variant>
        <vt:i4>0</vt:i4>
      </vt:variant>
      <vt:variant>
        <vt:i4>5</vt:i4>
      </vt:variant>
      <vt:variant>
        <vt:lpwstr>https://www.minjus.gob.pe/resoluciones-internacionales/</vt:lpwstr>
      </vt:variant>
      <vt:variant>
        <vt:lpwstr/>
      </vt:variant>
      <vt:variant>
        <vt:i4>6684726</vt:i4>
      </vt:variant>
      <vt:variant>
        <vt:i4>12</vt:i4>
      </vt:variant>
      <vt:variant>
        <vt:i4>0</vt:i4>
      </vt:variant>
      <vt:variant>
        <vt:i4>5</vt:i4>
      </vt:variant>
      <vt:variant>
        <vt:lpwstr>https://www.defensoria.gob.pe/modules/Downloads/informes/defensoriales/INFORME-DEFENSORIAL-162.pdf</vt:lpwstr>
      </vt:variant>
      <vt:variant>
        <vt:lpwstr/>
      </vt:variant>
      <vt:variant>
        <vt:i4>6881366</vt:i4>
      </vt:variant>
      <vt:variant>
        <vt:i4>9</vt:i4>
      </vt:variant>
      <vt:variant>
        <vt:i4>0</vt:i4>
      </vt:variant>
      <vt:variant>
        <vt:i4>5</vt:i4>
      </vt:variant>
      <vt:variant>
        <vt:lpwstr>http://www.corteidh.or.cr/docs/supervisiones/GP_AC_OR_TR__14_05_19.pdf</vt:lpwstr>
      </vt:variant>
      <vt:variant>
        <vt:lpwstr/>
      </vt:variant>
      <vt:variant>
        <vt:i4>1900565</vt:i4>
      </vt:variant>
      <vt:variant>
        <vt:i4>6</vt:i4>
      </vt:variant>
      <vt:variant>
        <vt:i4>0</vt:i4>
      </vt:variant>
      <vt:variant>
        <vt:i4>5</vt:i4>
      </vt:variant>
      <vt:variant>
        <vt:lpwstr>http://www.corteidh.or.cr/docs/asuntos/osorivperu_fv_17.pdf</vt:lpwstr>
      </vt:variant>
      <vt:variant>
        <vt:lpwstr/>
      </vt:variant>
      <vt:variant>
        <vt:i4>5832790</vt:i4>
      </vt:variant>
      <vt:variant>
        <vt:i4>3</vt:i4>
      </vt:variant>
      <vt:variant>
        <vt:i4>0</vt:i4>
      </vt:variant>
      <vt:variant>
        <vt:i4>5</vt:i4>
      </vt:variant>
      <vt:variant>
        <vt:lpwstr>http://www.corteidh.or.cr/docs/casos/articulos/seriec_290_esp.pdf</vt:lpwstr>
      </vt:variant>
      <vt:variant>
        <vt:lpwstr/>
      </vt:variant>
      <vt:variant>
        <vt:i4>5701714</vt:i4>
      </vt:variant>
      <vt:variant>
        <vt:i4>0</vt:i4>
      </vt:variant>
      <vt:variant>
        <vt:i4>0</vt:i4>
      </vt:variant>
      <vt:variant>
        <vt:i4>5</vt:i4>
      </vt:variant>
      <vt:variant>
        <vt:lpwstr>http://www.corteidh.or.cr/docs/casos/articulos/seriec_274_esp.pdf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2020-04-07T14:09:00Z</cp:lastPrinted>
  <dcterms:created xsi:type="dcterms:W3CDTF">2020-04-07T14:09:00Z</dcterms:created>
  <dcterms:modified xsi:type="dcterms:W3CDTF">2020-04-07T14:09:00Z</dcterms:modified>
</cp:coreProperties>
</file>