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3E02D" w14:textId="77777777" w:rsidR="009403BF" w:rsidRPr="002040C8" w:rsidRDefault="006206E5" w:rsidP="00BF74B9">
      <w:pPr>
        <w:pStyle w:val="Footnotes"/>
        <w:ind w:left="2124" w:hanging="2124"/>
        <w:rPr>
          <w:rFonts w:eastAsia="MS Mincho"/>
        </w:rPr>
      </w:pPr>
      <w:r w:rsidRPr="002040C8">
        <w:rPr>
          <w:rFonts w:eastAsia="MS Mincho"/>
        </w:rPr>
        <w:t xml:space="preserve"> </w:t>
      </w:r>
    </w:p>
    <w:p w14:paraId="238C0F91" w14:textId="77777777" w:rsidR="009403BF" w:rsidRPr="002040C8" w:rsidRDefault="009403BF" w:rsidP="00491B00">
      <w:pPr>
        <w:pStyle w:val="Ttulo"/>
        <w:ind w:left="-142" w:right="-4"/>
        <w:rPr>
          <w:rFonts w:eastAsia="MS Mincho"/>
        </w:rPr>
      </w:pPr>
    </w:p>
    <w:p w14:paraId="4F3DF2C2" w14:textId="77777777" w:rsidR="009403BF" w:rsidRPr="002040C8" w:rsidRDefault="009403BF" w:rsidP="00491B00">
      <w:pPr>
        <w:pStyle w:val="Ttulo"/>
        <w:ind w:left="-142" w:right="-4"/>
        <w:rPr>
          <w:rFonts w:eastAsia="MS Mincho"/>
        </w:rPr>
      </w:pPr>
    </w:p>
    <w:p w14:paraId="1696E873" w14:textId="77777777" w:rsidR="009403BF" w:rsidRPr="002040C8" w:rsidRDefault="009403BF" w:rsidP="00491B00">
      <w:pPr>
        <w:pStyle w:val="Ttulo"/>
        <w:ind w:left="-142" w:right="-4"/>
        <w:rPr>
          <w:rFonts w:eastAsia="MS Mincho"/>
        </w:rPr>
      </w:pPr>
    </w:p>
    <w:p w14:paraId="366053CD" w14:textId="77777777" w:rsidR="009403BF" w:rsidRPr="003B376F" w:rsidRDefault="009403BF" w:rsidP="00491B00">
      <w:pPr>
        <w:pStyle w:val="Ttulo"/>
        <w:ind w:left="-142" w:right="-4"/>
        <w:rPr>
          <w:rFonts w:eastAsia="MS Mincho"/>
        </w:rPr>
      </w:pPr>
      <w:r w:rsidRPr="003B376F">
        <w:rPr>
          <w:rFonts w:eastAsia="MS Mincho"/>
        </w:rPr>
        <w:t>CORTE INTERAMERICANA DE DERECHOS HUMANOS</w:t>
      </w:r>
    </w:p>
    <w:p w14:paraId="287BB904" w14:textId="77777777" w:rsidR="009403BF" w:rsidRPr="003B376F" w:rsidRDefault="009403BF" w:rsidP="00AE0D74">
      <w:pPr>
        <w:pStyle w:val="Ttulo"/>
        <w:ind w:left="708" w:right="-4" w:hanging="708"/>
        <w:rPr>
          <w:rFonts w:eastAsia="MS Mincho"/>
        </w:rPr>
      </w:pPr>
    </w:p>
    <w:p w14:paraId="2D758441" w14:textId="77777777" w:rsidR="009403BF" w:rsidRPr="003B376F" w:rsidRDefault="009403BF" w:rsidP="00491B00">
      <w:pPr>
        <w:pStyle w:val="Ttulo"/>
        <w:tabs>
          <w:tab w:val="left" w:pos="7501"/>
        </w:tabs>
        <w:ind w:left="-142" w:right="-4"/>
        <w:rPr>
          <w:rFonts w:eastAsia="MS Mincho"/>
        </w:rPr>
      </w:pPr>
    </w:p>
    <w:p w14:paraId="105F7520" w14:textId="77777777" w:rsidR="009403BF" w:rsidRPr="003B376F" w:rsidRDefault="009403BF" w:rsidP="00491B00">
      <w:pPr>
        <w:pStyle w:val="Ttulo"/>
        <w:ind w:left="-142" w:right="-4"/>
        <w:rPr>
          <w:rFonts w:eastAsia="MS Mincho"/>
          <w:i/>
        </w:rPr>
      </w:pPr>
    </w:p>
    <w:p w14:paraId="391D195A" w14:textId="1359AEEC" w:rsidR="008F1678" w:rsidRPr="003B376F" w:rsidRDefault="0033287E" w:rsidP="008F1678">
      <w:pPr>
        <w:jc w:val="center"/>
        <w:rPr>
          <w:b/>
          <w:i/>
          <w:smallCaps/>
          <w:szCs w:val="20"/>
          <w:lang w:eastAsia="es-ES"/>
        </w:rPr>
      </w:pPr>
      <w:r>
        <w:rPr>
          <w:rFonts w:cs="Verdana Bold"/>
          <w:b/>
          <w:bCs/>
          <w:i/>
          <w:caps/>
          <w:szCs w:val="20"/>
        </w:rPr>
        <w:t xml:space="preserve">Caso </w:t>
      </w:r>
      <w:r w:rsidR="008063A7">
        <w:rPr>
          <w:rFonts w:cs="Verdana Bold"/>
          <w:b/>
          <w:bCs/>
          <w:i/>
          <w:caps/>
          <w:szCs w:val="20"/>
        </w:rPr>
        <w:t xml:space="preserve">NOGUERA y </w:t>
      </w:r>
      <w:r w:rsidR="0049712B">
        <w:rPr>
          <w:rFonts w:cs="Verdana Bold"/>
          <w:b/>
          <w:bCs/>
          <w:i/>
          <w:caps/>
          <w:szCs w:val="20"/>
        </w:rPr>
        <w:t>otra</w:t>
      </w:r>
      <w:r w:rsidR="008063A7">
        <w:rPr>
          <w:rFonts w:cs="Verdana Bold"/>
          <w:b/>
          <w:bCs/>
          <w:i/>
          <w:caps/>
          <w:szCs w:val="20"/>
        </w:rPr>
        <w:t xml:space="preserve"> VS. paraguay</w:t>
      </w:r>
    </w:p>
    <w:p w14:paraId="2C626B89" w14:textId="77777777" w:rsidR="009403BF" w:rsidRPr="003B376F" w:rsidRDefault="009403BF" w:rsidP="00491B00">
      <w:pPr>
        <w:spacing w:after="120"/>
        <w:ind w:right="-4"/>
        <w:jc w:val="center"/>
        <w:rPr>
          <w:rFonts w:cs="Verdana Bold"/>
          <w:b/>
          <w:bCs/>
          <w:i/>
          <w:caps/>
          <w:szCs w:val="20"/>
        </w:rPr>
      </w:pPr>
    </w:p>
    <w:p w14:paraId="40B62071" w14:textId="77777777" w:rsidR="009403BF" w:rsidRPr="003B376F" w:rsidRDefault="009403BF" w:rsidP="00491B00">
      <w:pPr>
        <w:pStyle w:val="Ttulo"/>
        <w:ind w:left="-142" w:right="-4"/>
        <w:rPr>
          <w:rFonts w:eastAsia="MS Mincho"/>
        </w:rPr>
      </w:pPr>
    </w:p>
    <w:p w14:paraId="26075D47" w14:textId="1E28E244" w:rsidR="009403BF" w:rsidRPr="003B376F" w:rsidRDefault="009403BF" w:rsidP="00491B00">
      <w:pPr>
        <w:pStyle w:val="Ttulo"/>
        <w:ind w:left="-142" w:right="-4"/>
        <w:rPr>
          <w:rFonts w:eastAsia="MS Mincho"/>
        </w:rPr>
      </w:pPr>
      <w:r w:rsidRPr="003B376F">
        <w:rPr>
          <w:rFonts w:eastAsia="MS Mincho"/>
        </w:rPr>
        <w:t xml:space="preserve">SENTENCIA </w:t>
      </w:r>
      <w:r w:rsidR="00784CCE" w:rsidRPr="003B376F">
        <w:rPr>
          <w:rFonts w:eastAsia="MS Mincho"/>
        </w:rPr>
        <w:t xml:space="preserve">DE </w:t>
      </w:r>
      <w:r w:rsidR="005D1822">
        <w:rPr>
          <w:rFonts w:eastAsia="MS Mincho"/>
        </w:rPr>
        <w:t>9</w:t>
      </w:r>
      <w:r w:rsidR="005D1822" w:rsidRPr="003B376F">
        <w:rPr>
          <w:rFonts w:eastAsia="MS Mincho"/>
        </w:rPr>
        <w:t xml:space="preserve"> </w:t>
      </w:r>
      <w:r w:rsidRPr="003B376F">
        <w:rPr>
          <w:rFonts w:eastAsia="MS Mincho"/>
        </w:rPr>
        <w:t>DE</w:t>
      </w:r>
      <w:r w:rsidR="00A62821" w:rsidRPr="003B376F">
        <w:rPr>
          <w:rFonts w:eastAsia="MS Mincho"/>
        </w:rPr>
        <w:t xml:space="preserve"> </w:t>
      </w:r>
      <w:r w:rsidR="00620D75">
        <w:rPr>
          <w:rFonts w:eastAsia="MS Mincho"/>
        </w:rPr>
        <w:t>MARZO</w:t>
      </w:r>
      <w:r w:rsidR="00A346F9" w:rsidRPr="003B376F">
        <w:rPr>
          <w:rFonts w:eastAsia="MS Mincho"/>
        </w:rPr>
        <w:t xml:space="preserve"> </w:t>
      </w:r>
      <w:r w:rsidR="00444E67">
        <w:rPr>
          <w:rFonts w:eastAsia="MS Mincho"/>
        </w:rPr>
        <w:t xml:space="preserve">DE </w:t>
      </w:r>
      <w:r w:rsidR="008063A7">
        <w:rPr>
          <w:rFonts w:eastAsia="MS Mincho"/>
        </w:rPr>
        <w:t>2020</w:t>
      </w:r>
    </w:p>
    <w:p w14:paraId="0392388D" w14:textId="77777777" w:rsidR="009569E6" w:rsidRPr="003B376F" w:rsidRDefault="009569E6" w:rsidP="00491B00">
      <w:pPr>
        <w:pStyle w:val="Ttulo"/>
        <w:ind w:left="-142" w:right="-4"/>
        <w:rPr>
          <w:rFonts w:eastAsia="MS Mincho"/>
        </w:rPr>
      </w:pPr>
    </w:p>
    <w:p w14:paraId="1B901ED7" w14:textId="3C0F1BE8" w:rsidR="009403BF" w:rsidRPr="003B376F" w:rsidRDefault="009403BF" w:rsidP="00491B00">
      <w:pPr>
        <w:pStyle w:val="Subttulo"/>
        <w:ind w:left="-142" w:right="-4"/>
        <w:rPr>
          <w:szCs w:val="20"/>
        </w:rPr>
      </w:pPr>
      <w:r w:rsidRPr="003B376F">
        <w:rPr>
          <w:szCs w:val="20"/>
        </w:rPr>
        <w:t>(Fondo, Reparaciones y Costas)</w:t>
      </w:r>
    </w:p>
    <w:p w14:paraId="02FBD8A1" w14:textId="77777777" w:rsidR="009403BF" w:rsidRPr="003B376F" w:rsidRDefault="009403BF" w:rsidP="00491B00">
      <w:pPr>
        <w:ind w:left="-142" w:right="-4"/>
        <w:rPr>
          <w:szCs w:val="20"/>
        </w:rPr>
      </w:pPr>
    </w:p>
    <w:p w14:paraId="12B246A6" w14:textId="77777777" w:rsidR="009403BF" w:rsidRPr="003B376F" w:rsidRDefault="009403BF" w:rsidP="00491B00">
      <w:pPr>
        <w:ind w:left="-142" w:right="-4"/>
        <w:rPr>
          <w:szCs w:val="20"/>
        </w:rPr>
      </w:pPr>
    </w:p>
    <w:p w14:paraId="5C4CFD96" w14:textId="77777777" w:rsidR="009403BF" w:rsidRPr="003B376F" w:rsidRDefault="009403BF" w:rsidP="00491B00">
      <w:pPr>
        <w:ind w:left="-142" w:right="-4"/>
        <w:rPr>
          <w:szCs w:val="20"/>
        </w:rPr>
      </w:pPr>
    </w:p>
    <w:p w14:paraId="10A94594" w14:textId="09610BA9" w:rsidR="008F1678" w:rsidRPr="003B376F" w:rsidRDefault="009403BF" w:rsidP="008F1678">
      <w:pPr>
        <w:rPr>
          <w:i/>
          <w:szCs w:val="20"/>
        </w:rPr>
      </w:pPr>
      <w:r w:rsidRPr="003B376F">
        <w:rPr>
          <w:szCs w:val="20"/>
        </w:rPr>
        <w:t xml:space="preserve">En el </w:t>
      </w:r>
      <w:r w:rsidR="008F1678" w:rsidRPr="003B376F">
        <w:rPr>
          <w:i/>
          <w:szCs w:val="20"/>
        </w:rPr>
        <w:t xml:space="preserve">Caso </w:t>
      </w:r>
      <w:r w:rsidR="008063A7">
        <w:rPr>
          <w:i/>
          <w:szCs w:val="20"/>
        </w:rPr>
        <w:t>Noguera</w:t>
      </w:r>
      <w:r w:rsidR="004006A6" w:rsidRPr="003B376F">
        <w:rPr>
          <w:i/>
          <w:szCs w:val="20"/>
        </w:rPr>
        <w:t xml:space="preserve"> y otros</w:t>
      </w:r>
      <w:r w:rsidR="008F1678" w:rsidRPr="003B376F">
        <w:rPr>
          <w:i/>
          <w:szCs w:val="20"/>
        </w:rPr>
        <w:t xml:space="preserve"> Vs. </w:t>
      </w:r>
      <w:r w:rsidR="008063A7">
        <w:rPr>
          <w:i/>
          <w:szCs w:val="20"/>
        </w:rPr>
        <w:t>Paraguay</w:t>
      </w:r>
      <w:r w:rsidR="004B605F" w:rsidRPr="003B376F">
        <w:rPr>
          <w:i/>
          <w:szCs w:val="20"/>
        </w:rPr>
        <w:t>,</w:t>
      </w:r>
    </w:p>
    <w:p w14:paraId="48DEE953" w14:textId="77777777" w:rsidR="009403BF" w:rsidRPr="003B376F" w:rsidRDefault="009403BF" w:rsidP="00491B00">
      <w:pPr>
        <w:ind w:right="-4"/>
        <w:rPr>
          <w:szCs w:val="20"/>
        </w:rPr>
      </w:pPr>
    </w:p>
    <w:p w14:paraId="553F4C90" w14:textId="06C0FB4B" w:rsidR="009403BF" w:rsidRPr="003B376F" w:rsidRDefault="009403BF" w:rsidP="00491B00">
      <w:pPr>
        <w:ind w:right="-4"/>
        <w:rPr>
          <w:szCs w:val="20"/>
        </w:rPr>
      </w:pPr>
      <w:r w:rsidRPr="003B376F">
        <w:rPr>
          <w:szCs w:val="20"/>
        </w:rPr>
        <w:t>la Corte Interamericana de Derechos Humanos (en adelante “la Corte Interamericana”, “la Corte” o “el Tribunal”), integrada por los siguientes Jueces</w:t>
      </w:r>
      <w:r w:rsidR="00EB64C5">
        <w:rPr>
          <w:rStyle w:val="Refdenotaalpie"/>
        </w:rPr>
        <w:footnoteReference w:id="1"/>
      </w:r>
      <w:r w:rsidRPr="003B376F">
        <w:rPr>
          <w:szCs w:val="20"/>
        </w:rPr>
        <w:t>:</w:t>
      </w:r>
    </w:p>
    <w:p w14:paraId="78691EAE" w14:textId="77777777" w:rsidR="009403BF" w:rsidRPr="003B376F" w:rsidRDefault="009403BF" w:rsidP="00491B00">
      <w:pPr>
        <w:ind w:right="-4"/>
        <w:rPr>
          <w:szCs w:val="20"/>
        </w:rPr>
      </w:pPr>
    </w:p>
    <w:p w14:paraId="73CAE867" w14:textId="7DB4962D" w:rsidR="009403BF" w:rsidRPr="00696747" w:rsidRDefault="008063A7" w:rsidP="00491B00">
      <w:pPr>
        <w:pStyle w:val="citaindirecta"/>
        <w:ind w:right="-4"/>
      </w:pPr>
      <w:r w:rsidRPr="003B376F">
        <w:t>Elizabeth Odio Benito</w:t>
      </w:r>
      <w:r w:rsidR="009403BF" w:rsidRPr="00696747">
        <w:t xml:space="preserve">, </w:t>
      </w:r>
      <w:r w:rsidR="0027106F" w:rsidRPr="00696747">
        <w:t>P</w:t>
      </w:r>
      <w:r w:rsidRPr="00696747">
        <w:t>residenta</w:t>
      </w:r>
      <w:r w:rsidR="009403BF" w:rsidRPr="00696747">
        <w:t xml:space="preserve">; </w:t>
      </w:r>
    </w:p>
    <w:p w14:paraId="4A42A689" w14:textId="3ACB701F" w:rsidR="009403BF" w:rsidRPr="003B376F" w:rsidRDefault="008063A7" w:rsidP="00491B00">
      <w:pPr>
        <w:pStyle w:val="citaindirecta"/>
        <w:ind w:right="-4"/>
      </w:pPr>
      <w:r w:rsidRPr="003B376F">
        <w:t>L. Patricio Pazmiño Freire</w:t>
      </w:r>
      <w:r w:rsidR="0027106F" w:rsidRPr="003B376F">
        <w:rPr>
          <w:lang w:val="es-ES"/>
        </w:rPr>
        <w:t>, Vicepresidente</w:t>
      </w:r>
      <w:r w:rsidR="009403BF" w:rsidRPr="003B376F">
        <w:t>;</w:t>
      </w:r>
    </w:p>
    <w:p w14:paraId="49B4AC83" w14:textId="4823D70C" w:rsidR="009403BF" w:rsidRPr="003B376F" w:rsidRDefault="008063A7" w:rsidP="008B75C4">
      <w:pPr>
        <w:pStyle w:val="citaindirecta"/>
        <w:ind w:right="-4"/>
      </w:pPr>
      <w:r w:rsidRPr="00696747">
        <w:t>Eduardo Ferrer Mac-</w:t>
      </w:r>
      <w:proofErr w:type="spellStart"/>
      <w:r w:rsidRPr="00696747">
        <w:t>Gregor</w:t>
      </w:r>
      <w:proofErr w:type="spellEnd"/>
      <w:r w:rsidRPr="00696747">
        <w:t xml:space="preserve"> </w:t>
      </w:r>
      <w:proofErr w:type="spellStart"/>
      <w:r w:rsidRPr="00696747">
        <w:t>Poisot</w:t>
      </w:r>
      <w:proofErr w:type="spellEnd"/>
      <w:r>
        <w:t>, Juez</w:t>
      </w:r>
      <w:r w:rsidR="009403BF" w:rsidRPr="003B376F">
        <w:t>;</w:t>
      </w:r>
    </w:p>
    <w:p w14:paraId="601F7051" w14:textId="66B211F4" w:rsidR="009403BF" w:rsidRPr="003B376F" w:rsidRDefault="008063A7" w:rsidP="008063A7">
      <w:pPr>
        <w:pStyle w:val="citaindirecta"/>
        <w:ind w:right="-4"/>
      </w:pPr>
      <w:r>
        <w:t xml:space="preserve">Eugenio Raúl Zaffaroni, Juez, </w:t>
      </w:r>
      <w:r w:rsidR="008B75C4" w:rsidRPr="003B376F">
        <w:t>y</w:t>
      </w:r>
    </w:p>
    <w:p w14:paraId="3124CBB0" w14:textId="77777777" w:rsidR="008B75C4" w:rsidRPr="003B376F" w:rsidRDefault="008B75C4" w:rsidP="00491B00">
      <w:pPr>
        <w:pStyle w:val="citaindirecta"/>
        <w:ind w:right="-4"/>
      </w:pPr>
      <w:r w:rsidRPr="003B376F">
        <w:t>Ricardo Pérez Manrique, Juez;</w:t>
      </w:r>
    </w:p>
    <w:p w14:paraId="6BA6E6DE" w14:textId="77777777" w:rsidR="009403BF" w:rsidRPr="003B376F" w:rsidRDefault="009403BF" w:rsidP="00491B00">
      <w:pPr>
        <w:ind w:right="-4"/>
        <w:rPr>
          <w:szCs w:val="20"/>
        </w:rPr>
      </w:pPr>
    </w:p>
    <w:p w14:paraId="7CF3BADF" w14:textId="11EAC586" w:rsidR="009403BF" w:rsidRPr="003B376F" w:rsidRDefault="0023621E" w:rsidP="00491B00">
      <w:pPr>
        <w:ind w:right="-4"/>
        <w:rPr>
          <w:szCs w:val="20"/>
        </w:rPr>
      </w:pPr>
      <w:r w:rsidRPr="003B376F">
        <w:rPr>
          <w:szCs w:val="20"/>
        </w:rPr>
        <w:t>presente</w:t>
      </w:r>
      <w:r w:rsidR="00A92602">
        <w:rPr>
          <w:szCs w:val="20"/>
        </w:rPr>
        <w:t>s</w:t>
      </w:r>
      <w:r w:rsidR="009403BF" w:rsidRPr="003B376F">
        <w:rPr>
          <w:szCs w:val="20"/>
        </w:rPr>
        <w:t>, además,</w:t>
      </w:r>
    </w:p>
    <w:p w14:paraId="2D54F054" w14:textId="77777777" w:rsidR="009403BF" w:rsidRPr="003B376F" w:rsidRDefault="009403BF" w:rsidP="00491B00">
      <w:pPr>
        <w:ind w:right="-4"/>
        <w:rPr>
          <w:szCs w:val="20"/>
        </w:rPr>
      </w:pPr>
    </w:p>
    <w:p w14:paraId="655B5845" w14:textId="77777777" w:rsidR="005D1822" w:rsidRDefault="009403BF" w:rsidP="00491B00">
      <w:pPr>
        <w:ind w:right="-4" w:firstLine="708"/>
        <w:rPr>
          <w:szCs w:val="20"/>
        </w:rPr>
      </w:pPr>
      <w:r w:rsidRPr="003B376F">
        <w:rPr>
          <w:szCs w:val="20"/>
        </w:rPr>
        <w:t>Pablo Sa</w:t>
      </w:r>
      <w:r w:rsidR="008B75C4" w:rsidRPr="003B376F">
        <w:rPr>
          <w:szCs w:val="20"/>
        </w:rPr>
        <w:t>avedra Alessandri, Secretario</w:t>
      </w:r>
      <w:r w:rsidR="005D1822">
        <w:rPr>
          <w:szCs w:val="20"/>
        </w:rPr>
        <w:t>;</w:t>
      </w:r>
    </w:p>
    <w:p w14:paraId="2E948EF9" w14:textId="3AE1A372" w:rsidR="009403BF" w:rsidRPr="003B376F" w:rsidRDefault="005D1822" w:rsidP="00491B00">
      <w:pPr>
        <w:ind w:right="-4" w:firstLine="708"/>
        <w:rPr>
          <w:szCs w:val="20"/>
        </w:rPr>
      </w:pPr>
      <w:r>
        <w:rPr>
          <w:szCs w:val="20"/>
        </w:rPr>
        <w:t xml:space="preserve">Romina </w:t>
      </w:r>
      <w:r w:rsidR="00D95405">
        <w:rPr>
          <w:szCs w:val="20"/>
        </w:rPr>
        <w:t xml:space="preserve">I. </w:t>
      </w:r>
      <w:proofErr w:type="spellStart"/>
      <w:r w:rsidR="00D95405">
        <w:rPr>
          <w:szCs w:val="20"/>
        </w:rPr>
        <w:t>Sijniensky</w:t>
      </w:r>
      <w:proofErr w:type="spellEnd"/>
      <w:r w:rsidR="00D95405">
        <w:rPr>
          <w:szCs w:val="20"/>
        </w:rPr>
        <w:t>, Secretaria Adjunta;</w:t>
      </w:r>
    </w:p>
    <w:p w14:paraId="143DB2BD" w14:textId="77777777" w:rsidR="009403BF" w:rsidRPr="003B376F" w:rsidRDefault="009403BF" w:rsidP="00491B00">
      <w:pPr>
        <w:ind w:right="-4"/>
        <w:rPr>
          <w:szCs w:val="20"/>
        </w:rPr>
      </w:pPr>
    </w:p>
    <w:p w14:paraId="1DFEACB1" w14:textId="77777777" w:rsidR="009403BF" w:rsidRPr="003B376F" w:rsidRDefault="009403BF" w:rsidP="00491B00">
      <w:pPr>
        <w:ind w:right="-4"/>
        <w:rPr>
          <w:szCs w:val="20"/>
        </w:rPr>
      </w:pPr>
      <w:r w:rsidRPr="003B376F">
        <w:rPr>
          <w:szCs w:val="20"/>
        </w:rPr>
        <w:t>de conformidad con los artículos 62.3 y 63.1 de la Convención Americana sobre Derechos Humanos (en adelante, “la Convención Americana” o “la Convención”) y con los artículos 31, 32, 65 y 67 del Reglamento de la Corte (en adelante también “el Reglamento”), dicta la presente Sentencia.</w:t>
      </w:r>
    </w:p>
    <w:p w14:paraId="4E33C656" w14:textId="77777777" w:rsidR="009403BF" w:rsidRPr="003B376F" w:rsidRDefault="009403BF" w:rsidP="00491B00">
      <w:pPr>
        <w:ind w:right="-4"/>
        <w:rPr>
          <w:szCs w:val="20"/>
        </w:rPr>
      </w:pPr>
    </w:p>
    <w:p w14:paraId="334CA863" w14:textId="77777777" w:rsidR="00C32DA9" w:rsidRPr="003B376F" w:rsidRDefault="00C32DA9" w:rsidP="00C32DA9">
      <w:pPr>
        <w:pStyle w:val="Ttulo"/>
        <w:spacing w:before="240" w:after="240"/>
        <w:ind w:left="-142" w:right="-46"/>
        <w:rPr>
          <w:rFonts w:eastAsia="MS Mincho"/>
        </w:rPr>
      </w:pPr>
    </w:p>
    <w:p w14:paraId="1EE49AF5" w14:textId="77777777" w:rsidR="00C32DA9" w:rsidRPr="003B376F" w:rsidRDefault="00C32DA9" w:rsidP="00C32DA9">
      <w:pPr>
        <w:pStyle w:val="Ttulo"/>
        <w:spacing w:before="240" w:after="240"/>
        <w:ind w:left="-142" w:right="-46"/>
        <w:rPr>
          <w:rFonts w:eastAsia="MS Mincho"/>
        </w:rPr>
      </w:pPr>
    </w:p>
    <w:p w14:paraId="43197D4C" w14:textId="77777777" w:rsidR="00C32DA9" w:rsidRPr="003B376F" w:rsidRDefault="00C32DA9" w:rsidP="00C32DA9">
      <w:pPr>
        <w:pStyle w:val="Ttulo"/>
        <w:spacing w:before="240" w:after="240"/>
        <w:ind w:left="-142" w:right="-46"/>
        <w:rPr>
          <w:rFonts w:eastAsia="MS Mincho"/>
        </w:rPr>
      </w:pPr>
    </w:p>
    <w:p w14:paraId="7CDEB526" w14:textId="77777777" w:rsidR="00F73A14" w:rsidRPr="003B376F" w:rsidRDefault="00F73A14">
      <w:pPr>
        <w:spacing w:after="200" w:line="276" w:lineRule="auto"/>
        <w:jc w:val="left"/>
        <w:rPr>
          <w:rFonts w:eastAsia="Times New Roman" w:cs="Verdana"/>
          <w:b/>
          <w:bCs/>
          <w:caps/>
          <w:snapToGrid w:val="0"/>
          <w:szCs w:val="20"/>
          <w:lang w:val="es-CR" w:eastAsia="es-ES"/>
        </w:rPr>
      </w:pPr>
      <w:bookmarkStart w:id="0" w:name="_Toc369989729"/>
      <w:bookmarkStart w:id="1" w:name="_Toc438132269"/>
      <w:bookmarkStart w:id="2" w:name="_Toc288744729"/>
      <w:bookmarkStart w:id="3" w:name="_Toc486693351"/>
      <w:bookmarkStart w:id="4" w:name="_Toc486842767"/>
      <w:bookmarkStart w:id="5" w:name="_Toc486842905"/>
      <w:bookmarkStart w:id="6" w:name="_Toc11166262"/>
      <w:r w:rsidRPr="003B376F">
        <w:br w:type="page"/>
      </w:r>
    </w:p>
    <w:p w14:paraId="63E635C5" w14:textId="1DA033F2" w:rsidR="007914C4" w:rsidRPr="003B376F" w:rsidRDefault="008063A7" w:rsidP="007914C4">
      <w:pPr>
        <w:jc w:val="center"/>
        <w:rPr>
          <w:b/>
          <w:i/>
          <w:smallCaps/>
          <w:szCs w:val="20"/>
          <w:lang w:eastAsia="es-ES"/>
        </w:rPr>
      </w:pPr>
      <w:r>
        <w:rPr>
          <w:rFonts w:cs="Verdana Bold"/>
          <w:b/>
          <w:bCs/>
          <w:i/>
          <w:caps/>
          <w:szCs w:val="20"/>
        </w:rPr>
        <w:lastRenderedPageBreak/>
        <w:t>Caso NOGUERA</w:t>
      </w:r>
      <w:r w:rsidR="007914C4" w:rsidRPr="003B376F">
        <w:rPr>
          <w:rFonts w:cs="Verdana Bold"/>
          <w:b/>
          <w:bCs/>
          <w:i/>
          <w:caps/>
          <w:szCs w:val="20"/>
        </w:rPr>
        <w:t xml:space="preserve"> y </w:t>
      </w:r>
      <w:r w:rsidR="00A73220" w:rsidRPr="003B376F">
        <w:rPr>
          <w:rFonts w:cs="Verdana Bold"/>
          <w:b/>
          <w:bCs/>
          <w:i/>
          <w:caps/>
          <w:szCs w:val="20"/>
        </w:rPr>
        <w:t>otr</w:t>
      </w:r>
      <w:r w:rsidR="00A73220">
        <w:rPr>
          <w:rFonts w:cs="Verdana Bold"/>
          <w:b/>
          <w:bCs/>
          <w:i/>
          <w:caps/>
          <w:szCs w:val="20"/>
        </w:rPr>
        <w:t>A</w:t>
      </w:r>
      <w:r w:rsidR="00A73220" w:rsidRPr="003B376F">
        <w:rPr>
          <w:rFonts w:cs="Verdana Bold"/>
          <w:b/>
          <w:bCs/>
          <w:i/>
          <w:caps/>
          <w:szCs w:val="20"/>
        </w:rPr>
        <w:t xml:space="preserve"> </w:t>
      </w:r>
      <w:r w:rsidR="007914C4" w:rsidRPr="003B376F">
        <w:rPr>
          <w:rFonts w:cs="Verdana Bold"/>
          <w:b/>
          <w:bCs/>
          <w:i/>
          <w:caps/>
          <w:szCs w:val="20"/>
        </w:rPr>
        <w:t xml:space="preserve">VS. </w:t>
      </w:r>
      <w:r w:rsidR="00F505F2">
        <w:rPr>
          <w:rFonts w:cs="Verdana Bold"/>
          <w:b/>
          <w:bCs/>
          <w:i/>
          <w:caps/>
          <w:szCs w:val="20"/>
        </w:rPr>
        <w:t>PARAGUAY</w:t>
      </w:r>
    </w:p>
    <w:p w14:paraId="3CDC20E1" w14:textId="77777777" w:rsidR="007914C4" w:rsidRPr="003B376F" w:rsidRDefault="007914C4" w:rsidP="007914C4">
      <w:pPr>
        <w:rPr>
          <w:lang w:val="es-CR" w:eastAsia="ja-JP"/>
        </w:rPr>
      </w:pPr>
    </w:p>
    <w:sdt>
      <w:sdtPr>
        <w:rPr>
          <w:b/>
        </w:rPr>
        <w:id w:val="219566276"/>
        <w:docPartObj>
          <w:docPartGallery w:val="Table of Contents"/>
          <w:docPartUnique/>
        </w:docPartObj>
      </w:sdtPr>
      <w:sdtEndPr>
        <w:rPr>
          <w:bCs/>
          <w:noProof/>
        </w:rPr>
      </w:sdtEndPr>
      <w:sdtContent>
        <w:p w14:paraId="1AECA0F2" w14:textId="7E85EF86" w:rsidR="007914C4" w:rsidRPr="003B376F" w:rsidRDefault="007914C4" w:rsidP="007914C4">
          <w:pPr>
            <w:spacing w:after="200" w:line="276" w:lineRule="auto"/>
            <w:jc w:val="center"/>
            <w:rPr>
              <w:b/>
            </w:rPr>
          </w:pPr>
          <w:r w:rsidRPr="003B376F">
            <w:rPr>
              <w:b/>
            </w:rPr>
            <w:t>Tabla de Contenido</w:t>
          </w:r>
        </w:p>
        <w:p w14:paraId="25680E1F" w14:textId="59B2B009" w:rsidR="00271D4A" w:rsidRDefault="007914C4">
          <w:pPr>
            <w:pStyle w:val="TDC1"/>
            <w:rPr>
              <w:rFonts w:asciiTheme="minorHAnsi" w:eastAsiaTheme="minorEastAsia" w:hAnsiTheme="minorHAnsi" w:cstheme="minorBidi"/>
              <w:b w:val="0"/>
              <w:noProof/>
              <w:sz w:val="22"/>
              <w:szCs w:val="22"/>
              <w:lang w:val="en-US"/>
            </w:rPr>
          </w:pPr>
          <w:r w:rsidRPr="003B376F">
            <w:rPr>
              <w:bCs/>
              <w:noProof/>
            </w:rPr>
            <w:fldChar w:fldCharType="begin"/>
          </w:r>
          <w:r w:rsidRPr="003B376F">
            <w:rPr>
              <w:bCs/>
              <w:noProof/>
            </w:rPr>
            <w:instrText xml:space="preserve"> TOC \o "1-3" \h \z \u </w:instrText>
          </w:r>
          <w:r w:rsidRPr="003B376F">
            <w:rPr>
              <w:bCs/>
              <w:noProof/>
            </w:rPr>
            <w:fldChar w:fldCharType="separate"/>
          </w:r>
          <w:hyperlink w:anchor="_Toc36132087" w:history="1">
            <w:r w:rsidR="00271D4A" w:rsidRPr="00ED466D">
              <w:rPr>
                <w:rStyle w:val="Hipervnculo"/>
                <w:noProof/>
              </w:rPr>
              <w:t>I. INTRODUCCIÓN DE LA CAUSA Y OBJETO DE LA CONTROVERSIA</w:t>
            </w:r>
            <w:r w:rsidR="00271D4A">
              <w:rPr>
                <w:noProof/>
                <w:webHidden/>
              </w:rPr>
              <w:tab/>
            </w:r>
            <w:r w:rsidR="00271D4A">
              <w:rPr>
                <w:noProof/>
                <w:webHidden/>
              </w:rPr>
              <w:fldChar w:fldCharType="begin"/>
            </w:r>
            <w:r w:rsidR="00271D4A">
              <w:rPr>
                <w:noProof/>
                <w:webHidden/>
              </w:rPr>
              <w:instrText xml:space="preserve"> PAGEREF _Toc36132087 \h </w:instrText>
            </w:r>
            <w:r w:rsidR="00271D4A">
              <w:rPr>
                <w:noProof/>
                <w:webHidden/>
              </w:rPr>
            </w:r>
            <w:r w:rsidR="00271D4A">
              <w:rPr>
                <w:noProof/>
                <w:webHidden/>
              </w:rPr>
              <w:fldChar w:fldCharType="separate"/>
            </w:r>
            <w:r w:rsidR="00DF3FBE">
              <w:rPr>
                <w:noProof/>
                <w:webHidden/>
              </w:rPr>
              <w:t>4</w:t>
            </w:r>
            <w:r w:rsidR="00271D4A">
              <w:rPr>
                <w:noProof/>
                <w:webHidden/>
              </w:rPr>
              <w:fldChar w:fldCharType="end"/>
            </w:r>
          </w:hyperlink>
        </w:p>
        <w:p w14:paraId="23F27ABA" w14:textId="6AFF90F8" w:rsidR="00271D4A" w:rsidRDefault="00C50738">
          <w:pPr>
            <w:pStyle w:val="TDC1"/>
            <w:rPr>
              <w:rFonts w:asciiTheme="minorHAnsi" w:eastAsiaTheme="minorEastAsia" w:hAnsiTheme="minorHAnsi" w:cstheme="minorBidi"/>
              <w:b w:val="0"/>
              <w:noProof/>
              <w:sz w:val="22"/>
              <w:szCs w:val="22"/>
              <w:lang w:val="en-US"/>
            </w:rPr>
          </w:pPr>
          <w:hyperlink w:anchor="_Toc36132088" w:history="1">
            <w:r w:rsidR="00271D4A" w:rsidRPr="00ED466D">
              <w:rPr>
                <w:rStyle w:val="Hipervnculo"/>
                <w:noProof/>
              </w:rPr>
              <w:t>II. PROCEDIMIENTO ANTE LA CORTE</w:t>
            </w:r>
            <w:r w:rsidR="00271D4A">
              <w:rPr>
                <w:noProof/>
                <w:webHidden/>
              </w:rPr>
              <w:tab/>
            </w:r>
            <w:r w:rsidR="00271D4A">
              <w:rPr>
                <w:noProof/>
                <w:webHidden/>
              </w:rPr>
              <w:fldChar w:fldCharType="begin"/>
            </w:r>
            <w:r w:rsidR="00271D4A">
              <w:rPr>
                <w:noProof/>
                <w:webHidden/>
              </w:rPr>
              <w:instrText xml:space="preserve"> PAGEREF _Toc36132088 \h </w:instrText>
            </w:r>
            <w:r w:rsidR="00271D4A">
              <w:rPr>
                <w:noProof/>
                <w:webHidden/>
              </w:rPr>
            </w:r>
            <w:r w:rsidR="00271D4A">
              <w:rPr>
                <w:noProof/>
                <w:webHidden/>
              </w:rPr>
              <w:fldChar w:fldCharType="separate"/>
            </w:r>
            <w:r w:rsidR="00DF3FBE">
              <w:rPr>
                <w:noProof/>
                <w:webHidden/>
              </w:rPr>
              <w:t>5</w:t>
            </w:r>
            <w:r w:rsidR="00271D4A">
              <w:rPr>
                <w:noProof/>
                <w:webHidden/>
              </w:rPr>
              <w:fldChar w:fldCharType="end"/>
            </w:r>
          </w:hyperlink>
        </w:p>
        <w:p w14:paraId="285B05A4" w14:textId="0978018E" w:rsidR="00271D4A" w:rsidRDefault="00C50738">
          <w:pPr>
            <w:pStyle w:val="TDC1"/>
            <w:rPr>
              <w:rFonts w:asciiTheme="minorHAnsi" w:eastAsiaTheme="minorEastAsia" w:hAnsiTheme="minorHAnsi" w:cstheme="minorBidi"/>
              <w:b w:val="0"/>
              <w:noProof/>
              <w:sz w:val="22"/>
              <w:szCs w:val="22"/>
              <w:lang w:val="en-US"/>
            </w:rPr>
          </w:pPr>
          <w:hyperlink w:anchor="_Toc36132089" w:history="1">
            <w:r w:rsidR="00271D4A" w:rsidRPr="00ED466D">
              <w:rPr>
                <w:rStyle w:val="Hipervnculo"/>
                <w:noProof/>
              </w:rPr>
              <w:t>III. COMPETENCIA</w:t>
            </w:r>
            <w:r w:rsidR="00271D4A">
              <w:rPr>
                <w:noProof/>
                <w:webHidden/>
              </w:rPr>
              <w:tab/>
            </w:r>
            <w:r w:rsidR="00271D4A">
              <w:rPr>
                <w:noProof/>
                <w:webHidden/>
              </w:rPr>
              <w:fldChar w:fldCharType="begin"/>
            </w:r>
            <w:r w:rsidR="00271D4A">
              <w:rPr>
                <w:noProof/>
                <w:webHidden/>
              </w:rPr>
              <w:instrText xml:space="preserve"> PAGEREF _Toc36132089 \h </w:instrText>
            </w:r>
            <w:r w:rsidR="00271D4A">
              <w:rPr>
                <w:noProof/>
                <w:webHidden/>
              </w:rPr>
            </w:r>
            <w:r w:rsidR="00271D4A">
              <w:rPr>
                <w:noProof/>
                <w:webHidden/>
              </w:rPr>
              <w:fldChar w:fldCharType="separate"/>
            </w:r>
            <w:r w:rsidR="00DF3FBE">
              <w:rPr>
                <w:noProof/>
                <w:webHidden/>
              </w:rPr>
              <w:t>5</w:t>
            </w:r>
            <w:r w:rsidR="00271D4A">
              <w:rPr>
                <w:noProof/>
                <w:webHidden/>
              </w:rPr>
              <w:fldChar w:fldCharType="end"/>
            </w:r>
          </w:hyperlink>
        </w:p>
        <w:p w14:paraId="46F436C6" w14:textId="4B8D6DBB" w:rsidR="00271D4A" w:rsidRDefault="00C50738">
          <w:pPr>
            <w:pStyle w:val="TDC1"/>
            <w:rPr>
              <w:rFonts w:asciiTheme="minorHAnsi" w:eastAsiaTheme="minorEastAsia" w:hAnsiTheme="minorHAnsi" w:cstheme="minorBidi"/>
              <w:b w:val="0"/>
              <w:noProof/>
              <w:sz w:val="22"/>
              <w:szCs w:val="22"/>
              <w:lang w:val="en-US"/>
            </w:rPr>
          </w:pPr>
          <w:hyperlink w:anchor="_Toc36132090" w:history="1">
            <w:r w:rsidR="00271D4A" w:rsidRPr="00ED466D">
              <w:rPr>
                <w:rStyle w:val="Hipervnculo"/>
                <w:noProof/>
              </w:rPr>
              <w:t>IV. CONSIDERACIÓN PREVIA</w:t>
            </w:r>
            <w:r w:rsidR="00271D4A">
              <w:rPr>
                <w:noProof/>
                <w:webHidden/>
              </w:rPr>
              <w:tab/>
            </w:r>
            <w:r w:rsidR="00271D4A">
              <w:rPr>
                <w:noProof/>
                <w:webHidden/>
              </w:rPr>
              <w:fldChar w:fldCharType="begin"/>
            </w:r>
            <w:r w:rsidR="00271D4A">
              <w:rPr>
                <w:noProof/>
                <w:webHidden/>
              </w:rPr>
              <w:instrText xml:space="preserve"> PAGEREF _Toc36132090 \h </w:instrText>
            </w:r>
            <w:r w:rsidR="00271D4A">
              <w:rPr>
                <w:noProof/>
                <w:webHidden/>
              </w:rPr>
            </w:r>
            <w:r w:rsidR="00271D4A">
              <w:rPr>
                <w:noProof/>
                <w:webHidden/>
              </w:rPr>
              <w:fldChar w:fldCharType="separate"/>
            </w:r>
            <w:r w:rsidR="00DF3FBE">
              <w:rPr>
                <w:noProof/>
                <w:webHidden/>
              </w:rPr>
              <w:t>6</w:t>
            </w:r>
            <w:r w:rsidR="00271D4A">
              <w:rPr>
                <w:noProof/>
                <w:webHidden/>
              </w:rPr>
              <w:fldChar w:fldCharType="end"/>
            </w:r>
          </w:hyperlink>
        </w:p>
        <w:p w14:paraId="21E62DBD" w14:textId="185938D6" w:rsidR="00271D4A" w:rsidRDefault="00C50738">
          <w:pPr>
            <w:pStyle w:val="TDC1"/>
            <w:rPr>
              <w:rFonts w:asciiTheme="minorHAnsi" w:eastAsiaTheme="minorEastAsia" w:hAnsiTheme="minorHAnsi" w:cstheme="minorBidi"/>
              <w:b w:val="0"/>
              <w:noProof/>
              <w:sz w:val="22"/>
              <w:szCs w:val="22"/>
              <w:lang w:val="en-US"/>
            </w:rPr>
          </w:pPr>
          <w:hyperlink w:anchor="_Toc36132091" w:history="1">
            <w:r w:rsidR="00271D4A" w:rsidRPr="00ED466D">
              <w:rPr>
                <w:rStyle w:val="Hipervnculo"/>
                <w:noProof/>
              </w:rPr>
              <w:t>V. RECONOCIMIENTO DE RESPONSABILIDAD</w:t>
            </w:r>
            <w:r w:rsidR="00271D4A">
              <w:rPr>
                <w:noProof/>
                <w:webHidden/>
              </w:rPr>
              <w:tab/>
            </w:r>
            <w:r w:rsidR="00271D4A">
              <w:rPr>
                <w:noProof/>
                <w:webHidden/>
              </w:rPr>
              <w:fldChar w:fldCharType="begin"/>
            </w:r>
            <w:r w:rsidR="00271D4A">
              <w:rPr>
                <w:noProof/>
                <w:webHidden/>
              </w:rPr>
              <w:instrText xml:space="preserve"> PAGEREF _Toc36132091 \h </w:instrText>
            </w:r>
            <w:r w:rsidR="00271D4A">
              <w:rPr>
                <w:noProof/>
                <w:webHidden/>
              </w:rPr>
            </w:r>
            <w:r w:rsidR="00271D4A">
              <w:rPr>
                <w:noProof/>
                <w:webHidden/>
              </w:rPr>
              <w:fldChar w:fldCharType="separate"/>
            </w:r>
            <w:r w:rsidR="00DF3FBE">
              <w:rPr>
                <w:noProof/>
                <w:webHidden/>
              </w:rPr>
              <w:t>7</w:t>
            </w:r>
            <w:r w:rsidR="00271D4A">
              <w:rPr>
                <w:noProof/>
                <w:webHidden/>
              </w:rPr>
              <w:fldChar w:fldCharType="end"/>
            </w:r>
          </w:hyperlink>
        </w:p>
        <w:p w14:paraId="16755D0A" w14:textId="67DB7265" w:rsidR="00271D4A" w:rsidRDefault="00C50738">
          <w:pPr>
            <w:pStyle w:val="TDC2"/>
            <w:rPr>
              <w:rFonts w:asciiTheme="minorHAnsi" w:eastAsiaTheme="minorEastAsia" w:hAnsiTheme="minorHAnsi" w:cstheme="minorBidi"/>
              <w:noProof/>
              <w:sz w:val="22"/>
              <w:szCs w:val="22"/>
              <w:lang w:val="en-US"/>
            </w:rPr>
          </w:pPr>
          <w:hyperlink w:anchor="_Toc36132092" w:history="1">
            <w:r w:rsidR="00271D4A" w:rsidRPr="00ED466D">
              <w:rPr>
                <w:rStyle w:val="Hipervnculo"/>
                <w:b/>
                <w:i/>
                <w:noProof/>
                <w:snapToGrid w:val="0"/>
                <w:spacing w:val="-2"/>
                <w:lang w:eastAsia="es-ES"/>
              </w:rPr>
              <w:t>A.</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eastAsia="es-ES"/>
              </w:rPr>
              <w:t>Observaciones de las partes y de la Comisión</w:t>
            </w:r>
            <w:r w:rsidR="00271D4A">
              <w:rPr>
                <w:noProof/>
                <w:webHidden/>
              </w:rPr>
              <w:tab/>
            </w:r>
            <w:r w:rsidR="00271D4A">
              <w:rPr>
                <w:noProof/>
                <w:webHidden/>
              </w:rPr>
              <w:fldChar w:fldCharType="begin"/>
            </w:r>
            <w:r w:rsidR="00271D4A">
              <w:rPr>
                <w:noProof/>
                <w:webHidden/>
              </w:rPr>
              <w:instrText xml:space="preserve"> PAGEREF _Toc36132092 \h </w:instrText>
            </w:r>
            <w:r w:rsidR="00271D4A">
              <w:rPr>
                <w:noProof/>
                <w:webHidden/>
              </w:rPr>
            </w:r>
            <w:r w:rsidR="00271D4A">
              <w:rPr>
                <w:noProof/>
                <w:webHidden/>
              </w:rPr>
              <w:fldChar w:fldCharType="separate"/>
            </w:r>
            <w:r w:rsidR="00DF3FBE">
              <w:rPr>
                <w:noProof/>
                <w:webHidden/>
              </w:rPr>
              <w:t>7</w:t>
            </w:r>
            <w:r w:rsidR="00271D4A">
              <w:rPr>
                <w:noProof/>
                <w:webHidden/>
              </w:rPr>
              <w:fldChar w:fldCharType="end"/>
            </w:r>
          </w:hyperlink>
        </w:p>
        <w:p w14:paraId="2F7F1702" w14:textId="3D7FA3A6" w:rsidR="00271D4A" w:rsidRDefault="00C50738">
          <w:pPr>
            <w:pStyle w:val="TDC2"/>
            <w:rPr>
              <w:rFonts w:asciiTheme="minorHAnsi" w:eastAsiaTheme="minorEastAsia" w:hAnsiTheme="minorHAnsi" w:cstheme="minorBidi"/>
              <w:noProof/>
              <w:sz w:val="22"/>
              <w:szCs w:val="22"/>
              <w:lang w:val="en-US"/>
            </w:rPr>
          </w:pPr>
          <w:hyperlink w:anchor="_Toc36132093" w:history="1">
            <w:r w:rsidR="00271D4A" w:rsidRPr="00ED466D">
              <w:rPr>
                <w:rStyle w:val="Hipervnculo"/>
                <w:b/>
                <w:i/>
                <w:noProof/>
                <w:snapToGrid w:val="0"/>
                <w:spacing w:val="-2"/>
                <w:lang w:eastAsia="es-ES"/>
              </w:rPr>
              <w:t>B.</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eastAsia="es-ES"/>
              </w:rPr>
              <w:t>Consideraciones de la Corte</w:t>
            </w:r>
            <w:r w:rsidR="00271D4A">
              <w:rPr>
                <w:noProof/>
                <w:webHidden/>
              </w:rPr>
              <w:tab/>
            </w:r>
            <w:r w:rsidR="00271D4A">
              <w:rPr>
                <w:noProof/>
                <w:webHidden/>
              </w:rPr>
              <w:fldChar w:fldCharType="begin"/>
            </w:r>
            <w:r w:rsidR="00271D4A">
              <w:rPr>
                <w:noProof/>
                <w:webHidden/>
              </w:rPr>
              <w:instrText xml:space="preserve"> PAGEREF _Toc36132093 \h </w:instrText>
            </w:r>
            <w:r w:rsidR="00271D4A">
              <w:rPr>
                <w:noProof/>
                <w:webHidden/>
              </w:rPr>
            </w:r>
            <w:r w:rsidR="00271D4A">
              <w:rPr>
                <w:noProof/>
                <w:webHidden/>
              </w:rPr>
              <w:fldChar w:fldCharType="separate"/>
            </w:r>
            <w:r w:rsidR="00DF3FBE">
              <w:rPr>
                <w:noProof/>
                <w:webHidden/>
              </w:rPr>
              <w:t>8</w:t>
            </w:r>
            <w:r w:rsidR="00271D4A">
              <w:rPr>
                <w:noProof/>
                <w:webHidden/>
              </w:rPr>
              <w:fldChar w:fldCharType="end"/>
            </w:r>
          </w:hyperlink>
        </w:p>
        <w:p w14:paraId="39A2816B" w14:textId="32BA4C92" w:rsidR="00271D4A" w:rsidRDefault="00C50738">
          <w:pPr>
            <w:pStyle w:val="TDC3"/>
            <w:rPr>
              <w:rFonts w:asciiTheme="minorHAnsi" w:eastAsiaTheme="minorEastAsia" w:hAnsiTheme="minorHAnsi" w:cstheme="minorBidi"/>
              <w:noProof/>
              <w:sz w:val="22"/>
              <w:szCs w:val="22"/>
              <w:lang w:val="en-US"/>
            </w:rPr>
          </w:pPr>
          <w:hyperlink w:anchor="_Toc36132094" w:history="1">
            <w:r w:rsidR="00271D4A" w:rsidRPr="00ED466D">
              <w:rPr>
                <w:rStyle w:val="Hipervnculo"/>
                <w:i/>
                <w:noProof/>
                <w:lang w:val="es-CO"/>
              </w:rPr>
              <w:t xml:space="preserve">B.1. En </w:t>
            </w:r>
            <w:r w:rsidR="00271D4A" w:rsidRPr="00ED466D">
              <w:rPr>
                <w:rStyle w:val="Hipervnculo"/>
                <w:i/>
                <w:noProof/>
                <w:lang w:val="es-CR" w:eastAsia="es-ES"/>
              </w:rPr>
              <w:t>cuanto</w:t>
            </w:r>
            <w:r w:rsidR="00271D4A" w:rsidRPr="00ED466D">
              <w:rPr>
                <w:rStyle w:val="Hipervnculo"/>
                <w:i/>
                <w:noProof/>
                <w:lang w:val="es-CO"/>
              </w:rPr>
              <w:t xml:space="preserve"> a los hechos</w:t>
            </w:r>
            <w:r w:rsidR="00271D4A">
              <w:rPr>
                <w:noProof/>
                <w:webHidden/>
              </w:rPr>
              <w:tab/>
            </w:r>
            <w:r w:rsidR="00271D4A">
              <w:rPr>
                <w:noProof/>
                <w:webHidden/>
              </w:rPr>
              <w:fldChar w:fldCharType="begin"/>
            </w:r>
            <w:r w:rsidR="00271D4A">
              <w:rPr>
                <w:noProof/>
                <w:webHidden/>
              </w:rPr>
              <w:instrText xml:space="preserve"> PAGEREF _Toc36132094 \h </w:instrText>
            </w:r>
            <w:r w:rsidR="00271D4A">
              <w:rPr>
                <w:noProof/>
                <w:webHidden/>
              </w:rPr>
            </w:r>
            <w:r w:rsidR="00271D4A">
              <w:rPr>
                <w:noProof/>
                <w:webHidden/>
              </w:rPr>
              <w:fldChar w:fldCharType="separate"/>
            </w:r>
            <w:r w:rsidR="00DF3FBE">
              <w:rPr>
                <w:noProof/>
                <w:webHidden/>
              </w:rPr>
              <w:t>8</w:t>
            </w:r>
            <w:r w:rsidR="00271D4A">
              <w:rPr>
                <w:noProof/>
                <w:webHidden/>
              </w:rPr>
              <w:fldChar w:fldCharType="end"/>
            </w:r>
          </w:hyperlink>
        </w:p>
        <w:p w14:paraId="2A4BA99C" w14:textId="30F4E579" w:rsidR="00271D4A" w:rsidRDefault="00C50738">
          <w:pPr>
            <w:pStyle w:val="TDC3"/>
            <w:rPr>
              <w:rFonts w:asciiTheme="minorHAnsi" w:eastAsiaTheme="minorEastAsia" w:hAnsiTheme="minorHAnsi" w:cstheme="minorBidi"/>
              <w:noProof/>
              <w:sz w:val="22"/>
              <w:szCs w:val="22"/>
              <w:lang w:val="en-US"/>
            </w:rPr>
          </w:pPr>
          <w:hyperlink w:anchor="_Toc36132095" w:history="1">
            <w:r w:rsidR="00271D4A" w:rsidRPr="00ED466D">
              <w:rPr>
                <w:rStyle w:val="Hipervnculo"/>
                <w:i/>
                <w:noProof/>
                <w:lang w:val="es-CO"/>
              </w:rPr>
              <w:t>B.2. En cuanto a las pretensiones de derecho</w:t>
            </w:r>
            <w:r w:rsidR="00271D4A">
              <w:rPr>
                <w:noProof/>
                <w:webHidden/>
              </w:rPr>
              <w:tab/>
            </w:r>
            <w:r w:rsidR="00271D4A">
              <w:rPr>
                <w:noProof/>
                <w:webHidden/>
              </w:rPr>
              <w:fldChar w:fldCharType="begin"/>
            </w:r>
            <w:r w:rsidR="00271D4A">
              <w:rPr>
                <w:noProof/>
                <w:webHidden/>
              </w:rPr>
              <w:instrText xml:space="preserve"> PAGEREF _Toc36132095 \h </w:instrText>
            </w:r>
            <w:r w:rsidR="00271D4A">
              <w:rPr>
                <w:noProof/>
                <w:webHidden/>
              </w:rPr>
            </w:r>
            <w:r w:rsidR="00271D4A">
              <w:rPr>
                <w:noProof/>
                <w:webHidden/>
              </w:rPr>
              <w:fldChar w:fldCharType="separate"/>
            </w:r>
            <w:r w:rsidR="00DF3FBE">
              <w:rPr>
                <w:noProof/>
                <w:webHidden/>
              </w:rPr>
              <w:t>8</w:t>
            </w:r>
            <w:r w:rsidR="00271D4A">
              <w:rPr>
                <w:noProof/>
                <w:webHidden/>
              </w:rPr>
              <w:fldChar w:fldCharType="end"/>
            </w:r>
          </w:hyperlink>
        </w:p>
        <w:p w14:paraId="33B680F1" w14:textId="2372690A" w:rsidR="00271D4A" w:rsidRDefault="00C50738">
          <w:pPr>
            <w:pStyle w:val="TDC3"/>
            <w:rPr>
              <w:rFonts w:asciiTheme="minorHAnsi" w:eastAsiaTheme="minorEastAsia" w:hAnsiTheme="minorHAnsi" w:cstheme="minorBidi"/>
              <w:noProof/>
              <w:sz w:val="22"/>
              <w:szCs w:val="22"/>
              <w:lang w:val="en-US"/>
            </w:rPr>
          </w:pPr>
          <w:hyperlink w:anchor="_Toc36132096" w:history="1">
            <w:r w:rsidR="00271D4A" w:rsidRPr="00ED466D">
              <w:rPr>
                <w:rStyle w:val="Hipervnculo"/>
                <w:i/>
                <w:noProof/>
                <w:lang w:val="es-CO"/>
              </w:rPr>
              <w:t>B.3. En cuanto a las reparaciones</w:t>
            </w:r>
            <w:r w:rsidR="00271D4A">
              <w:rPr>
                <w:noProof/>
                <w:webHidden/>
              </w:rPr>
              <w:tab/>
            </w:r>
            <w:r w:rsidR="00271D4A">
              <w:rPr>
                <w:noProof/>
                <w:webHidden/>
              </w:rPr>
              <w:fldChar w:fldCharType="begin"/>
            </w:r>
            <w:r w:rsidR="00271D4A">
              <w:rPr>
                <w:noProof/>
                <w:webHidden/>
              </w:rPr>
              <w:instrText xml:space="preserve"> PAGEREF _Toc36132096 \h </w:instrText>
            </w:r>
            <w:r w:rsidR="00271D4A">
              <w:rPr>
                <w:noProof/>
                <w:webHidden/>
              </w:rPr>
            </w:r>
            <w:r w:rsidR="00271D4A">
              <w:rPr>
                <w:noProof/>
                <w:webHidden/>
              </w:rPr>
              <w:fldChar w:fldCharType="separate"/>
            </w:r>
            <w:r w:rsidR="00DF3FBE">
              <w:rPr>
                <w:noProof/>
                <w:webHidden/>
              </w:rPr>
              <w:t>9</w:t>
            </w:r>
            <w:r w:rsidR="00271D4A">
              <w:rPr>
                <w:noProof/>
                <w:webHidden/>
              </w:rPr>
              <w:fldChar w:fldCharType="end"/>
            </w:r>
          </w:hyperlink>
        </w:p>
        <w:p w14:paraId="7B7D6B06" w14:textId="2F9D8AE7" w:rsidR="00271D4A" w:rsidRDefault="00C50738">
          <w:pPr>
            <w:pStyle w:val="TDC3"/>
            <w:rPr>
              <w:rFonts w:asciiTheme="minorHAnsi" w:eastAsiaTheme="minorEastAsia" w:hAnsiTheme="minorHAnsi" w:cstheme="minorBidi"/>
              <w:noProof/>
              <w:sz w:val="22"/>
              <w:szCs w:val="22"/>
              <w:lang w:val="en-US"/>
            </w:rPr>
          </w:pPr>
          <w:hyperlink w:anchor="_Toc36132097" w:history="1">
            <w:r w:rsidR="00271D4A" w:rsidRPr="00ED466D">
              <w:rPr>
                <w:rStyle w:val="Hipervnculo"/>
                <w:i/>
                <w:noProof/>
                <w:spacing w:val="-2"/>
              </w:rPr>
              <w:t xml:space="preserve">B.4. </w:t>
            </w:r>
            <w:r w:rsidR="00271D4A" w:rsidRPr="00ED466D">
              <w:rPr>
                <w:rStyle w:val="Hipervnculo"/>
                <w:i/>
                <w:noProof/>
                <w:lang w:val="es-CO"/>
              </w:rPr>
              <w:t>Valoración</w:t>
            </w:r>
            <w:r w:rsidR="00271D4A" w:rsidRPr="00ED466D">
              <w:rPr>
                <w:rStyle w:val="Hipervnculo"/>
                <w:i/>
                <w:noProof/>
                <w:spacing w:val="-2"/>
              </w:rPr>
              <w:t xml:space="preserve"> del reconocimiento parcial de responsabilidad</w:t>
            </w:r>
            <w:r w:rsidR="00271D4A">
              <w:rPr>
                <w:noProof/>
                <w:webHidden/>
              </w:rPr>
              <w:tab/>
            </w:r>
            <w:r w:rsidR="00271D4A">
              <w:rPr>
                <w:noProof/>
                <w:webHidden/>
              </w:rPr>
              <w:fldChar w:fldCharType="begin"/>
            </w:r>
            <w:r w:rsidR="00271D4A">
              <w:rPr>
                <w:noProof/>
                <w:webHidden/>
              </w:rPr>
              <w:instrText xml:space="preserve"> PAGEREF _Toc36132097 \h </w:instrText>
            </w:r>
            <w:r w:rsidR="00271D4A">
              <w:rPr>
                <w:noProof/>
                <w:webHidden/>
              </w:rPr>
            </w:r>
            <w:r w:rsidR="00271D4A">
              <w:rPr>
                <w:noProof/>
                <w:webHidden/>
              </w:rPr>
              <w:fldChar w:fldCharType="separate"/>
            </w:r>
            <w:r w:rsidR="00DF3FBE">
              <w:rPr>
                <w:noProof/>
                <w:webHidden/>
              </w:rPr>
              <w:t>9</w:t>
            </w:r>
            <w:r w:rsidR="00271D4A">
              <w:rPr>
                <w:noProof/>
                <w:webHidden/>
              </w:rPr>
              <w:fldChar w:fldCharType="end"/>
            </w:r>
          </w:hyperlink>
        </w:p>
        <w:p w14:paraId="157FBE57" w14:textId="2E2CBE95" w:rsidR="00271D4A" w:rsidRDefault="00C50738">
          <w:pPr>
            <w:pStyle w:val="TDC1"/>
            <w:rPr>
              <w:rFonts w:asciiTheme="minorHAnsi" w:eastAsiaTheme="minorEastAsia" w:hAnsiTheme="minorHAnsi" w:cstheme="minorBidi"/>
              <w:b w:val="0"/>
              <w:noProof/>
              <w:sz w:val="22"/>
              <w:szCs w:val="22"/>
              <w:lang w:val="en-US"/>
            </w:rPr>
          </w:pPr>
          <w:hyperlink w:anchor="_Toc36132098" w:history="1">
            <w:r w:rsidR="00271D4A" w:rsidRPr="00ED466D">
              <w:rPr>
                <w:rStyle w:val="Hipervnculo"/>
                <w:noProof/>
              </w:rPr>
              <w:t>VI. PRUEBA</w:t>
            </w:r>
            <w:r w:rsidR="00271D4A">
              <w:rPr>
                <w:noProof/>
                <w:webHidden/>
              </w:rPr>
              <w:tab/>
            </w:r>
            <w:r w:rsidR="00271D4A">
              <w:rPr>
                <w:noProof/>
                <w:webHidden/>
              </w:rPr>
              <w:fldChar w:fldCharType="begin"/>
            </w:r>
            <w:r w:rsidR="00271D4A">
              <w:rPr>
                <w:noProof/>
                <w:webHidden/>
              </w:rPr>
              <w:instrText xml:space="preserve"> PAGEREF _Toc36132098 \h </w:instrText>
            </w:r>
            <w:r w:rsidR="00271D4A">
              <w:rPr>
                <w:noProof/>
                <w:webHidden/>
              </w:rPr>
            </w:r>
            <w:r w:rsidR="00271D4A">
              <w:rPr>
                <w:noProof/>
                <w:webHidden/>
              </w:rPr>
              <w:fldChar w:fldCharType="separate"/>
            </w:r>
            <w:r w:rsidR="00DF3FBE">
              <w:rPr>
                <w:noProof/>
                <w:webHidden/>
              </w:rPr>
              <w:t>10</w:t>
            </w:r>
            <w:r w:rsidR="00271D4A">
              <w:rPr>
                <w:noProof/>
                <w:webHidden/>
              </w:rPr>
              <w:fldChar w:fldCharType="end"/>
            </w:r>
          </w:hyperlink>
        </w:p>
        <w:p w14:paraId="60B5DE81" w14:textId="382EA3E0" w:rsidR="00271D4A" w:rsidRDefault="00C50738">
          <w:pPr>
            <w:pStyle w:val="TDC1"/>
            <w:rPr>
              <w:rFonts w:asciiTheme="minorHAnsi" w:eastAsiaTheme="minorEastAsia" w:hAnsiTheme="minorHAnsi" w:cstheme="minorBidi"/>
              <w:b w:val="0"/>
              <w:noProof/>
              <w:sz w:val="22"/>
              <w:szCs w:val="22"/>
              <w:lang w:val="en-US"/>
            </w:rPr>
          </w:pPr>
          <w:hyperlink w:anchor="_Toc36132099" w:history="1">
            <w:r w:rsidR="00271D4A" w:rsidRPr="00ED466D">
              <w:rPr>
                <w:rStyle w:val="Hipervnculo"/>
                <w:noProof/>
              </w:rPr>
              <w:t>VII. HECHOS</w:t>
            </w:r>
            <w:r w:rsidR="00271D4A">
              <w:rPr>
                <w:noProof/>
                <w:webHidden/>
              </w:rPr>
              <w:tab/>
            </w:r>
            <w:r w:rsidR="00271D4A">
              <w:rPr>
                <w:noProof/>
                <w:webHidden/>
              </w:rPr>
              <w:fldChar w:fldCharType="begin"/>
            </w:r>
            <w:r w:rsidR="00271D4A">
              <w:rPr>
                <w:noProof/>
                <w:webHidden/>
              </w:rPr>
              <w:instrText xml:space="preserve"> PAGEREF _Toc36132099 \h </w:instrText>
            </w:r>
            <w:r w:rsidR="00271D4A">
              <w:rPr>
                <w:noProof/>
                <w:webHidden/>
              </w:rPr>
            </w:r>
            <w:r w:rsidR="00271D4A">
              <w:rPr>
                <w:noProof/>
                <w:webHidden/>
              </w:rPr>
              <w:fldChar w:fldCharType="separate"/>
            </w:r>
            <w:r w:rsidR="00DF3FBE">
              <w:rPr>
                <w:noProof/>
                <w:webHidden/>
              </w:rPr>
              <w:t>11</w:t>
            </w:r>
            <w:r w:rsidR="00271D4A">
              <w:rPr>
                <w:noProof/>
                <w:webHidden/>
              </w:rPr>
              <w:fldChar w:fldCharType="end"/>
            </w:r>
          </w:hyperlink>
        </w:p>
        <w:p w14:paraId="3C25DEF8" w14:textId="03D7CB8A" w:rsidR="00271D4A" w:rsidRDefault="00C50738">
          <w:pPr>
            <w:pStyle w:val="TDC2"/>
            <w:rPr>
              <w:rFonts w:asciiTheme="minorHAnsi" w:eastAsiaTheme="minorEastAsia" w:hAnsiTheme="minorHAnsi" w:cstheme="minorBidi"/>
              <w:noProof/>
              <w:sz w:val="22"/>
              <w:szCs w:val="22"/>
              <w:lang w:val="en-US"/>
            </w:rPr>
          </w:pPr>
          <w:hyperlink w:anchor="_Toc36132100" w:history="1">
            <w:r w:rsidR="00271D4A" w:rsidRPr="00ED466D">
              <w:rPr>
                <w:rStyle w:val="Hipervnculo"/>
                <w:b/>
                <w:i/>
                <w:smallCaps/>
                <w:noProof/>
              </w:rPr>
              <w:t>A.</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eastAsia="es-ES"/>
              </w:rPr>
              <w:t>Contexto</w:t>
            </w:r>
            <w:r w:rsidR="00271D4A">
              <w:rPr>
                <w:noProof/>
                <w:webHidden/>
              </w:rPr>
              <w:tab/>
            </w:r>
            <w:r w:rsidR="00271D4A">
              <w:rPr>
                <w:noProof/>
                <w:webHidden/>
              </w:rPr>
              <w:fldChar w:fldCharType="begin"/>
            </w:r>
            <w:r w:rsidR="00271D4A">
              <w:rPr>
                <w:noProof/>
                <w:webHidden/>
              </w:rPr>
              <w:instrText xml:space="preserve"> PAGEREF _Toc36132100 \h </w:instrText>
            </w:r>
            <w:r w:rsidR="00271D4A">
              <w:rPr>
                <w:noProof/>
                <w:webHidden/>
              </w:rPr>
            </w:r>
            <w:r w:rsidR="00271D4A">
              <w:rPr>
                <w:noProof/>
                <w:webHidden/>
              </w:rPr>
              <w:fldChar w:fldCharType="separate"/>
            </w:r>
            <w:r w:rsidR="00DF3FBE">
              <w:rPr>
                <w:noProof/>
                <w:webHidden/>
              </w:rPr>
              <w:t>11</w:t>
            </w:r>
            <w:r w:rsidR="00271D4A">
              <w:rPr>
                <w:noProof/>
                <w:webHidden/>
              </w:rPr>
              <w:fldChar w:fldCharType="end"/>
            </w:r>
          </w:hyperlink>
        </w:p>
        <w:p w14:paraId="13E79D59" w14:textId="35BB498D" w:rsidR="00271D4A" w:rsidRDefault="00C50738">
          <w:pPr>
            <w:pStyle w:val="TDC2"/>
            <w:rPr>
              <w:rFonts w:asciiTheme="minorHAnsi" w:eastAsiaTheme="minorEastAsia" w:hAnsiTheme="minorHAnsi" w:cstheme="minorBidi"/>
              <w:noProof/>
              <w:sz w:val="22"/>
              <w:szCs w:val="22"/>
              <w:lang w:val="en-US"/>
            </w:rPr>
          </w:pPr>
          <w:hyperlink w:anchor="_Toc36132101" w:history="1">
            <w:r w:rsidR="00271D4A" w:rsidRPr="00ED466D">
              <w:rPr>
                <w:rStyle w:val="Hipervnculo"/>
                <w:b/>
                <w:i/>
                <w:noProof/>
                <w:snapToGrid w:val="0"/>
                <w:spacing w:val="-2"/>
                <w:lang w:eastAsia="es-ES"/>
              </w:rPr>
              <w:t>B.</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eastAsia="es-ES"/>
              </w:rPr>
              <w:t>La muerte de Vicente Noguera</w:t>
            </w:r>
            <w:r w:rsidR="00271D4A">
              <w:rPr>
                <w:noProof/>
                <w:webHidden/>
              </w:rPr>
              <w:tab/>
            </w:r>
            <w:r w:rsidR="00271D4A">
              <w:rPr>
                <w:noProof/>
                <w:webHidden/>
              </w:rPr>
              <w:fldChar w:fldCharType="begin"/>
            </w:r>
            <w:r w:rsidR="00271D4A">
              <w:rPr>
                <w:noProof/>
                <w:webHidden/>
              </w:rPr>
              <w:instrText xml:space="preserve"> PAGEREF _Toc36132101 \h </w:instrText>
            </w:r>
            <w:r w:rsidR="00271D4A">
              <w:rPr>
                <w:noProof/>
                <w:webHidden/>
              </w:rPr>
            </w:r>
            <w:r w:rsidR="00271D4A">
              <w:rPr>
                <w:noProof/>
                <w:webHidden/>
              </w:rPr>
              <w:fldChar w:fldCharType="separate"/>
            </w:r>
            <w:r w:rsidR="00DF3FBE">
              <w:rPr>
                <w:noProof/>
                <w:webHidden/>
              </w:rPr>
              <w:t>12</w:t>
            </w:r>
            <w:r w:rsidR="00271D4A">
              <w:rPr>
                <w:noProof/>
                <w:webHidden/>
              </w:rPr>
              <w:fldChar w:fldCharType="end"/>
            </w:r>
          </w:hyperlink>
        </w:p>
        <w:p w14:paraId="378C1D39" w14:textId="6BC90C6F" w:rsidR="00271D4A" w:rsidRDefault="00C50738">
          <w:pPr>
            <w:pStyle w:val="TDC2"/>
            <w:rPr>
              <w:rFonts w:asciiTheme="minorHAnsi" w:eastAsiaTheme="minorEastAsia" w:hAnsiTheme="minorHAnsi" w:cstheme="minorBidi"/>
              <w:noProof/>
              <w:sz w:val="22"/>
              <w:szCs w:val="22"/>
              <w:lang w:val="en-US"/>
            </w:rPr>
          </w:pPr>
          <w:hyperlink w:anchor="_Toc36132102" w:history="1">
            <w:r w:rsidR="00271D4A" w:rsidRPr="00ED466D">
              <w:rPr>
                <w:rStyle w:val="Hipervnculo"/>
                <w:b/>
                <w:i/>
                <w:noProof/>
                <w:snapToGrid w:val="0"/>
                <w:spacing w:val="-2"/>
                <w:lang w:eastAsia="es-ES"/>
              </w:rPr>
              <w:t>C.</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eastAsia="es-ES"/>
              </w:rPr>
              <w:t>Las Investigaciones y procesos judiciales iniciados por la muerte de Vicente Noguera</w:t>
            </w:r>
            <w:r w:rsidR="00271D4A">
              <w:rPr>
                <w:noProof/>
                <w:webHidden/>
              </w:rPr>
              <w:tab/>
            </w:r>
            <w:r w:rsidR="00271D4A">
              <w:rPr>
                <w:noProof/>
                <w:webHidden/>
              </w:rPr>
              <w:fldChar w:fldCharType="begin"/>
            </w:r>
            <w:r w:rsidR="00271D4A">
              <w:rPr>
                <w:noProof/>
                <w:webHidden/>
              </w:rPr>
              <w:instrText xml:space="preserve"> PAGEREF _Toc36132102 \h </w:instrText>
            </w:r>
            <w:r w:rsidR="00271D4A">
              <w:rPr>
                <w:noProof/>
                <w:webHidden/>
              </w:rPr>
            </w:r>
            <w:r w:rsidR="00271D4A">
              <w:rPr>
                <w:noProof/>
                <w:webHidden/>
              </w:rPr>
              <w:fldChar w:fldCharType="separate"/>
            </w:r>
            <w:r w:rsidR="00DF3FBE">
              <w:rPr>
                <w:noProof/>
                <w:webHidden/>
              </w:rPr>
              <w:t>14</w:t>
            </w:r>
            <w:r w:rsidR="00271D4A">
              <w:rPr>
                <w:noProof/>
                <w:webHidden/>
              </w:rPr>
              <w:fldChar w:fldCharType="end"/>
            </w:r>
          </w:hyperlink>
        </w:p>
        <w:p w14:paraId="1549EEE6" w14:textId="5A267B23" w:rsidR="00271D4A" w:rsidRDefault="00C50738">
          <w:pPr>
            <w:pStyle w:val="TDC3"/>
            <w:rPr>
              <w:rFonts w:asciiTheme="minorHAnsi" w:eastAsiaTheme="minorEastAsia" w:hAnsiTheme="minorHAnsi" w:cstheme="minorBidi"/>
              <w:noProof/>
              <w:sz w:val="22"/>
              <w:szCs w:val="22"/>
              <w:lang w:val="en-US"/>
            </w:rPr>
          </w:pPr>
          <w:hyperlink w:anchor="_Toc36132103" w:history="1">
            <w:r w:rsidR="00271D4A" w:rsidRPr="00ED466D">
              <w:rPr>
                <w:rStyle w:val="Hipervnculo"/>
                <w:noProof/>
                <w:snapToGrid w:val="0"/>
                <w:spacing w:val="-2"/>
                <w:lang w:eastAsia="es-ES"/>
              </w:rPr>
              <w:t>C.1. Proceso sumario ante la jurisdicción penal militar</w:t>
            </w:r>
            <w:r w:rsidR="00271D4A">
              <w:rPr>
                <w:noProof/>
                <w:webHidden/>
              </w:rPr>
              <w:tab/>
            </w:r>
            <w:r w:rsidR="00271D4A">
              <w:rPr>
                <w:noProof/>
                <w:webHidden/>
              </w:rPr>
              <w:fldChar w:fldCharType="begin"/>
            </w:r>
            <w:r w:rsidR="00271D4A">
              <w:rPr>
                <w:noProof/>
                <w:webHidden/>
              </w:rPr>
              <w:instrText xml:space="preserve"> PAGEREF _Toc36132103 \h </w:instrText>
            </w:r>
            <w:r w:rsidR="00271D4A">
              <w:rPr>
                <w:noProof/>
                <w:webHidden/>
              </w:rPr>
            </w:r>
            <w:r w:rsidR="00271D4A">
              <w:rPr>
                <w:noProof/>
                <w:webHidden/>
              </w:rPr>
              <w:fldChar w:fldCharType="separate"/>
            </w:r>
            <w:r w:rsidR="00DF3FBE">
              <w:rPr>
                <w:noProof/>
                <w:webHidden/>
              </w:rPr>
              <w:t>14</w:t>
            </w:r>
            <w:r w:rsidR="00271D4A">
              <w:rPr>
                <w:noProof/>
                <w:webHidden/>
              </w:rPr>
              <w:fldChar w:fldCharType="end"/>
            </w:r>
          </w:hyperlink>
        </w:p>
        <w:p w14:paraId="505EA334" w14:textId="1A3B56DE" w:rsidR="00271D4A" w:rsidRDefault="00C50738">
          <w:pPr>
            <w:pStyle w:val="TDC3"/>
            <w:rPr>
              <w:rFonts w:asciiTheme="minorHAnsi" w:eastAsiaTheme="minorEastAsia" w:hAnsiTheme="minorHAnsi" w:cstheme="minorBidi"/>
              <w:noProof/>
              <w:sz w:val="22"/>
              <w:szCs w:val="22"/>
              <w:lang w:val="en-US"/>
            </w:rPr>
          </w:pPr>
          <w:hyperlink w:anchor="_Toc36132104" w:history="1">
            <w:r w:rsidR="00271D4A" w:rsidRPr="00ED466D">
              <w:rPr>
                <w:rStyle w:val="Hipervnculo"/>
                <w:noProof/>
                <w:snapToGrid w:val="0"/>
                <w:spacing w:val="-2"/>
                <w:lang w:eastAsia="es-ES"/>
              </w:rPr>
              <w:t>C.2. Investigación y proceso ante la jurisdicción ordinaria</w:t>
            </w:r>
            <w:r w:rsidR="00271D4A">
              <w:rPr>
                <w:noProof/>
                <w:webHidden/>
              </w:rPr>
              <w:tab/>
            </w:r>
            <w:r w:rsidR="00271D4A">
              <w:rPr>
                <w:noProof/>
                <w:webHidden/>
              </w:rPr>
              <w:fldChar w:fldCharType="begin"/>
            </w:r>
            <w:r w:rsidR="00271D4A">
              <w:rPr>
                <w:noProof/>
                <w:webHidden/>
              </w:rPr>
              <w:instrText xml:space="preserve"> PAGEREF _Toc36132104 \h </w:instrText>
            </w:r>
            <w:r w:rsidR="00271D4A">
              <w:rPr>
                <w:noProof/>
                <w:webHidden/>
              </w:rPr>
            </w:r>
            <w:r w:rsidR="00271D4A">
              <w:rPr>
                <w:noProof/>
                <w:webHidden/>
              </w:rPr>
              <w:fldChar w:fldCharType="separate"/>
            </w:r>
            <w:r w:rsidR="00DF3FBE">
              <w:rPr>
                <w:noProof/>
                <w:webHidden/>
              </w:rPr>
              <w:t>15</w:t>
            </w:r>
            <w:r w:rsidR="00271D4A">
              <w:rPr>
                <w:noProof/>
                <w:webHidden/>
              </w:rPr>
              <w:fldChar w:fldCharType="end"/>
            </w:r>
          </w:hyperlink>
        </w:p>
        <w:p w14:paraId="59A7DDD4" w14:textId="604A088B" w:rsidR="00271D4A" w:rsidRDefault="00C50738">
          <w:pPr>
            <w:pStyle w:val="TDC1"/>
            <w:rPr>
              <w:rFonts w:asciiTheme="minorHAnsi" w:eastAsiaTheme="minorEastAsia" w:hAnsiTheme="minorHAnsi" w:cstheme="minorBidi"/>
              <w:b w:val="0"/>
              <w:noProof/>
              <w:sz w:val="22"/>
              <w:szCs w:val="22"/>
              <w:lang w:val="en-US"/>
            </w:rPr>
          </w:pPr>
          <w:hyperlink w:anchor="_Toc36132105" w:history="1">
            <w:r w:rsidR="00271D4A" w:rsidRPr="00ED466D">
              <w:rPr>
                <w:rStyle w:val="Hipervnculo"/>
                <w:noProof/>
              </w:rPr>
              <w:t>VIII. FONDO</w:t>
            </w:r>
            <w:r w:rsidR="00271D4A">
              <w:rPr>
                <w:noProof/>
                <w:webHidden/>
              </w:rPr>
              <w:tab/>
            </w:r>
            <w:r w:rsidR="00271D4A">
              <w:rPr>
                <w:noProof/>
                <w:webHidden/>
              </w:rPr>
              <w:fldChar w:fldCharType="begin"/>
            </w:r>
            <w:r w:rsidR="00271D4A">
              <w:rPr>
                <w:noProof/>
                <w:webHidden/>
              </w:rPr>
              <w:instrText xml:space="preserve"> PAGEREF _Toc36132105 \h </w:instrText>
            </w:r>
            <w:r w:rsidR="00271D4A">
              <w:rPr>
                <w:noProof/>
                <w:webHidden/>
              </w:rPr>
            </w:r>
            <w:r w:rsidR="00271D4A">
              <w:rPr>
                <w:noProof/>
                <w:webHidden/>
              </w:rPr>
              <w:fldChar w:fldCharType="separate"/>
            </w:r>
            <w:r w:rsidR="00DF3FBE">
              <w:rPr>
                <w:noProof/>
                <w:webHidden/>
              </w:rPr>
              <w:t>17</w:t>
            </w:r>
            <w:r w:rsidR="00271D4A">
              <w:rPr>
                <w:noProof/>
                <w:webHidden/>
              </w:rPr>
              <w:fldChar w:fldCharType="end"/>
            </w:r>
          </w:hyperlink>
        </w:p>
        <w:p w14:paraId="17F5E2FD" w14:textId="32939780" w:rsidR="00271D4A" w:rsidRDefault="00C50738">
          <w:pPr>
            <w:pStyle w:val="TDC1"/>
            <w:rPr>
              <w:rFonts w:asciiTheme="minorHAnsi" w:eastAsiaTheme="minorEastAsia" w:hAnsiTheme="minorHAnsi" w:cstheme="minorBidi"/>
              <w:b w:val="0"/>
              <w:noProof/>
              <w:sz w:val="22"/>
              <w:szCs w:val="22"/>
              <w:lang w:val="en-US"/>
            </w:rPr>
          </w:pPr>
          <w:hyperlink w:anchor="_Toc36132106" w:history="1">
            <w:r w:rsidR="00271D4A" w:rsidRPr="00ED466D">
              <w:rPr>
                <w:rStyle w:val="Hipervnculo"/>
                <w:noProof/>
              </w:rPr>
              <w:t>VIII.1. DERECHOS A LA VIDA, A LA INTEGRIDAD PERSONAL Y DERECHOS DEL NIÑO (ARTÍCULOS 4, 5 Y 19 DE LA CONVENCIÓN AMERICANA)</w:t>
            </w:r>
            <w:r w:rsidR="00271D4A">
              <w:rPr>
                <w:noProof/>
                <w:webHidden/>
              </w:rPr>
              <w:tab/>
            </w:r>
            <w:r w:rsidR="00271D4A">
              <w:rPr>
                <w:noProof/>
                <w:webHidden/>
              </w:rPr>
              <w:fldChar w:fldCharType="begin"/>
            </w:r>
            <w:r w:rsidR="00271D4A">
              <w:rPr>
                <w:noProof/>
                <w:webHidden/>
              </w:rPr>
              <w:instrText xml:space="preserve"> PAGEREF _Toc36132106 \h </w:instrText>
            </w:r>
            <w:r w:rsidR="00271D4A">
              <w:rPr>
                <w:noProof/>
                <w:webHidden/>
              </w:rPr>
            </w:r>
            <w:r w:rsidR="00271D4A">
              <w:rPr>
                <w:noProof/>
                <w:webHidden/>
              </w:rPr>
              <w:fldChar w:fldCharType="separate"/>
            </w:r>
            <w:r w:rsidR="00DF3FBE">
              <w:rPr>
                <w:noProof/>
                <w:webHidden/>
              </w:rPr>
              <w:t>17</w:t>
            </w:r>
            <w:r w:rsidR="00271D4A">
              <w:rPr>
                <w:noProof/>
                <w:webHidden/>
              </w:rPr>
              <w:fldChar w:fldCharType="end"/>
            </w:r>
          </w:hyperlink>
        </w:p>
        <w:p w14:paraId="4F11B6A3" w14:textId="07C5C645" w:rsidR="00271D4A" w:rsidRDefault="00C50738">
          <w:pPr>
            <w:pStyle w:val="TDC2"/>
            <w:rPr>
              <w:rFonts w:asciiTheme="minorHAnsi" w:eastAsiaTheme="minorEastAsia" w:hAnsiTheme="minorHAnsi" w:cstheme="minorBidi"/>
              <w:noProof/>
              <w:sz w:val="22"/>
              <w:szCs w:val="22"/>
              <w:lang w:val="en-US"/>
            </w:rPr>
          </w:pPr>
          <w:hyperlink w:anchor="_Toc36132107" w:history="1">
            <w:r w:rsidR="00271D4A" w:rsidRPr="00ED466D">
              <w:rPr>
                <w:rStyle w:val="Hipervnculo"/>
                <w:b/>
                <w:i/>
                <w:noProof/>
                <w:snapToGrid w:val="0"/>
                <w:spacing w:val="-2"/>
                <w:lang w:eastAsia="es-ES"/>
              </w:rPr>
              <w:t>A.</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eastAsia="es-ES"/>
              </w:rPr>
              <w:t>Alegatos de las partes y de la Comisión</w:t>
            </w:r>
            <w:r w:rsidR="00271D4A">
              <w:rPr>
                <w:noProof/>
                <w:webHidden/>
              </w:rPr>
              <w:tab/>
            </w:r>
            <w:r w:rsidR="00271D4A">
              <w:rPr>
                <w:noProof/>
                <w:webHidden/>
              </w:rPr>
              <w:fldChar w:fldCharType="begin"/>
            </w:r>
            <w:r w:rsidR="00271D4A">
              <w:rPr>
                <w:noProof/>
                <w:webHidden/>
              </w:rPr>
              <w:instrText xml:space="preserve"> PAGEREF _Toc36132107 \h </w:instrText>
            </w:r>
            <w:r w:rsidR="00271D4A">
              <w:rPr>
                <w:noProof/>
                <w:webHidden/>
              </w:rPr>
            </w:r>
            <w:r w:rsidR="00271D4A">
              <w:rPr>
                <w:noProof/>
                <w:webHidden/>
              </w:rPr>
              <w:fldChar w:fldCharType="separate"/>
            </w:r>
            <w:r w:rsidR="00DF3FBE">
              <w:rPr>
                <w:noProof/>
                <w:webHidden/>
              </w:rPr>
              <w:t>17</w:t>
            </w:r>
            <w:r w:rsidR="00271D4A">
              <w:rPr>
                <w:noProof/>
                <w:webHidden/>
              </w:rPr>
              <w:fldChar w:fldCharType="end"/>
            </w:r>
          </w:hyperlink>
        </w:p>
        <w:p w14:paraId="759863ED" w14:textId="366FB2CA" w:rsidR="00271D4A" w:rsidRDefault="00C50738">
          <w:pPr>
            <w:pStyle w:val="TDC2"/>
            <w:rPr>
              <w:rFonts w:asciiTheme="minorHAnsi" w:eastAsiaTheme="minorEastAsia" w:hAnsiTheme="minorHAnsi" w:cstheme="minorBidi"/>
              <w:noProof/>
              <w:sz w:val="22"/>
              <w:szCs w:val="22"/>
              <w:lang w:val="en-US"/>
            </w:rPr>
          </w:pPr>
          <w:hyperlink w:anchor="_Toc36132108" w:history="1">
            <w:r w:rsidR="00271D4A" w:rsidRPr="00ED466D">
              <w:rPr>
                <w:rStyle w:val="Hipervnculo"/>
                <w:b/>
                <w:i/>
                <w:noProof/>
                <w:snapToGrid w:val="0"/>
                <w:spacing w:val="-2"/>
                <w:lang w:eastAsia="es-ES"/>
              </w:rPr>
              <w:t>B.</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eastAsia="es-ES"/>
              </w:rPr>
              <w:t>Consideraciones de la Corte</w:t>
            </w:r>
            <w:r w:rsidR="00271D4A">
              <w:rPr>
                <w:noProof/>
                <w:webHidden/>
              </w:rPr>
              <w:tab/>
            </w:r>
            <w:r w:rsidR="00271D4A">
              <w:rPr>
                <w:noProof/>
                <w:webHidden/>
              </w:rPr>
              <w:fldChar w:fldCharType="begin"/>
            </w:r>
            <w:r w:rsidR="00271D4A">
              <w:rPr>
                <w:noProof/>
                <w:webHidden/>
              </w:rPr>
              <w:instrText xml:space="preserve"> PAGEREF _Toc36132108 \h </w:instrText>
            </w:r>
            <w:r w:rsidR="00271D4A">
              <w:rPr>
                <w:noProof/>
                <w:webHidden/>
              </w:rPr>
            </w:r>
            <w:r w:rsidR="00271D4A">
              <w:rPr>
                <w:noProof/>
                <w:webHidden/>
              </w:rPr>
              <w:fldChar w:fldCharType="separate"/>
            </w:r>
            <w:r w:rsidR="00DF3FBE">
              <w:rPr>
                <w:noProof/>
                <w:webHidden/>
              </w:rPr>
              <w:t>18</w:t>
            </w:r>
            <w:r w:rsidR="00271D4A">
              <w:rPr>
                <w:noProof/>
                <w:webHidden/>
              </w:rPr>
              <w:fldChar w:fldCharType="end"/>
            </w:r>
          </w:hyperlink>
        </w:p>
        <w:p w14:paraId="723E7DB2" w14:textId="5FCA4028" w:rsidR="00271D4A" w:rsidRDefault="00C50738">
          <w:pPr>
            <w:pStyle w:val="TDC3"/>
            <w:rPr>
              <w:rFonts w:asciiTheme="minorHAnsi" w:eastAsiaTheme="minorEastAsia" w:hAnsiTheme="minorHAnsi" w:cstheme="minorBidi"/>
              <w:noProof/>
              <w:sz w:val="22"/>
              <w:szCs w:val="22"/>
              <w:lang w:val="en-US"/>
            </w:rPr>
          </w:pPr>
          <w:hyperlink w:anchor="_Toc36132109" w:history="1">
            <w:r w:rsidR="00271D4A" w:rsidRPr="00ED466D">
              <w:rPr>
                <w:rStyle w:val="Hipervnculo"/>
                <w:noProof/>
                <w:snapToGrid w:val="0"/>
                <w:spacing w:val="-2"/>
                <w:lang w:eastAsia="es-ES"/>
              </w:rPr>
              <w:t>B.1. La responsabilidad del Estado por no haber aclarado las circunstancias en las que se produjo la muerte de Vicente Noguera</w:t>
            </w:r>
            <w:r w:rsidR="00271D4A">
              <w:rPr>
                <w:noProof/>
                <w:webHidden/>
              </w:rPr>
              <w:tab/>
            </w:r>
            <w:r w:rsidR="00271D4A">
              <w:rPr>
                <w:noProof/>
                <w:webHidden/>
              </w:rPr>
              <w:fldChar w:fldCharType="begin"/>
            </w:r>
            <w:r w:rsidR="00271D4A">
              <w:rPr>
                <w:noProof/>
                <w:webHidden/>
              </w:rPr>
              <w:instrText xml:space="preserve"> PAGEREF _Toc36132109 \h </w:instrText>
            </w:r>
            <w:r w:rsidR="00271D4A">
              <w:rPr>
                <w:noProof/>
                <w:webHidden/>
              </w:rPr>
            </w:r>
            <w:r w:rsidR="00271D4A">
              <w:rPr>
                <w:noProof/>
                <w:webHidden/>
              </w:rPr>
              <w:fldChar w:fldCharType="separate"/>
            </w:r>
            <w:r w:rsidR="00DF3FBE">
              <w:rPr>
                <w:noProof/>
                <w:webHidden/>
              </w:rPr>
              <w:t>20</w:t>
            </w:r>
            <w:r w:rsidR="00271D4A">
              <w:rPr>
                <w:noProof/>
                <w:webHidden/>
              </w:rPr>
              <w:fldChar w:fldCharType="end"/>
            </w:r>
          </w:hyperlink>
        </w:p>
        <w:p w14:paraId="62690694" w14:textId="07402175" w:rsidR="00271D4A" w:rsidRDefault="00C50738">
          <w:pPr>
            <w:pStyle w:val="TDC3"/>
            <w:rPr>
              <w:rFonts w:asciiTheme="minorHAnsi" w:eastAsiaTheme="minorEastAsia" w:hAnsiTheme="minorHAnsi" w:cstheme="minorBidi"/>
              <w:noProof/>
              <w:sz w:val="22"/>
              <w:szCs w:val="22"/>
              <w:lang w:val="en-US"/>
            </w:rPr>
          </w:pPr>
          <w:hyperlink w:anchor="_Toc36132110" w:history="1">
            <w:r w:rsidR="00271D4A" w:rsidRPr="00ED466D">
              <w:rPr>
                <w:rStyle w:val="Hipervnculo"/>
                <w:noProof/>
                <w:snapToGrid w:val="0"/>
                <w:spacing w:val="-2"/>
                <w:lang w:eastAsia="es-ES"/>
              </w:rPr>
              <w:t>B.2. La responsabilidad del Estado por los alegados malos tratos en contra de Vicente Noguera</w:t>
            </w:r>
            <w:r w:rsidR="00271D4A">
              <w:rPr>
                <w:noProof/>
                <w:webHidden/>
              </w:rPr>
              <w:tab/>
            </w:r>
            <w:r w:rsidR="00271D4A">
              <w:rPr>
                <w:noProof/>
                <w:webHidden/>
              </w:rPr>
              <w:fldChar w:fldCharType="begin"/>
            </w:r>
            <w:r w:rsidR="00271D4A">
              <w:rPr>
                <w:noProof/>
                <w:webHidden/>
              </w:rPr>
              <w:instrText xml:space="preserve"> PAGEREF _Toc36132110 \h </w:instrText>
            </w:r>
            <w:r w:rsidR="00271D4A">
              <w:rPr>
                <w:noProof/>
                <w:webHidden/>
              </w:rPr>
            </w:r>
            <w:r w:rsidR="00271D4A">
              <w:rPr>
                <w:noProof/>
                <w:webHidden/>
              </w:rPr>
              <w:fldChar w:fldCharType="separate"/>
            </w:r>
            <w:r w:rsidR="00DF3FBE">
              <w:rPr>
                <w:noProof/>
                <w:webHidden/>
              </w:rPr>
              <w:t>20</w:t>
            </w:r>
            <w:r w:rsidR="00271D4A">
              <w:rPr>
                <w:noProof/>
                <w:webHidden/>
              </w:rPr>
              <w:fldChar w:fldCharType="end"/>
            </w:r>
          </w:hyperlink>
        </w:p>
        <w:p w14:paraId="722E51C6" w14:textId="1D6FA6C9" w:rsidR="00271D4A" w:rsidRDefault="00C50738">
          <w:pPr>
            <w:pStyle w:val="TDC1"/>
            <w:rPr>
              <w:rFonts w:asciiTheme="minorHAnsi" w:eastAsiaTheme="minorEastAsia" w:hAnsiTheme="minorHAnsi" w:cstheme="minorBidi"/>
              <w:b w:val="0"/>
              <w:noProof/>
              <w:sz w:val="22"/>
              <w:szCs w:val="22"/>
              <w:lang w:val="en-US"/>
            </w:rPr>
          </w:pPr>
          <w:hyperlink w:anchor="_Toc36132111" w:history="1">
            <w:r w:rsidR="00271D4A" w:rsidRPr="00ED466D">
              <w:rPr>
                <w:rStyle w:val="Hipervnculo"/>
                <w:noProof/>
              </w:rPr>
              <w:t>VIII.2. DERECHOS A LAS GARANTÍAS JUDICIALES Y A LA PROTECCIÓN JUDICIAL  (ARTÍCULOS 1.1, 8.1 y 25 DE LA CONVENCIÓN AMERICANA)</w:t>
            </w:r>
            <w:r w:rsidR="00271D4A">
              <w:rPr>
                <w:noProof/>
                <w:webHidden/>
              </w:rPr>
              <w:tab/>
            </w:r>
            <w:r w:rsidR="00271D4A">
              <w:rPr>
                <w:noProof/>
                <w:webHidden/>
              </w:rPr>
              <w:fldChar w:fldCharType="begin"/>
            </w:r>
            <w:r w:rsidR="00271D4A">
              <w:rPr>
                <w:noProof/>
                <w:webHidden/>
              </w:rPr>
              <w:instrText xml:space="preserve"> PAGEREF _Toc36132111 \h </w:instrText>
            </w:r>
            <w:r w:rsidR="00271D4A">
              <w:rPr>
                <w:noProof/>
                <w:webHidden/>
              </w:rPr>
            </w:r>
            <w:r w:rsidR="00271D4A">
              <w:rPr>
                <w:noProof/>
                <w:webHidden/>
              </w:rPr>
              <w:fldChar w:fldCharType="separate"/>
            </w:r>
            <w:r w:rsidR="00DF3FBE">
              <w:rPr>
                <w:noProof/>
                <w:webHidden/>
              </w:rPr>
              <w:t>21</w:t>
            </w:r>
            <w:r w:rsidR="00271D4A">
              <w:rPr>
                <w:noProof/>
                <w:webHidden/>
              </w:rPr>
              <w:fldChar w:fldCharType="end"/>
            </w:r>
          </w:hyperlink>
        </w:p>
        <w:p w14:paraId="76041C5A" w14:textId="3B1122CA" w:rsidR="00271D4A" w:rsidRDefault="00C50738">
          <w:pPr>
            <w:pStyle w:val="TDC2"/>
            <w:rPr>
              <w:rFonts w:asciiTheme="minorHAnsi" w:eastAsiaTheme="minorEastAsia" w:hAnsiTheme="minorHAnsi" w:cstheme="minorBidi"/>
              <w:noProof/>
              <w:sz w:val="22"/>
              <w:szCs w:val="22"/>
              <w:lang w:val="en-US"/>
            </w:rPr>
          </w:pPr>
          <w:hyperlink w:anchor="_Toc36132112" w:history="1">
            <w:r w:rsidR="00271D4A" w:rsidRPr="00ED466D">
              <w:rPr>
                <w:rStyle w:val="Hipervnculo"/>
                <w:b/>
                <w:i/>
                <w:noProof/>
                <w:snapToGrid w:val="0"/>
                <w:spacing w:val="-2"/>
                <w:lang w:eastAsia="es-ES"/>
              </w:rPr>
              <w:t>A.</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eastAsia="es-ES"/>
              </w:rPr>
              <w:t>Alegatos de las partes y de la Comisión</w:t>
            </w:r>
            <w:r w:rsidR="00271D4A">
              <w:rPr>
                <w:noProof/>
                <w:webHidden/>
              </w:rPr>
              <w:tab/>
            </w:r>
            <w:r w:rsidR="00271D4A">
              <w:rPr>
                <w:noProof/>
                <w:webHidden/>
              </w:rPr>
              <w:fldChar w:fldCharType="begin"/>
            </w:r>
            <w:r w:rsidR="00271D4A">
              <w:rPr>
                <w:noProof/>
                <w:webHidden/>
              </w:rPr>
              <w:instrText xml:space="preserve"> PAGEREF _Toc36132112 \h </w:instrText>
            </w:r>
            <w:r w:rsidR="00271D4A">
              <w:rPr>
                <w:noProof/>
                <w:webHidden/>
              </w:rPr>
            </w:r>
            <w:r w:rsidR="00271D4A">
              <w:rPr>
                <w:noProof/>
                <w:webHidden/>
              </w:rPr>
              <w:fldChar w:fldCharType="separate"/>
            </w:r>
            <w:r w:rsidR="00DF3FBE">
              <w:rPr>
                <w:noProof/>
                <w:webHidden/>
              </w:rPr>
              <w:t>21</w:t>
            </w:r>
            <w:r w:rsidR="00271D4A">
              <w:rPr>
                <w:noProof/>
                <w:webHidden/>
              </w:rPr>
              <w:fldChar w:fldCharType="end"/>
            </w:r>
          </w:hyperlink>
        </w:p>
        <w:p w14:paraId="16C0999D" w14:textId="4423DA2C" w:rsidR="00271D4A" w:rsidRDefault="00C50738">
          <w:pPr>
            <w:pStyle w:val="TDC2"/>
            <w:rPr>
              <w:rFonts w:asciiTheme="minorHAnsi" w:eastAsiaTheme="minorEastAsia" w:hAnsiTheme="minorHAnsi" w:cstheme="minorBidi"/>
              <w:noProof/>
              <w:sz w:val="22"/>
              <w:szCs w:val="22"/>
              <w:lang w:val="en-US"/>
            </w:rPr>
          </w:pPr>
          <w:hyperlink w:anchor="_Toc36132113" w:history="1">
            <w:r w:rsidR="00271D4A" w:rsidRPr="00ED466D">
              <w:rPr>
                <w:rStyle w:val="Hipervnculo"/>
                <w:b/>
                <w:i/>
                <w:noProof/>
              </w:rPr>
              <w:t>B.</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eastAsia="es-ES"/>
              </w:rPr>
              <w:t>Consideraciones</w:t>
            </w:r>
            <w:r w:rsidR="00271D4A" w:rsidRPr="00ED466D">
              <w:rPr>
                <w:rStyle w:val="Hipervnculo"/>
                <w:b/>
                <w:i/>
                <w:noProof/>
              </w:rPr>
              <w:t xml:space="preserve"> de la Corte</w:t>
            </w:r>
            <w:r w:rsidR="00271D4A">
              <w:rPr>
                <w:noProof/>
                <w:webHidden/>
              </w:rPr>
              <w:tab/>
            </w:r>
            <w:r w:rsidR="00271D4A">
              <w:rPr>
                <w:noProof/>
                <w:webHidden/>
              </w:rPr>
              <w:fldChar w:fldCharType="begin"/>
            </w:r>
            <w:r w:rsidR="00271D4A">
              <w:rPr>
                <w:noProof/>
                <w:webHidden/>
              </w:rPr>
              <w:instrText xml:space="preserve"> PAGEREF _Toc36132113 \h </w:instrText>
            </w:r>
            <w:r w:rsidR="00271D4A">
              <w:rPr>
                <w:noProof/>
                <w:webHidden/>
              </w:rPr>
            </w:r>
            <w:r w:rsidR="00271D4A">
              <w:rPr>
                <w:noProof/>
                <w:webHidden/>
              </w:rPr>
              <w:fldChar w:fldCharType="separate"/>
            </w:r>
            <w:r w:rsidR="00DF3FBE">
              <w:rPr>
                <w:noProof/>
                <w:webHidden/>
              </w:rPr>
              <w:t>22</w:t>
            </w:r>
            <w:r w:rsidR="00271D4A">
              <w:rPr>
                <w:noProof/>
                <w:webHidden/>
              </w:rPr>
              <w:fldChar w:fldCharType="end"/>
            </w:r>
          </w:hyperlink>
        </w:p>
        <w:p w14:paraId="75D1EBAE" w14:textId="73C9D3EC" w:rsidR="00271D4A" w:rsidRDefault="00C50738">
          <w:pPr>
            <w:pStyle w:val="TDC3"/>
            <w:rPr>
              <w:rFonts w:asciiTheme="minorHAnsi" w:eastAsiaTheme="minorEastAsia" w:hAnsiTheme="minorHAnsi" w:cstheme="minorBidi"/>
              <w:noProof/>
              <w:sz w:val="22"/>
              <w:szCs w:val="22"/>
              <w:lang w:val="en-US"/>
            </w:rPr>
          </w:pPr>
          <w:hyperlink w:anchor="_Toc36132114" w:history="1">
            <w:r w:rsidR="00271D4A" w:rsidRPr="00ED466D">
              <w:rPr>
                <w:rStyle w:val="Hipervnculo"/>
                <w:noProof/>
                <w:snapToGrid w:val="0"/>
                <w:spacing w:val="-2"/>
                <w:lang w:eastAsia="es-ES"/>
              </w:rPr>
              <w:t>B.1. Sobre el principio del plazo razonable y las debidas diligencias de investigación</w:t>
            </w:r>
            <w:r w:rsidR="00271D4A">
              <w:rPr>
                <w:noProof/>
                <w:webHidden/>
              </w:rPr>
              <w:tab/>
            </w:r>
            <w:r w:rsidR="00271D4A">
              <w:rPr>
                <w:noProof/>
                <w:webHidden/>
              </w:rPr>
              <w:fldChar w:fldCharType="begin"/>
            </w:r>
            <w:r w:rsidR="00271D4A">
              <w:rPr>
                <w:noProof/>
                <w:webHidden/>
              </w:rPr>
              <w:instrText xml:space="preserve"> PAGEREF _Toc36132114 \h </w:instrText>
            </w:r>
            <w:r w:rsidR="00271D4A">
              <w:rPr>
                <w:noProof/>
                <w:webHidden/>
              </w:rPr>
            </w:r>
            <w:r w:rsidR="00271D4A">
              <w:rPr>
                <w:noProof/>
                <w:webHidden/>
              </w:rPr>
              <w:fldChar w:fldCharType="separate"/>
            </w:r>
            <w:r w:rsidR="00DF3FBE">
              <w:rPr>
                <w:noProof/>
                <w:webHidden/>
              </w:rPr>
              <w:t>23</w:t>
            </w:r>
            <w:r w:rsidR="00271D4A">
              <w:rPr>
                <w:noProof/>
                <w:webHidden/>
              </w:rPr>
              <w:fldChar w:fldCharType="end"/>
            </w:r>
          </w:hyperlink>
        </w:p>
        <w:p w14:paraId="114B75A3" w14:textId="00164537" w:rsidR="00271D4A" w:rsidRDefault="00C50738">
          <w:pPr>
            <w:pStyle w:val="TDC3"/>
            <w:rPr>
              <w:rFonts w:asciiTheme="minorHAnsi" w:eastAsiaTheme="minorEastAsia" w:hAnsiTheme="minorHAnsi" w:cstheme="minorBidi"/>
              <w:noProof/>
              <w:sz w:val="22"/>
              <w:szCs w:val="22"/>
              <w:lang w:val="en-US"/>
            </w:rPr>
          </w:pPr>
          <w:hyperlink w:anchor="_Toc36132115" w:history="1">
            <w:r w:rsidR="00271D4A" w:rsidRPr="00ED466D">
              <w:rPr>
                <w:rStyle w:val="Hipervnculo"/>
                <w:noProof/>
                <w:snapToGrid w:val="0"/>
                <w:spacing w:val="-2"/>
                <w:lang w:eastAsia="es-ES"/>
              </w:rPr>
              <w:t>B.2. Sobre el principio del juez natural</w:t>
            </w:r>
            <w:r w:rsidR="00271D4A">
              <w:rPr>
                <w:noProof/>
                <w:webHidden/>
              </w:rPr>
              <w:tab/>
            </w:r>
            <w:r w:rsidR="00271D4A">
              <w:rPr>
                <w:noProof/>
                <w:webHidden/>
              </w:rPr>
              <w:fldChar w:fldCharType="begin"/>
            </w:r>
            <w:r w:rsidR="00271D4A">
              <w:rPr>
                <w:noProof/>
                <w:webHidden/>
              </w:rPr>
              <w:instrText xml:space="preserve"> PAGEREF _Toc36132115 \h </w:instrText>
            </w:r>
            <w:r w:rsidR="00271D4A">
              <w:rPr>
                <w:noProof/>
                <w:webHidden/>
              </w:rPr>
            </w:r>
            <w:r w:rsidR="00271D4A">
              <w:rPr>
                <w:noProof/>
                <w:webHidden/>
              </w:rPr>
              <w:fldChar w:fldCharType="separate"/>
            </w:r>
            <w:r w:rsidR="00DF3FBE">
              <w:rPr>
                <w:noProof/>
                <w:webHidden/>
              </w:rPr>
              <w:t>25</w:t>
            </w:r>
            <w:r w:rsidR="00271D4A">
              <w:rPr>
                <w:noProof/>
                <w:webHidden/>
              </w:rPr>
              <w:fldChar w:fldCharType="end"/>
            </w:r>
          </w:hyperlink>
        </w:p>
        <w:p w14:paraId="16ECB8C5" w14:textId="0B2F3135" w:rsidR="00271D4A" w:rsidRDefault="00C50738">
          <w:pPr>
            <w:pStyle w:val="TDC1"/>
            <w:rPr>
              <w:rFonts w:asciiTheme="minorHAnsi" w:eastAsiaTheme="minorEastAsia" w:hAnsiTheme="minorHAnsi" w:cstheme="minorBidi"/>
              <w:b w:val="0"/>
              <w:noProof/>
              <w:sz w:val="22"/>
              <w:szCs w:val="22"/>
              <w:lang w:val="en-US"/>
            </w:rPr>
          </w:pPr>
          <w:hyperlink w:anchor="_Toc36132116" w:history="1">
            <w:r w:rsidR="00271D4A" w:rsidRPr="00ED466D">
              <w:rPr>
                <w:rStyle w:val="Hipervnculo"/>
                <w:noProof/>
              </w:rPr>
              <w:t>IX. REPARACIONES (APLICACIÓN DEL ARTÍCULO 63.1 DE LA CONVENCIÓN AMERICANA)</w:t>
            </w:r>
            <w:r w:rsidR="00271D4A">
              <w:rPr>
                <w:noProof/>
                <w:webHidden/>
              </w:rPr>
              <w:tab/>
            </w:r>
            <w:r w:rsidR="00271D4A">
              <w:rPr>
                <w:noProof/>
                <w:webHidden/>
              </w:rPr>
              <w:fldChar w:fldCharType="begin"/>
            </w:r>
            <w:r w:rsidR="00271D4A">
              <w:rPr>
                <w:noProof/>
                <w:webHidden/>
              </w:rPr>
              <w:instrText xml:space="preserve"> PAGEREF _Toc36132116 \h </w:instrText>
            </w:r>
            <w:r w:rsidR="00271D4A">
              <w:rPr>
                <w:noProof/>
                <w:webHidden/>
              </w:rPr>
            </w:r>
            <w:r w:rsidR="00271D4A">
              <w:rPr>
                <w:noProof/>
                <w:webHidden/>
              </w:rPr>
              <w:fldChar w:fldCharType="separate"/>
            </w:r>
            <w:r w:rsidR="00DF3FBE">
              <w:rPr>
                <w:noProof/>
                <w:webHidden/>
              </w:rPr>
              <w:t>25</w:t>
            </w:r>
            <w:r w:rsidR="00271D4A">
              <w:rPr>
                <w:noProof/>
                <w:webHidden/>
              </w:rPr>
              <w:fldChar w:fldCharType="end"/>
            </w:r>
          </w:hyperlink>
        </w:p>
        <w:p w14:paraId="12792D25" w14:textId="2F82ECE2" w:rsidR="00271D4A" w:rsidRDefault="00C50738">
          <w:pPr>
            <w:pStyle w:val="TDC2"/>
            <w:rPr>
              <w:rFonts w:asciiTheme="minorHAnsi" w:eastAsiaTheme="minorEastAsia" w:hAnsiTheme="minorHAnsi" w:cstheme="minorBidi"/>
              <w:noProof/>
              <w:sz w:val="22"/>
              <w:szCs w:val="22"/>
              <w:lang w:val="en-US"/>
            </w:rPr>
          </w:pPr>
          <w:hyperlink w:anchor="_Toc36132117" w:history="1">
            <w:r w:rsidR="00271D4A" w:rsidRPr="00ED466D">
              <w:rPr>
                <w:rStyle w:val="Hipervnculo"/>
                <w:b/>
                <w:i/>
                <w:noProof/>
                <w:snapToGrid w:val="0"/>
                <w:spacing w:val="-2"/>
                <w:lang w:val="es-CR" w:eastAsia="es-ES"/>
              </w:rPr>
              <w:t>A.</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Parte Lesionada</w:t>
            </w:r>
            <w:r w:rsidR="00271D4A">
              <w:rPr>
                <w:noProof/>
                <w:webHidden/>
              </w:rPr>
              <w:tab/>
            </w:r>
            <w:r w:rsidR="00271D4A">
              <w:rPr>
                <w:noProof/>
                <w:webHidden/>
              </w:rPr>
              <w:fldChar w:fldCharType="begin"/>
            </w:r>
            <w:r w:rsidR="00271D4A">
              <w:rPr>
                <w:noProof/>
                <w:webHidden/>
              </w:rPr>
              <w:instrText xml:space="preserve"> PAGEREF _Toc36132117 \h </w:instrText>
            </w:r>
            <w:r w:rsidR="00271D4A">
              <w:rPr>
                <w:noProof/>
                <w:webHidden/>
              </w:rPr>
            </w:r>
            <w:r w:rsidR="00271D4A">
              <w:rPr>
                <w:noProof/>
                <w:webHidden/>
              </w:rPr>
              <w:fldChar w:fldCharType="separate"/>
            </w:r>
            <w:r w:rsidR="00DF3FBE">
              <w:rPr>
                <w:noProof/>
                <w:webHidden/>
              </w:rPr>
              <w:t>26</w:t>
            </w:r>
            <w:r w:rsidR="00271D4A">
              <w:rPr>
                <w:noProof/>
                <w:webHidden/>
              </w:rPr>
              <w:fldChar w:fldCharType="end"/>
            </w:r>
          </w:hyperlink>
        </w:p>
        <w:p w14:paraId="4DC5942C" w14:textId="73917F46" w:rsidR="00271D4A" w:rsidRDefault="00C50738">
          <w:pPr>
            <w:pStyle w:val="TDC2"/>
            <w:rPr>
              <w:rFonts w:asciiTheme="minorHAnsi" w:eastAsiaTheme="minorEastAsia" w:hAnsiTheme="minorHAnsi" w:cstheme="minorBidi"/>
              <w:noProof/>
              <w:sz w:val="22"/>
              <w:szCs w:val="22"/>
              <w:lang w:val="en-US"/>
            </w:rPr>
          </w:pPr>
          <w:hyperlink w:anchor="_Toc36132118" w:history="1">
            <w:r w:rsidR="00271D4A" w:rsidRPr="00ED466D">
              <w:rPr>
                <w:rStyle w:val="Hipervnculo"/>
                <w:b/>
                <w:i/>
                <w:noProof/>
                <w:snapToGrid w:val="0"/>
                <w:spacing w:val="-2"/>
                <w:lang w:val="es-CR" w:eastAsia="es-ES"/>
              </w:rPr>
              <w:t>B.</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Obligación de investigar los hechos e identificar, y en su caso, juzgar y sancionar a todos los responsables</w:t>
            </w:r>
            <w:r w:rsidR="00271D4A">
              <w:rPr>
                <w:noProof/>
                <w:webHidden/>
              </w:rPr>
              <w:tab/>
            </w:r>
            <w:r w:rsidR="00271D4A">
              <w:rPr>
                <w:noProof/>
                <w:webHidden/>
              </w:rPr>
              <w:fldChar w:fldCharType="begin"/>
            </w:r>
            <w:r w:rsidR="00271D4A">
              <w:rPr>
                <w:noProof/>
                <w:webHidden/>
              </w:rPr>
              <w:instrText xml:space="preserve"> PAGEREF _Toc36132118 \h </w:instrText>
            </w:r>
            <w:r w:rsidR="00271D4A">
              <w:rPr>
                <w:noProof/>
                <w:webHidden/>
              </w:rPr>
            </w:r>
            <w:r w:rsidR="00271D4A">
              <w:rPr>
                <w:noProof/>
                <w:webHidden/>
              </w:rPr>
              <w:fldChar w:fldCharType="separate"/>
            </w:r>
            <w:r w:rsidR="00DF3FBE">
              <w:rPr>
                <w:noProof/>
                <w:webHidden/>
              </w:rPr>
              <w:t>26</w:t>
            </w:r>
            <w:r w:rsidR="00271D4A">
              <w:rPr>
                <w:noProof/>
                <w:webHidden/>
              </w:rPr>
              <w:fldChar w:fldCharType="end"/>
            </w:r>
          </w:hyperlink>
        </w:p>
        <w:p w14:paraId="2FD22A83" w14:textId="5566D930" w:rsidR="00271D4A" w:rsidRDefault="00C50738">
          <w:pPr>
            <w:pStyle w:val="TDC2"/>
            <w:rPr>
              <w:rFonts w:asciiTheme="minorHAnsi" w:eastAsiaTheme="minorEastAsia" w:hAnsiTheme="minorHAnsi" w:cstheme="minorBidi"/>
              <w:noProof/>
              <w:sz w:val="22"/>
              <w:szCs w:val="22"/>
              <w:lang w:val="en-US"/>
            </w:rPr>
          </w:pPr>
          <w:hyperlink w:anchor="_Toc36132119" w:history="1">
            <w:r w:rsidR="00271D4A" w:rsidRPr="00ED466D">
              <w:rPr>
                <w:rStyle w:val="Hipervnculo"/>
                <w:b/>
                <w:i/>
                <w:noProof/>
                <w:snapToGrid w:val="0"/>
                <w:spacing w:val="-2"/>
                <w:lang w:val="es-CR" w:eastAsia="es-ES"/>
              </w:rPr>
              <w:t>C.</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Medidas de rehabilitación</w:t>
            </w:r>
            <w:r w:rsidR="00271D4A">
              <w:rPr>
                <w:noProof/>
                <w:webHidden/>
              </w:rPr>
              <w:tab/>
            </w:r>
            <w:r w:rsidR="00271D4A">
              <w:rPr>
                <w:noProof/>
                <w:webHidden/>
              </w:rPr>
              <w:fldChar w:fldCharType="begin"/>
            </w:r>
            <w:r w:rsidR="00271D4A">
              <w:rPr>
                <w:noProof/>
                <w:webHidden/>
              </w:rPr>
              <w:instrText xml:space="preserve"> PAGEREF _Toc36132119 \h </w:instrText>
            </w:r>
            <w:r w:rsidR="00271D4A">
              <w:rPr>
                <w:noProof/>
                <w:webHidden/>
              </w:rPr>
            </w:r>
            <w:r w:rsidR="00271D4A">
              <w:rPr>
                <w:noProof/>
                <w:webHidden/>
              </w:rPr>
              <w:fldChar w:fldCharType="separate"/>
            </w:r>
            <w:r w:rsidR="00DF3FBE">
              <w:rPr>
                <w:noProof/>
                <w:webHidden/>
              </w:rPr>
              <w:t>26</w:t>
            </w:r>
            <w:r w:rsidR="00271D4A">
              <w:rPr>
                <w:noProof/>
                <w:webHidden/>
              </w:rPr>
              <w:fldChar w:fldCharType="end"/>
            </w:r>
          </w:hyperlink>
        </w:p>
        <w:p w14:paraId="2CB5A4DB" w14:textId="4F58658F" w:rsidR="00271D4A" w:rsidRDefault="00C50738">
          <w:pPr>
            <w:pStyle w:val="TDC2"/>
            <w:rPr>
              <w:rFonts w:asciiTheme="minorHAnsi" w:eastAsiaTheme="minorEastAsia" w:hAnsiTheme="minorHAnsi" w:cstheme="minorBidi"/>
              <w:noProof/>
              <w:sz w:val="22"/>
              <w:szCs w:val="22"/>
              <w:lang w:val="en-US"/>
            </w:rPr>
          </w:pPr>
          <w:hyperlink w:anchor="_Toc36132120" w:history="1">
            <w:r w:rsidR="00271D4A" w:rsidRPr="00ED466D">
              <w:rPr>
                <w:rStyle w:val="Hipervnculo"/>
                <w:b/>
                <w:i/>
                <w:noProof/>
                <w:snapToGrid w:val="0"/>
                <w:spacing w:val="-2"/>
                <w:lang w:val="es-CR" w:eastAsia="es-ES"/>
              </w:rPr>
              <w:t>D.</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Medidas de satisfacción</w:t>
            </w:r>
            <w:r w:rsidR="00271D4A">
              <w:rPr>
                <w:noProof/>
                <w:webHidden/>
              </w:rPr>
              <w:tab/>
            </w:r>
            <w:r w:rsidR="00271D4A">
              <w:rPr>
                <w:noProof/>
                <w:webHidden/>
              </w:rPr>
              <w:fldChar w:fldCharType="begin"/>
            </w:r>
            <w:r w:rsidR="00271D4A">
              <w:rPr>
                <w:noProof/>
                <w:webHidden/>
              </w:rPr>
              <w:instrText xml:space="preserve"> PAGEREF _Toc36132120 \h </w:instrText>
            </w:r>
            <w:r w:rsidR="00271D4A">
              <w:rPr>
                <w:noProof/>
                <w:webHidden/>
              </w:rPr>
            </w:r>
            <w:r w:rsidR="00271D4A">
              <w:rPr>
                <w:noProof/>
                <w:webHidden/>
              </w:rPr>
              <w:fldChar w:fldCharType="separate"/>
            </w:r>
            <w:r w:rsidR="00DF3FBE">
              <w:rPr>
                <w:noProof/>
                <w:webHidden/>
              </w:rPr>
              <w:t>27</w:t>
            </w:r>
            <w:r w:rsidR="00271D4A">
              <w:rPr>
                <w:noProof/>
                <w:webHidden/>
              </w:rPr>
              <w:fldChar w:fldCharType="end"/>
            </w:r>
          </w:hyperlink>
        </w:p>
        <w:p w14:paraId="4F82210D" w14:textId="75D69DED" w:rsidR="00271D4A" w:rsidRDefault="00C50738">
          <w:pPr>
            <w:pStyle w:val="TDC3"/>
            <w:rPr>
              <w:rFonts w:asciiTheme="minorHAnsi" w:eastAsiaTheme="minorEastAsia" w:hAnsiTheme="minorHAnsi" w:cstheme="minorBidi"/>
              <w:noProof/>
              <w:sz w:val="22"/>
              <w:szCs w:val="22"/>
              <w:lang w:val="en-US"/>
            </w:rPr>
          </w:pPr>
          <w:hyperlink w:anchor="_Toc36132121" w:history="1">
            <w:r w:rsidR="00271D4A" w:rsidRPr="00ED466D">
              <w:rPr>
                <w:rStyle w:val="Hipervnculo"/>
                <w:noProof/>
                <w:snapToGrid w:val="0"/>
                <w:spacing w:val="-2"/>
                <w:lang w:eastAsia="es-ES"/>
              </w:rPr>
              <w:t>D.1. Publicación de la Sentencia</w:t>
            </w:r>
            <w:r w:rsidR="00271D4A">
              <w:rPr>
                <w:noProof/>
                <w:webHidden/>
              </w:rPr>
              <w:tab/>
            </w:r>
            <w:r w:rsidR="00271D4A">
              <w:rPr>
                <w:noProof/>
                <w:webHidden/>
              </w:rPr>
              <w:fldChar w:fldCharType="begin"/>
            </w:r>
            <w:r w:rsidR="00271D4A">
              <w:rPr>
                <w:noProof/>
                <w:webHidden/>
              </w:rPr>
              <w:instrText xml:space="preserve"> PAGEREF _Toc36132121 \h </w:instrText>
            </w:r>
            <w:r w:rsidR="00271D4A">
              <w:rPr>
                <w:noProof/>
                <w:webHidden/>
              </w:rPr>
            </w:r>
            <w:r w:rsidR="00271D4A">
              <w:rPr>
                <w:noProof/>
                <w:webHidden/>
              </w:rPr>
              <w:fldChar w:fldCharType="separate"/>
            </w:r>
            <w:r w:rsidR="00DF3FBE">
              <w:rPr>
                <w:noProof/>
                <w:webHidden/>
              </w:rPr>
              <w:t>27</w:t>
            </w:r>
            <w:r w:rsidR="00271D4A">
              <w:rPr>
                <w:noProof/>
                <w:webHidden/>
              </w:rPr>
              <w:fldChar w:fldCharType="end"/>
            </w:r>
          </w:hyperlink>
        </w:p>
        <w:p w14:paraId="4E3AD21A" w14:textId="45F1E061" w:rsidR="00271D4A" w:rsidRDefault="00C50738">
          <w:pPr>
            <w:pStyle w:val="TDC3"/>
            <w:rPr>
              <w:rFonts w:asciiTheme="minorHAnsi" w:eastAsiaTheme="minorEastAsia" w:hAnsiTheme="minorHAnsi" w:cstheme="minorBidi"/>
              <w:noProof/>
              <w:sz w:val="22"/>
              <w:szCs w:val="22"/>
              <w:lang w:val="en-US"/>
            </w:rPr>
          </w:pPr>
          <w:hyperlink w:anchor="_Toc36132122" w:history="1">
            <w:r w:rsidR="00271D4A" w:rsidRPr="00ED466D">
              <w:rPr>
                <w:rStyle w:val="Hipervnculo"/>
                <w:noProof/>
                <w:snapToGrid w:val="0"/>
                <w:spacing w:val="-2"/>
                <w:lang w:eastAsia="es-ES"/>
              </w:rPr>
              <w:t>D.2. Otras Medidas de Satisfacción</w:t>
            </w:r>
            <w:r w:rsidR="00271D4A">
              <w:rPr>
                <w:noProof/>
                <w:webHidden/>
              </w:rPr>
              <w:tab/>
            </w:r>
            <w:r w:rsidR="00271D4A">
              <w:rPr>
                <w:noProof/>
                <w:webHidden/>
              </w:rPr>
              <w:fldChar w:fldCharType="begin"/>
            </w:r>
            <w:r w:rsidR="00271D4A">
              <w:rPr>
                <w:noProof/>
                <w:webHidden/>
              </w:rPr>
              <w:instrText xml:space="preserve"> PAGEREF _Toc36132122 \h </w:instrText>
            </w:r>
            <w:r w:rsidR="00271D4A">
              <w:rPr>
                <w:noProof/>
                <w:webHidden/>
              </w:rPr>
            </w:r>
            <w:r w:rsidR="00271D4A">
              <w:rPr>
                <w:noProof/>
                <w:webHidden/>
              </w:rPr>
              <w:fldChar w:fldCharType="separate"/>
            </w:r>
            <w:r w:rsidR="00DF3FBE">
              <w:rPr>
                <w:noProof/>
                <w:webHidden/>
              </w:rPr>
              <w:t>27</w:t>
            </w:r>
            <w:r w:rsidR="00271D4A">
              <w:rPr>
                <w:noProof/>
                <w:webHidden/>
              </w:rPr>
              <w:fldChar w:fldCharType="end"/>
            </w:r>
          </w:hyperlink>
        </w:p>
        <w:p w14:paraId="419B1C3E" w14:textId="1F6B658E" w:rsidR="00271D4A" w:rsidRDefault="00C50738">
          <w:pPr>
            <w:pStyle w:val="TDC2"/>
            <w:rPr>
              <w:rFonts w:asciiTheme="minorHAnsi" w:eastAsiaTheme="minorEastAsia" w:hAnsiTheme="minorHAnsi" w:cstheme="minorBidi"/>
              <w:noProof/>
              <w:sz w:val="22"/>
              <w:szCs w:val="22"/>
              <w:lang w:val="en-US"/>
            </w:rPr>
          </w:pPr>
          <w:hyperlink w:anchor="_Toc36132123" w:history="1">
            <w:r w:rsidR="00271D4A" w:rsidRPr="00ED466D">
              <w:rPr>
                <w:rStyle w:val="Hipervnculo"/>
                <w:b/>
                <w:i/>
                <w:noProof/>
                <w:snapToGrid w:val="0"/>
                <w:spacing w:val="-2"/>
                <w:lang w:val="es-CR" w:eastAsia="es-ES"/>
              </w:rPr>
              <w:t>E.</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Garantías de no repetición</w:t>
            </w:r>
            <w:r w:rsidR="00271D4A">
              <w:rPr>
                <w:noProof/>
                <w:webHidden/>
              </w:rPr>
              <w:tab/>
            </w:r>
            <w:r w:rsidR="00271D4A">
              <w:rPr>
                <w:noProof/>
                <w:webHidden/>
              </w:rPr>
              <w:fldChar w:fldCharType="begin"/>
            </w:r>
            <w:r w:rsidR="00271D4A">
              <w:rPr>
                <w:noProof/>
                <w:webHidden/>
              </w:rPr>
              <w:instrText xml:space="preserve"> PAGEREF _Toc36132123 \h </w:instrText>
            </w:r>
            <w:r w:rsidR="00271D4A">
              <w:rPr>
                <w:noProof/>
                <w:webHidden/>
              </w:rPr>
            </w:r>
            <w:r w:rsidR="00271D4A">
              <w:rPr>
                <w:noProof/>
                <w:webHidden/>
              </w:rPr>
              <w:fldChar w:fldCharType="separate"/>
            </w:r>
            <w:r w:rsidR="00DF3FBE">
              <w:rPr>
                <w:noProof/>
                <w:webHidden/>
              </w:rPr>
              <w:t>28</w:t>
            </w:r>
            <w:r w:rsidR="00271D4A">
              <w:rPr>
                <w:noProof/>
                <w:webHidden/>
              </w:rPr>
              <w:fldChar w:fldCharType="end"/>
            </w:r>
          </w:hyperlink>
        </w:p>
        <w:p w14:paraId="76974678" w14:textId="54F0CC6D" w:rsidR="00271D4A" w:rsidRDefault="00C50738">
          <w:pPr>
            <w:pStyle w:val="TDC2"/>
            <w:rPr>
              <w:rFonts w:asciiTheme="minorHAnsi" w:eastAsiaTheme="minorEastAsia" w:hAnsiTheme="minorHAnsi" w:cstheme="minorBidi"/>
              <w:noProof/>
              <w:sz w:val="22"/>
              <w:szCs w:val="22"/>
              <w:lang w:val="en-US"/>
            </w:rPr>
          </w:pPr>
          <w:hyperlink w:anchor="_Toc36132124" w:history="1">
            <w:r w:rsidR="00271D4A" w:rsidRPr="00ED466D">
              <w:rPr>
                <w:rStyle w:val="Hipervnculo"/>
                <w:b/>
                <w:i/>
                <w:noProof/>
                <w:snapToGrid w:val="0"/>
                <w:spacing w:val="-2"/>
                <w:lang w:val="es-CR" w:eastAsia="es-ES"/>
              </w:rPr>
              <w:t>E.</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Otras medidas de no repetición solicitadas</w:t>
            </w:r>
            <w:r w:rsidR="00271D4A">
              <w:rPr>
                <w:noProof/>
                <w:webHidden/>
              </w:rPr>
              <w:tab/>
            </w:r>
            <w:r w:rsidR="00271D4A">
              <w:rPr>
                <w:noProof/>
                <w:webHidden/>
              </w:rPr>
              <w:fldChar w:fldCharType="begin"/>
            </w:r>
            <w:r w:rsidR="00271D4A">
              <w:rPr>
                <w:noProof/>
                <w:webHidden/>
              </w:rPr>
              <w:instrText xml:space="preserve"> PAGEREF _Toc36132124 \h </w:instrText>
            </w:r>
            <w:r w:rsidR="00271D4A">
              <w:rPr>
                <w:noProof/>
                <w:webHidden/>
              </w:rPr>
            </w:r>
            <w:r w:rsidR="00271D4A">
              <w:rPr>
                <w:noProof/>
                <w:webHidden/>
              </w:rPr>
              <w:fldChar w:fldCharType="separate"/>
            </w:r>
            <w:r w:rsidR="00DF3FBE">
              <w:rPr>
                <w:noProof/>
                <w:webHidden/>
              </w:rPr>
              <w:t>29</w:t>
            </w:r>
            <w:r w:rsidR="00271D4A">
              <w:rPr>
                <w:noProof/>
                <w:webHidden/>
              </w:rPr>
              <w:fldChar w:fldCharType="end"/>
            </w:r>
          </w:hyperlink>
        </w:p>
        <w:p w14:paraId="24776288" w14:textId="7882B525" w:rsidR="00271D4A" w:rsidRDefault="00C50738">
          <w:pPr>
            <w:pStyle w:val="TDC2"/>
            <w:rPr>
              <w:rFonts w:asciiTheme="minorHAnsi" w:eastAsiaTheme="minorEastAsia" w:hAnsiTheme="minorHAnsi" w:cstheme="minorBidi"/>
              <w:noProof/>
              <w:sz w:val="22"/>
              <w:szCs w:val="22"/>
              <w:lang w:val="en-US"/>
            </w:rPr>
          </w:pPr>
          <w:hyperlink w:anchor="_Toc36132125" w:history="1">
            <w:r w:rsidR="00271D4A" w:rsidRPr="00ED466D">
              <w:rPr>
                <w:rStyle w:val="Hipervnculo"/>
                <w:b/>
                <w:i/>
                <w:noProof/>
                <w:snapToGrid w:val="0"/>
                <w:spacing w:val="-2"/>
                <w:lang w:val="es-CR" w:eastAsia="es-ES"/>
              </w:rPr>
              <w:t>F.</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Indemnización compensatoria</w:t>
            </w:r>
            <w:r w:rsidR="00271D4A">
              <w:rPr>
                <w:noProof/>
                <w:webHidden/>
              </w:rPr>
              <w:tab/>
            </w:r>
            <w:r w:rsidR="00271D4A">
              <w:rPr>
                <w:noProof/>
                <w:webHidden/>
              </w:rPr>
              <w:fldChar w:fldCharType="begin"/>
            </w:r>
            <w:r w:rsidR="00271D4A">
              <w:rPr>
                <w:noProof/>
                <w:webHidden/>
              </w:rPr>
              <w:instrText xml:space="preserve"> PAGEREF _Toc36132125 \h </w:instrText>
            </w:r>
            <w:r w:rsidR="00271D4A">
              <w:rPr>
                <w:noProof/>
                <w:webHidden/>
              </w:rPr>
            </w:r>
            <w:r w:rsidR="00271D4A">
              <w:rPr>
                <w:noProof/>
                <w:webHidden/>
              </w:rPr>
              <w:fldChar w:fldCharType="separate"/>
            </w:r>
            <w:r w:rsidR="00DF3FBE">
              <w:rPr>
                <w:noProof/>
                <w:webHidden/>
              </w:rPr>
              <w:t>29</w:t>
            </w:r>
            <w:r w:rsidR="00271D4A">
              <w:rPr>
                <w:noProof/>
                <w:webHidden/>
              </w:rPr>
              <w:fldChar w:fldCharType="end"/>
            </w:r>
          </w:hyperlink>
        </w:p>
        <w:p w14:paraId="130BB57B" w14:textId="5A40EDA3" w:rsidR="00271D4A" w:rsidRDefault="00C50738">
          <w:pPr>
            <w:pStyle w:val="TDC3"/>
            <w:rPr>
              <w:rFonts w:asciiTheme="minorHAnsi" w:eastAsiaTheme="minorEastAsia" w:hAnsiTheme="minorHAnsi" w:cstheme="minorBidi"/>
              <w:noProof/>
              <w:sz w:val="22"/>
              <w:szCs w:val="22"/>
              <w:lang w:val="en-US"/>
            </w:rPr>
          </w:pPr>
          <w:hyperlink w:anchor="_Toc36132126" w:history="1">
            <w:r w:rsidR="00271D4A" w:rsidRPr="00ED466D">
              <w:rPr>
                <w:rStyle w:val="Hipervnculo"/>
                <w:rFonts w:cs="Verdana"/>
                <w:noProof/>
              </w:rPr>
              <w:t>F.1. Alegatos de las Partes y de la Comisión</w:t>
            </w:r>
            <w:r w:rsidR="00271D4A">
              <w:rPr>
                <w:noProof/>
                <w:webHidden/>
              </w:rPr>
              <w:tab/>
            </w:r>
            <w:r w:rsidR="00271D4A">
              <w:rPr>
                <w:noProof/>
                <w:webHidden/>
              </w:rPr>
              <w:fldChar w:fldCharType="begin"/>
            </w:r>
            <w:r w:rsidR="00271D4A">
              <w:rPr>
                <w:noProof/>
                <w:webHidden/>
              </w:rPr>
              <w:instrText xml:space="preserve"> PAGEREF _Toc36132126 \h </w:instrText>
            </w:r>
            <w:r w:rsidR="00271D4A">
              <w:rPr>
                <w:noProof/>
                <w:webHidden/>
              </w:rPr>
            </w:r>
            <w:r w:rsidR="00271D4A">
              <w:rPr>
                <w:noProof/>
                <w:webHidden/>
              </w:rPr>
              <w:fldChar w:fldCharType="separate"/>
            </w:r>
            <w:r w:rsidR="00DF3FBE">
              <w:rPr>
                <w:noProof/>
                <w:webHidden/>
              </w:rPr>
              <w:t>30</w:t>
            </w:r>
            <w:r w:rsidR="00271D4A">
              <w:rPr>
                <w:noProof/>
                <w:webHidden/>
              </w:rPr>
              <w:fldChar w:fldCharType="end"/>
            </w:r>
          </w:hyperlink>
        </w:p>
        <w:p w14:paraId="433DDA65" w14:textId="1FBAA363" w:rsidR="00271D4A" w:rsidRDefault="00C50738">
          <w:pPr>
            <w:pStyle w:val="TDC3"/>
            <w:rPr>
              <w:rFonts w:asciiTheme="minorHAnsi" w:eastAsiaTheme="minorEastAsia" w:hAnsiTheme="minorHAnsi" w:cstheme="minorBidi"/>
              <w:noProof/>
              <w:sz w:val="22"/>
              <w:szCs w:val="22"/>
              <w:lang w:val="en-US"/>
            </w:rPr>
          </w:pPr>
          <w:hyperlink w:anchor="_Toc36132127" w:history="1">
            <w:r w:rsidR="00271D4A" w:rsidRPr="00ED466D">
              <w:rPr>
                <w:rStyle w:val="Hipervnculo"/>
                <w:rFonts w:cs="Verdana"/>
                <w:noProof/>
              </w:rPr>
              <w:t>a) Sobre el daño material</w:t>
            </w:r>
            <w:r w:rsidR="00271D4A">
              <w:rPr>
                <w:noProof/>
                <w:webHidden/>
              </w:rPr>
              <w:tab/>
            </w:r>
            <w:r w:rsidR="00271D4A">
              <w:rPr>
                <w:noProof/>
                <w:webHidden/>
              </w:rPr>
              <w:fldChar w:fldCharType="begin"/>
            </w:r>
            <w:r w:rsidR="00271D4A">
              <w:rPr>
                <w:noProof/>
                <w:webHidden/>
              </w:rPr>
              <w:instrText xml:space="preserve"> PAGEREF _Toc36132127 \h </w:instrText>
            </w:r>
            <w:r w:rsidR="00271D4A">
              <w:rPr>
                <w:noProof/>
                <w:webHidden/>
              </w:rPr>
            </w:r>
            <w:r w:rsidR="00271D4A">
              <w:rPr>
                <w:noProof/>
                <w:webHidden/>
              </w:rPr>
              <w:fldChar w:fldCharType="separate"/>
            </w:r>
            <w:r w:rsidR="00DF3FBE">
              <w:rPr>
                <w:noProof/>
                <w:webHidden/>
              </w:rPr>
              <w:t>30</w:t>
            </w:r>
            <w:r w:rsidR="00271D4A">
              <w:rPr>
                <w:noProof/>
                <w:webHidden/>
              </w:rPr>
              <w:fldChar w:fldCharType="end"/>
            </w:r>
          </w:hyperlink>
        </w:p>
        <w:p w14:paraId="36F01CB3" w14:textId="604EE76E" w:rsidR="00271D4A" w:rsidRDefault="00C50738">
          <w:pPr>
            <w:pStyle w:val="TDC3"/>
            <w:rPr>
              <w:rFonts w:asciiTheme="minorHAnsi" w:eastAsiaTheme="minorEastAsia" w:hAnsiTheme="minorHAnsi" w:cstheme="minorBidi"/>
              <w:noProof/>
              <w:sz w:val="22"/>
              <w:szCs w:val="22"/>
              <w:lang w:val="en-US"/>
            </w:rPr>
          </w:pPr>
          <w:hyperlink w:anchor="_Toc36132128" w:history="1">
            <w:r w:rsidR="00271D4A" w:rsidRPr="00ED466D">
              <w:rPr>
                <w:rStyle w:val="Hipervnculo"/>
                <w:rFonts w:cs="Verdana"/>
                <w:noProof/>
              </w:rPr>
              <w:t>b) Sobre el daño inmaterial</w:t>
            </w:r>
            <w:r w:rsidR="00271D4A">
              <w:rPr>
                <w:noProof/>
                <w:webHidden/>
              </w:rPr>
              <w:tab/>
            </w:r>
            <w:r w:rsidR="00271D4A">
              <w:rPr>
                <w:noProof/>
                <w:webHidden/>
              </w:rPr>
              <w:fldChar w:fldCharType="begin"/>
            </w:r>
            <w:r w:rsidR="00271D4A">
              <w:rPr>
                <w:noProof/>
                <w:webHidden/>
              </w:rPr>
              <w:instrText xml:space="preserve"> PAGEREF _Toc36132128 \h </w:instrText>
            </w:r>
            <w:r w:rsidR="00271D4A">
              <w:rPr>
                <w:noProof/>
                <w:webHidden/>
              </w:rPr>
            </w:r>
            <w:r w:rsidR="00271D4A">
              <w:rPr>
                <w:noProof/>
                <w:webHidden/>
              </w:rPr>
              <w:fldChar w:fldCharType="separate"/>
            </w:r>
            <w:r w:rsidR="00DF3FBE">
              <w:rPr>
                <w:noProof/>
                <w:webHidden/>
              </w:rPr>
              <w:t>31</w:t>
            </w:r>
            <w:r w:rsidR="00271D4A">
              <w:rPr>
                <w:noProof/>
                <w:webHidden/>
              </w:rPr>
              <w:fldChar w:fldCharType="end"/>
            </w:r>
          </w:hyperlink>
        </w:p>
        <w:p w14:paraId="3489C7DC" w14:textId="093D0FA3" w:rsidR="00271D4A" w:rsidRDefault="00C50738">
          <w:pPr>
            <w:pStyle w:val="TDC3"/>
            <w:rPr>
              <w:rFonts w:asciiTheme="minorHAnsi" w:eastAsiaTheme="minorEastAsia" w:hAnsiTheme="minorHAnsi" w:cstheme="minorBidi"/>
              <w:noProof/>
              <w:sz w:val="22"/>
              <w:szCs w:val="22"/>
              <w:lang w:val="en-US"/>
            </w:rPr>
          </w:pPr>
          <w:hyperlink w:anchor="_Toc36132129" w:history="1">
            <w:r w:rsidR="00271D4A" w:rsidRPr="00ED466D">
              <w:rPr>
                <w:rStyle w:val="Hipervnculo"/>
                <w:rFonts w:cs="Verdana"/>
                <w:noProof/>
              </w:rPr>
              <w:t>F.2. Consideraciones de la Corte</w:t>
            </w:r>
            <w:r w:rsidR="00271D4A">
              <w:rPr>
                <w:noProof/>
                <w:webHidden/>
              </w:rPr>
              <w:tab/>
            </w:r>
            <w:r w:rsidR="00271D4A">
              <w:rPr>
                <w:noProof/>
                <w:webHidden/>
              </w:rPr>
              <w:fldChar w:fldCharType="begin"/>
            </w:r>
            <w:r w:rsidR="00271D4A">
              <w:rPr>
                <w:noProof/>
                <w:webHidden/>
              </w:rPr>
              <w:instrText xml:space="preserve"> PAGEREF _Toc36132129 \h </w:instrText>
            </w:r>
            <w:r w:rsidR="00271D4A">
              <w:rPr>
                <w:noProof/>
                <w:webHidden/>
              </w:rPr>
            </w:r>
            <w:r w:rsidR="00271D4A">
              <w:rPr>
                <w:noProof/>
                <w:webHidden/>
              </w:rPr>
              <w:fldChar w:fldCharType="separate"/>
            </w:r>
            <w:r w:rsidR="00DF3FBE">
              <w:rPr>
                <w:noProof/>
                <w:webHidden/>
              </w:rPr>
              <w:t>31</w:t>
            </w:r>
            <w:r w:rsidR="00271D4A">
              <w:rPr>
                <w:noProof/>
                <w:webHidden/>
              </w:rPr>
              <w:fldChar w:fldCharType="end"/>
            </w:r>
          </w:hyperlink>
        </w:p>
        <w:p w14:paraId="24C50BAE" w14:textId="0036E12D" w:rsidR="00271D4A" w:rsidRDefault="00C50738">
          <w:pPr>
            <w:pStyle w:val="TDC2"/>
            <w:rPr>
              <w:rFonts w:asciiTheme="minorHAnsi" w:eastAsiaTheme="minorEastAsia" w:hAnsiTheme="minorHAnsi" w:cstheme="minorBidi"/>
              <w:noProof/>
              <w:sz w:val="22"/>
              <w:szCs w:val="22"/>
              <w:lang w:val="en-US"/>
            </w:rPr>
          </w:pPr>
          <w:hyperlink w:anchor="_Toc36132130" w:history="1">
            <w:r w:rsidR="00271D4A" w:rsidRPr="00ED466D">
              <w:rPr>
                <w:rStyle w:val="Hipervnculo"/>
                <w:b/>
                <w:i/>
                <w:noProof/>
                <w:snapToGrid w:val="0"/>
                <w:spacing w:val="-2"/>
                <w:lang w:val="es-CR" w:eastAsia="es-ES"/>
              </w:rPr>
              <w:t>G.</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Costas y gastos</w:t>
            </w:r>
            <w:r w:rsidR="00271D4A">
              <w:rPr>
                <w:noProof/>
                <w:webHidden/>
              </w:rPr>
              <w:tab/>
            </w:r>
            <w:r w:rsidR="00271D4A">
              <w:rPr>
                <w:noProof/>
                <w:webHidden/>
              </w:rPr>
              <w:fldChar w:fldCharType="begin"/>
            </w:r>
            <w:r w:rsidR="00271D4A">
              <w:rPr>
                <w:noProof/>
                <w:webHidden/>
              </w:rPr>
              <w:instrText xml:space="preserve"> PAGEREF _Toc36132130 \h </w:instrText>
            </w:r>
            <w:r w:rsidR="00271D4A">
              <w:rPr>
                <w:noProof/>
                <w:webHidden/>
              </w:rPr>
            </w:r>
            <w:r w:rsidR="00271D4A">
              <w:rPr>
                <w:noProof/>
                <w:webHidden/>
              </w:rPr>
              <w:fldChar w:fldCharType="separate"/>
            </w:r>
            <w:r w:rsidR="00DF3FBE">
              <w:rPr>
                <w:noProof/>
                <w:webHidden/>
              </w:rPr>
              <w:t>31</w:t>
            </w:r>
            <w:r w:rsidR="00271D4A">
              <w:rPr>
                <w:noProof/>
                <w:webHidden/>
              </w:rPr>
              <w:fldChar w:fldCharType="end"/>
            </w:r>
          </w:hyperlink>
        </w:p>
        <w:p w14:paraId="365DD400" w14:textId="6125129C" w:rsidR="00271D4A" w:rsidRDefault="00C50738">
          <w:pPr>
            <w:pStyle w:val="TDC2"/>
            <w:rPr>
              <w:rFonts w:asciiTheme="minorHAnsi" w:eastAsiaTheme="minorEastAsia" w:hAnsiTheme="minorHAnsi" w:cstheme="minorBidi"/>
              <w:noProof/>
              <w:sz w:val="22"/>
              <w:szCs w:val="22"/>
              <w:lang w:val="en-US"/>
            </w:rPr>
          </w:pPr>
          <w:hyperlink w:anchor="_Toc36132131" w:history="1">
            <w:r w:rsidR="00271D4A" w:rsidRPr="00ED466D">
              <w:rPr>
                <w:rStyle w:val="Hipervnculo"/>
                <w:b/>
                <w:i/>
                <w:noProof/>
                <w:snapToGrid w:val="0"/>
                <w:spacing w:val="-2"/>
                <w:lang w:val="es-CR" w:eastAsia="es-ES"/>
              </w:rPr>
              <w:t>H.</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Reintegro de los gastos al Fondo de Asistencia Legal de víctimas</w:t>
            </w:r>
            <w:r w:rsidR="00271D4A">
              <w:rPr>
                <w:noProof/>
                <w:webHidden/>
              </w:rPr>
              <w:tab/>
            </w:r>
            <w:r w:rsidR="00271D4A">
              <w:rPr>
                <w:noProof/>
                <w:webHidden/>
              </w:rPr>
              <w:fldChar w:fldCharType="begin"/>
            </w:r>
            <w:r w:rsidR="00271D4A">
              <w:rPr>
                <w:noProof/>
                <w:webHidden/>
              </w:rPr>
              <w:instrText xml:space="preserve"> PAGEREF _Toc36132131 \h </w:instrText>
            </w:r>
            <w:r w:rsidR="00271D4A">
              <w:rPr>
                <w:noProof/>
                <w:webHidden/>
              </w:rPr>
            </w:r>
            <w:r w:rsidR="00271D4A">
              <w:rPr>
                <w:noProof/>
                <w:webHidden/>
              </w:rPr>
              <w:fldChar w:fldCharType="separate"/>
            </w:r>
            <w:r w:rsidR="00DF3FBE">
              <w:rPr>
                <w:noProof/>
                <w:webHidden/>
              </w:rPr>
              <w:t>32</w:t>
            </w:r>
            <w:r w:rsidR="00271D4A">
              <w:rPr>
                <w:noProof/>
                <w:webHidden/>
              </w:rPr>
              <w:fldChar w:fldCharType="end"/>
            </w:r>
          </w:hyperlink>
        </w:p>
        <w:p w14:paraId="489AC9E8" w14:textId="6D8F21A0" w:rsidR="00271D4A" w:rsidRDefault="00C50738">
          <w:pPr>
            <w:pStyle w:val="TDC2"/>
            <w:rPr>
              <w:rFonts w:asciiTheme="minorHAnsi" w:eastAsiaTheme="minorEastAsia" w:hAnsiTheme="minorHAnsi" w:cstheme="minorBidi"/>
              <w:noProof/>
              <w:sz w:val="22"/>
              <w:szCs w:val="22"/>
              <w:lang w:val="en-US"/>
            </w:rPr>
          </w:pPr>
          <w:hyperlink w:anchor="_Toc36132132" w:history="1">
            <w:r w:rsidR="00271D4A" w:rsidRPr="00ED466D">
              <w:rPr>
                <w:rStyle w:val="Hipervnculo"/>
                <w:b/>
                <w:i/>
                <w:noProof/>
                <w:snapToGrid w:val="0"/>
                <w:spacing w:val="-2"/>
                <w:lang w:val="es-CR" w:eastAsia="es-ES"/>
              </w:rPr>
              <w:t>I.</w:t>
            </w:r>
            <w:r w:rsidR="00271D4A">
              <w:rPr>
                <w:rFonts w:asciiTheme="minorHAnsi" w:eastAsiaTheme="minorEastAsia" w:hAnsiTheme="minorHAnsi" w:cstheme="minorBidi"/>
                <w:noProof/>
                <w:sz w:val="22"/>
                <w:szCs w:val="22"/>
                <w:lang w:val="en-US"/>
              </w:rPr>
              <w:tab/>
            </w:r>
            <w:r w:rsidR="00271D4A" w:rsidRPr="00ED466D">
              <w:rPr>
                <w:rStyle w:val="Hipervnculo"/>
                <w:b/>
                <w:i/>
                <w:noProof/>
                <w:snapToGrid w:val="0"/>
                <w:spacing w:val="-2"/>
                <w:lang w:val="es-CR" w:eastAsia="es-ES"/>
              </w:rPr>
              <w:t>Modalidad de cumplimiento de los pagos ordenados</w:t>
            </w:r>
            <w:r w:rsidR="00271D4A">
              <w:rPr>
                <w:noProof/>
                <w:webHidden/>
              </w:rPr>
              <w:tab/>
            </w:r>
            <w:r w:rsidR="00271D4A">
              <w:rPr>
                <w:noProof/>
                <w:webHidden/>
              </w:rPr>
              <w:fldChar w:fldCharType="begin"/>
            </w:r>
            <w:r w:rsidR="00271D4A">
              <w:rPr>
                <w:noProof/>
                <w:webHidden/>
              </w:rPr>
              <w:instrText xml:space="preserve"> PAGEREF _Toc36132132 \h </w:instrText>
            </w:r>
            <w:r w:rsidR="00271D4A">
              <w:rPr>
                <w:noProof/>
                <w:webHidden/>
              </w:rPr>
            </w:r>
            <w:r w:rsidR="00271D4A">
              <w:rPr>
                <w:noProof/>
                <w:webHidden/>
              </w:rPr>
              <w:fldChar w:fldCharType="separate"/>
            </w:r>
            <w:r w:rsidR="00DF3FBE">
              <w:rPr>
                <w:noProof/>
                <w:webHidden/>
              </w:rPr>
              <w:t>33</w:t>
            </w:r>
            <w:r w:rsidR="00271D4A">
              <w:rPr>
                <w:noProof/>
                <w:webHidden/>
              </w:rPr>
              <w:fldChar w:fldCharType="end"/>
            </w:r>
          </w:hyperlink>
        </w:p>
        <w:p w14:paraId="7540B52D" w14:textId="42D2952A" w:rsidR="00271D4A" w:rsidRDefault="00C50738">
          <w:pPr>
            <w:pStyle w:val="TDC1"/>
            <w:rPr>
              <w:rFonts w:asciiTheme="minorHAnsi" w:eastAsiaTheme="minorEastAsia" w:hAnsiTheme="minorHAnsi" w:cstheme="minorBidi"/>
              <w:b w:val="0"/>
              <w:noProof/>
              <w:sz w:val="22"/>
              <w:szCs w:val="22"/>
              <w:lang w:val="en-US"/>
            </w:rPr>
          </w:pPr>
          <w:hyperlink w:anchor="_Toc36132133" w:history="1">
            <w:r w:rsidR="00271D4A" w:rsidRPr="00ED466D">
              <w:rPr>
                <w:rStyle w:val="Hipervnculo"/>
                <w:noProof/>
              </w:rPr>
              <w:t>X. PUNTOS RESOLUTIVOS</w:t>
            </w:r>
            <w:r w:rsidR="00271D4A">
              <w:rPr>
                <w:noProof/>
                <w:webHidden/>
              </w:rPr>
              <w:tab/>
            </w:r>
            <w:r w:rsidR="00271D4A">
              <w:rPr>
                <w:noProof/>
                <w:webHidden/>
              </w:rPr>
              <w:fldChar w:fldCharType="begin"/>
            </w:r>
            <w:r w:rsidR="00271D4A">
              <w:rPr>
                <w:noProof/>
                <w:webHidden/>
              </w:rPr>
              <w:instrText xml:space="preserve"> PAGEREF _Toc36132133 \h </w:instrText>
            </w:r>
            <w:r w:rsidR="00271D4A">
              <w:rPr>
                <w:noProof/>
                <w:webHidden/>
              </w:rPr>
            </w:r>
            <w:r w:rsidR="00271D4A">
              <w:rPr>
                <w:noProof/>
                <w:webHidden/>
              </w:rPr>
              <w:fldChar w:fldCharType="separate"/>
            </w:r>
            <w:r w:rsidR="00DF3FBE">
              <w:rPr>
                <w:noProof/>
                <w:webHidden/>
              </w:rPr>
              <w:t>33</w:t>
            </w:r>
            <w:r w:rsidR="00271D4A">
              <w:rPr>
                <w:noProof/>
                <w:webHidden/>
              </w:rPr>
              <w:fldChar w:fldCharType="end"/>
            </w:r>
          </w:hyperlink>
        </w:p>
        <w:p w14:paraId="02E7222F" w14:textId="7F1638D1" w:rsidR="007914C4" w:rsidRPr="003B376F" w:rsidRDefault="007914C4">
          <w:r w:rsidRPr="003B376F">
            <w:rPr>
              <w:b/>
              <w:bCs/>
              <w:noProof/>
            </w:rPr>
            <w:fldChar w:fldCharType="end"/>
          </w:r>
        </w:p>
      </w:sdtContent>
    </w:sdt>
    <w:p w14:paraId="3A81514D" w14:textId="46C0B6A3" w:rsidR="00FC2BD9" w:rsidRPr="003B376F" w:rsidRDefault="00FC2BD9">
      <w:pPr>
        <w:spacing w:after="200" w:line="276" w:lineRule="auto"/>
        <w:jc w:val="left"/>
        <w:rPr>
          <w:rFonts w:eastAsia="Times New Roman" w:cs="Verdana"/>
          <w:b/>
          <w:bCs/>
          <w:caps/>
          <w:snapToGrid w:val="0"/>
          <w:szCs w:val="20"/>
          <w:lang w:val="es-CR" w:eastAsia="es-ES"/>
        </w:rPr>
      </w:pPr>
      <w:r w:rsidRPr="003B376F">
        <w:rPr>
          <w:rFonts w:eastAsia="Times New Roman" w:cs="Verdana"/>
          <w:b/>
          <w:bCs/>
          <w:caps/>
          <w:snapToGrid w:val="0"/>
          <w:szCs w:val="20"/>
          <w:lang w:val="es-CR" w:eastAsia="es-ES"/>
        </w:rPr>
        <w:br w:type="page"/>
      </w:r>
    </w:p>
    <w:p w14:paraId="43E8B3B6" w14:textId="06D87EB3" w:rsidR="009569E6" w:rsidRPr="003B376F" w:rsidRDefault="00C6683F" w:rsidP="00C6683F">
      <w:pPr>
        <w:pStyle w:val="Ttulo1"/>
        <w:ind w:right="-4"/>
      </w:pPr>
      <w:bookmarkStart w:id="7" w:name="_Toc36132087"/>
      <w:r w:rsidRPr="003B376F">
        <w:lastRenderedPageBreak/>
        <w:t>I</w:t>
      </w:r>
      <w:r w:rsidRPr="003B376F">
        <w:rPr>
          <w:color w:val="FFFFFF" w:themeColor="background1"/>
        </w:rPr>
        <w:t>.</w:t>
      </w:r>
      <w:r w:rsidRPr="003B376F">
        <w:br/>
      </w:r>
      <w:r w:rsidR="009569E6" w:rsidRPr="003B376F">
        <w:t>INTRODUCCIÓN DE LA CAUSA Y OBJETO DE LA CONTROVERSIA</w:t>
      </w:r>
      <w:bookmarkEnd w:id="0"/>
      <w:bookmarkEnd w:id="1"/>
      <w:bookmarkEnd w:id="2"/>
      <w:bookmarkEnd w:id="3"/>
      <w:bookmarkEnd w:id="4"/>
      <w:bookmarkEnd w:id="5"/>
      <w:bookmarkEnd w:id="6"/>
      <w:bookmarkEnd w:id="7"/>
    </w:p>
    <w:p w14:paraId="5143248F" w14:textId="79AE58C0" w:rsidR="00585356" w:rsidRPr="00016E36" w:rsidRDefault="009569E6" w:rsidP="000B621A">
      <w:pPr>
        <w:pStyle w:val="Prrafodelista"/>
        <w:numPr>
          <w:ilvl w:val="0"/>
          <w:numId w:val="2"/>
        </w:numPr>
        <w:spacing w:before="120" w:after="120"/>
        <w:ind w:left="0" w:right="-6" w:firstLine="0"/>
        <w:contextualSpacing w:val="0"/>
        <w:rPr>
          <w:szCs w:val="20"/>
          <w:lang w:val="es-CR"/>
        </w:rPr>
      </w:pPr>
      <w:r w:rsidRPr="003B376F">
        <w:rPr>
          <w:i/>
          <w:szCs w:val="20"/>
        </w:rPr>
        <w:t>El caso sometido a la Corte.</w:t>
      </w:r>
      <w:r w:rsidRPr="003B376F">
        <w:rPr>
          <w:szCs w:val="20"/>
        </w:rPr>
        <w:t xml:space="preserve"> – </w:t>
      </w:r>
      <w:r w:rsidR="00A86DF9" w:rsidRPr="003B376F">
        <w:rPr>
          <w:szCs w:val="20"/>
        </w:rPr>
        <w:t xml:space="preserve">El </w:t>
      </w:r>
      <w:r w:rsidR="008063A7">
        <w:rPr>
          <w:szCs w:val="20"/>
        </w:rPr>
        <w:t>2</w:t>
      </w:r>
      <w:r w:rsidR="00FE10A5" w:rsidRPr="003B376F">
        <w:rPr>
          <w:szCs w:val="20"/>
        </w:rPr>
        <w:t xml:space="preserve"> de </w:t>
      </w:r>
      <w:r w:rsidR="008063A7">
        <w:rPr>
          <w:szCs w:val="20"/>
        </w:rPr>
        <w:t>julio</w:t>
      </w:r>
      <w:r w:rsidR="00A86DF9" w:rsidRPr="003B376F">
        <w:rPr>
          <w:szCs w:val="20"/>
        </w:rPr>
        <w:t xml:space="preserve"> de 201</w:t>
      </w:r>
      <w:r w:rsidR="008063A7">
        <w:rPr>
          <w:szCs w:val="20"/>
        </w:rPr>
        <w:t>8</w:t>
      </w:r>
      <w:r w:rsidR="00FE10A5" w:rsidRPr="003B376F">
        <w:rPr>
          <w:szCs w:val="20"/>
        </w:rPr>
        <w:t xml:space="preserve"> la Comisión Interamericana de Derechos Humanos (en adelante, “la Comisión Interamericana” o “la Comisión”) sometió a la jurisdicción de la Corte Interamericana</w:t>
      </w:r>
      <w:r w:rsidR="00CA012B" w:rsidRPr="003B376F">
        <w:rPr>
          <w:szCs w:val="20"/>
          <w:lang w:val="es-ES"/>
        </w:rPr>
        <w:t xml:space="preserve">, de conformidad con los artículos 51 y 61 de la Convención Americana, el caso </w:t>
      </w:r>
      <w:r w:rsidR="00C075E0" w:rsidRPr="003B376F">
        <w:rPr>
          <w:szCs w:val="20"/>
          <w:lang w:val="es-ES"/>
        </w:rPr>
        <w:t>“</w:t>
      </w:r>
      <w:r w:rsidR="008063A7">
        <w:rPr>
          <w:iCs/>
          <w:szCs w:val="20"/>
          <w:lang w:val="es-CR"/>
        </w:rPr>
        <w:t>Vicente Ariel Noguera y Familia</w:t>
      </w:r>
      <w:r w:rsidR="00C075E0" w:rsidRPr="003B376F">
        <w:rPr>
          <w:iCs/>
          <w:szCs w:val="20"/>
          <w:lang w:val="es-CO"/>
        </w:rPr>
        <w:t>”</w:t>
      </w:r>
      <w:r w:rsidR="00CA012B" w:rsidRPr="003B376F">
        <w:rPr>
          <w:szCs w:val="20"/>
          <w:lang w:val="es-CO"/>
        </w:rPr>
        <w:t xml:space="preserve"> </w:t>
      </w:r>
      <w:r w:rsidR="00CA012B" w:rsidRPr="003B376F">
        <w:rPr>
          <w:szCs w:val="20"/>
          <w:lang w:val="es-ES"/>
        </w:rPr>
        <w:t>en c</w:t>
      </w:r>
      <w:r w:rsidR="000C5CCB" w:rsidRPr="003B376F">
        <w:rPr>
          <w:szCs w:val="20"/>
          <w:lang w:val="es-ES"/>
        </w:rPr>
        <w:t xml:space="preserve">ontra de la República </w:t>
      </w:r>
      <w:r w:rsidR="008063A7">
        <w:rPr>
          <w:szCs w:val="20"/>
          <w:lang w:val="es-ES"/>
        </w:rPr>
        <w:t>del Paraguay</w:t>
      </w:r>
      <w:r w:rsidR="00CA012B" w:rsidRPr="003B376F">
        <w:rPr>
          <w:szCs w:val="20"/>
          <w:lang w:val="es-ES"/>
        </w:rPr>
        <w:t xml:space="preserve"> (en adelante </w:t>
      </w:r>
      <w:r w:rsidR="000C5CCB" w:rsidRPr="003B376F">
        <w:rPr>
          <w:szCs w:val="20"/>
          <w:lang w:val="es-ES"/>
        </w:rPr>
        <w:t xml:space="preserve">“el Estado”, “el Estado </w:t>
      </w:r>
      <w:r w:rsidR="008063A7">
        <w:rPr>
          <w:szCs w:val="20"/>
          <w:lang w:val="es-ES"/>
        </w:rPr>
        <w:t>paraguayo” o “Paraguay</w:t>
      </w:r>
      <w:r w:rsidR="00CA012B" w:rsidRPr="003B376F">
        <w:rPr>
          <w:szCs w:val="20"/>
          <w:lang w:val="es-ES"/>
        </w:rPr>
        <w:t>”)</w:t>
      </w:r>
      <w:r w:rsidR="000B621A">
        <w:rPr>
          <w:szCs w:val="20"/>
          <w:lang w:val="es-ES"/>
        </w:rPr>
        <w:t xml:space="preserve">. La controversia versa sobre </w:t>
      </w:r>
      <w:r w:rsidR="000B621A" w:rsidRPr="000B621A">
        <w:rPr>
          <w:szCs w:val="20"/>
          <w:lang w:val="es-CR"/>
        </w:rPr>
        <w:t>la muerte de Vicente Noguera</w:t>
      </w:r>
      <w:r w:rsidR="00991664">
        <w:rPr>
          <w:szCs w:val="20"/>
          <w:lang w:val="es-CR"/>
        </w:rPr>
        <w:t>, de 17 años de edad, ocurrida el</w:t>
      </w:r>
      <w:r w:rsidR="000B621A" w:rsidRPr="000B621A">
        <w:rPr>
          <w:szCs w:val="20"/>
          <w:lang w:val="es-CR"/>
        </w:rPr>
        <w:t xml:space="preserve"> 11 de enero de 1996</w:t>
      </w:r>
      <w:r w:rsidR="00991664">
        <w:rPr>
          <w:szCs w:val="20"/>
          <w:lang w:val="es-CR"/>
        </w:rPr>
        <w:t xml:space="preserve"> mientras</w:t>
      </w:r>
      <w:r w:rsidR="000B621A" w:rsidRPr="000B621A">
        <w:rPr>
          <w:szCs w:val="20"/>
          <w:lang w:val="es-CR"/>
        </w:rPr>
        <w:t xml:space="preserve"> prestaba e</w:t>
      </w:r>
      <w:r w:rsidR="000B621A">
        <w:rPr>
          <w:szCs w:val="20"/>
          <w:lang w:val="es-CR"/>
        </w:rPr>
        <w:t>l servicio militar voluntario.</w:t>
      </w:r>
      <w:r w:rsidR="00991664">
        <w:rPr>
          <w:szCs w:val="20"/>
          <w:lang w:val="es-CR"/>
        </w:rPr>
        <w:t xml:space="preserve"> L</w:t>
      </w:r>
      <w:r w:rsidR="000B621A" w:rsidRPr="000B621A">
        <w:rPr>
          <w:szCs w:val="20"/>
          <w:lang w:val="es-CR"/>
        </w:rPr>
        <w:t>a</w:t>
      </w:r>
      <w:r w:rsidR="000B621A">
        <w:rPr>
          <w:szCs w:val="20"/>
          <w:lang w:val="es-CR"/>
        </w:rPr>
        <w:t xml:space="preserve"> </w:t>
      </w:r>
      <w:r w:rsidR="000B621A" w:rsidRPr="000B621A">
        <w:rPr>
          <w:szCs w:val="20"/>
          <w:lang w:val="es-CR"/>
        </w:rPr>
        <w:t xml:space="preserve">Comisión </w:t>
      </w:r>
      <w:r w:rsidR="00991664">
        <w:rPr>
          <w:szCs w:val="20"/>
          <w:lang w:val="es-CR"/>
        </w:rPr>
        <w:t>sostuvo</w:t>
      </w:r>
      <w:r w:rsidR="000B621A" w:rsidRPr="000B621A">
        <w:rPr>
          <w:szCs w:val="20"/>
          <w:lang w:val="es-CR"/>
        </w:rPr>
        <w:t xml:space="preserve"> que el Estado paraguayo no ofreció una explicación satisfactoria por la muerte del</w:t>
      </w:r>
      <w:r w:rsidR="000B621A">
        <w:rPr>
          <w:szCs w:val="20"/>
          <w:lang w:val="es-CR"/>
        </w:rPr>
        <w:t xml:space="preserve"> </w:t>
      </w:r>
      <w:r w:rsidR="000B621A" w:rsidRPr="000B621A">
        <w:rPr>
          <w:szCs w:val="20"/>
          <w:lang w:val="es-CR"/>
        </w:rPr>
        <w:t xml:space="preserve">adolescente que se encontraba bajo su custodia </w:t>
      </w:r>
      <w:r w:rsidR="000B621A" w:rsidRPr="001B55C6">
        <w:rPr>
          <w:szCs w:val="20"/>
          <w:lang w:val="es-CR"/>
        </w:rPr>
        <w:t xml:space="preserve">y, por lo tanto, no logró desvirtuar los indicios que apuntan a su responsabilidad internacional por dicha muerte, como consecuencia </w:t>
      </w:r>
      <w:r w:rsidR="00A73220" w:rsidRPr="001B55C6">
        <w:rPr>
          <w:szCs w:val="20"/>
          <w:lang w:val="es-CR"/>
        </w:rPr>
        <w:t xml:space="preserve">de haberlo sometido </w:t>
      </w:r>
      <w:r w:rsidR="000B621A" w:rsidRPr="001B55C6">
        <w:rPr>
          <w:szCs w:val="20"/>
          <w:lang w:val="es-CR"/>
        </w:rPr>
        <w:t>a ejercicios físicos excesivos como una forma de castigo ordenada por sus superiores</w:t>
      </w:r>
      <w:r w:rsidR="000B621A" w:rsidRPr="00271D4A">
        <w:rPr>
          <w:szCs w:val="20"/>
          <w:lang w:val="es-CR"/>
        </w:rPr>
        <w:t xml:space="preserve">. </w:t>
      </w:r>
      <w:r w:rsidR="00A73220" w:rsidRPr="00271D4A">
        <w:rPr>
          <w:szCs w:val="20"/>
          <w:lang w:val="es-CR"/>
        </w:rPr>
        <w:t>Agregó que l</w:t>
      </w:r>
      <w:r w:rsidR="000B621A" w:rsidRPr="00271D4A">
        <w:rPr>
          <w:szCs w:val="20"/>
          <w:lang w:val="es-CR"/>
        </w:rPr>
        <w:t xml:space="preserve">a muerte del cabo Noguera fue investigada en el marco de un proceso en la jurisdicción militar </w:t>
      </w:r>
      <w:r w:rsidR="00A73220" w:rsidRPr="00271D4A">
        <w:rPr>
          <w:szCs w:val="20"/>
          <w:lang w:val="es-CR"/>
        </w:rPr>
        <w:t xml:space="preserve">que fue sobreseído el </w:t>
      </w:r>
      <w:r w:rsidR="00271D4A" w:rsidRPr="00271D4A">
        <w:rPr>
          <w:szCs w:val="20"/>
          <w:lang w:val="es-CR"/>
        </w:rPr>
        <w:t xml:space="preserve">21 </w:t>
      </w:r>
      <w:r w:rsidR="00A73220" w:rsidRPr="00271D4A">
        <w:rPr>
          <w:szCs w:val="20"/>
          <w:lang w:val="es-CR"/>
        </w:rPr>
        <w:t xml:space="preserve">de octubre de 1996 al concluirse que </w:t>
      </w:r>
      <w:r w:rsidR="000B621A" w:rsidRPr="00271D4A">
        <w:rPr>
          <w:szCs w:val="20"/>
          <w:lang w:val="es-CR"/>
        </w:rPr>
        <w:t xml:space="preserve">su muerte se debió a una infección pulmonar generalizada. </w:t>
      </w:r>
      <w:r w:rsidR="00A73220" w:rsidRPr="00271D4A">
        <w:rPr>
          <w:szCs w:val="20"/>
          <w:lang w:val="es-CR"/>
        </w:rPr>
        <w:t>Indicó</w:t>
      </w:r>
      <w:r w:rsidR="00A73220" w:rsidRPr="00016E36">
        <w:rPr>
          <w:szCs w:val="20"/>
          <w:lang w:val="es-CR"/>
        </w:rPr>
        <w:t xml:space="preserve"> que más tarde, e</w:t>
      </w:r>
      <w:r w:rsidR="000B621A" w:rsidRPr="00016E36">
        <w:rPr>
          <w:szCs w:val="20"/>
          <w:lang w:val="es-CR"/>
        </w:rPr>
        <w:t xml:space="preserve">l 6 de noviembre de 2002, </w:t>
      </w:r>
      <w:r w:rsidR="00A73220" w:rsidRPr="00016E36">
        <w:rPr>
          <w:szCs w:val="20"/>
          <w:lang w:val="es-CR"/>
        </w:rPr>
        <w:t xml:space="preserve">el caso fue archivado en </w:t>
      </w:r>
      <w:r w:rsidR="000B621A" w:rsidRPr="00016E36">
        <w:rPr>
          <w:szCs w:val="20"/>
          <w:lang w:val="es-CR"/>
        </w:rPr>
        <w:t xml:space="preserve">la jurisdicción ordinaria por inactividad. </w:t>
      </w:r>
    </w:p>
    <w:p w14:paraId="17DE5AD1" w14:textId="77777777" w:rsidR="00070CFE" w:rsidRPr="003B376F" w:rsidRDefault="006F5C6B" w:rsidP="007914C4">
      <w:pPr>
        <w:pStyle w:val="Prrafodelista"/>
        <w:numPr>
          <w:ilvl w:val="0"/>
          <w:numId w:val="2"/>
        </w:numPr>
        <w:spacing w:before="120" w:after="120"/>
        <w:ind w:left="0" w:right="-6" w:firstLine="0"/>
        <w:contextualSpacing w:val="0"/>
        <w:rPr>
          <w:szCs w:val="20"/>
        </w:rPr>
      </w:pPr>
      <w:bookmarkStart w:id="8" w:name="_Ref363651855"/>
      <w:r w:rsidRPr="003B376F">
        <w:rPr>
          <w:i/>
          <w:szCs w:val="20"/>
        </w:rPr>
        <w:t xml:space="preserve">Trámite ante la Comisión. </w:t>
      </w:r>
      <w:r w:rsidRPr="003B376F">
        <w:rPr>
          <w:szCs w:val="20"/>
        </w:rPr>
        <w:t>– El trámite ante la Comisión fue el siguiente:</w:t>
      </w:r>
      <w:bookmarkEnd w:id="8"/>
    </w:p>
    <w:p w14:paraId="484EC7BC" w14:textId="08263D79" w:rsidR="006F5C6B" w:rsidRPr="003B376F" w:rsidRDefault="006F5C6B" w:rsidP="006D68B0">
      <w:pPr>
        <w:pStyle w:val="Prrafodelista"/>
        <w:numPr>
          <w:ilvl w:val="1"/>
          <w:numId w:val="1"/>
        </w:numPr>
        <w:spacing w:before="120" w:after="120"/>
        <w:ind w:left="284" w:right="-6" w:firstLine="0"/>
        <w:contextualSpacing w:val="0"/>
        <w:rPr>
          <w:szCs w:val="20"/>
          <w:lang w:val="es-CR"/>
        </w:rPr>
      </w:pPr>
      <w:r w:rsidRPr="003B376F">
        <w:rPr>
          <w:i/>
          <w:szCs w:val="20"/>
        </w:rPr>
        <w:t>Petición. –</w:t>
      </w:r>
      <w:r w:rsidRPr="003B376F">
        <w:rPr>
          <w:szCs w:val="20"/>
        </w:rPr>
        <w:t xml:space="preserve"> </w:t>
      </w:r>
      <w:r w:rsidR="0017500C" w:rsidRPr="003B376F">
        <w:rPr>
          <w:szCs w:val="20"/>
        </w:rPr>
        <w:t xml:space="preserve">El </w:t>
      </w:r>
      <w:r w:rsidR="000B621A">
        <w:rPr>
          <w:szCs w:val="20"/>
        </w:rPr>
        <w:t xml:space="preserve">17 de </w:t>
      </w:r>
      <w:r w:rsidR="00F56716" w:rsidRPr="003B376F">
        <w:rPr>
          <w:szCs w:val="20"/>
        </w:rPr>
        <w:t>o</w:t>
      </w:r>
      <w:r w:rsidR="000B621A">
        <w:rPr>
          <w:szCs w:val="20"/>
        </w:rPr>
        <w:t>ctubre de 2000</w:t>
      </w:r>
      <w:r w:rsidR="00187623" w:rsidRPr="003B376F">
        <w:rPr>
          <w:szCs w:val="20"/>
        </w:rPr>
        <w:t xml:space="preserve">, </w:t>
      </w:r>
      <w:r w:rsidR="0003786A" w:rsidRPr="003B376F">
        <w:rPr>
          <w:szCs w:val="20"/>
        </w:rPr>
        <w:t xml:space="preserve">la Comisión recibió </w:t>
      </w:r>
      <w:r w:rsidR="00567984" w:rsidRPr="003B376F">
        <w:rPr>
          <w:szCs w:val="20"/>
        </w:rPr>
        <w:t>una</w:t>
      </w:r>
      <w:r w:rsidR="00187623" w:rsidRPr="003B376F">
        <w:rPr>
          <w:szCs w:val="20"/>
        </w:rPr>
        <w:t xml:space="preserve"> </w:t>
      </w:r>
      <w:r w:rsidR="0003786A" w:rsidRPr="003B376F">
        <w:rPr>
          <w:szCs w:val="20"/>
        </w:rPr>
        <w:t>petici</w:t>
      </w:r>
      <w:r w:rsidR="00567984" w:rsidRPr="003B376F">
        <w:rPr>
          <w:szCs w:val="20"/>
        </w:rPr>
        <w:t>ón</w:t>
      </w:r>
      <w:r w:rsidR="0003786A" w:rsidRPr="003B376F">
        <w:rPr>
          <w:szCs w:val="20"/>
        </w:rPr>
        <w:t xml:space="preserve"> presentada </w:t>
      </w:r>
      <w:r w:rsidR="005217A1" w:rsidRPr="003B376F">
        <w:rPr>
          <w:szCs w:val="20"/>
        </w:rPr>
        <w:t xml:space="preserve">por </w:t>
      </w:r>
      <w:r w:rsidR="007460F0">
        <w:rPr>
          <w:szCs w:val="20"/>
          <w:lang w:val="es-CR"/>
        </w:rPr>
        <w:t xml:space="preserve">María Noguera </w:t>
      </w:r>
      <w:r w:rsidR="001942E5" w:rsidRPr="003B376F">
        <w:rPr>
          <w:szCs w:val="20"/>
        </w:rPr>
        <w:t xml:space="preserve">(en adelante </w:t>
      </w:r>
      <w:r w:rsidR="007A0EF0">
        <w:rPr>
          <w:szCs w:val="20"/>
        </w:rPr>
        <w:t xml:space="preserve">también </w:t>
      </w:r>
      <w:r w:rsidR="001942E5" w:rsidRPr="003B376F">
        <w:rPr>
          <w:szCs w:val="20"/>
        </w:rPr>
        <w:t>“</w:t>
      </w:r>
      <w:r w:rsidR="00567984" w:rsidRPr="003B376F">
        <w:rPr>
          <w:szCs w:val="20"/>
        </w:rPr>
        <w:t>l</w:t>
      </w:r>
      <w:r w:rsidR="007460F0">
        <w:rPr>
          <w:szCs w:val="20"/>
        </w:rPr>
        <w:t>a peticionaria</w:t>
      </w:r>
      <w:r w:rsidR="005217A1" w:rsidRPr="003B376F">
        <w:rPr>
          <w:szCs w:val="20"/>
        </w:rPr>
        <w:t>”)</w:t>
      </w:r>
      <w:r w:rsidR="00831FA1" w:rsidRPr="003B376F">
        <w:rPr>
          <w:szCs w:val="20"/>
        </w:rPr>
        <w:t xml:space="preserve"> </w:t>
      </w:r>
      <w:r w:rsidR="00781101" w:rsidRPr="003B376F">
        <w:rPr>
          <w:szCs w:val="20"/>
        </w:rPr>
        <w:t xml:space="preserve">en </w:t>
      </w:r>
      <w:r w:rsidR="002F6EE9" w:rsidRPr="003B376F">
        <w:rPr>
          <w:szCs w:val="20"/>
        </w:rPr>
        <w:t>contra</w:t>
      </w:r>
      <w:r w:rsidR="005217A1" w:rsidRPr="003B376F">
        <w:rPr>
          <w:szCs w:val="20"/>
        </w:rPr>
        <w:t xml:space="preserve"> de</w:t>
      </w:r>
      <w:r w:rsidR="002F6EE9" w:rsidRPr="003B376F">
        <w:rPr>
          <w:szCs w:val="20"/>
        </w:rPr>
        <w:t xml:space="preserve"> </w:t>
      </w:r>
      <w:r w:rsidR="007460F0">
        <w:rPr>
          <w:szCs w:val="20"/>
        </w:rPr>
        <w:t>Paraguay</w:t>
      </w:r>
      <w:r w:rsidR="002F6EE9" w:rsidRPr="003B376F">
        <w:rPr>
          <w:szCs w:val="20"/>
        </w:rPr>
        <w:t>.</w:t>
      </w:r>
      <w:r w:rsidR="002D4BC5" w:rsidRPr="003B376F">
        <w:rPr>
          <w:szCs w:val="20"/>
        </w:rPr>
        <w:t xml:space="preserve"> </w:t>
      </w:r>
    </w:p>
    <w:p w14:paraId="56A6C080" w14:textId="629F5EC4" w:rsidR="0033287E" w:rsidRPr="003B376F" w:rsidRDefault="0033287E" w:rsidP="0033287E">
      <w:pPr>
        <w:pStyle w:val="Prrafodelista"/>
        <w:numPr>
          <w:ilvl w:val="1"/>
          <w:numId w:val="1"/>
        </w:numPr>
        <w:spacing w:before="120" w:after="120"/>
        <w:ind w:left="284" w:right="-6" w:firstLine="0"/>
        <w:contextualSpacing w:val="0"/>
        <w:rPr>
          <w:szCs w:val="20"/>
        </w:rPr>
      </w:pPr>
      <w:r w:rsidRPr="003B376F">
        <w:rPr>
          <w:i/>
          <w:szCs w:val="20"/>
        </w:rPr>
        <w:t>Informe de Admisibilidad.</w:t>
      </w:r>
      <w:r>
        <w:rPr>
          <w:szCs w:val="20"/>
        </w:rPr>
        <w:t xml:space="preserve"> – El 22 de marz</w:t>
      </w:r>
      <w:r w:rsidRPr="003B376F">
        <w:rPr>
          <w:szCs w:val="20"/>
        </w:rPr>
        <w:t xml:space="preserve">o </w:t>
      </w:r>
      <w:r>
        <w:rPr>
          <w:szCs w:val="20"/>
        </w:rPr>
        <w:t>de 2011</w:t>
      </w:r>
      <w:r w:rsidRPr="003B376F">
        <w:rPr>
          <w:szCs w:val="20"/>
        </w:rPr>
        <w:t xml:space="preserve"> la Comisión aprobó el </w:t>
      </w:r>
      <w:r w:rsidR="00793FF5">
        <w:rPr>
          <w:szCs w:val="20"/>
        </w:rPr>
        <w:t>I</w:t>
      </w:r>
      <w:r w:rsidRPr="003B376F">
        <w:rPr>
          <w:szCs w:val="20"/>
        </w:rPr>
        <w:t xml:space="preserve">nforme de </w:t>
      </w:r>
      <w:r w:rsidR="00793FF5">
        <w:rPr>
          <w:szCs w:val="20"/>
        </w:rPr>
        <w:t>A</w:t>
      </w:r>
      <w:r w:rsidRPr="003B376F">
        <w:rPr>
          <w:szCs w:val="20"/>
        </w:rPr>
        <w:t xml:space="preserve">dmisibilidad No. </w:t>
      </w:r>
      <w:r>
        <w:rPr>
          <w:szCs w:val="20"/>
        </w:rPr>
        <w:t>10/11</w:t>
      </w:r>
      <w:r w:rsidRPr="003B376F">
        <w:rPr>
          <w:szCs w:val="20"/>
        </w:rPr>
        <w:t xml:space="preserve">. </w:t>
      </w:r>
    </w:p>
    <w:p w14:paraId="2E501989" w14:textId="5FE87565" w:rsidR="00C70466" w:rsidRPr="00C70466" w:rsidRDefault="00C70466" w:rsidP="00DB0C2F">
      <w:pPr>
        <w:pStyle w:val="Prrafodelista"/>
        <w:numPr>
          <w:ilvl w:val="1"/>
          <w:numId w:val="1"/>
        </w:numPr>
        <w:spacing w:before="120" w:after="120"/>
        <w:ind w:left="284" w:right="-6" w:firstLine="0"/>
        <w:contextualSpacing w:val="0"/>
        <w:rPr>
          <w:szCs w:val="20"/>
        </w:rPr>
      </w:pPr>
      <w:r>
        <w:rPr>
          <w:i/>
          <w:szCs w:val="20"/>
        </w:rPr>
        <w:t xml:space="preserve">Acuerdo de </w:t>
      </w:r>
      <w:r w:rsidR="00B41EBA">
        <w:rPr>
          <w:i/>
          <w:szCs w:val="20"/>
        </w:rPr>
        <w:t>S</w:t>
      </w:r>
      <w:r>
        <w:rPr>
          <w:i/>
          <w:szCs w:val="20"/>
        </w:rPr>
        <w:t xml:space="preserve">olución </w:t>
      </w:r>
      <w:r w:rsidR="00B41EBA">
        <w:rPr>
          <w:i/>
          <w:szCs w:val="20"/>
        </w:rPr>
        <w:t>A</w:t>
      </w:r>
      <w:r>
        <w:rPr>
          <w:i/>
          <w:szCs w:val="20"/>
        </w:rPr>
        <w:t>mistosa</w:t>
      </w:r>
      <w:r w:rsidRPr="003B376F">
        <w:rPr>
          <w:szCs w:val="20"/>
        </w:rPr>
        <w:t>. –</w:t>
      </w:r>
      <w:r>
        <w:rPr>
          <w:szCs w:val="20"/>
        </w:rPr>
        <w:t xml:space="preserve"> El 5 de agosto de 2011 se suscribió un </w:t>
      </w:r>
      <w:r w:rsidR="00A406ED">
        <w:rPr>
          <w:szCs w:val="20"/>
        </w:rPr>
        <w:t>A</w:t>
      </w:r>
      <w:r>
        <w:rPr>
          <w:szCs w:val="20"/>
        </w:rPr>
        <w:t xml:space="preserve">cuerdo de </w:t>
      </w:r>
      <w:r w:rsidR="00B41EBA">
        <w:rPr>
          <w:szCs w:val="20"/>
        </w:rPr>
        <w:t>S</w:t>
      </w:r>
      <w:r>
        <w:rPr>
          <w:szCs w:val="20"/>
        </w:rPr>
        <w:t xml:space="preserve">olución </w:t>
      </w:r>
      <w:r w:rsidR="00B41EBA">
        <w:rPr>
          <w:szCs w:val="20"/>
        </w:rPr>
        <w:t>A</w:t>
      </w:r>
      <w:r>
        <w:rPr>
          <w:szCs w:val="20"/>
        </w:rPr>
        <w:t>mistosa entre el Estado y los representantes. El Acuerdo no fue homologado por la Comisión en los términos de los artículos 48.1.f y 49 de la Convención Americana</w:t>
      </w:r>
      <w:r w:rsidR="00016E36">
        <w:rPr>
          <w:rStyle w:val="Refdenotaalpie"/>
        </w:rPr>
        <w:footnoteReference w:id="2"/>
      </w:r>
      <w:r>
        <w:rPr>
          <w:szCs w:val="20"/>
        </w:rPr>
        <w:t>.</w:t>
      </w:r>
    </w:p>
    <w:p w14:paraId="79D8C3E8" w14:textId="51935080" w:rsidR="006F5C6B" w:rsidRPr="003B376F" w:rsidRDefault="005217A1" w:rsidP="00DD13DA">
      <w:pPr>
        <w:pStyle w:val="Prrafodelista"/>
        <w:numPr>
          <w:ilvl w:val="1"/>
          <w:numId w:val="1"/>
        </w:numPr>
        <w:spacing w:before="120" w:after="120"/>
        <w:ind w:left="284" w:right="-6" w:firstLine="0"/>
        <w:contextualSpacing w:val="0"/>
        <w:rPr>
          <w:szCs w:val="20"/>
        </w:rPr>
      </w:pPr>
      <w:r w:rsidRPr="003B376F">
        <w:rPr>
          <w:i/>
          <w:szCs w:val="20"/>
        </w:rPr>
        <w:t>Informe de Fondo</w:t>
      </w:r>
      <w:r w:rsidR="006F5C6B" w:rsidRPr="003B376F">
        <w:rPr>
          <w:szCs w:val="20"/>
        </w:rPr>
        <w:t xml:space="preserve">. </w:t>
      </w:r>
      <w:r w:rsidR="0003786A" w:rsidRPr="003B376F">
        <w:rPr>
          <w:szCs w:val="20"/>
        </w:rPr>
        <w:t>–</w:t>
      </w:r>
      <w:r w:rsidR="006F5C6B" w:rsidRPr="003B376F">
        <w:rPr>
          <w:szCs w:val="20"/>
        </w:rPr>
        <w:t xml:space="preserve"> </w:t>
      </w:r>
      <w:r w:rsidR="0003786A" w:rsidRPr="003B376F">
        <w:rPr>
          <w:szCs w:val="20"/>
        </w:rPr>
        <w:t xml:space="preserve">El </w:t>
      </w:r>
      <w:r w:rsidR="00F00E22">
        <w:rPr>
          <w:szCs w:val="20"/>
        </w:rPr>
        <w:t>24</w:t>
      </w:r>
      <w:r w:rsidR="00FE10A5" w:rsidRPr="003B376F">
        <w:rPr>
          <w:szCs w:val="20"/>
        </w:rPr>
        <w:t xml:space="preserve"> de </w:t>
      </w:r>
      <w:r w:rsidR="00F00E22">
        <w:rPr>
          <w:szCs w:val="20"/>
        </w:rPr>
        <w:t>febrer</w:t>
      </w:r>
      <w:r w:rsidR="00DE0EB0" w:rsidRPr="003B376F">
        <w:rPr>
          <w:szCs w:val="20"/>
        </w:rPr>
        <w:t>o</w:t>
      </w:r>
      <w:r w:rsidR="00FE10A5" w:rsidRPr="003B376F">
        <w:rPr>
          <w:szCs w:val="20"/>
        </w:rPr>
        <w:t xml:space="preserve"> de </w:t>
      </w:r>
      <w:r w:rsidR="00F00E22">
        <w:rPr>
          <w:szCs w:val="20"/>
        </w:rPr>
        <w:t>2018</w:t>
      </w:r>
      <w:r w:rsidR="00DE0EB0" w:rsidRPr="003B376F">
        <w:rPr>
          <w:szCs w:val="20"/>
        </w:rPr>
        <w:t xml:space="preserve"> </w:t>
      </w:r>
      <w:r w:rsidR="00EB0270" w:rsidRPr="003B376F">
        <w:rPr>
          <w:szCs w:val="20"/>
        </w:rPr>
        <w:t>la Comisión emitió</w:t>
      </w:r>
      <w:r w:rsidR="006F5C6B" w:rsidRPr="003B376F">
        <w:rPr>
          <w:szCs w:val="20"/>
        </w:rPr>
        <w:t xml:space="preserve"> el Informe de </w:t>
      </w:r>
      <w:r w:rsidRPr="003B376F">
        <w:rPr>
          <w:szCs w:val="20"/>
        </w:rPr>
        <w:t>Fondo</w:t>
      </w:r>
      <w:r w:rsidR="006F5C6B" w:rsidRPr="003B376F">
        <w:rPr>
          <w:szCs w:val="20"/>
        </w:rPr>
        <w:t xml:space="preserve"> N</w:t>
      </w:r>
      <w:r w:rsidR="007A0EF0">
        <w:rPr>
          <w:szCs w:val="20"/>
        </w:rPr>
        <w:t>o. 2</w:t>
      </w:r>
      <w:r w:rsidR="00F00E22">
        <w:rPr>
          <w:szCs w:val="20"/>
        </w:rPr>
        <w:t>3</w:t>
      </w:r>
      <w:r w:rsidRPr="003B376F">
        <w:rPr>
          <w:szCs w:val="20"/>
        </w:rPr>
        <w:t>/</w:t>
      </w:r>
      <w:r w:rsidR="00F00E22">
        <w:rPr>
          <w:szCs w:val="20"/>
        </w:rPr>
        <w:t>18</w:t>
      </w:r>
      <w:r w:rsidR="00EB0270" w:rsidRPr="003B376F">
        <w:rPr>
          <w:szCs w:val="20"/>
        </w:rPr>
        <w:t>,</w:t>
      </w:r>
      <w:r w:rsidR="006F5C6B" w:rsidRPr="003B376F">
        <w:rPr>
          <w:szCs w:val="20"/>
        </w:rPr>
        <w:t xml:space="preserve"> </w:t>
      </w:r>
      <w:r w:rsidR="006A2B05" w:rsidRPr="003B376F">
        <w:rPr>
          <w:szCs w:val="20"/>
        </w:rPr>
        <w:t xml:space="preserve">conforme al artículo 50 de la Convención </w:t>
      </w:r>
      <w:r w:rsidR="0014438A" w:rsidRPr="003B376F">
        <w:rPr>
          <w:szCs w:val="20"/>
        </w:rPr>
        <w:t>(en adelante “Inf</w:t>
      </w:r>
      <w:r w:rsidR="00AD50B4" w:rsidRPr="003B376F">
        <w:rPr>
          <w:szCs w:val="20"/>
        </w:rPr>
        <w:t>orme de Fondo” o “Informe N</w:t>
      </w:r>
      <w:r w:rsidR="003E6431" w:rsidRPr="003B376F">
        <w:rPr>
          <w:szCs w:val="20"/>
        </w:rPr>
        <w:t>o.</w:t>
      </w:r>
      <w:r w:rsidR="00F00E22">
        <w:rPr>
          <w:szCs w:val="20"/>
        </w:rPr>
        <w:t xml:space="preserve"> 23/18</w:t>
      </w:r>
      <w:r w:rsidR="0014438A" w:rsidRPr="003B376F">
        <w:rPr>
          <w:szCs w:val="20"/>
        </w:rPr>
        <w:t>”)</w:t>
      </w:r>
      <w:r w:rsidR="006A2B05" w:rsidRPr="003B376F">
        <w:rPr>
          <w:szCs w:val="20"/>
        </w:rPr>
        <w:t xml:space="preserve">, </w:t>
      </w:r>
      <w:r w:rsidR="00EB0270" w:rsidRPr="003B376F">
        <w:rPr>
          <w:szCs w:val="20"/>
        </w:rPr>
        <w:t>en el cual llegó a una serie de conclusiones y formuló varias recomendaciones al Estado</w:t>
      </w:r>
      <w:r w:rsidR="0014438A" w:rsidRPr="003B376F">
        <w:rPr>
          <w:szCs w:val="20"/>
        </w:rPr>
        <w:t>.</w:t>
      </w:r>
      <w:r w:rsidR="00785A29">
        <w:rPr>
          <w:szCs w:val="20"/>
        </w:rPr>
        <w:t xml:space="preserve"> </w:t>
      </w:r>
    </w:p>
    <w:p w14:paraId="0BE094D2" w14:textId="6B986808" w:rsidR="00C12AF0" w:rsidRPr="00C70466" w:rsidRDefault="00B10905" w:rsidP="00C25436">
      <w:pPr>
        <w:pStyle w:val="Prrafodelista"/>
        <w:numPr>
          <w:ilvl w:val="1"/>
          <w:numId w:val="1"/>
        </w:numPr>
        <w:spacing w:before="120" w:after="120"/>
        <w:ind w:left="284" w:right="-6" w:firstLine="0"/>
        <w:contextualSpacing w:val="0"/>
        <w:rPr>
          <w:szCs w:val="20"/>
          <w:lang w:val="es-CR"/>
        </w:rPr>
      </w:pPr>
      <w:r w:rsidRPr="003B376F">
        <w:rPr>
          <w:szCs w:val="20"/>
        </w:rPr>
        <w:t xml:space="preserve"> </w:t>
      </w:r>
      <w:r w:rsidR="00375DA4" w:rsidRPr="00C70466">
        <w:rPr>
          <w:i/>
          <w:szCs w:val="20"/>
        </w:rPr>
        <w:t xml:space="preserve">Notificación al Estado. – </w:t>
      </w:r>
      <w:r w:rsidR="00375DA4" w:rsidRPr="00C70466">
        <w:rPr>
          <w:szCs w:val="20"/>
        </w:rPr>
        <w:t>El Informe de Fondo fue notificado al Estado</w:t>
      </w:r>
      <w:r w:rsidR="007E118F" w:rsidRPr="00C70466">
        <w:rPr>
          <w:szCs w:val="20"/>
        </w:rPr>
        <w:t xml:space="preserve"> </w:t>
      </w:r>
      <w:r w:rsidR="00505CC2" w:rsidRPr="00C70466">
        <w:rPr>
          <w:szCs w:val="20"/>
        </w:rPr>
        <w:t xml:space="preserve">el </w:t>
      </w:r>
      <w:r w:rsidR="00C16635" w:rsidRPr="00C70466">
        <w:rPr>
          <w:szCs w:val="20"/>
        </w:rPr>
        <w:t>2 de abril de 2018</w:t>
      </w:r>
      <w:r w:rsidR="002D0C3F" w:rsidRPr="00C70466">
        <w:rPr>
          <w:szCs w:val="20"/>
        </w:rPr>
        <w:t>, otorgándol</w:t>
      </w:r>
      <w:r w:rsidR="00375DA4" w:rsidRPr="00C70466">
        <w:rPr>
          <w:szCs w:val="20"/>
        </w:rPr>
        <w:t>e un plazo de dos meses para informar sobre el cump</w:t>
      </w:r>
      <w:r w:rsidR="002F50F0" w:rsidRPr="00C70466">
        <w:rPr>
          <w:szCs w:val="20"/>
        </w:rPr>
        <w:t>limiento de las recomendaciones.</w:t>
      </w:r>
      <w:r w:rsidR="00375DA4" w:rsidRPr="00C70466">
        <w:rPr>
          <w:szCs w:val="20"/>
        </w:rPr>
        <w:t xml:space="preserve"> </w:t>
      </w:r>
      <w:r w:rsidR="00785A29" w:rsidRPr="00C70466">
        <w:rPr>
          <w:szCs w:val="20"/>
        </w:rPr>
        <w:t xml:space="preserve">El Estado contestó el </w:t>
      </w:r>
      <w:r w:rsidR="009262CD">
        <w:rPr>
          <w:szCs w:val="20"/>
        </w:rPr>
        <w:t>I</w:t>
      </w:r>
      <w:r w:rsidR="009262CD" w:rsidRPr="00C70466">
        <w:rPr>
          <w:szCs w:val="20"/>
        </w:rPr>
        <w:t xml:space="preserve">nforme </w:t>
      </w:r>
      <w:r w:rsidR="00785A29" w:rsidRPr="00C70466">
        <w:rPr>
          <w:szCs w:val="20"/>
        </w:rPr>
        <w:t xml:space="preserve">de </w:t>
      </w:r>
      <w:r w:rsidR="009262CD">
        <w:rPr>
          <w:szCs w:val="20"/>
        </w:rPr>
        <w:t>F</w:t>
      </w:r>
      <w:r w:rsidR="009262CD" w:rsidRPr="00C70466">
        <w:rPr>
          <w:szCs w:val="20"/>
        </w:rPr>
        <w:t xml:space="preserve">ondo </w:t>
      </w:r>
      <w:r w:rsidR="00785A29" w:rsidRPr="00C70466">
        <w:rPr>
          <w:szCs w:val="20"/>
        </w:rPr>
        <w:t>el 26 de junio de 2018, informando sobre una serie de medidas adoptadas para cumplir con las recomendaciones contenidas en el mismo. La Comisión consideró que existía un incumplimiento de la medida fundamental de justicia y ante la ausencia de una solicitud de prórroga por parte del Estado, decidió enviar el caso a la Corte Interamericana.</w:t>
      </w:r>
      <w:r w:rsidR="002F50F0" w:rsidRPr="00C70466">
        <w:rPr>
          <w:szCs w:val="20"/>
          <w:lang w:val="es-AR"/>
        </w:rPr>
        <w:t xml:space="preserve"> </w:t>
      </w:r>
    </w:p>
    <w:p w14:paraId="41B9E161" w14:textId="4B6F0FF1" w:rsidR="00C12AF0" w:rsidRPr="003B376F" w:rsidRDefault="00375DA4" w:rsidP="005936DA">
      <w:pPr>
        <w:pStyle w:val="Prrafodelista"/>
        <w:numPr>
          <w:ilvl w:val="0"/>
          <w:numId w:val="2"/>
        </w:numPr>
        <w:spacing w:before="120" w:after="120"/>
        <w:ind w:left="0" w:right="-4" w:firstLine="0"/>
        <w:contextualSpacing w:val="0"/>
        <w:rPr>
          <w:szCs w:val="20"/>
        </w:rPr>
      </w:pPr>
      <w:r w:rsidRPr="003B376F">
        <w:rPr>
          <w:i/>
          <w:szCs w:val="20"/>
        </w:rPr>
        <w:t>Sometimiento a la Corte. –</w:t>
      </w:r>
      <w:r w:rsidR="00FC2B45" w:rsidRPr="003B376F">
        <w:rPr>
          <w:szCs w:val="20"/>
        </w:rPr>
        <w:t xml:space="preserve"> El </w:t>
      </w:r>
      <w:r w:rsidR="00DA12DA">
        <w:rPr>
          <w:szCs w:val="20"/>
        </w:rPr>
        <w:t>2 de julio</w:t>
      </w:r>
      <w:r w:rsidR="00AD50B4" w:rsidRPr="003B376F">
        <w:rPr>
          <w:szCs w:val="20"/>
        </w:rPr>
        <w:t xml:space="preserve"> de</w:t>
      </w:r>
      <w:r w:rsidR="00F32505" w:rsidRPr="003B376F">
        <w:rPr>
          <w:szCs w:val="20"/>
        </w:rPr>
        <w:t xml:space="preserve"> </w:t>
      </w:r>
      <w:r w:rsidR="00DA12DA">
        <w:rPr>
          <w:szCs w:val="20"/>
        </w:rPr>
        <w:t>2018</w:t>
      </w:r>
      <w:r w:rsidR="002D0C3F" w:rsidRPr="003B376F">
        <w:rPr>
          <w:szCs w:val="20"/>
        </w:rPr>
        <w:t xml:space="preserve"> </w:t>
      </w:r>
      <w:r w:rsidRPr="003B376F">
        <w:rPr>
          <w:szCs w:val="20"/>
        </w:rPr>
        <w:t xml:space="preserve">la Comisión sometió </w:t>
      </w:r>
      <w:r w:rsidRPr="003B376F">
        <w:rPr>
          <w:rFonts w:eastAsiaTheme="minorHAnsi" w:cs="Verdana"/>
          <w:szCs w:val="20"/>
          <w:lang w:val="es-ES"/>
        </w:rPr>
        <w:t>a la jurisdicción de la Corte Interamericana la totalidad de los hechos y supuestas violacio</w:t>
      </w:r>
      <w:r w:rsidR="00642EA7" w:rsidRPr="003B376F">
        <w:rPr>
          <w:rFonts w:eastAsiaTheme="minorHAnsi" w:cs="Verdana"/>
          <w:szCs w:val="20"/>
          <w:lang w:val="es-ES"/>
        </w:rPr>
        <w:t xml:space="preserve">nes de </w:t>
      </w:r>
      <w:r w:rsidR="00642EA7" w:rsidRPr="003B376F">
        <w:rPr>
          <w:szCs w:val="20"/>
        </w:rPr>
        <w:t>derechos</w:t>
      </w:r>
      <w:r w:rsidR="00642EA7" w:rsidRPr="003B376F">
        <w:rPr>
          <w:rFonts w:eastAsiaTheme="minorHAnsi" w:cs="Verdana"/>
          <w:szCs w:val="20"/>
          <w:lang w:val="es-ES"/>
        </w:rPr>
        <w:t xml:space="preserve"> humanos descrita</w:t>
      </w:r>
      <w:r w:rsidRPr="003B376F">
        <w:rPr>
          <w:rFonts w:eastAsiaTheme="minorHAnsi" w:cs="Verdana"/>
          <w:szCs w:val="20"/>
          <w:lang w:val="es-ES"/>
        </w:rPr>
        <w:t xml:space="preserve">s en el Informe </w:t>
      </w:r>
      <w:r w:rsidR="00336067" w:rsidRPr="003B376F">
        <w:rPr>
          <w:rFonts w:eastAsiaTheme="minorHAnsi" w:cs="Verdana"/>
          <w:szCs w:val="20"/>
          <w:lang w:val="es-ES"/>
        </w:rPr>
        <w:t xml:space="preserve">de </w:t>
      </w:r>
      <w:r w:rsidR="0078010D" w:rsidRPr="003B376F">
        <w:rPr>
          <w:szCs w:val="20"/>
          <w:lang w:val="es-AR"/>
        </w:rPr>
        <w:t>Fondo</w:t>
      </w:r>
      <w:r w:rsidR="0078010D" w:rsidRPr="003B376F">
        <w:rPr>
          <w:rFonts w:eastAsiaTheme="minorHAnsi" w:cs="Verdana"/>
          <w:szCs w:val="20"/>
          <w:lang w:val="es-ES"/>
        </w:rPr>
        <w:t xml:space="preserve"> </w:t>
      </w:r>
      <w:r w:rsidRPr="003B376F">
        <w:rPr>
          <w:szCs w:val="20"/>
        </w:rPr>
        <w:t>“</w:t>
      </w:r>
      <w:r w:rsidR="00DA12DA">
        <w:rPr>
          <w:szCs w:val="20"/>
        </w:rPr>
        <w:t xml:space="preserve">ante </w:t>
      </w:r>
      <w:r w:rsidR="00D310B3" w:rsidRPr="003B376F">
        <w:rPr>
          <w:szCs w:val="20"/>
        </w:rPr>
        <w:t xml:space="preserve">la necesidad de obtención de </w:t>
      </w:r>
      <w:r w:rsidR="002F50F0" w:rsidRPr="003B376F">
        <w:rPr>
          <w:szCs w:val="20"/>
        </w:rPr>
        <w:t xml:space="preserve">justicia </w:t>
      </w:r>
      <w:r w:rsidR="00DA12DA">
        <w:rPr>
          <w:szCs w:val="20"/>
        </w:rPr>
        <w:t>y reparación</w:t>
      </w:r>
      <w:r w:rsidR="002F50F0" w:rsidRPr="003B376F">
        <w:rPr>
          <w:szCs w:val="20"/>
        </w:rPr>
        <w:t>”</w:t>
      </w:r>
      <w:r w:rsidR="004D26A7" w:rsidRPr="003B376F">
        <w:rPr>
          <w:szCs w:val="20"/>
        </w:rPr>
        <w:t>.</w:t>
      </w:r>
      <w:r w:rsidR="002F50F0" w:rsidRPr="003B376F">
        <w:rPr>
          <w:szCs w:val="20"/>
        </w:rPr>
        <w:t xml:space="preserve"> </w:t>
      </w:r>
      <w:r w:rsidR="00D078E3">
        <w:t xml:space="preserve">Además, la Comisión </w:t>
      </w:r>
      <w:r w:rsidR="00D078E3">
        <w:rPr>
          <w:szCs w:val="20"/>
          <w:lang w:val="es-AR"/>
        </w:rPr>
        <w:t>s</w:t>
      </w:r>
      <w:r w:rsidR="005936DA" w:rsidRPr="003B376F">
        <w:rPr>
          <w:szCs w:val="20"/>
          <w:lang w:val="es-AR"/>
        </w:rPr>
        <w:t>olicitó a la Corte que declarara la respon</w:t>
      </w:r>
      <w:r w:rsidR="00DA12DA">
        <w:rPr>
          <w:szCs w:val="20"/>
          <w:lang w:val="es-AR"/>
        </w:rPr>
        <w:t>sabilidad internacional de Paraguay</w:t>
      </w:r>
      <w:r w:rsidR="005936DA" w:rsidRPr="003B376F">
        <w:rPr>
          <w:szCs w:val="20"/>
          <w:lang w:val="es-AR"/>
        </w:rPr>
        <w:t xml:space="preserve"> por la </w:t>
      </w:r>
      <w:r w:rsidR="009262CD">
        <w:rPr>
          <w:szCs w:val="20"/>
          <w:lang w:val="es-AR"/>
        </w:rPr>
        <w:t>vulneración</w:t>
      </w:r>
      <w:r w:rsidR="009262CD" w:rsidRPr="003B376F">
        <w:rPr>
          <w:szCs w:val="20"/>
          <w:lang w:val="es-AR"/>
        </w:rPr>
        <w:t xml:space="preserve"> </w:t>
      </w:r>
      <w:r w:rsidR="005936DA" w:rsidRPr="003B376F">
        <w:rPr>
          <w:szCs w:val="20"/>
          <w:lang w:val="es-AR"/>
        </w:rPr>
        <w:t xml:space="preserve">a los derechos indicados en las conclusiones del </w:t>
      </w:r>
      <w:r w:rsidR="008160C6" w:rsidRPr="003B376F">
        <w:rPr>
          <w:szCs w:val="20"/>
          <w:lang w:val="es-AR"/>
        </w:rPr>
        <w:t xml:space="preserve">referido </w:t>
      </w:r>
      <w:r w:rsidR="00793FF5">
        <w:rPr>
          <w:szCs w:val="20"/>
          <w:lang w:val="es-AR"/>
        </w:rPr>
        <w:t>I</w:t>
      </w:r>
      <w:r w:rsidR="008160C6" w:rsidRPr="003B376F">
        <w:rPr>
          <w:szCs w:val="20"/>
          <w:lang w:val="es-AR"/>
        </w:rPr>
        <w:t>nforme</w:t>
      </w:r>
      <w:r w:rsidR="00B03F76">
        <w:rPr>
          <w:szCs w:val="20"/>
          <w:lang w:val="es-AR"/>
        </w:rPr>
        <w:t xml:space="preserve">, y </w:t>
      </w:r>
      <w:r w:rsidR="005936DA" w:rsidRPr="003B376F">
        <w:rPr>
          <w:szCs w:val="20"/>
          <w:lang w:val="es-AR"/>
        </w:rPr>
        <w:t>que se dispongan determinadas medidas de reparación (</w:t>
      </w:r>
      <w:r w:rsidR="005936DA" w:rsidRPr="003B376F">
        <w:rPr>
          <w:i/>
          <w:szCs w:val="20"/>
          <w:lang w:val="es-AR"/>
        </w:rPr>
        <w:t>infra</w:t>
      </w:r>
      <w:r w:rsidR="005936DA" w:rsidRPr="003B376F">
        <w:rPr>
          <w:szCs w:val="20"/>
          <w:lang w:val="es-AR"/>
        </w:rPr>
        <w:t xml:space="preserve"> </w:t>
      </w:r>
      <w:r w:rsidR="005936DA" w:rsidRPr="00B07EFB">
        <w:rPr>
          <w:szCs w:val="20"/>
          <w:lang w:val="es-AR"/>
        </w:rPr>
        <w:lastRenderedPageBreak/>
        <w:t xml:space="preserve">Capítulo </w:t>
      </w:r>
      <w:r w:rsidR="006D68B0" w:rsidRPr="00B07EFB">
        <w:rPr>
          <w:szCs w:val="20"/>
          <w:lang w:val="es-AR"/>
        </w:rPr>
        <w:t>IX</w:t>
      </w:r>
      <w:r w:rsidR="005936DA" w:rsidRPr="00B07EFB">
        <w:rPr>
          <w:szCs w:val="20"/>
          <w:lang w:val="es-AR"/>
        </w:rPr>
        <w:t>).</w:t>
      </w:r>
      <w:r w:rsidR="00072E5C">
        <w:rPr>
          <w:szCs w:val="20"/>
          <w:lang w:val="es-AR"/>
        </w:rPr>
        <w:t xml:space="preserve"> </w:t>
      </w:r>
      <w:r w:rsidR="00072E5C">
        <w:t>Este Tribunal nota que, entre la presentación de la petición inicial ante la Comisión y el sometimiento del caso ante la Corte, han transcurrido casi dieciocho años.</w:t>
      </w:r>
    </w:p>
    <w:p w14:paraId="394216C2" w14:textId="77777777" w:rsidR="00473A82" w:rsidRPr="003B376F" w:rsidRDefault="00C6683F" w:rsidP="00057525">
      <w:pPr>
        <w:pStyle w:val="Ttulo1"/>
        <w:ind w:right="-4"/>
        <w:rPr>
          <w:lang w:val="es-ES_tradnl"/>
        </w:rPr>
      </w:pPr>
      <w:bookmarkStart w:id="9" w:name="_Toc359314415"/>
      <w:bookmarkStart w:id="10" w:name="_Toc361671572"/>
      <w:bookmarkStart w:id="11" w:name="_Toc361671992"/>
      <w:bookmarkStart w:id="12" w:name="_Toc361732789"/>
      <w:bookmarkStart w:id="13" w:name="_Toc361732832"/>
      <w:bookmarkStart w:id="14" w:name="_Toc362456863"/>
      <w:bookmarkStart w:id="15" w:name="_Toc365021392"/>
      <w:bookmarkStart w:id="16" w:name="_Toc369076778"/>
      <w:bookmarkStart w:id="17" w:name="_Toc369989362"/>
      <w:bookmarkStart w:id="18" w:name="_Toc369989449"/>
      <w:bookmarkStart w:id="19" w:name="_Toc369989730"/>
      <w:bookmarkStart w:id="20" w:name="_Toc438132270"/>
      <w:bookmarkStart w:id="21" w:name="_Toc311128156"/>
      <w:bookmarkStart w:id="22" w:name="_Toc311128353"/>
      <w:bookmarkStart w:id="23" w:name="_Toc486693352"/>
      <w:bookmarkStart w:id="24" w:name="_Toc486842768"/>
      <w:bookmarkStart w:id="25" w:name="_Toc486842906"/>
      <w:bookmarkStart w:id="26" w:name="_Toc11166263"/>
      <w:bookmarkStart w:id="27" w:name="_Toc36132088"/>
      <w:r w:rsidRPr="003B376F">
        <w:rPr>
          <w:lang w:val="es-ES_tradnl"/>
        </w:rPr>
        <w:t>II</w:t>
      </w:r>
      <w:r w:rsidRPr="003B376F">
        <w:rPr>
          <w:color w:val="FFFFFF" w:themeColor="background1"/>
          <w:lang w:val="es-ES_tradnl"/>
        </w:rPr>
        <w:t>.</w:t>
      </w:r>
      <w:r w:rsidRPr="003B376F">
        <w:rPr>
          <w:lang w:val="es-ES_tradnl"/>
        </w:rPr>
        <w:br/>
      </w:r>
      <w:r w:rsidR="00473A82" w:rsidRPr="003B376F">
        <w:rPr>
          <w:lang w:val="es-ES_tradnl"/>
        </w:rPr>
        <w:t>PROCEDIMIENTO ANTE LA CORTE</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376FE37F" w14:textId="69478585" w:rsidR="00565BE2" w:rsidRPr="003B376F" w:rsidRDefault="00473A82" w:rsidP="00DD13DA">
      <w:pPr>
        <w:pStyle w:val="Estilo1"/>
        <w:numPr>
          <w:ilvl w:val="0"/>
          <w:numId w:val="2"/>
        </w:numPr>
        <w:tabs>
          <w:tab w:val="left" w:pos="0"/>
        </w:tabs>
        <w:spacing w:before="120"/>
        <w:ind w:left="0" w:right="-4" w:firstLine="0"/>
        <w:rPr>
          <w:szCs w:val="20"/>
        </w:rPr>
      </w:pPr>
      <w:r w:rsidRPr="003B376F">
        <w:rPr>
          <w:szCs w:val="20"/>
          <w:lang w:eastAsia="es-ES"/>
        </w:rPr>
        <w:t>Notificación al Estado y a los representantes</w:t>
      </w:r>
      <w:r w:rsidR="00933036" w:rsidRPr="003B376F">
        <w:rPr>
          <w:rStyle w:val="Refdenotaalpie"/>
          <w:lang w:eastAsia="es-ES"/>
        </w:rPr>
        <w:footnoteReference w:id="3"/>
      </w:r>
      <w:r w:rsidRPr="003B376F">
        <w:rPr>
          <w:szCs w:val="20"/>
          <w:lang w:eastAsia="es-ES"/>
        </w:rPr>
        <w:t xml:space="preserve">. – </w:t>
      </w:r>
      <w:r w:rsidRPr="003B376F">
        <w:rPr>
          <w:i w:val="0"/>
          <w:szCs w:val="20"/>
        </w:rPr>
        <w:t xml:space="preserve">El sometimiento del caso fue notificado </w:t>
      </w:r>
      <w:r w:rsidR="003F17C8" w:rsidRPr="003B376F">
        <w:rPr>
          <w:i w:val="0"/>
          <w:szCs w:val="20"/>
        </w:rPr>
        <w:t>a los representantes</w:t>
      </w:r>
      <w:r w:rsidR="00933036" w:rsidRPr="003B376F">
        <w:rPr>
          <w:i w:val="0"/>
          <w:szCs w:val="20"/>
        </w:rPr>
        <w:t xml:space="preserve"> </w:t>
      </w:r>
      <w:r w:rsidR="003F17C8" w:rsidRPr="003B376F">
        <w:rPr>
          <w:i w:val="0"/>
          <w:szCs w:val="20"/>
        </w:rPr>
        <w:t xml:space="preserve">y al Estado </w:t>
      </w:r>
      <w:r w:rsidR="00CF4D1E" w:rsidRPr="003B376F">
        <w:rPr>
          <w:i w:val="0"/>
          <w:szCs w:val="20"/>
        </w:rPr>
        <w:t xml:space="preserve">el </w:t>
      </w:r>
      <w:r w:rsidR="008036B2">
        <w:rPr>
          <w:i w:val="0"/>
          <w:szCs w:val="20"/>
        </w:rPr>
        <w:t>1</w:t>
      </w:r>
      <w:r w:rsidR="00E0490B" w:rsidRPr="003B376F">
        <w:rPr>
          <w:i w:val="0"/>
          <w:szCs w:val="20"/>
        </w:rPr>
        <w:t>9</w:t>
      </w:r>
      <w:r w:rsidR="003F17C8" w:rsidRPr="003B376F">
        <w:rPr>
          <w:i w:val="0"/>
          <w:szCs w:val="20"/>
        </w:rPr>
        <w:t xml:space="preserve"> de </w:t>
      </w:r>
      <w:r w:rsidR="008036B2">
        <w:rPr>
          <w:i w:val="0"/>
          <w:szCs w:val="20"/>
        </w:rPr>
        <w:t>noviembre</w:t>
      </w:r>
      <w:r w:rsidR="003F17C8" w:rsidRPr="003B376F">
        <w:rPr>
          <w:i w:val="0"/>
          <w:szCs w:val="20"/>
        </w:rPr>
        <w:t xml:space="preserve"> de </w:t>
      </w:r>
      <w:r w:rsidR="00991BAB" w:rsidRPr="003B376F">
        <w:rPr>
          <w:i w:val="0"/>
          <w:szCs w:val="20"/>
        </w:rPr>
        <w:t>2018</w:t>
      </w:r>
      <w:r w:rsidR="007E7F4B" w:rsidRPr="003B376F">
        <w:rPr>
          <w:i w:val="0"/>
          <w:szCs w:val="20"/>
        </w:rPr>
        <w:t>.</w:t>
      </w:r>
      <w:r w:rsidR="00565BE2" w:rsidRPr="003B376F">
        <w:rPr>
          <w:szCs w:val="20"/>
          <w:lang w:eastAsia="es-ES"/>
        </w:rPr>
        <w:t xml:space="preserve"> </w:t>
      </w:r>
    </w:p>
    <w:p w14:paraId="5A7762DD" w14:textId="6D73594A" w:rsidR="00565BE2" w:rsidRPr="003B376F" w:rsidRDefault="00565BE2" w:rsidP="00DD13DA">
      <w:pPr>
        <w:pStyle w:val="Estilo1"/>
        <w:numPr>
          <w:ilvl w:val="0"/>
          <w:numId w:val="2"/>
        </w:numPr>
        <w:tabs>
          <w:tab w:val="left" w:pos="0"/>
        </w:tabs>
        <w:spacing w:before="120"/>
        <w:ind w:left="0" w:right="-4" w:firstLine="0"/>
        <w:rPr>
          <w:szCs w:val="20"/>
        </w:rPr>
      </w:pPr>
      <w:r w:rsidRPr="003B376F">
        <w:rPr>
          <w:szCs w:val="20"/>
          <w:lang w:eastAsia="es-ES"/>
        </w:rPr>
        <w:t xml:space="preserve">Escrito de solicitudes, argumentos y pruebas. – </w:t>
      </w:r>
      <w:r w:rsidR="00991BAB" w:rsidRPr="003B376F">
        <w:rPr>
          <w:i w:val="0"/>
          <w:szCs w:val="20"/>
        </w:rPr>
        <w:t>El</w:t>
      </w:r>
      <w:r w:rsidR="006315E4" w:rsidRPr="003B376F">
        <w:rPr>
          <w:i w:val="0"/>
          <w:szCs w:val="20"/>
        </w:rPr>
        <w:t xml:space="preserve"> </w:t>
      </w:r>
      <w:r w:rsidR="008036B2">
        <w:rPr>
          <w:i w:val="0"/>
          <w:szCs w:val="20"/>
        </w:rPr>
        <w:t>19</w:t>
      </w:r>
      <w:r w:rsidRPr="003B376F">
        <w:rPr>
          <w:i w:val="0"/>
          <w:szCs w:val="20"/>
        </w:rPr>
        <w:t xml:space="preserve"> de </w:t>
      </w:r>
      <w:r w:rsidR="008036B2">
        <w:rPr>
          <w:i w:val="0"/>
          <w:szCs w:val="20"/>
        </w:rPr>
        <w:t>enero</w:t>
      </w:r>
      <w:r w:rsidRPr="003B376F">
        <w:rPr>
          <w:i w:val="0"/>
          <w:szCs w:val="20"/>
        </w:rPr>
        <w:t xml:space="preserve"> </w:t>
      </w:r>
      <w:r w:rsidR="008036B2">
        <w:rPr>
          <w:i w:val="0"/>
          <w:szCs w:val="20"/>
        </w:rPr>
        <w:t>de 2019</w:t>
      </w:r>
      <w:r w:rsidR="00492F24" w:rsidRPr="003B376F">
        <w:rPr>
          <w:i w:val="0"/>
          <w:szCs w:val="20"/>
        </w:rPr>
        <w:t xml:space="preserve"> </w:t>
      </w:r>
      <w:r w:rsidR="00991BAB" w:rsidRPr="003B376F">
        <w:rPr>
          <w:i w:val="0"/>
          <w:szCs w:val="20"/>
        </w:rPr>
        <w:t>l</w:t>
      </w:r>
      <w:r w:rsidR="00492F24" w:rsidRPr="003B376F">
        <w:rPr>
          <w:i w:val="0"/>
          <w:szCs w:val="20"/>
        </w:rPr>
        <w:t>os</w:t>
      </w:r>
      <w:r w:rsidR="00991BAB" w:rsidRPr="003B376F">
        <w:rPr>
          <w:i w:val="0"/>
          <w:szCs w:val="20"/>
        </w:rPr>
        <w:t xml:space="preserve"> representante</w:t>
      </w:r>
      <w:r w:rsidR="00492F24" w:rsidRPr="003B376F">
        <w:rPr>
          <w:i w:val="0"/>
          <w:szCs w:val="20"/>
        </w:rPr>
        <w:t>s presentaron</w:t>
      </w:r>
      <w:r w:rsidRPr="003B376F">
        <w:rPr>
          <w:i w:val="0"/>
          <w:szCs w:val="20"/>
        </w:rPr>
        <w:t xml:space="preserve"> su escrito de solicitudes, argumentos y pruebas (en adelante “escrito de solicitudes y argumentos”</w:t>
      </w:r>
      <w:r w:rsidR="00991BAB" w:rsidRPr="003B376F">
        <w:rPr>
          <w:i w:val="0"/>
          <w:szCs w:val="20"/>
        </w:rPr>
        <w:t xml:space="preserve"> o “ESAP”</w:t>
      </w:r>
      <w:r w:rsidRPr="003B376F">
        <w:rPr>
          <w:i w:val="0"/>
          <w:szCs w:val="20"/>
        </w:rPr>
        <w:t xml:space="preserve">), en los términos de los artículos 25 y 40 del Reglamento de la Corte. </w:t>
      </w:r>
    </w:p>
    <w:p w14:paraId="3118AF6C" w14:textId="17C4D8F7" w:rsidR="00565BE2" w:rsidRPr="0062672D" w:rsidRDefault="00565BE2" w:rsidP="00DD13DA">
      <w:pPr>
        <w:pStyle w:val="Estilo1"/>
        <w:numPr>
          <w:ilvl w:val="0"/>
          <w:numId w:val="2"/>
        </w:numPr>
        <w:tabs>
          <w:tab w:val="left" w:pos="0"/>
        </w:tabs>
        <w:spacing w:before="120"/>
        <w:ind w:left="0" w:right="-4" w:firstLine="0"/>
        <w:rPr>
          <w:szCs w:val="20"/>
        </w:rPr>
      </w:pPr>
      <w:r w:rsidRPr="0062672D">
        <w:rPr>
          <w:rFonts w:eastAsia="Calibri"/>
          <w:bCs/>
          <w:szCs w:val="20"/>
        </w:rPr>
        <w:t>Escrito de contestación</w:t>
      </w:r>
      <w:r w:rsidRPr="0062672D">
        <w:rPr>
          <w:rStyle w:val="Refdenotaalpie"/>
          <w:rFonts w:eastAsia="Calibri"/>
          <w:bCs/>
        </w:rPr>
        <w:footnoteReference w:id="4"/>
      </w:r>
      <w:r w:rsidRPr="0062672D">
        <w:rPr>
          <w:rFonts w:eastAsia="Calibri"/>
          <w:bCs/>
          <w:szCs w:val="20"/>
        </w:rPr>
        <w:t xml:space="preserve">. – </w:t>
      </w:r>
      <w:r w:rsidRPr="0062672D">
        <w:rPr>
          <w:i w:val="0"/>
          <w:szCs w:val="20"/>
        </w:rPr>
        <w:t xml:space="preserve">El </w:t>
      </w:r>
      <w:r w:rsidR="00014C1A" w:rsidRPr="0062672D">
        <w:rPr>
          <w:i w:val="0"/>
          <w:szCs w:val="20"/>
        </w:rPr>
        <w:t>12</w:t>
      </w:r>
      <w:r w:rsidRPr="0062672D">
        <w:rPr>
          <w:i w:val="0"/>
          <w:szCs w:val="20"/>
        </w:rPr>
        <w:t xml:space="preserve"> de </w:t>
      </w:r>
      <w:r w:rsidR="00014C1A" w:rsidRPr="0062672D">
        <w:rPr>
          <w:i w:val="0"/>
          <w:szCs w:val="20"/>
        </w:rPr>
        <w:t>abril</w:t>
      </w:r>
      <w:r w:rsidRPr="0062672D">
        <w:rPr>
          <w:i w:val="0"/>
          <w:szCs w:val="20"/>
        </w:rPr>
        <w:t xml:space="preserve"> de </w:t>
      </w:r>
      <w:r w:rsidR="00014C1A" w:rsidRPr="0062672D">
        <w:rPr>
          <w:i w:val="0"/>
          <w:szCs w:val="20"/>
        </w:rPr>
        <w:t>2019</w:t>
      </w:r>
      <w:r w:rsidRPr="0062672D">
        <w:rPr>
          <w:i w:val="0"/>
          <w:szCs w:val="20"/>
        </w:rPr>
        <w:t xml:space="preserve"> el Estado presentó su escrito de contestación al sometimiento del caso y al escrito de solicitudes y argumentos (en adelante “contestación</w:t>
      </w:r>
      <w:r w:rsidR="00991BAB" w:rsidRPr="0062672D">
        <w:rPr>
          <w:i w:val="0"/>
          <w:szCs w:val="20"/>
        </w:rPr>
        <w:t>” o “escrito de contestación”)</w:t>
      </w:r>
      <w:r w:rsidR="001175CE" w:rsidRPr="0062672D">
        <w:rPr>
          <w:i w:val="0"/>
          <w:szCs w:val="20"/>
        </w:rPr>
        <w:t>, en el cual interpuso un</w:t>
      </w:r>
      <w:r w:rsidR="00FB3A07">
        <w:rPr>
          <w:i w:val="0"/>
          <w:szCs w:val="20"/>
        </w:rPr>
        <w:t xml:space="preserve"> alegato que denominó “</w:t>
      </w:r>
      <w:r w:rsidR="001175CE" w:rsidRPr="0062672D">
        <w:rPr>
          <w:i w:val="0"/>
          <w:szCs w:val="20"/>
        </w:rPr>
        <w:t>excepción preliminar</w:t>
      </w:r>
      <w:r w:rsidR="00FB3A07">
        <w:rPr>
          <w:i w:val="0"/>
          <w:szCs w:val="20"/>
        </w:rPr>
        <w:t>”</w:t>
      </w:r>
      <w:r w:rsidR="00BB0D2C" w:rsidRPr="0062672D">
        <w:rPr>
          <w:i w:val="0"/>
          <w:szCs w:val="20"/>
        </w:rPr>
        <w:t xml:space="preserve"> </w:t>
      </w:r>
      <w:r w:rsidR="0062672D" w:rsidRPr="0062672D">
        <w:rPr>
          <w:i w:val="0"/>
          <w:szCs w:val="20"/>
        </w:rPr>
        <w:t>y</w:t>
      </w:r>
      <w:r w:rsidRPr="0062672D">
        <w:rPr>
          <w:i w:val="0"/>
          <w:szCs w:val="20"/>
        </w:rPr>
        <w:t xml:space="preserve"> </w:t>
      </w:r>
      <w:r w:rsidR="0062672D" w:rsidRPr="0062672D">
        <w:rPr>
          <w:i w:val="0"/>
          <w:szCs w:val="20"/>
        </w:rPr>
        <w:t>reconoció parcialmente su responsabilidad por los hechos del presente caso</w:t>
      </w:r>
      <w:r w:rsidR="00793FF5">
        <w:rPr>
          <w:i w:val="0"/>
          <w:szCs w:val="20"/>
        </w:rPr>
        <w:t>.</w:t>
      </w:r>
      <w:r w:rsidR="0062672D" w:rsidRPr="0062672D">
        <w:rPr>
          <w:i w:val="0"/>
          <w:szCs w:val="20"/>
        </w:rPr>
        <w:t xml:space="preserve"> </w:t>
      </w:r>
    </w:p>
    <w:p w14:paraId="1B0E94BC" w14:textId="7FF1AA23" w:rsidR="001175CE" w:rsidRPr="003B376F" w:rsidRDefault="001175CE" w:rsidP="00DD13DA">
      <w:pPr>
        <w:pStyle w:val="Estilo1"/>
        <w:numPr>
          <w:ilvl w:val="0"/>
          <w:numId w:val="2"/>
        </w:numPr>
        <w:tabs>
          <w:tab w:val="left" w:pos="0"/>
        </w:tabs>
        <w:spacing w:before="120"/>
        <w:ind w:left="0" w:right="-4" w:firstLine="0"/>
        <w:rPr>
          <w:szCs w:val="20"/>
        </w:rPr>
      </w:pPr>
      <w:r w:rsidRPr="003B376F">
        <w:rPr>
          <w:rFonts w:eastAsia="Calibri"/>
          <w:bCs/>
          <w:szCs w:val="20"/>
        </w:rPr>
        <w:t>Observaciones a la excepción preliminar</w:t>
      </w:r>
      <w:r w:rsidR="00BB0D2C">
        <w:rPr>
          <w:rFonts w:eastAsia="Calibri"/>
          <w:bCs/>
          <w:szCs w:val="20"/>
        </w:rPr>
        <w:t xml:space="preserve"> y al reconocimiento de responsabilidad</w:t>
      </w:r>
      <w:r w:rsidR="00C24C43" w:rsidRPr="003B376F">
        <w:rPr>
          <w:rFonts w:eastAsia="Calibri"/>
          <w:bCs/>
          <w:szCs w:val="20"/>
        </w:rPr>
        <w:t>.</w:t>
      </w:r>
      <w:r w:rsidRPr="003B376F">
        <w:rPr>
          <w:szCs w:val="20"/>
        </w:rPr>
        <w:t xml:space="preserve"> </w:t>
      </w:r>
      <w:r w:rsidRPr="003B376F">
        <w:rPr>
          <w:rFonts w:eastAsia="Calibri"/>
          <w:bCs/>
          <w:szCs w:val="20"/>
        </w:rPr>
        <w:t xml:space="preserve">– </w:t>
      </w:r>
      <w:r w:rsidR="00014C1A">
        <w:rPr>
          <w:i w:val="0"/>
          <w:szCs w:val="20"/>
        </w:rPr>
        <w:t>El 1 de julio de 2019 los representantes presentaron</w:t>
      </w:r>
      <w:r w:rsidRPr="003B376F">
        <w:rPr>
          <w:i w:val="0"/>
          <w:szCs w:val="20"/>
        </w:rPr>
        <w:t xml:space="preserve"> sus observaciones sobre </w:t>
      </w:r>
      <w:r w:rsidR="00716907">
        <w:rPr>
          <w:i w:val="0"/>
          <w:szCs w:val="20"/>
        </w:rPr>
        <w:t>el alegato denominado “</w:t>
      </w:r>
      <w:r w:rsidRPr="003B376F">
        <w:rPr>
          <w:i w:val="0"/>
          <w:szCs w:val="20"/>
        </w:rPr>
        <w:t>excepción preliminar</w:t>
      </w:r>
      <w:r w:rsidR="00716907">
        <w:rPr>
          <w:i w:val="0"/>
          <w:szCs w:val="20"/>
        </w:rPr>
        <w:t>” presentado por el Estado y sobre el reconocimiento de responsabilidad</w:t>
      </w:r>
      <w:r w:rsidRPr="003B376F">
        <w:rPr>
          <w:i w:val="0"/>
          <w:szCs w:val="20"/>
        </w:rPr>
        <w:t>.</w:t>
      </w:r>
      <w:r w:rsidR="00014C1A">
        <w:rPr>
          <w:i w:val="0"/>
          <w:szCs w:val="20"/>
        </w:rPr>
        <w:t xml:space="preserve"> </w:t>
      </w:r>
      <w:r w:rsidR="00014C1A">
        <w:rPr>
          <w:i w:val="0"/>
          <w:szCs w:val="16"/>
        </w:rPr>
        <w:t xml:space="preserve">Por su parte, la Comisión informó el 5 de junio de 2019 que no tenía observaciones que formular al respecto. </w:t>
      </w:r>
    </w:p>
    <w:p w14:paraId="196CA340" w14:textId="0230EEE9" w:rsidR="00903B40" w:rsidRPr="00F4501E" w:rsidRDefault="00903B40" w:rsidP="00EA4699">
      <w:pPr>
        <w:pStyle w:val="Estilo1"/>
        <w:numPr>
          <w:ilvl w:val="0"/>
          <w:numId w:val="2"/>
        </w:numPr>
        <w:tabs>
          <w:tab w:val="left" w:pos="0"/>
        </w:tabs>
        <w:spacing w:before="120"/>
        <w:ind w:left="0" w:right="-4" w:firstLine="0"/>
        <w:rPr>
          <w:i w:val="0"/>
          <w:szCs w:val="20"/>
          <w:lang w:eastAsia="es-ES"/>
        </w:rPr>
      </w:pPr>
      <w:r w:rsidRPr="003B376F">
        <w:rPr>
          <w:szCs w:val="20"/>
          <w:lang w:eastAsia="es-ES"/>
        </w:rPr>
        <w:t>Audiencia pública.</w:t>
      </w:r>
      <w:r w:rsidR="0049717E" w:rsidRPr="003B376F">
        <w:rPr>
          <w:szCs w:val="20"/>
          <w:lang w:eastAsia="es-ES"/>
        </w:rPr>
        <w:t>-</w:t>
      </w:r>
      <w:r w:rsidR="0049717E" w:rsidRPr="003B376F">
        <w:rPr>
          <w:i w:val="0"/>
          <w:szCs w:val="20"/>
          <w:lang w:eastAsia="es-ES"/>
        </w:rPr>
        <w:t xml:space="preserve"> Mediante la Resolución de</w:t>
      </w:r>
      <w:r w:rsidR="00232F75" w:rsidRPr="003B376F">
        <w:rPr>
          <w:i w:val="0"/>
          <w:szCs w:val="20"/>
          <w:lang w:eastAsia="es-ES"/>
        </w:rPr>
        <w:t xml:space="preserve"> </w:t>
      </w:r>
      <w:r w:rsidR="00014C1A">
        <w:rPr>
          <w:i w:val="0"/>
          <w:szCs w:val="20"/>
          <w:lang w:eastAsia="es-ES"/>
        </w:rPr>
        <w:t>8</w:t>
      </w:r>
      <w:r w:rsidR="00831C09" w:rsidRPr="003B376F">
        <w:rPr>
          <w:i w:val="0"/>
          <w:szCs w:val="20"/>
          <w:lang w:eastAsia="es-ES"/>
        </w:rPr>
        <w:t xml:space="preserve"> de </w:t>
      </w:r>
      <w:r w:rsidR="00014C1A">
        <w:rPr>
          <w:i w:val="0"/>
          <w:szCs w:val="20"/>
          <w:lang w:eastAsia="es-ES"/>
        </w:rPr>
        <w:t>julio</w:t>
      </w:r>
      <w:r w:rsidR="00831C09" w:rsidRPr="003B376F">
        <w:rPr>
          <w:i w:val="0"/>
          <w:szCs w:val="20"/>
          <w:lang w:eastAsia="es-ES"/>
        </w:rPr>
        <w:t xml:space="preserve"> de </w:t>
      </w:r>
      <w:r w:rsidR="00014C1A">
        <w:rPr>
          <w:i w:val="0"/>
          <w:szCs w:val="20"/>
          <w:lang w:eastAsia="es-ES"/>
        </w:rPr>
        <w:t>2019</w:t>
      </w:r>
      <w:r w:rsidR="0049717E" w:rsidRPr="003B376F">
        <w:rPr>
          <w:i w:val="0"/>
          <w:szCs w:val="20"/>
          <w:lang w:eastAsia="es-ES"/>
        </w:rPr>
        <w:t xml:space="preserve"> el Presidente de la Corte </w:t>
      </w:r>
      <w:r w:rsidR="00EA4699" w:rsidRPr="003B376F">
        <w:rPr>
          <w:i w:val="0"/>
          <w:szCs w:val="20"/>
          <w:lang w:eastAsia="es-ES"/>
        </w:rPr>
        <w:t xml:space="preserve">convocó a las partes y a la Comisión a una audiencia pública que fue celebrada </w:t>
      </w:r>
      <w:r w:rsidR="00014C1A">
        <w:rPr>
          <w:i w:val="0"/>
          <w:szCs w:val="20"/>
          <w:lang w:eastAsia="es-ES"/>
        </w:rPr>
        <w:t>el día 28 de agost</w:t>
      </w:r>
      <w:r w:rsidR="007D50CF" w:rsidRPr="003B376F">
        <w:rPr>
          <w:i w:val="0"/>
          <w:szCs w:val="20"/>
          <w:lang w:eastAsia="es-ES"/>
        </w:rPr>
        <w:t>o de 2019</w:t>
      </w:r>
      <w:r w:rsidR="00EA4699" w:rsidRPr="003B376F">
        <w:rPr>
          <w:i w:val="0"/>
          <w:szCs w:val="20"/>
          <w:lang w:eastAsia="es-ES"/>
        </w:rPr>
        <w:t xml:space="preserve">, durante el </w:t>
      </w:r>
      <w:r w:rsidR="00014C1A">
        <w:rPr>
          <w:rFonts w:cs="Verdana"/>
          <w:i w:val="0"/>
          <w:szCs w:val="20"/>
          <w:lang w:bidi="en-US"/>
        </w:rPr>
        <w:t>62</w:t>
      </w:r>
      <w:r w:rsidR="00EA4699" w:rsidRPr="003B376F">
        <w:rPr>
          <w:rFonts w:cs="Verdana"/>
          <w:i w:val="0"/>
          <w:szCs w:val="20"/>
          <w:vertAlign w:val="superscript"/>
          <w:lang w:bidi="en-US"/>
        </w:rPr>
        <w:t>º</w:t>
      </w:r>
      <w:r w:rsidR="00014C1A">
        <w:rPr>
          <w:rFonts w:cs="Verdana"/>
          <w:i w:val="0"/>
          <w:szCs w:val="20"/>
          <w:lang w:bidi="en-US"/>
        </w:rPr>
        <w:t xml:space="preserve"> Período </w:t>
      </w:r>
      <w:r w:rsidR="00014C1A" w:rsidRPr="00F4501E">
        <w:rPr>
          <w:rFonts w:cs="Verdana"/>
          <w:i w:val="0"/>
          <w:szCs w:val="20"/>
          <w:lang w:bidi="en-US"/>
        </w:rPr>
        <w:t>Extrao</w:t>
      </w:r>
      <w:r w:rsidR="00EA4699" w:rsidRPr="00F4501E">
        <w:rPr>
          <w:rFonts w:cs="Verdana"/>
          <w:i w:val="0"/>
          <w:szCs w:val="20"/>
          <w:lang w:bidi="en-US"/>
        </w:rPr>
        <w:t>rdinario de Sesiones de la Corte</w:t>
      </w:r>
      <w:r w:rsidR="00EA4699" w:rsidRPr="00F4501E">
        <w:rPr>
          <w:rStyle w:val="Refdenotaalpie"/>
          <w:i w:val="0"/>
        </w:rPr>
        <w:footnoteReference w:id="5"/>
      </w:r>
      <w:r w:rsidR="007D50CF" w:rsidRPr="00F4501E">
        <w:rPr>
          <w:i w:val="0"/>
          <w:szCs w:val="20"/>
          <w:lang w:eastAsia="es-ES"/>
        </w:rPr>
        <w:t>.</w:t>
      </w:r>
      <w:r w:rsidR="00C82A6B" w:rsidRPr="00F4501E">
        <w:rPr>
          <w:i w:val="0"/>
        </w:rPr>
        <w:t xml:space="preserve"> </w:t>
      </w:r>
    </w:p>
    <w:p w14:paraId="0BD76C1B" w14:textId="5956EFE7" w:rsidR="005F1F8D" w:rsidRPr="00F4501E" w:rsidRDefault="00903B40" w:rsidP="005F1F8D">
      <w:pPr>
        <w:pStyle w:val="Estilo1"/>
        <w:numPr>
          <w:ilvl w:val="0"/>
          <w:numId w:val="2"/>
        </w:numPr>
        <w:tabs>
          <w:tab w:val="left" w:pos="0"/>
        </w:tabs>
        <w:spacing w:before="120"/>
        <w:ind w:left="0" w:right="-4" w:firstLine="0"/>
        <w:rPr>
          <w:i w:val="0"/>
          <w:szCs w:val="20"/>
          <w:lang w:eastAsia="es-ES"/>
        </w:rPr>
      </w:pPr>
      <w:r w:rsidRPr="00F4501E">
        <w:rPr>
          <w:rFonts w:cs="Arial"/>
          <w:szCs w:val="20"/>
          <w:lang w:eastAsia="es-ES"/>
        </w:rPr>
        <w:t>A</w:t>
      </w:r>
      <w:r w:rsidRPr="00F4501E">
        <w:rPr>
          <w:rFonts w:cs="Verdana"/>
          <w:szCs w:val="20"/>
          <w:lang w:eastAsia="es-ES"/>
        </w:rPr>
        <w:t xml:space="preserve">legatos y observaciones finales </w:t>
      </w:r>
      <w:r w:rsidR="007D74F9" w:rsidRPr="00F4501E">
        <w:rPr>
          <w:rFonts w:cs="Verdana"/>
          <w:szCs w:val="20"/>
          <w:lang w:eastAsia="es-ES"/>
        </w:rPr>
        <w:t xml:space="preserve">escritos. </w:t>
      </w:r>
      <w:r w:rsidR="00280D3A">
        <w:rPr>
          <w:rFonts w:cs="Verdana"/>
          <w:szCs w:val="20"/>
          <w:lang w:eastAsia="es-ES"/>
        </w:rPr>
        <w:t>–</w:t>
      </w:r>
      <w:r w:rsidR="0049717E" w:rsidRPr="00F4501E">
        <w:rPr>
          <w:rFonts w:cs="Verdana"/>
          <w:szCs w:val="20"/>
          <w:lang w:eastAsia="es-ES"/>
        </w:rPr>
        <w:t xml:space="preserve"> </w:t>
      </w:r>
      <w:r w:rsidR="00716907">
        <w:rPr>
          <w:rFonts w:cs="Verdana"/>
          <w:i w:val="0"/>
          <w:szCs w:val="20"/>
          <w:lang w:eastAsia="es-ES"/>
        </w:rPr>
        <w:t xml:space="preserve">Los </w:t>
      </w:r>
      <w:r w:rsidR="00A406ED">
        <w:rPr>
          <w:rFonts w:cs="Verdana"/>
          <w:i w:val="0"/>
          <w:szCs w:val="20"/>
          <w:lang w:eastAsia="es-ES"/>
        </w:rPr>
        <w:t xml:space="preserve">días </w:t>
      </w:r>
      <w:r w:rsidR="007D74F9" w:rsidRPr="00F4501E">
        <w:rPr>
          <w:rFonts w:cs="Verdana"/>
          <w:i w:val="0"/>
          <w:szCs w:val="20"/>
          <w:lang w:eastAsia="es-ES"/>
        </w:rPr>
        <w:t>27</w:t>
      </w:r>
      <w:r w:rsidR="00793FF5">
        <w:rPr>
          <w:rFonts w:cs="Verdana"/>
          <w:i w:val="0"/>
          <w:szCs w:val="20"/>
          <w:lang w:eastAsia="es-ES"/>
        </w:rPr>
        <w:t xml:space="preserve"> </w:t>
      </w:r>
      <w:r w:rsidR="00716907">
        <w:rPr>
          <w:rFonts w:cs="Verdana"/>
          <w:i w:val="0"/>
          <w:szCs w:val="20"/>
          <w:lang w:eastAsia="es-ES"/>
        </w:rPr>
        <w:t xml:space="preserve">y 30 </w:t>
      </w:r>
      <w:r w:rsidR="007D74F9" w:rsidRPr="00F4501E">
        <w:rPr>
          <w:rFonts w:cs="Verdana"/>
          <w:i w:val="0"/>
          <w:szCs w:val="20"/>
          <w:lang w:eastAsia="es-ES"/>
        </w:rPr>
        <w:t>de septiembre de 2019</w:t>
      </w:r>
      <w:r w:rsidR="008E2A4C" w:rsidRPr="00F4501E">
        <w:rPr>
          <w:rFonts w:cs="Verdana"/>
          <w:i w:val="0"/>
          <w:szCs w:val="20"/>
          <w:lang w:eastAsia="es-ES"/>
        </w:rPr>
        <w:t xml:space="preserve"> </w:t>
      </w:r>
      <w:r w:rsidR="00A24FC0" w:rsidRPr="00F4501E">
        <w:rPr>
          <w:rFonts w:cs="Verdana"/>
          <w:i w:val="0"/>
          <w:szCs w:val="20"/>
          <w:lang w:eastAsia="es-ES"/>
        </w:rPr>
        <w:t>l</w:t>
      </w:r>
      <w:r w:rsidR="00CC6491" w:rsidRPr="00F4501E">
        <w:rPr>
          <w:rFonts w:cs="Verdana"/>
          <w:i w:val="0"/>
          <w:szCs w:val="20"/>
          <w:lang w:eastAsia="es-ES"/>
        </w:rPr>
        <w:t>os</w:t>
      </w:r>
      <w:r w:rsidR="00A24FC0" w:rsidRPr="00F4501E">
        <w:rPr>
          <w:rFonts w:cs="Verdana"/>
          <w:i w:val="0"/>
          <w:szCs w:val="20"/>
          <w:lang w:eastAsia="es-ES"/>
        </w:rPr>
        <w:t xml:space="preserve"> repre</w:t>
      </w:r>
      <w:r w:rsidR="008E2A4C" w:rsidRPr="00F4501E">
        <w:rPr>
          <w:rFonts w:cs="Verdana"/>
          <w:i w:val="0"/>
          <w:szCs w:val="20"/>
          <w:lang w:eastAsia="es-ES"/>
        </w:rPr>
        <w:t>sentante</w:t>
      </w:r>
      <w:r w:rsidR="00CC6491" w:rsidRPr="00F4501E">
        <w:rPr>
          <w:rFonts w:cs="Verdana"/>
          <w:i w:val="0"/>
          <w:szCs w:val="20"/>
          <w:lang w:eastAsia="es-ES"/>
        </w:rPr>
        <w:t>s</w:t>
      </w:r>
      <w:r w:rsidR="00D63FD0">
        <w:rPr>
          <w:rFonts w:cs="Verdana"/>
          <w:i w:val="0"/>
          <w:szCs w:val="20"/>
          <w:lang w:eastAsia="es-ES"/>
        </w:rPr>
        <w:t xml:space="preserve"> y </w:t>
      </w:r>
      <w:r w:rsidR="00F4501E" w:rsidRPr="00F4501E">
        <w:rPr>
          <w:rFonts w:cs="Verdana"/>
          <w:i w:val="0"/>
          <w:szCs w:val="20"/>
          <w:lang w:eastAsia="es-ES"/>
        </w:rPr>
        <w:t xml:space="preserve">el Estado </w:t>
      </w:r>
      <w:r w:rsidR="00A24FC0" w:rsidRPr="00F4501E">
        <w:rPr>
          <w:rFonts w:cs="Verdana"/>
          <w:i w:val="0"/>
          <w:szCs w:val="20"/>
          <w:lang w:eastAsia="es-ES"/>
        </w:rPr>
        <w:t>presentaron</w:t>
      </w:r>
      <w:r w:rsidR="00716907">
        <w:rPr>
          <w:rFonts w:cs="Verdana"/>
          <w:i w:val="0"/>
          <w:szCs w:val="20"/>
          <w:lang w:eastAsia="es-ES"/>
        </w:rPr>
        <w:t>, respectivamente,</w:t>
      </w:r>
      <w:r w:rsidR="00A24FC0" w:rsidRPr="00F4501E">
        <w:rPr>
          <w:rFonts w:cs="Verdana"/>
          <w:i w:val="0"/>
          <w:szCs w:val="20"/>
          <w:lang w:eastAsia="es-ES"/>
        </w:rPr>
        <w:t xml:space="preserve"> sus escritos de alegatos finales</w:t>
      </w:r>
      <w:r w:rsidR="00D63FD0">
        <w:rPr>
          <w:rFonts w:cs="Verdana"/>
          <w:i w:val="0"/>
          <w:szCs w:val="20"/>
          <w:lang w:eastAsia="es-ES"/>
        </w:rPr>
        <w:t>. La Comisión presentó el 30 de septiembre sus</w:t>
      </w:r>
      <w:r w:rsidR="00A24FC0" w:rsidRPr="00F4501E">
        <w:rPr>
          <w:rFonts w:cs="Verdana"/>
          <w:i w:val="0"/>
          <w:szCs w:val="20"/>
          <w:lang w:eastAsia="es-ES"/>
        </w:rPr>
        <w:t xml:space="preserve"> observaciones finales escritas</w:t>
      </w:r>
      <w:r w:rsidR="0049717E" w:rsidRPr="00F4501E">
        <w:rPr>
          <w:rFonts w:cs="Verdana"/>
          <w:i w:val="0"/>
          <w:szCs w:val="20"/>
          <w:lang w:eastAsia="es-ES"/>
        </w:rPr>
        <w:t xml:space="preserve">. </w:t>
      </w:r>
    </w:p>
    <w:p w14:paraId="554A8981" w14:textId="3C6E4C0B" w:rsidR="00903B40" w:rsidRPr="00F4501E" w:rsidRDefault="00903B40" w:rsidP="00565BE2">
      <w:pPr>
        <w:pStyle w:val="Estilo1"/>
        <w:numPr>
          <w:ilvl w:val="0"/>
          <w:numId w:val="2"/>
        </w:numPr>
        <w:tabs>
          <w:tab w:val="left" w:pos="0"/>
        </w:tabs>
        <w:spacing w:before="120"/>
        <w:ind w:left="0" w:right="-4" w:firstLine="0"/>
        <w:rPr>
          <w:rFonts w:cs="Verdana"/>
          <w:i w:val="0"/>
          <w:szCs w:val="20"/>
          <w:lang w:eastAsia="es-ES"/>
        </w:rPr>
      </w:pPr>
      <w:r w:rsidRPr="00F4501E">
        <w:rPr>
          <w:szCs w:val="20"/>
          <w:lang w:eastAsia="es-CR"/>
        </w:rPr>
        <w:t xml:space="preserve">Deliberación del </w:t>
      </w:r>
      <w:r w:rsidRPr="00F4501E">
        <w:rPr>
          <w:rFonts w:cs="Verdana"/>
          <w:szCs w:val="20"/>
          <w:lang w:eastAsia="es-ES"/>
        </w:rPr>
        <w:t>presente</w:t>
      </w:r>
      <w:r w:rsidRPr="00F4501E">
        <w:rPr>
          <w:szCs w:val="20"/>
          <w:lang w:eastAsia="es-CR"/>
        </w:rPr>
        <w:t xml:space="preserve"> caso. - </w:t>
      </w:r>
      <w:r w:rsidRPr="00F4501E">
        <w:rPr>
          <w:i w:val="0"/>
          <w:szCs w:val="20"/>
          <w:lang w:eastAsia="es-CR"/>
        </w:rPr>
        <w:t>La Corte inició la deliberación de la presente Sentencia el</w:t>
      </w:r>
      <w:r w:rsidR="00232F75" w:rsidRPr="00F4501E">
        <w:rPr>
          <w:i w:val="0"/>
          <w:szCs w:val="20"/>
          <w:lang w:eastAsia="es-CR"/>
        </w:rPr>
        <w:t xml:space="preserve"> </w:t>
      </w:r>
      <w:r w:rsidR="005D1822">
        <w:rPr>
          <w:i w:val="0"/>
          <w:szCs w:val="20"/>
          <w:lang w:eastAsia="es-CR"/>
        </w:rPr>
        <w:t>9</w:t>
      </w:r>
      <w:r w:rsidR="005D1822" w:rsidRPr="00F4501E">
        <w:rPr>
          <w:i w:val="0"/>
          <w:szCs w:val="20"/>
          <w:lang w:eastAsia="es-CR"/>
        </w:rPr>
        <w:t xml:space="preserve"> </w:t>
      </w:r>
      <w:r w:rsidR="00057525" w:rsidRPr="00F4501E">
        <w:rPr>
          <w:i w:val="0"/>
          <w:szCs w:val="20"/>
        </w:rPr>
        <w:t>de</w:t>
      </w:r>
      <w:r w:rsidR="00057525" w:rsidRPr="00F4501E">
        <w:rPr>
          <w:i w:val="0"/>
          <w:szCs w:val="20"/>
          <w:lang w:eastAsia="es-CR"/>
        </w:rPr>
        <w:t xml:space="preserve"> </w:t>
      </w:r>
      <w:r w:rsidR="006D68B0">
        <w:rPr>
          <w:i w:val="0"/>
          <w:szCs w:val="20"/>
          <w:lang w:eastAsia="es-CR"/>
        </w:rPr>
        <w:t>marzo</w:t>
      </w:r>
      <w:r w:rsidR="00057525" w:rsidRPr="00F4501E">
        <w:rPr>
          <w:i w:val="0"/>
          <w:szCs w:val="20"/>
          <w:lang w:eastAsia="es-CR"/>
        </w:rPr>
        <w:t xml:space="preserve"> de </w:t>
      </w:r>
      <w:r w:rsidR="00345C40" w:rsidRPr="00F4501E">
        <w:rPr>
          <w:i w:val="0"/>
          <w:szCs w:val="20"/>
          <w:lang w:eastAsia="es-CR"/>
        </w:rPr>
        <w:t>2020</w:t>
      </w:r>
      <w:r w:rsidR="00057525" w:rsidRPr="00F4501E">
        <w:rPr>
          <w:i w:val="0"/>
          <w:szCs w:val="20"/>
          <w:lang w:eastAsia="es-CR"/>
        </w:rPr>
        <w:t>.</w:t>
      </w:r>
    </w:p>
    <w:p w14:paraId="2789FABF" w14:textId="77777777" w:rsidR="001B5D04" w:rsidRPr="003B376F" w:rsidRDefault="00907543" w:rsidP="00057525">
      <w:pPr>
        <w:pStyle w:val="Ttulo1"/>
        <w:rPr>
          <w:lang w:val="es-ES_tradnl"/>
        </w:rPr>
      </w:pPr>
      <w:bookmarkStart w:id="28" w:name="_Toc486693353"/>
      <w:bookmarkStart w:id="29" w:name="_Toc486842769"/>
      <w:bookmarkStart w:id="30" w:name="_Toc486842907"/>
      <w:bookmarkStart w:id="31" w:name="_Toc11166264"/>
      <w:bookmarkStart w:id="32" w:name="_Toc36132089"/>
      <w:r w:rsidRPr="003B376F">
        <w:rPr>
          <w:lang w:val="es-ES_tradnl"/>
        </w:rPr>
        <w:t>III</w:t>
      </w:r>
      <w:r w:rsidRPr="003B376F">
        <w:rPr>
          <w:color w:val="FFFFFF" w:themeColor="background1"/>
          <w:lang w:val="es-ES_tradnl"/>
        </w:rPr>
        <w:t>.</w:t>
      </w:r>
      <w:r w:rsidRPr="003B376F">
        <w:rPr>
          <w:lang w:val="es-ES_tradnl"/>
        </w:rPr>
        <w:br/>
      </w:r>
      <w:r w:rsidR="00206CEA" w:rsidRPr="003B376F">
        <w:rPr>
          <w:lang w:val="es-ES_tradnl"/>
        </w:rPr>
        <w:t>COMPETENCIA</w:t>
      </w:r>
      <w:bookmarkEnd w:id="28"/>
      <w:bookmarkEnd w:id="29"/>
      <w:bookmarkEnd w:id="30"/>
      <w:bookmarkEnd w:id="31"/>
      <w:bookmarkEnd w:id="32"/>
    </w:p>
    <w:p w14:paraId="736545E7" w14:textId="151ED37F" w:rsidR="00FD1869" w:rsidRPr="003B376F" w:rsidRDefault="00F4501E" w:rsidP="0030400D">
      <w:pPr>
        <w:pStyle w:val="Estilo1"/>
        <w:numPr>
          <w:ilvl w:val="0"/>
          <w:numId w:val="2"/>
        </w:numPr>
        <w:tabs>
          <w:tab w:val="left" w:pos="0"/>
        </w:tabs>
        <w:spacing w:before="120"/>
        <w:ind w:left="0" w:right="-4" w:firstLine="0"/>
        <w:rPr>
          <w:i w:val="0"/>
          <w:szCs w:val="20"/>
        </w:rPr>
      </w:pPr>
      <w:bookmarkStart w:id="33" w:name="_Toc438132275"/>
      <w:bookmarkStart w:id="34" w:name="_Toc315133577"/>
      <w:bookmarkStart w:id="35" w:name="_Toc316919762"/>
      <w:bookmarkStart w:id="36" w:name="_Toc329703867"/>
      <w:bookmarkStart w:id="37" w:name="_Toc336638904"/>
      <w:bookmarkStart w:id="38" w:name="_Toc359314424"/>
      <w:bookmarkStart w:id="39" w:name="_Toc361671574"/>
      <w:bookmarkStart w:id="40" w:name="_Toc361671994"/>
      <w:bookmarkStart w:id="41" w:name="_Toc361732791"/>
      <w:bookmarkStart w:id="42" w:name="_Toc361732834"/>
      <w:bookmarkStart w:id="43" w:name="_Toc362456865"/>
      <w:bookmarkStart w:id="44" w:name="_Toc365021394"/>
      <w:bookmarkStart w:id="45" w:name="_Toc369076780"/>
      <w:bookmarkStart w:id="46" w:name="_Toc369989372"/>
      <w:bookmarkStart w:id="47" w:name="_Toc369989459"/>
      <w:bookmarkStart w:id="48" w:name="_Toc369989740"/>
      <w:bookmarkStart w:id="49" w:name="_Toc311128165"/>
      <w:bookmarkStart w:id="50" w:name="_Toc311128362"/>
      <w:bookmarkStart w:id="51" w:name="_Toc442082545"/>
      <w:bookmarkStart w:id="52" w:name="_Toc486693357"/>
      <w:bookmarkStart w:id="53" w:name="_Toc486842773"/>
      <w:bookmarkStart w:id="54" w:name="_Toc486842911"/>
      <w:r w:rsidRPr="00F4501E">
        <w:rPr>
          <w:i w:val="0"/>
          <w:szCs w:val="20"/>
          <w:lang w:eastAsia="es-ES"/>
        </w:rPr>
        <w:t xml:space="preserve">La Corte es competente para conocer el presente caso, en los términos del artículo 62.3 de la Convención, en razón de que Paraguay es Estado Parte de la Convención desde el </w:t>
      </w:r>
      <w:r w:rsidRPr="00F4501E">
        <w:rPr>
          <w:i w:val="0"/>
          <w:szCs w:val="20"/>
          <w:lang w:eastAsia="es-ES"/>
        </w:rPr>
        <w:lastRenderedPageBreak/>
        <w:t>24 de agosto de 1989 y reconoció la competencia contenciosa de este Tribunal el 11 de marzo de 1993.</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6ABEE462" w14:textId="4D0138B8" w:rsidR="006E0A46" w:rsidRPr="003B376F" w:rsidRDefault="006E0A46" w:rsidP="006E0A46">
      <w:pPr>
        <w:pStyle w:val="Ttulo1"/>
        <w:rPr>
          <w:caps w:val="0"/>
          <w:noProof/>
        </w:rPr>
      </w:pPr>
      <w:bookmarkStart w:id="55" w:name="_Toc15303989"/>
      <w:bookmarkStart w:id="56" w:name="_Toc36132090"/>
      <w:bookmarkStart w:id="57" w:name="_Toc438132279"/>
      <w:bookmarkStart w:id="58" w:name="_Toc442082546"/>
      <w:bookmarkStart w:id="59" w:name="_Toc486693364"/>
      <w:bookmarkStart w:id="60" w:name="_Toc486842780"/>
      <w:bookmarkStart w:id="61" w:name="_Toc486842918"/>
      <w:bookmarkStart w:id="62" w:name="_Toc11166266"/>
      <w:bookmarkStart w:id="63" w:name="_Toc438132294"/>
      <w:bookmarkStart w:id="64" w:name="_Toc442082547"/>
      <w:r w:rsidRPr="003B376F">
        <w:rPr>
          <w:caps w:val="0"/>
          <w:noProof/>
        </w:rPr>
        <w:t>IV</w:t>
      </w:r>
      <w:r w:rsidR="00437683" w:rsidRPr="003B376F">
        <w:rPr>
          <w:caps w:val="0"/>
          <w:noProof/>
          <w:color w:val="FFFFFF" w:themeColor="background1"/>
        </w:rPr>
        <w:t>.</w:t>
      </w:r>
      <w:r w:rsidRPr="003B376F">
        <w:rPr>
          <w:caps w:val="0"/>
          <w:noProof/>
        </w:rPr>
        <w:br/>
      </w:r>
      <w:bookmarkEnd w:id="55"/>
      <w:r w:rsidR="00E51F36">
        <w:rPr>
          <w:caps w:val="0"/>
        </w:rPr>
        <w:t>CONSIDERACIÓN PREVIA</w:t>
      </w:r>
      <w:bookmarkEnd w:id="56"/>
    </w:p>
    <w:p w14:paraId="4DD3DF24" w14:textId="5D413DDD" w:rsidR="0033287E" w:rsidRPr="00280D3A" w:rsidRDefault="006E0A46" w:rsidP="00D036BA">
      <w:pPr>
        <w:pStyle w:val="Estilo1"/>
        <w:numPr>
          <w:ilvl w:val="0"/>
          <w:numId w:val="2"/>
        </w:numPr>
        <w:spacing w:before="120"/>
        <w:ind w:left="0" w:right="-4" w:firstLine="0"/>
        <w:rPr>
          <w:szCs w:val="20"/>
          <w:lang w:val="es-CR"/>
        </w:rPr>
      </w:pPr>
      <w:r w:rsidRPr="003B376F">
        <w:rPr>
          <w:i w:val="0"/>
          <w:szCs w:val="20"/>
        </w:rPr>
        <w:t xml:space="preserve">El </w:t>
      </w:r>
      <w:r w:rsidRPr="00404C7B">
        <w:rPr>
          <w:szCs w:val="20"/>
        </w:rPr>
        <w:t>Estado</w:t>
      </w:r>
      <w:r w:rsidRPr="003B376F">
        <w:rPr>
          <w:i w:val="0"/>
          <w:szCs w:val="20"/>
        </w:rPr>
        <w:t xml:space="preserve"> </w:t>
      </w:r>
      <w:r w:rsidR="0033287E">
        <w:rPr>
          <w:i w:val="0"/>
          <w:szCs w:val="20"/>
        </w:rPr>
        <w:t>presentó un alegato que tituló “</w:t>
      </w:r>
      <w:r w:rsidR="00EC4881" w:rsidRPr="00C73E5D">
        <w:rPr>
          <w:i w:val="0"/>
          <w:szCs w:val="20"/>
        </w:rPr>
        <w:t xml:space="preserve">excepción </w:t>
      </w:r>
      <w:r w:rsidR="00C73E5D" w:rsidRPr="00C73E5D">
        <w:rPr>
          <w:i w:val="0"/>
          <w:szCs w:val="20"/>
        </w:rPr>
        <w:t>preliminar</w:t>
      </w:r>
      <w:r w:rsidR="0033287E">
        <w:rPr>
          <w:i w:val="0"/>
          <w:szCs w:val="20"/>
        </w:rPr>
        <w:t>”</w:t>
      </w:r>
      <w:r w:rsidR="00C73E5D" w:rsidRPr="00C73E5D">
        <w:rPr>
          <w:i w:val="0"/>
          <w:szCs w:val="20"/>
        </w:rPr>
        <w:t xml:space="preserve"> </w:t>
      </w:r>
      <w:r w:rsidR="0033287E">
        <w:rPr>
          <w:i w:val="0"/>
          <w:szCs w:val="20"/>
        </w:rPr>
        <w:t xml:space="preserve">en el cual </w:t>
      </w:r>
      <w:r w:rsidR="00D036BA" w:rsidRPr="00D036BA">
        <w:rPr>
          <w:i w:val="0"/>
          <w:color w:val="000000"/>
          <w:szCs w:val="20"/>
        </w:rPr>
        <w:t xml:space="preserve">indicó que la Comisión no había determinado las presuntas víctimas </w:t>
      </w:r>
      <w:r w:rsidR="00692ACE">
        <w:rPr>
          <w:i w:val="0"/>
          <w:color w:val="000000"/>
          <w:szCs w:val="20"/>
        </w:rPr>
        <w:t xml:space="preserve">que denominaba como </w:t>
      </w:r>
      <w:r w:rsidR="00D036BA" w:rsidRPr="00D036BA">
        <w:rPr>
          <w:i w:val="0"/>
          <w:color w:val="000000"/>
          <w:szCs w:val="20"/>
        </w:rPr>
        <w:t xml:space="preserve">“familiares” de Vicente </w:t>
      </w:r>
      <w:r w:rsidR="00E20EDD">
        <w:rPr>
          <w:i w:val="0"/>
          <w:color w:val="000000"/>
          <w:szCs w:val="20"/>
        </w:rPr>
        <w:t>Noguera</w:t>
      </w:r>
      <w:r w:rsidR="00692ACE">
        <w:rPr>
          <w:i w:val="0"/>
          <w:color w:val="000000"/>
          <w:szCs w:val="20"/>
        </w:rPr>
        <w:t xml:space="preserve"> en sus respectivos escritos de sometimiento del caso e Informe de Fondo</w:t>
      </w:r>
      <w:r w:rsidR="00E20EDD">
        <w:rPr>
          <w:i w:val="0"/>
          <w:color w:val="000000"/>
          <w:szCs w:val="20"/>
        </w:rPr>
        <w:t xml:space="preserve">. </w:t>
      </w:r>
      <w:r w:rsidR="0033287E">
        <w:rPr>
          <w:i w:val="0"/>
          <w:color w:val="000000"/>
          <w:szCs w:val="20"/>
        </w:rPr>
        <w:t xml:space="preserve">Al igual que en otros casos, la Corte </w:t>
      </w:r>
      <w:r w:rsidR="00D63FD0">
        <w:rPr>
          <w:i w:val="0"/>
          <w:color w:val="000000"/>
          <w:szCs w:val="20"/>
        </w:rPr>
        <w:t>considera que el alegato del Estado no configura una excepción preliminar, pues no expone las razones por las cuales el caso sometido sería inadmisible o la Corte sería incompetente para conocerlo, por lo tanto</w:t>
      </w:r>
      <w:r w:rsidR="00692ACE">
        <w:rPr>
          <w:i w:val="0"/>
          <w:color w:val="000000"/>
          <w:szCs w:val="20"/>
        </w:rPr>
        <w:t>,</w:t>
      </w:r>
      <w:r w:rsidR="00D63FD0">
        <w:rPr>
          <w:i w:val="0"/>
          <w:color w:val="000000"/>
          <w:szCs w:val="20"/>
        </w:rPr>
        <w:t xml:space="preserve"> </w:t>
      </w:r>
      <w:r w:rsidR="0033287E">
        <w:rPr>
          <w:i w:val="0"/>
          <w:color w:val="000000"/>
          <w:szCs w:val="20"/>
        </w:rPr>
        <w:t xml:space="preserve">analizará estas </w:t>
      </w:r>
      <w:r w:rsidR="00072E5C" w:rsidRPr="00072E5C">
        <w:rPr>
          <w:i w:val="0"/>
          <w:color w:val="000000"/>
          <w:szCs w:val="20"/>
        </w:rPr>
        <w:t>alegaciones como una consideración previa</w:t>
      </w:r>
      <w:r w:rsidR="0033287E" w:rsidRPr="00072E5C">
        <w:rPr>
          <w:i w:val="0"/>
          <w:color w:val="000000"/>
          <w:szCs w:val="20"/>
        </w:rPr>
        <w:t>.</w:t>
      </w:r>
      <w:r w:rsidR="0033287E">
        <w:rPr>
          <w:i w:val="0"/>
          <w:color w:val="000000"/>
          <w:szCs w:val="20"/>
        </w:rPr>
        <w:t xml:space="preserve"> </w:t>
      </w:r>
    </w:p>
    <w:p w14:paraId="5D7DBDB8" w14:textId="15ECB5D6" w:rsidR="006E0A46" w:rsidRPr="00AA259A" w:rsidRDefault="008B382E" w:rsidP="00072E5C">
      <w:pPr>
        <w:pStyle w:val="Estilo1"/>
        <w:numPr>
          <w:ilvl w:val="0"/>
          <w:numId w:val="2"/>
        </w:numPr>
        <w:spacing w:before="120"/>
        <w:ind w:left="0" w:right="-4" w:firstLine="0"/>
        <w:rPr>
          <w:szCs w:val="20"/>
          <w:lang w:val="es-CR"/>
        </w:rPr>
      </w:pPr>
      <w:r>
        <w:rPr>
          <w:i w:val="0"/>
          <w:color w:val="000000"/>
          <w:szCs w:val="20"/>
        </w:rPr>
        <w:t xml:space="preserve">El </w:t>
      </w:r>
      <w:r w:rsidRPr="00404C7B">
        <w:rPr>
          <w:color w:val="000000"/>
          <w:szCs w:val="20"/>
        </w:rPr>
        <w:t>Estado</w:t>
      </w:r>
      <w:r>
        <w:rPr>
          <w:i w:val="0"/>
          <w:color w:val="000000"/>
          <w:szCs w:val="20"/>
        </w:rPr>
        <w:t xml:space="preserve"> </w:t>
      </w:r>
      <w:r w:rsidR="00072E5C" w:rsidRPr="00072E5C">
        <w:rPr>
          <w:i w:val="0"/>
          <w:color w:val="000000"/>
          <w:szCs w:val="20"/>
        </w:rPr>
        <w:t xml:space="preserve">indicó que, en el Informe de Fondo, la Comisión solo ha identificado expresamente como presuntas víctimas a Vicente Noguera, a su madre María Noguera y a su abuelo, sin mencionar el nombre de este último. Agregó que, a pesar de lo anterior, en el </w:t>
      </w:r>
      <w:r w:rsidR="007A0EF0" w:rsidRPr="003B376F">
        <w:rPr>
          <w:i w:val="0"/>
          <w:szCs w:val="20"/>
        </w:rPr>
        <w:t>escrito de solicitudes y argumentos</w:t>
      </w:r>
      <w:r w:rsidR="00072E5C" w:rsidRPr="00072E5C">
        <w:rPr>
          <w:i w:val="0"/>
          <w:color w:val="000000"/>
          <w:szCs w:val="20"/>
        </w:rPr>
        <w:t xml:space="preserve"> los representantes presentaron como presuntas víctimas a los tres hermanos de Vicente Ariel </w:t>
      </w:r>
      <w:r w:rsidR="007A0EF0">
        <w:rPr>
          <w:i w:val="0"/>
          <w:color w:val="000000"/>
          <w:szCs w:val="20"/>
        </w:rPr>
        <w:t xml:space="preserve">Noguera </w:t>
      </w:r>
      <w:r w:rsidR="00072E5C" w:rsidRPr="00072E5C">
        <w:rPr>
          <w:i w:val="0"/>
          <w:color w:val="000000"/>
          <w:szCs w:val="20"/>
        </w:rPr>
        <w:t>y recién mencionaron el nombre de su abuelo en ese escrito. Por tal motivo, solicitó que esas personas fueran excluidas como presuntas víctimas de este caso por no haber sido identificadas en el Informe de Fondo y por no acreditarse documentalmente su relación de parentesco con la presunta víctima fallecida</w:t>
      </w:r>
      <w:r w:rsidR="00AA259A" w:rsidRPr="00AA259A">
        <w:rPr>
          <w:i w:val="0"/>
          <w:szCs w:val="20"/>
          <w:lang w:val="es-CR"/>
        </w:rPr>
        <w:t>.</w:t>
      </w:r>
      <w:r w:rsidR="00AA259A">
        <w:rPr>
          <w:i w:val="0"/>
          <w:szCs w:val="20"/>
          <w:lang w:val="es-CR"/>
        </w:rPr>
        <w:t xml:space="preserve"> </w:t>
      </w:r>
    </w:p>
    <w:p w14:paraId="7F31A13B" w14:textId="76665E18" w:rsidR="0016480B" w:rsidRPr="00C309EB" w:rsidRDefault="00C11A67" w:rsidP="00FF214E">
      <w:pPr>
        <w:pStyle w:val="Prrafodelista"/>
        <w:numPr>
          <w:ilvl w:val="0"/>
          <w:numId w:val="2"/>
        </w:numPr>
        <w:spacing w:before="120" w:after="120"/>
        <w:ind w:left="0" w:firstLine="0"/>
        <w:rPr>
          <w:b/>
          <w:bCs/>
          <w:i/>
          <w:iCs/>
          <w:szCs w:val="20"/>
          <w:lang w:val="es-CR"/>
        </w:rPr>
      </w:pPr>
      <w:r w:rsidRPr="00C309EB">
        <w:rPr>
          <w:szCs w:val="20"/>
        </w:rPr>
        <w:t>L</w:t>
      </w:r>
      <w:r w:rsidR="00AA259A" w:rsidRPr="00C309EB">
        <w:rPr>
          <w:szCs w:val="20"/>
        </w:rPr>
        <w:t xml:space="preserve">os </w:t>
      </w:r>
      <w:r w:rsidR="00AA259A" w:rsidRPr="00404C7B">
        <w:rPr>
          <w:i/>
          <w:szCs w:val="20"/>
        </w:rPr>
        <w:t>representantes</w:t>
      </w:r>
      <w:r w:rsidR="00AA259A" w:rsidRPr="00C309EB">
        <w:rPr>
          <w:szCs w:val="20"/>
        </w:rPr>
        <w:t xml:space="preserve"> afirma</w:t>
      </w:r>
      <w:r w:rsidR="00696DB0">
        <w:rPr>
          <w:szCs w:val="20"/>
        </w:rPr>
        <w:t>ron</w:t>
      </w:r>
      <w:r w:rsidR="003B533F">
        <w:rPr>
          <w:szCs w:val="20"/>
        </w:rPr>
        <w:t xml:space="preserve"> </w:t>
      </w:r>
      <w:r w:rsidR="00AA259A" w:rsidRPr="00C309EB">
        <w:rPr>
          <w:szCs w:val="20"/>
        </w:rPr>
        <w:t>que la muerte de Vicente Noguera generó consecuencias en la vida de sus hermanos, raz</w:t>
      </w:r>
      <w:r w:rsidR="00D92542" w:rsidRPr="00C309EB">
        <w:rPr>
          <w:szCs w:val="20"/>
        </w:rPr>
        <w:t>ón por la cual debían ser considerados como víctimas</w:t>
      </w:r>
      <w:r w:rsidR="003B533F">
        <w:rPr>
          <w:szCs w:val="20"/>
        </w:rPr>
        <w:t xml:space="preserve">. </w:t>
      </w:r>
      <w:r w:rsidR="0016480B" w:rsidRPr="00C309EB">
        <w:rPr>
          <w:bCs/>
          <w:iCs/>
          <w:szCs w:val="20"/>
          <w:lang w:val="es-CR"/>
        </w:rPr>
        <w:t xml:space="preserve">La </w:t>
      </w:r>
      <w:r w:rsidR="0016480B" w:rsidRPr="00404C7B">
        <w:rPr>
          <w:bCs/>
          <w:i/>
          <w:iCs/>
          <w:szCs w:val="20"/>
          <w:lang w:val="es-CR"/>
        </w:rPr>
        <w:t>Comisión</w:t>
      </w:r>
      <w:r w:rsidR="0016480B" w:rsidRPr="00C309EB">
        <w:rPr>
          <w:bCs/>
          <w:iCs/>
          <w:szCs w:val="20"/>
          <w:lang w:val="es-CR"/>
        </w:rPr>
        <w:t xml:space="preserve"> no presentó observaciones </w:t>
      </w:r>
      <w:r w:rsidR="007A0EF0">
        <w:rPr>
          <w:bCs/>
          <w:iCs/>
          <w:szCs w:val="20"/>
          <w:lang w:val="es-CR"/>
        </w:rPr>
        <w:t>respecto a estos alegatos</w:t>
      </w:r>
      <w:r w:rsidR="0016480B" w:rsidRPr="00C309EB">
        <w:rPr>
          <w:bCs/>
          <w:iCs/>
          <w:szCs w:val="20"/>
          <w:lang w:val="es-CR"/>
        </w:rPr>
        <w:t xml:space="preserve">. </w:t>
      </w:r>
    </w:p>
    <w:p w14:paraId="287699A0" w14:textId="1C95D189" w:rsidR="00E51F36" w:rsidRDefault="00E51F36" w:rsidP="00E51F36">
      <w:pPr>
        <w:pStyle w:val="Estilo1"/>
        <w:numPr>
          <w:ilvl w:val="0"/>
          <w:numId w:val="2"/>
        </w:numPr>
        <w:tabs>
          <w:tab w:val="left" w:pos="0"/>
        </w:tabs>
        <w:spacing w:before="120"/>
        <w:ind w:left="0" w:right="-4" w:firstLine="0"/>
        <w:rPr>
          <w:i w:val="0"/>
        </w:rPr>
      </w:pPr>
      <w:r w:rsidRPr="00E51F36">
        <w:rPr>
          <w:i w:val="0"/>
        </w:rPr>
        <w:t xml:space="preserve">Con relación a la identificación de presuntas víctimas, </w:t>
      </w:r>
      <w:r w:rsidR="00353C75">
        <w:rPr>
          <w:i w:val="0"/>
        </w:rPr>
        <w:t>el</w:t>
      </w:r>
      <w:r w:rsidR="00353C75" w:rsidRPr="00E51F36">
        <w:rPr>
          <w:i w:val="0"/>
        </w:rPr>
        <w:t xml:space="preserve"> </w:t>
      </w:r>
      <w:r w:rsidRPr="00280D3A">
        <w:rPr>
          <w:i w:val="0"/>
        </w:rPr>
        <w:t>Tribunal</w:t>
      </w:r>
      <w:r>
        <w:rPr>
          <w:b/>
        </w:rPr>
        <w:t xml:space="preserve"> </w:t>
      </w:r>
      <w:r w:rsidRPr="00E51F36">
        <w:rPr>
          <w:i w:val="0"/>
        </w:rPr>
        <w:t>observa</w:t>
      </w:r>
      <w:r>
        <w:rPr>
          <w:b/>
          <w:i w:val="0"/>
        </w:rPr>
        <w:t xml:space="preserve"> </w:t>
      </w:r>
      <w:r w:rsidRPr="00E51F36">
        <w:rPr>
          <w:i w:val="0"/>
        </w:rPr>
        <w:t xml:space="preserve">que el artículo 35.1 de su </w:t>
      </w:r>
      <w:r w:rsidRPr="00E51F36">
        <w:rPr>
          <w:bCs/>
          <w:i w:val="0"/>
          <w:iCs/>
          <w:szCs w:val="20"/>
          <w:lang w:val="es-CR"/>
        </w:rPr>
        <w:t>Reglamento</w:t>
      </w:r>
      <w:r w:rsidRPr="00E51F36">
        <w:rPr>
          <w:i w:val="0"/>
        </w:rPr>
        <w:t xml:space="preserve"> </w:t>
      </w:r>
      <w:r w:rsidRPr="00E51F36">
        <w:rPr>
          <w:i w:val="0"/>
          <w:szCs w:val="20"/>
          <w:lang w:val="es-CR"/>
        </w:rPr>
        <w:t>dispone</w:t>
      </w:r>
      <w:r w:rsidRPr="00E51F36">
        <w:rPr>
          <w:i w:val="0"/>
        </w:rPr>
        <w:t xml:space="preserve"> que el caso le será sometido mediante la presentación del Informe de Fondo, que deberá contener la identificación de las presuntas víctimas. Corresponde pues a la Comisión identificar con precisión y en la debida oportunidad procesal a las presuntas víctimas en un caso ante la Corte</w:t>
      </w:r>
      <w:r w:rsidRPr="00E51F36">
        <w:rPr>
          <w:i w:val="0"/>
          <w:vertAlign w:val="superscript"/>
        </w:rPr>
        <w:footnoteReference w:id="6"/>
      </w:r>
      <w:r w:rsidRPr="00E51F36">
        <w:rPr>
          <w:i w:val="0"/>
        </w:rPr>
        <w:t>, salvo en las circunstancias excepcionales contempladas en el artículo 35.2 del Reglamento de la Corte</w:t>
      </w:r>
      <w:r w:rsidRPr="00E51F36">
        <w:rPr>
          <w:i w:val="0"/>
          <w:vertAlign w:val="superscript"/>
        </w:rPr>
        <w:footnoteReference w:id="7"/>
      </w:r>
      <w:r w:rsidRPr="00E51F36">
        <w:rPr>
          <w:i w:val="0"/>
        </w:rPr>
        <w:t>.</w:t>
      </w:r>
      <w:r w:rsidR="00FD0180">
        <w:rPr>
          <w:i w:val="0"/>
        </w:rPr>
        <w:t xml:space="preserve"> </w:t>
      </w:r>
    </w:p>
    <w:p w14:paraId="75260E4D" w14:textId="0F68EE12" w:rsidR="00E51F36" w:rsidRPr="00E51F36" w:rsidRDefault="00E20EDD" w:rsidP="007A0EF0">
      <w:pPr>
        <w:pStyle w:val="Estilo1"/>
        <w:numPr>
          <w:ilvl w:val="0"/>
          <w:numId w:val="2"/>
        </w:numPr>
        <w:tabs>
          <w:tab w:val="left" w:pos="0"/>
        </w:tabs>
        <w:spacing w:before="120"/>
        <w:ind w:left="0" w:right="-4" w:firstLine="0"/>
        <w:rPr>
          <w:i w:val="0"/>
        </w:rPr>
      </w:pPr>
      <w:r>
        <w:rPr>
          <w:rFonts w:eastAsia="Verdana" w:cs="Verdana"/>
          <w:i w:val="0"/>
        </w:rPr>
        <w:t xml:space="preserve">En el Informe de Fondo </w:t>
      </w:r>
      <w:r w:rsidR="007A0EF0">
        <w:rPr>
          <w:rFonts w:eastAsia="Verdana" w:cs="Verdana"/>
          <w:i w:val="0"/>
        </w:rPr>
        <w:t xml:space="preserve">del presente caso, </w:t>
      </w:r>
      <w:r>
        <w:rPr>
          <w:rFonts w:eastAsia="Verdana" w:cs="Verdana"/>
          <w:i w:val="0"/>
        </w:rPr>
        <w:t xml:space="preserve">sólo aparecen identificadas como presuntas víctimas Vicente y María Noguera. En consecuencia, </w:t>
      </w:r>
      <w:r w:rsidR="00D63FD0">
        <w:rPr>
          <w:rFonts w:eastAsia="Verdana" w:cs="Verdana"/>
          <w:i w:val="0"/>
        </w:rPr>
        <w:t xml:space="preserve">y debido a que no se configura la </w:t>
      </w:r>
      <w:r w:rsidR="00D63FD0" w:rsidRPr="007A0EF0">
        <w:rPr>
          <w:i w:val="0"/>
        </w:rPr>
        <w:t>excepción</w:t>
      </w:r>
      <w:r w:rsidR="00D63FD0">
        <w:rPr>
          <w:rFonts w:eastAsia="Verdana" w:cs="Verdana"/>
          <w:i w:val="0"/>
        </w:rPr>
        <w:t xml:space="preserve"> prevista en el artículo 35.2, </w:t>
      </w:r>
      <w:r w:rsidR="00E51F36" w:rsidRPr="00E51F36">
        <w:rPr>
          <w:rFonts w:eastAsia="Verdana" w:cs="Verdana"/>
          <w:i w:val="0"/>
        </w:rPr>
        <w:t xml:space="preserve">la Corte concluye que </w:t>
      </w:r>
      <w:r w:rsidR="00E51F36" w:rsidRPr="00E51F36">
        <w:rPr>
          <w:i w:val="0"/>
        </w:rPr>
        <w:t>solo</w:t>
      </w:r>
      <w:r w:rsidR="00E51F36" w:rsidRPr="00E51F36">
        <w:rPr>
          <w:rFonts w:eastAsia="Verdana" w:cs="Verdana"/>
          <w:i w:val="0"/>
        </w:rPr>
        <w:t xml:space="preserve"> se considerará a</w:t>
      </w:r>
      <w:r w:rsidR="00E51F36">
        <w:rPr>
          <w:rFonts w:eastAsia="Verdana" w:cs="Verdana"/>
          <w:i w:val="0"/>
        </w:rPr>
        <w:t xml:space="preserve"> Vicente </w:t>
      </w:r>
      <w:r w:rsidR="007A0EF0">
        <w:rPr>
          <w:rFonts w:eastAsia="Verdana" w:cs="Verdana"/>
          <w:i w:val="0"/>
        </w:rPr>
        <w:t xml:space="preserve">Ariel </w:t>
      </w:r>
      <w:r w:rsidR="00793FF5">
        <w:rPr>
          <w:rFonts w:eastAsia="Verdana" w:cs="Verdana"/>
          <w:i w:val="0"/>
        </w:rPr>
        <w:t xml:space="preserve">Noguera </w:t>
      </w:r>
      <w:r w:rsidR="00E51F36">
        <w:rPr>
          <w:rFonts w:eastAsia="Verdana" w:cs="Verdana"/>
          <w:i w:val="0"/>
        </w:rPr>
        <w:t xml:space="preserve">y </w:t>
      </w:r>
      <w:r w:rsidR="007A0EF0" w:rsidRPr="007A0EF0">
        <w:rPr>
          <w:rFonts w:eastAsia="Verdana" w:cs="Verdana"/>
          <w:i w:val="0"/>
        </w:rPr>
        <w:t>María Ramona Isabel Noguera Domínguez</w:t>
      </w:r>
      <w:r w:rsidR="00E51F36" w:rsidRPr="00E51F36">
        <w:rPr>
          <w:rFonts w:eastAsia="Verdana" w:cs="Verdana"/>
          <w:i w:val="0"/>
        </w:rPr>
        <w:t xml:space="preserve"> como presunta</w:t>
      </w:r>
      <w:r w:rsidR="00E51F36">
        <w:rPr>
          <w:rFonts w:eastAsia="Verdana" w:cs="Verdana"/>
          <w:i w:val="0"/>
        </w:rPr>
        <w:t>s</w:t>
      </w:r>
      <w:r w:rsidR="00E51F36" w:rsidRPr="00E51F36">
        <w:rPr>
          <w:rFonts w:eastAsia="Verdana" w:cs="Verdana"/>
          <w:i w:val="0"/>
        </w:rPr>
        <w:t xml:space="preserve"> víctima</w:t>
      </w:r>
      <w:r w:rsidR="00E51F36">
        <w:rPr>
          <w:rFonts w:eastAsia="Verdana" w:cs="Verdana"/>
          <w:i w:val="0"/>
        </w:rPr>
        <w:t>s</w:t>
      </w:r>
      <w:r w:rsidR="00E51F36" w:rsidRPr="00E51F36">
        <w:rPr>
          <w:rFonts w:eastAsia="Verdana" w:cs="Verdana"/>
          <w:i w:val="0"/>
        </w:rPr>
        <w:t xml:space="preserve"> </w:t>
      </w:r>
      <w:r w:rsidR="00FB3A07">
        <w:rPr>
          <w:rFonts w:eastAsia="Verdana" w:cs="Verdana"/>
          <w:i w:val="0"/>
        </w:rPr>
        <w:t>puesto que</w:t>
      </w:r>
      <w:r>
        <w:rPr>
          <w:rFonts w:eastAsia="Verdana" w:cs="Verdana"/>
          <w:i w:val="0"/>
        </w:rPr>
        <w:t xml:space="preserve"> son las </w:t>
      </w:r>
      <w:r w:rsidR="00FB3A07">
        <w:rPr>
          <w:rFonts w:eastAsia="Verdana" w:cs="Verdana"/>
          <w:i w:val="0"/>
        </w:rPr>
        <w:t xml:space="preserve">personas </w:t>
      </w:r>
      <w:r>
        <w:rPr>
          <w:rFonts w:eastAsia="Verdana" w:cs="Verdana"/>
          <w:i w:val="0"/>
        </w:rPr>
        <w:t>identificadas por la Comisión en el Informe de Fondo,</w:t>
      </w:r>
      <w:r w:rsidR="00E51F36" w:rsidRPr="00E51F36">
        <w:rPr>
          <w:rFonts w:eastAsia="Verdana" w:cs="Verdana"/>
          <w:i w:val="0"/>
        </w:rPr>
        <w:t xml:space="preserve"> no correspondiendo adm</w:t>
      </w:r>
      <w:r>
        <w:rPr>
          <w:rFonts w:eastAsia="Verdana" w:cs="Verdana"/>
          <w:i w:val="0"/>
        </w:rPr>
        <w:t xml:space="preserve">itir a los restantes familiares. </w:t>
      </w:r>
    </w:p>
    <w:p w14:paraId="1F7A01D4" w14:textId="457C2695" w:rsidR="00E819CC" w:rsidRPr="003B376F" w:rsidRDefault="00E819CC" w:rsidP="00E819CC">
      <w:pPr>
        <w:pStyle w:val="Ttulo1"/>
      </w:pPr>
      <w:bookmarkStart w:id="65" w:name="_Toc36132091"/>
      <w:bookmarkEnd w:id="57"/>
      <w:bookmarkEnd w:id="58"/>
      <w:bookmarkEnd w:id="59"/>
      <w:bookmarkEnd w:id="60"/>
      <w:bookmarkEnd w:id="61"/>
      <w:bookmarkEnd w:id="62"/>
      <w:bookmarkEnd w:id="63"/>
      <w:bookmarkEnd w:id="64"/>
      <w:r w:rsidRPr="003B376F">
        <w:lastRenderedPageBreak/>
        <w:t>V</w:t>
      </w:r>
      <w:r w:rsidRPr="003B376F">
        <w:rPr>
          <w:color w:val="FFFFFF" w:themeColor="background1"/>
        </w:rPr>
        <w:t>.</w:t>
      </w:r>
      <w:r w:rsidRPr="003B376F">
        <w:br/>
      </w:r>
      <w:r>
        <w:t>RECONOCIMIENTO DE RESPONSABILIDAD</w:t>
      </w:r>
      <w:bookmarkEnd w:id="65"/>
    </w:p>
    <w:p w14:paraId="37D32561" w14:textId="1747A577" w:rsidR="00315232" w:rsidRDefault="008B382E" w:rsidP="004C6AFA">
      <w:pPr>
        <w:pStyle w:val="Prrafodelista"/>
        <w:numPr>
          <w:ilvl w:val="0"/>
          <w:numId w:val="8"/>
        </w:numPr>
        <w:pBdr>
          <w:top w:val="nil"/>
        </w:pBdr>
        <w:spacing w:before="240" w:after="240"/>
        <w:contextualSpacing w:val="0"/>
        <w:outlineLvl w:val="1"/>
        <w:rPr>
          <w:b/>
          <w:i/>
          <w:snapToGrid w:val="0"/>
          <w:spacing w:val="-2"/>
          <w:szCs w:val="20"/>
          <w:lang w:eastAsia="es-ES"/>
        </w:rPr>
      </w:pPr>
      <w:bookmarkStart w:id="66" w:name="_Toc36132092"/>
      <w:r>
        <w:rPr>
          <w:b/>
          <w:i/>
          <w:snapToGrid w:val="0"/>
          <w:spacing w:val="-2"/>
          <w:szCs w:val="20"/>
          <w:lang w:eastAsia="es-ES"/>
        </w:rPr>
        <w:t>Observaciones</w:t>
      </w:r>
      <w:r w:rsidRPr="003B376F">
        <w:rPr>
          <w:b/>
          <w:i/>
          <w:snapToGrid w:val="0"/>
          <w:spacing w:val="-2"/>
          <w:szCs w:val="20"/>
          <w:lang w:eastAsia="es-ES"/>
        </w:rPr>
        <w:t xml:space="preserve"> </w:t>
      </w:r>
      <w:r w:rsidR="00315232" w:rsidRPr="003B376F">
        <w:rPr>
          <w:b/>
          <w:i/>
          <w:snapToGrid w:val="0"/>
          <w:spacing w:val="-2"/>
          <w:szCs w:val="20"/>
          <w:lang w:eastAsia="es-ES"/>
        </w:rPr>
        <w:t>de las partes y de la Comisión</w:t>
      </w:r>
      <w:bookmarkEnd w:id="66"/>
    </w:p>
    <w:p w14:paraId="4B8E7BAB" w14:textId="69AD82C4" w:rsidR="008B382E" w:rsidRDefault="00FF214E" w:rsidP="00FF214E">
      <w:pPr>
        <w:pStyle w:val="Estilo1"/>
        <w:numPr>
          <w:ilvl w:val="0"/>
          <w:numId w:val="2"/>
        </w:numPr>
        <w:tabs>
          <w:tab w:val="left" w:pos="0"/>
        </w:tabs>
        <w:spacing w:before="120"/>
        <w:ind w:left="0" w:right="-4" w:firstLine="0"/>
        <w:rPr>
          <w:rFonts w:eastAsia="Verdana" w:cs="Verdana"/>
          <w:i w:val="0"/>
        </w:rPr>
      </w:pPr>
      <w:r>
        <w:rPr>
          <w:rFonts w:eastAsia="Verdana" w:cs="Verdana"/>
          <w:i w:val="0"/>
        </w:rPr>
        <w:t xml:space="preserve">El </w:t>
      </w:r>
      <w:r w:rsidRPr="00404C7B">
        <w:rPr>
          <w:rFonts w:eastAsia="Verdana" w:cs="Verdana"/>
        </w:rPr>
        <w:t>Estado</w:t>
      </w:r>
      <w:r>
        <w:rPr>
          <w:rFonts w:eastAsia="Verdana" w:cs="Verdana"/>
          <w:i w:val="0"/>
        </w:rPr>
        <w:t xml:space="preserve"> reconoció su responsabilidad internacional </w:t>
      </w:r>
      <w:r w:rsidR="008310DB">
        <w:rPr>
          <w:rFonts w:eastAsia="Verdana" w:cs="Verdana"/>
          <w:i w:val="0"/>
        </w:rPr>
        <w:t xml:space="preserve">en los </w:t>
      </w:r>
      <w:r w:rsidR="00072E5C" w:rsidRPr="00072E5C">
        <w:rPr>
          <w:rFonts w:eastAsia="Verdana" w:cs="Verdana"/>
          <w:i w:val="0"/>
        </w:rPr>
        <w:t xml:space="preserve">mismos términos del </w:t>
      </w:r>
      <w:r w:rsidR="00B41EBA" w:rsidRPr="00B41EBA">
        <w:rPr>
          <w:i w:val="0"/>
          <w:szCs w:val="20"/>
        </w:rPr>
        <w:t>Acuerdo de Solución Amistosa</w:t>
      </w:r>
      <w:r w:rsidR="00072E5C" w:rsidRPr="00072E5C">
        <w:rPr>
          <w:rFonts w:eastAsia="Verdana" w:cs="Verdana"/>
          <w:i w:val="0"/>
        </w:rPr>
        <w:t xml:space="preserve"> suscripto en el año 2011</w:t>
      </w:r>
      <w:r w:rsidR="00072E5C">
        <w:rPr>
          <w:rFonts w:eastAsia="Verdana" w:cs="Verdana"/>
        </w:rPr>
        <w:t xml:space="preserve"> </w:t>
      </w:r>
      <w:r>
        <w:rPr>
          <w:rFonts w:eastAsia="Verdana" w:cs="Verdana"/>
          <w:i w:val="0"/>
        </w:rPr>
        <w:t>(</w:t>
      </w:r>
      <w:r w:rsidRPr="007A0EF0">
        <w:rPr>
          <w:rFonts w:eastAsia="Verdana" w:cs="Verdana"/>
        </w:rPr>
        <w:t>supra</w:t>
      </w:r>
      <w:r>
        <w:rPr>
          <w:rFonts w:eastAsia="Verdana" w:cs="Verdana"/>
          <w:i w:val="0"/>
        </w:rPr>
        <w:t xml:space="preserve"> párr. </w:t>
      </w:r>
      <w:r w:rsidR="00716907">
        <w:rPr>
          <w:rFonts w:eastAsia="Verdana" w:cs="Verdana"/>
          <w:i w:val="0"/>
        </w:rPr>
        <w:t xml:space="preserve">2.c). </w:t>
      </w:r>
      <w:r>
        <w:rPr>
          <w:rFonts w:eastAsia="Verdana" w:cs="Verdana"/>
          <w:i w:val="0"/>
        </w:rPr>
        <w:t>Expresó en particular</w:t>
      </w:r>
      <w:r w:rsidR="007A0EF0">
        <w:rPr>
          <w:rFonts w:eastAsia="Verdana" w:cs="Verdana"/>
          <w:i w:val="0"/>
        </w:rPr>
        <w:t>,</w:t>
      </w:r>
      <w:r>
        <w:rPr>
          <w:rFonts w:eastAsia="Verdana" w:cs="Verdana"/>
          <w:i w:val="0"/>
        </w:rPr>
        <w:t xml:space="preserve"> que en esa oportunidad reconoció</w:t>
      </w:r>
      <w:r w:rsidRPr="00FF214E">
        <w:rPr>
          <w:rFonts w:eastAsia="Verdana" w:cs="Verdana"/>
          <w:i w:val="0"/>
        </w:rPr>
        <w:t xml:space="preserve"> su responsabilidad internacional en el </w:t>
      </w:r>
      <w:r>
        <w:rPr>
          <w:rFonts w:eastAsia="Verdana" w:cs="Verdana"/>
          <w:i w:val="0"/>
        </w:rPr>
        <w:t>presente caso</w:t>
      </w:r>
      <w:r w:rsidR="007A0EF0">
        <w:rPr>
          <w:rFonts w:eastAsia="Verdana" w:cs="Verdana"/>
          <w:i w:val="0"/>
        </w:rPr>
        <w:t>,</w:t>
      </w:r>
      <w:r>
        <w:rPr>
          <w:rFonts w:eastAsia="Verdana" w:cs="Verdana"/>
          <w:i w:val="0"/>
        </w:rPr>
        <w:t xml:space="preserve"> el cual se </w:t>
      </w:r>
      <w:r w:rsidRPr="00FF214E">
        <w:rPr>
          <w:rFonts w:eastAsia="Verdana" w:cs="Verdana"/>
          <w:i w:val="0"/>
        </w:rPr>
        <w:t xml:space="preserve">refiere </w:t>
      </w:r>
      <w:r>
        <w:rPr>
          <w:rFonts w:eastAsia="Verdana" w:cs="Verdana"/>
          <w:i w:val="0"/>
        </w:rPr>
        <w:t xml:space="preserve">“a la muerte del joven Vicente </w:t>
      </w:r>
      <w:r w:rsidRPr="00FF214E">
        <w:rPr>
          <w:rFonts w:eastAsia="Verdana" w:cs="Verdana"/>
          <w:i w:val="0"/>
        </w:rPr>
        <w:t>Noguera mientras se encontraba bajo custodia del Ejército, por violación a los derechos a la integridad personal, a la vida, a las medidas especiales de protección</w:t>
      </w:r>
      <w:r>
        <w:rPr>
          <w:rFonts w:eastAsia="Verdana" w:cs="Verdana"/>
          <w:i w:val="0"/>
        </w:rPr>
        <w:t xml:space="preserve"> de la niñez</w:t>
      </w:r>
      <w:r w:rsidRPr="00FF214E">
        <w:rPr>
          <w:rFonts w:eastAsia="Verdana" w:cs="Verdana"/>
          <w:i w:val="0"/>
        </w:rPr>
        <w:t xml:space="preserve">, a la protección judicial y a las garantías judiciales, derechos </w:t>
      </w:r>
      <w:r w:rsidR="008F403C">
        <w:rPr>
          <w:rFonts w:eastAsia="Verdana" w:cs="Verdana"/>
          <w:i w:val="0"/>
        </w:rPr>
        <w:t>[contenidos]</w:t>
      </w:r>
      <w:r w:rsidRPr="00FF214E">
        <w:rPr>
          <w:rFonts w:eastAsia="Verdana" w:cs="Verdana"/>
          <w:i w:val="0"/>
        </w:rPr>
        <w:t xml:space="preserve"> en los artículos 4, 5, 8, 19 y 25 de la Convención</w:t>
      </w:r>
      <w:r>
        <w:rPr>
          <w:rFonts w:eastAsia="Verdana" w:cs="Verdana"/>
          <w:i w:val="0"/>
        </w:rPr>
        <w:t xml:space="preserve"> Americana sobre Derechos Humanos de 1969</w:t>
      </w:r>
      <w:r w:rsidRPr="00FF214E">
        <w:rPr>
          <w:rFonts w:eastAsia="Verdana" w:cs="Verdana"/>
          <w:i w:val="0"/>
        </w:rPr>
        <w:t xml:space="preserve"> y las obligaciones derivadas del </w:t>
      </w:r>
      <w:r w:rsidR="00E462F8" w:rsidRPr="00FF214E">
        <w:rPr>
          <w:rFonts w:eastAsia="Verdana" w:cs="Verdana"/>
          <w:i w:val="0"/>
        </w:rPr>
        <w:t>artículo</w:t>
      </w:r>
      <w:r w:rsidRPr="00FF214E">
        <w:rPr>
          <w:rFonts w:eastAsia="Verdana" w:cs="Verdana"/>
          <w:i w:val="0"/>
        </w:rPr>
        <w:t xml:space="preserve"> 1.1 de la misma</w:t>
      </w:r>
      <w:r>
        <w:rPr>
          <w:rFonts w:eastAsia="Verdana" w:cs="Verdana"/>
          <w:i w:val="0"/>
        </w:rPr>
        <w:t>”</w:t>
      </w:r>
      <w:r w:rsidRPr="00FF214E">
        <w:rPr>
          <w:rFonts w:eastAsia="Verdana" w:cs="Verdana"/>
          <w:i w:val="0"/>
        </w:rPr>
        <w:t>.</w:t>
      </w:r>
      <w:r>
        <w:rPr>
          <w:rFonts w:eastAsia="Verdana" w:cs="Verdana"/>
          <w:i w:val="0"/>
        </w:rPr>
        <w:t xml:space="preserve"> Indicó que </w:t>
      </w:r>
      <w:r w:rsidRPr="00FF214E">
        <w:rPr>
          <w:rFonts w:eastAsia="Verdana" w:cs="Verdana"/>
          <w:i w:val="0"/>
        </w:rPr>
        <w:t>el reconocimiento</w:t>
      </w:r>
      <w:r>
        <w:rPr>
          <w:rFonts w:eastAsia="Verdana" w:cs="Verdana"/>
          <w:i w:val="0"/>
        </w:rPr>
        <w:t xml:space="preserve"> </w:t>
      </w:r>
      <w:r w:rsidRPr="00FF214E">
        <w:rPr>
          <w:rFonts w:eastAsia="Verdana" w:cs="Verdana"/>
          <w:i w:val="0"/>
        </w:rPr>
        <w:t>persiste, es</w:t>
      </w:r>
      <w:r>
        <w:rPr>
          <w:rFonts w:eastAsia="Verdana" w:cs="Verdana"/>
          <w:i w:val="0"/>
        </w:rPr>
        <w:t xml:space="preserve"> expreso, y se aparta del Informe de F</w:t>
      </w:r>
      <w:r w:rsidRPr="00FF214E">
        <w:rPr>
          <w:rFonts w:eastAsia="Verdana" w:cs="Verdana"/>
          <w:i w:val="0"/>
        </w:rPr>
        <w:t xml:space="preserve">ondo y del </w:t>
      </w:r>
      <w:r w:rsidR="007A0EF0" w:rsidRPr="003B376F">
        <w:rPr>
          <w:i w:val="0"/>
          <w:szCs w:val="20"/>
        </w:rPr>
        <w:t>escrito de solicitudes y argumentos</w:t>
      </w:r>
      <w:r w:rsidRPr="00FF214E">
        <w:rPr>
          <w:rFonts w:eastAsia="Verdana" w:cs="Verdana"/>
          <w:i w:val="0"/>
        </w:rPr>
        <w:t xml:space="preserve"> </w:t>
      </w:r>
      <w:r w:rsidR="00716907">
        <w:rPr>
          <w:rFonts w:eastAsia="Verdana" w:cs="Verdana"/>
          <w:i w:val="0"/>
        </w:rPr>
        <w:t xml:space="preserve">solo </w:t>
      </w:r>
      <w:r w:rsidRPr="00FF214E">
        <w:rPr>
          <w:rFonts w:eastAsia="Verdana" w:cs="Verdana"/>
          <w:i w:val="0"/>
        </w:rPr>
        <w:t xml:space="preserve">en </w:t>
      </w:r>
      <w:r w:rsidR="008B382E">
        <w:rPr>
          <w:rFonts w:eastAsia="Verdana" w:cs="Verdana"/>
          <w:i w:val="0"/>
        </w:rPr>
        <w:t>“</w:t>
      </w:r>
      <w:r>
        <w:rPr>
          <w:rFonts w:eastAsia="Verdana" w:cs="Verdana"/>
          <w:i w:val="0"/>
        </w:rPr>
        <w:t>aspectos puntuales</w:t>
      </w:r>
      <w:r w:rsidR="008B382E">
        <w:rPr>
          <w:rFonts w:eastAsia="Verdana" w:cs="Verdana"/>
          <w:i w:val="0"/>
        </w:rPr>
        <w:t>”</w:t>
      </w:r>
      <w:r>
        <w:rPr>
          <w:rFonts w:eastAsia="Verdana" w:cs="Verdana"/>
          <w:i w:val="0"/>
        </w:rPr>
        <w:t>.</w:t>
      </w:r>
      <w:r w:rsidR="00095F45">
        <w:rPr>
          <w:rFonts w:eastAsia="Verdana" w:cs="Verdana"/>
          <w:i w:val="0"/>
        </w:rPr>
        <w:t xml:space="preserve"> </w:t>
      </w:r>
    </w:p>
    <w:p w14:paraId="4B94DE80" w14:textId="208A8BE4" w:rsidR="008B382E" w:rsidRPr="008B382E" w:rsidRDefault="008B382E" w:rsidP="00072E5C">
      <w:pPr>
        <w:pStyle w:val="Estilo1"/>
        <w:numPr>
          <w:ilvl w:val="0"/>
          <w:numId w:val="2"/>
        </w:numPr>
        <w:tabs>
          <w:tab w:val="left" w:pos="0"/>
        </w:tabs>
        <w:spacing w:before="120"/>
        <w:ind w:left="0" w:right="-4" w:firstLine="0"/>
        <w:rPr>
          <w:rFonts w:eastAsia="Verdana" w:cs="Verdana"/>
          <w:i w:val="0"/>
        </w:rPr>
      </w:pPr>
      <w:r w:rsidRPr="008B382E">
        <w:rPr>
          <w:rFonts w:eastAsia="Verdana" w:cs="Verdana"/>
          <w:i w:val="0"/>
        </w:rPr>
        <w:t>En lo que se refiere a esas discrepancias con lo alegado por los representantes</w:t>
      </w:r>
      <w:r>
        <w:rPr>
          <w:rFonts w:eastAsia="Verdana" w:cs="Verdana"/>
          <w:i w:val="0"/>
        </w:rPr>
        <w:t xml:space="preserve"> y la Comisión</w:t>
      </w:r>
      <w:r w:rsidRPr="008B382E">
        <w:rPr>
          <w:rFonts w:eastAsia="Verdana" w:cs="Verdana"/>
          <w:i w:val="0"/>
        </w:rPr>
        <w:t xml:space="preserve">: a) </w:t>
      </w:r>
      <w:r>
        <w:rPr>
          <w:rFonts w:eastAsia="Verdana" w:cs="Verdana"/>
          <w:i w:val="0"/>
        </w:rPr>
        <w:t xml:space="preserve">señaló </w:t>
      </w:r>
      <w:r w:rsidRPr="008B382E">
        <w:rPr>
          <w:rFonts w:eastAsia="Verdana" w:cs="Verdana"/>
          <w:i w:val="0"/>
        </w:rPr>
        <w:t>que</w:t>
      </w:r>
      <w:r w:rsidR="007A0EF0">
        <w:rPr>
          <w:rFonts w:eastAsia="Verdana" w:cs="Verdana"/>
          <w:i w:val="0"/>
        </w:rPr>
        <w:t>,</w:t>
      </w:r>
      <w:r w:rsidRPr="008B382E">
        <w:rPr>
          <w:rFonts w:eastAsia="Verdana" w:cs="Verdana"/>
          <w:i w:val="0"/>
        </w:rPr>
        <w:t xml:space="preserve"> </w:t>
      </w:r>
      <w:r w:rsidRPr="00280D3A">
        <w:rPr>
          <w:i w:val="0"/>
        </w:rPr>
        <w:t xml:space="preserve">a raíz de los casos “Víctor Hugo Maciel”, “Vargas Areco” e incluso este mismo caso “Vicente Ariel Noguera”, el Estado adecuó su legislación y sus prácticas respecto de la prestación del servicio militar a los estándares internacionales en la materia; b) se refirió a la autorización solicitada por María Noguera para que su hijo Vicente pudiera prestar el servicio militar; c) respecto de la autopsia ordenada por la jurisdicción militar, </w:t>
      </w:r>
      <w:r>
        <w:rPr>
          <w:i w:val="0"/>
        </w:rPr>
        <w:t xml:space="preserve">señaló </w:t>
      </w:r>
      <w:r w:rsidRPr="00280D3A">
        <w:rPr>
          <w:i w:val="0"/>
        </w:rPr>
        <w:t xml:space="preserve">que la misma fue realizada en el sanatorio privado </w:t>
      </w:r>
      <w:proofErr w:type="spellStart"/>
      <w:r w:rsidRPr="00280D3A">
        <w:rPr>
          <w:i w:val="0"/>
        </w:rPr>
        <w:t>Migone</w:t>
      </w:r>
      <w:proofErr w:type="spellEnd"/>
      <w:r w:rsidRPr="00280D3A">
        <w:rPr>
          <w:i w:val="0"/>
        </w:rPr>
        <w:t xml:space="preserve"> </w:t>
      </w:r>
      <w:proofErr w:type="spellStart"/>
      <w:r w:rsidRPr="00280D3A">
        <w:rPr>
          <w:i w:val="0"/>
        </w:rPr>
        <w:t>Battilana</w:t>
      </w:r>
      <w:proofErr w:type="spellEnd"/>
      <w:r w:rsidRPr="00280D3A">
        <w:rPr>
          <w:i w:val="0"/>
        </w:rPr>
        <w:t xml:space="preserve"> por el Dr. M.A.M.  </w:t>
      </w:r>
      <w:r w:rsidR="007A0EF0">
        <w:rPr>
          <w:i w:val="0"/>
        </w:rPr>
        <w:t>(</w:t>
      </w:r>
      <w:r w:rsidRPr="00280D3A">
        <w:rPr>
          <w:i w:val="0"/>
        </w:rPr>
        <w:t>pedido expreso de María Noguera</w:t>
      </w:r>
      <w:r w:rsidR="007A0EF0">
        <w:rPr>
          <w:i w:val="0"/>
        </w:rPr>
        <w:t>)</w:t>
      </w:r>
      <w:r w:rsidR="004353DD">
        <w:rPr>
          <w:i w:val="0"/>
        </w:rPr>
        <w:t xml:space="preserve"> y </w:t>
      </w:r>
      <w:r w:rsidR="00A057CC">
        <w:rPr>
          <w:i w:val="0"/>
        </w:rPr>
        <w:t>contó</w:t>
      </w:r>
      <w:r w:rsidRPr="00280D3A">
        <w:rPr>
          <w:i w:val="0"/>
        </w:rPr>
        <w:t xml:space="preserve"> </w:t>
      </w:r>
      <w:r w:rsidR="004353DD">
        <w:rPr>
          <w:i w:val="0"/>
        </w:rPr>
        <w:t>con la participación de otros</w:t>
      </w:r>
      <w:r w:rsidR="004353DD" w:rsidRPr="00280D3A">
        <w:rPr>
          <w:i w:val="0"/>
        </w:rPr>
        <w:t xml:space="preserve"> </w:t>
      </w:r>
      <w:r w:rsidRPr="00280D3A">
        <w:rPr>
          <w:i w:val="0"/>
        </w:rPr>
        <w:t xml:space="preserve">dos doctores; d) se refirió a las comprobaciones independientes de la afectación pulmonar de Vicente Noguera; e) controvirtió lo señalado por la Comisión en torno a la ausencia de un dictamen fiscal militar el 6 de octubre de 1997, el cual se encuentra en el expediente; f) presentó aclaraciones sobre las condiciones en las cuales se desarrolló la segunda autopsia al cuerpo de Vicente Noguera; </w:t>
      </w:r>
      <w:r w:rsidR="00A057CC">
        <w:rPr>
          <w:i w:val="0"/>
        </w:rPr>
        <w:t>g</w:t>
      </w:r>
      <w:r w:rsidRPr="00280D3A">
        <w:rPr>
          <w:i w:val="0"/>
        </w:rPr>
        <w:t xml:space="preserve">) se refirió a la reapertura de la investigación por la muerte de Vicente Noguera en el año 2012; </w:t>
      </w:r>
      <w:r w:rsidR="00A057CC">
        <w:rPr>
          <w:i w:val="0"/>
        </w:rPr>
        <w:t>h)</w:t>
      </w:r>
      <w:r w:rsidRPr="00280D3A">
        <w:rPr>
          <w:i w:val="0"/>
        </w:rPr>
        <w:t xml:space="preserve"> indicó que en el sumario de la justicia penal, en este caso concreto, fueron realizadas múltiples diligencias investigativas </w:t>
      </w:r>
      <w:r w:rsidR="00A06B00">
        <w:rPr>
          <w:iCs/>
        </w:rPr>
        <w:t xml:space="preserve">ex </w:t>
      </w:r>
      <w:proofErr w:type="spellStart"/>
      <w:r w:rsidR="00A06B00">
        <w:rPr>
          <w:iCs/>
        </w:rPr>
        <w:t>officio</w:t>
      </w:r>
      <w:proofErr w:type="spellEnd"/>
      <w:r w:rsidR="00A06B00">
        <w:rPr>
          <w:iCs/>
        </w:rPr>
        <w:t xml:space="preserve"> </w:t>
      </w:r>
      <w:r w:rsidRPr="00280D3A">
        <w:rPr>
          <w:i w:val="0"/>
        </w:rPr>
        <w:t xml:space="preserve">de gran valor; </w:t>
      </w:r>
      <w:r w:rsidR="00A057CC">
        <w:rPr>
          <w:i w:val="0"/>
        </w:rPr>
        <w:t>i</w:t>
      </w:r>
      <w:r w:rsidRPr="00280D3A">
        <w:rPr>
          <w:i w:val="0"/>
        </w:rPr>
        <w:t xml:space="preserve">) </w:t>
      </w:r>
      <w:r w:rsidR="00072E5C" w:rsidRPr="00072E5C">
        <w:rPr>
          <w:i w:val="0"/>
        </w:rPr>
        <w:t>alegó que al momento de los hechos, en el año 1996, no era una obligación del Estado cumplir con lo dispuesto por el Protocolo de Minnesota para la realización de autopsias</w:t>
      </w:r>
      <w:r w:rsidR="004353DD">
        <w:rPr>
          <w:i w:val="0"/>
        </w:rPr>
        <w:t>, y</w:t>
      </w:r>
      <w:r w:rsidRPr="00280D3A">
        <w:rPr>
          <w:i w:val="0"/>
        </w:rPr>
        <w:t xml:space="preserve"> </w:t>
      </w:r>
      <w:r w:rsidR="00A057CC">
        <w:rPr>
          <w:i w:val="0"/>
        </w:rPr>
        <w:t>j</w:t>
      </w:r>
      <w:r w:rsidRPr="00280D3A">
        <w:rPr>
          <w:i w:val="0"/>
        </w:rPr>
        <w:t xml:space="preserve">) alegó que no vulneró la prohibición general de enlistar menores de 15 años en el servicio militar ni aceptó que el enrolamiento de Vicente Noguera fuera contrario </w:t>
      </w:r>
      <w:r w:rsidR="004353DD">
        <w:rPr>
          <w:i w:val="0"/>
        </w:rPr>
        <w:t xml:space="preserve">a la Convención o </w:t>
      </w:r>
      <w:r w:rsidRPr="00280D3A">
        <w:rPr>
          <w:i w:val="0"/>
        </w:rPr>
        <w:t>a lo establecido por el ordenamiento jurídico interno</w:t>
      </w:r>
      <w:r w:rsidR="004353DD">
        <w:rPr>
          <w:i w:val="0"/>
        </w:rPr>
        <w:t>.</w:t>
      </w:r>
      <w:r w:rsidRPr="00280D3A">
        <w:rPr>
          <w:i w:val="0"/>
        </w:rPr>
        <w:t xml:space="preserve"> </w:t>
      </w:r>
      <w:r w:rsidR="004353DD">
        <w:rPr>
          <w:i w:val="0"/>
        </w:rPr>
        <w:t>A</w:t>
      </w:r>
      <w:r w:rsidRPr="00280D3A">
        <w:rPr>
          <w:i w:val="0"/>
        </w:rPr>
        <w:t xml:space="preserve">cerca de los alegatos de los representantes y las referencias respecto de investigaciones particulares llevadas adelante por María Noguera, o de versiones de testimonios a los que ella tuvo acceso en forma independiente y al margen de los procesos formales, el Estado </w:t>
      </w:r>
      <w:r w:rsidR="004353DD">
        <w:rPr>
          <w:i w:val="0"/>
        </w:rPr>
        <w:t>negó</w:t>
      </w:r>
      <w:r w:rsidR="004353DD" w:rsidRPr="00280D3A">
        <w:rPr>
          <w:i w:val="0"/>
        </w:rPr>
        <w:t xml:space="preserve"> </w:t>
      </w:r>
      <w:r w:rsidRPr="00280D3A">
        <w:rPr>
          <w:i w:val="0"/>
        </w:rPr>
        <w:t>las afirmaciones que se desprenden de estos elementos por no tener forma de comprobarlos</w:t>
      </w:r>
      <w:r>
        <w:rPr>
          <w:i w:val="0"/>
        </w:rPr>
        <w:t>.</w:t>
      </w:r>
    </w:p>
    <w:p w14:paraId="32E72353" w14:textId="711D9B6E" w:rsidR="00FF214E" w:rsidRDefault="00095F45" w:rsidP="00FF214E">
      <w:pPr>
        <w:pStyle w:val="Estilo1"/>
        <w:numPr>
          <w:ilvl w:val="0"/>
          <w:numId w:val="2"/>
        </w:numPr>
        <w:tabs>
          <w:tab w:val="left" w:pos="0"/>
        </w:tabs>
        <w:spacing w:before="120"/>
        <w:ind w:left="0" w:right="-4" w:firstLine="0"/>
        <w:rPr>
          <w:rFonts w:eastAsia="Verdana" w:cs="Verdana"/>
          <w:i w:val="0"/>
        </w:rPr>
      </w:pPr>
      <w:r>
        <w:rPr>
          <w:rFonts w:eastAsia="Verdana" w:cs="Verdana"/>
          <w:i w:val="0"/>
        </w:rPr>
        <w:t xml:space="preserve">En cuanto al reconocimiento de responsabilidad efectuado por la </w:t>
      </w:r>
      <w:r w:rsidR="0097680B">
        <w:rPr>
          <w:rFonts w:eastAsia="Verdana" w:cs="Verdana"/>
          <w:i w:val="0"/>
        </w:rPr>
        <w:t>vulneración a los artículos 8 y 25</w:t>
      </w:r>
      <w:r w:rsidR="00A057CC">
        <w:rPr>
          <w:rFonts w:eastAsia="Verdana" w:cs="Verdana"/>
          <w:i w:val="0"/>
        </w:rPr>
        <w:t xml:space="preserve"> de la Convención</w:t>
      </w:r>
      <w:r w:rsidR="0097680B">
        <w:rPr>
          <w:rFonts w:eastAsia="Verdana" w:cs="Verdana"/>
          <w:i w:val="0"/>
        </w:rPr>
        <w:t>, el Estado únicamente indicó que reconocía que las investigaciones fueron “insuficientes para la aclaración de todos los hechos denunciados”.</w:t>
      </w:r>
    </w:p>
    <w:p w14:paraId="6DAB6E6C" w14:textId="2665F601" w:rsidR="005410E7" w:rsidRDefault="00315232" w:rsidP="00B337ED">
      <w:pPr>
        <w:pStyle w:val="Estilo1"/>
        <w:numPr>
          <w:ilvl w:val="0"/>
          <w:numId w:val="2"/>
        </w:numPr>
        <w:tabs>
          <w:tab w:val="left" w:pos="0"/>
        </w:tabs>
        <w:spacing w:before="120"/>
        <w:ind w:left="0" w:right="-4" w:firstLine="0"/>
        <w:rPr>
          <w:rFonts w:eastAsia="Verdana" w:cs="Verdana"/>
          <w:i w:val="0"/>
        </w:rPr>
      </w:pPr>
      <w:r>
        <w:rPr>
          <w:rFonts w:eastAsia="Verdana" w:cs="Verdana"/>
          <w:i w:val="0"/>
        </w:rPr>
        <w:t xml:space="preserve">Los </w:t>
      </w:r>
      <w:r w:rsidRPr="00404C7B">
        <w:rPr>
          <w:rFonts w:eastAsia="Verdana" w:cs="Verdana"/>
        </w:rPr>
        <w:t>representantes</w:t>
      </w:r>
      <w:r>
        <w:rPr>
          <w:rFonts w:eastAsia="Verdana" w:cs="Verdana"/>
          <w:i w:val="0"/>
        </w:rPr>
        <w:t xml:space="preserve"> </w:t>
      </w:r>
      <w:r w:rsidR="005D3B6A">
        <w:rPr>
          <w:rFonts w:eastAsia="Verdana" w:cs="Verdana"/>
          <w:i w:val="0"/>
        </w:rPr>
        <w:t>señalaron que</w:t>
      </w:r>
      <w:r w:rsidR="00A057CC">
        <w:rPr>
          <w:rFonts w:eastAsia="Verdana" w:cs="Verdana"/>
          <w:i w:val="0"/>
        </w:rPr>
        <w:t>,</w:t>
      </w:r>
      <w:r w:rsidR="005D3B6A">
        <w:rPr>
          <w:rFonts w:eastAsia="Verdana" w:cs="Verdana"/>
          <w:i w:val="0"/>
        </w:rPr>
        <w:t xml:space="preserve"> </w:t>
      </w:r>
      <w:r w:rsidR="005D3B6A" w:rsidRPr="005D3B6A">
        <w:rPr>
          <w:rFonts w:eastAsia="Verdana" w:cs="Verdana"/>
          <w:i w:val="0"/>
        </w:rPr>
        <w:t>hasta el momento</w:t>
      </w:r>
      <w:r w:rsidR="00A057CC">
        <w:rPr>
          <w:rFonts w:eastAsia="Verdana" w:cs="Verdana"/>
          <w:i w:val="0"/>
        </w:rPr>
        <w:t>,</w:t>
      </w:r>
      <w:r w:rsidR="005D3B6A" w:rsidRPr="005D3B6A">
        <w:rPr>
          <w:rFonts w:eastAsia="Verdana" w:cs="Verdana"/>
          <w:i w:val="0"/>
        </w:rPr>
        <w:t xml:space="preserve"> no se han aclarado las circunstancias de la muerte de Vicente Noguera ni se ha identificado a la persona responsable del trato cruel, inhumano y degradante y posible tortura</w:t>
      </w:r>
      <w:r w:rsidR="005D3B6A">
        <w:rPr>
          <w:rFonts w:eastAsia="Verdana" w:cs="Verdana"/>
          <w:i w:val="0"/>
        </w:rPr>
        <w:t xml:space="preserve">. La </w:t>
      </w:r>
      <w:r w:rsidR="005D3B6A" w:rsidRPr="00404C7B">
        <w:rPr>
          <w:rFonts w:eastAsia="Verdana" w:cs="Verdana"/>
        </w:rPr>
        <w:t>Comisión</w:t>
      </w:r>
      <w:r w:rsidR="005D3B6A">
        <w:rPr>
          <w:rFonts w:eastAsia="Verdana" w:cs="Verdana"/>
          <w:i w:val="0"/>
        </w:rPr>
        <w:t xml:space="preserve"> indicó que </w:t>
      </w:r>
      <w:r w:rsidR="00B337ED">
        <w:rPr>
          <w:rFonts w:eastAsia="Verdana" w:cs="Verdana"/>
          <w:i w:val="0"/>
        </w:rPr>
        <w:t xml:space="preserve">el referido </w:t>
      </w:r>
      <w:r w:rsidR="00B337ED" w:rsidRPr="005D3B6A">
        <w:rPr>
          <w:rFonts w:eastAsia="Verdana" w:cs="Verdana"/>
          <w:i w:val="0"/>
        </w:rPr>
        <w:t>reconocimiento de responsabilidad internacional requiere ser aclarado en cuanto a su alcance y sus efectos jurídicos</w:t>
      </w:r>
      <w:r w:rsidR="00B337ED">
        <w:rPr>
          <w:rFonts w:eastAsia="Verdana" w:cs="Verdana"/>
          <w:i w:val="0"/>
        </w:rPr>
        <w:t>. Explicó que l</w:t>
      </w:r>
      <w:r w:rsidR="00B337ED" w:rsidRPr="00B337ED">
        <w:rPr>
          <w:rFonts w:eastAsia="Verdana" w:cs="Verdana"/>
          <w:i w:val="0"/>
        </w:rPr>
        <w:t xml:space="preserve">os argumentos expuestos por el </w:t>
      </w:r>
      <w:r w:rsidR="00B337ED" w:rsidRPr="00B337ED">
        <w:rPr>
          <w:rFonts w:eastAsia="Verdana" w:cs="Verdana"/>
          <w:i w:val="0"/>
        </w:rPr>
        <w:lastRenderedPageBreak/>
        <w:t>Estado controvierten algunos de los hechos supuestamente reconocidos y algunas de sus implicaciones jurídicas</w:t>
      </w:r>
      <w:r w:rsidR="00B337ED">
        <w:rPr>
          <w:rStyle w:val="Refdenotaalpie"/>
          <w:rFonts w:eastAsia="Verdana"/>
          <w:i w:val="0"/>
        </w:rPr>
        <w:footnoteReference w:id="8"/>
      </w:r>
      <w:r w:rsidR="00B337ED">
        <w:rPr>
          <w:rFonts w:eastAsia="Verdana" w:cs="Verdana"/>
          <w:i w:val="0"/>
        </w:rPr>
        <w:t>.</w:t>
      </w:r>
    </w:p>
    <w:p w14:paraId="7C2D7B9F" w14:textId="6BEAA5E0" w:rsidR="00315232" w:rsidRDefault="008B382E" w:rsidP="004C6AFA">
      <w:pPr>
        <w:pStyle w:val="Prrafodelista"/>
        <w:numPr>
          <w:ilvl w:val="0"/>
          <w:numId w:val="8"/>
        </w:numPr>
        <w:pBdr>
          <w:top w:val="nil"/>
        </w:pBdr>
        <w:spacing w:before="240" w:after="240"/>
        <w:contextualSpacing w:val="0"/>
        <w:outlineLvl w:val="1"/>
        <w:rPr>
          <w:b/>
          <w:i/>
          <w:snapToGrid w:val="0"/>
          <w:spacing w:val="-2"/>
          <w:szCs w:val="20"/>
          <w:lang w:eastAsia="es-ES"/>
        </w:rPr>
      </w:pPr>
      <w:bookmarkStart w:id="67" w:name="_Toc36132093"/>
      <w:r>
        <w:rPr>
          <w:b/>
          <w:i/>
          <w:snapToGrid w:val="0"/>
          <w:spacing w:val="-2"/>
          <w:szCs w:val="20"/>
          <w:lang w:eastAsia="es-ES"/>
        </w:rPr>
        <w:t>Consideraciones de la Corte</w:t>
      </w:r>
      <w:bookmarkEnd w:id="67"/>
    </w:p>
    <w:p w14:paraId="332A9B1D" w14:textId="604FB042" w:rsidR="00AC0CB7" w:rsidRPr="0009075E" w:rsidRDefault="00AC0CB7" w:rsidP="00AC0CB7">
      <w:pPr>
        <w:pStyle w:val="Prrafodelista"/>
        <w:numPr>
          <w:ilvl w:val="0"/>
          <w:numId w:val="2"/>
        </w:numPr>
        <w:spacing w:before="120" w:after="120"/>
        <w:ind w:left="0" w:firstLine="0"/>
        <w:contextualSpacing w:val="0"/>
        <w:rPr>
          <w:szCs w:val="20"/>
          <w:lang w:val="es-CO"/>
        </w:rPr>
      </w:pPr>
      <w:r w:rsidRPr="0009075E">
        <w:rPr>
          <w:szCs w:val="20"/>
          <w:lang w:val="es-CO"/>
        </w:rPr>
        <w:t>D</w:t>
      </w:r>
      <w:proofErr w:type="spellStart"/>
      <w:r w:rsidRPr="0009075E">
        <w:rPr>
          <w:spacing w:val="-2"/>
          <w:szCs w:val="20"/>
          <w:lang w:val="es-AR"/>
        </w:rPr>
        <w:t>e</w:t>
      </w:r>
      <w:proofErr w:type="spellEnd"/>
      <w:r w:rsidR="0054124B">
        <w:rPr>
          <w:spacing w:val="-2"/>
          <w:szCs w:val="20"/>
          <w:lang w:val="es-AR"/>
        </w:rPr>
        <w:t xml:space="preserve"> </w:t>
      </w:r>
      <w:r w:rsidRPr="0009075E">
        <w:rPr>
          <w:spacing w:val="-2"/>
          <w:szCs w:val="20"/>
          <w:lang w:val="es-AR"/>
        </w:rPr>
        <w:t>conformidad con los artículos 62 y 64 del Reglamento, y en ejercicio de sus poderes de tutela judicial internacional de derechos humanos, cuestión de orden público internacional, incumbe a este Tribunal velar porque los actos de reconocimiento de responsabilidad resulten aceptables para los fines que busca cumplir el sistema interamericano</w:t>
      </w:r>
      <w:r w:rsidRPr="0009075E">
        <w:rPr>
          <w:rFonts w:cs="Times New Roman"/>
          <w:spacing w:val="-2"/>
          <w:szCs w:val="20"/>
          <w:vertAlign w:val="superscript"/>
          <w:lang w:val="es-AR"/>
        </w:rPr>
        <w:footnoteReference w:id="9"/>
      </w:r>
      <w:r w:rsidRPr="0009075E">
        <w:rPr>
          <w:spacing w:val="-2"/>
          <w:szCs w:val="20"/>
          <w:lang w:val="es-AR"/>
        </w:rPr>
        <w:t xml:space="preserve">. </w:t>
      </w:r>
      <w:r w:rsidRPr="0009075E">
        <w:rPr>
          <w:szCs w:val="20"/>
          <w:lang w:val="es-CO"/>
        </w:rPr>
        <w:t>A continuación</w:t>
      </w:r>
      <w:r w:rsidR="0054124B">
        <w:rPr>
          <w:szCs w:val="20"/>
          <w:lang w:val="es-CO"/>
        </w:rPr>
        <w:t xml:space="preserve">, </w:t>
      </w:r>
      <w:r w:rsidRPr="0009075E">
        <w:rPr>
          <w:szCs w:val="20"/>
          <w:lang w:val="es-CO"/>
        </w:rPr>
        <w:t>el Tribunal analizará la situación planteada en este caso en concreto.</w:t>
      </w:r>
    </w:p>
    <w:p w14:paraId="3883155B" w14:textId="77777777" w:rsidR="00AB6934" w:rsidRPr="00AB6934" w:rsidRDefault="00AB6934" w:rsidP="00AB6934">
      <w:pPr>
        <w:spacing w:before="240" w:after="240"/>
        <w:ind w:firstLine="709"/>
        <w:outlineLvl w:val="2"/>
        <w:rPr>
          <w:i/>
          <w:szCs w:val="20"/>
          <w:lang w:val="es-CO"/>
        </w:rPr>
      </w:pPr>
      <w:bookmarkStart w:id="68" w:name="_Toc533062415"/>
      <w:bookmarkStart w:id="69" w:name="_Toc36132094"/>
      <w:r w:rsidRPr="00AB6934">
        <w:rPr>
          <w:i/>
          <w:szCs w:val="20"/>
          <w:lang w:val="es-CO"/>
        </w:rPr>
        <w:t xml:space="preserve">B.1. En </w:t>
      </w:r>
      <w:r w:rsidRPr="00AB6934">
        <w:rPr>
          <w:i/>
          <w:szCs w:val="20"/>
          <w:lang w:val="es-CR" w:eastAsia="es-ES"/>
        </w:rPr>
        <w:t>cuanto</w:t>
      </w:r>
      <w:r w:rsidRPr="00AB6934">
        <w:rPr>
          <w:i/>
          <w:szCs w:val="20"/>
          <w:lang w:val="es-CO"/>
        </w:rPr>
        <w:t xml:space="preserve"> a los hechos</w:t>
      </w:r>
      <w:bookmarkEnd w:id="68"/>
      <w:bookmarkEnd w:id="69"/>
    </w:p>
    <w:p w14:paraId="01FE58FC" w14:textId="4F7790BB" w:rsidR="00315232" w:rsidRPr="009F2B35" w:rsidRDefault="00AB6934" w:rsidP="004006B3">
      <w:pPr>
        <w:pStyle w:val="Estilo1"/>
        <w:numPr>
          <w:ilvl w:val="0"/>
          <w:numId w:val="2"/>
        </w:numPr>
        <w:tabs>
          <w:tab w:val="left" w:pos="0"/>
        </w:tabs>
        <w:spacing w:before="120"/>
        <w:ind w:left="0" w:right="-4" w:firstLine="0"/>
        <w:rPr>
          <w:rFonts w:eastAsia="Verdana" w:cs="Verdana"/>
          <w:i w:val="0"/>
        </w:rPr>
      </w:pPr>
      <w:r w:rsidRPr="00B00E52">
        <w:rPr>
          <w:i w:val="0"/>
          <w:szCs w:val="20"/>
          <w:lang w:val="es-CO"/>
        </w:rPr>
        <w:t>Paraguay efectuó un reconocimiento expreso de responsabilidad por los hechos alegados por la Comisión</w:t>
      </w:r>
      <w:r w:rsidR="005672F5" w:rsidRPr="00B00E52">
        <w:rPr>
          <w:i w:val="0"/>
          <w:szCs w:val="20"/>
          <w:lang w:val="es-CO"/>
        </w:rPr>
        <w:t xml:space="preserve"> en el Informe de Fondo</w:t>
      </w:r>
      <w:r w:rsidR="008B382E">
        <w:rPr>
          <w:i w:val="0"/>
          <w:szCs w:val="20"/>
          <w:lang w:val="es-CO"/>
        </w:rPr>
        <w:t>, sin embargo</w:t>
      </w:r>
      <w:r w:rsidR="005672F5" w:rsidRPr="00B00E52">
        <w:rPr>
          <w:i w:val="0"/>
          <w:szCs w:val="20"/>
          <w:lang w:val="es-CO"/>
        </w:rPr>
        <w:t xml:space="preserve"> se apartó en algunos puntos </w:t>
      </w:r>
      <w:r w:rsidR="00E955A9">
        <w:rPr>
          <w:rFonts w:eastAsia="Verdana" w:cs="Verdana"/>
          <w:i w:val="0"/>
        </w:rPr>
        <w:t xml:space="preserve">de dicho informe y de lo alegado en </w:t>
      </w:r>
      <w:r w:rsidR="005672F5" w:rsidRPr="00B00E52">
        <w:rPr>
          <w:rFonts w:eastAsia="Verdana" w:cs="Verdana"/>
          <w:i w:val="0"/>
        </w:rPr>
        <w:t xml:space="preserve">el </w:t>
      </w:r>
      <w:r w:rsidR="007A0EF0" w:rsidRPr="003B376F">
        <w:rPr>
          <w:i w:val="0"/>
          <w:szCs w:val="20"/>
        </w:rPr>
        <w:t>escrito de solicitudes y argumentos</w:t>
      </w:r>
      <w:r w:rsidRPr="00B00E52">
        <w:rPr>
          <w:i w:val="0"/>
          <w:szCs w:val="20"/>
          <w:lang w:val="es-CO"/>
        </w:rPr>
        <w:t xml:space="preserve">. </w:t>
      </w:r>
      <w:r w:rsidR="004353DD">
        <w:rPr>
          <w:i w:val="0"/>
          <w:szCs w:val="20"/>
          <w:lang w:val="es-CO"/>
        </w:rPr>
        <w:t>L</w:t>
      </w:r>
      <w:r w:rsidR="00B00E52" w:rsidRPr="00B00E52">
        <w:rPr>
          <w:i w:val="0"/>
          <w:szCs w:val="20"/>
          <w:lang w:val="es-CO"/>
        </w:rPr>
        <w:t>a Corte considera que ha cesado la controversia sobre los hechos reconocidos por el Estado</w:t>
      </w:r>
      <w:r w:rsidR="008B382E">
        <w:rPr>
          <w:i w:val="0"/>
          <w:szCs w:val="20"/>
          <w:lang w:val="es-CO"/>
        </w:rPr>
        <w:t xml:space="preserve">, relacionados con la falta de explicación satisfactoria sobre las circunstancias que rodearon la muerte de Vicente Noguera. Por otra parte, aún se mantiene la controversia en torno a los </w:t>
      </w:r>
      <w:r w:rsidR="00EE47FD">
        <w:rPr>
          <w:i w:val="0"/>
          <w:szCs w:val="20"/>
          <w:lang w:val="es-CO"/>
        </w:rPr>
        <w:t xml:space="preserve">hechos relacionados con los </w:t>
      </w:r>
      <w:r w:rsidR="008B382E">
        <w:rPr>
          <w:i w:val="0"/>
          <w:szCs w:val="20"/>
          <w:lang w:val="es-CO"/>
        </w:rPr>
        <w:t>alegados maltratos que habría sufrido Vicente Noguera previamente a que se produjera su muerte</w:t>
      </w:r>
      <w:r w:rsidR="00B00E52" w:rsidRPr="00B00E52">
        <w:rPr>
          <w:i w:val="0"/>
          <w:szCs w:val="20"/>
          <w:lang w:val="es-CO"/>
        </w:rPr>
        <w:t xml:space="preserve">. </w:t>
      </w:r>
      <w:r w:rsidR="00EE47FD">
        <w:rPr>
          <w:i w:val="0"/>
          <w:szCs w:val="20"/>
          <w:lang w:val="es-CO"/>
        </w:rPr>
        <w:t>E</w:t>
      </w:r>
      <w:r w:rsidRPr="00B00E52">
        <w:rPr>
          <w:i w:val="0"/>
          <w:szCs w:val="20"/>
          <w:lang w:val="es-CO"/>
        </w:rPr>
        <w:t xml:space="preserve">ste Tribunal, se pronunciará sobre </w:t>
      </w:r>
      <w:r w:rsidR="00EE47FD">
        <w:rPr>
          <w:i w:val="0"/>
          <w:szCs w:val="20"/>
          <w:lang w:val="es-CO"/>
        </w:rPr>
        <w:t>esos</w:t>
      </w:r>
      <w:r w:rsidR="00EE47FD" w:rsidRPr="00B00E52">
        <w:rPr>
          <w:i w:val="0"/>
          <w:szCs w:val="20"/>
          <w:lang w:val="es-CO"/>
        </w:rPr>
        <w:t xml:space="preserve"> </w:t>
      </w:r>
      <w:r w:rsidRPr="00B00E52">
        <w:rPr>
          <w:i w:val="0"/>
          <w:szCs w:val="20"/>
          <w:lang w:val="es-CO"/>
        </w:rPr>
        <w:t>hechos</w:t>
      </w:r>
      <w:r w:rsidR="00A057CC">
        <w:rPr>
          <w:i w:val="0"/>
          <w:szCs w:val="20"/>
          <w:lang w:val="es-CO"/>
        </w:rPr>
        <w:t>,</w:t>
      </w:r>
      <w:r w:rsidRPr="00B00E52">
        <w:rPr>
          <w:i w:val="0"/>
          <w:szCs w:val="20"/>
          <w:lang w:val="es-CO"/>
        </w:rPr>
        <w:t xml:space="preserve"> </w:t>
      </w:r>
      <w:r w:rsidR="00EE47FD">
        <w:rPr>
          <w:i w:val="0"/>
          <w:szCs w:val="20"/>
          <w:lang w:val="es-CO"/>
        </w:rPr>
        <w:t xml:space="preserve">que aún se encuentran en </w:t>
      </w:r>
      <w:r w:rsidR="00394CE7" w:rsidRPr="00B00E52">
        <w:rPr>
          <w:i w:val="0"/>
          <w:szCs w:val="20"/>
          <w:lang w:val="es-CO"/>
        </w:rPr>
        <w:t>controversia</w:t>
      </w:r>
      <w:r w:rsidR="00A057CC">
        <w:rPr>
          <w:i w:val="0"/>
          <w:szCs w:val="20"/>
          <w:lang w:val="es-CO"/>
        </w:rPr>
        <w:t>,</w:t>
      </w:r>
      <w:r w:rsidRPr="00B00E52">
        <w:rPr>
          <w:i w:val="0"/>
          <w:szCs w:val="20"/>
          <w:lang w:val="es-CO"/>
        </w:rPr>
        <w:t xml:space="preserve"> al examinar el fondo de este caso.</w:t>
      </w:r>
      <w:r w:rsidR="00EE47FD">
        <w:rPr>
          <w:i w:val="0"/>
          <w:szCs w:val="20"/>
          <w:lang w:val="es-CO"/>
        </w:rPr>
        <w:t xml:space="preserve"> </w:t>
      </w:r>
    </w:p>
    <w:p w14:paraId="584702D7" w14:textId="77777777" w:rsidR="009F2B35" w:rsidRPr="009F2B35" w:rsidRDefault="009F2B35" w:rsidP="009F2B35">
      <w:pPr>
        <w:spacing w:before="240" w:after="240"/>
        <w:ind w:firstLine="709"/>
        <w:outlineLvl w:val="2"/>
        <w:rPr>
          <w:i/>
          <w:szCs w:val="20"/>
          <w:lang w:val="es-CO"/>
        </w:rPr>
      </w:pPr>
      <w:bookmarkStart w:id="70" w:name="_Toc533062416"/>
      <w:bookmarkStart w:id="71" w:name="_Toc36132095"/>
      <w:r w:rsidRPr="009F2B35">
        <w:rPr>
          <w:i/>
          <w:szCs w:val="20"/>
          <w:lang w:val="es-CO"/>
        </w:rPr>
        <w:t>B.2. En cuanto a las pretensiones de derecho</w:t>
      </w:r>
      <w:bookmarkEnd w:id="70"/>
      <w:bookmarkEnd w:id="71"/>
    </w:p>
    <w:p w14:paraId="5C4B8555" w14:textId="263EDA3B" w:rsidR="009F2B35" w:rsidRDefault="00A057CC" w:rsidP="009F2B35">
      <w:pPr>
        <w:pStyle w:val="Estilo1"/>
        <w:numPr>
          <w:ilvl w:val="0"/>
          <w:numId w:val="2"/>
        </w:numPr>
        <w:tabs>
          <w:tab w:val="left" w:pos="0"/>
        </w:tabs>
        <w:spacing w:before="120"/>
        <w:ind w:left="0" w:right="-4" w:firstLine="0"/>
        <w:rPr>
          <w:rFonts w:eastAsia="Verdana" w:cs="Verdana"/>
          <w:i w:val="0"/>
        </w:rPr>
      </w:pPr>
      <w:r>
        <w:rPr>
          <w:rFonts w:eastAsia="Verdana" w:cs="Verdana"/>
          <w:i w:val="0"/>
        </w:rPr>
        <w:t>T</w:t>
      </w:r>
      <w:r w:rsidR="009F2B35" w:rsidRPr="009F2B35">
        <w:rPr>
          <w:rFonts w:eastAsia="Verdana" w:cs="Verdana"/>
          <w:i w:val="0"/>
        </w:rPr>
        <w:t>eniendo en cuenta las violaciones reconocidas por el Estado, así como las observaciones de los representantes y de la Comisión, la Corte considera que la controversia ha cesado respecto de</w:t>
      </w:r>
      <w:r w:rsidR="009F2B35">
        <w:rPr>
          <w:rFonts w:eastAsia="Verdana" w:cs="Verdana"/>
          <w:i w:val="0"/>
        </w:rPr>
        <w:t>:</w:t>
      </w:r>
    </w:p>
    <w:p w14:paraId="18B0A4AB" w14:textId="649D842E" w:rsidR="00394CE7" w:rsidRDefault="00394CE7" w:rsidP="009F2B35">
      <w:pPr>
        <w:pStyle w:val="Estilo1"/>
        <w:numPr>
          <w:ilvl w:val="1"/>
          <w:numId w:val="2"/>
        </w:numPr>
        <w:tabs>
          <w:tab w:val="left" w:pos="0"/>
        </w:tabs>
        <w:spacing w:before="120"/>
        <w:ind w:right="-4"/>
        <w:rPr>
          <w:rFonts w:eastAsia="Verdana" w:cs="Verdana"/>
          <w:i w:val="0"/>
        </w:rPr>
      </w:pPr>
      <w:r>
        <w:rPr>
          <w:rFonts w:eastAsia="Verdana" w:cs="Verdana"/>
          <w:i w:val="0"/>
        </w:rPr>
        <w:t xml:space="preserve">la falta de aclaración sobre las circunstancias </w:t>
      </w:r>
      <w:r w:rsidRPr="00E20EDD">
        <w:rPr>
          <w:rFonts w:eastAsia="Verdana" w:cs="Verdana"/>
          <w:i w:val="0"/>
        </w:rPr>
        <w:t>en las que se produjo</w:t>
      </w:r>
      <w:r>
        <w:rPr>
          <w:rFonts w:eastAsia="Verdana" w:cs="Verdana"/>
          <w:i w:val="0"/>
        </w:rPr>
        <w:t xml:space="preserve"> la muerte de Vicente Noguera </w:t>
      </w:r>
      <w:r w:rsidRPr="00E20EDD">
        <w:rPr>
          <w:rFonts w:eastAsia="Verdana" w:cs="Verdana"/>
          <w:i w:val="0"/>
        </w:rPr>
        <w:t>en un establecimiento militar, bajo tutela del Estado,</w:t>
      </w:r>
      <w:r>
        <w:rPr>
          <w:rFonts w:eastAsia="Verdana" w:cs="Verdana"/>
          <w:i w:val="0"/>
        </w:rPr>
        <w:t xml:space="preserve"> y la vulneración </w:t>
      </w:r>
      <w:r w:rsidR="00A057CC">
        <w:rPr>
          <w:rFonts w:eastAsia="Verdana" w:cs="Verdana"/>
          <w:i w:val="0"/>
        </w:rPr>
        <w:t>del</w:t>
      </w:r>
      <w:r>
        <w:rPr>
          <w:rFonts w:eastAsia="Verdana" w:cs="Verdana"/>
          <w:i w:val="0"/>
        </w:rPr>
        <w:t xml:space="preserve"> </w:t>
      </w:r>
      <w:r w:rsidRPr="00E20EDD">
        <w:rPr>
          <w:rFonts w:eastAsia="Verdana" w:cs="Verdana"/>
          <w:i w:val="0"/>
        </w:rPr>
        <w:t>derecho a la vida (artículo 4.1 de la Convención)</w:t>
      </w:r>
      <w:r w:rsidR="00A057CC">
        <w:rPr>
          <w:rFonts w:eastAsia="Verdana" w:cs="Verdana"/>
          <w:i w:val="0"/>
        </w:rPr>
        <w:t>,</w:t>
      </w:r>
      <w:r w:rsidRPr="00E20EDD">
        <w:rPr>
          <w:rFonts w:eastAsia="Verdana" w:cs="Verdana"/>
          <w:i w:val="0"/>
        </w:rPr>
        <w:t xml:space="preserve"> a la integridad personal (artículo 5.2 de la Convención) y a los derechos del niño (artículo 19 de la Convención) en </w:t>
      </w:r>
      <w:r>
        <w:rPr>
          <w:rFonts w:eastAsia="Verdana" w:cs="Verdana"/>
          <w:i w:val="0"/>
        </w:rPr>
        <w:t xml:space="preserve">su </w:t>
      </w:r>
      <w:r w:rsidRPr="00E20EDD">
        <w:rPr>
          <w:rFonts w:eastAsia="Verdana" w:cs="Verdana"/>
          <w:i w:val="0"/>
        </w:rPr>
        <w:t>perjuicio</w:t>
      </w:r>
      <w:r>
        <w:rPr>
          <w:rFonts w:eastAsia="Verdana" w:cs="Verdana"/>
          <w:i w:val="0"/>
        </w:rPr>
        <w:t>, y</w:t>
      </w:r>
    </w:p>
    <w:p w14:paraId="6730AAA7" w14:textId="53923616" w:rsidR="001161E9" w:rsidRDefault="001161E9" w:rsidP="001161E9">
      <w:pPr>
        <w:pStyle w:val="Estilo1"/>
        <w:numPr>
          <w:ilvl w:val="1"/>
          <w:numId w:val="2"/>
        </w:numPr>
        <w:tabs>
          <w:tab w:val="left" w:pos="0"/>
        </w:tabs>
        <w:spacing w:before="120"/>
        <w:ind w:right="-4"/>
        <w:rPr>
          <w:rFonts w:eastAsia="Verdana" w:cs="Verdana"/>
          <w:i w:val="0"/>
        </w:rPr>
      </w:pPr>
      <w:r w:rsidRPr="001161E9">
        <w:rPr>
          <w:rFonts w:eastAsia="Verdana" w:cs="Verdana"/>
          <w:i w:val="0"/>
        </w:rPr>
        <w:t xml:space="preserve">la </w:t>
      </w:r>
      <w:r w:rsidR="00306DF9">
        <w:rPr>
          <w:rFonts w:eastAsia="Verdana" w:cs="Verdana"/>
          <w:i w:val="0"/>
        </w:rPr>
        <w:t xml:space="preserve">vulneración </w:t>
      </w:r>
      <w:r w:rsidR="00A057CC">
        <w:rPr>
          <w:rFonts w:eastAsia="Verdana" w:cs="Verdana"/>
          <w:i w:val="0"/>
        </w:rPr>
        <w:t>del</w:t>
      </w:r>
      <w:r w:rsidRPr="001161E9">
        <w:rPr>
          <w:rFonts w:eastAsia="Verdana" w:cs="Verdana"/>
          <w:i w:val="0"/>
        </w:rPr>
        <w:t xml:space="preserve"> derecho a la integridad personal (artículo 5</w:t>
      </w:r>
      <w:r>
        <w:rPr>
          <w:rFonts w:eastAsia="Verdana" w:cs="Verdana"/>
          <w:i w:val="0"/>
        </w:rPr>
        <w:t>.1</w:t>
      </w:r>
      <w:r w:rsidRPr="001161E9">
        <w:rPr>
          <w:rFonts w:eastAsia="Verdana" w:cs="Verdana"/>
          <w:i w:val="0"/>
        </w:rPr>
        <w:t xml:space="preserve"> de la Convención) en perjuicio de </w:t>
      </w:r>
      <w:r>
        <w:rPr>
          <w:rFonts w:eastAsia="Verdana" w:cs="Verdana"/>
          <w:i w:val="0"/>
        </w:rPr>
        <w:t>María Noguera</w:t>
      </w:r>
      <w:r w:rsidR="00A057CC">
        <w:rPr>
          <w:rFonts w:eastAsia="Verdana" w:cs="Verdana"/>
          <w:i w:val="0"/>
        </w:rPr>
        <w:t>,</w:t>
      </w:r>
      <w:r>
        <w:rPr>
          <w:rFonts w:eastAsia="Verdana" w:cs="Verdana"/>
          <w:i w:val="0"/>
        </w:rPr>
        <w:t xml:space="preserve"> por los efectos </w:t>
      </w:r>
      <w:r w:rsidR="00A057CC">
        <w:rPr>
          <w:rFonts w:eastAsia="Verdana" w:cs="Verdana"/>
          <w:i w:val="0"/>
        </w:rPr>
        <w:t>d</w:t>
      </w:r>
      <w:r>
        <w:rPr>
          <w:rFonts w:eastAsia="Verdana" w:cs="Verdana"/>
          <w:i w:val="0"/>
        </w:rPr>
        <w:t>el sufrimiento que le produjo la muerte de su hijo Vicente Noguera.</w:t>
      </w:r>
      <w:r w:rsidR="00072E5C">
        <w:rPr>
          <w:rFonts w:eastAsia="Verdana" w:cs="Verdana"/>
          <w:i w:val="0"/>
        </w:rPr>
        <w:t xml:space="preserve"> </w:t>
      </w:r>
      <w:r w:rsidR="00A057CC">
        <w:rPr>
          <w:rFonts w:eastAsia="Verdana" w:cs="Verdana"/>
          <w:i w:val="0"/>
        </w:rPr>
        <w:t>En las circunstancias particulares del caso</w:t>
      </w:r>
      <w:r w:rsidR="00072E5C" w:rsidRPr="00072E5C">
        <w:rPr>
          <w:rFonts w:eastAsia="Verdana" w:cs="Verdana"/>
          <w:i w:val="0"/>
        </w:rPr>
        <w:t>, la Corte no considera necesario efectuar un ulterior análisis respecto de este derecho en un capítulo de Fondo</w:t>
      </w:r>
      <w:r w:rsidR="00072E5C">
        <w:rPr>
          <w:rFonts w:eastAsia="Verdana" w:cs="Verdana"/>
          <w:i w:val="0"/>
        </w:rPr>
        <w:t>.</w:t>
      </w:r>
    </w:p>
    <w:p w14:paraId="7B4A48A7" w14:textId="01CA672E" w:rsidR="00BC1987" w:rsidRPr="00BC1987" w:rsidRDefault="00BC1987" w:rsidP="0044471D">
      <w:pPr>
        <w:numPr>
          <w:ilvl w:val="0"/>
          <w:numId w:val="2"/>
        </w:numPr>
        <w:tabs>
          <w:tab w:val="left" w:pos="567"/>
        </w:tabs>
        <w:spacing w:before="120" w:after="120"/>
        <w:ind w:left="0" w:firstLine="0"/>
        <w:rPr>
          <w:rFonts w:cs="Times New Roman"/>
          <w:spacing w:val="-2"/>
          <w:szCs w:val="20"/>
        </w:rPr>
      </w:pPr>
      <w:r>
        <w:rPr>
          <w:rFonts w:cs="Times New Roman"/>
          <w:spacing w:val="-2"/>
          <w:szCs w:val="20"/>
        </w:rPr>
        <w:t xml:space="preserve">En lo que respecta </w:t>
      </w:r>
      <w:r w:rsidR="00A057CC">
        <w:rPr>
          <w:rFonts w:cs="Times New Roman"/>
          <w:spacing w:val="-2"/>
          <w:szCs w:val="20"/>
        </w:rPr>
        <w:t xml:space="preserve">a </w:t>
      </w:r>
      <w:r>
        <w:rPr>
          <w:rFonts w:cs="Times New Roman"/>
          <w:spacing w:val="-2"/>
          <w:szCs w:val="20"/>
        </w:rPr>
        <w:t xml:space="preserve">la alegada vulneración </w:t>
      </w:r>
      <w:r w:rsidR="00A057CC">
        <w:rPr>
          <w:rFonts w:cs="Times New Roman"/>
          <w:spacing w:val="-2"/>
          <w:szCs w:val="20"/>
        </w:rPr>
        <w:t>de los</w:t>
      </w:r>
      <w:r>
        <w:rPr>
          <w:rFonts w:cs="Times New Roman"/>
          <w:spacing w:val="-2"/>
          <w:szCs w:val="20"/>
        </w:rPr>
        <w:t xml:space="preserve"> derecho</w:t>
      </w:r>
      <w:r w:rsidR="00A057CC">
        <w:rPr>
          <w:rFonts w:cs="Times New Roman"/>
          <w:spacing w:val="-2"/>
          <w:szCs w:val="20"/>
        </w:rPr>
        <w:t>s</w:t>
      </w:r>
      <w:r>
        <w:rPr>
          <w:rFonts w:cs="Times New Roman"/>
          <w:spacing w:val="-2"/>
          <w:szCs w:val="20"/>
        </w:rPr>
        <w:t xml:space="preserve"> a las garantías judiciales y a la protección judicial, el Tribunal advierte que el reconocimiento de responsabilidad efectuado por el Estado no especifica los motivos por los cuales se vulneraron esos derechos y que</w:t>
      </w:r>
      <w:r w:rsidR="00353C75">
        <w:rPr>
          <w:rFonts w:cs="Times New Roman"/>
          <w:spacing w:val="-2"/>
          <w:szCs w:val="20"/>
        </w:rPr>
        <w:t>,</w:t>
      </w:r>
      <w:r>
        <w:rPr>
          <w:rFonts w:cs="Times New Roman"/>
          <w:spacing w:val="-2"/>
          <w:szCs w:val="20"/>
        </w:rPr>
        <w:t xml:space="preserve"> por </w:t>
      </w:r>
      <w:r>
        <w:rPr>
          <w:rFonts w:cs="Times New Roman"/>
          <w:spacing w:val="-2"/>
          <w:szCs w:val="20"/>
        </w:rPr>
        <w:lastRenderedPageBreak/>
        <w:t>otra parte</w:t>
      </w:r>
      <w:r w:rsidR="003B533F">
        <w:rPr>
          <w:rFonts w:cs="Times New Roman"/>
          <w:spacing w:val="-2"/>
          <w:szCs w:val="20"/>
        </w:rPr>
        <w:t>,</w:t>
      </w:r>
      <w:r>
        <w:rPr>
          <w:rFonts w:cs="Times New Roman"/>
          <w:spacing w:val="-2"/>
          <w:szCs w:val="20"/>
        </w:rPr>
        <w:t xml:space="preserve"> controvierte un número importante de alegaciones de la Comisión y de los representantes. En atención a ello, la Corte considera que el reconocimiento efectuado por el Estado en relación con esos dos derechos carece de claridad y</w:t>
      </w:r>
      <w:r w:rsidR="00A057CC">
        <w:rPr>
          <w:rFonts w:cs="Times New Roman"/>
          <w:spacing w:val="-2"/>
          <w:szCs w:val="20"/>
        </w:rPr>
        <w:t>,</w:t>
      </w:r>
      <w:r>
        <w:rPr>
          <w:rFonts w:cs="Times New Roman"/>
          <w:spacing w:val="-2"/>
          <w:szCs w:val="20"/>
        </w:rPr>
        <w:t xml:space="preserve"> por tanto</w:t>
      </w:r>
      <w:r w:rsidR="00A057CC">
        <w:rPr>
          <w:rFonts w:cs="Times New Roman"/>
          <w:spacing w:val="-2"/>
          <w:szCs w:val="20"/>
        </w:rPr>
        <w:t>,</w:t>
      </w:r>
      <w:r>
        <w:rPr>
          <w:rFonts w:cs="Times New Roman"/>
          <w:spacing w:val="-2"/>
          <w:szCs w:val="20"/>
        </w:rPr>
        <w:t xml:space="preserve"> estima que la controversia se mantiene respecto </w:t>
      </w:r>
      <w:r w:rsidR="00D65781">
        <w:rPr>
          <w:rFonts w:cs="Times New Roman"/>
          <w:spacing w:val="-2"/>
          <w:szCs w:val="20"/>
        </w:rPr>
        <w:t xml:space="preserve">a </w:t>
      </w:r>
      <w:r>
        <w:rPr>
          <w:rFonts w:cs="Times New Roman"/>
          <w:spacing w:val="-2"/>
          <w:szCs w:val="20"/>
        </w:rPr>
        <w:t>esa</w:t>
      </w:r>
      <w:r w:rsidR="00D65781">
        <w:rPr>
          <w:rFonts w:cs="Times New Roman"/>
          <w:spacing w:val="-2"/>
          <w:szCs w:val="20"/>
        </w:rPr>
        <w:t>s</w:t>
      </w:r>
      <w:r>
        <w:rPr>
          <w:rFonts w:cs="Times New Roman"/>
          <w:spacing w:val="-2"/>
          <w:szCs w:val="20"/>
        </w:rPr>
        <w:t xml:space="preserve"> alegadas violaciones.</w:t>
      </w:r>
    </w:p>
    <w:p w14:paraId="10FCAEA1" w14:textId="456575B1" w:rsidR="0044471D" w:rsidRPr="0009075E" w:rsidRDefault="00E955A9" w:rsidP="0044471D">
      <w:pPr>
        <w:numPr>
          <w:ilvl w:val="0"/>
          <w:numId w:val="2"/>
        </w:numPr>
        <w:tabs>
          <w:tab w:val="left" w:pos="567"/>
        </w:tabs>
        <w:spacing w:before="120" w:after="120"/>
        <w:ind w:left="0" w:firstLine="0"/>
        <w:rPr>
          <w:rFonts w:cs="Times New Roman"/>
          <w:spacing w:val="-2"/>
          <w:szCs w:val="20"/>
        </w:rPr>
      </w:pPr>
      <w:r>
        <w:rPr>
          <w:szCs w:val="20"/>
          <w:lang w:val="es-CO"/>
        </w:rPr>
        <w:t>L</w:t>
      </w:r>
      <w:r w:rsidR="0044471D" w:rsidRPr="0009075E">
        <w:rPr>
          <w:szCs w:val="20"/>
          <w:lang w:val="es-CO"/>
        </w:rPr>
        <w:t xml:space="preserve">a Corte estima que se mantiene la controversia respecto de: </w:t>
      </w:r>
    </w:p>
    <w:p w14:paraId="69453B6B" w14:textId="7AD7F742" w:rsidR="0044471D" w:rsidRPr="001B55C6" w:rsidRDefault="00394CE7">
      <w:pPr>
        <w:pStyle w:val="Estilo1"/>
        <w:numPr>
          <w:ilvl w:val="1"/>
          <w:numId w:val="2"/>
        </w:numPr>
        <w:tabs>
          <w:tab w:val="left" w:pos="0"/>
        </w:tabs>
        <w:spacing w:before="120"/>
        <w:ind w:right="-4"/>
        <w:rPr>
          <w:rFonts w:eastAsia="Verdana" w:cs="Verdana"/>
          <w:i w:val="0"/>
        </w:rPr>
      </w:pPr>
      <w:r w:rsidRPr="001B55C6">
        <w:rPr>
          <w:rFonts w:eastAsia="Verdana" w:cs="Verdana"/>
          <w:i w:val="0"/>
        </w:rPr>
        <w:t xml:space="preserve">Los alegados malos tratos a los cuales habría sido sometido Vicente Noguera </w:t>
      </w:r>
      <w:r w:rsidR="00A057CC">
        <w:rPr>
          <w:rFonts w:eastAsia="Verdana" w:cs="Verdana"/>
          <w:i w:val="0"/>
        </w:rPr>
        <w:t>que</w:t>
      </w:r>
      <w:r w:rsidRPr="001B55C6">
        <w:rPr>
          <w:rFonts w:eastAsia="Verdana" w:cs="Verdana"/>
          <w:i w:val="0"/>
        </w:rPr>
        <w:t xml:space="preserve"> habrían llevado a su muerte en un establecimiento militar, todo ello en vulneración del derecho a la vida (artículo 4.1 de la Convención) a la integridad personal (artículo 5.2 de la Convención) y a los derechos del niño (artículo 19 de la Convención) en su perjuicio</w:t>
      </w:r>
      <w:r w:rsidR="00AE3FA3" w:rsidRPr="001B55C6">
        <w:rPr>
          <w:rFonts w:eastAsia="Verdana" w:cs="Verdana"/>
          <w:i w:val="0"/>
        </w:rPr>
        <w:t>, y</w:t>
      </w:r>
    </w:p>
    <w:p w14:paraId="31909032" w14:textId="058D7E96" w:rsidR="008C55DB" w:rsidRDefault="008C55DB" w:rsidP="008C55DB">
      <w:pPr>
        <w:pStyle w:val="Estilo1"/>
        <w:numPr>
          <w:ilvl w:val="1"/>
          <w:numId w:val="2"/>
        </w:numPr>
        <w:tabs>
          <w:tab w:val="left" w:pos="0"/>
        </w:tabs>
        <w:spacing w:before="120"/>
        <w:ind w:right="-4"/>
        <w:rPr>
          <w:rFonts w:eastAsia="Verdana" w:cs="Verdana"/>
          <w:i w:val="0"/>
        </w:rPr>
      </w:pPr>
      <w:r w:rsidRPr="008C55DB">
        <w:rPr>
          <w:rFonts w:eastAsia="Verdana" w:cs="Verdana"/>
          <w:i w:val="0"/>
        </w:rPr>
        <w:t xml:space="preserve">la vulneración </w:t>
      </w:r>
      <w:r w:rsidR="00A057CC">
        <w:rPr>
          <w:rFonts w:eastAsia="Verdana" w:cs="Verdana"/>
          <w:i w:val="0"/>
        </w:rPr>
        <w:t>de</w:t>
      </w:r>
      <w:r w:rsidRPr="008C55DB">
        <w:rPr>
          <w:rFonts w:eastAsia="Verdana" w:cs="Verdana"/>
          <w:i w:val="0"/>
        </w:rPr>
        <w:t xml:space="preserve"> los derechos a las garantías judiciales (artículo 8 de la Convención) y a la protección judicial (artículo 25.1 de la Convención) en perjuicio de María Noguera</w:t>
      </w:r>
      <w:r w:rsidR="00AE3FA3">
        <w:rPr>
          <w:rFonts w:eastAsia="Verdana" w:cs="Verdana"/>
          <w:i w:val="0"/>
        </w:rPr>
        <w:t>.</w:t>
      </w:r>
      <w:r>
        <w:rPr>
          <w:rFonts w:eastAsia="Verdana" w:cs="Verdana"/>
          <w:i w:val="0"/>
        </w:rPr>
        <w:t xml:space="preserve"> </w:t>
      </w:r>
    </w:p>
    <w:p w14:paraId="70BA8DB7" w14:textId="0495D232" w:rsidR="008C55DB" w:rsidRDefault="008C55DB" w:rsidP="008C55DB">
      <w:pPr>
        <w:pStyle w:val="Prrafodelista"/>
        <w:spacing w:before="240" w:after="240"/>
        <w:ind w:left="708"/>
        <w:contextualSpacing w:val="0"/>
        <w:outlineLvl w:val="2"/>
        <w:rPr>
          <w:i/>
          <w:szCs w:val="20"/>
          <w:lang w:val="es-CO"/>
        </w:rPr>
      </w:pPr>
      <w:bookmarkStart w:id="72" w:name="_Toc533062417"/>
      <w:bookmarkStart w:id="73" w:name="_Toc36132096"/>
      <w:r w:rsidRPr="0009075E">
        <w:rPr>
          <w:i/>
          <w:szCs w:val="20"/>
          <w:lang w:val="es-CO"/>
        </w:rPr>
        <w:t>B.3. En cuanto a las reparaciones</w:t>
      </w:r>
      <w:bookmarkEnd w:id="72"/>
      <w:bookmarkEnd w:id="73"/>
    </w:p>
    <w:p w14:paraId="43EBF431" w14:textId="5B441E0A" w:rsidR="002200E2" w:rsidRPr="00BB2414" w:rsidRDefault="002200E2" w:rsidP="002200E2">
      <w:pPr>
        <w:numPr>
          <w:ilvl w:val="0"/>
          <w:numId w:val="2"/>
        </w:numPr>
        <w:tabs>
          <w:tab w:val="left" w:pos="567"/>
        </w:tabs>
        <w:spacing w:before="120" w:after="120"/>
        <w:ind w:left="0" w:firstLine="0"/>
        <w:rPr>
          <w:rFonts w:cs="Times New Roman"/>
          <w:spacing w:val="-2"/>
          <w:szCs w:val="20"/>
        </w:rPr>
      </w:pPr>
      <w:r w:rsidRPr="0009075E">
        <w:rPr>
          <w:spacing w:val="-2"/>
          <w:szCs w:val="20"/>
        </w:rPr>
        <w:t xml:space="preserve">Por último, subsiste la controversia en relación con la determinación de las eventuales reparaciones, costas y gastos. En atención a ello, la Corte </w:t>
      </w:r>
      <w:r>
        <w:rPr>
          <w:spacing w:val="-2"/>
          <w:szCs w:val="20"/>
        </w:rPr>
        <w:t xml:space="preserve">constata </w:t>
      </w:r>
      <w:r w:rsidR="00A057CC">
        <w:rPr>
          <w:spacing w:val="-2"/>
          <w:szCs w:val="20"/>
        </w:rPr>
        <w:t xml:space="preserve">que </w:t>
      </w:r>
      <w:r>
        <w:rPr>
          <w:spacing w:val="-2"/>
          <w:szCs w:val="20"/>
        </w:rPr>
        <w:t xml:space="preserve">en el año 2011 fue suscripto un </w:t>
      </w:r>
      <w:r w:rsidR="00B41EBA">
        <w:rPr>
          <w:szCs w:val="20"/>
        </w:rPr>
        <w:t>A</w:t>
      </w:r>
      <w:r w:rsidR="00B41EBA" w:rsidRPr="00280D3A">
        <w:rPr>
          <w:szCs w:val="20"/>
        </w:rPr>
        <w:t xml:space="preserve">cuerdo de </w:t>
      </w:r>
      <w:r w:rsidR="00B41EBA">
        <w:rPr>
          <w:szCs w:val="20"/>
        </w:rPr>
        <w:t>S</w:t>
      </w:r>
      <w:r w:rsidR="00B41EBA" w:rsidRPr="00280D3A">
        <w:rPr>
          <w:szCs w:val="20"/>
        </w:rPr>
        <w:t xml:space="preserve">olución </w:t>
      </w:r>
      <w:r w:rsidR="00B41EBA">
        <w:rPr>
          <w:szCs w:val="20"/>
        </w:rPr>
        <w:t>A</w:t>
      </w:r>
      <w:r w:rsidR="00B41EBA" w:rsidRPr="00280D3A">
        <w:rPr>
          <w:szCs w:val="20"/>
        </w:rPr>
        <w:t>mistosa</w:t>
      </w:r>
      <w:r>
        <w:rPr>
          <w:spacing w:val="-2"/>
          <w:szCs w:val="20"/>
        </w:rPr>
        <w:t xml:space="preserve"> entre María Noguera y el Estado de acuerdo al cual se convinieron determinadas medidas de reparación (</w:t>
      </w:r>
      <w:r w:rsidRPr="00BB2414">
        <w:rPr>
          <w:i/>
          <w:spacing w:val="-2"/>
          <w:szCs w:val="20"/>
        </w:rPr>
        <w:t>supra</w:t>
      </w:r>
      <w:r>
        <w:rPr>
          <w:spacing w:val="-2"/>
          <w:szCs w:val="20"/>
        </w:rPr>
        <w:t xml:space="preserve"> párr. </w:t>
      </w:r>
      <w:r w:rsidR="00E955A9">
        <w:rPr>
          <w:spacing w:val="-2"/>
          <w:szCs w:val="20"/>
        </w:rPr>
        <w:t xml:space="preserve">2.c). </w:t>
      </w:r>
      <w:r>
        <w:rPr>
          <w:spacing w:val="-2"/>
          <w:szCs w:val="20"/>
        </w:rPr>
        <w:t xml:space="preserve">Sobre ese punto, si bien el acuerdo no fue homologado por la Comisión, a juicio de esta Corte </w:t>
      </w:r>
      <w:r w:rsidRPr="00BB2414">
        <w:rPr>
          <w:rFonts w:cs="Times New Roman"/>
          <w:spacing w:val="-2"/>
          <w:szCs w:val="20"/>
        </w:rPr>
        <w:t xml:space="preserve">la suscripción de ese acuerdo y la conducta posterior de las partes </w:t>
      </w:r>
      <w:r w:rsidR="00F243AB">
        <w:rPr>
          <w:rFonts w:cs="Times New Roman"/>
          <w:spacing w:val="-2"/>
          <w:szCs w:val="20"/>
        </w:rPr>
        <w:t xml:space="preserve">son </w:t>
      </w:r>
      <w:r w:rsidRPr="00BB2414">
        <w:rPr>
          <w:rFonts w:cs="Times New Roman"/>
          <w:spacing w:val="-2"/>
          <w:szCs w:val="20"/>
        </w:rPr>
        <w:t>relevantes a la hora de decidir sobre las reparacione</w:t>
      </w:r>
      <w:r>
        <w:rPr>
          <w:rFonts w:cs="Times New Roman"/>
          <w:spacing w:val="-2"/>
          <w:szCs w:val="20"/>
        </w:rPr>
        <w:t xml:space="preserve">s. En particular, en el capítulo correspondiente, la Corte evaluará las medidas de reparación que fueron </w:t>
      </w:r>
      <w:r w:rsidR="004447EF">
        <w:rPr>
          <w:rFonts w:cs="Times New Roman"/>
          <w:spacing w:val="-2"/>
          <w:szCs w:val="20"/>
        </w:rPr>
        <w:t xml:space="preserve">implementadas </w:t>
      </w:r>
      <w:r>
        <w:rPr>
          <w:rFonts w:cs="Times New Roman"/>
          <w:spacing w:val="-2"/>
          <w:szCs w:val="20"/>
        </w:rPr>
        <w:t>por el Estado y analizará</w:t>
      </w:r>
      <w:r w:rsidR="00353C75">
        <w:rPr>
          <w:rFonts w:cs="Times New Roman"/>
          <w:spacing w:val="-2"/>
          <w:szCs w:val="20"/>
        </w:rPr>
        <w:t>,</w:t>
      </w:r>
      <w:r>
        <w:rPr>
          <w:rFonts w:cs="Times New Roman"/>
          <w:spacing w:val="-2"/>
          <w:szCs w:val="20"/>
        </w:rPr>
        <w:t xml:space="preserve"> eventualmente</w:t>
      </w:r>
      <w:r w:rsidR="00353C75">
        <w:rPr>
          <w:rFonts w:cs="Times New Roman"/>
          <w:spacing w:val="-2"/>
          <w:szCs w:val="20"/>
        </w:rPr>
        <w:t>,</w:t>
      </w:r>
      <w:r>
        <w:rPr>
          <w:rFonts w:cs="Times New Roman"/>
          <w:spacing w:val="-2"/>
          <w:szCs w:val="20"/>
        </w:rPr>
        <w:t xml:space="preserve"> la necesidad de otorgar medidas adicionales conforme con las solicitudes presentadas por la Comisión y los representantes</w:t>
      </w:r>
      <w:r w:rsidR="00C071A7" w:rsidRPr="008C55DB">
        <w:rPr>
          <w:rFonts w:cs="Times New Roman"/>
          <w:spacing w:val="-2"/>
          <w:szCs w:val="20"/>
        </w:rPr>
        <w:t>, la jurisprudencia de esta Corte en esa materia, y las alegaciones del Estado al respecto</w:t>
      </w:r>
      <w:r w:rsidR="00C071A7">
        <w:rPr>
          <w:rFonts w:cs="Times New Roman"/>
          <w:spacing w:val="-2"/>
          <w:szCs w:val="20"/>
        </w:rPr>
        <w:t xml:space="preserve"> </w:t>
      </w:r>
      <w:r w:rsidR="00C071A7" w:rsidRPr="0009075E">
        <w:rPr>
          <w:spacing w:val="-2"/>
          <w:szCs w:val="20"/>
        </w:rPr>
        <w:t>(</w:t>
      </w:r>
      <w:r w:rsidR="00C071A7" w:rsidRPr="0009075E">
        <w:rPr>
          <w:i/>
          <w:spacing w:val="-2"/>
          <w:szCs w:val="20"/>
        </w:rPr>
        <w:t xml:space="preserve">infra </w:t>
      </w:r>
      <w:r w:rsidR="00C071A7" w:rsidRPr="0009075E">
        <w:rPr>
          <w:spacing w:val="-2"/>
          <w:szCs w:val="20"/>
        </w:rPr>
        <w:t xml:space="preserve">Capítulo </w:t>
      </w:r>
      <w:r w:rsidR="004802DD">
        <w:rPr>
          <w:spacing w:val="-2"/>
          <w:szCs w:val="20"/>
        </w:rPr>
        <w:t>IX</w:t>
      </w:r>
      <w:r w:rsidR="00C071A7" w:rsidRPr="0009075E">
        <w:rPr>
          <w:spacing w:val="-2"/>
          <w:szCs w:val="20"/>
        </w:rPr>
        <w:t>)</w:t>
      </w:r>
      <w:r w:rsidR="00DD18BF">
        <w:rPr>
          <w:spacing w:val="-2"/>
          <w:szCs w:val="20"/>
        </w:rPr>
        <w:t>.</w:t>
      </w:r>
    </w:p>
    <w:p w14:paraId="03BA1945" w14:textId="77777777" w:rsidR="00931F5C" w:rsidRPr="0009075E" w:rsidRDefault="00931F5C" w:rsidP="004802DD">
      <w:pPr>
        <w:pStyle w:val="Prrafodelista"/>
        <w:spacing w:before="240" w:after="240"/>
        <w:ind w:left="709" w:hanging="1"/>
        <w:contextualSpacing w:val="0"/>
        <w:outlineLvl w:val="2"/>
        <w:rPr>
          <w:rFonts w:cs="Times New Roman"/>
          <w:i/>
          <w:spacing w:val="-2"/>
          <w:szCs w:val="20"/>
        </w:rPr>
      </w:pPr>
      <w:bookmarkStart w:id="74" w:name="_Toc533062418"/>
      <w:bookmarkStart w:id="75" w:name="_Toc36132097"/>
      <w:r w:rsidRPr="0009075E">
        <w:rPr>
          <w:i/>
          <w:spacing w:val="-2"/>
          <w:szCs w:val="20"/>
        </w:rPr>
        <w:t xml:space="preserve">B.4. </w:t>
      </w:r>
      <w:r w:rsidRPr="0009075E">
        <w:rPr>
          <w:i/>
          <w:szCs w:val="20"/>
          <w:lang w:val="es-CO"/>
        </w:rPr>
        <w:t>Valoración</w:t>
      </w:r>
      <w:r w:rsidRPr="0009075E">
        <w:rPr>
          <w:i/>
          <w:spacing w:val="-2"/>
          <w:szCs w:val="20"/>
        </w:rPr>
        <w:t xml:space="preserve"> del reconocimiento parcial de responsabilidad</w:t>
      </w:r>
      <w:bookmarkEnd w:id="74"/>
      <w:bookmarkEnd w:id="75"/>
    </w:p>
    <w:p w14:paraId="53DD0835" w14:textId="71756445" w:rsidR="00931F5C" w:rsidRPr="00260C3E" w:rsidRDefault="0050621C" w:rsidP="00260C3E">
      <w:pPr>
        <w:numPr>
          <w:ilvl w:val="0"/>
          <w:numId w:val="2"/>
        </w:numPr>
        <w:tabs>
          <w:tab w:val="left" w:pos="567"/>
        </w:tabs>
        <w:spacing w:before="120" w:after="120"/>
        <w:ind w:left="0" w:firstLine="0"/>
        <w:rPr>
          <w:rFonts w:cs="Times New Roman"/>
          <w:spacing w:val="-2"/>
        </w:rPr>
      </w:pPr>
      <w:r>
        <w:rPr>
          <w:lang w:val="es-CR"/>
        </w:rPr>
        <w:t>E</w:t>
      </w:r>
      <w:r w:rsidR="004447EF" w:rsidRPr="00DD1F2B">
        <w:rPr>
          <w:lang w:val="es-CR"/>
        </w:rPr>
        <w:t>l reconocimiento efectuado por el Estado constituye una aceptación parcial de los hechos y un reconocimiento parcial de las violaciones alegadas.</w:t>
      </w:r>
      <w:r w:rsidR="004447EF" w:rsidRPr="00DD1F2B">
        <w:rPr>
          <w:szCs w:val="20"/>
          <w:lang w:val="es-CO"/>
        </w:rPr>
        <w:t xml:space="preserve"> </w:t>
      </w:r>
      <w:r w:rsidR="00931F5C" w:rsidRPr="00DD1F2B">
        <w:rPr>
          <w:szCs w:val="20"/>
          <w:lang w:val="es-CO"/>
        </w:rPr>
        <w:t>Este Tribunal estima que el reconocimiento de responsabilidad internacional constituye una contribución positiva al desarrollo de este proceso y a la vigencia de los principios que inspiran la Convención, así como a las necesidades de reparación de las víctimas</w:t>
      </w:r>
      <w:r w:rsidR="00931F5C" w:rsidRPr="0009075E">
        <w:rPr>
          <w:rFonts w:cs="Times New Roman"/>
          <w:spacing w:val="-2"/>
          <w:szCs w:val="20"/>
          <w:vertAlign w:val="superscript"/>
        </w:rPr>
        <w:footnoteReference w:id="10"/>
      </w:r>
      <w:r w:rsidR="00931F5C" w:rsidRPr="00DD1F2B">
        <w:rPr>
          <w:szCs w:val="20"/>
          <w:lang w:val="es-CO"/>
        </w:rPr>
        <w:t>.</w:t>
      </w:r>
      <w:r w:rsidR="00C071A7" w:rsidRPr="00DD1F2B">
        <w:rPr>
          <w:szCs w:val="20"/>
          <w:lang w:val="es-CO"/>
        </w:rPr>
        <w:t xml:space="preserve"> </w:t>
      </w:r>
      <w:r w:rsidR="00E955A9">
        <w:t>E</w:t>
      </w:r>
      <w:r w:rsidR="00931F5C" w:rsidRPr="0009075E">
        <w:t xml:space="preserve">l reconocimiento efectuado por el Estado produce plenos efectos jurídicos de acuerdo a los artículos 62 y 64 del Reglamento de la Corte ya mencionados y que tiene un alto valor simbólico en aras de que no se repitan hechos similares. Adicionalmente, la Corte advierte que el reconocimiento de hechos y violaciones puntuales y específicos puede tener efectos y consecuencias en el análisis que haga este Tribunal sobre los demás </w:t>
      </w:r>
      <w:r w:rsidR="00931F5C" w:rsidRPr="00DD1F2B">
        <w:rPr>
          <w:szCs w:val="20"/>
        </w:rPr>
        <w:t>hechos y violaciones alegados, en la medida en que todos forman parte de un mismo conjunto de circunstancias</w:t>
      </w:r>
      <w:r w:rsidR="00931F5C" w:rsidRPr="0009075E">
        <w:rPr>
          <w:rStyle w:val="Refdenotaalpie"/>
          <w:lang w:val="es-AR"/>
        </w:rPr>
        <w:footnoteReference w:id="11"/>
      </w:r>
      <w:r w:rsidR="00931F5C" w:rsidRPr="00DD1F2B">
        <w:rPr>
          <w:szCs w:val="20"/>
        </w:rPr>
        <w:t>.</w:t>
      </w:r>
    </w:p>
    <w:p w14:paraId="204E9AF9" w14:textId="51C52963" w:rsidR="00DD1F2B" w:rsidRPr="00404C7B" w:rsidRDefault="0050621C" w:rsidP="00404C7B">
      <w:r w:rsidRPr="00404C7B">
        <w:t xml:space="preserve">28. </w:t>
      </w:r>
      <w:r w:rsidR="00DD1F2B" w:rsidRPr="00404C7B">
        <w:tab/>
        <w:t xml:space="preserve">De cualquier manera, cabe precisar cuál es el alcance de este reconocimiento. En principio, el Estado tenía a su cargo a una persona menor de edad y era responsable por su vida e integridad. Frente </w:t>
      </w:r>
      <w:r>
        <w:t xml:space="preserve">a </w:t>
      </w:r>
      <w:r w:rsidR="00DD1F2B" w:rsidRPr="00404C7B">
        <w:t xml:space="preserve">la muerte de un adolescente bajo </w:t>
      </w:r>
      <w:r w:rsidR="009C137A">
        <w:t xml:space="preserve">su </w:t>
      </w:r>
      <w:r w:rsidR="00DD1F2B" w:rsidRPr="00404C7B">
        <w:t xml:space="preserve">custodia en un establecimiento militar y ante la falta de esclarecimiento que el Estado admite, esta Corte considera que el reconocimiento significa jurídicamente que la muerte de </w:t>
      </w:r>
      <w:r w:rsidR="00E955A9">
        <w:t>Vicente Noguera</w:t>
      </w:r>
      <w:r w:rsidR="00DD1F2B" w:rsidRPr="00404C7B">
        <w:t xml:space="preserve"> </w:t>
      </w:r>
      <w:r w:rsidR="00DD1F2B" w:rsidRPr="00404C7B">
        <w:lastRenderedPageBreak/>
        <w:t xml:space="preserve">no ha sido accidental ni fortuita. Todo ello se ve reforzado por el hecho que es el Estado quien tenía a su cargo la prueba para desvirtuar la muerte por malos tratos. </w:t>
      </w:r>
    </w:p>
    <w:p w14:paraId="331190C7" w14:textId="6190AA40" w:rsidR="002200E2" w:rsidRDefault="00931F5C" w:rsidP="00C071A7">
      <w:pPr>
        <w:numPr>
          <w:ilvl w:val="0"/>
          <w:numId w:val="2"/>
        </w:numPr>
        <w:tabs>
          <w:tab w:val="left" w:pos="567"/>
        </w:tabs>
        <w:spacing w:before="120" w:after="120"/>
        <w:ind w:left="0" w:firstLine="0"/>
        <w:rPr>
          <w:rFonts w:cs="Times New Roman"/>
          <w:spacing w:val="-2"/>
          <w:szCs w:val="20"/>
        </w:rPr>
      </w:pPr>
      <w:r w:rsidRPr="0009075E">
        <w:rPr>
          <w:snapToGrid w:val="0"/>
        </w:rPr>
        <w:t xml:space="preserve">En virtud de lo anterior y de las atribuciones que le incumben como órgano internacional de protección de derechos </w:t>
      </w:r>
      <w:r w:rsidRPr="00C071A7">
        <w:t>humanos</w:t>
      </w:r>
      <w:r w:rsidRPr="0009075E">
        <w:rPr>
          <w:snapToGrid w:val="0"/>
        </w:rPr>
        <w:t>, la Corte estima necesario, en atención a las particularidades de los hechos del presente caso,</w:t>
      </w:r>
      <w:r w:rsidRPr="0009075E">
        <w:rPr>
          <w:bCs/>
          <w:snapToGrid w:val="0"/>
        </w:rPr>
        <w:t xml:space="preserve"> </w:t>
      </w:r>
      <w:r w:rsidRPr="0009075E">
        <w:rPr>
          <w:snapToGrid w:val="0"/>
        </w:rPr>
        <w:t>dictar una sentencia en la cual se determinen los hechos ocurridos de acuerdo a la prueba recabada en el proceso ante este Tribunal, toda vez que ello contribuye a la reparación de las víctimas, a evitar que se repitan hechos similares y a satisfacer, en suma, los fines de la jurisdicción interamericana sobre derechos humanos.</w:t>
      </w:r>
    </w:p>
    <w:p w14:paraId="6E0B5221" w14:textId="46E10EB3" w:rsidR="004D44B3" w:rsidRPr="003B376F" w:rsidRDefault="004D44B3" w:rsidP="004D44B3">
      <w:pPr>
        <w:pStyle w:val="Ttulo1"/>
      </w:pPr>
      <w:bookmarkStart w:id="76" w:name="_Toc36132098"/>
      <w:r w:rsidRPr="003B376F">
        <w:t>V</w:t>
      </w:r>
      <w:r w:rsidR="004802DD">
        <w:t>I</w:t>
      </w:r>
      <w:r w:rsidRPr="003B376F">
        <w:rPr>
          <w:color w:val="FFFFFF" w:themeColor="background1"/>
        </w:rPr>
        <w:t>.</w:t>
      </w:r>
      <w:r w:rsidRPr="003B376F">
        <w:br/>
        <w:t>PRUEBA</w:t>
      </w:r>
      <w:bookmarkEnd w:id="76"/>
    </w:p>
    <w:p w14:paraId="4636E39F" w14:textId="568C627B" w:rsidR="007978F9" w:rsidRPr="007978F9" w:rsidRDefault="004D44B3" w:rsidP="007978F9">
      <w:pPr>
        <w:pStyle w:val="Estilo1"/>
        <w:numPr>
          <w:ilvl w:val="0"/>
          <w:numId w:val="2"/>
        </w:numPr>
        <w:tabs>
          <w:tab w:val="left" w:pos="0"/>
          <w:tab w:val="left" w:pos="567"/>
          <w:tab w:val="left" w:pos="1134"/>
        </w:tabs>
        <w:spacing w:before="120"/>
        <w:ind w:left="0" w:right="-6" w:firstLine="0"/>
        <w:rPr>
          <w:i w:val="0"/>
          <w:szCs w:val="20"/>
          <w:lang w:val="es-CR"/>
        </w:rPr>
      </w:pPr>
      <w:r w:rsidRPr="003B376F">
        <w:rPr>
          <w:i w:val="0"/>
          <w:szCs w:val="20"/>
        </w:rPr>
        <w:t xml:space="preserve">El Tribunal </w:t>
      </w:r>
      <w:r w:rsidRPr="003C650B">
        <w:rPr>
          <w:i w:val="0"/>
          <w:szCs w:val="20"/>
        </w:rPr>
        <w:t>admite</w:t>
      </w:r>
      <w:r w:rsidRPr="003B376F">
        <w:rPr>
          <w:i w:val="0"/>
          <w:szCs w:val="20"/>
        </w:rPr>
        <w:t xml:space="preserve"> los documentos presentados en la debida oportunidad procesal por las </w:t>
      </w:r>
      <w:r w:rsidRPr="003B376F">
        <w:rPr>
          <w:i w:val="0"/>
          <w:szCs w:val="20"/>
          <w:lang w:val="es-CO"/>
        </w:rPr>
        <w:t>partes</w:t>
      </w:r>
      <w:r w:rsidRPr="003B376F">
        <w:rPr>
          <w:i w:val="0"/>
          <w:szCs w:val="20"/>
        </w:rPr>
        <w:t xml:space="preserve"> y la Comisión, cuya admisibilidad no fue controvertida ni objetada, </w:t>
      </w:r>
      <w:r w:rsidRPr="003B376F">
        <w:rPr>
          <w:i w:val="0"/>
          <w:szCs w:val="20"/>
          <w:lang w:val="es-CR"/>
        </w:rPr>
        <w:t xml:space="preserve">ni cuya </w:t>
      </w:r>
      <w:r w:rsidRPr="007978F9">
        <w:rPr>
          <w:i w:val="0"/>
          <w:szCs w:val="20"/>
          <w:lang w:val="es-CR"/>
        </w:rPr>
        <w:t>autenticidad fue puesta en duda</w:t>
      </w:r>
      <w:r w:rsidRPr="007978F9">
        <w:rPr>
          <w:i w:val="0"/>
          <w:szCs w:val="20"/>
          <w:vertAlign w:val="superscript"/>
        </w:rPr>
        <w:footnoteReference w:id="12"/>
      </w:r>
      <w:r w:rsidRPr="007978F9">
        <w:rPr>
          <w:i w:val="0"/>
          <w:szCs w:val="20"/>
        </w:rPr>
        <w:t xml:space="preserve">. </w:t>
      </w:r>
    </w:p>
    <w:p w14:paraId="0099C253" w14:textId="06BE09AA" w:rsidR="000851BF" w:rsidRPr="003C650B" w:rsidRDefault="008B21C1" w:rsidP="003C650B">
      <w:pPr>
        <w:pStyle w:val="Estilo1"/>
        <w:numPr>
          <w:ilvl w:val="0"/>
          <w:numId w:val="2"/>
        </w:numPr>
        <w:tabs>
          <w:tab w:val="left" w:pos="0"/>
          <w:tab w:val="left" w:pos="567"/>
          <w:tab w:val="left" w:pos="1134"/>
        </w:tabs>
        <w:spacing w:before="120"/>
        <w:ind w:left="0" w:right="-6" w:firstLine="0"/>
        <w:rPr>
          <w:i w:val="0"/>
          <w:szCs w:val="20"/>
          <w:lang w:val="es-CR"/>
        </w:rPr>
      </w:pPr>
      <w:r w:rsidRPr="003C650B">
        <w:rPr>
          <w:i w:val="0"/>
          <w:szCs w:val="20"/>
          <w:lang w:val="es-CR"/>
        </w:rPr>
        <w:t>Adicionalmente</w:t>
      </w:r>
      <w:r w:rsidR="00C62F6B" w:rsidRPr="003C650B">
        <w:rPr>
          <w:i w:val="0"/>
          <w:szCs w:val="20"/>
          <w:lang w:val="es-CR"/>
        </w:rPr>
        <w:t xml:space="preserve">, los representantes </w:t>
      </w:r>
      <w:r w:rsidR="007978F9" w:rsidRPr="003C650B">
        <w:rPr>
          <w:i w:val="0"/>
          <w:szCs w:val="20"/>
        </w:rPr>
        <w:t>aportaron una serie de documentos como anexos al escrito de observaciones a la excepción preliminar interpuesta por el Estado</w:t>
      </w:r>
      <w:r w:rsidR="00B746E0">
        <w:rPr>
          <w:rStyle w:val="Refdenotaalpie"/>
          <w:i w:val="0"/>
        </w:rPr>
        <w:footnoteReference w:id="13"/>
      </w:r>
      <w:r w:rsidR="007978F9" w:rsidRPr="003C650B">
        <w:rPr>
          <w:i w:val="0"/>
          <w:szCs w:val="20"/>
        </w:rPr>
        <w:t xml:space="preserve">. </w:t>
      </w:r>
      <w:r w:rsidR="000851BF" w:rsidRPr="003C650B">
        <w:rPr>
          <w:i w:val="0"/>
          <w:szCs w:val="20"/>
        </w:rPr>
        <w:t xml:space="preserve">A su vez, </w:t>
      </w:r>
      <w:r w:rsidR="000851BF" w:rsidRPr="003C650B">
        <w:rPr>
          <w:i w:val="0"/>
          <w:szCs w:val="20"/>
          <w:lang w:val="es-CR"/>
        </w:rPr>
        <w:t>los</w:t>
      </w:r>
      <w:r w:rsidR="000851BF" w:rsidRPr="003C650B">
        <w:rPr>
          <w:i w:val="0"/>
          <w:szCs w:val="20"/>
        </w:rPr>
        <w:t xml:space="preserve"> representantes </w:t>
      </w:r>
      <w:r w:rsidR="00353C75">
        <w:rPr>
          <w:i w:val="0"/>
          <w:szCs w:val="20"/>
        </w:rPr>
        <w:t>remitieron</w:t>
      </w:r>
      <w:r w:rsidR="00353C75" w:rsidRPr="003C650B">
        <w:rPr>
          <w:i w:val="0"/>
          <w:szCs w:val="20"/>
        </w:rPr>
        <w:t xml:space="preserve"> </w:t>
      </w:r>
      <w:r w:rsidR="000851BF" w:rsidRPr="003C650B">
        <w:rPr>
          <w:i w:val="0"/>
          <w:szCs w:val="20"/>
        </w:rPr>
        <w:t xml:space="preserve">junto con sus alegatos finales escritos unas copias de planillas de pago del mes de enero, julio y agosto de 2019. </w:t>
      </w:r>
      <w:r w:rsidR="003C650B" w:rsidRPr="003C650B">
        <w:rPr>
          <w:i w:val="0"/>
          <w:szCs w:val="20"/>
        </w:rPr>
        <w:t>Por otra parte, el Estado presentó junto con sus alegatos finales escritos</w:t>
      </w:r>
      <w:r w:rsidR="00A057CC">
        <w:rPr>
          <w:i w:val="0"/>
          <w:szCs w:val="20"/>
        </w:rPr>
        <w:t>,</w:t>
      </w:r>
      <w:r w:rsidR="003C650B" w:rsidRPr="003C650B">
        <w:rPr>
          <w:i w:val="0"/>
          <w:szCs w:val="20"/>
        </w:rPr>
        <w:t xml:space="preserve"> unos anexos que constituyen una “carpeta fiscal</w:t>
      </w:r>
      <w:r w:rsidR="003C650B">
        <w:rPr>
          <w:i w:val="0"/>
          <w:szCs w:val="20"/>
        </w:rPr>
        <w:t xml:space="preserve"> </w:t>
      </w:r>
      <w:r w:rsidR="003C650B" w:rsidRPr="003C650B">
        <w:rPr>
          <w:i w:val="0"/>
          <w:szCs w:val="20"/>
        </w:rPr>
        <w:t>con las actuaciones hasta el 19 de septiembre de 2019</w:t>
      </w:r>
      <w:r w:rsidR="003C650B">
        <w:rPr>
          <w:i w:val="0"/>
          <w:szCs w:val="20"/>
        </w:rPr>
        <w:t>”.</w:t>
      </w:r>
    </w:p>
    <w:p w14:paraId="6ED80D4F" w14:textId="2962C50A" w:rsidR="00B45C5C" w:rsidRPr="00B746E0" w:rsidRDefault="000851BF" w:rsidP="00FF214E">
      <w:pPr>
        <w:pStyle w:val="Estilo1"/>
        <w:numPr>
          <w:ilvl w:val="0"/>
          <w:numId w:val="2"/>
        </w:numPr>
        <w:tabs>
          <w:tab w:val="left" w:pos="0"/>
          <w:tab w:val="left" w:pos="567"/>
          <w:tab w:val="left" w:pos="1134"/>
        </w:tabs>
        <w:spacing w:before="120"/>
        <w:ind w:left="0" w:right="-6" w:firstLine="0"/>
        <w:rPr>
          <w:i w:val="0"/>
          <w:szCs w:val="20"/>
          <w:lang w:val="es-CR"/>
        </w:rPr>
      </w:pPr>
      <w:r>
        <w:rPr>
          <w:i w:val="0"/>
          <w:szCs w:val="20"/>
        </w:rPr>
        <w:t xml:space="preserve">En lo que se refiere a la oportunidad procesal para remitir los anexos a los escritos principales, </w:t>
      </w:r>
      <w:r w:rsidR="00B746E0" w:rsidRPr="00B746E0">
        <w:rPr>
          <w:i w:val="0"/>
          <w:szCs w:val="20"/>
          <w:lang w:val="es-CR"/>
        </w:rPr>
        <w:t>l</w:t>
      </w:r>
      <w:r w:rsidR="00AB66AF" w:rsidRPr="00B746E0">
        <w:rPr>
          <w:i w:val="0"/>
          <w:szCs w:val="20"/>
          <w:lang w:val="es-CR"/>
        </w:rPr>
        <w:t xml:space="preserve">a Corte reitera que </w:t>
      </w:r>
      <w:r w:rsidR="00AB66AF" w:rsidRPr="00B746E0">
        <w:rPr>
          <w:i w:val="0"/>
          <w:szCs w:val="20"/>
        </w:rPr>
        <w:t>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w:t>
      </w:r>
      <w:r w:rsidR="00AB66AF" w:rsidRPr="00B746E0">
        <w:rPr>
          <w:rStyle w:val="Refdenotaalpie"/>
          <w:i w:val="0"/>
        </w:rPr>
        <w:footnoteReference w:id="14"/>
      </w:r>
      <w:r w:rsidR="00AB66AF" w:rsidRPr="00B746E0">
        <w:rPr>
          <w:i w:val="0"/>
          <w:szCs w:val="20"/>
        </w:rPr>
        <w:t xml:space="preserve">. </w:t>
      </w:r>
      <w:r w:rsidR="007978F9" w:rsidRPr="00B746E0">
        <w:rPr>
          <w:i w:val="0"/>
          <w:szCs w:val="20"/>
          <w:lang w:val="es-CR"/>
        </w:rPr>
        <w:t>Por tal motivo, la</w:t>
      </w:r>
      <w:r w:rsidR="00AB66AF" w:rsidRPr="00B746E0">
        <w:rPr>
          <w:i w:val="0"/>
          <w:szCs w:val="20"/>
          <w:lang w:val="es-CR"/>
        </w:rPr>
        <w:t xml:space="preserve"> prueba aportada</w:t>
      </w:r>
      <w:r w:rsidR="003C650B">
        <w:rPr>
          <w:i w:val="0"/>
          <w:szCs w:val="20"/>
          <w:lang w:val="es-CR"/>
        </w:rPr>
        <w:t xml:space="preserve"> por los representantes junto con su escrito de observaciones a la excepción preliminar resulta </w:t>
      </w:r>
      <w:r w:rsidR="007978F9" w:rsidRPr="00B746E0">
        <w:rPr>
          <w:i w:val="0"/>
          <w:szCs w:val="20"/>
          <w:lang w:val="es-CR"/>
        </w:rPr>
        <w:t>inadmisible en virtud de que no fue aportada en el momento procesal oportuno</w:t>
      </w:r>
      <w:r w:rsidR="001175CE" w:rsidRPr="00B746E0">
        <w:rPr>
          <w:i w:val="0"/>
          <w:iCs/>
          <w:szCs w:val="20"/>
          <w:lang w:val="es-CR"/>
        </w:rPr>
        <w:t xml:space="preserve">. </w:t>
      </w:r>
      <w:r w:rsidR="003C650B">
        <w:rPr>
          <w:i w:val="0"/>
          <w:iCs/>
          <w:szCs w:val="20"/>
          <w:lang w:val="es-CR"/>
        </w:rPr>
        <w:t xml:space="preserve">Los demás documentos que acompañan los alegatos finales escritos presentados por los representantes y el Estado constituyen prueba superviniente por lo cual </w:t>
      </w:r>
      <w:r w:rsidR="003251E2">
        <w:rPr>
          <w:i w:val="0"/>
          <w:iCs/>
          <w:szCs w:val="20"/>
          <w:lang w:val="es-CR"/>
        </w:rPr>
        <w:t xml:space="preserve">este </w:t>
      </w:r>
      <w:r w:rsidR="003C650B">
        <w:rPr>
          <w:i w:val="0"/>
          <w:iCs/>
          <w:szCs w:val="20"/>
          <w:lang w:val="es-CR"/>
        </w:rPr>
        <w:t>Tribunal los admite dentro del acervo probatorio del caso.</w:t>
      </w:r>
    </w:p>
    <w:p w14:paraId="5EB3088F" w14:textId="18177BD9" w:rsidR="00B16F66" w:rsidRPr="008A396E" w:rsidRDefault="003D039C" w:rsidP="00BD3E22">
      <w:pPr>
        <w:pStyle w:val="Estilo1"/>
        <w:numPr>
          <w:ilvl w:val="0"/>
          <w:numId w:val="2"/>
        </w:numPr>
        <w:tabs>
          <w:tab w:val="left" w:pos="0"/>
          <w:tab w:val="left" w:pos="567"/>
          <w:tab w:val="left" w:pos="1134"/>
        </w:tabs>
        <w:spacing w:before="120"/>
        <w:ind w:left="0" w:right="-6" w:firstLine="0"/>
        <w:rPr>
          <w:i w:val="0"/>
          <w:szCs w:val="20"/>
          <w:lang w:val="es-CR"/>
        </w:rPr>
      </w:pPr>
      <w:r w:rsidRPr="008A396E">
        <w:rPr>
          <w:i w:val="0"/>
          <w:szCs w:val="20"/>
        </w:rPr>
        <w:lastRenderedPageBreak/>
        <w:t>Asimismo, la Corte estima pertinente admitir las declaraciones rendidas en aud</w:t>
      </w:r>
      <w:r w:rsidR="00122AD8" w:rsidRPr="008A396E">
        <w:rPr>
          <w:i w:val="0"/>
          <w:szCs w:val="20"/>
        </w:rPr>
        <w:t>iencia pública</w:t>
      </w:r>
      <w:r w:rsidR="00DF1F0A">
        <w:rPr>
          <w:rStyle w:val="Refdenotaalpie"/>
          <w:i w:val="0"/>
        </w:rPr>
        <w:footnoteReference w:id="15"/>
      </w:r>
      <w:r w:rsidR="00122AD8" w:rsidRPr="008A396E">
        <w:rPr>
          <w:i w:val="0"/>
          <w:szCs w:val="20"/>
        </w:rPr>
        <w:t xml:space="preserve"> y ante fedatario </w:t>
      </w:r>
      <w:r w:rsidRPr="008A396E">
        <w:rPr>
          <w:i w:val="0"/>
          <w:szCs w:val="20"/>
        </w:rPr>
        <w:t>público</w:t>
      </w:r>
      <w:r w:rsidR="00C11A67" w:rsidRPr="008A396E">
        <w:rPr>
          <w:rStyle w:val="Refdenotaalpie"/>
          <w:i w:val="0"/>
        </w:rPr>
        <w:footnoteReference w:id="16"/>
      </w:r>
      <w:r w:rsidRPr="008A396E">
        <w:rPr>
          <w:i w:val="0"/>
          <w:szCs w:val="20"/>
        </w:rPr>
        <w:t>, en cuanto se ajusten al objeto definido por la Resolución que ordenó recibirlos y al objeto del presente caso</w:t>
      </w:r>
      <w:r w:rsidRPr="008A396E">
        <w:rPr>
          <w:i w:val="0"/>
          <w:szCs w:val="20"/>
          <w:vertAlign w:val="superscript"/>
        </w:rPr>
        <w:footnoteReference w:id="17"/>
      </w:r>
      <w:r w:rsidR="00A56D9C" w:rsidRPr="008A396E">
        <w:rPr>
          <w:i w:val="0"/>
          <w:iCs/>
          <w:szCs w:val="20"/>
          <w:lang w:val="es-MX"/>
        </w:rPr>
        <w:t>.</w:t>
      </w:r>
    </w:p>
    <w:p w14:paraId="53DAAB67" w14:textId="42FDCA6F" w:rsidR="0022482D" w:rsidRPr="003B376F" w:rsidRDefault="003A07E3" w:rsidP="0022482D">
      <w:pPr>
        <w:pStyle w:val="Ttulo1"/>
        <w:rPr>
          <w:b w:val="0"/>
          <w:bCs w:val="0"/>
          <w:caps w:val="0"/>
        </w:rPr>
      </w:pPr>
      <w:bookmarkStart w:id="77" w:name="_Toc476251455"/>
      <w:bookmarkStart w:id="78" w:name="_Toc15303996"/>
      <w:bookmarkStart w:id="79" w:name="_Toc36132099"/>
      <w:bookmarkStart w:id="80" w:name="_Toc476251456"/>
      <w:bookmarkStart w:id="81" w:name="_Toc15303999"/>
      <w:r w:rsidRPr="003B376F">
        <w:rPr>
          <w:caps w:val="0"/>
        </w:rPr>
        <w:t>VI</w:t>
      </w:r>
      <w:r w:rsidR="004802DD">
        <w:rPr>
          <w:caps w:val="0"/>
        </w:rPr>
        <w:t>I</w:t>
      </w:r>
      <w:r w:rsidRPr="003B376F">
        <w:rPr>
          <w:caps w:val="0"/>
          <w:color w:val="FFFFFF" w:themeColor="background1"/>
        </w:rPr>
        <w:t>.</w:t>
      </w:r>
      <w:r w:rsidRPr="003B376F">
        <w:rPr>
          <w:caps w:val="0"/>
        </w:rPr>
        <w:br/>
        <w:t>HECHOS</w:t>
      </w:r>
      <w:bookmarkEnd w:id="77"/>
      <w:bookmarkEnd w:id="78"/>
      <w:bookmarkEnd w:id="79"/>
    </w:p>
    <w:p w14:paraId="02D7C104" w14:textId="42BE83CF" w:rsidR="0022482D" w:rsidRPr="003B376F" w:rsidRDefault="0022482D" w:rsidP="00A057CC">
      <w:pPr>
        <w:pStyle w:val="Prrafodelista"/>
        <w:numPr>
          <w:ilvl w:val="0"/>
          <w:numId w:val="2"/>
        </w:numPr>
        <w:spacing w:before="120" w:after="120"/>
        <w:ind w:left="0" w:firstLine="0"/>
        <w:contextualSpacing w:val="0"/>
        <w:rPr>
          <w:szCs w:val="20"/>
        </w:rPr>
      </w:pPr>
      <w:r w:rsidRPr="003B376F">
        <w:rPr>
          <w:szCs w:val="20"/>
        </w:rPr>
        <w:t>En este capítulo</w:t>
      </w:r>
      <w:r w:rsidR="00353C75">
        <w:rPr>
          <w:szCs w:val="20"/>
        </w:rPr>
        <w:t>,</w:t>
      </w:r>
      <w:r w:rsidRPr="003B376F">
        <w:rPr>
          <w:szCs w:val="20"/>
        </w:rPr>
        <w:t xml:space="preserve"> la Corte establecerá los hechos que se tendrán por probados en el presente caso, con base en el acervo probatorio que ha sido admitido</w:t>
      </w:r>
      <w:r w:rsidR="00394CE7">
        <w:rPr>
          <w:szCs w:val="20"/>
        </w:rPr>
        <w:t xml:space="preserve">, </w:t>
      </w:r>
      <w:r w:rsidRPr="003B376F">
        <w:rPr>
          <w:szCs w:val="20"/>
        </w:rPr>
        <w:t>según el marco fáctico establecido del Informe de Fondo</w:t>
      </w:r>
      <w:r w:rsidR="00394CE7">
        <w:rPr>
          <w:szCs w:val="20"/>
        </w:rPr>
        <w:t>, así como el reconocimiento de responsabilidad internacional efectuado por el Estado</w:t>
      </w:r>
      <w:r w:rsidRPr="003B376F">
        <w:rPr>
          <w:szCs w:val="20"/>
        </w:rPr>
        <w:t>. Además, se incluirán los hechos expuestos por las partes que permitan explicar, aclarar o desestimar ese marco fáctico</w:t>
      </w:r>
      <w:r w:rsidRPr="003B376F">
        <w:rPr>
          <w:rStyle w:val="Refdenotaalpie"/>
          <w:rFonts w:cs="Verdana"/>
          <w:lang w:val="es-ES"/>
        </w:rPr>
        <w:footnoteReference w:id="18"/>
      </w:r>
      <w:r w:rsidRPr="003B376F">
        <w:rPr>
          <w:szCs w:val="20"/>
        </w:rPr>
        <w:t xml:space="preserve">. </w:t>
      </w:r>
      <w:r w:rsidR="00144F28" w:rsidRPr="003B376F">
        <w:rPr>
          <w:rFonts w:cs="Verdana"/>
          <w:szCs w:val="20"/>
        </w:rPr>
        <w:t xml:space="preserve">A </w:t>
      </w:r>
      <w:r w:rsidR="00677D89" w:rsidRPr="003B376F">
        <w:rPr>
          <w:rFonts w:cs="Verdana"/>
          <w:szCs w:val="20"/>
        </w:rPr>
        <w:t>continuación,</w:t>
      </w:r>
      <w:r w:rsidR="00144F28" w:rsidRPr="003B376F">
        <w:rPr>
          <w:rFonts w:cs="Verdana"/>
          <w:szCs w:val="20"/>
        </w:rPr>
        <w:t xml:space="preserve"> </w:t>
      </w:r>
      <w:r w:rsidRPr="003B376F">
        <w:rPr>
          <w:rFonts w:cs="Verdana"/>
          <w:szCs w:val="20"/>
          <w:lang w:val="es-ES"/>
        </w:rPr>
        <w:t>se exponen los hechos de acuerdo al siguiente orden:</w:t>
      </w:r>
      <w:r w:rsidR="00D8719D" w:rsidRPr="00D8719D">
        <w:rPr>
          <w:szCs w:val="20"/>
          <w:lang w:val="es-PE"/>
        </w:rPr>
        <w:t xml:space="preserve"> </w:t>
      </w:r>
      <w:r w:rsidR="00D8719D" w:rsidRPr="00D25DA8">
        <w:rPr>
          <w:szCs w:val="20"/>
          <w:lang w:val="es-PE"/>
        </w:rPr>
        <w:t xml:space="preserve">a) Contexto; b) La </w:t>
      </w:r>
      <w:r w:rsidR="004802DD">
        <w:rPr>
          <w:szCs w:val="20"/>
          <w:lang w:val="es-PE"/>
        </w:rPr>
        <w:t>muerte de Vicente Noguera, y</w:t>
      </w:r>
      <w:r w:rsidR="00D8719D" w:rsidRPr="00D25DA8">
        <w:rPr>
          <w:szCs w:val="20"/>
          <w:lang w:val="es-PE"/>
        </w:rPr>
        <w:t xml:space="preserve"> c) </w:t>
      </w:r>
      <w:r w:rsidR="00A057CC" w:rsidRPr="00A057CC">
        <w:rPr>
          <w:szCs w:val="20"/>
          <w:lang w:val="es-PE"/>
        </w:rPr>
        <w:t>Las investigaciones y procesos judiciales iniciados por la muerte de Vicente Noguera</w:t>
      </w:r>
      <w:r w:rsidR="00677D89">
        <w:rPr>
          <w:szCs w:val="20"/>
        </w:rPr>
        <w:t>.</w:t>
      </w:r>
    </w:p>
    <w:p w14:paraId="6AEEAF9E" w14:textId="77777777" w:rsidR="0022482D" w:rsidRPr="00263989" w:rsidRDefault="0022482D" w:rsidP="004C6AFA">
      <w:pPr>
        <w:pStyle w:val="Prrafodelista"/>
        <w:numPr>
          <w:ilvl w:val="0"/>
          <w:numId w:val="15"/>
        </w:numPr>
        <w:pBdr>
          <w:top w:val="nil"/>
        </w:pBdr>
        <w:spacing w:before="240" w:after="240"/>
        <w:contextualSpacing w:val="0"/>
        <w:outlineLvl w:val="1"/>
        <w:rPr>
          <w:b/>
          <w:i/>
          <w:smallCaps/>
          <w:szCs w:val="20"/>
        </w:rPr>
      </w:pPr>
      <w:bookmarkStart w:id="82" w:name="_Toc15303997"/>
      <w:bookmarkStart w:id="83" w:name="_Toc36132100"/>
      <w:r w:rsidRPr="00263989">
        <w:rPr>
          <w:b/>
          <w:i/>
          <w:snapToGrid w:val="0"/>
          <w:spacing w:val="-2"/>
          <w:szCs w:val="20"/>
          <w:lang w:eastAsia="es-ES"/>
        </w:rPr>
        <w:t>Contexto</w:t>
      </w:r>
      <w:bookmarkEnd w:id="82"/>
      <w:bookmarkEnd w:id="83"/>
    </w:p>
    <w:p w14:paraId="7A7ACE31" w14:textId="4AA2BC2C" w:rsidR="009B4BD8" w:rsidRPr="000B5EA0" w:rsidRDefault="003E7E4C" w:rsidP="0030400D">
      <w:pPr>
        <w:pStyle w:val="Prrafodelista"/>
        <w:numPr>
          <w:ilvl w:val="0"/>
          <w:numId w:val="2"/>
        </w:numPr>
        <w:spacing w:before="120" w:after="120"/>
        <w:ind w:left="0" w:firstLine="0"/>
        <w:contextualSpacing w:val="0"/>
        <w:rPr>
          <w:szCs w:val="20"/>
        </w:rPr>
      </w:pPr>
      <w:r>
        <w:rPr>
          <w:szCs w:val="20"/>
          <w:lang w:val="es-PE"/>
        </w:rPr>
        <w:t>Para la época de los hechos del presente</w:t>
      </w:r>
      <w:r w:rsidR="00FD627E">
        <w:rPr>
          <w:szCs w:val="20"/>
          <w:lang w:val="es-PE"/>
        </w:rPr>
        <w:t xml:space="preserve"> caso</w:t>
      </w:r>
      <w:r>
        <w:rPr>
          <w:szCs w:val="20"/>
          <w:lang w:val="es-PE"/>
        </w:rPr>
        <w:t>, existía en Paraguay</w:t>
      </w:r>
      <w:r w:rsidR="009B4BD8" w:rsidRPr="000B5EA0">
        <w:rPr>
          <w:szCs w:val="20"/>
          <w:lang w:val="es-PE"/>
        </w:rPr>
        <w:t xml:space="preserve"> un contexto de violaciones a derechos humanos en el reclutamiento militar y en las condiciones en que se presta</w:t>
      </w:r>
      <w:r w:rsidR="00BE0E31">
        <w:rPr>
          <w:szCs w:val="20"/>
          <w:lang w:val="es-PE"/>
        </w:rPr>
        <w:t>ba</w:t>
      </w:r>
      <w:r w:rsidR="009B4BD8" w:rsidRPr="000B5EA0">
        <w:rPr>
          <w:szCs w:val="20"/>
          <w:lang w:val="es-PE"/>
        </w:rPr>
        <w:t xml:space="preserve"> </w:t>
      </w:r>
      <w:r w:rsidR="00A057CC">
        <w:rPr>
          <w:szCs w:val="20"/>
          <w:lang w:val="es-PE"/>
        </w:rPr>
        <w:t xml:space="preserve">el servicio militar </w:t>
      </w:r>
      <w:r w:rsidR="009B4BD8" w:rsidRPr="000B5EA0">
        <w:rPr>
          <w:szCs w:val="20"/>
          <w:lang w:val="es-PE"/>
        </w:rPr>
        <w:t xml:space="preserve">en </w:t>
      </w:r>
      <w:r>
        <w:rPr>
          <w:szCs w:val="20"/>
          <w:lang w:val="es-PE"/>
        </w:rPr>
        <w:t>ese país</w:t>
      </w:r>
      <w:r w:rsidR="009B4BD8" w:rsidRPr="000B5EA0">
        <w:rPr>
          <w:szCs w:val="20"/>
          <w:lang w:val="es-PE"/>
        </w:rPr>
        <w:t xml:space="preserve">. Específicamente, </w:t>
      </w:r>
      <w:r>
        <w:rPr>
          <w:szCs w:val="20"/>
          <w:lang w:val="es-PE"/>
        </w:rPr>
        <w:t xml:space="preserve">el mismo se </w:t>
      </w:r>
      <w:r w:rsidR="00BE0E31">
        <w:rPr>
          <w:szCs w:val="20"/>
          <w:lang w:val="es-PE"/>
        </w:rPr>
        <w:t>refería</w:t>
      </w:r>
      <w:r w:rsidR="00BE0E31" w:rsidRPr="000B5EA0">
        <w:rPr>
          <w:szCs w:val="20"/>
          <w:lang w:val="es-PE"/>
        </w:rPr>
        <w:t xml:space="preserve"> </w:t>
      </w:r>
      <w:r w:rsidR="009B4BD8" w:rsidRPr="000B5EA0">
        <w:rPr>
          <w:szCs w:val="20"/>
          <w:lang w:val="es-PE"/>
        </w:rPr>
        <w:t xml:space="preserve">a la existencia de situaciones que </w:t>
      </w:r>
      <w:r w:rsidR="00BE0E31">
        <w:rPr>
          <w:szCs w:val="20"/>
          <w:lang w:val="es-PE"/>
        </w:rPr>
        <w:t>vulneraban</w:t>
      </w:r>
      <w:r w:rsidR="00BE0E31" w:rsidRPr="000B5EA0">
        <w:rPr>
          <w:szCs w:val="20"/>
          <w:lang w:val="es-PE"/>
        </w:rPr>
        <w:t xml:space="preserve"> </w:t>
      </w:r>
      <w:r w:rsidR="009B4BD8" w:rsidRPr="000B5EA0">
        <w:rPr>
          <w:szCs w:val="20"/>
          <w:lang w:val="es-PE"/>
        </w:rPr>
        <w:t xml:space="preserve">el libre consentimiento y el uso de intimidación para el alistamiento en el servicio militar, así como la falta de verificación de los requisitos legales de edad para la incorporación de reclutas. Por su parte, el Estado </w:t>
      </w:r>
      <w:r w:rsidR="003F2A6E">
        <w:rPr>
          <w:szCs w:val="20"/>
          <w:lang w:val="es-PE"/>
        </w:rPr>
        <w:t>no controvirtió</w:t>
      </w:r>
      <w:r>
        <w:rPr>
          <w:szCs w:val="20"/>
          <w:lang w:val="es-PE"/>
        </w:rPr>
        <w:t xml:space="preserve"> </w:t>
      </w:r>
      <w:r w:rsidR="009B4BD8" w:rsidRPr="000B5EA0">
        <w:rPr>
          <w:szCs w:val="20"/>
          <w:lang w:val="es-PE"/>
        </w:rPr>
        <w:t>la existencia de ese contexto aunque indicó que</w:t>
      </w:r>
      <w:r w:rsidR="00353C75">
        <w:rPr>
          <w:szCs w:val="20"/>
          <w:lang w:val="es-PE"/>
        </w:rPr>
        <w:t>,</w:t>
      </w:r>
      <w:r w:rsidR="009B4BD8" w:rsidRPr="000B5EA0">
        <w:rPr>
          <w:szCs w:val="20"/>
          <w:lang w:val="es-PE"/>
        </w:rPr>
        <w:t xml:space="preserve"> </w:t>
      </w:r>
      <w:r w:rsidR="000B5EA0" w:rsidRPr="000B5EA0">
        <w:rPr>
          <w:szCs w:val="20"/>
          <w:lang w:val="es-PE"/>
        </w:rPr>
        <w:t>posteriormente</w:t>
      </w:r>
      <w:r w:rsidR="00353C75">
        <w:rPr>
          <w:szCs w:val="20"/>
          <w:lang w:val="es-PE"/>
        </w:rPr>
        <w:t>,</w:t>
      </w:r>
      <w:r w:rsidR="000B5EA0" w:rsidRPr="000B5EA0">
        <w:rPr>
          <w:szCs w:val="20"/>
          <w:lang w:val="es-PE"/>
        </w:rPr>
        <w:t xml:space="preserve"> había adecuado </w:t>
      </w:r>
      <w:r w:rsidR="000B5EA0" w:rsidRPr="000B5EA0">
        <w:rPr>
          <w:szCs w:val="20"/>
          <w:lang w:val="es-CR"/>
        </w:rPr>
        <w:t>su legislación y sus prácticas respecto de la prestación del servicio militar a los estándares internacionales en la materia.</w:t>
      </w:r>
      <w:r w:rsidR="000B5EA0">
        <w:rPr>
          <w:szCs w:val="20"/>
          <w:lang w:val="es-CR"/>
        </w:rPr>
        <w:t xml:space="preserve"> </w:t>
      </w:r>
    </w:p>
    <w:p w14:paraId="6E23E9F7" w14:textId="571009CB" w:rsidR="004447EF" w:rsidRPr="00D63FD0" w:rsidRDefault="000B5EA0" w:rsidP="00280D3A">
      <w:pPr>
        <w:pStyle w:val="Prrafodelista"/>
        <w:numPr>
          <w:ilvl w:val="0"/>
          <w:numId w:val="2"/>
        </w:numPr>
        <w:spacing w:before="120" w:after="120"/>
        <w:ind w:left="0" w:firstLine="0"/>
        <w:contextualSpacing w:val="0"/>
        <w:rPr>
          <w:szCs w:val="20"/>
        </w:rPr>
      </w:pPr>
      <w:r>
        <w:rPr>
          <w:szCs w:val="20"/>
          <w:lang w:val="es-PE"/>
        </w:rPr>
        <w:t>En relación con lo anterior</w:t>
      </w:r>
      <w:r w:rsidR="009B4BD8" w:rsidRPr="00D25DA8">
        <w:rPr>
          <w:szCs w:val="20"/>
          <w:lang w:val="es-PE"/>
        </w:rPr>
        <w:t xml:space="preserve">, corresponde recordar que en el caso </w:t>
      </w:r>
      <w:r w:rsidR="009B4BD8" w:rsidRPr="000B5EA0">
        <w:rPr>
          <w:i/>
          <w:szCs w:val="20"/>
          <w:lang w:val="es-PE"/>
        </w:rPr>
        <w:t>Vargas Areco Vs. Paraguay</w:t>
      </w:r>
      <w:r w:rsidR="009B4BD8" w:rsidRPr="00D25DA8">
        <w:rPr>
          <w:szCs w:val="20"/>
          <w:lang w:val="es-PE"/>
        </w:rPr>
        <w:t xml:space="preserve">, </w:t>
      </w:r>
      <w:r w:rsidR="004447EF">
        <w:rPr>
          <w:szCs w:val="20"/>
          <w:lang w:val="es-PE"/>
        </w:rPr>
        <w:t>la Corte indicó que el “</w:t>
      </w:r>
      <w:r w:rsidR="004447EF" w:rsidRPr="00A1069B">
        <w:t>Estado ha</w:t>
      </w:r>
      <w:r w:rsidR="00BE0E31">
        <w:t>[</w:t>
      </w:r>
      <w:proofErr w:type="spellStart"/>
      <w:r w:rsidR="00BE0E31">
        <w:t>bía</w:t>
      </w:r>
      <w:proofErr w:type="spellEnd"/>
      <w:r w:rsidR="00DD1B87">
        <w:t>]</w:t>
      </w:r>
      <w:r w:rsidR="004447EF" w:rsidRPr="00A1069B">
        <w:t xml:space="preserve"> reconocido la existencia de maltratos, reclutamiento forzado, e incluso de muerte en agravio de niños que prestan el servicio militar</w:t>
      </w:r>
      <w:r w:rsidR="004447EF">
        <w:t xml:space="preserve">” y que </w:t>
      </w:r>
      <w:r w:rsidR="00BE0E31">
        <w:t xml:space="preserve">esas </w:t>
      </w:r>
      <w:r w:rsidR="004447EF">
        <w:t>“</w:t>
      </w:r>
      <w:r w:rsidR="004447EF" w:rsidRPr="004447EF">
        <w:t xml:space="preserve">violaciones se deben, en la mayoría de los casos, a excesos </w:t>
      </w:r>
      <w:r w:rsidR="004447EF" w:rsidRPr="00280D3A">
        <w:rPr>
          <w:szCs w:val="20"/>
          <w:lang w:val="es-CR"/>
        </w:rPr>
        <w:t>cometidos</w:t>
      </w:r>
      <w:r w:rsidR="004447EF" w:rsidRPr="004447EF">
        <w:t xml:space="preserve"> por superiores en aplicación de castigos físicos y psicológicos a los reclutas, así como a ejercicios físicos que exceden la resistencia de los conscriptos y accidentes derivados de las características del servicio militar. Todo esto causa, en muchos casos, secuelas irreversibles, tanto físicas como psíquicas</w:t>
      </w:r>
      <w:r w:rsidR="004447EF">
        <w:t>”</w:t>
      </w:r>
      <w:r w:rsidR="004447EF" w:rsidRPr="00D25DA8">
        <w:rPr>
          <w:rStyle w:val="Refdenotaalpie"/>
          <w:lang w:val="es-PE"/>
        </w:rPr>
        <w:footnoteReference w:id="19"/>
      </w:r>
      <w:r w:rsidR="004447EF">
        <w:t>.</w:t>
      </w:r>
    </w:p>
    <w:p w14:paraId="7F64AA8A" w14:textId="2D2A3782" w:rsidR="000B5EA0" w:rsidRPr="00260C3E" w:rsidRDefault="00A057CC" w:rsidP="002E376F">
      <w:pPr>
        <w:pStyle w:val="Prrafodelista"/>
        <w:numPr>
          <w:ilvl w:val="0"/>
          <w:numId w:val="2"/>
        </w:numPr>
        <w:spacing w:before="120" w:after="120"/>
        <w:ind w:left="0" w:firstLine="0"/>
        <w:contextualSpacing w:val="0"/>
        <w:rPr>
          <w:szCs w:val="20"/>
        </w:rPr>
      </w:pPr>
      <w:r w:rsidRPr="00260C3E">
        <w:rPr>
          <w:szCs w:val="20"/>
          <w:lang w:val="es-PE"/>
        </w:rPr>
        <w:t>En concordancia con lo anterior, en el marco del sistema universal de derechos humanos</w:t>
      </w:r>
      <w:r>
        <w:rPr>
          <w:szCs w:val="20"/>
          <w:lang w:val="es-PE"/>
        </w:rPr>
        <w:t xml:space="preserve"> se ha hecho notar la persistencia de este contexto</w:t>
      </w:r>
      <w:r w:rsidR="00BE0E31">
        <w:rPr>
          <w:szCs w:val="20"/>
          <w:lang w:val="es-PE"/>
        </w:rPr>
        <w:t xml:space="preserve">, </w:t>
      </w:r>
      <w:r w:rsidR="000E2652" w:rsidRPr="00260C3E">
        <w:rPr>
          <w:szCs w:val="20"/>
          <w:lang w:val="es-PE"/>
        </w:rPr>
        <w:t xml:space="preserve">el Comité contra la Tortura indicó </w:t>
      </w:r>
      <w:r w:rsidR="00BE0E31">
        <w:rPr>
          <w:szCs w:val="20"/>
          <w:lang w:val="es-PE"/>
        </w:rPr>
        <w:t>el</w:t>
      </w:r>
      <w:r w:rsidR="000E2652" w:rsidRPr="00260C3E">
        <w:rPr>
          <w:szCs w:val="20"/>
          <w:lang w:val="es-PE"/>
        </w:rPr>
        <w:t xml:space="preserve"> 10 de mayo de 2000, que en Paraguay continuaban las prácticas de tortura y </w:t>
      </w:r>
      <w:r w:rsidR="000E2652" w:rsidRPr="00260C3E">
        <w:rPr>
          <w:szCs w:val="20"/>
          <w:lang w:val="es-PE"/>
        </w:rPr>
        <w:lastRenderedPageBreak/>
        <w:t>tratos crueles, inhumanos o degradantes en las dependencias de las fuerzas armadas</w:t>
      </w:r>
      <w:r w:rsidR="000E2652" w:rsidRPr="00260C3E">
        <w:rPr>
          <w:rStyle w:val="Refdenotaalpie"/>
          <w:lang w:val="es-PE"/>
        </w:rPr>
        <w:footnoteReference w:id="20"/>
      </w:r>
      <w:r w:rsidR="000E2652" w:rsidRPr="00260C3E">
        <w:rPr>
          <w:szCs w:val="20"/>
          <w:lang w:val="es-PE"/>
        </w:rPr>
        <w:t>. En el mismo sentido, el Comité de Derechos del Niño ya había manifestado su preocupación en el año 2001 por los maltratos, reclutamientos forzados</w:t>
      </w:r>
      <w:r w:rsidR="00DD1B87">
        <w:rPr>
          <w:szCs w:val="20"/>
          <w:lang w:val="es-PE"/>
        </w:rPr>
        <w:t xml:space="preserve"> </w:t>
      </w:r>
      <w:r w:rsidR="000E2652" w:rsidRPr="00260C3E">
        <w:rPr>
          <w:szCs w:val="20"/>
          <w:lang w:val="es-PE"/>
        </w:rPr>
        <w:t>y muertes ocurridas durante el servicio militar</w:t>
      </w:r>
      <w:r w:rsidR="000E2652" w:rsidRPr="00260C3E">
        <w:rPr>
          <w:rStyle w:val="Refdenotaalpie"/>
          <w:lang w:val="es-PE"/>
        </w:rPr>
        <w:footnoteReference w:id="21"/>
      </w:r>
      <w:r w:rsidR="000E2652" w:rsidRPr="00260C3E">
        <w:rPr>
          <w:szCs w:val="20"/>
          <w:lang w:val="es-PE"/>
        </w:rPr>
        <w:t>. A su vez, el Comité de Derechos Humanos manifestó su preocupación por la persistente práctica de reclutamiento de niños en el servicio militar de Paraguay, a través de un informe de 24 de abril de 2006</w:t>
      </w:r>
      <w:r w:rsidR="000E2652" w:rsidRPr="00260C3E">
        <w:rPr>
          <w:rStyle w:val="Refdenotaalpie"/>
          <w:lang w:val="es-PE"/>
        </w:rPr>
        <w:footnoteReference w:id="22"/>
      </w:r>
      <w:r w:rsidR="000E2652" w:rsidRPr="00260C3E">
        <w:rPr>
          <w:szCs w:val="20"/>
          <w:lang w:val="es-PE"/>
        </w:rPr>
        <w:t>.</w:t>
      </w:r>
      <w:r w:rsidR="00DD1B87">
        <w:rPr>
          <w:szCs w:val="20"/>
          <w:lang w:val="es-PE"/>
        </w:rPr>
        <w:t xml:space="preserve"> </w:t>
      </w:r>
      <w:r w:rsidR="00BE0E31">
        <w:rPr>
          <w:szCs w:val="20"/>
          <w:lang w:val="es-PE"/>
        </w:rPr>
        <w:t>D</w:t>
      </w:r>
      <w:r w:rsidR="009E3E14" w:rsidRPr="00260C3E">
        <w:rPr>
          <w:szCs w:val="20"/>
          <w:lang w:val="es-PE"/>
        </w:rPr>
        <w:t>e forma más reciente</w:t>
      </w:r>
      <w:r w:rsidR="000B5EA0" w:rsidRPr="00260C3E">
        <w:rPr>
          <w:szCs w:val="20"/>
          <w:lang w:val="es-PE"/>
        </w:rPr>
        <w:t>, el 25 de octubre de 2013, el Comité de Derechos del Niño emitió un informe en el que señaló que “[a] pesar de las medidas administrativas y legislativas adoptadas por el Estado parte para asegurarse de que no se reclute a ningún niño menor de 18 años, el Comité sigue preocupado por la persistente falsificación de certificados de nacimiento, que facilita el ingreso de personas menores de 18 años en las fuerzas armadas”</w:t>
      </w:r>
      <w:r w:rsidR="000B5EA0" w:rsidRPr="00260C3E">
        <w:rPr>
          <w:rStyle w:val="Refdenotaalpie"/>
          <w:lang w:val="es-PE"/>
        </w:rPr>
        <w:footnoteReference w:id="23"/>
      </w:r>
      <w:r w:rsidR="000B5EA0" w:rsidRPr="00260C3E">
        <w:rPr>
          <w:szCs w:val="20"/>
          <w:lang w:val="es-PE"/>
        </w:rPr>
        <w:t xml:space="preserve">. </w:t>
      </w:r>
    </w:p>
    <w:p w14:paraId="3A9619EC" w14:textId="5C6C4949" w:rsidR="000B5EA0" w:rsidRPr="000B5EA0" w:rsidRDefault="000B5EA0" w:rsidP="0030400D">
      <w:pPr>
        <w:pStyle w:val="Prrafodelista"/>
        <w:numPr>
          <w:ilvl w:val="0"/>
          <w:numId w:val="2"/>
        </w:numPr>
        <w:spacing w:before="120" w:after="120"/>
        <w:ind w:left="0" w:firstLine="0"/>
        <w:contextualSpacing w:val="0"/>
        <w:rPr>
          <w:szCs w:val="20"/>
        </w:rPr>
      </w:pPr>
      <w:r>
        <w:rPr>
          <w:szCs w:val="20"/>
        </w:rPr>
        <w:t>Por último, e</w:t>
      </w:r>
      <w:r w:rsidRPr="00D25DA8">
        <w:rPr>
          <w:szCs w:val="20"/>
          <w:lang w:val="es-PE"/>
        </w:rPr>
        <w:t xml:space="preserve">n el ámbito nacional, la Coordinadora por los Derechos de la Infancia y la Adolescencia </w:t>
      </w:r>
      <w:r w:rsidR="00BE0E31">
        <w:rPr>
          <w:szCs w:val="20"/>
          <w:lang w:val="es-PE"/>
        </w:rPr>
        <w:t xml:space="preserve">de Paraguay </w:t>
      </w:r>
      <w:r w:rsidRPr="00D25DA8">
        <w:rPr>
          <w:szCs w:val="20"/>
          <w:lang w:val="es-PE"/>
        </w:rPr>
        <w:t>(</w:t>
      </w:r>
      <w:r w:rsidR="00BE0E31">
        <w:rPr>
          <w:szCs w:val="20"/>
          <w:lang w:val="es-PE"/>
        </w:rPr>
        <w:t>“</w:t>
      </w:r>
      <w:r w:rsidRPr="00D25DA8">
        <w:rPr>
          <w:szCs w:val="20"/>
          <w:lang w:val="es-PE"/>
        </w:rPr>
        <w:t>CDIA</w:t>
      </w:r>
      <w:r w:rsidR="00BE0E31">
        <w:rPr>
          <w:szCs w:val="20"/>
          <w:lang w:val="es-PE"/>
        </w:rPr>
        <w:t>”</w:t>
      </w:r>
      <w:r w:rsidRPr="00D25DA8">
        <w:rPr>
          <w:szCs w:val="20"/>
          <w:lang w:val="es-PE"/>
        </w:rPr>
        <w:t>) señaló que entre 1989 y 2012 se registra</w:t>
      </w:r>
      <w:r w:rsidR="00BE0E31">
        <w:rPr>
          <w:szCs w:val="20"/>
          <w:lang w:val="es-PE"/>
        </w:rPr>
        <w:t>ron</w:t>
      </w:r>
      <w:r w:rsidRPr="00D25DA8">
        <w:rPr>
          <w:szCs w:val="20"/>
          <w:lang w:val="es-PE"/>
        </w:rPr>
        <w:t xml:space="preserve"> entre 149 y 156 muertes de niños </w:t>
      </w:r>
      <w:r w:rsidR="00BE0E31">
        <w:rPr>
          <w:szCs w:val="20"/>
          <w:lang w:val="es-PE"/>
        </w:rPr>
        <w:t>reclutados</w:t>
      </w:r>
      <w:r w:rsidR="00BE0E31" w:rsidRPr="00D25DA8">
        <w:rPr>
          <w:szCs w:val="20"/>
          <w:lang w:val="es-PE"/>
        </w:rPr>
        <w:t xml:space="preserve"> </w:t>
      </w:r>
      <w:r w:rsidRPr="00D25DA8">
        <w:rPr>
          <w:szCs w:val="20"/>
          <w:lang w:val="es-PE"/>
        </w:rPr>
        <w:t>en cuarteles de las Fuerzas Armadas, mientras unos 400 habrían quedado con graves secuelas físicas y psicológicas como pérdida de miembros, pérdida de movilidad, heridas por armas de fuego, entre otras</w:t>
      </w:r>
      <w:r w:rsidRPr="00D25DA8">
        <w:rPr>
          <w:rStyle w:val="Refdenotaalpie"/>
          <w:lang w:val="es-PE"/>
        </w:rPr>
        <w:footnoteReference w:id="24"/>
      </w:r>
      <w:r w:rsidRPr="00D25DA8">
        <w:rPr>
          <w:szCs w:val="20"/>
          <w:lang w:val="es-PE"/>
        </w:rPr>
        <w:t>.</w:t>
      </w:r>
    </w:p>
    <w:p w14:paraId="48602AE5" w14:textId="00EB2152" w:rsidR="00B87B80" w:rsidRPr="00263989" w:rsidRDefault="007F4688" w:rsidP="004C6AFA">
      <w:pPr>
        <w:pStyle w:val="Prrafodelista"/>
        <w:numPr>
          <w:ilvl w:val="0"/>
          <w:numId w:val="15"/>
        </w:numPr>
        <w:pBdr>
          <w:top w:val="nil"/>
        </w:pBdr>
        <w:spacing w:before="240" w:after="240"/>
        <w:contextualSpacing w:val="0"/>
        <w:outlineLvl w:val="1"/>
        <w:rPr>
          <w:b/>
          <w:i/>
          <w:snapToGrid w:val="0"/>
          <w:spacing w:val="-2"/>
          <w:szCs w:val="20"/>
          <w:lang w:eastAsia="es-ES"/>
        </w:rPr>
      </w:pPr>
      <w:bookmarkStart w:id="84" w:name="_Toc36132101"/>
      <w:r w:rsidRPr="007F4688">
        <w:rPr>
          <w:b/>
          <w:i/>
          <w:snapToGrid w:val="0"/>
          <w:spacing w:val="-2"/>
          <w:szCs w:val="20"/>
          <w:lang w:eastAsia="es-ES"/>
        </w:rPr>
        <w:t>La muerte de Vicente Noguera</w:t>
      </w:r>
      <w:bookmarkEnd w:id="84"/>
    </w:p>
    <w:p w14:paraId="29B4F487" w14:textId="094CE293" w:rsidR="007F4688" w:rsidRPr="009E5AFA" w:rsidRDefault="007F4688" w:rsidP="0030400D">
      <w:pPr>
        <w:pStyle w:val="Prrafodelista"/>
        <w:numPr>
          <w:ilvl w:val="0"/>
          <w:numId w:val="2"/>
        </w:numPr>
        <w:tabs>
          <w:tab w:val="left" w:pos="630"/>
        </w:tabs>
        <w:spacing w:before="120" w:after="120"/>
        <w:ind w:left="0" w:hanging="28"/>
        <w:contextualSpacing w:val="0"/>
        <w:rPr>
          <w:rFonts w:eastAsiaTheme="minorHAnsi" w:cstheme="minorBidi"/>
          <w:szCs w:val="20"/>
        </w:rPr>
      </w:pPr>
      <w:r w:rsidRPr="009E5AFA">
        <w:rPr>
          <w:szCs w:val="20"/>
          <w:lang w:val="es-PE"/>
        </w:rPr>
        <w:t xml:space="preserve">Vicente </w:t>
      </w:r>
      <w:r w:rsidR="008265F6">
        <w:rPr>
          <w:szCs w:val="20"/>
          <w:lang w:val="es-PE"/>
        </w:rPr>
        <w:t xml:space="preserve">Ariel </w:t>
      </w:r>
      <w:r w:rsidRPr="009E5AFA">
        <w:rPr>
          <w:szCs w:val="20"/>
          <w:lang w:val="es-PE"/>
        </w:rPr>
        <w:t xml:space="preserve">Noguera nació el </w:t>
      </w:r>
      <w:r w:rsidR="00CA2A7D" w:rsidRPr="009E5AFA">
        <w:rPr>
          <w:szCs w:val="20"/>
          <w:lang w:val="es-PE"/>
        </w:rPr>
        <w:t xml:space="preserve">29 </w:t>
      </w:r>
      <w:r w:rsidRPr="009E5AFA">
        <w:rPr>
          <w:szCs w:val="20"/>
          <w:lang w:val="es-PE"/>
        </w:rPr>
        <w:t xml:space="preserve">de </w:t>
      </w:r>
      <w:r w:rsidR="00CA2A7D" w:rsidRPr="009E5AFA">
        <w:rPr>
          <w:szCs w:val="20"/>
          <w:lang w:val="es-PE"/>
        </w:rPr>
        <w:t xml:space="preserve">abril </w:t>
      </w:r>
      <w:r w:rsidRPr="009E5AFA">
        <w:rPr>
          <w:szCs w:val="20"/>
          <w:lang w:val="es-PE"/>
        </w:rPr>
        <w:t xml:space="preserve">de 1978 en Asunción, Paraguay. Tenía </w:t>
      </w:r>
      <w:r w:rsidR="00E3346C">
        <w:rPr>
          <w:szCs w:val="20"/>
          <w:lang w:val="es-PE"/>
        </w:rPr>
        <w:t>16</w:t>
      </w:r>
      <w:r w:rsidR="00E3346C" w:rsidRPr="009E5AFA">
        <w:rPr>
          <w:szCs w:val="20"/>
          <w:lang w:val="es-PE"/>
        </w:rPr>
        <w:t xml:space="preserve"> </w:t>
      </w:r>
      <w:r w:rsidRPr="009E5AFA">
        <w:rPr>
          <w:szCs w:val="20"/>
          <w:lang w:val="es-PE"/>
        </w:rPr>
        <w:t xml:space="preserve">años de edad cuando fue incorporado al Centro de Instrucción Militar para Estudiantes y Formación de Oficiales de Reserva (en adelante </w:t>
      </w:r>
      <w:r w:rsidR="008265F6">
        <w:rPr>
          <w:szCs w:val="20"/>
          <w:lang w:val="es-PE"/>
        </w:rPr>
        <w:t>“</w:t>
      </w:r>
      <w:r w:rsidRPr="009E5AFA">
        <w:rPr>
          <w:szCs w:val="20"/>
          <w:lang w:val="es-PE"/>
        </w:rPr>
        <w:t>CIMEFOR</w:t>
      </w:r>
      <w:r w:rsidR="008265F6">
        <w:rPr>
          <w:szCs w:val="20"/>
          <w:lang w:val="es-PE"/>
        </w:rPr>
        <w:t>”</w:t>
      </w:r>
      <w:r w:rsidRPr="009E5AFA">
        <w:rPr>
          <w:szCs w:val="20"/>
          <w:lang w:val="es-PE"/>
        </w:rPr>
        <w:t>)</w:t>
      </w:r>
      <w:r w:rsidR="00BE0E31">
        <w:rPr>
          <w:szCs w:val="20"/>
          <w:lang w:val="es-PE"/>
        </w:rPr>
        <w:t>,</w:t>
      </w:r>
      <w:r w:rsidR="00211006">
        <w:rPr>
          <w:szCs w:val="20"/>
          <w:lang w:val="es-PE"/>
        </w:rPr>
        <w:t xml:space="preserve"> el 1 de diciembre de 1994</w:t>
      </w:r>
      <w:r w:rsidR="00295A08">
        <w:rPr>
          <w:szCs w:val="20"/>
          <w:lang w:val="es-PE"/>
        </w:rPr>
        <w:t>,</w:t>
      </w:r>
      <w:r w:rsidR="00211006">
        <w:rPr>
          <w:szCs w:val="20"/>
          <w:lang w:val="es-PE"/>
        </w:rPr>
        <w:t xml:space="preserve"> tras ser declarado apto por la </w:t>
      </w:r>
      <w:r w:rsidR="00EA66B3">
        <w:rPr>
          <w:szCs w:val="20"/>
          <w:lang w:val="es-PE"/>
        </w:rPr>
        <w:t>Dirección de Reclutamiento y Movilización</w:t>
      </w:r>
      <w:r w:rsidR="00EA66B3">
        <w:rPr>
          <w:rStyle w:val="Refdenotaalpie"/>
          <w:lang w:val="es-PE"/>
        </w:rPr>
        <w:footnoteReference w:id="25"/>
      </w:r>
      <w:r w:rsidRPr="009E5AFA">
        <w:rPr>
          <w:szCs w:val="20"/>
          <w:lang w:val="es-PE"/>
        </w:rPr>
        <w:t xml:space="preserve">. </w:t>
      </w:r>
      <w:r w:rsidR="00F74FA7" w:rsidRPr="009E5AFA">
        <w:rPr>
          <w:rFonts w:eastAsia="Arial Unicode MS"/>
          <w:szCs w:val="20"/>
          <w:bdr w:val="nil"/>
        </w:rPr>
        <w:t xml:space="preserve">El </w:t>
      </w:r>
      <w:r w:rsidR="00BE184D">
        <w:rPr>
          <w:rFonts w:eastAsia="Arial Unicode MS"/>
          <w:szCs w:val="20"/>
          <w:bdr w:val="nil"/>
        </w:rPr>
        <w:t>reclutamiento</w:t>
      </w:r>
      <w:r w:rsidR="00BE184D" w:rsidRPr="009E5AFA">
        <w:rPr>
          <w:rFonts w:eastAsia="Arial Unicode MS"/>
          <w:szCs w:val="20"/>
          <w:bdr w:val="nil"/>
        </w:rPr>
        <w:t xml:space="preserve"> </w:t>
      </w:r>
      <w:r w:rsidR="00F74FA7" w:rsidRPr="009E5AFA">
        <w:rPr>
          <w:rFonts w:eastAsia="Arial Unicode MS"/>
          <w:szCs w:val="20"/>
          <w:bdr w:val="nil"/>
        </w:rPr>
        <w:t xml:space="preserve">contó con </w:t>
      </w:r>
      <w:r w:rsidR="0000066D">
        <w:rPr>
          <w:rFonts w:eastAsia="Arial Unicode MS"/>
          <w:szCs w:val="20"/>
          <w:bdr w:val="nil"/>
        </w:rPr>
        <w:t xml:space="preserve">la venia judicial otorgada por solicitud de su </w:t>
      </w:r>
      <w:r w:rsidR="00F74FA7" w:rsidRPr="009E5AFA">
        <w:rPr>
          <w:rFonts w:eastAsia="Arial Unicode MS"/>
          <w:szCs w:val="20"/>
          <w:bdr w:val="nil"/>
        </w:rPr>
        <w:t xml:space="preserve">madre, María </w:t>
      </w:r>
      <w:r w:rsidR="002B2459">
        <w:rPr>
          <w:rFonts w:eastAsia="Arial Unicode MS"/>
          <w:szCs w:val="20"/>
          <w:bdr w:val="nil"/>
        </w:rPr>
        <w:t xml:space="preserve">Ramona Isabel </w:t>
      </w:r>
      <w:r w:rsidR="00F74FA7" w:rsidRPr="009E5AFA">
        <w:rPr>
          <w:rFonts w:eastAsia="Arial Unicode MS"/>
          <w:szCs w:val="20"/>
          <w:bdr w:val="nil"/>
        </w:rPr>
        <w:t>Noguera Domínguez, quien al momento de los hechos se desempeñaba como modista y actualmente es activista dirigente de la Asociación de Familiares de Víctimas del Servicio Militar (“AFAVISEM”)</w:t>
      </w:r>
      <w:r w:rsidR="00BE184D">
        <w:rPr>
          <w:rStyle w:val="Refdenotaalpie"/>
          <w:rFonts w:eastAsia="Arial Unicode MS"/>
          <w:bdr w:val="nil"/>
        </w:rPr>
        <w:footnoteReference w:id="26"/>
      </w:r>
      <w:r w:rsidR="00F74FA7" w:rsidRPr="009E5AFA">
        <w:rPr>
          <w:rFonts w:eastAsia="Arial Unicode MS"/>
          <w:szCs w:val="20"/>
          <w:bdr w:val="nil"/>
        </w:rPr>
        <w:t xml:space="preserve">. </w:t>
      </w:r>
    </w:p>
    <w:p w14:paraId="74645DE0" w14:textId="2B64E13D" w:rsidR="00C01377" w:rsidRPr="00404C7B" w:rsidRDefault="00F54F0F" w:rsidP="00404C7B">
      <w:pPr>
        <w:pStyle w:val="Prrafodelista"/>
        <w:numPr>
          <w:ilvl w:val="0"/>
          <w:numId w:val="2"/>
        </w:numPr>
        <w:tabs>
          <w:tab w:val="left" w:pos="630"/>
        </w:tabs>
        <w:spacing w:before="120" w:after="120"/>
        <w:ind w:left="0" w:hanging="28"/>
        <w:contextualSpacing w:val="0"/>
        <w:rPr>
          <w:rFonts w:eastAsiaTheme="minorHAnsi" w:cstheme="minorBidi"/>
          <w:szCs w:val="20"/>
        </w:rPr>
      </w:pPr>
      <w:r w:rsidRPr="003B376F">
        <w:rPr>
          <w:rFonts w:eastAsia="Verdana" w:cs="Verdana"/>
          <w:szCs w:val="20"/>
        </w:rPr>
        <w:t xml:space="preserve">El </w:t>
      </w:r>
      <w:r>
        <w:rPr>
          <w:rFonts w:eastAsia="Verdana" w:cs="Verdana"/>
          <w:szCs w:val="20"/>
        </w:rPr>
        <w:t>2</w:t>
      </w:r>
      <w:r w:rsidRPr="003B376F">
        <w:rPr>
          <w:rFonts w:eastAsia="Verdana" w:cs="Verdana"/>
          <w:szCs w:val="20"/>
        </w:rPr>
        <w:t xml:space="preserve"> de enero de </w:t>
      </w:r>
      <w:r>
        <w:rPr>
          <w:rFonts w:eastAsia="Verdana" w:cs="Verdana"/>
          <w:szCs w:val="20"/>
        </w:rPr>
        <w:t>1996</w:t>
      </w:r>
      <w:r w:rsidRPr="003B376F">
        <w:rPr>
          <w:rFonts w:eastAsia="Verdana" w:cs="Verdana"/>
          <w:szCs w:val="20"/>
        </w:rPr>
        <w:t xml:space="preserve">, </w:t>
      </w:r>
      <w:r>
        <w:rPr>
          <w:rFonts w:eastAsia="Verdana" w:cs="Verdana"/>
          <w:szCs w:val="20"/>
        </w:rPr>
        <w:t xml:space="preserve">mientras se encontraba cursando el segundo año de servicio militar, </w:t>
      </w:r>
      <w:r w:rsidR="008265F6">
        <w:rPr>
          <w:rFonts w:eastAsia="Verdana" w:cs="Verdana"/>
          <w:szCs w:val="20"/>
        </w:rPr>
        <w:t>Vicente Noguera</w:t>
      </w:r>
      <w:r>
        <w:rPr>
          <w:rFonts w:eastAsia="Verdana" w:cs="Verdana"/>
          <w:szCs w:val="20"/>
        </w:rPr>
        <w:t xml:space="preserve"> fue trasladad</w:t>
      </w:r>
      <w:r w:rsidR="008265F6">
        <w:rPr>
          <w:rFonts w:eastAsia="Verdana" w:cs="Verdana"/>
          <w:szCs w:val="20"/>
        </w:rPr>
        <w:t>o</w:t>
      </w:r>
      <w:r>
        <w:rPr>
          <w:rFonts w:eastAsia="Verdana" w:cs="Verdana"/>
          <w:szCs w:val="20"/>
        </w:rPr>
        <w:t xml:space="preserve"> a la III Compañía de la Agrupación CIMEFOR</w:t>
      </w:r>
      <w:r w:rsidRPr="005138EE">
        <w:rPr>
          <w:szCs w:val="20"/>
          <w:lang w:val="es-PE"/>
        </w:rPr>
        <w:t xml:space="preserve"> </w:t>
      </w:r>
      <w:r w:rsidRPr="009E5AFA">
        <w:rPr>
          <w:szCs w:val="20"/>
          <w:lang w:val="es-PE"/>
        </w:rPr>
        <w:t>en Mariscal Estigarribia</w:t>
      </w:r>
      <w:r>
        <w:rPr>
          <w:rFonts w:eastAsia="Verdana" w:cs="Verdana"/>
          <w:szCs w:val="20"/>
        </w:rPr>
        <w:t xml:space="preserve">, en el Chaco Paraguayo. </w:t>
      </w:r>
      <w:r w:rsidR="001021B7" w:rsidRPr="003E35A2">
        <w:rPr>
          <w:rFonts w:cs="Batang"/>
          <w:szCs w:val="20"/>
        </w:rPr>
        <w:t>Vicente Noguera</w:t>
      </w:r>
      <w:r w:rsidR="00B87B80" w:rsidRPr="003E35A2">
        <w:rPr>
          <w:rFonts w:cs="Batang"/>
          <w:szCs w:val="20"/>
        </w:rPr>
        <w:t xml:space="preserve"> falleci</w:t>
      </w:r>
      <w:r w:rsidR="001021B7" w:rsidRPr="003E35A2">
        <w:rPr>
          <w:rFonts w:cs="Batang"/>
          <w:szCs w:val="20"/>
        </w:rPr>
        <w:t>ó</w:t>
      </w:r>
      <w:r w:rsidR="00B87B80" w:rsidRPr="003E35A2">
        <w:rPr>
          <w:rFonts w:cs="Batang"/>
          <w:szCs w:val="20"/>
        </w:rPr>
        <w:t xml:space="preserve"> el </w:t>
      </w:r>
      <w:r w:rsidR="001021B7" w:rsidRPr="003E35A2">
        <w:rPr>
          <w:rFonts w:cs="Batang"/>
          <w:szCs w:val="20"/>
        </w:rPr>
        <w:t>11</w:t>
      </w:r>
      <w:r w:rsidR="00B87B80" w:rsidRPr="003E35A2">
        <w:rPr>
          <w:rFonts w:cs="Batang"/>
          <w:szCs w:val="20"/>
        </w:rPr>
        <w:t xml:space="preserve"> de enero del </w:t>
      </w:r>
      <w:r w:rsidR="00B87B80" w:rsidRPr="003E35A2">
        <w:rPr>
          <w:rFonts w:cs="Batang"/>
          <w:szCs w:val="20"/>
        </w:rPr>
        <w:lastRenderedPageBreak/>
        <w:t xml:space="preserve">año </w:t>
      </w:r>
      <w:r w:rsidR="001021B7" w:rsidRPr="003E35A2">
        <w:rPr>
          <w:rFonts w:cs="Batang"/>
          <w:szCs w:val="20"/>
        </w:rPr>
        <w:t>1996</w:t>
      </w:r>
      <w:r w:rsidR="00B87B80" w:rsidRPr="003E35A2">
        <w:rPr>
          <w:rFonts w:cs="Batang"/>
          <w:szCs w:val="20"/>
        </w:rPr>
        <w:t xml:space="preserve"> en </w:t>
      </w:r>
      <w:r w:rsidR="009D4D4F" w:rsidRPr="003E35A2">
        <w:rPr>
          <w:rFonts w:cs="Batang"/>
          <w:szCs w:val="20"/>
        </w:rPr>
        <w:t>la</w:t>
      </w:r>
      <w:r w:rsidR="008265F6">
        <w:rPr>
          <w:rFonts w:cs="Batang"/>
          <w:szCs w:val="20"/>
        </w:rPr>
        <w:t>s instalaciones de la</w:t>
      </w:r>
      <w:r w:rsidR="009D4D4F" w:rsidRPr="003E35A2">
        <w:rPr>
          <w:rFonts w:cs="Batang"/>
          <w:szCs w:val="20"/>
        </w:rPr>
        <w:t xml:space="preserve"> III Compañía de la Agrupación </w:t>
      </w:r>
      <w:r w:rsidR="00272761" w:rsidRPr="003E35A2">
        <w:rPr>
          <w:rFonts w:cs="Batang"/>
          <w:szCs w:val="20"/>
        </w:rPr>
        <w:t xml:space="preserve">CIMEFOR </w:t>
      </w:r>
      <w:r w:rsidR="009D4D4F" w:rsidRPr="003E35A2">
        <w:rPr>
          <w:rFonts w:cs="Batang"/>
          <w:szCs w:val="20"/>
        </w:rPr>
        <w:t>en Mariscal Estigarribia, en el Chaco Paraguayo</w:t>
      </w:r>
      <w:r w:rsidR="00B87B80" w:rsidRPr="003E35A2">
        <w:rPr>
          <w:rFonts w:cs="Batang"/>
          <w:szCs w:val="20"/>
        </w:rPr>
        <w:t xml:space="preserve">. </w:t>
      </w:r>
      <w:r>
        <w:rPr>
          <w:rFonts w:eastAsia="Verdana" w:cs="Verdana"/>
          <w:szCs w:val="20"/>
        </w:rPr>
        <w:t xml:space="preserve">El último día que </w:t>
      </w:r>
      <w:r w:rsidR="008265F6">
        <w:rPr>
          <w:rFonts w:eastAsia="Verdana" w:cs="Verdana"/>
          <w:szCs w:val="20"/>
        </w:rPr>
        <w:t>Vicente Noguera</w:t>
      </w:r>
      <w:r>
        <w:rPr>
          <w:rFonts w:eastAsia="Verdana" w:cs="Verdana"/>
          <w:szCs w:val="20"/>
        </w:rPr>
        <w:t xml:space="preserve"> fue vist</w:t>
      </w:r>
      <w:r w:rsidR="008265F6">
        <w:rPr>
          <w:rFonts w:eastAsia="Verdana" w:cs="Verdana"/>
          <w:szCs w:val="20"/>
        </w:rPr>
        <w:t>o</w:t>
      </w:r>
      <w:r>
        <w:rPr>
          <w:rFonts w:eastAsia="Verdana" w:cs="Verdana"/>
          <w:szCs w:val="20"/>
        </w:rPr>
        <w:t xml:space="preserve"> con vida fue el 10 de enero de 1996, cuando estuvo presente en las actividades físicas del entrenamiento premilitar. </w:t>
      </w:r>
      <w:r w:rsidR="00B87B80" w:rsidRPr="003E35A2">
        <w:rPr>
          <w:rFonts w:cs="Batang"/>
          <w:szCs w:val="20"/>
        </w:rPr>
        <w:t xml:space="preserve">Sin embargo, </w:t>
      </w:r>
      <w:r w:rsidRPr="003B376F">
        <w:rPr>
          <w:rFonts w:cs="Verdana"/>
          <w:color w:val="000000"/>
          <w:szCs w:val="20"/>
          <w:lang w:val="es-ES"/>
        </w:rPr>
        <w:t xml:space="preserve">de la prueba aportada y lo alegado, </w:t>
      </w:r>
      <w:r w:rsidR="00B87B80" w:rsidRPr="003E35A2">
        <w:rPr>
          <w:rFonts w:cs="Batang"/>
          <w:szCs w:val="20"/>
        </w:rPr>
        <w:t xml:space="preserve">existen dos versiones </w:t>
      </w:r>
      <w:r w:rsidR="003E35A2" w:rsidRPr="003E35A2">
        <w:rPr>
          <w:rFonts w:cs="Batang"/>
          <w:szCs w:val="20"/>
        </w:rPr>
        <w:t xml:space="preserve">diferentes </w:t>
      </w:r>
      <w:r w:rsidR="00B87B80" w:rsidRPr="003E35A2">
        <w:rPr>
          <w:rFonts w:cs="Batang"/>
          <w:szCs w:val="20"/>
        </w:rPr>
        <w:t>sobre las circunstancias en las cuales se desarrollaron los hechos.</w:t>
      </w:r>
    </w:p>
    <w:p w14:paraId="7D5B624B" w14:textId="15CE3166" w:rsidR="00F54F0F" w:rsidRPr="005B155B" w:rsidRDefault="00F54F0F" w:rsidP="00404C7B">
      <w:pPr>
        <w:pStyle w:val="Prrafodelista"/>
        <w:numPr>
          <w:ilvl w:val="0"/>
          <w:numId w:val="2"/>
        </w:numPr>
        <w:tabs>
          <w:tab w:val="left" w:pos="630"/>
        </w:tabs>
        <w:spacing w:before="120" w:after="120"/>
        <w:ind w:left="0" w:hanging="28"/>
        <w:contextualSpacing w:val="0"/>
        <w:rPr>
          <w:i/>
          <w:szCs w:val="20"/>
          <w:lang w:val="es-PE"/>
        </w:rPr>
      </w:pPr>
      <w:r w:rsidRPr="005B155B">
        <w:rPr>
          <w:rFonts w:eastAsia="Calibri" w:cs="Times New Roman"/>
          <w:szCs w:val="20"/>
          <w:lang w:val="es-AR"/>
        </w:rPr>
        <w:t xml:space="preserve">Una primera versión, alegada por </w:t>
      </w:r>
      <w:r w:rsidR="00AC4211" w:rsidRPr="005B155B">
        <w:rPr>
          <w:rFonts w:eastAsia="Calibri" w:cs="Times New Roman"/>
          <w:szCs w:val="20"/>
          <w:lang w:val="es-AR"/>
        </w:rPr>
        <w:t>los representantes</w:t>
      </w:r>
      <w:r w:rsidRPr="005B155B">
        <w:rPr>
          <w:rFonts w:eastAsia="Calibri" w:cs="Times New Roman"/>
          <w:szCs w:val="20"/>
          <w:lang w:val="es-AR"/>
        </w:rPr>
        <w:t xml:space="preserve">, y consignada en el Informe de Fondo como en el ESAP, considera que la muerte de Vicente Noguera se produjo de </w:t>
      </w:r>
      <w:r w:rsidRPr="005B155B">
        <w:rPr>
          <w:rFonts w:cs="Batang"/>
          <w:szCs w:val="20"/>
        </w:rPr>
        <w:t>manera</w:t>
      </w:r>
      <w:r w:rsidRPr="005B155B">
        <w:rPr>
          <w:rFonts w:eastAsia="Calibri" w:cs="Times New Roman"/>
          <w:szCs w:val="20"/>
          <w:lang w:val="es-AR"/>
        </w:rPr>
        <w:t xml:space="preserve"> violenta</w:t>
      </w:r>
      <w:r w:rsidR="00C01377" w:rsidRPr="005B155B">
        <w:rPr>
          <w:rFonts w:eastAsia="Calibri" w:cs="Times New Roman"/>
          <w:szCs w:val="20"/>
          <w:lang w:val="es-AR"/>
        </w:rPr>
        <w:t xml:space="preserve"> luego de haber sido sometido a</w:t>
      </w:r>
      <w:r w:rsidRPr="005B155B">
        <w:rPr>
          <w:rFonts w:eastAsia="Calibri" w:cs="Times New Roman"/>
          <w:szCs w:val="20"/>
          <w:lang w:val="es-AR"/>
        </w:rPr>
        <w:t xml:space="preserve"> malos tratos y </w:t>
      </w:r>
      <w:r w:rsidR="00C01377" w:rsidRPr="005B155B">
        <w:rPr>
          <w:rFonts w:eastAsia="Calibri" w:cs="Times New Roman"/>
          <w:szCs w:val="20"/>
          <w:lang w:val="es-AR"/>
        </w:rPr>
        <w:t>ejercicios excesivos (“</w:t>
      </w:r>
      <w:proofErr w:type="spellStart"/>
      <w:r w:rsidR="00C01377" w:rsidRPr="005B155B">
        <w:rPr>
          <w:rFonts w:eastAsia="Calibri" w:cs="Times New Roman"/>
          <w:szCs w:val="20"/>
          <w:lang w:val="es-AR"/>
        </w:rPr>
        <w:t>descuereo</w:t>
      </w:r>
      <w:proofErr w:type="spellEnd"/>
      <w:r w:rsidR="00C01377" w:rsidRPr="005B155B">
        <w:rPr>
          <w:rFonts w:eastAsia="Calibri" w:cs="Times New Roman"/>
          <w:szCs w:val="20"/>
          <w:lang w:val="es-AR"/>
        </w:rPr>
        <w:t>”</w:t>
      </w:r>
      <w:r w:rsidR="008D1859" w:rsidRPr="005B155B">
        <w:rPr>
          <w:rFonts w:eastAsia="Calibri" w:cs="Times New Roman"/>
          <w:szCs w:val="20"/>
          <w:vertAlign w:val="superscript"/>
          <w:lang w:val="es-AR"/>
        </w:rPr>
        <w:footnoteReference w:id="27"/>
      </w:r>
      <w:r w:rsidR="00C01377" w:rsidRPr="005B155B">
        <w:rPr>
          <w:rFonts w:eastAsia="Calibri" w:cs="Times New Roman"/>
          <w:szCs w:val="20"/>
          <w:lang w:val="es-AR"/>
        </w:rPr>
        <w:t>)</w:t>
      </w:r>
      <w:r w:rsidRPr="005B155B">
        <w:rPr>
          <w:rFonts w:eastAsia="Calibri" w:cs="Times New Roman"/>
          <w:szCs w:val="20"/>
          <w:lang w:val="es-AR"/>
        </w:rPr>
        <w:t xml:space="preserve"> por parte de </w:t>
      </w:r>
      <w:r w:rsidR="00AC4211" w:rsidRPr="005B155B">
        <w:rPr>
          <w:rFonts w:eastAsia="Calibri" w:cs="Times New Roman"/>
          <w:szCs w:val="20"/>
          <w:lang w:val="es-AR"/>
        </w:rPr>
        <w:t xml:space="preserve">miembros superiores </w:t>
      </w:r>
      <w:r w:rsidR="00C01377" w:rsidRPr="005B155B">
        <w:rPr>
          <w:rFonts w:eastAsia="Calibri" w:cs="Times New Roman"/>
          <w:szCs w:val="20"/>
          <w:lang w:val="es-AR"/>
        </w:rPr>
        <w:t xml:space="preserve">integrantes del </w:t>
      </w:r>
      <w:r w:rsidRPr="005B155B">
        <w:rPr>
          <w:rFonts w:eastAsia="Calibri" w:cs="Times New Roman"/>
          <w:szCs w:val="20"/>
          <w:lang w:val="es-AR"/>
        </w:rPr>
        <w:t xml:space="preserve">CIMEFOR. </w:t>
      </w:r>
      <w:r w:rsidR="00232F5E" w:rsidRPr="005B155B">
        <w:rPr>
          <w:rFonts w:eastAsia="Calibri" w:cs="Times New Roman"/>
          <w:szCs w:val="20"/>
          <w:lang w:val="es-AR"/>
        </w:rPr>
        <w:t>Según se alegó</w:t>
      </w:r>
      <w:r w:rsidR="00AC4211" w:rsidRPr="005B155B">
        <w:rPr>
          <w:rFonts w:eastAsia="Calibri" w:cs="Times New Roman"/>
          <w:szCs w:val="20"/>
          <w:lang w:val="es-AR"/>
        </w:rPr>
        <w:t xml:space="preserve">, </w:t>
      </w:r>
      <w:r w:rsidRPr="005B155B">
        <w:rPr>
          <w:rFonts w:eastAsia="Calibri" w:cs="Times New Roman"/>
          <w:szCs w:val="20"/>
          <w:lang w:val="es-AR"/>
        </w:rPr>
        <w:t xml:space="preserve">compañeros de </w:t>
      </w:r>
      <w:r w:rsidR="008265F6">
        <w:rPr>
          <w:rFonts w:eastAsia="Calibri" w:cs="Times New Roman"/>
          <w:szCs w:val="20"/>
          <w:lang w:val="es-AR"/>
        </w:rPr>
        <w:t>Vicente Noguera</w:t>
      </w:r>
      <w:r w:rsidRPr="005B155B">
        <w:rPr>
          <w:rFonts w:eastAsia="Calibri" w:cs="Times New Roman"/>
          <w:szCs w:val="20"/>
          <w:lang w:val="es-AR"/>
        </w:rPr>
        <w:t xml:space="preserve">, habrían </w:t>
      </w:r>
      <w:r w:rsidR="008265F6">
        <w:rPr>
          <w:rFonts w:eastAsia="Calibri" w:cs="Times New Roman"/>
          <w:szCs w:val="20"/>
          <w:lang w:val="es-AR"/>
        </w:rPr>
        <w:t>manifestado</w:t>
      </w:r>
      <w:r w:rsidRPr="005B155B">
        <w:rPr>
          <w:rFonts w:eastAsia="Calibri" w:cs="Times New Roman"/>
          <w:szCs w:val="20"/>
          <w:lang w:val="es-AR"/>
        </w:rPr>
        <w:t xml:space="preserve"> inicialmente </w:t>
      </w:r>
      <w:r w:rsidR="00AC4211" w:rsidRPr="005B155B">
        <w:rPr>
          <w:rFonts w:eastAsia="Calibri" w:cs="Times New Roman"/>
          <w:szCs w:val="20"/>
          <w:lang w:val="es-AR"/>
        </w:rPr>
        <w:t xml:space="preserve">a María Noguera </w:t>
      </w:r>
      <w:r w:rsidRPr="005B155B">
        <w:rPr>
          <w:rFonts w:eastAsia="Calibri" w:cs="Times New Roman"/>
          <w:szCs w:val="20"/>
          <w:lang w:val="es-AR"/>
        </w:rPr>
        <w:t xml:space="preserve">que vieron cómo patearon </w:t>
      </w:r>
      <w:r w:rsidR="00AC4211" w:rsidRPr="005B155B">
        <w:rPr>
          <w:rFonts w:eastAsia="Calibri" w:cs="Times New Roman"/>
          <w:szCs w:val="20"/>
          <w:lang w:val="es-AR"/>
        </w:rPr>
        <w:t xml:space="preserve">el cuerpo de </w:t>
      </w:r>
      <w:r w:rsidR="008265F6">
        <w:rPr>
          <w:rFonts w:eastAsia="Calibri" w:cs="Times New Roman"/>
          <w:szCs w:val="20"/>
          <w:lang w:val="es-AR"/>
        </w:rPr>
        <w:t>su hijo</w:t>
      </w:r>
      <w:r w:rsidRPr="005B155B">
        <w:rPr>
          <w:rFonts w:eastAsia="Calibri" w:cs="Times New Roman"/>
          <w:szCs w:val="20"/>
          <w:lang w:val="es-AR"/>
        </w:rPr>
        <w:t xml:space="preserve">, lo torturaron y lo encerraron en un calabozo para castigarlo. Asimismo, de acuerdo a esta misma versión, se oyeron gritos y quejidos, sin precisar si ocurrieron dentro o fuera de la </w:t>
      </w:r>
      <w:r w:rsidR="005B155B" w:rsidRPr="005B155B">
        <w:rPr>
          <w:rFonts w:eastAsia="Calibri" w:cs="Times New Roman"/>
          <w:szCs w:val="20"/>
          <w:lang w:val="es-AR"/>
        </w:rPr>
        <w:t>es</w:t>
      </w:r>
      <w:r w:rsidRPr="005B155B">
        <w:rPr>
          <w:rFonts w:eastAsia="Calibri" w:cs="Times New Roman"/>
          <w:szCs w:val="20"/>
          <w:lang w:val="es-AR"/>
        </w:rPr>
        <w:t xml:space="preserve">cuadra donde descansaban. </w:t>
      </w:r>
      <w:r w:rsidRPr="005B155B">
        <w:rPr>
          <w:rFonts w:eastAsia="Calibri" w:cs="Times New Roman"/>
          <w:szCs w:val="20"/>
          <w:lang w:val="es-PE"/>
        </w:rPr>
        <w:t xml:space="preserve">Según esta versión, habría habido un </w:t>
      </w:r>
      <w:r w:rsidRPr="005B155B">
        <w:rPr>
          <w:rFonts w:eastAsia="Calibri" w:cs="Times New Roman"/>
          <w:szCs w:val="20"/>
          <w:lang w:val="es-AR"/>
        </w:rPr>
        <w:t>pacto de silencio entre cabos  aspirantes quienes habrían sido amenazados con ser dados de baja si decían la verdad a las autoridades que investigaban los hechos</w:t>
      </w:r>
      <w:r w:rsidR="00232F5E" w:rsidRPr="005B155B">
        <w:rPr>
          <w:rStyle w:val="Refdenotaalpie"/>
          <w:rFonts w:eastAsia="Calibri"/>
          <w:lang w:val="es-AR"/>
        </w:rPr>
        <w:footnoteReference w:id="28"/>
      </w:r>
      <w:r w:rsidRPr="005B155B">
        <w:rPr>
          <w:rFonts w:eastAsia="Calibri" w:cs="Times New Roman"/>
          <w:szCs w:val="20"/>
          <w:lang w:val="es-AR"/>
        </w:rPr>
        <w:t>.</w:t>
      </w:r>
    </w:p>
    <w:p w14:paraId="35D6DDBE" w14:textId="051B48B1" w:rsidR="00F54F0F" w:rsidRPr="00425903" w:rsidRDefault="00F54F0F" w:rsidP="00404C7B">
      <w:pPr>
        <w:pStyle w:val="Prrafodelista"/>
        <w:numPr>
          <w:ilvl w:val="0"/>
          <w:numId w:val="2"/>
        </w:numPr>
        <w:tabs>
          <w:tab w:val="left" w:pos="630"/>
        </w:tabs>
        <w:spacing w:before="120" w:after="120"/>
        <w:ind w:left="0" w:hanging="28"/>
        <w:contextualSpacing w:val="0"/>
        <w:rPr>
          <w:rFonts w:eastAsia="Verdana" w:cs="Verdana"/>
          <w:szCs w:val="20"/>
        </w:rPr>
      </w:pPr>
      <w:r w:rsidRPr="00D25DA8">
        <w:rPr>
          <w:rFonts w:eastAsia="Calibri" w:cs="Times New Roman"/>
          <w:szCs w:val="20"/>
          <w:lang w:val="es-AR"/>
        </w:rPr>
        <w:t xml:space="preserve">Por otra parte, </w:t>
      </w:r>
      <w:r>
        <w:rPr>
          <w:rFonts w:eastAsia="Calibri" w:cs="Times New Roman"/>
          <w:szCs w:val="20"/>
          <w:lang w:val="es-AR"/>
        </w:rPr>
        <w:t xml:space="preserve">los representantes señalaron </w:t>
      </w:r>
      <w:r w:rsidRPr="00D25DA8">
        <w:rPr>
          <w:rFonts w:eastAsia="Calibri" w:cs="Times New Roman"/>
          <w:szCs w:val="20"/>
          <w:lang w:val="es-AR"/>
        </w:rPr>
        <w:t xml:space="preserve">que desde el primer momento </w:t>
      </w:r>
      <w:r w:rsidRPr="00404C7B">
        <w:rPr>
          <w:rFonts w:cs="Batang"/>
          <w:szCs w:val="20"/>
        </w:rPr>
        <w:t>tuvieron</w:t>
      </w:r>
      <w:r>
        <w:rPr>
          <w:rFonts w:eastAsia="Calibri" w:cs="Times New Roman"/>
          <w:szCs w:val="20"/>
          <w:lang w:val="es-AR"/>
        </w:rPr>
        <w:t xml:space="preserve"> dudas acerca</w:t>
      </w:r>
      <w:r w:rsidRPr="00D25DA8">
        <w:rPr>
          <w:rFonts w:eastAsia="Calibri" w:cs="Times New Roman"/>
          <w:szCs w:val="20"/>
          <w:lang w:val="es-AR"/>
        </w:rPr>
        <w:t xml:space="preserve"> de las circunstancias en las que se produjo la muerte de </w:t>
      </w:r>
      <w:r>
        <w:rPr>
          <w:rFonts w:eastAsia="Calibri" w:cs="Times New Roman"/>
          <w:szCs w:val="20"/>
          <w:lang w:val="es-AR"/>
        </w:rPr>
        <w:t>Vicente</w:t>
      </w:r>
      <w:r w:rsidR="008265F6">
        <w:rPr>
          <w:rFonts w:eastAsia="Calibri" w:cs="Times New Roman"/>
          <w:szCs w:val="20"/>
          <w:lang w:val="es-AR"/>
        </w:rPr>
        <w:t xml:space="preserve"> Noguera</w:t>
      </w:r>
      <w:r w:rsidRPr="00D25DA8">
        <w:rPr>
          <w:rFonts w:eastAsia="Calibri" w:cs="Times New Roman"/>
          <w:szCs w:val="20"/>
          <w:lang w:val="es-AR"/>
        </w:rPr>
        <w:t xml:space="preserve">, puesto que, como se advierte en el </w:t>
      </w:r>
      <w:r>
        <w:rPr>
          <w:rFonts w:eastAsia="Calibri" w:cs="Times New Roman"/>
          <w:szCs w:val="20"/>
          <w:lang w:val="es-AR"/>
        </w:rPr>
        <w:t>parte</w:t>
      </w:r>
      <w:r w:rsidRPr="00D25DA8">
        <w:rPr>
          <w:rFonts w:eastAsia="Calibri" w:cs="Times New Roman"/>
          <w:szCs w:val="20"/>
          <w:lang w:val="es-AR"/>
        </w:rPr>
        <w:t xml:space="preserve"> médico para ingresar a la CIMEFOR</w:t>
      </w:r>
      <w:r w:rsidRPr="00D25DA8">
        <w:rPr>
          <w:rFonts w:eastAsia="Calibri" w:cs="Times New Roman"/>
          <w:szCs w:val="20"/>
          <w:vertAlign w:val="superscript"/>
          <w:lang w:val="es-AR"/>
        </w:rPr>
        <w:footnoteReference w:id="29"/>
      </w:r>
      <w:r w:rsidRPr="00D25DA8">
        <w:rPr>
          <w:rFonts w:eastAsia="Calibri" w:cs="Times New Roman"/>
          <w:szCs w:val="20"/>
          <w:lang w:val="es-AR"/>
        </w:rPr>
        <w:t xml:space="preserve"> y en el informe de fallecimiento</w:t>
      </w:r>
      <w:r w:rsidRPr="00D25DA8">
        <w:rPr>
          <w:rFonts w:eastAsia="Calibri" w:cs="Times New Roman"/>
          <w:szCs w:val="20"/>
          <w:vertAlign w:val="superscript"/>
          <w:lang w:val="es-AR"/>
        </w:rPr>
        <w:footnoteReference w:id="30"/>
      </w:r>
      <w:r w:rsidRPr="00D25DA8">
        <w:rPr>
          <w:rFonts w:eastAsia="Calibri" w:cs="Times New Roman"/>
          <w:szCs w:val="20"/>
          <w:lang w:val="es-AR"/>
        </w:rPr>
        <w:t xml:space="preserve">, gozaba de buen estado físico </w:t>
      </w:r>
      <w:r w:rsidR="00420696">
        <w:rPr>
          <w:rFonts w:eastAsia="Calibri" w:cs="Times New Roman"/>
          <w:szCs w:val="20"/>
          <w:lang w:val="es-AR"/>
        </w:rPr>
        <w:t>y no demostró síntomas de afección o bajo rendimiento para ser internado o medicado</w:t>
      </w:r>
      <w:r w:rsidRPr="00D25DA8">
        <w:rPr>
          <w:rFonts w:eastAsia="Calibri" w:cs="Times New Roman"/>
          <w:szCs w:val="20"/>
          <w:lang w:val="es-AR"/>
        </w:rPr>
        <w:t>. A su vez, al momento de llevar el cuerpo al centro médico para realizar la autopsia, sus familiares habrían advertido que presentaba un golpe en la cabeza y rastros de sangre en su ropa interior, lo que resulta indicativo de que podría haber sufrido violencia sexual; no obstante, no se brindó una explicación v</w:t>
      </w:r>
      <w:r w:rsidR="008265F6">
        <w:rPr>
          <w:rFonts w:eastAsia="Calibri" w:cs="Times New Roman"/>
          <w:szCs w:val="20"/>
          <w:lang w:val="es-AR"/>
        </w:rPr>
        <w:t>á</w:t>
      </w:r>
      <w:r w:rsidRPr="00D25DA8">
        <w:rPr>
          <w:rFonts w:eastAsia="Calibri" w:cs="Times New Roman"/>
          <w:szCs w:val="20"/>
          <w:lang w:val="es-AR"/>
        </w:rPr>
        <w:t>lida y razonable al respecto</w:t>
      </w:r>
      <w:r w:rsidRPr="00D25DA8">
        <w:rPr>
          <w:rFonts w:eastAsia="Calibri" w:cs="Times New Roman"/>
          <w:szCs w:val="20"/>
          <w:vertAlign w:val="superscript"/>
          <w:lang w:val="es-AR"/>
        </w:rPr>
        <w:footnoteReference w:id="31"/>
      </w:r>
      <w:r w:rsidRPr="00D25DA8">
        <w:rPr>
          <w:rFonts w:eastAsia="Calibri" w:cs="Times New Roman"/>
          <w:szCs w:val="20"/>
          <w:lang w:val="es-AR"/>
        </w:rPr>
        <w:t>.</w:t>
      </w:r>
    </w:p>
    <w:p w14:paraId="0F059DAA" w14:textId="49C56E67" w:rsidR="00F54F0F" w:rsidRDefault="00F54F0F" w:rsidP="00404C7B">
      <w:pPr>
        <w:pStyle w:val="Prrafodelista"/>
        <w:numPr>
          <w:ilvl w:val="0"/>
          <w:numId w:val="2"/>
        </w:numPr>
        <w:tabs>
          <w:tab w:val="left" w:pos="630"/>
        </w:tabs>
        <w:spacing w:before="120" w:after="120"/>
        <w:ind w:left="0" w:hanging="28"/>
        <w:contextualSpacing w:val="0"/>
        <w:rPr>
          <w:rFonts w:eastAsia="Verdana" w:cs="Verdana"/>
          <w:szCs w:val="20"/>
          <w:lang w:val="es-CR"/>
        </w:rPr>
      </w:pPr>
      <w:r>
        <w:rPr>
          <w:rFonts w:eastAsia="Verdana" w:cs="Verdana"/>
          <w:szCs w:val="20"/>
        </w:rPr>
        <w:t>U</w:t>
      </w:r>
      <w:r w:rsidRPr="00425903">
        <w:rPr>
          <w:rFonts w:eastAsia="Verdana" w:cs="Verdana"/>
          <w:szCs w:val="20"/>
        </w:rPr>
        <w:t xml:space="preserve">na segunda versión, que se desprende de las declaraciones de 21 cabos aspirantes y del Teniente Germán Alcaraz señala que el día previo a </w:t>
      </w:r>
      <w:r w:rsidR="008265F6">
        <w:rPr>
          <w:rFonts w:eastAsia="Verdana" w:cs="Verdana"/>
          <w:szCs w:val="20"/>
        </w:rPr>
        <w:t>su</w:t>
      </w:r>
      <w:r w:rsidRPr="00425903">
        <w:rPr>
          <w:rFonts w:eastAsia="Verdana" w:cs="Verdana"/>
          <w:szCs w:val="20"/>
        </w:rPr>
        <w:t xml:space="preserve"> muerte transcurrió con normalidad, que no recibió ningún castigo y tenía un</w:t>
      </w:r>
      <w:r>
        <w:rPr>
          <w:rFonts w:eastAsia="Verdana" w:cs="Verdana"/>
          <w:szCs w:val="20"/>
        </w:rPr>
        <w:t xml:space="preserve"> buen</w:t>
      </w:r>
      <w:r w:rsidRPr="00425903">
        <w:rPr>
          <w:rFonts w:eastAsia="Verdana" w:cs="Verdana"/>
          <w:szCs w:val="20"/>
        </w:rPr>
        <w:t xml:space="preserve"> estado </w:t>
      </w:r>
      <w:r>
        <w:rPr>
          <w:rFonts w:eastAsia="Verdana" w:cs="Verdana"/>
          <w:szCs w:val="20"/>
        </w:rPr>
        <w:t>de salud física</w:t>
      </w:r>
      <w:r w:rsidRPr="00D25DA8">
        <w:rPr>
          <w:rFonts w:eastAsia="Calibri" w:cs="Times New Roman"/>
          <w:szCs w:val="20"/>
          <w:vertAlign w:val="superscript"/>
          <w:lang w:val="es-AR"/>
        </w:rPr>
        <w:footnoteReference w:id="32"/>
      </w:r>
      <w:r w:rsidRPr="00425903">
        <w:rPr>
          <w:rFonts w:eastAsia="Verdana" w:cs="Verdana"/>
          <w:szCs w:val="20"/>
        </w:rPr>
        <w:t xml:space="preserve">. De igual manera, </w:t>
      </w:r>
      <w:r w:rsidR="003723E4">
        <w:rPr>
          <w:rFonts w:eastAsia="Verdana" w:cs="Verdana"/>
          <w:szCs w:val="20"/>
        </w:rPr>
        <w:t>en el informe de fallecimiento que fue</w:t>
      </w:r>
      <w:r w:rsidRPr="00425903">
        <w:rPr>
          <w:rFonts w:eastAsia="Verdana" w:cs="Verdana"/>
          <w:szCs w:val="20"/>
        </w:rPr>
        <w:t xml:space="preserve"> elev</w:t>
      </w:r>
      <w:r w:rsidR="003723E4">
        <w:rPr>
          <w:rFonts w:eastAsia="Verdana" w:cs="Verdana"/>
          <w:szCs w:val="20"/>
        </w:rPr>
        <w:t>ado</w:t>
      </w:r>
      <w:r w:rsidRPr="00425903">
        <w:rPr>
          <w:rFonts w:eastAsia="Verdana" w:cs="Verdana"/>
          <w:szCs w:val="20"/>
        </w:rPr>
        <w:t xml:space="preserve"> al Comandante de la III Co</w:t>
      </w:r>
      <w:r w:rsidR="003723E4">
        <w:rPr>
          <w:rFonts w:eastAsia="Verdana" w:cs="Verdana"/>
          <w:szCs w:val="20"/>
        </w:rPr>
        <w:t xml:space="preserve">mpañía de la Agrupación CIMEFOR, </w:t>
      </w:r>
      <w:r w:rsidRPr="00425903">
        <w:rPr>
          <w:rFonts w:eastAsia="Verdana" w:cs="Verdana"/>
          <w:szCs w:val="20"/>
        </w:rPr>
        <w:t xml:space="preserve">se señala que </w:t>
      </w:r>
      <w:r w:rsidR="008265F6">
        <w:rPr>
          <w:rFonts w:eastAsia="Verdana" w:cs="Verdana"/>
          <w:szCs w:val="20"/>
          <w:lang w:val="es-CR"/>
        </w:rPr>
        <w:t>Vicente Noguera</w:t>
      </w:r>
      <w:r w:rsidRPr="00425903">
        <w:rPr>
          <w:rFonts w:eastAsia="Verdana" w:cs="Verdana"/>
          <w:szCs w:val="20"/>
          <w:lang w:val="es-CR"/>
        </w:rPr>
        <w:t xml:space="preserve"> estuvo presente en las actividades propias de su entrenamiento premilitar durante el día 10 de enero de 1996 y que</w:t>
      </w:r>
      <w:r w:rsidR="008265F6">
        <w:rPr>
          <w:rFonts w:eastAsia="Verdana" w:cs="Verdana"/>
          <w:szCs w:val="20"/>
          <w:lang w:val="es-CR"/>
        </w:rPr>
        <w:t>,</w:t>
      </w:r>
      <w:r w:rsidRPr="00425903">
        <w:rPr>
          <w:rFonts w:eastAsia="Verdana" w:cs="Verdana"/>
          <w:szCs w:val="20"/>
          <w:lang w:val="es-CR"/>
        </w:rPr>
        <w:t xml:space="preserve"> posteriormente, al ser las 20:30 horas se efectuó la retreta para luego </w:t>
      </w:r>
      <w:r w:rsidR="005B155B">
        <w:rPr>
          <w:rFonts w:eastAsia="Verdana" w:cs="Verdana"/>
          <w:szCs w:val="20"/>
          <w:lang w:val="es-CR"/>
        </w:rPr>
        <w:t>“</w:t>
      </w:r>
      <w:r w:rsidRPr="00425903">
        <w:rPr>
          <w:rFonts w:eastAsia="Verdana" w:cs="Verdana"/>
          <w:szCs w:val="20"/>
          <w:lang w:val="es-CR"/>
        </w:rPr>
        <w:t xml:space="preserve">ya en la </w:t>
      </w:r>
      <w:r w:rsidRPr="005B155B">
        <w:rPr>
          <w:rFonts w:eastAsia="Verdana" w:cs="Verdana"/>
          <w:szCs w:val="20"/>
          <w:lang w:val="es-CR"/>
        </w:rPr>
        <w:t>escuadra</w:t>
      </w:r>
      <w:r w:rsidRPr="00425903">
        <w:rPr>
          <w:rFonts w:eastAsia="Verdana" w:cs="Verdana"/>
          <w:szCs w:val="20"/>
          <w:lang w:val="es-CR"/>
        </w:rPr>
        <w:t xml:space="preserve"> proceder a la lectura de la </w:t>
      </w:r>
      <w:r w:rsidRPr="005B155B">
        <w:rPr>
          <w:rFonts w:eastAsia="Verdana" w:cs="Verdana"/>
          <w:szCs w:val="20"/>
          <w:lang w:val="es-CR"/>
        </w:rPr>
        <w:t xml:space="preserve">lista </w:t>
      </w:r>
      <w:r w:rsidRPr="00425903">
        <w:rPr>
          <w:rFonts w:eastAsia="Verdana" w:cs="Verdana"/>
          <w:szCs w:val="20"/>
          <w:lang w:val="es-CR"/>
        </w:rPr>
        <w:t>y acostarse a dormir sin ninguna novedad</w:t>
      </w:r>
      <w:r w:rsidR="005B155B">
        <w:rPr>
          <w:rFonts w:eastAsia="Verdana" w:cs="Verdana"/>
          <w:szCs w:val="20"/>
          <w:lang w:val="es-CR"/>
        </w:rPr>
        <w:t>”</w:t>
      </w:r>
      <w:r w:rsidR="00FF4AC8">
        <w:rPr>
          <w:rStyle w:val="Refdenotaalpie"/>
          <w:rFonts w:eastAsia="Verdana"/>
          <w:lang w:val="es-CR"/>
        </w:rPr>
        <w:footnoteReference w:id="33"/>
      </w:r>
      <w:r w:rsidRPr="00425903">
        <w:rPr>
          <w:rFonts w:eastAsia="Verdana" w:cs="Verdana"/>
          <w:szCs w:val="20"/>
          <w:lang w:val="es-CR"/>
        </w:rPr>
        <w:t xml:space="preserve">. </w:t>
      </w:r>
    </w:p>
    <w:p w14:paraId="36CB03C5" w14:textId="375CE2E5" w:rsidR="00F54F0F" w:rsidRPr="00F54F0F" w:rsidRDefault="00F54F0F" w:rsidP="00404C7B">
      <w:pPr>
        <w:pStyle w:val="Prrafodelista"/>
        <w:numPr>
          <w:ilvl w:val="0"/>
          <w:numId w:val="2"/>
        </w:numPr>
        <w:tabs>
          <w:tab w:val="left" w:pos="630"/>
        </w:tabs>
        <w:spacing w:before="120" w:after="120"/>
        <w:ind w:left="0" w:hanging="28"/>
        <w:contextualSpacing w:val="0"/>
        <w:rPr>
          <w:i/>
          <w:szCs w:val="20"/>
          <w:lang w:val="es-PE"/>
        </w:rPr>
      </w:pPr>
      <w:r w:rsidRPr="00F54F0F">
        <w:rPr>
          <w:rFonts w:eastAsia="Calibri" w:cs="Times New Roman"/>
          <w:szCs w:val="20"/>
          <w:lang w:val="es-AR"/>
        </w:rPr>
        <w:t xml:space="preserve">Según se indica, los testimonios coinciden en que </w:t>
      </w:r>
      <w:r w:rsidR="00420696">
        <w:rPr>
          <w:rFonts w:eastAsia="Calibri" w:cs="Times New Roman"/>
          <w:szCs w:val="20"/>
          <w:lang w:val="es-AR"/>
        </w:rPr>
        <w:t>Vicente Noguera</w:t>
      </w:r>
      <w:r w:rsidRPr="00F54F0F">
        <w:rPr>
          <w:rFonts w:eastAsia="Calibri" w:cs="Times New Roman"/>
          <w:szCs w:val="20"/>
          <w:lang w:val="es-AR"/>
        </w:rPr>
        <w:t xml:space="preserve"> habría emitido un </w:t>
      </w:r>
      <w:r w:rsidR="00420696">
        <w:rPr>
          <w:rFonts w:eastAsia="Calibri" w:cs="Times New Roman"/>
          <w:szCs w:val="20"/>
          <w:lang w:val="es-AR"/>
        </w:rPr>
        <w:t>grito alrededor de las 00:45 a 01:30</w:t>
      </w:r>
      <w:r w:rsidRPr="00F54F0F">
        <w:rPr>
          <w:rFonts w:eastAsia="Calibri" w:cs="Times New Roman"/>
          <w:szCs w:val="20"/>
          <w:lang w:val="es-AR"/>
        </w:rPr>
        <w:t xml:space="preserve">, </w:t>
      </w:r>
      <w:r w:rsidRPr="00404C7B">
        <w:rPr>
          <w:rFonts w:eastAsia="Verdana" w:cs="Verdana"/>
          <w:szCs w:val="20"/>
          <w:lang w:val="es-CR"/>
        </w:rPr>
        <w:t>posiblemente</w:t>
      </w:r>
      <w:r w:rsidRPr="00F54F0F">
        <w:rPr>
          <w:rFonts w:eastAsia="Calibri" w:cs="Times New Roman"/>
          <w:szCs w:val="20"/>
          <w:lang w:val="es-AR"/>
        </w:rPr>
        <w:t xml:space="preserve"> un acceso de tos o una pesadilla, de tal </w:t>
      </w:r>
      <w:r w:rsidRPr="00F54F0F">
        <w:rPr>
          <w:rFonts w:eastAsia="Calibri" w:cs="Times New Roman"/>
          <w:szCs w:val="20"/>
          <w:lang w:val="es-AR"/>
        </w:rPr>
        <w:lastRenderedPageBreak/>
        <w:t xml:space="preserve">magnitud que sus compañeros se habrían acercado para masajear su pecho. De acuerdo a esta versión, </w:t>
      </w:r>
      <w:r w:rsidRPr="00EB62DE">
        <w:rPr>
          <w:rFonts w:eastAsia="Calibri" w:cs="Times New Roman"/>
          <w:szCs w:val="20"/>
          <w:lang w:val="es-AR"/>
        </w:rPr>
        <w:t xml:space="preserve">Vicente Noguera se habría volteado y continuó durmiendo. </w:t>
      </w:r>
      <w:r w:rsidRPr="00EB62DE">
        <w:rPr>
          <w:rFonts w:eastAsia="Verdana" w:cs="Verdana"/>
          <w:szCs w:val="20"/>
          <w:lang w:val="es-CR"/>
        </w:rPr>
        <w:t>El informe también señala que al día siguiente al ser las 5:00 am dado que la presunta víctima no se despertaba, unos compañeros trataron de despertarlo y debido a que seguía acostado se bajó a Vicente Noguera de su cama y allí se pudo constatar que no presentaba signos vitales</w:t>
      </w:r>
      <w:r>
        <w:rPr>
          <w:rStyle w:val="Refdenotaalpie"/>
          <w:rFonts w:eastAsia="Verdana"/>
          <w:lang w:val="es-CR"/>
        </w:rPr>
        <w:footnoteReference w:id="34"/>
      </w:r>
      <w:r w:rsidRPr="00F54F0F">
        <w:rPr>
          <w:rFonts w:eastAsia="Verdana" w:cs="Verdana"/>
          <w:szCs w:val="20"/>
          <w:lang w:val="es-CR"/>
        </w:rPr>
        <w:t xml:space="preserve">. </w:t>
      </w:r>
      <w:r w:rsidRPr="00F54F0F">
        <w:rPr>
          <w:rFonts w:eastAsia="Calibri" w:cs="Times New Roman"/>
          <w:szCs w:val="20"/>
          <w:lang w:val="es-AR"/>
        </w:rPr>
        <w:t>En esta segunda versión se estableció que la causa</w:t>
      </w:r>
      <w:r w:rsidRPr="00EB62DE">
        <w:rPr>
          <w:rFonts w:eastAsia="Calibri" w:cs="Times New Roman"/>
          <w:szCs w:val="20"/>
          <w:lang w:val="es-AR"/>
        </w:rPr>
        <w:t xml:space="preserve"> de muerte fue una infección generalizada sin ningún tipo de violencia traumática. Esta última hipótesis habría quedado demostrada a través </w:t>
      </w:r>
      <w:r w:rsidR="001207DF">
        <w:rPr>
          <w:szCs w:val="20"/>
          <w:lang w:val="es-PE"/>
        </w:rPr>
        <w:t>divers</w:t>
      </w:r>
      <w:r w:rsidR="00363F94">
        <w:rPr>
          <w:szCs w:val="20"/>
          <w:lang w:val="es-PE"/>
        </w:rPr>
        <w:t>o</w:t>
      </w:r>
      <w:r w:rsidR="001207DF">
        <w:rPr>
          <w:szCs w:val="20"/>
          <w:lang w:val="es-PE"/>
        </w:rPr>
        <w:t>s análisis forenses, pruebas médicas y autopsias</w:t>
      </w:r>
      <w:r w:rsidRPr="00F54F0F">
        <w:rPr>
          <w:rFonts w:eastAsia="Calibri" w:cs="Times New Roman"/>
          <w:szCs w:val="20"/>
          <w:lang w:val="es-AR"/>
        </w:rPr>
        <w:t xml:space="preserve"> realizadas.</w:t>
      </w:r>
      <w:r w:rsidR="001207DF">
        <w:rPr>
          <w:rFonts w:eastAsia="Calibri" w:cs="Times New Roman"/>
          <w:szCs w:val="20"/>
          <w:lang w:val="es-AR"/>
        </w:rPr>
        <w:t xml:space="preserve"> </w:t>
      </w:r>
    </w:p>
    <w:p w14:paraId="10A29117" w14:textId="666FA407" w:rsidR="00B87B80" w:rsidRPr="00263989" w:rsidRDefault="00767DD2" w:rsidP="004C6AFA">
      <w:pPr>
        <w:pStyle w:val="Prrafodelista"/>
        <w:numPr>
          <w:ilvl w:val="0"/>
          <w:numId w:val="15"/>
        </w:numPr>
        <w:pBdr>
          <w:top w:val="nil"/>
        </w:pBdr>
        <w:spacing w:before="240" w:after="240"/>
        <w:contextualSpacing w:val="0"/>
        <w:outlineLvl w:val="1"/>
        <w:rPr>
          <w:b/>
          <w:i/>
          <w:snapToGrid w:val="0"/>
          <w:spacing w:val="-2"/>
          <w:szCs w:val="20"/>
          <w:lang w:eastAsia="es-ES"/>
        </w:rPr>
      </w:pPr>
      <w:bookmarkStart w:id="85" w:name="_Toc36132102"/>
      <w:r w:rsidRPr="00263989">
        <w:rPr>
          <w:b/>
          <w:i/>
          <w:snapToGrid w:val="0"/>
          <w:spacing w:val="-2"/>
          <w:szCs w:val="20"/>
          <w:lang w:eastAsia="es-ES"/>
        </w:rPr>
        <w:t xml:space="preserve">Las </w:t>
      </w:r>
      <w:r w:rsidR="008265F6">
        <w:rPr>
          <w:b/>
          <w:i/>
          <w:snapToGrid w:val="0"/>
          <w:spacing w:val="-2"/>
          <w:szCs w:val="20"/>
          <w:lang w:eastAsia="es-ES"/>
        </w:rPr>
        <w:t>i</w:t>
      </w:r>
      <w:r w:rsidRPr="00263989">
        <w:rPr>
          <w:b/>
          <w:i/>
          <w:snapToGrid w:val="0"/>
          <w:spacing w:val="-2"/>
          <w:szCs w:val="20"/>
          <w:lang w:eastAsia="es-ES"/>
        </w:rPr>
        <w:t>nvestigaciones y procesos judiciales iniciados por la muerte de Vicente Noguera</w:t>
      </w:r>
      <w:bookmarkEnd w:id="85"/>
    </w:p>
    <w:p w14:paraId="52C0FC21" w14:textId="55A20CD9" w:rsidR="00274CB2" w:rsidRPr="00274CB2" w:rsidRDefault="00274CB2" w:rsidP="00274CB2">
      <w:pPr>
        <w:pStyle w:val="Ttulo3"/>
        <w:spacing w:before="240" w:after="240"/>
        <w:ind w:left="357" w:firstLine="709"/>
        <w:rPr>
          <w:b w:val="0"/>
          <w:snapToGrid w:val="0"/>
          <w:spacing w:val="-2"/>
          <w:szCs w:val="20"/>
          <w:lang w:eastAsia="es-ES"/>
        </w:rPr>
      </w:pPr>
      <w:bookmarkStart w:id="86" w:name="_Toc36132103"/>
      <w:r w:rsidRPr="003B376F">
        <w:rPr>
          <w:b w:val="0"/>
          <w:snapToGrid w:val="0"/>
          <w:spacing w:val="-2"/>
          <w:szCs w:val="20"/>
          <w:lang w:eastAsia="es-ES"/>
        </w:rPr>
        <w:t xml:space="preserve">C.1. </w:t>
      </w:r>
      <w:r>
        <w:rPr>
          <w:b w:val="0"/>
          <w:snapToGrid w:val="0"/>
          <w:spacing w:val="-2"/>
          <w:szCs w:val="20"/>
          <w:lang w:eastAsia="es-ES"/>
        </w:rPr>
        <w:t>Proceso sumario</w:t>
      </w:r>
      <w:r w:rsidR="000734C1">
        <w:rPr>
          <w:b w:val="0"/>
          <w:snapToGrid w:val="0"/>
          <w:spacing w:val="-2"/>
          <w:szCs w:val="20"/>
          <w:lang w:eastAsia="es-ES"/>
        </w:rPr>
        <w:t xml:space="preserve"> ante la jurisdicción penal militar</w:t>
      </w:r>
      <w:bookmarkEnd w:id="86"/>
      <w:r>
        <w:rPr>
          <w:b w:val="0"/>
          <w:snapToGrid w:val="0"/>
          <w:spacing w:val="-2"/>
          <w:szCs w:val="20"/>
          <w:lang w:eastAsia="es-ES"/>
        </w:rPr>
        <w:t xml:space="preserve"> </w:t>
      </w:r>
    </w:p>
    <w:p w14:paraId="22781A11" w14:textId="6B744A96" w:rsidR="006B7D6C" w:rsidRPr="006B7D6C" w:rsidRDefault="008D7BB8" w:rsidP="00404C7B">
      <w:pPr>
        <w:pStyle w:val="Prrafodelista"/>
        <w:numPr>
          <w:ilvl w:val="0"/>
          <w:numId w:val="2"/>
        </w:numPr>
        <w:tabs>
          <w:tab w:val="left" w:pos="630"/>
        </w:tabs>
        <w:spacing w:before="120" w:after="120"/>
        <w:ind w:left="0" w:firstLine="0"/>
        <w:contextualSpacing w:val="0"/>
        <w:rPr>
          <w:szCs w:val="20"/>
          <w:lang w:val="es-CR"/>
        </w:rPr>
      </w:pPr>
      <w:r>
        <w:rPr>
          <w:szCs w:val="20"/>
        </w:rPr>
        <w:t>El 11 de enero de 1996 el Juzgado de Instrucción Militar del Primer Turno emitió Auto de Apertura de Instrucción del sumario</w:t>
      </w:r>
      <w:r w:rsidR="00826F02">
        <w:rPr>
          <w:szCs w:val="20"/>
        </w:rPr>
        <w:t xml:space="preserve"> en averiguación y comprobación de la muerte de </w:t>
      </w:r>
      <w:r w:rsidR="008265F6">
        <w:rPr>
          <w:szCs w:val="20"/>
        </w:rPr>
        <w:t>Vicente Noguera</w:t>
      </w:r>
      <w:r w:rsidR="009063EC">
        <w:rPr>
          <w:rStyle w:val="Refdenotaalpie"/>
        </w:rPr>
        <w:footnoteReference w:id="35"/>
      </w:r>
      <w:r w:rsidR="00826F02">
        <w:rPr>
          <w:szCs w:val="20"/>
        </w:rPr>
        <w:t xml:space="preserve">. El primer examen </w:t>
      </w:r>
      <w:r w:rsidR="00826F02" w:rsidRPr="0078682E">
        <w:rPr>
          <w:rFonts w:eastAsia="Calibri" w:cs="Times New Roman"/>
          <w:szCs w:val="20"/>
          <w:lang w:val="es-AR"/>
        </w:rPr>
        <w:t>forense</w:t>
      </w:r>
      <w:r w:rsidR="00826F02">
        <w:rPr>
          <w:szCs w:val="20"/>
        </w:rPr>
        <w:t xml:space="preserve"> </w:t>
      </w:r>
      <w:r w:rsidR="00EB62DE">
        <w:rPr>
          <w:szCs w:val="20"/>
        </w:rPr>
        <w:t xml:space="preserve">concluyó </w:t>
      </w:r>
      <w:r w:rsidR="00826F02">
        <w:rPr>
          <w:szCs w:val="20"/>
        </w:rPr>
        <w:t>que no se registraron signos o señales de violencia física visible</w:t>
      </w:r>
      <w:r w:rsidR="00EB62DE">
        <w:rPr>
          <w:szCs w:val="20"/>
        </w:rPr>
        <w:t xml:space="preserve"> en el cuerpo “</w:t>
      </w:r>
      <w:r w:rsidR="00826F02">
        <w:rPr>
          <w:szCs w:val="20"/>
        </w:rPr>
        <w:t>solo las manchas marmóreas cadavéricas de rigor</w:t>
      </w:r>
      <w:r w:rsidR="00826F02">
        <w:rPr>
          <w:rStyle w:val="Refdenotaalpie"/>
        </w:rPr>
        <w:footnoteReference w:id="36"/>
      </w:r>
      <w:r w:rsidR="00826F02">
        <w:rPr>
          <w:szCs w:val="20"/>
        </w:rPr>
        <w:t>.</w:t>
      </w:r>
      <w:r>
        <w:rPr>
          <w:szCs w:val="20"/>
        </w:rPr>
        <w:t xml:space="preserve"> </w:t>
      </w:r>
    </w:p>
    <w:p w14:paraId="67EDAC34" w14:textId="5BD1DA37" w:rsidR="00EB62DE" w:rsidRPr="00404C7B" w:rsidRDefault="00D767A4" w:rsidP="00404C7B">
      <w:pPr>
        <w:pStyle w:val="Prrafodelista"/>
        <w:numPr>
          <w:ilvl w:val="0"/>
          <w:numId w:val="2"/>
        </w:numPr>
        <w:tabs>
          <w:tab w:val="left" w:pos="630"/>
        </w:tabs>
        <w:spacing w:before="120" w:after="120"/>
        <w:ind w:left="0" w:firstLine="0"/>
        <w:contextualSpacing w:val="0"/>
        <w:rPr>
          <w:strike/>
          <w:szCs w:val="20"/>
          <w:lang w:val="es-CR"/>
        </w:rPr>
      </w:pPr>
      <w:r w:rsidRPr="00EB62DE">
        <w:rPr>
          <w:szCs w:val="20"/>
        </w:rPr>
        <w:t>En el marco de esa investigación</w:t>
      </w:r>
      <w:r w:rsidR="00500C8A" w:rsidRPr="00EB62DE">
        <w:rPr>
          <w:szCs w:val="20"/>
        </w:rPr>
        <w:t xml:space="preserve"> por los hechos del caso</w:t>
      </w:r>
      <w:r w:rsidR="006B7D6C" w:rsidRPr="00EB62DE">
        <w:rPr>
          <w:szCs w:val="20"/>
        </w:rPr>
        <w:t xml:space="preserve">, el juez en acuerdo con la familia de la presunta víctima ordenó </w:t>
      </w:r>
      <w:r w:rsidR="00353C75" w:rsidRPr="00EB62DE">
        <w:rPr>
          <w:szCs w:val="20"/>
        </w:rPr>
        <w:t xml:space="preserve">que </w:t>
      </w:r>
      <w:r w:rsidR="0076623E" w:rsidRPr="00EB62DE">
        <w:rPr>
          <w:szCs w:val="20"/>
        </w:rPr>
        <w:t>la</w:t>
      </w:r>
      <w:r w:rsidR="006B7D6C" w:rsidRPr="00EB62DE">
        <w:rPr>
          <w:szCs w:val="20"/>
        </w:rPr>
        <w:t xml:space="preserve"> autopsia se realizara en un Hospital privado denominado “</w:t>
      </w:r>
      <w:proofErr w:type="spellStart"/>
      <w:r w:rsidR="006B7D6C" w:rsidRPr="00EB62DE">
        <w:rPr>
          <w:szCs w:val="20"/>
        </w:rPr>
        <w:t>Migone</w:t>
      </w:r>
      <w:proofErr w:type="spellEnd"/>
      <w:r w:rsidR="006B7D6C" w:rsidRPr="00EB62DE">
        <w:rPr>
          <w:szCs w:val="20"/>
        </w:rPr>
        <w:t>” en Asunción, la cual</w:t>
      </w:r>
      <w:r w:rsidR="00500C8A" w:rsidRPr="00EB62DE">
        <w:rPr>
          <w:szCs w:val="20"/>
        </w:rPr>
        <w:t xml:space="preserve"> </w:t>
      </w:r>
      <w:r w:rsidR="006B7D6C" w:rsidRPr="00EB62DE">
        <w:rPr>
          <w:szCs w:val="20"/>
          <w:lang w:val="es-CR"/>
        </w:rPr>
        <w:t>fue practicada el 11 de enero de 1996</w:t>
      </w:r>
      <w:r w:rsidR="00EB62DE" w:rsidRPr="00EB62DE">
        <w:rPr>
          <w:szCs w:val="20"/>
          <w:lang w:val="es-CR"/>
        </w:rPr>
        <w:t xml:space="preserve">, </w:t>
      </w:r>
      <w:r w:rsidR="00EB62DE" w:rsidRPr="00EB62DE">
        <w:rPr>
          <w:szCs w:val="20"/>
          <w:lang w:val="es-PE"/>
        </w:rPr>
        <w:t>entre las 16:45 y 18:00 horas, con la presencia de un médico que había solicitado expresamente María Noguera</w:t>
      </w:r>
      <w:r w:rsidR="00EB62DE">
        <w:rPr>
          <w:szCs w:val="20"/>
          <w:lang w:val="es-PE"/>
        </w:rPr>
        <w:t>.</w:t>
      </w:r>
    </w:p>
    <w:p w14:paraId="7E4D8CF0" w14:textId="75A1AA74" w:rsidR="00EB62DE" w:rsidRPr="005B2FC0" w:rsidRDefault="008265F6" w:rsidP="00EB62DE">
      <w:pPr>
        <w:pStyle w:val="Prrafodelista"/>
        <w:numPr>
          <w:ilvl w:val="0"/>
          <w:numId w:val="2"/>
        </w:numPr>
        <w:tabs>
          <w:tab w:val="left" w:pos="630"/>
        </w:tabs>
        <w:spacing w:before="120" w:after="120"/>
        <w:ind w:left="0" w:firstLine="0"/>
        <w:contextualSpacing w:val="0"/>
        <w:rPr>
          <w:i/>
          <w:szCs w:val="20"/>
          <w:lang w:val="es-PE"/>
        </w:rPr>
      </w:pPr>
      <w:r>
        <w:rPr>
          <w:szCs w:val="20"/>
          <w:lang w:val="es-PE"/>
        </w:rPr>
        <w:t>En el informe de la autopsia que fue emitido el</w:t>
      </w:r>
      <w:r w:rsidR="00EB62DE" w:rsidRPr="0049225E">
        <w:rPr>
          <w:szCs w:val="20"/>
          <w:lang w:val="es-PE"/>
        </w:rPr>
        <w:t xml:space="preserve"> 23 de febrero de 1996</w:t>
      </w:r>
      <w:r w:rsidR="00EB62DE">
        <w:rPr>
          <w:szCs w:val="20"/>
          <w:lang w:val="es-PE"/>
        </w:rPr>
        <w:t xml:space="preserve"> se</w:t>
      </w:r>
      <w:r w:rsidR="00EB62DE" w:rsidRPr="0049225E">
        <w:rPr>
          <w:szCs w:val="20"/>
          <w:lang w:val="es-PE"/>
        </w:rPr>
        <w:t xml:space="preserve"> determinó que la “patología principal detectada es una inflamación pulmonar de la variedad </w:t>
      </w:r>
      <w:r w:rsidR="00EB62DE" w:rsidRPr="00F54F0F">
        <w:rPr>
          <w:i/>
          <w:szCs w:val="20"/>
          <w:lang w:val="es-PE"/>
        </w:rPr>
        <w:t xml:space="preserve">neumonitis </w:t>
      </w:r>
      <w:r w:rsidR="00EB62DE" w:rsidRPr="00F54F0F">
        <w:rPr>
          <w:rFonts w:eastAsia="Verdana" w:cs="Verdana"/>
          <w:szCs w:val="20"/>
        </w:rPr>
        <w:t>intersticial</w:t>
      </w:r>
      <w:r w:rsidR="00EB62DE" w:rsidRPr="00F54F0F">
        <w:rPr>
          <w:szCs w:val="20"/>
          <w:lang w:val="es-PE"/>
        </w:rPr>
        <w:t xml:space="preserve"> con importante </w:t>
      </w:r>
      <w:r w:rsidR="00EB62DE" w:rsidRPr="00F54F0F">
        <w:rPr>
          <w:i/>
          <w:szCs w:val="20"/>
          <w:lang w:val="es-PE"/>
        </w:rPr>
        <w:t>edema alveolar de tipo inflamatorio</w:t>
      </w:r>
      <w:r w:rsidR="00EB62DE" w:rsidRPr="00F54F0F">
        <w:rPr>
          <w:szCs w:val="20"/>
          <w:lang w:val="es-PE"/>
        </w:rPr>
        <w:t xml:space="preserve"> que </w:t>
      </w:r>
      <w:r w:rsidR="00EB62DE" w:rsidRPr="00F54F0F">
        <w:rPr>
          <w:iCs/>
          <w:szCs w:val="20"/>
          <w:lang w:val="es-PE"/>
        </w:rPr>
        <w:t xml:space="preserve">se </w:t>
      </w:r>
      <w:r w:rsidR="00EB62DE" w:rsidRPr="00F54F0F">
        <w:rPr>
          <w:szCs w:val="20"/>
          <w:lang w:val="es-PE"/>
        </w:rPr>
        <w:t>observa con intensidad variable, entre leve y severa en ambos pulmones</w:t>
      </w:r>
      <w:r w:rsidR="001207DF">
        <w:rPr>
          <w:szCs w:val="20"/>
          <w:lang w:val="es-PE"/>
        </w:rPr>
        <w:t>”</w:t>
      </w:r>
      <w:r w:rsidR="00EB62DE" w:rsidRPr="00D25DA8">
        <w:rPr>
          <w:rStyle w:val="Refdenotaalpie"/>
          <w:lang w:val="es-PE"/>
        </w:rPr>
        <w:footnoteReference w:id="37"/>
      </w:r>
      <w:r w:rsidR="00EB62DE" w:rsidRPr="0049225E">
        <w:rPr>
          <w:szCs w:val="20"/>
          <w:lang w:val="es-PE"/>
        </w:rPr>
        <w:t>. A su vez, se practicó un examen toxicológico, cuyo resultado dio negativo</w:t>
      </w:r>
      <w:r w:rsidR="00EB62DE">
        <w:rPr>
          <w:szCs w:val="20"/>
          <w:lang w:val="es-PE"/>
        </w:rPr>
        <w:t xml:space="preserve"> a la presencia de drogas o de sustancias tóxicas</w:t>
      </w:r>
      <w:r w:rsidR="00EB62DE">
        <w:rPr>
          <w:rStyle w:val="Refdenotaalpie"/>
          <w:lang w:val="es-PE"/>
        </w:rPr>
        <w:footnoteReference w:id="38"/>
      </w:r>
      <w:r w:rsidR="00EB62DE">
        <w:rPr>
          <w:szCs w:val="20"/>
          <w:lang w:val="es-PE"/>
        </w:rPr>
        <w:t>. Por otra parte</w:t>
      </w:r>
      <w:r w:rsidR="00EB62DE" w:rsidRPr="005B2FC0">
        <w:rPr>
          <w:szCs w:val="20"/>
          <w:lang w:val="es-PE"/>
        </w:rPr>
        <w:t xml:space="preserve">, unas muestras </w:t>
      </w:r>
      <w:r w:rsidR="00EB62DE">
        <w:rPr>
          <w:szCs w:val="20"/>
          <w:lang w:val="es-PE"/>
        </w:rPr>
        <w:t>de tejido pulmonar</w:t>
      </w:r>
      <w:r w:rsidR="00EB62DE" w:rsidRPr="005B2FC0">
        <w:rPr>
          <w:szCs w:val="20"/>
          <w:lang w:val="es-PE"/>
        </w:rPr>
        <w:t xml:space="preserve"> fueron enviadas al C</w:t>
      </w:r>
      <w:r w:rsidR="00EB62DE" w:rsidRPr="00404C7B">
        <w:rPr>
          <w:i/>
          <w:szCs w:val="20"/>
          <w:lang w:val="es-PE"/>
        </w:rPr>
        <w:t xml:space="preserve">enter </w:t>
      </w:r>
      <w:proofErr w:type="spellStart"/>
      <w:r w:rsidR="00EB62DE" w:rsidRPr="00404C7B">
        <w:rPr>
          <w:i/>
          <w:szCs w:val="20"/>
          <w:lang w:val="es-PE"/>
        </w:rPr>
        <w:t>for</w:t>
      </w:r>
      <w:proofErr w:type="spellEnd"/>
      <w:r w:rsidR="00EB62DE" w:rsidRPr="00404C7B">
        <w:rPr>
          <w:i/>
          <w:szCs w:val="20"/>
          <w:lang w:val="es-PE"/>
        </w:rPr>
        <w:t xml:space="preserve"> </w:t>
      </w:r>
      <w:proofErr w:type="spellStart"/>
      <w:r w:rsidR="00EB62DE" w:rsidRPr="00404C7B">
        <w:rPr>
          <w:i/>
          <w:szCs w:val="20"/>
          <w:lang w:val="es-PE"/>
        </w:rPr>
        <w:t>Disease</w:t>
      </w:r>
      <w:proofErr w:type="spellEnd"/>
      <w:r w:rsidR="00EB62DE" w:rsidRPr="00404C7B">
        <w:rPr>
          <w:i/>
          <w:szCs w:val="20"/>
          <w:lang w:val="es-PE"/>
        </w:rPr>
        <w:t xml:space="preserve"> Control and </w:t>
      </w:r>
      <w:proofErr w:type="spellStart"/>
      <w:r w:rsidR="00EB62DE" w:rsidRPr="00404C7B">
        <w:rPr>
          <w:i/>
          <w:szCs w:val="20"/>
          <w:lang w:val="es-PE"/>
        </w:rPr>
        <w:t>Prevention</w:t>
      </w:r>
      <w:proofErr w:type="spellEnd"/>
      <w:r w:rsidR="00EB62DE" w:rsidRPr="005B2FC0">
        <w:rPr>
          <w:szCs w:val="20"/>
          <w:lang w:val="es-PE"/>
        </w:rPr>
        <w:t xml:space="preserve"> (Nuevo México, Estados Unidos) para </w:t>
      </w:r>
      <w:r w:rsidR="00EB62DE">
        <w:rPr>
          <w:szCs w:val="20"/>
          <w:lang w:val="es-PE"/>
        </w:rPr>
        <w:t xml:space="preserve">que se efectuaran </w:t>
      </w:r>
      <w:r w:rsidR="001207DF">
        <w:rPr>
          <w:szCs w:val="20"/>
          <w:lang w:val="es-PE"/>
        </w:rPr>
        <w:t>análisis</w:t>
      </w:r>
      <w:r w:rsidR="00EB62DE" w:rsidRPr="005B2FC0">
        <w:rPr>
          <w:szCs w:val="20"/>
          <w:lang w:val="es-PE"/>
        </w:rPr>
        <w:t xml:space="preserve">. En el informe de 20 de marzo de 1996 la referida institución </w:t>
      </w:r>
      <w:r w:rsidR="00EB62DE">
        <w:rPr>
          <w:szCs w:val="20"/>
          <w:lang w:val="es-PE"/>
        </w:rPr>
        <w:t xml:space="preserve">confirmó que se trataba de una </w:t>
      </w:r>
      <w:r w:rsidR="00EB62DE" w:rsidRPr="005B2FC0">
        <w:rPr>
          <w:szCs w:val="20"/>
          <w:lang w:val="es-PE"/>
        </w:rPr>
        <w:t>neumonitis intersticial</w:t>
      </w:r>
      <w:r w:rsidR="00EB62DE">
        <w:rPr>
          <w:szCs w:val="20"/>
          <w:lang w:val="es-PE"/>
        </w:rPr>
        <w:t xml:space="preserve">, aunque indicó que los resultados no eran </w:t>
      </w:r>
      <w:r w:rsidR="00EB62DE">
        <w:rPr>
          <w:szCs w:val="20"/>
          <w:lang w:val="es-PE"/>
        </w:rPr>
        <w:lastRenderedPageBreak/>
        <w:t xml:space="preserve">consistentes con </w:t>
      </w:r>
      <w:r w:rsidR="00EB62DE" w:rsidRPr="005B2FC0">
        <w:rPr>
          <w:szCs w:val="20"/>
          <w:lang w:val="es-PE"/>
        </w:rPr>
        <w:t xml:space="preserve">el </w:t>
      </w:r>
      <w:proofErr w:type="spellStart"/>
      <w:r w:rsidR="00EB62DE" w:rsidRPr="005B2FC0">
        <w:rPr>
          <w:szCs w:val="20"/>
          <w:lang w:val="es-PE"/>
        </w:rPr>
        <w:t>Syndrome</w:t>
      </w:r>
      <w:proofErr w:type="spellEnd"/>
      <w:r w:rsidR="00EB62DE" w:rsidRPr="005B2FC0">
        <w:rPr>
          <w:szCs w:val="20"/>
          <w:lang w:val="es-PE"/>
        </w:rPr>
        <w:t xml:space="preserve"> Pulmonar por Hantavirus (HPS)</w:t>
      </w:r>
      <w:r w:rsidR="00EB62DE">
        <w:rPr>
          <w:szCs w:val="20"/>
          <w:lang w:val="es-PE"/>
        </w:rPr>
        <w:t xml:space="preserve">. </w:t>
      </w:r>
      <w:r w:rsidR="00C742E9">
        <w:rPr>
          <w:szCs w:val="20"/>
          <w:lang w:val="es-PE"/>
        </w:rPr>
        <w:t>Por otra parte, también se</w:t>
      </w:r>
      <w:r w:rsidR="00EB62DE">
        <w:rPr>
          <w:szCs w:val="20"/>
          <w:lang w:val="es-PE"/>
        </w:rPr>
        <w:t xml:space="preserve"> indicó que </w:t>
      </w:r>
      <w:r w:rsidR="00EB62DE" w:rsidRPr="005B2FC0">
        <w:rPr>
          <w:szCs w:val="20"/>
          <w:lang w:val="es-PE"/>
        </w:rPr>
        <w:t>el resultado del análisis inmunohistoquímico fue negativo</w:t>
      </w:r>
      <w:r w:rsidR="00EB62DE" w:rsidRPr="00D25DA8">
        <w:rPr>
          <w:rStyle w:val="Refdenotaalpie"/>
          <w:lang w:val="es-PE"/>
        </w:rPr>
        <w:footnoteReference w:id="39"/>
      </w:r>
      <w:r w:rsidR="00EB62DE" w:rsidRPr="005B2FC0">
        <w:rPr>
          <w:szCs w:val="20"/>
          <w:lang w:val="es-PE"/>
        </w:rPr>
        <w:t>.</w:t>
      </w:r>
    </w:p>
    <w:p w14:paraId="38150A4D" w14:textId="7ED46E04" w:rsidR="00274CB2" w:rsidRPr="00274CB2" w:rsidRDefault="00F53179" w:rsidP="00404C7B">
      <w:pPr>
        <w:pStyle w:val="Prrafodelista"/>
        <w:numPr>
          <w:ilvl w:val="0"/>
          <w:numId w:val="2"/>
        </w:numPr>
        <w:tabs>
          <w:tab w:val="left" w:pos="630"/>
        </w:tabs>
        <w:spacing w:before="120" w:after="120"/>
        <w:ind w:left="0" w:firstLine="0"/>
        <w:contextualSpacing w:val="0"/>
        <w:rPr>
          <w:szCs w:val="20"/>
          <w:lang w:val="es-CR"/>
        </w:rPr>
      </w:pPr>
      <w:r>
        <w:rPr>
          <w:szCs w:val="20"/>
          <w:lang w:val="es-CR"/>
        </w:rPr>
        <w:t>E</w:t>
      </w:r>
      <w:r w:rsidR="00274CB2" w:rsidRPr="00274CB2">
        <w:rPr>
          <w:szCs w:val="20"/>
          <w:lang w:val="es-CR"/>
        </w:rPr>
        <w:t xml:space="preserve">l 21 de </w:t>
      </w:r>
      <w:r w:rsidR="00274CB2" w:rsidRPr="00404C7B">
        <w:rPr>
          <w:szCs w:val="20"/>
          <w:lang w:val="es-PE"/>
        </w:rPr>
        <w:t>octubre</w:t>
      </w:r>
      <w:r w:rsidR="00274CB2" w:rsidRPr="00274CB2">
        <w:rPr>
          <w:szCs w:val="20"/>
          <w:lang w:val="es-CR"/>
        </w:rPr>
        <w:t xml:space="preserve"> de 1997 el Juzgado de Primera Instancia Militar de Primer Turno emitió auto de sobreseimiento, por no existir delito que investigar ni </w:t>
      </w:r>
      <w:r w:rsidR="0076623E">
        <w:rPr>
          <w:szCs w:val="20"/>
          <w:lang w:val="es-CR"/>
        </w:rPr>
        <w:t>“</w:t>
      </w:r>
      <w:r w:rsidR="00274CB2" w:rsidRPr="00274CB2">
        <w:rPr>
          <w:szCs w:val="20"/>
          <w:lang w:val="es-CR"/>
        </w:rPr>
        <w:t>delincuente que castigar</w:t>
      </w:r>
      <w:r w:rsidR="0076623E">
        <w:rPr>
          <w:szCs w:val="20"/>
          <w:lang w:val="es-CR"/>
        </w:rPr>
        <w:t>”</w:t>
      </w:r>
      <w:r w:rsidR="00274CB2" w:rsidRPr="00274CB2">
        <w:rPr>
          <w:szCs w:val="20"/>
          <w:lang w:val="es-CR"/>
        </w:rPr>
        <w:t>. Asimismo, se dispuso el archivo del asunto, de conformidad con el artículo 199 del Código de Procedimiento Penal Militar</w:t>
      </w:r>
      <w:r w:rsidR="009063EC">
        <w:rPr>
          <w:rStyle w:val="Refdenotaalpie"/>
          <w:lang w:val="es-CR"/>
        </w:rPr>
        <w:footnoteReference w:id="40"/>
      </w:r>
      <w:r w:rsidR="00274CB2">
        <w:rPr>
          <w:szCs w:val="20"/>
          <w:lang w:val="es-CR"/>
        </w:rPr>
        <w:t xml:space="preserve">. </w:t>
      </w:r>
    </w:p>
    <w:p w14:paraId="5494D566" w14:textId="6DB08A17" w:rsidR="00B87B80" w:rsidRPr="003B376F" w:rsidRDefault="00274CB2" w:rsidP="003B462F">
      <w:pPr>
        <w:pStyle w:val="Ttulo3"/>
        <w:spacing w:before="240" w:after="240"/>
        <w:ind w:left="357" w:firstLine="709"/>
        <w:rPr>
          <w:b w:val="0"/>
          <w:snapToGrid w:val="0"/>
          <w:spacing w:val="-2"/>
          <w:szCs w:val="20"/>
          <w:lang w:eastAsia="es-ES"/>
        </w:rPr>
      </w:pPr>
      <w:bookmarkStart w:id="87" w:name="_Toc36132104"/>
      <w:r>
        <w:rPr>
          <w:b w:val="0"/>
          <w:snapToGrid w:val="0"/>
          <w:spacing w:val="-2"/>
          <w:szCs w:val="20"/>
          <w:lang w:eastAsia="es-ES"/>
        </w:rPr>
        <w:t>C.2</w:t>
      </w:r>
      <w:r w:rsidR="003B462F" w:rsidRPr="003B376F">
        <w:rPr>
          <w:b w:val="0"/>
          <w:snapToGrid w:val="0"/>
          <w:spacing w:val="-2"/>
          <w:szCs w:val="20"/>
          <w:lang w:eastAsia="es-ES"/>
        </w:rPr>
        <w:t xml:space="preserve">. </w:t>
      </w:r>
      <w:r w:rsidR="000734C1">
        <w:rPr>
          <w:b w:val="0"/>
          <w:snapToGrid w:val="0"/>
          <w:spacing w:val="-2"/>
          <w:szCs w:val="20"/>
          <w:lang w:eastAsia="es-ES"/>
        </w:rPr>
        <w:t>Investigación y proceso ante la jurisdicción ordinaria</w:t>
      </w:r>
      <w:bookmarkEnd w:id="87"/>
    </w:p>
    <w:p w14:paraId="6CCB9CC4" w14:textId="061F3ABB" w:rsidR="00B87B80" w:rsidRPr="003B376F" w:rsidRDefault="00D0374D" w:rsidP="00404C7B">
      <w:pPr>
        <w:pStyle w:val="Prrafodelista"/>
        <w:numPr>
          <w:ilvl w:val="0"/>
          <w:numId w:val="2"/>
        </w:numPr>
        <w:tabs>
          <w:tab w:val="left" w:pos="630"/>
        </w:tabs>
        <w:spacing w:before="120" w:after="120"/>
        <w:ind w:left="0" w:firstLine="0"/>
        <w:contextualSpacing w:val="0"/>
        <w:rPr>
          <w:rFonts w:eastAsia="Arial Unicode MS" w:cs="Times New Roman"/>
          <w:szCs w:val="20"/>
          <w:bdr w:val="nil"/>
        </w:rPr>
      </w:pPr>
      <w:r>
        <w:rPr>
          <w:szCs w:val="20"/>
        </w:rPr>
        <w:t xml:space="preserve">Los días </w:t>
      </w:r>
      <w:r w:rsidR="002626FF">
        <w:rPr>
          <w:szCs w:val="20"/>
        </w:rPr>
        <w:t xml:space="preserve">17 de enero y 29 de julio de 1996 </w:t>
      </w:r>
      <w:r w:rsidR="00F23AB7">
        <w:rPr>
          <w:szCs w:val="20"/>
        </w:rPr>
        <w:t>María Noguera</w:t>
      </w:r>
      <w:r w:rsidR="002626FF">
        <w:rPr>
          <w:szCs w:val="20"/>
        </w:rPr>
        <w:t xml:space="preserve"> expresó al </w:t>
      </w:r>
      <w:r w:rsidR="002626FF" w:rsidRPr="00404C7B">
        <w:rPr>
          <w:szCs w:val="20"/>
          <w:lang w:val="es-PE"/>
        </w:rPr>
        <w:t>Fiscal</w:t>
      </w:r>
      <w:r w:rsidR="002626FF">
        <w:rPr>
          <w:szCs w:val="20"/>
        </w:rPr>
        <w:t xml:space="preserve"> General su convicción de que la muerte de su hijo no fue accidental, sino un hecho de violencia y solicitó su intervención para que se investigara su muerte</w:t>
      </w:r>
      <w:r w:rsidR="002626FF">
        <w:rPr>
          <w:rStyle w:val="Refdenotaalpie"/>
        </w:rPr>
        <w:footnoteReference w:id="41"/>
      </w:r>
      <w:r w:rsidR="002626FF">
        <w:rPr>
          <w:szCs w:val="20"/>
        </w:rPr>
        <w:t>.</w:t>
      </w:r>
      <w:r w:rsidR="00B87B80" w:rsidRPr="003B376F">
        <w:rPr>
          <w:szCs w:val="20"/>
        </w:rPr>
        <w:t xml:space="preserve"> </w:t>
      </w:r>
      <w:r w:rsidR="00850E9A">
        <w:rPr>
          <w:szCs w:val="20"/>
        </w:rPr>
        <w:t xml:space="preserve">Adicionalmente, presentó querella criminal por el homicidio de su hijo </w:t>
      </w:r>
      <w:r w:rsidR="00F53179" w:rsidRPr="00D25DA8">
        <w:rPr>
          <w:szCs w:val="20"/>
          <w:lang w:val="es-PE"/>
        </w:rPr>
        <w:t>el 6 de se</w:t>
      </w:r>
      <w:r w:rsidR="00A658D1">
        <w:rPr>
          <w:szCs w:val="20"/>
          <w:lang w:val="es-PE"/>
        </w:rPr>
        <w:t>p</w:t>
      </w:r>
      <w:r w:rsidR="00F53179" w:rsidRPr="00D25DA8">
        <w:rPr>
          <w:szCs w:val="20"/>
          <w:lang w:val="es-PE"/>
        </w:rPr>
        <w:t>tiembre de 1996</w:t>
      </w:r>
      <w:r w:rsidR="00850E9A">
        <w:rPr>
          <w:rStyle w:val="Refdenotaalpie"/>
        </w:rPr>
        <w:footnoteReference w:id="42"/>
      </w:r>
      <w:r w:rsidR="00850E9A">
        <w:rPr>
          <w:szCs w:val="20"/>
        </w:rPr>
        <w:t xml:space="preserve">. </w:t>
      </w:r>
    </w:p>
    <w:p w14:paraId="58BC27DE" w14:textId="547F83D8" w:rsidR="001207DF" w:rsidRPr="00094645" w:rsidRDefault="001207DF" w:rsidP="00404C7B">
      <w:pPr>
        <w:pStyle w:val="Prrafodelista"/>
        <w:numPr>
          <w:ilvl w:val="0"/>
          <w:numId w:val="2"/>
        </w:numPr>
        <w:tabs>
          <w:tab w:val="left" w:pos="630"/>
        </w:tabs>
        <w:spacing w:before="120" w:after="120"/>
        <w:ind w:left="0" w:firstLine="0"/>
        <w:contextualSpacing w:val="0"/>
        <w:rPr>
          <w:i/>
          <w:szCs w:val="20"/>
          <w:lang w:val="es-PE"/>
        </w:rPr>
      </w:pPr>
      <w:r>
        <w:rPr>
          <w:szCs w:val="20"/>
        </w:rPr>
        <w:t>El 2 de agosto de 1996</w:t>
      </w:r>
      <w:r w:rsidRPr="003B376F">
        <w:rPr>
          <w:szCs w:val="20"/>
        </w:rPr>
        <w:t xml:space="preserve"> </w:t>
      </w:r>
      <w:r>
        <w:rPr>
          <w:szCs w:val="20"/>
        </w:rPr>
        <w:t>el Ministerio Público recomendó la exhumación del cadáver del fallecido a los efectos de la realización de una nueva autopsia</w:t>
      </w:r>
      <w:r>
        <w:rPr>
          <w:rStyle w:val="Refdenotaalpie"/>
        </w:rPr>
        <w:footnoteReference w:id="43"/>
      </w:r>
      <w:r>
        <w:rPr>
          <w:szCs w:val="20"/>
        </w:rPr>
        <w:t xml:space="preserve">. El 5 de septiembre de 1996 se ordenó la exhumación y una segunda autopsia al cuerpo de Vicente Noguera, la cual se realizó el 9 de septiembre de 1996. </w:t>
      </w:r>
      <w:r>
        <w:rPr>
          <w:szCs w:val="20"/>
          <w:lang w:val="es-PE"/>
        </w:rPr>
        <w:t xml:space="preserve">En el informe de la autopsia </w:t>
      </w:r>
      <w:r w:rsidRPr="00D25DA8">
        <w:rPr>
          <w:szCs w:val="20"/>
          <w:lang w:val="es-PE"/>
        </w:rPr>
        <w:t>se concluy</w:t>
      </w:r>
      <w:r>
        <w:rPr>
          <w:szCs w:val="20"/>
          <w:lang w:val="es-PE"/>
        </w:rPr>
        <w:t>ó</w:t>
      </w:r>
      <w:r w:rsidRPr="00D25DA8">
        <w:rPr>
          <w:szCs w:val="20"/>
          <w:lang w:val="es-PE"/>
        </w:rPr>
        <w:t xml:space="preserve"> que no se observan “lesiones de evidencia traumática en piel, músculos y huesos” y que la muerte se produjo a causa de “neumonitis intersticial con importante edema alveolar y hemorragia”</w:t>
      </w:r>
      <w:r w:rsidRPr="00D25DA8">
        <w:rPr>
          <w:rStyle w:val="Refdenotaalpie"/>
          <w:lang w:val="es-PE"/>
        </w:rPr>
        <w:footnoteReference w:id="44"/>
      </w:r>
      <w:r w:rsidRPr="00D25DA8">
        <w:rPr>
          <w:szCs w:val="20"/>
          <w:lang w:val="es-PE"/>
        </w:rPr>
        <w:t>.</w:t>
      </w:r>
    </w:p>
    <w:p w14:paraId="39CEBA22" w14:textId="694BFFA3" w:rsidR="001207DF" w:rsidRPr="00D0374D" w:rsidRDefault="001207DF" w:rsidP="001207DF">
      <w:pPr>
        <w:pStyle w:val="Prrafodelista"/>
        <w:numPr>
          <w:ilvl w:val="0"/>
          <w:numId w:val="2"/>
        </w:numPr>
        <w:tabs>
          <w:tab w:val="left" w:pos="630"/>
        </w:tabs>
        <w:spacing w:before="120" w:after="120"/>
        <w:ind w:left="0" w:firstLine="0"/>
        <w:contextualSpacing w:val="0"/>
        <w:rPr>
          <w:szCs w:val="20"/>
          <w:lang w:val="es-CR"/>
        </w:rPr>
      </w:pPr>
      <w:r w:rsidRPr="001D6DA0">
        <w:rPr>
          <w:szCs w:val="20"/>
          <w:lang w:val="es-PE"/>
        </w:rPr>
        <w:t>El 19 de se</w:t>
      </w:r>
      <w:r w:rsidR="00A658D1">
        <w:rPr>
          <w:szCs w:val="20"/>
          <w:lang w:val="es-PE"/>
        </w:rPr>
        <w:t>p</w:t>
      </w:r>
      <w:r w:rsidRPr="001D6DA0">
        <w:rPr>
          <w:szCs w:val="20"/>
          <w:lang w:val="es-PE"/>
        </w:rPr>
        <w:t xml:space="preserve">tiembre de 1996, el Juzgado Criminal del 11° Turno remitió los actuados en la investigación a la jurisdicción de Mariscal Estigarribia, por considerar que los hechos ocurrieron </w:t>
      </w:r>
      <w:r w:rsidRPr="00D0374D">
        <w:rPr>
          <w:szCs w:val="20"/>
          <w:lang w:val="es-PE"/>
        </w:rPr>
        <w:t>en dicha localidad</w:t>
      </w:r>
      <w:r w:rsidRPr="00F53179">
        <w:rPr>
          <w:rStyle w:val="Refdenotaalpie"/>
          <w:lang w:val="es-PE"/>
        </w:rPr>
        <w:footnoteReference w:id="45"/>
      </w:r>
      <w:r w:rsidRPr="001D6DA0">
        <w:rPr>
          <w:szCs w:val="20"/>
          <w:lang w:val="es-PE"/>
        </w:rPr>
        <w:t>. Ante dicha situación, un nuevo juez de instrucción asumió la conducción del proceso, pero fue recusado por María Noguera alegando que la indujo a error y mantenía animadversión personal contra ella</w:t>
      </w:r>
      <w:r>
        <w:rPr>
          <w:szCs w:val="20"/>
          <w:lang w:val="es-PE"/>
        </w:rPr>
        <w:t>. E</w:t>
      </w:r>
      <w:r w:rsidRPr="001D6DA0">
        <w:rPr>
          <w:szCs w:val="20"/>
          <w:lang w:val="es-PE"/>
        </w:rPr>
        <w:t>l Tribunal de Apelaciones en lo Cri</w:t>
      </w:r>
      <w:r w:rsidRPr="00D0374D">
        <w:rPr>
          <w:szCs w:val="20"/>
          <w:lang w:val="es-PE"/>
        </w:rPr>
        <w:t xml:space="preserve">minal </w:t>
      </w:r>
      <w:r>
        <w:rPr>
          <w:szCs w:val="20"/>
          <w:lang w:val="es-PE"/>
        </w:rPr>
        <w:t>hizo</w:t>
      </w:r>
      <w:r w:rsidRPr="00D0374D">
        <w:rPr>
          <w:szCs w:val="20"/>
          <w:lang w:val="es-PE"/>
        </w:rPr>
        <w:t xml:space="preserve"> lugar</w:t>
      </w:r>
      <w:r>
        <w:rPr>
          <w:szCs w:val="20"/>
          <w:lang w:val="es-PE"/>
        </w:rPr>
        <w:t xml:space="preserve"> a</w:t>
      </w:r>
      <w:r w:rsidRPr="00D0374D">
        <w:rPr>
          <w:szCs w:val="20"/>
          <w:lang w:val="es-PE"/>
        </w:rPr>
        <w:t xml:space="preserve"> la recusación basándose “en que las expresiones vertidas por la recusante, son graves y más que suficientes para justificar por razones de prudencia la separación del Juez”</w:t>
      </w:r>
      <w:r w:rsidRPr="00F53179">
        <w:rPr>
          <w:rStyle w:val="Refdenotaalpie"/>
          <w:lang w:val="es-PE"/>
        </w:rPr>
        <w:footnoteReference w:id="46"/>
      </w:r>
      <w:r w:rsidRPr="001D6DA0">
        <w:rPr>
          <w:szCs w:val="20"/>
          <w:lang w:val="es-PE"/>
        </w:rPr>
        <w:t>.</w:t>
      </w:r>
      <w:r>
        <w:rPr>
          <w:szCs w:val="20"/>
          <w:lang w:val="es-PE"/>
        </w:rPr>
        <w:t xml:space="preserve"> S</w:t>
      </w:r>
      <w:r w:rsidRPr="001D6DA0">
        <w:rPr>
          <w:szCs w:val="20"/>
          <w:lang w:val="es-PE"/>
        </w:rPr>
        <w:t>e inició un conflicto de competencia negativ</w:t>
      </w:r>
      <w:r w:rsidRPr="00D0374D">
        <w:rPr>
          <w:szCs w:val="20"/>
          <w:lang w:val="es-PE"/>
        </w:rPr>
        <w:t>a entre los jueces involucrados, puesto que ninguno se reconocía con jurisdicción para conocer la investigación. Al res</w:t>
      </w:r>
      <w:r w:rsidR="00A658D1">
        <w:rPr>
          <w:szCs w:val="20"/>
          <w:lang w:val="es-PE"/>
        </w:rPr>
        <w:t>pecto, el 26 de febrero de 1999</w:t>
      </w:r>
      <w:r w:rsidRPr="00D0374D">
        <w:rPr>
          <w:szCs w:val="20"/>
          <w:lang w:val="es-PE"/>
        </w:rPr>
        <w:t xml:space="preserve"> la Corte Suprema resolvió declarando competente al Juez de Primer Turno perteneciente a la jurisdicción de Mariscal Estigarribia</w:t>
      </w:r>
      <w:r w:rsidRPr="00D25DA8">
        <w:rPr>
          <w:rStyle w:val="Refdenotaalpie"/>
          <w:lang w:val="es-PE"/>
        </w:rPr>
        <w:footnoteReference w:id="47"/>
      </w:r>
      <w:r w:rsidRPr="001D6DA0">
        <w:rPr>
          <w:szCs w:val="20"/>
          <w:lang w:val="es-PE"/>
        </w:rPr>
        <w:t xml:space="preserve">. </w:t>
      </w:r>
    </w:p>
    <w:p w14:paraId="0BF5C84B" w14:textId="06800556" w:rsidR="00F53179" w:rsidRPr="005D01A9" w:rsidRDefault="00F53179" w:rsidP="00404C7B">
      <w:pPr>
        <w:pStyle w:val="Prrafodelista"/>
        <w:numPr>
          <w:ilvl w:val="0"/>
          <w:numId w:val="2"/>
        </w:numPr>
        <w:tabs>
          <w:tab w:val="left" w:pos="630"/>
        </w:tabs>
        <w:spacing w:before="120" w:after="120"/>
        <w:ind w:left="0" w:firstLine="0"/>
        <w:contextualSpacing w:val="0"/>
        <w:rPr>
          <w:szCs w:val="20"/>
          <w:lang w:val="es-CR"/>
        </w:rPr>
      </w:pPr>
      <w:r w:rsidRPr="005D01A9">
        <w:rPr>
          <w:szCs w:val="20"/>
          <w:lang w:val="es-PE"/>
        </w:rPr>
        <w:lastRenderedPageBreak/>
        <w:t xml:space="preserve">El 2 de octubre de 1996, el </w:t>
      </w:r>
      <w:r w:rsidR="00D0374D" w:rsidRPr="005D01A9">
        <w:rPr>
          <w:szCs w:val="20"/>
          <w:lang w:val="es-PE"/>
        </w:rPr>
        <w:t xml:space="preserve">Juzgado </w:t>
      </w:r>
      <w:r w:rsidRPr="005D01A9">
        <w:rPr>
          <w:szCs w:val="20"/>
          <w:lang w:val="es-PE"/>
        </w:rPr>
        <w:t>admiti</w:t>
      </w:r>
      <w:r w:rsidR="00363F94">
        <w:rPr>
          <w:szCs w:val="20"/>
          <w:lang w:val="es-PE"/>
        </w:rPr>
        <w:t>ó</w:t>
      </w:r>
      <w:r w:rsidRPr="005D01A9">
        <w:rPr>
          <w:szCs w:val="20"/>
          <w:lang w:val="es-PE"/>
        </w:rPr>
        <w:t xml:space="preserve"> la querella criminal “contra </w:t>
      </w:r>
      <w:r w:rsidRPr="00404C7B">
        <w:rPr>
          <w:szCs w:val="20"/>
        </w:rPr>
        <w:t>personas</w:t>
      </w:r>
      <w:r w:rsidRPr="005D01A9">
        <w:rPr>
          <w:szCs w:val="20"/>
          <w:lang w:val="es-PE"/>
        </w:rPr>
        <w:t xml:space="preserve"> innominadas por la supuesta comisión de los delitos de homicidio, lesión corporal, abuso de autoridad”</w:t>
      </w:r>
      <w:r w:rsidRPr="005D01A9">
        <w:rPr>
          <w:rStyle w:val="Refdenotaalpie"/>
          <w:lang w:val="es-PE"/>
        </w:rPr>
        <w:footnoteReference w:id="48"/>
      </w:r>
      <w:r w:rsidRPr="005D01A9">
        <w:rPr>
          <w:szCs w:val="20"/>
          <w:lang w:val="es-PE"/>
        </w:rPr>
        <w:t xml:space="preserve">. </w:t>
      </w:r>
    </w:p>
    <w:p w14:paraId="23B5114F" w14:textId="64971AB6" w:rsidR="00B87B80" w:rsidRPr="003B376F" w:rsidRDefault="00635AA1" w:rsidP="00404C7B">
      <w:pPr>
        <w:pStyle w:val="Prrafodelista"/>
        <w:numPr>
          <w:ilvl w:val="0"/>
          <w:numId w:val="2"/>
        </w:numPr>
        <w:tabs>
          <w:tab w:val="left" w:pos="630"/>
        </w:tabs>
        <w:spacing w:before="120" w:after="120"/>
        <w:ind w:left="0" w:firstLine="0"/>
        <w:contextualSpacing w:val="0"/>
        <w:rPr>
          <w:rFonts w:eastAsia="Verdana" w:cs="Verdana"/>
          <w:i/>
          <w:szCs w:val="20"/>
        </w:rPr>
      </w:pPr>
      <w:r>
        <w:rPr>
          <w:szCs w:val="20"/>
        </w:rPr>
        <w:t xml:space="preserve">Entre abril y julio de 1999, el agente Fiscal intimó a la </w:t>
      </w:r>
      <w:r w:rsidR="00A658D1">
        <w:rPr>
          <w:szCs w:val="20"/>
        </w:rPr>
        <w:t>querellante</w:t>
      </w:r>
      <w:r>
        <w:rPr>
          <w:szCs w:val="20"/>
        </w:rPr>
        <w:t xml:space="preserve"> a present</w:t>
      </w:r>
      <w:r w:rsidR="005A1934">
        <w:rPr>
          <w:szCs w:val="20"/>
        </w:rPr>
        <w:t>ar</w:t>
      </w:r>
      <w:r>
        <w:rPr>
          <w:szCs w:val="20"/>
        </w:rPr>
        <w:t xml:space="preserve"> las direcciones de las personas que </w:t>
      </w:r>
      <w:r w:rsidR="005A1934">
        <w:rPr>
          <w:szCs w:val="20"/>
        </w:rPr>
        <w:t>c</w:t>
      </w:r>
      <w:r>
        <w:rPr>
          <w:szCs w:val="20"/>
        </w:rPr>
        <w:t xml:space="preserve">onocían de las </w:t>
      </w:r>
      <w:r w:rsidRPr="00404C7B">
        <w:rPr>
          <w:szCs w:val="20"/>
          <w:lang w:val="es-PE"/>
        </w:rPr>
        <w:t>circunstancias</w:t>
      </w:r>
      <w:r>
        <w:rPr>
          <w:szCs w:val="20"/>
        </w:rPr>
        <w:t xml:space="preserve"> de la muerte de </w:t>
      </w:r>
      <w:r w:rsidR="00BE1DB8">
        <w:rPr>
          <w:szCs w:val="20"/>
        </w:rPr>
        <w:t xml:space="preserve">Vicente </w:t>
      </w:r>
      <w:r>
        <w:rPr>
          <w:szCs w:val="20"/>
        </w:rPr>
        <w:t xml:space="preserve">Noguera. </w:t>
      </w:r>
      <w:r w:rsidR="005D01A9">
        <w:rPr>
          <w:szCs w:val="20"/>
        </w:rPr>
        <w:t>María Noguera</w:t>
      </w:r>
      <w:r>
        <w:rPr>
          <w:szCs w:val="20"/>
        </w:rPr>
        <w:t xml:space="preserve"> solicitó en dos ocasiones que se intimara al jefe de las Fuerzas Armadas de la Nación para que proporcionara dicha información</w:t>
      </w:r>
      <w:r>
        <w:rPr>
          <w:rStyle w:val="Refdenotaalpie"/>
        </w:rPr>
        <w:footnoteReference w:id="49"/>
      </w:r>
      <w:r>
        <w:rPr>
          <w:szCs w:val="20"/>
        </w:rPr>
        <w:t>. El 18 de julio de 2001</w:t>
      </w:r>
      <w:r w:rsidR="0089174E">
        <w:rPr>
          <w:szCs w:val="20"/>
        </w:rPr>
        <w:t xml:space="preserve"> mediante Dictamen Fiscal se reiteró al jefe de las Fuerzas Armadas que remitiera las direcciones de las personas individualizadas como testigos</w:t>
      </w:r>
      <w:r w:rsidR="0089174E">
        <w:rPr>
          <w:rStyle w:val="Refdenotaalpie"/>
        </w:rPr>
        <w:footnoteReference w:id="50"/>
      </w:r>
      <w:r w:rsidR="0089174E">
        <w:rPr>
          <w:szCs w:val="20"/>
        </w:rPr>
        <w:t xml:space="preserve">. El 31 de agosto de 2001 el </w:t>
      </w:r>
      <w:r w:rsidR="003251E2">
        <w:rPr>
          <w:szCs w:val="20"/>
        </w:rPr>
        <w:t xml:space="preserve">Presidente </w:t>
      </w:r>
      <w:r w:rsidR="0089174E">
        <w:rPr>
          <w:szCs w:val="20"/>
        </w:rPr>
        <w:t xml:space="preserve">de la Corte Suprema de Justicia Militar remitió solo el auto de sobreseimiento de la investigación por la muerte </w:t>
      </w:r>
      <w:proofErr w:type="gramStart"/>
      <w:r w:rsidR="0089174E">
        <w:rPr>
          <w:szCs w:val="20"/>
        </w:rPr>
        <w:t>de la</w:t>
      </w:r>
      <w:proofErr w:type="gramEnd"/>
      <w:r w:rsidR="0089174E">
        <w:rPr>
          <w:szCs w:val="20"/>
        </w:rPr>
        <w:t xml:space="preserve"> </w:t>
      </w:r>
      <w:r w:rsidR="00A658D1">
        <w:rPr>
          <w:szCs w:val="20"/>
        </w:rPr>
        <w:t xml:space="preserve">Vicente Noguera </w:t>
      </w:r>
      <w:r w:rsidR="0089174E">
        <w:rPr>
          <w:szCs w:val="20"/>
        </w:rPr>
        <w:t xml:space="preserve">y las direcciones solicitadas. </w:t>
      </w:r>
    </w:p>
    <w:p w14:paraId="14C985A4" w14:textId="0FD699E0" w:rsidR="00B87B80" w:rsidRPr="0084517E" w:rsidRDefault="00697919" w:rsidP="00404C7B">
      <w:pPr>
        <w:pStyle w:val="Prrafodelista"/>
        <w:numPr>
          <w:ilvl w:val="0"/>
          <w:numId w:val="2"/>
        </w:numPr>
        <w:tabs>
          <w:tab w:val="left" w:pos="630"/>
        </w:tabs>
        <w:spacing w:before="120" w:after="120"/>
        <w:ind w:left="0" w:firstLine="0"/>
        <w:contextualSpacing w:val="0"/>
        <w:rPr>
          <w:rFonts w:cs="Batang"/>
          <w:szCs w:val="20"/>
          <w:lang w:val="es-CR"/>
        </w:rPr>
      </w:pPr>
      <w:r w:rsidRPr="003B376F">
        <w:rPr>
          <w:rFonts w:cs="Batang"/>
          <w:szCs w:val="20"/>
        </w:rPr>
        <w:t xml:space="preserve">El </w:t>
      </w:r>
      <w:r w:rsidR="0089174E" w:rsidRPr="0089174E">
        <w:rPr>
          <w:rFonts w:cs="Batang"/>
          <w:szCs w:val="20"/>
          <w:lang w:val="es-CR"/>
        </w:rPr>
        <w:t>6 de noviembre de 2002</w:t>
      </w:r>
      <w:r w:rsidR="00005E79">
        <w:rPr>
          <w:rFonts w:cs="Batang"/>
          <w:szCs w:val="20"/>
          <w:lang w:val="es-CR"/>
        </w:rPr>
        <w:t>,</w:t>
      </w:r>
      <w:r w:rsidR="0089174E" w:rsidRPr="0089174E">
        <w:rPr>
          <w:rFonts w:cs="Batang"/>
          <w:szCs w:val="20"/>
          <w:lang w:val="es-CR"/>
        </w:rPr>
        <w:t xml:space="preserve"> el Juez Penal de Liquidación</w:t>
      </w:r>
      <w:r w:rsidR="00142E78">
        <w:rPr>
          <w:rFonts w:cs="Batang"/>
          <w:szCs w:val="20"/>
          <w:lang w:val="es-CR"/>
        </w:rPr>
        <w:t xml:space="preserve"> y </w:t>
      </w:r>
      <w:r w:rsidR="00295A08" w:rsidRPr="00271D4A">
        <w:rPr>
          <w:rFonts w:cs="Batang"/>
          <w:szCs w:val="20"/>
          <w:lang w:val="es-CR"/>
        </w:rPr>
        <w:t>Sentencia</w:t>
      </w:r>
      <w:r w:rsidR="0089174E" w:rsidRPr="0089174E">
        <w:rPr>
          <w:rFonts w:cs="Batang"/>
          <w:szCs w:val="20"/>
          <w:lang w:val="es-CR"/>
        </w:rPr>
        <w:t xml:space="preserve"> archivó el pedido</w:t>
      </w:r>
      <w:r w:rsidR="0089174E">
        <w:rPr>
          <w:rFonts w:cs="Batang"/>
          <w:szCs w:val="20"/>
          <w:lang w:val="es-CR"/>
        </w:rPr>
        <w:t xml:space="preserve"> </w:t>
      </w:r>
      <w:r w:rsidR="0089174E" w:rsidRPr="0089174E">
        <w:rPr>
          <w:rFonts w:cs="Batang"/>
          <w:szCs w:val="20"/>
          <w:lang w:val="es-CR"/>
        </w:rPr>
        <w:t>de investigación</w:t>
      </w:r>
      <w:r w:rsidR="00852419">
        <w:rPr>
          <w:rFonts w:cs="Batang"/>
          <w:szCs w:val="20"/>
          <w:lang w:val="es-CR"/>
        </w:rPr>
        <w:t xml:space="preserve"> con </w:t>
      </w:r>
      <w:r w:rsidR="003251E2">
        <w:rPr>
          <w:rFonts w:cs="Batang"/>
          <w:szCs w:val="20"/>
          <w:lang w:val="es-CR"/>
        </w:rPr>
        <w:t xml:space="preserve">fundamento </w:t>
      </w:r>
      <w:r w:rsidR="00852419">
        <w:rPr>
          <w:rFonts w:cs="Batang"/>
          <w:szCs w:val="20"/>
          <w:lang w:val="es-CR"/>
        </w:rPr>
        <w:t>e</w:t>
      </w:r>
      <w:r w:rsidR="0089174E" w:rsidRPr="0089174E">
        <w:rPr>
          <w:rFonts w:cs="Batang"/>
          <w:szCs w:val="20"/>
          <w:lang w:val="es-CR"/>
        </w:rPr>
        <w:t>n el artículo 7 de la Ley</w:t>
      </w:r>
      <w:r w:rsidR="0089174E">
        <w:rPr>
          <w:rFonts w:cs="Batang"/>
          <w:szCs w:val="20"/>
          <w:lang w:val="es-CR"/>
        </w:rPr>
        <w:t xml:space="preserve"> </w:t>
      </w:r>
      <w:r w:rsidR="00005E79">
        <w:rPr>
          <w:rFonts w:cs="Batang"/>
          <w:szCs w:val="20"/>
          <w:lang w:val="es-CR"/>
        </w:rPr>
        <w:t xml:space="preserve">1444/99 que establece que </w:t>
      </w:r>
      <w:r w:rsidR="0089174E" w:rsidRPr="0089174E">
        <w:rPr>
          <w:rFonts w:cs="Batang"/>
          <w:szCs w:val="20"/>
          <w:lang w:val="es-CR"/>
        </w:rPr>
        <w:t xml:space="preserve">en los </w:t>
      </w:r>
      <w:r w:rsidR="0089174E" w:rsidRPr="00404C7B">
        <w:rPr>
          <w:szCs w:val="20"/>
          <w:lang w:val="es-PE"/>
        </w:rPr>
        <w:t>proceso</w:t>
      </w:r>
      <w:r w:rsidR="00005E79" w:rsidRPr="00404C7B">
        <w:rPr>
          <w:szCs w:val="20"/>
          <w:lang w:val="es-PE"/>
        </w:rPr>
        <w:t>s</w:t>
      </w:r>
      <w:r w:rsidR="0089174E" w:rsidRPr="0089174E">
        <w:rPr>
          <w:rFonts w:cs="Batang"/>
          <w:szCs w:val="20"/>
          <w:lang w:val="es-CR"/>
        </w:rPr>
        <w:t xml:space="preserve"> con imputados no individualizados, el Juzgado decretará el</w:t>
      </w:r>
      <w:r w:rsidR="0089174E">
        <w:rPr>
          <w:rFonts w:cs="Batang"/>
          <w:szCs w:val="20"/>
          <w:lang w:val="es-CR"/>
        </w:rPr>
        <w:t xml:space="preserve"> </w:t>
      </w:r>
      <w:r w:rsidR="006A1C8C">
        <w:rPr>
          <w:rFonts w:cs="Batang"/>
          <w:szCs w:val="20"/>
          <w:lang w:val="es-CR"/>
        </w:rPr>
        <w:t>archivo</w:t>
      </w:r>
      <w:r w:rsidR="0089174E" w:rsidRPr="0089174E">
        <w:rPr>
          <w:rFonts w:cs="Batang"/>
          <w:szCs w:val="20"/>
          <w:lang w:val="es-CR"/>
        </w:rPr>
        <w:t xml:space="preserve"> del expediente, cuando el Ministerio Público o las partes, dentro del plazo de seis meses, no</w:t>
      </w:r>
      <w:r w:rsidR="0089174E">
        <w:rPr>
          <w:rFonts w:cs="Batang"/>
          <w:szCs w:val="20"/>
          <w:lang w:val="es-CR"/>
        </w:rPr>
        <w:t xml:space="preserve"> </w:t>
      </w:r>
      <w:r w:rsidR="0089174E" w:rsidRPr="0089174E">
        <w:rPr>
          <w:rFonts w:cs="Batang"/>
          <w:szCs w:val="20"/>
          <w:lang w:val="es-CR"/>
        </w:rPr>
        <w:t xml:space="preserve">hubiesen formulado peticiones o realizado actos o diligencias pertinentes </w:t>
      </w:r>
      <w:r w:rsidR="00005E79">
        <w:rPr>
          <w:rFonts w:cs="Batang"/>
          <w:szCs w:val="20"/>
          <w:lang w:val="es-CR"/>
        </w:rPr>
        <w:t>para dar continuidad a la causa</w:t>
      </w:r>
      <w:r w:rsidRPr="003B376F">
        <w:rPr>
          <w:rStyle w:val="Refdenotaalpie"/>
          <w:rFonts w:cs="Batang"/>
        </w:rPr>
        <w:footnoteReference w:id="51"/>
      </w:r>
      <w:r w:rsidRPr="0089174E">
        <w:rPr>
          <w:szCs w:val="20"/>
          <w:lang w:val="es-US"/>
        </w:rPr>
        <w:t>.</w:t>
      </w:r>
      <w:r w:rsidRPr="0089174E">
        <w:rPr>
          <w:rFonts w:cs="Batang"/>
          <w:szCs w:val="20"/>
        </w:rPr>
        <w:t xml:space="preserve"> </w:t>
      </w:r>
    </w:p>
    <w:p w14:paraId="2E5B45B6" w14:textId="298BA120" w:rsidR="0084517E" w:rsidRPr="005C3219" w:rsidRDefault="005C3219" w:rsidP="00404C7B">
      <w:pPr>
        <w:pStyle w:val="Prrafodelista"/>
        <w:numPr>
          <w:ilvl w:val="0"/>
          <w:numId w:val="2"/>
        </w:numPr>
        <w:tabs>
          <w:tab w:val="left" w:pos="630"/>
        </w:tabs>
        <w:spacing w:before="120" w:after="120"/>
        <w:ind w:left="0" w:firstLine="0"/>
        <w:contextualSpacing w:val="0"/>
        <w:rPr>
          <w:rFonts w:cs="Batang"/>
          <w:szCs w:val="20"/>
          <w:lang w:val="es-CR"/>
        </w:rPr>
      </w:pPr>
      <w:r w:rsidRPr="005C3219">
        <w:rPr>
          <w:rFonts w:eastAsiaTheme="minorHAnsi" w:cs="Calibri"/>
          <w:szCs w:val="20"/>
          <w:lang w:val="es-CR"/>
        </w:rPr>
        <w:t>El 28 de mayo de</w:t>
      </w:r>
      <w:r w:rsidR="0084517E" w:rsidRPr="005C3219">
        <w:rPr>
          <w:rFonts w:eastAsiaTheme="minorHAnsi" w:cs="Calibri"/>
          <w:szCs w:val="20"/>
          <w:lang w:val="es-CR"/>
        </w:rPr>
        <w:t xml:space="preserve"> 2012 se reabrió la investigación por la muerte de Vicente Noguera</w:t>
      </w:r>
      <w:r w:rsidRPr="005C3219">
        <w:rPr>
          <w:rFonts w:eastAsiaTheme="minorHAnsi" w:cs="Calibri"/>
          <w:szCs w:val="20"/>
          <w:lang w:val="es-CR"/>
        </w:rPr>
        <w:t xml:space="preserve"> en cumplimiento de lo establecido por el Acuerdo de Solución Amistosa</w:t>
      </w:r>
      <w:r w:rsidRPr="005C3219">
        <w:rPr>
          <w:rStyle w:val="Refdenotaalpie"/>
          <w:rFonts w:eastAsiaTheme="minorHAnsi"/>
          <w:lang w:val="es-CR"/>
        </w:rPr>
        <w:footnoteReference w:id="52"/>
      </w:r>
      <w:r w:rsidR="0084517E" w:rsidRPr="005C3219">
        <w:rPr>
          <w:rFonts w:eastAsiaTheme="minorHAnsi" w:cs="Calibri"/>
          <w:szCs w:val="20"/>
          <w:lang w:val="es-CR"/>
        </w:rPr>
        <w:t xml:space="preserve">. En el año 2013 la Fiscal </w:t>
      </w:r>
      <w:r w:rsidRPr="005C3219">
        <w:rPr>
          <w:rFonts w:eastAsiaTheme="minorHAnsi" w:cs="Calibri"/>
          <w:szCs w:val="20"/>
          <w:lang w:val="es-CR"/>
        </w:rPr>
        <w:t xml:space="preserve">a cargo </w:t>
      </w:r>
      <w:r w:rsidR="0084517E" w:rsidRPr="005C3219">
        <w:rPr>
          <w:rFonts w:eastAsiaTheme="minorHAnsi" w:cs="Calibri"/>
          <w:szCs w:val="20"/>
          <w:lang w:val="es-CR"/>
        </w:rPr>
        <w:t xml:space="preserve">solicitó diligencias vinculadas al Acuerdo de Solución Amistosa para la conformación de una junta médica que realizara un estudio adicional relacionado con las autopsias, que se llevó </w:t>
      </w:r>
      <w:r w:rsidR="00205701">
        <w:rPr>
          <w:rFonts w:eastAsiaTheme="minorHAnsi" w:cs="Calibri"/>
          <w:szCs w:val="20"/>
          <w:lang w:val="es-CR"/>
        </w:rPr>
        <w:t xml:space="preserve">a cabo </w:t>
      </w:r>
      <w:r w:rsidR="0084517E" w:rsidRPr="005C3219">
        <w:rPr>
          <w:rFonts w:eastAsiaTheme="minorHAnsi" w:cs="Calibri"/>
          <w:szCs w:val="20"/>
          <w:lang w:val="es-CR"/>
        </w:rPr>
        <w:t>el 1 de octubre del mismo año</w:t>
      </w:r>
      <w:r w:rsidR="00164819">
        <w:rPr>
          <w:rStyle w:val="Refdenotaalpie"/>
          <w:rFonts w:eastAsiaTheme="minorHAnsi"/>
          <w:lang w:val="es-CR"/>
        </w:rPr>
        <w:footnoteReference w:id="53"/>
      </w:r>
      <w:r w:rsidR="003251E2">
        <w:rPr>
          <w:rFonts w:eastAsiaTheme="minorHAnsi" w:cs="Calibri"/>
          <w:szCs w:val="20"/>
          <w:lang w:val="es-CR"/>
        </w:rPr>
        <w:t>. El</w:t>
      </w:r>
      <w:r w:rsidR="0084517E" w:rsidRPr="005C3219">
        <w:rPr>
          <w:rFonts w:eastAsiaTheme="minorHAnsi" w:cs="Calibri"/>
          <w:szCs w:val="20"/>
          <w:lang w:val="es-CR"/>
        </w:rPr>
        <w:t xml:space="preserve"> 9 de octubre de 2013, </w:t>
      </w:r>
      <w:r w:rsidR="00164819">
        <w:rPr>
          <w:rFonts w:eastAsiaTheme="minorHAnsi" w:cs="Calibri"/>
          <w:szCs w:val="20"/>
          <w:lang w:val="es-CR"/>
        </w:rPr>
        <w:t xml:space="preserve">la junta médica presentó un </w:t>
      </w:r>
      <w:r w:rsidR="0084517E" w:rsidRPr="005C3219">
        <w:rPr>
          <w:rFonts w:eastAsiaTheme="minorHAnsi" w:cs="Calibri"/>
          <w:szCs w:val="20"/>
          <w:lang w:val="es-CR"/>
        </w:rPr>
        <w:t>informe en el</w:t>
      </w:r>
      <w:r w:rsidRPr="005C3219">
        <w:rPr>
          <w:rFonts w:eastAsiaTheme="minorHAnsi" w:cs="Calibri"/>
          <w:szCs w:val="20"/>
          <w:lang w:val="es-CR"/>
        </w:rPr>
        <w:t xml:space="preserve"> cual </w:t>
      </w:r>
      <w:r w:rsidR="00164819">
        <w:rPr>
          <w:rFonts w:eastAsiaTheme="minorHAnsi" w:cs="Calibri"/>
          <w:szCs w:val="20"/>
          <w:lang w:val="es-CR"/>
        </w:rPr>
        <w:t xml:space="preserve">se señala que </w:t>
      </w:r>
      <w:r w:rsidR="0084517E" w:rsidRPr="005C3219">
        <w:rPr>
          <w:rFonts w:eastAsiaTheme="minorHAnsi" w:cs="Calibri"/>
          <w:szCs w:val="20"/>
          <w:lang w:val="es-CR"/>
        </w:rPr>
        <w:t xml:space="preserve">la causa de la muerte </w:t>
      </w:r>
      <w:r w:rsidR="00164819">
        <w:rPr>
          <w:rFonts w:eastAsiaTheme="minorHAnsi" w:cs="Calibri"/>
          <w:szCs w:val="20"/>
          <w:lang w:val="es-CR"/>
        </w:rPr>
        <w:t xml:space="preserve">de Vicente Noguera </w:t>
      </w:r>
      <w:r w:rsidR="003251E2">
        <w:rPr>
          <w:rFonts w:eastAsiaTheme="minorHAnsi" w:cs="Calibri"/>
          <w:szCs w:val="20"/>
          <w:lang w:val="es-CR"/>
        </w:rPr>
        <w:t>es</w:t>
      </w:r>
      <w:r w:rsidR="003251E2" w:rsidRPr="005C3219">
        <w:rPr>
          <w:rFonts w:eastAsiaTheme="minorHAnsi" w:cs="Calibri"/>
          <w:szCs w:val="20"/>
          <w:lang w:val="es-CR"/>
        </w:rPr>
        <w:t xml:space="preserve"> </w:t>
      </w:r>
      <w:r w:rsidR="0084517E" w:rsidRPr="005C3219">
        <w:rPr>
          <w:rFonts w:eastAsiaTheme="minorHAnsi" w:cs="Calibri"/>
          <w:szCs w:val="20"/>
          <w:lang w:val="es-CR"/>
        </w:rPr>
        <w:t>una neumonitis aguda</w:t>
      </w:r>
      <w:r w:rsidR="00164819">
        <w:rPr>
          <w:rFonts w:eastAsiaTheme="minorHAnsi" w:cs="Calibri"/>
          <w:szCs w:val="20"/>
          <w:lang w:val="es-CR"/>
        </w:rPr>
        <w:t xml:space="preserve">, </w:t>
      </w:r>
      <w:r w:rsidR="0084517E" w:rsidRPr="005C3219">
        <w:rPr>
          <w:rFonts w:eastAsiaTheme="minorHAnsi" w:cs="Calibri"/>
          <w:szCs w:val="20"/>
          <w:lang w:val="es-CR"/>
        </w:rPr>
        <w:t>reconoc</w:t>
      </w:r>
      <w:r w:rsidR="00164819">
        <w:rPr>
          <w:rFonts w:eastAsiaTheme="minorHAnsi" w:cs="Calibri"/>
          <w:szCs w:val="20"/>
          <w:lang w:val="es-CR"/>
        </w:rPr>
        <w:t>ió</w:t>
      </w:r>
      <w:r w:rsidR="0084517E" w:rsidRPr="005C3219">
        <w:rPr>
          <w:rFonts w:eastAsiaTheme="minorHAnsi" w:cs="Calibri"/>
          <w:szCs w:val="20"/>
          <w:lang w:val="es-CR"/>
        </w:rPr>
        <w:t xml:space="preserve"> los resultados que dan negativo por Hantavirus realizados en Estados Unidos</w:t>
      </w:r>
      <w:r w:rsidR="00164819">
        <w:rPr>
          <w:rFonts w:eastAsiaTheme="minorHAnsi" w:cs="Calibri"/>
          <w:szCs w:val="20"/>
          <w:lang w:val="es-CR"/>
        </w:rPr>
        <w:t xml:space="preserve">, y constató que </w:t>
      </w:r>
      <w:r w:rsidR="0084517E" w:rsidRPr="005C3219">
        <w:rPr>
          <w:rFonts w:eastAsiaTheme="minorHAnsi" w:cs="Calibri"/>
          <w:szCs w:val="20"/>
          <w:lang w:val="es-CR"/>
        </w:rPr>
        <w:t>no se encuentran signos de apremio físico</w:t>
      </w:r>
      <w:r w:rsidR="00A658D1">
        <w:rPr>
          <w:rFonts w:eastAsiaTheme="minorHAnsi" w:cs="Calibri"/>
          <w:szCs w:val="20"/>
          <w:lang w:val="es-CR"/>
        </w:rPr>
        <w:t>, de modo tal que concluyó</w:t>
      </w:r>
      <w:r w:rsidR="00164819">
        <w:rPr>
          <w:rFonts w:eastAsiaTheme="minorHAnsi" w:cs="Calibri"/>
          <w:szCs w:val="20"/>
          <w:lang w:val="es-CR"/>
        </w:rPr>
        <w:t xml:space="preserve"> </w:t>
      </w:r>
      <w:r w:rsidR="0084517E" w:rsidRPr="005C3219">
        <w:rPr>
          <w:rFonts w:eastAsiaTheme="minorHAnsi" w:cs="Calibri"/>
          <w:szCs w:val="20"/>
          <w:lang w:val="es-CR"/>
        </w:rPr>
        <w:t>que se trata de una muerte natural producto de la evolución de un cuadro patológico</w:t>
      </w:r>
      <w:r w:rsidR="00164819">
        <w:rPr>
          <w:rStyle w:val="Refdenotaalpie"/>
          <w:rFonts w:eastAsiaTheme="minorHAnsi"/>
          <w:lang w:val="es-CR"/>
        </w:rPr>
        <w:footnoteReference w:id="54"/>
      </w:r>
      <w:r w:rsidR="00164819" w:rsidRPr="00404C7B">
        <w:rPr>
          <w:rFonts w:eastAsiaTheme="minorHAnsi" w:cs="Calibri"/>
          <w:szCs w:val="20"/>
          <w:lang w:val="es-CR"/>
        </w:rPr>
        <w:t>.</w:t>
      </w:r>
    </w:p>
    <w:p w14:paraId="59E59920" w14:textId="606D58F5" w:rsidR="005C3219" w:rsidRPr="005C3219" w:rsidRDefault="005C3219" w:rsidP="00404C7B">
      <w:pPr>
        <w:pStyle w:val="Prrafodelista"/>
        <w:numPr>
          <w:ilvl w:val="0"/>
          <w:numId w:val="2"/>
        </w:numPr>
        <w:tabs>
          <w:tab w:val="left" w:pos="630"/>
        </w:tabs>
        <w:spacing w:before="120" w:after="120"/>
        <w:ind w:left="0" w:firstLine="0"/>
        <w:contextualSpacing w:val="0"/>
        <w:rPr>
          <w:rFonts w:cs="Batang"/>
          <w:szCs w:val="20"/>
          <w:lang w:val="es-CR"/>
        </w:rPr>
      </w:pPr>
      <w:r>
        <w:rPr>
          <w:rFonts w:cs="Batang"/>
          <w:szCs w:val="20"/>
          <w:lang w:val="es-CR"/>
        </w:rPr>
        <w:t>Con posterioridad a la</w:t>
      </w:r>
      <w:r w:rsidRPr="005C3219">
        <w:rPr>
          <w:rFonts w:cs="Batang"/>
          <w:szCs w:val="20"/>
          <w:lang w:val="es-CR"/>
        </w:rPr>
        <w:t xml:space="preserve"> investigación correspondiente</w:t>
      </w:r>
      <w:r w:rsidR="00D0374D">
        <w:rPr>
          <w:rFonts w:cs="Batang"/>
          <w:szCs w:val="20"/>
          <w:lang w:val="es-CR"/>
        </w:rPr>
        <w:t>,</w:t>
      </w:r>
      <w:r w:rsidRPr="005C3219">
        <w:rPr>
          <w:rFonts w:cs="Batang"/>
          <w:szCs w:val="20"/>
          <w:lang w:val="es-CR"/>
        </w:rPr>
        <w:t xml:space="preserve"> la referida Agente Fiscal solicitó el sobreseimiento definitivo </w:t>
      </w:r>
      <w:r w:rsidR="000734C1">
        <w:rPr>
          <w:rFonts w:cs="Batang"/>
          <w:szCs w:val="20"/>
          <w:lang w:val="es-CR"/>
        </w:rPr>
        <w:t>el</w:t>
      </w:r>
      <w:r w:rsidRPr="005C3219">
        <w:rPr>
          <w:rFonts w:cs="Batang"/>
          <w:szCs w:val="20"/>
          <w:lang w:val="es-CR"/>
        </w:rPr>
        <w:t xml:space="preserve"> 31 de octubre de 2013, como también en el mismo sentido lo hizo el Fiscal Adjunto </w:t>
      </w:r>
      <w:r w:rsidR="000734C1">
        <w:rPr>
          <w:rFonts w:cs="Batang"/>
          <w:szCs w:val="20"/>
          <w:lang w:val="es-CR"/>
        </w:rPr>
        <w:t>el</w:t>
      </w:r>
      <w:r w:rsidRPr="005C3219">
        <w:rPr>
          <w:rFonts w:cs="Batang"/>
          <w:szCs w:val="20"/>
          <w:lang w:val="es-CR"/>
        </w:rPr>
        <w:t xml:space="preserve"> 20 de noviembre de 2013</w:t>
      </w:r>
      <w:r w:rsidR="00384046">
        <w:rPr>
          <w:rStyle w:val="Refdenotaalpie"/>
          <w:lang w:val="es-CR"/>
        </w:rPr>
        <w:footnoteReference w:id="55"/>
      </w:r>
      <w:r w:rsidRPr="005C3219">
        <w:rPr>
          <w:rFonts w:cs="Batang"/>
          <w:szCs w:val="20"/>
          <w:lang w:val="es-CR"/>
        </w:rPr>
        <w:t xml:space="preserve">. El 10 de marzo de 2014 se ordenó el </w:t>
      </w:r>
      <w:r w:rsidR="00353C75" w:rsidRPr="005C3219">
        <w:rPr>
          <w:rFonts w:cs="Batang"/>
          <w:szCs w:val="20"/>
          <w:lang w:val="es-CR"/>
        </w:rPr>
        <w:lastRenderedPageBreak/>
        <w:t>archiv</w:t>
      </w:r>
      <w:r w:rsidR="00353C75">
        <w:rPr>
          <w:rFonts w:cs="Batang"/>
          <w:szCs w:val="20"/>
          <w:lang w:val="es-CR"/>
        </w:rPr>
        <w:t>o</w:t>
      </w:r>
      <w:r w:rsidR="00353C75" w:rsidRPr="005C3219">
        <w:rPr>
          <w:rFonts w:cs="Batang"/>
          <w:szCs w:val="20"/>
          <w:lang w:val="es-CR"/>
        </w:rPr>
        <w:t xml:space="preserve"> </w:t>
      </w:r>
      <w:r w:rsidRPr="005C3219">
        <w:rPr>
          <w:rFonts w:cs="Batang"/>
          <w:szCs w:val="20"/>
          <w:lang w:val="es-CR"/>
        </w:rPr>
        <w:t>de la causa y no se hizo lugar al pedido de sobreseimiento libre efectuado por</w:t>
      </w:r>
      <w:r>
        <w:rPr>
          <w:rFonts w:cs="Batang"/>
          <w:szCs w:val="20"/>
          <w:lang w:val="es-CR"/>
        </w:rPr>
        <w:t xml:space="preserve"> </w:t>
      </w:r>
      <w:r w:rsidR="00A658D1">
        <w:rPr>
          <w:rFonts w:cs="Batang"/>
          <w:szCs w:val="20"/>
          <w:lang w:val="es-CR"/>
        </w:rPr>
        <w:t>r</w:t>
      </w:r>
      <w:r w:rsidRPr="005C3219">
        <w:rPr>
          <w:rFonts w:cs="Batang"/>
          <w:szCs w:val="20"/>
          <w:lang w:val="es-CR"/>
        </w:rPr>
        <w:t>epresentante</w:t>
      </w:r>
      <w:r>
        <w:rPr>
          <w:rFonts w:cs="Batang"/>
          <w:szCs w:val="20"/>
          <w:lang w:val="es-CR"/>
        </w:rPr>
        <w:t xml:space="preserve"> </w:t>
      </w:r>
      <w:r w:rsidRPr="005C3219">
        <w:rPr>
          <w:rFonts w:cs="Batang"/>
          <w:szCs w:val="20"/>
          <w:lang w:val="es-CR"/>
        </w:rPr>
        <w:t>del Minist</w:t>
      </w:r>
      <w:r>
        <w:rPr>
          <w:rFonts w:cs="Batang"/>
          <w:szCs w:val="20"/>
          <w:lang w:val="es-CR"/>
        </w:rPr>
        <w:t xml:space="preserve">erio Público </w:t>
      </w:r>
      <w:r w:rsidRPr="005C3219">
        <w:rPr>
          <w:rFonts w:cs="Batang"/>
          <w:szCs w:val="20"/>
          <w:lang w:val="es-CR"/>
        </w:rPr>
        <w:t>por improcedente</w:t>
      </w:r>
      <w:r>
        <w:rPr>
          <w:rStyle w:val="Refdenotaalpie"/>
          <w:lang w:val="es-CR"/>
        </w:rPr>
        <w:footnoteReference w:id="56"/>
      </w:r>
      <w:r>
        <w:rPr>
          <w:rFonts w:cs="Batang"/>
          <w:szCs w:val="20"/>
          <w:lang w:val="es-CR"/>
        </w:rPr>
        <w:t>.</w:t>
      </w:r>
    </w:p>
    <w:p w14:paraId="398CA027" w14:textId="5DFA87A4" w:rsidR="0084517E" w:rsidRPr="00404C7B" w:rsidRDefault="0084517E" w:rsidP="00404C7B">
      <w:pPr>
        <w:pStyle w:val="Prrafodelista"/>
        <w:numPr>
          <w:ilvl w:val="0"/>
          <w:numId w:val="2"/>
        </w:numPr>
        <w:tabs>
          <w:tab w:val="left" w:pos="630"/>
        </w:tabs>
        <w:spacing w:before="120" w:after="120"/>
        <w:ind w:left="0" w:firstLine="0"/>
        <w:contextualSpacing w:val="0"/>
        <w:rPr>
          <w:rFonts w:cs="Batang"/>
          <w:szCs w:val="20"/>
          <w:lang w:val="es-CR"/>
        </w:rPr>
      </w:pPr>
      <w:r w:rsidRPr="0084517E">
        <w:rPr>
          <w:rFonts w:cs="Batang"/>
          <w:szCs w:val="20"/>
        </w:rPr>
        <w:t xml:space="preserve">El 13 de diciembre de 2018, luego de </w:t>
      </w:r>
      <w:r w:rsidR="005A1934">
        <w:rPr>
          <w:rFonts w:cs="Batang"/>
          <w:szCs w:val="20"/>
        </w:rPr>
        <w:t>haber sido sometido el caso</w:t>
      </w:r>
      <w:r w:rsidRPr="0084517E">
        <w:rPr>
          <w:rFonts w:cs="Batang"/>
          <w:szCs w:val="20"/>
        </w:rPr>
        <w:t xml:space="preserve"> ante la Corte </w:t>
      </w:r>
      <w:r w:rsidRPr="0084517E">
        <w:rPr>
          <w:rFonts w:cs="Batang"/>
          <w:szCs w:val="20"/>
          <w:lang w:val="es-CR"/>
        </w:rPr>
        <w:t>Interamericana</w:t>
      </w:r>
      <w:r w:rsidRPr="0084517E">
        <w:rPr>
          <w:rFonts w:cs="Batang"/>
          <w:szCs w:val="20"/>
        </w:rPr>
        <w:t xml:space="preserve">, la Fiscalía de Derechos Humanos correspondiente al Ministerio Público, inició el procedimiento de apertura de la causa por tortura. En el formulario de ingreso de la </w:t>
      </w:r>
      <w:r w:rsidR="005A1934">
        <w:rPr>
          <w:rFonts w:cs="Batang"/>
          <w:szCs w:val="20"/>
        </w:rPr>
        <w:t>c</w:t>
      </w:r>
      <w:r w:rsidRPr="0084517E">
        <w:rPr>
          <w:rFonts w:cs="Batang"/>
          <w:szCs w:val="20"/>
        </w:rPr>
        <w:t>ausa se indicó que deben realizarse todas las diligencias pertinentes para llegar a la verdad real de los hechos y ten</w:t>
      </w:r>
      <w:r w:rsidR="005A1934">
        <w:rPr>
          <w:rFonts w:cs="Batang"/>
          <w:szCs w:val="20"/>
        </w:rPr>
        <w:t xml:space="preserve">er </w:t>
      </w:r>
      <w:r w:rsidRPr="0084517E">
        <w:rPr>
          <w:rFonts w:cs="Batang"/>
          <w:szCs w:val="20"/>
        </w:rPr>
        <w:t xml:space="preserve">en cuenta que los antecedentes investigativos con relación al caso se encuentran en la Unidad Especializada </w:t>
      </w:r>
      <w:r w:rsidR="002C116D" w:rsidRPr="0084517E">
        <w:rPr>
          <w:rFonts w:cs="Batang"/>
          <w:szCs w:val="20"/>
        </w:rPr>
        <w:t>N</w:t>
      </w:r>
      <w:r w:rsidR="002C116D">
        <w:rPr>
          <w:rFonts w:cs="Batang"/>
          <w:szCs w:val="20"/>
        </w:rPr>
        <w:t>o.</w:t>
      </w:r>
      <w:r w:rsidR="002C116D" w:rsidRPr="0084517E">
        <w:rPr>
          <w:rFonts w:cs="Batang"/>
          <w:szCs w:val="20"/>
        </w:rPr>
        <w:t xml:space="preserve"> </w:t>
      </w:r>
      <w:r w:rsidRPr="0084517E">
        <w:rPr>
          <w:rFonts w:cs="Batang"/>
          <w:szCs w:val="20"/>
        </w:rPr>
        <w:t>2 de Hechos Punibles contra los Derechos Humanos</w:t>
      </w:r>
      <w:r w:rsidRPr="0084517E">
        <w:rPr>
          <w:rStyle w:val="Refdenotaalpie"/>
        </w:rPr>
        <w:footnoteReference w:id="57"/>
      </w:r>
      <w:r w:rsidRPr="0084517E">
        <w:rPr>
          <w:rFonts w:cs="Batang"/>
          <w:szCs w:val="20"/>
        </w:rPr>
        <w:t>.</w:t>
      </w:r>
      <w:r w:rsidR="005C3219">
        <w:rPr>
          <w:rFonts w:cs="Batang"/>
          <w:szCs w:val="20"/>
        </w:rPr>
        <w:t xml:space="preserve"> Desde esa fecha se han </w:t>
      </w:r>
      <w:r w:rsidR="003251E2">
        <w:rPr>
          <w:rFonts w:cs="Batang"/>
          <w:szCs w:val="20"/>
        </w:rPr>
        <w:t xml:space="preserve">efectuado </w:t>
      </w:r>
      <w:r w:rsidR="005C3219">
        <w:rPr>
          <w:rFonts w:cs="Batang"/>
          <w:szCs w:val="20"/>
        </w:rPr>
        <w:t>algunas diligencias</w:t>
      </w:r>
      <w:r w:rsidR="00A658D1">
        <w:rPr>
          <w:rFonts w:cs="Batang"/>
          <w:szCs w:val="20"/>
        </w:rPr>
        <w:t>,</w:t>
      </w:r>
      <w:r w:rsidR="005C3219">
        <w:rPr>
          <w:rFonts w:cs="Batang"/>
          <w:szCs w:val="20"/>
        </w:rPr>
        <w:t xml:space="preserve"> tales como la realización de audiencia</w:t>
      </w:r>
      <w:r w:rsidR="00BF6857">
        <w:rPr>
          <w:rFonts w:cs="Batang"/>
          <w:szCs w:val="20"/>
        </w:rPr>
        <w:t>s</w:t>
      </w:r>
      <w:r w:rsidR="005C3219">
        <w:rPr>
          <w:rFonts w:cs="Batang"/>
          <w:szCs w:val="20"/>
        </w:rPr>
        <w:t xml:space="preserve"> para recabar declaraciones testimoniales</w:t>
      </w:r>
      <w:r w:rsidR="004006B3">
        <w:rPr>
          <w:rStyle w:val="Refdenotaalpie"/>
        </w:rPr>
        <w:footnoteReference w:id="58"/>
      </w:r>
      <w:r w:rsidR="005C3219">
        <w:rPr>
          <w:rFonts w:cs="Batang"/>
          <w:szCs w:val="20"/>
        </w:rPr>
        <w:t xml:space="preserve">, </w:t>
      </w:r>
      <w:r w:rsidR="004006B3">
        <w:rPr>
          <w:rFonts w:cs="Batang"/>
          <w:szCs w:val="20"/>
        </w:rPr>
        <w:t xml:space="preserve">la remisión de oficios a la </w:t>
      </w:r>
      <w:r w:rsidR="004006B3" w:rsidRPr="004006B3">
        <w:rPr>
          <w:rFonts w:cs="Batang"/>
          <w:szCs w:val="20"/>
        </w:rPr>
        <w:t xml:space="preserve">Unidad Nº 2 Especializada de Derechos </w:t>
      </w:r>
      <w:r w:rsidR="004006B3" w:rsidRPr="004006B3">
        <w:rPr>
          <w:szCs w:val="20"/>
        </w:rPr>
        <w:t>Humanos</w:t>
      </w:r>
      <w:r w:rsidR="004006B3">
        <w:rPr>
          <w:rStyle w:val="Refdenotaalpie"/>
        </w:rPr>
        <w:footnoteReference w:id="59"/>
      </w:r>
      <w:r w:rsidR="004006B3">
        <w:rPr>
          <w:rFonts w:cs="Batang"/>
          <w:szCs w:val="20"/>
        </w:rPr>
        <w:t xml:space="preserve">, al </w:t>
      </w:r>
      <w:r w:rsidR="004006B3" w:rsidRPr="004006B3">
        <w:rPr>
          <w:rFonts w:cs="Batang"/>
          <w:szCs w:val="20"/>
        </w:rPr>
        <w:t xml:space="preserve">Comandante en Jefe de las </w:t>
      </w:r>
      <w:r w:rsidR="004006B3">
        <w:rPr>
          <w:rFonts w:cs="Batang"/>
          <w:szCs w:val="20"/>
        </w:rPr>
        <w:t>Fuerzas</w:t>
      </w:r>
      <w:r w:rsidR="004006B3" w:rsidRPr="004006B3">
        <w:rPr>
          <w:rFonts w:cs="Batang"/>
          <w:szCs w:val="20"/>
        </w:rPr>
        <w:t xml:space="preserve"> Armadas de la Nación</w:t>
      </w:r>
      <w:r w:rsidR="004006B3">
        <w:rPr>
          <w:rStyle w:val="Refdenotaalpie"/>
        </w:rPr>
        <w:footnoteReference w:id="60"/>
      </w:r>
      <w:r w:rsidR="004006B3">
        <w:rPr>
          <w:rFonts w:cs="Batang"/>
          <w:szCs w:val="20"/>
        </w:rPr>
        <w:t xml:space="preserve">, </w:t>
      </w:r>
      <w:r w:rsidR="00735059">
        <w:rPr>
          <w:rFonts w:cs="Batang"/>
          <w:szCs w:val="20"/>
        </w:rPr>
        <w:t xml:space="preserve">y </w:t>
      </w:r>
      <w:r w:rsidR="004006B3">
        <w:rPr>
          <w:rFonts w:cs="Batang"/>
          <w:szCs w:val="20"/>
        </w:rPr>
        <w:t>se realizó una pericia de autopsia histórica a Vicente Noguera</w:t>
      </w:r>
      <w:r w:rsidR="004006B3">
        <w:rPr>
          <w:rStyle w:val="Refdenotaalpie"/>
        </w:rPr>
        <w:footnoteReference w:id="61"/>
      </w:r>
      <w:r w:rsidR="00735059">
        <w:rPr>
          <w:rFonts w:cs="Batang"/>
          <w:szCs w:val="20"/>
        </w:rPr>
        <w:t>.</w:t>
      </w:r>
      <w:r w:rsidR="00793FF5">
        <w:rPr>
          <w:rFonts w:cs="Batang"/>
          <w:szCs w:val="20"/>
        </w:rPr>
        <w:t xml:space="preserve"> </w:t>
      </w:r>
    </w:p>
    <w:p w14:paraId="43394B25" w14:textId="6F329A35" w:rsidR="000734C1" w:rsidRPr="005B2FC0" w:rsidRDefault="002C116D" w:rsidP="000734C1">
      <w:pPr>
        <w:pStyle w:val="Prrafodelista"/>
        <w:numPr>
          <w:ilvl w:val="0"/>
          <w:numId w:val="2"/>
        </w:numPr>
        <w:tabs>
          <w:tab w:val="left" w:pos="630"/>
        </w:tabs>
        <w:spacing w:before="120" w:after="120"/>
        <w:ind w:left="0" w:firstLine="0"/>
        <w:contextualSpacing w:val="0"/>
        <w:rPr>
          <w:i/>
          <w:szCs w:val="20"/>
          <w:lang w:val="es-PE"/>
        </w:rPr>
      </w:pPr>
      <w:r>
        <w:rPr>
          <w:szCs w:val="20"/>
          <w:lang w:val="es-PE"/>
        </w:rPr>
        <w:t xml:space="preserve">En la </w:t>
      </w:r>
      <w:r w:rsidR="000734C1" w:rsidRPr="005B2FC0">
        <w:rPr>
          <w:szCs w:val="20"/>
          <w:lang w:val="es-PE"/>
        </w:rPr>
        <w:t xml:space="preserve">autopsia histórica </w:t>
      </w:r>
      <w:r>
        <w:rPr>
          <w:szCs w:val="20"/>
          <w:lang w:val="es-PE"/>
        </w:rPr>
        <w:t xml:space="preserve">practicada </w:t>
      </w:r>
      <w:r w:rsidR="000734C1" w:rsidRPr="005B2FC0">
        <w:rPr>
          <w:szCs w:val="20"/>
          <w:lang w:val="es-PE"/>
        </w:rPr>
        <w:t>el 18 de julio de 2019 se recalca nuevamente que la causa de la muerte fue la neumonitis intersticial de origen,</w:t>
      </w:r>
      <w:r w:rsidR="000734C1">
        <w:rPr>
          <w:szCs w:val="20"/>
          <w:lang w:val="es-PE"/>
        </w:rPr>
        <w:t xml:space="preserve"> “</w:t>
      </w:r>
      <w:r w:rsidR="000734C1" w:rsidRPr="009E5AFA">
        <w:rPr>
          <w:szCs w:val="20"/>
          <w:lang w:val="es-PE"/>
        </w:rPr>
        <w:t>virósico</w:t>
      </w:r>
      <w:r w:rsidR="000734C1">
        <w:rPr>
          <w:szCs w:val="20"/>
          <w:lang w:val="es-PE"/>
        </w:rPr>
        <w:t>”</w:t>
      </w:r>
      <w:r w:rsidR="000734C1" w:rsidRPr="005B2FC0">
        <w:rPr>
          <w:szCs w:val="20"/>
          <w:lang w:val="es-PE"/>
        </w:rPr>
        <w:t>, natural, no violenta</w:t>
      </w:r>
      <w:r w:rsidR="000734C1">
        <w:rPr>
          <w:szCs w:val="20"/>
          <w:lang w:val="es-PE"/>
        </w:rPr>
        <w:t xml:space="preserve">. Según se indicó, lo cual fue reconocido por el Estado, </w:t>
      </w:r>
      <w:r w:rsidR="000734C1" w:rsidRPr="005B2FC0">
        <w:rPr>
          <w:szCs w:val="20"/>
          <w:lang w:val="es-PE"/>
        </w:rPr>
        <w:t>este tipo de cuadro de salud puede darse de forma asintomática y que entrenamientos físicos, incluso los inherentes al rigor propio de la disciplina militar, pudieran influir en desenlaces como el ocurrido en este caso</w:t>
      </w:r>
      <w:r w:rsidR="000734C1" w:rsidRPr="00D25DA8">
        <w:rPr>
          <w:rStyle w:val="Refdenotaalpie"/>
          <w:lang w:val="es-PE"/>
        </w:rPr>
        <w:footnoteReference w:id="62"/>
      </w:r>
      <w:r w:rsidR="000734C1">
        <w:rPr>
          <w:szCs w:val="20"/>
          <w:lang w:val="es-PE"/>
        </w:rPr>
        <w:t xml:space="preserve">. </w:t>
      </w:r>
    </w:p>
    <w:p w14:paraId="021CAA59" w14:textId="1EA0CA15" w:rsidR="00A72474" w:rsidRPr="003B376F" w:rsidRDefault="00A72474" w:rsidP="0022482D">
      <w:pPr>
        <w:pStyle w:val="Ttulo1"/>
      </w:pPr>
      <w:bookmarkStart w:id="88" w:name="_Toc22212082"/>
      <w:bookmarkStart w:id="89" w:name="_Toc36132105"/>
      <w:bookmarkEnd w:id="88"/>
      <w:r w:rsidRPr="003B376F">
        <w:t>VII</w:t>
      </w:r>
      <w:r w:rsidR="004802DD">
        <w:t>I</w:t>
      </w:r>
      <w:r w:rsidR="00437683" w:rsidRPr="003B376F">
        <w:rPr>
          <w:color w:val="FFFFFF" w:themeColor="background1"/>
        </w:rPr>
        <w:t>.</w:t>
      </w:r>
      <w:r w:rsidRPr="003B376F">
        <w:br/>
        <w:t>FONDO</w:t>
      </w:r>
      <w:bookmarkEnd w:id="80"/>
      <w:bookmarkEnd w:id="81"/>
      <w:bookmarkEnd w:id="89"/>
    </w:p>
    <w:p w14:paraId="783FBE47" w14:textId="032A64AC" w:rsidR="00A72474" w:rsidRPr="003B376F" w:rsidRDefault="007A4F23" w:rsidP="00363F94">
      <w:pPr>
        <w:pStyle w:val="Prrafodelista"/>
        <w:numPr>
          <w:ilvl w:val="0"/>
          <w:numId w:val="2"/>
        </w:numPr>
        <w:tabs>
          <w:tab w:val="left" w:pos="630"/>
        </w:tabs>
        <w:spacing w:before="120" w:after="120"/>
        <w:ind w:left="0" w:firstLine="0"/>
        <w:contextualSpacing w:val="0"/>
        <w:rPr>
          <w:szCs w:val="20"/>
        </w:rPr>
      </w:pPr>
      <w:r w:rsidRPr="003B376F">
        <w:rPr>
          <w:szCs w:val="20"/>
        </w:rPr>
        <w:t>En el presente caso, la Corte debe analizar la responsabilidad internacional del Estado por la alegada violación a diversos derechos co</w:t>
      </w:r>
      <w:r w:rsidR="00506221">
        <w:rPr>
          <w:szCs w:val="20"/>
        </w:rPr>
        <w:t>nvencionales en relación con la</w:t>
      </w:r>
      <w:r w:rsidRPr="003B376F">
        <w:rPr>
          <w:szCs w:val="20"/>
        </w:rPr>
        <w:t xml:space="preserve"> mue</w:t>
      </w:r>
      <w:r w:rsidR="00506221">
        <w:rPr>
          <w:szCs w:val="20"/>
        </w:rPr>
        <w:t>rte</w:t>
      </w:r>
      <w:r w:rsidRPr="003B376F">
        <w:rPr>
          <w:szCs w:val="20"/>
        </w:rPr>
        <w:t xml:space="preserve"> de </w:t>
      </w:r>
      <w:r w:rsidR="00506221">
        <w:rPr>
          <w:szCs w:val="20"/>
        </w:rPr>
        <w:t xml:space="preserve">Vicente </w:t>
      </w:r>
      <w:r w:rsidR="00363F94" w:rsidRPr="00363F94">
        <w:rPr>
          <w:szCs w:val="20"/>
        </w:rPr>
        <w:t>Noguera mientras se encontraba bajo custodia del Estado prestando servicio militar</w:t>
      </w:r>
      <w:r w:rsidRPr="003B376F">
        <w:rPr>
          <w:szCs w:val="20"/>
        </w:rPr>
        <w:t xml:space="preserve">. </w:t>
      </w:r>
      <w:r w:rsidR="00BE1DB8">
        <w:rPr>
          <w:szCs w:val="20"/>
        </w:rPr>
        <w:t xml:space="preserve">El Estado efectuó un reconocimiento parcial de </w:t>
      </w:r>
      <w:r w:rsidR="00BE1DB8" w:rsidRPr="00404C7B">
        <w:rPr>
          <w:rFonts w:cs="Batang"/>
          <w:szCs w:val="20"/>
        </w:rPr>
        <w:t>responsabilidad</w:t>
      </w:r>
      <w:r w:rsidR="003E35A2">
        <w:rPr>
          <w:szCs w:val="20"/>
        </w:rPr>
        <w:t>, por lo que la Corte analizará únicamente lo que aún está en controversia</w:t>
      </w:r>
      <w:r w:rsidR="00363F94">
        <w:rPr>
          <w:szCs w:val="20"/>
        </w:rPr>
        <w:t>.</w:t>
      </w:r>
      <w:r w:rsidRPr="003B376F">
        <w:rPr>
          <w:rFonts w:eastAsia="Verdana" w:cs="Verdana"/>
          <w:szCs w:val="20"/>
        </w:rPr>
        <w:t xml:space="preserve"> </w:t>
      </w:r>
      <w:r w:rsidR="00783BC4" w:rsidRPr="003B376F">
        <w:rPr>
          <w:szCs w:val="20"/>
        </w:rPr>
        <w:t>A</w:t>
      </w:r>
      <w:r w:rsidR="00A72474" w:rsidRPr="003B376F">
        <w:rPr>
          <w:szCs w:val="20"/>
        </w:rPr>
        <w:t xml:space="preserve"> continuación, la Corte analizará los alegatos sobre el fondo de conformidad con el siguiente orden: a) </w:t>
      </w:r>
      <w:r w:rsidR="007909AA" w:rsidRPr="003B376F">
        <w:rPr>
          <w:szCs w:val="20"/>
        </w:rPr>
        <w:t>Derec</w:t>
      </w:r>
      <w:r w:rsidR="00506221">
        <w:rPr>
          <w:szCs w:val="20"/>
        </w:rPr>
        <w:t>ho</w:t>
      </w:r>
      <w:r w:rsidR="004F25F7">
        <w:rPr>
          <w:szCs w:val="20"/>
        </w:rPr>
        <w:t>s</w:t>
      </w:r>
      <w:r w:rsidR="00506221">
        <w:rPr>
          <w:szCs w:val="20"/>
        </w:rPr>
        <w:t xml:space="preserve"> a la vida</w:t>
      </w:r>
      <w:r w:rsidR="003034CF">
        <w:rPr>
          <w:szCs w:val="20"/>
        </w:rPr>
        <w:t>, a la</w:t>
      </w:r>
      <w:r w:rsidR="007909AA" w:rsidRPr="003B376F">
        <w:rPr>
          <w:szCs w:val="20"/>
        </w:rPr>
        <w:t xml:space="preserve"> integridad personal</w:t>
      </w:r>
      <w:r w:rsidR="003034CF">
        <w:rPr>
          <w:szCs w:val="20"/>
        </w:rPr>
        <w:t xml:space="preserve"> y derechos del niño</w:t>
      </w:r>
      <w:r w:rsidR="00FF030E">
        <w:rPr>
          <w:szCs w:val="20"/>
        </w:rPr>
        <w:t xml:space="preserve">, y </w:t>
      </w:r>
      <w:r w:rsidR="007909AA" w:rsidRPr="003B376F">
        <w:rPr>
          <w:szCs w:val="20"/>
        </w:rPr>
        <w:t xml:space="preserve">b) </w:t>
      </w:r>
      <w:r w:rsidR="00A72474" w:rsidRPr="003B376F">
        <w:rPr>
          <w:szCs w:val="20"/>
        </w:rPr>
        <w:t>Derecho</w:t>
      </w:r>
      <w:r w:rsidR="004F25F7">
        <w:rPr>
          <w:szCs w:val="20"/>
        </w:rPr>
        <w:t>s</w:t>
      </w:r>
      <w:r w:rsidR="00A72474" w:rsidRPr="003B376F">
        <w:rPr>
          <w:szCs w:val="20"/>
        </w:rPr>
        <w:t xml:space="preserve"> a las garantías judiciales y </w:t>
      </w:r>
      <w:r w:rsidR="00D767A4" w:rsidRPr="003B376F">
        <w:rPr>
          <w:szCs w:val="20"/>
        </w:rPr>
        <w:t xml:space="preserve">a la </w:t>
      </w:r>
      <w:r w:rsidR="00A72474" w:rsidRPr="003B376F">
        <w:rPr>
          <w:szCs w:val="20"/>
        </w:rPr>
        <w:t>protección judicial</w:t>
      </w:r>
      <w:r w:rsidR="00506221">
        <w:rPr>
          <w:szCs w:val="20"/>
        </w:rPr>
        <w:t xml:space="preserve">. </w:t>
      </w:r>
    </w:p>
    <w:p w14:paraId="598E2570" w14:textId="6392FF66" w:rsidR="00DE03C9" w:rsidRPr="003B376F" w:rsidRDefault="00DE03C9" w:rsidP="00DE03C9">
      <w:pPr>
        <w:pStyle w:val="Ttulo1"/>
        <w:ind w:firstLine="6"/>
        <w:rPr>
          <w:b w:val="0"/>
          <w:bCs w:val="0"/>
          <w:caps w:val="0"/>
          <w:snapToGrid/>
        </w:rPr>
      </w:pPr>
      <w:bookmarkStart w:id="90" w:name="_Toc505876993"/>
      <w:bookmarkStart w:id="91" w:name="_Toc15304002"/>
      <w:bookmarkStart w:id="92" w:name="_Toc36132106"/>
      <w:bookmarkStart w:id="93" w:name="_Toc15304001"/>
      <w:r w:rsidRPr="003B376F">
        <w:rPr>
          <w:caps w:val="0"/>
        </w:rPr>
        <w:t>VII</w:t>
      </w:r>
      <w:r w:rsidR="00DF044E">
        <w:rPr>
          <w:caps w:val="0"/>
        </w:rPr>
        <w:t>I</w:t>
      </w:r>
      <w:r w:rsidRPr="003B376F">
        <w:rPr>
          <w:caps w:val="0"/>
        </w:rPr>
        <w:t>.1</w:t>
      </w:r>
      <w:r w:rsidRPr="003B376F">
        <w:rPr>
          <w:caps w:val="0"/>
          <w:color w:val="FFFFFF" w:themeColor="background1"/>
        </w:rPr>
        <w:t>.</w:t>
      </w:r>
      <w:bookmarkEnd w:id="90"/>
      <w:r w:rsidRPr="003B376F">
        <w:rPr>
          <w:caps w:val="0"/>
          <w:color w:val="FFFFFF" w:themeColor="background1"/>
        </w:rPr>
        <w:t xml:space="preserve"> </w:t>
      </w:r>
      <w:r w:rsidRPr="003B376F">
        <w:rPr>
          <w:b w:val="0"/>
          <w:caps w:val="0"/>
        </w:rPr>
        <w:br/>
      </w:r>
      <w:r w:rsidR="00A8020A">
        <w:rPr>
          <w:rStyle w:val="Ttulo1Car"/>
          <w:rFonts w:eastAsia="Batang"/>
          <w:b/>
        </w:rPr>
        <w:t>DERECHOS A LA VIDA</w:t>
      </w:r>
      <w:r w:rsidR="00D3469A">
        <w:rPr>
          <w:rStyle w:val="Ttulo1Car"/>
          <w:rFonts w:eastAsia="Batang"/>
          <w:b/>
        </w:rPr>
        <w:t>,</w:t>
      </w:r>
      <w:r w:rsidRPr="003B376F">
        <w:rPr>
          <w:rStyle w:val="Ttulo1Car"/>
          <w:rFonts w:eastAsia="Batang"/>
          <w:b/>
        </w:rPr>
        <w:t xml:space="preserve"> A LA INTEGRIDAD PERSONAL </w:t>
      </w:r>
      <w:r w:rsidR="009020F0">
        <w:rPr>
          <w:rStyle w:val="Ttulo1Car"/>
          <w:rFonts w:eastAsia="Batang"/>
          <w:b/>
        </w:rPr>
        <w:t>Y</w:t>
      </w:r>
      <w:r w:rsidR="00D3469A">
        <w:rPr>
          <w:rStyle w:val="Ttulo1Car"/>
          <w:rFonts w:eastAsia="Batang"/>
          <w:b/>
        </w:rPr>
        <w:t xml:space="preserve"> DERECHOS DEL NIÑO (ARTÍCULOS 4, </w:t>
      </w:r>
      <w:r w:rsidR="00A8020A">
        <w:rPr>
          <w:rStyle w:val="Ttulo1Car"/>
          <w:rFonts w:eastAsia="Batang"/>
          <w:b/>
        </w:rPr>
        <w:t>5</w:t>
      </w:r>
      <w:r w:rsidR="00D3469A">
        <w:rPr>
          <w:rStyle w:val="Ttulo1Car"/>
          <w:rFonts w:eastAsia="Batang"/>
          <w:b/>
        </w:rPr>
        <w:t xml:space="preserve"> Y 19</w:t>
      </w:r>
      <w:r w:rsidR="00A8020A">
        <w:rPr>
          <w:rStyle w:val="Ttulo1Car"/>
          <w:rFonts w:eastAsia="Batang"/>
          <w:b/>
        </w:rPr>
        <w:t xml:space="preserve"> </w:t>
      </w:r>
      <w:r w:rsidRPr="003B376F">
        <w:rPr>
          <w:rStyle w:val="Ttulo1Car"/>
          <w:rFonts w:eastAsia="Batang"/>
          <w:b/>
        </w:rPr>
        <w:t>DE LA CONVENCIÓN AMERICANA)</w:t>
      </w:r>
      <w:bookmarkEnd w:id="91"/>
      <w:bookmarkEnd w:id="92"/>
    </w:p>
    <w:p w14:paraId="3D3F2223" w14:textId="1CCAACF3" w:rsidR="00DE03C9" w:rsidRDefault="00DE03C9" w:rsidP="004C6AFA">
      <w:pPr>
        <w:pStyle w:val="Prrafodelista"/>
        <w:numPr>
          <w:ilvl w:val="0"/>
          <w:numId w:val="16"/>
        </w:numPr>
        <w:pBdr>
          <w:top w:val="nil"/>
        </w:pBdr>
        <w:spacing w:before="240" w:after="240"/>
        <w:contextualSpacing w:val="0"/>
        <w:outlineLvl w:val="1"/>
        <w:rPr>
          <w:b/>
          <w:i/>
          <w:snapToGrid w:val="0"/>
          <w:spacing w:val="-2"/>
          <w:szCs w:val="20"/>
          <w:lang w:eastAsia="es-ES"/>
        </w:rPr>
      </w:pPr>
      <w:bookmarkStart w:id="94" w:name="_Toc36132107"/>
      <w:r w:rsidRPr="003B376F">
        <w:rPr>
          <w:b/>
          <w:i/>
          <w:snapToGrid w:val="0"/>
          <w:spacing w:val="-2"/>
          <w:szCs w:val="20"/>
          <w:lang w:eastAsia="es-ES"/>
        </w:rPr>
        <w:t>Alegatos de las partes y de la Comisión</w:t>
      </w:r>
      <w:bookmarkEnd w:id="94"/>
    </w:p>
    <w:p w14:paraId="336DA426" w14:textId="0352D839" w:rsidR="00B97411" w:rsidRPr="00B97411" w:rsidRDefault="00DE03C9" w:rsidP="00404C7B">
      <w:pPr>
        <w:pStyle w:val="Prrafodelista"/>
        <w:numPr>
          <w:ilvl w:val="0"/>
          <w:numId w:val="2"/>
        </w:numPr>
        <w:tabs>
          <w:tab w:val="left" w:pos="630"/>
        </w:tabs>
        <w:spacing w:before="120" w:after="120"/>
        <w:ind w:left="0" w:firstLine="0"/>
        <w:contextualSpacing w:val="0"/>
        <w:rPr>
          <w:rFonts w:eastAsia="Verdana" w:cs="Verdana"/>
          <w:b/>
          <w:szCs w:val="20"/>
        </w:rPr>
      </w:pPr>
      <w:r w:rsidRPr="00B97411">
        <w:rPr>
          <w:rFonts w:eastAsia="Verdana" w:cs="Verdana"/>
          <w:szCs w:val="20"/>
        </w:rPr>
        <w:lastRenderedPageBreak/>
        <w:t xml:space="preserve">La </w:t>
      </w:r>
      <w:r w:rsidRPr="00404C7B">
        <w:rPr>
          <w:rFonts w:eastAsia="Verdana" w:cs="Verdana"/>
          <w:i/>
          <w:szCs w:val="20"/>
        </w:rPr>
        <w:t>Comisión</w:t>
      </w:r>
      <w:r w:rsidR="00941087" w:rsidRPr="00B97411">
        <w:rPr>
          <w:rFonts w:eastAsia="Verdana" w:cs="Verdana"/>
          <w:szCs w:val="20"/>
        </w:rPr>
        <w:t xml:space="preserve"> </w:t>
      </w:r>
      <w:r w:rsidR="00D0374D">
        <w:rPr>
          <w:rFonts w:eastAsia="Verdana" w:cs="Verdana"/>
          <w:szCs w:val="20"/>
        </w:rPr>
        <w:t>argumentó</w:t>
      </w:r>
      <w:r w:rsidR="00D0374D" w:rsidRPr="00B97411">
        <w:rPr>
          <w:rFonts w:eastAsia="Verdana" w:cs="Verdana"/>
          <w:szCs w:val="20"/>
        </w:rPr>
        <w:t xml:space="preserve"> </w:t>
      </w:r>
      <w:r w:rsidR="00D67790" w:rsidRPr="00B97411">
        <w:rPr>
          <w:rFonts w:eastAsia="Verdana" w:cs="Verdana"/>
          <w:szCs w:val="20"/>
        </w:rPr>
        <w:t>que las investigaciones a nivel interno no lograron esclarecer las circunstancias de la muerte de Vicente Noguera, por lo que dicha muerte resulta atribuible al Estad</w:t>
      </w:r>
      <w:r w:rsidR="00A658D1">
        <w:rPr>
          <w:rFonts w:eastAsia="Verdana" w:cs="Verdana"/>
          <w:szCs w:val="20"/>
        </w:rPr>
        <w:t>o</w:t>
      </w:r>
      <w:r w:rsidR="00941087" w:rsidRPr="00B97411">
        <w:rPr>
          <w:rFonts w:eastAsia="Verdana" w:cs="Verdana"/>
          <w:szCs w:val="20"/>
        </w:rPr>
        <w:t xml:space="preserve">. </w:t>
      </w:r>
      <w:r w:rsidRPr="00B97411">
        <w:rPr>
          <w:rFonts w:eastAsia="Verdana" w:cs="Verdana"/>
          <w:szCs w:val="20"/>
        </w:rPr>
        <w:t xml:space="preserve">Sostuvo </w:t>
      </w:r>
      <w:r w:rsidR="00D67790" w:rsidRPr="00B97411">
        <w:rPr>
          <w:rFonts w:eastAsia="Verdana" w:cs="Verdana"/>
          <w:szCs w:val="20"/>
        </w:rPr>
        <w:t xml:space="preserve">que la posición del Estado sobre las razones que dieron lugar a la muerte de la presunta víctima se basa en dos informes de autopsias practicadas, por lo que la única explicación aportada se relaciona con la supuesta </w:t>
      </w:r>
      <w:r w:rsidR="00D67790" w:rsidRPr="003A3407">
        <w:rPr>
          <w:szCs w:val="20"/>
        </w:rPr>
        <w:t>causa</w:t>
      </w:r>
      <w:r w:rsidR="00D67790" w:rsidRPr="00B97411">
        <w:rPr>
          <w:rFonts w:eastAsia="Verdana" w:cs="Verdana"/>
          <w:szCs w:val="20"/>
        </w:rPr>
        <w:t xml:space="preserve"> médica de la muerte, mas no con las circunstancias de tiempo, modo y lugar</w:t>
      </w:r>
      <w:r w:rsidR="00941087" w:rsidRPr="00B97411">
        <w:rPr>
          <w:rFonts w:eastAsia="Verdana" w:cs="Verdana"/>
          <w:szCs w:val="20"/>
        </w:rPr>
        <w:t xml:space="preserve">. </w:t>
      </w:r>
      <w:r w:rsidRPr="00B97411">
        <w:rPr>
          <w:szCs w:val="20"/>
        </w:rPr>
        <w:t xml:space="preserve">Agregó que existen </w:t>
      </w:r>
      <w:r w:rsidR="00941087" w:rsidRPr="00B97411">
        <w:rPr>
          <w:szCs w:val="20"/>
        </w:rPr>
        <w:t>otros indicios que apuntan a la responsabilidad del Estado</w:t>
      </w:r>
      <w:r w:rsidR="005237DB" w:rsidRPr="00B97411">
        <w:rPr>
          <w:szCs w:val="20"/>
        </w:rPr>
        <w:t xml:space="preserve">, sumado al contexto de afectaciones a la vida e integridad de los cabos aspirantes que prestaban el servicio militar en Paraguay durante la época en que sucedieron los hechos, por lo que la muerte de la presunta víctima no podía considerarse un hecho aislado. </w:t>
      </w:r>
    </w:p>
    <w:p w14:paraId="60C3792C" w14:textId="1C3DA4A7" w:rsidR="006F2279" w:rsidRPr="006F2279" w:rsidRDefault="005237DB" w:rsidP="00404C7B">
      <w:pPr>
        <w:pStyle w:val="Prrafodelista"/>
        <w:numPr>
          <w:ilvl w:val="0"/>
          <w:numId w:val="2"/>
        </w:numPr>
        <w:tabs>
          <w:tab w:val="left" w:pos="630"/>
        </w:tabs>
        <w:spacing w:before="120" w:after="120"/>
        <w:ind w:left="0" w:firstLine="0"/>
        <w:contextualSpacing w:val="0"/>
        <w:rPr>
          <w:rFonts w:cs="Times New Roman"/>
        </w:rPr>
      </w:pPr>
      <w:r w:rsidRPr="00B97411">
        <w:rPr>
          <w:szCs w:val="20"/>
        </w:rPr>
        <w:t>Adicionalmente, la</w:t>
      </w:r>
      <w:r w:rsidRPr="00B97411">
        <w:rPr>
          <w:i/>
          <w:szCs w:val="20"/>
        </w:rPr>
        <w:t xml:space="preserve"> </w:t>
      </w:r>
      <w:r w:rsidRPr="001F7E0A">
        <w:rPr>
          <w:szCs w:val="20"/>
        </w:rPr>
        <w:t>Comisión</w:t>
      </w:r>
      <w:r w:rsidRPr="00B97411">
        <w:rPr>
          <w:szCs w:val="20"/>
        </w:rPr>
        <w:t xml:space="preserve"> determinó que no existe controversia respecto a que un día antes de su muerte, la presunta víctima gozaba de buena salud</w:t>
      </w:r>
      <w:r w:rsidR="005A1934">
        <w:rPr>
          <w:szCs w:val="20"/>
        </w:rPr>
        <w:t>,</w:t>
      </w:r>
      <w:r w:rsidRPr="00B97411">
        <w:rPr>
          <w:szCs w:val="20"/>
        </w:rPr>
        <w:t xml:space="preserve"> </w:t>
      </w:r>
      <w:r w:rsidR="005A1934">
        <w:rPr>
          <w:szCs w:val="20"/>
        </w:rPr>
        <w:t xml:space="preserve">lo que sumado </w:t>
      </w:r>
      <w:r w:rsidRPr="00B97411">
        <w:rPr>
          <w:szCs w:val="20"/>
        </w:rPr>
        <w:t>a</w:t>
      </w:r>
      <w:r w:rsidR="005A1934">
        <w:rPr>
          <w:szCs w:val="20"/>
        </w:rPr>
        <w:t xml:space="preserve"> las </w:t>
      </w:r>
      <w:r w:rsidRPr="00B97411">
        <w:rPr>
          <w:szCs w:val="20"/>
        </w:rPr>
        <w:t xml:space="preserve">versiones que relatan excesivo ejercicio físico </w:t>
      </w:r>
      <w:r w:rsidR="005A1934">
        <w:rPr>
          <w:szCs w:val="20"/>
        </w:rPr>
        <w:t>ese</w:t>
      </w:r>
      <w:r w:rsidRPr="00B97411">
        <w:rPr>
          <w:szCs w:val="20"/>
        </w:rPr>
        <w:t xml:space="preserve"> día, genera un serio cuestionamiento a la versión que indica que la presunta víctima murió producto de un proceso infeccioso, lo cual, de todos modos, no exime de responsabilidad al Estado, en tanto la presunta víctima en su condición de niño se encontraba bajo su custodia, sumado a que existieron denuncias y el Estado no presentó una explicación suficiente que esclareciera la muerte y abusos denunciados.</w:t>
      </w:r>
      <w:r w:rsidR="00D67790">
        <w:rPr>
          <w:szCs w:val="20"/>
        </w:rPr>
        <w:t xml:space="preserve"> Además</w:t>
      </w:r>
      <w:r w:rsidR="00FC12C7">
        <w:rPr>
          <w:szCs w:val="20"/>
        </w:rPr>
        <w:t>,</w:t>
      </w:r>
      <w:r w:rsidR="00D67790">
        <w:rPr>
          <w:szCs w:val="20"/>
        </w:rPr>
        <w:t xml:space="preserve"> consideró que Paraguay no tomó en consideración la condición de niño de la presunta víctima ni desplegó acciones especiales para su protección por lo que violó los derechos del niño</w:t>
      </w:r>
      <w:r w:rsidR="00A658D1">
        <w:rPr>
          <w:szCs w:val="20"/>
        </w:rPr>
        <w:t>.</w:t>
      </w:r>
    </w:p>
    <w:p w14:paraId="3221358D" w14:textId="13539E67" w:rsidR="00DE03C9" w:rsidRPr="00D06F3D" w:rsidRDefault="00DE03C9" w:rsidP="00404C7B">
      <w:pPr>
        <w:pStyle w:val="Prrafodelista"/>
        <w:numPr>
          <w:ilvl w:val="0"/>
          <w:numId w:val="2"/>
        </w:numPr>
        <w:tabs>
          <w:tab w:val="left" w:pos="630"/>
        </w:tabs>
        <w:spacing w:before="120" w:after="120"/>
        <w:ind w:left="0" w:firstLine="0"/>
        <w:contextualSpacing w:val="0"/>
        <w:rPr>
          <w:rFonts w:eastAsia="Verdana" w:cs="Verdana"/>
          <w:b/>
          <w:szCs w:val="20"/>
        </w:rPr>
      </w:pPr>
      <w:r w:rsidRPr="00127A88">
        <w:rPr>
          <w:rFonts w:eastAsia="Verdana" w:cs="Verdana"/>
          <w:szCs w:val="20"/>
        </w:rPr>
        <w:t xml:space="preserve">Por su parte, los </w:t>
      </w:r>
      <w:r w:rsidRPr="00404C7B">
        <w:rPr>
          <w:rFonts w:eastAsia="Verdana" w:cs="Verdana"/>
          <w:i/>
          <w:szCs w:val="20"/>
        </w:rPr>
        <w:t>representantes</w:t>
      </w:r>
      <w:r w:rsidRPr="00127A88">
        <w:rPr>
          <w:rFonts w:eastAsia="Verdana" w:cs="Verdana"/>
          <w:b/>
          <w:i/>
          <w:szCs w:val="20"/>
        </w:rPr>
        <w:t xml:space="preserve"> </w:t>
      </w:r>
      <w:r w:rsidR="00176F56">
        <w:rPr>
          <w:rFonts w:eastAsia="Verdana" w:cs="Verdana"/>
          <w:szCs w:val="20"/>
        </w:rPr>
        <w:t xml:space="preserve">coincidieron con lo señalado por la Comisión y </w:t>
      </w:r>
      <w:r w:rsidRPr="00127A88">
        <w:rPr>
          <w:rFonts w:eastAsia="Verdana" w:cs="Verdana"/>
          <w:szCs w:val="20"/>
        </w:rPr>
        <w:t>agregaron que</w:t>
      </w:r>
      <w:r w:rsidR="00127A88" w:rsidRPr="00127A88">
        <w:rPr>
          <w:rFonts w:eastAsia="Verdana" w:cs="Verdana"/>
          <w:szCs w:val="20"/>
        </w:rPr>
        <w:t xml:space="preserve"> más allá de la explicación insuficiente del Estado basada en el resultado de los informes de autopsia se observa</w:t>
      </w:r>
      <w:r w:rsidR="00176F56">
        <w:rPr>
          <w:rFonts w:eastAsia="Verdana" w:cs="Verdana"/>
          <w:szCs w:val="20"/>
        </w:rPr>
        <w:t>ba</w:t>
      </w:r>
      <w:r w:rsidR="00127A88" w:rsidRPr="00127A88">
        <w:rPr>
          <w:rFonts w:eastAsia="Verdana" w:cs="Verdana"/>
          <w:szCs w:val="20"/>
        </w:rPr>
        <w:t xml:space="preserve"> que las investigaciones a nivel interno tampoco lograron esclarecer las circunstancias de la muerte de Vicente Noguera, por lo que </w:t>
      </w:r>
      <w:r w:rsidR="00205701">
        <w:rPr>
          <w:rFonts w:eastAsia="Verdana" w:cs="Verdana"/>
          <w:szCs w:val="20"/>
        </w:rPr>
        <w:t xml:space="preserve">al acaecer </w:t>
      </w:r>
      <w:r w:rsidR="00127A88" w:rsidRPr="00127A88">
        <w:rPr>
          <w:rFonts w:eastAsia="Verdana" w:cs="Verdana"/>
          <w:szCs w:val="20"/>
        </w:rPr>
        <w:t xml:space="preserve">bajo custodia del Estado y ante los intentos de ocultar las circunstancias de los hechos en que ocurrió sin </w:t>
      </w:r>
      <w:r w:rsidR="00176F56">
        <w:rPr>
          <w:rFonts w:eastAsia="Verdana" w:cs="Verdana"/>
          <w:szCs w:val="20"/>
        </w:rPr>
        <w:t xml:space="preserve">la debida protección y garantía </w:t>
      </w:r>
      <w:r w:rsidR="00127A88" w:rsidRPr="00127A88">
        <w:rPr>
          <w:rFonts w:eastAsia="Verdana" w:cs="Verdana"/>
          <w:szCs w:val="20"/>
        </w:rPr>
        <w:t>de sus derechos, se podía inferir la responsabilida</w:t>
      </w:r>
      <w:r w:rsidR="00176F56">
        <w:rPr>
          <w:rFonts w:eastAsia="Verdana" w:cs="Verdana"/>
          <w:szCs w:val="20"/>
        </w:rPr>
        <w:t xml:space="preserve">d de Paraguay, debido a que es el Estado el encargado </w:t>
      </w:r>
      <w:r w:rsidR="00176F56" w:rsidRPr="00D06F3D">
        <w:rPr>
          <w:rFonts w:eastAsia="Verdana" w:cs="Verdana"/>
          <w:szCs w:val="20"/>
        </w:rPr>
        <w:t xml:space="preserve">de proteger, preservar y garantizar el derecho a la vida y el pleno y libre ejercicio de los derechos de todas las personas bajo su tutela. </w:t>
      </w:r>
    </w:p>
    <w:p w14:paraId="77F89448" w14:textId="03E25904" w:rsidR="006F2279" w:rsidRPr="00F238C1" w:rsidRDefault="006F2279" w:rsidP="00404C7B">
      <w:pPr>
        <w:pStyle w:val="Prrafodelista"/>
        <w:numPr>
          <w:ilvl w:val="0"/>
          <w:numId w:val="2"/>
        </w:numPr>
        <w:tabs>
          <w:tab w:val="left" w:pos="630"/>
        </w:tabs>
        <w:spacing w:before="120" w:after="120"/>
        <w:ind w:left="0" w:firstLine="0"/>
        <w:contextualSpacing w:val="0"/>
        <w:rPr>
          <w:rFonts w:cs="Times New Roman"/>
        </w:rPr>
      </w:pPr>
      <w:r>
        <w:rPr>
          <w:szCs w:val="20"/>
        </w:rPr>
        <w:t xml:space="preserve">Los </w:t>
      </w:r>
      <w:r>
        <w:rPr>
          <w:i/>
          <w:szCs w:val="20"/>
        </w:rPr>
        <w:t xml:space="preserve">representantes </w:t>
      </w:r>
      <w:r>
        <w:rPr>
          <w:szCs w:val="20"/>
        </w:rPr>
        <w:t xml:space="preserve">afirmaron que el Estado debe ser garante de los niños que se encuentran bajo su custodia, ofreciéndoles una protección especial en orden de salvaguardar su vida y desarrollo integral </w:t>
      </w:r>
      <w:r w:rsidRPr="00F238C1">
        <w:rPr>
          <w:szCs w:val="20"/>
        </w:rPr>
        <w:t>primando su interés superior. Asimismo, precisaron que los niños que se encuentran bajo la custodia estatal en su condición de soldados militares, en cumplimiento del servicio militar, deben contar con medidas especiales a fin de salvaguardar su vida e integridad</w:t>
      </w:r>
      <w:r w:rsidR="00A658D1">
        <w:rPr>
          <w:szCs w:val="20"/>
        </w:rPr>
        <w:t>,</w:t>
      </w:r>
      <w:r w:rsidRPr="00F238C1">
        <w:rPr>
          <w:szCs w:val="20"/>
        </w:rPr>
        <w:t xml:space="preserve"> ya que se encuentran privados de su libertad de una forma especial bajo el régimen del servicio militar. </w:t>
      </w:r>
    </w:p>
    <w:p w14:paraId="3F102CC7" w14:textId="77CF1428" w:rsidR="00DE03C9" w:rsidRPr="006F2279" w:rsidRDefault="00DE03C9" w:rsidP="00404C7B">
      <w:pPr>
        <w:pStyle w:val="Prrafodelista"/>
        <w:numPr>
          <w:ilvl w:val="0"/>
          <w:numId w:val="2"/>
        </w:numPr>
        <w:tabs>
          <w:tab w:val="left" w:pos="630"/>
        </w:tabs>
        <w:spacing w:before="120" w:after="120"/>
        <w:ind w:left="0" w:firstLine="0"/>
        <w:contextualSpacing w:val="0"/>
        <w:rPr>
          <w:szCs w:val="20"/>
        </w:rPr>
      </w:pPr>
      <w:r w:rsidRPr="00D06F3D">
        <w:rPr>
          <w:rFonts w:eastAsia="Verdana" w:cs="Verdana"/>
          <w:szCs w:val="20"/>
        </w:rPr>
        <w:t xml:space="preserve">El </w:t>
      </w:r>
      <w:r w:rsidRPr="00404C7B">
        <w:rPr>
          <w:rFonts w:eastAsia="Verdana" w:cs="Verdana"/>
          <w:i/>
          <w:szCs w:val="20"/>
        </w:rPr>
        <w:t>Estado</w:t>
      </w:r>
      <w:r w:rsidRPr="00D06F3D">
        <w:rPr>
          <w:snapToGrid w:val="0"/>
          <w:spacing w:val="-2"/>
          <w:szCs w:val="20"/>
          <w:lang w:eastAsia="es-ES"/>
        </w:rPr>
        <w:t xml:space="preserve"> </w:t>
      </w:r>
      <w:r w:rsidR="00FB479B" w:rsidRPr="00D06F3D">
        <w:rPr>
          <w:snapToGrid w:val="0"/>
          <w:spacing w:val="-2"/>
          <w:szCs w:val="20"/>
          <w:lang w:eastAsia="es-ES"/>
        </w:rPr>
        <w:t>aceptó que</w:t>
      </w:r>
      <w:r w:rsidR="00A658D1">
        <w:rPr>
          <w:snapToGrid w:val="0"/>
          <w:spacing w:val="-2"/>
          <w:szCs w:val="20"/>
          <w:lang w:eastAsia="es-ES"/>
        </w:rPr>
        <w:t>,</w:t>
      </w:r>
      <w:r w:rsidR="00FB479B" w:rsidRPr="00D06F3D">
        <w:rPr>
          <w:snapToGrid w:val="0"/>
          <w:spacing w:val="-2"/>
          <w:szCs w:val="20"/>
          <w:lang w:eastAsia="es-ES"/>
        </w:rPr>
        <w:t xml:space="preserve"> al no haber desvirtuado satisfactoriamente los indicios respecto de la posibilidad de una muerte violenta</w:t>
      </w:r>
      <w:r w:rsidR="00946531">
        <w:rPr>
          <w:snapToGrid w:val="0"/>
          <w:spacing w:val="-2"/>
          <w:szCs w:val="20"/>
          <w:lang w:eastAsia="es-ES"/>
        </w:rPr>
        <w:t>,</w:t>
      </w:r>
      <w:r w:rsidR="00FB479B" w:rsidRPr="00D06F3D">
        <w:rPr>
          <w:snapToGrid w:val="0"/>
          <w:spacing w:val="-2"/>
          <w:szCs w:val="20"/>
          <w:lang w:eastAsia="es-ES"/>
        </w:rPr>
        <w:t xml:space="preserve"> era responsable de la violación de los artículos 4.1</w:t>
      </w:r>
      <w:r w:rsidR="00B97411">
        <w:rPr>
          <w:snapToGrid w:val="0"/>
          <w:spacing w:val="-2"/>
          <w:szCs w:val="20"/>
          <w:lang w:eastAsia="es-ES"/>
        </w:rPr>
        <w:t>,</w:t>
      </w:r>
      <w:r w:rsidR="00FB479B" w:rsidRPr="00D06F3D">
        <w:rPr>
          <w:snapToGrid w:val="0"/>
          <w:spacing w:val="-2"/>
          <w:szCs w:val="20"/>
          <w:lang w:eastAsia="es-ES"/>
        </w:rPr>
        <w:t xml:space="preserve"> </w:t>
      </w:r>
      <w:r w:rsidR="00D06F3D" w:rsidRPr="00D06F3D">
        <w:rPr>
          <w:snapToGrid w:val="0"/>
          <w:spacing w:val="-2"/>
          <w:szCs w:val="20"/>
          <w:lang w:eastAsia="es-ES"/>
        </w:rPr>
        <w:t xml:space="preserve">5.2 </w:t>
      </w:r>
      <w:r w:rsidR="00B97411">
        <w:rPr>
          <w:snapToGrid w:val="0"/>
          <w:spacing w:val="-2"/>
          <w:szCs w:val="20"/>
          <w:lang w:eastAsia="es-ES"/>
        </w:rPr>
        <w:t xml:space="preserve">y 19 </w:t>
      </w:r>
      <w:r w:rsidR="00D06F3D" w:rsidRPr="00D06F3D">
        <w:rPr>
          <w:snapToGrid w:val="0"/>
          <w:spacing w:val="-2"/>
          <w:szCs w:val="20"/>
          <w:lang w:eastAsia="es-ES"/>
        </w:rPr>
        <w:t>de</w:t>
      </w:r>
      <w:r w:rsidR="00FB479B" w:rsidRPr="00D06F3D">
        <w:rPr>
          <w:snapToGrid w:val="0"/>
          <w:spacing w:val="-2"/>
          <w:szCs w:val="20"/>
          <w:lang w:eastAsia="es-ES"/>
        </w:rPr>
        <w:t xml:space="preserve"> la Convención</w:t>
      </w:r>
      <w:r w:rsidR="00FB479B" w:rsidRPr="00D06F3D">
        <w:rPr>
          <w:rFonts w:eastAsia="Verdana" w:cs="Verdana"/>
          <w:szCs w:val="20"/>
        </w:rPr>
        <w:t xml:space="preserve">. Asimismo, precisó que luego del </w:t>
      </w:r>
      <w:r w:rsidR="00D0374D">
        <w:rPr>
          <w:rFonts w:eastAsia="Verdana" w:cs="Verdana"/>
          <w:szCs w:val="20"/>
        </w:rPr>
        <w:t>I</w:t>
      </w:r>
      <w:r w:rsidR="00FB479B" w:rsidRPr="00D06F3D">
        <w:rPr>
          <w:rFonts w:eastAsia="Verdana" w:cs="Verdana"/>
          <w:szCs w:val="20"/>
        </w:rPr>
        <w:t xml:space="preserve">nforme de </w:t>
      </w:r>
      <w:r w:rsidR="00D0374D">
        <w:rPr>
          <w:rFonts w:eastAsia="Verdana" w:cs="Verdana"/>
          <w:szCs w:val="20"/>
        </w:rPr>
        <w:t>F</w:t>
      </w:r>
      <w:r w:rsidR="00FB479B" w:rsidRPr="00D06F3D">
        <w:rPr>
          <w:rFonts w:eastAsia="Verdana" w:cs="Verdana"/>
          <w:szCs w:val="20"/>
        </w:rPr>
        <w:t xml:space="preserve">ondo resolvió iniciar una nueva investigación el 13 de diciembre de </w:t>
      </w:r>
      <w:r w:rsidR="00B97411">
        <w:rPr>
          <w:rFonts w:eastAsia="Verdana" w:cs="Verdana"/>
          <w:szCs w:val="20"/>
        </w:rPr>
        <w:t>2018</w:t>
      </w:r>
      <w:r w:rsidR="00FB479B" w:rsidRPr="00D06F3D">
        <w:rPr>
          <w:rStyle w:val="Refdenotaalpie"/>
          <w:rFonts w:eastAsia="Verdana"/>
        </w:rPr>
        <w:footnoteReference w:id="63"/>
      </w:r>
      <w:r w:rsidR="00FB479B" w:rsidRPr="00D06F3D">
        <w:rPr>
          <w:rFonts w:eastAsia="Verdana" w:cs="Verdana"/>
          <w:szCs w:val="20"/>
        </w:rPr>
        <w:t xml:space="preserve">, dentro de la cual se han realizado acciones como </w:t>
      </w:r>
      <w:r w:rsidR="00A658D1">
        <w:rPr>
          <w:rFonts w:eastAsia="Verdana" w:cs="Verdana"/>
          <w:szCs w:val="20"/>
        </w:rPr>
        <w:t xml:space="preserve">recibir </w:t>
      </w:r>
      <w:r w:rsidR="00FB479B" w:rsidRPr="00D06F3D">
        <w:rPr>
          <w:rFonts w:eastAsia="Verdana" w:cs="Verdana"/>
          <w:szCs w:val="20"/>
        </w:rPr>
        <w:t xml:space="preserve">la declaración testimonial de la señora María Noguera el 25 de febrero de 2019, pedidos de informes al Comandante en Jefe de las Fuerzas Armadas de la Nación y la orden </w:t>
      </w:r>
      <w:r w:rsidR="00D06F3D" w:rsidRPr="00D06F3D">
        <w:rPr>
          <w:rFonts w:eastAsia="Verdana" w:cs="Verdana"/>
          <w:szCs w:val="20"/>
        </w:rPr>
        <w:t xml:space="preserve">de 8 </w:t>
      </w:r>
      <w:r w:rsidR="00D06F3D" w:rsidRPr="00F238C1">
        <w:rPr>
          <w:rFonts w:eastAsia="Verdana" w:cs="Verdana"/>
          <w:szCs w:val="20"/>
        </w:rPr>
        <w:t xml:space="preserve">de abril de 2019 </w:t>
      </w:r>
      <w:r w:rsidR="00FB479B" w:rsidRPr="00F238C1">
        <w:rPr>
          <w:rFonts w:eastAsia="Verdana" w:cs="Verdana"/>
          <w:szCs w:val="20"/>
        </w:rPr>
        <w:t>de realización de una pericia de autopsia hist</w:t>
      </w:r>
      <w:r w:rsidR="00D06F3D" w:rsidRPr="00F238C1">
        <w:rPr>
          <w:rFonts w:eastAsia="Verdana" w:cs="Verdana"/>
          <w:szCs w:val="20"/>
        </w:rPr>
        <w:t xml:space="preserve">órica. </w:t>
      </w:r>
    </w:p>
    <w:p w14:paraId="50503E68" w14:textId="77777777" w:rsidR="00DE03C9" w:rsidRPr="00FE01B7" w:rsidRDefault="00DE03C9" w:rsidP="00404C7B">
      <w:pPr>
        <w:pStyle w:val="Prrafodelista"/>
        <w:numPr>
          <w:ilvl w:val="0"/>
          <w:numId w:val="16"/>
        </w:numPr>
        <w:pBdr>
          <w:top w:val="nil"/>
        </w:pBdr>
        <w:tabs>
          <w:tab w:val="left" w:pos="630"/>
        </w:tabs>
        <w:spacing w:before="240" w:after="240"/>
        <w:contextualSpacing w:val="0"/>
        <w:outlineLvl w:val="1"/>
        <w:rPr>
          <w:b/>
          <w:i/>
          <w:snapToGrid w:val="0"/>
          <w:spacing w:val="-2"/>
          <w:szCs w:val="20"/>
          <w:lang w:eastAsia="es-ES"/>
        </w:rPr>
      </w:pPr>
      <w:bookmarkStart w:id="95" w:name="_Toc36132108"/>
      <w:r w:rsidRPr="00FE01B7">
        <w:rPr>
          <w:b/>
          <w:i/>
          <w:snapToGrid w:val="0"/>
          <w:spacing w:val="-2"/>
          <w:szCs w:val="20"/>
          <w:lang w:eastAsia="es-ES"/>
        </w:rPr>
        <w:t>Consideraciones de la Corte</w:t>
      </w:r>
      <w:bookmarkEnd w:id="95"/>
    </w:p>
    <w:p w14:paraId="717FE83B" w14:textId="10B12612" w:rsidR="00BB680D" w:rsidRDefault="00BB680D" w:rsidP="00404C7B">
      <w:pPr>
        <w:pStyle w:val="Prrafodelista"/>
        <w:numPr>
          <w:ilvl w:val="0"/>
          <w:numId w:val="2"/>
        </w:numPr>
        <w:tabs>
          <w:tab w:val="left" w:pos="630"/>
        </w:tabs>
        <w:spacing w:before="120" w:after="120"/>
        <w:ind w:left="0" w:firstLine="0"/>
        <w:contextualSpacing w:val="0"/>
        <w:rPr>
          <w:lang w:val="es-PE"/>
        </w:rPr>
      </w:pPr>
      <w:r w:rsidRPr="00D174FF">
        <w:rPr>
          <w:lang w:val="es-PE"/>
        </w:rPr>
        <w:lastRenderedPageBreak/>
        <w:t>La Corte procederá a examinar la cuestión acerca de la responsabilidad internacional del Estado por la violación de los artículos 4</w:t>
      </w:r>
      <w:r w:rsidR="006F71E3">
        <w:rPr>
          <w:lang w:val="es-PE"/>
        </w:rPr>
        <w:t xml:space="preserve">, </w:t>
      </w:r>
      <w:r w:rsidRPr="00D174FF">
        <w:rPr>
          <w:lang w:val="es-PE"/>
        </w:rPr>
        <w:t>5</w:t>
      </w:r>
      <w:r w:rsidR="006F71E3">
        <w:rPr>
          <w:lang w:val="es-PE"/>
        </w:rPr>
        <w:t>, y 19</w:t>
      </w:r>
      <w:r w:rsidRPr="00D174FF">
        <w:rPr>
          <w:lang w:val="es-PE"/>
        </w:rPr>
        <w:t xml:space="preserve"> de la </w:t>
      </w:r>
      <w:r w:rsidRPr="00404C7B">
        <w:rPr>
          <w:rFonts w:eastAsia="Verdana" w:cs="Verdana"/>
          <w:szCs w:val="20"/>
        </w:rPr>
        <w:t>Convención</w:t>
      </w:r>
      <w:r w:rsidRPr="00D174FF">
        <w:rPr>
          <w:lang w:val="es-PE"/>
        </w:rPr>
        <w:t xml:space="preserve"> Americana en perjuicio de </w:t>
      </w:r>
      <w:r>
        <w:rPr>
          <w:lang w:val="es-PE"/>
        </w:rPr>
        <w:t>Vicente Noguera</w:t>
      </w:r>
      <w:r w:rsidRPr="00D174FF">
        <w:rPr>
          <w:lang w:val="es-PE"/>
        </w:rPr>
        <w:t xml:space="preserve">. </w:t>
      </w:r>
    </w:p>
    <w:p w14:paraId="475E872E" w14:textId="08B37723" w:rsidR="00BB680D" w:rsidRDefault="00BB680D" w:rsidP="00404C7B">
      <w:pPr>
        <w:pStyle w:val="Prrafodelista"/>
        <w:numPr>
          <w:ilvl w:val="0"/>
          <w:numId w:val="2"/>
        </w:numPr>
        <w:tabs>
          <w:tab w:val="left" w:pos="630"/>
        </w:tabs>
        <w:spacing w:before="120" w:after="120"/>
        <w:ind w:left="0" w:firstLine="0"/>
        <w:contextualSpacing w:val="0"/>
        <w:rPr>
          <w:lang w:val="es-PE"/>
        </w:rPr>
      </w:pPr>
      <w:r w:rsidRPr="003934E0">
        <w:rPr>
          <w:lang w:val="es-PE"/>
        </w:rPr>
        <w:t xml:space="preserve">Este Tribunal ha establecido que el derecho a la vida juega un papel fundamental en la Convención Americana, por ser el presupuesto esencial para el ejercicio de los demás derechos. La observancia del artículo 4, relacionado con el artículo 1.1 de la Convención Americana, no sólo presupone que ninguna persona sea privada de su vida arbitrariamente (obligación negativa), sino que además requiere que los Estados adopten todas las medidas apropiadas para proteger y preservar el derecho a </w:t>
      </w:r>
      <w:r>
        <w:rPr>
          <w:lang w:val="es-PE"/>
        </w:rPr>
        <w:t>la vida (obligación positiva)</w:t>
      </w:r>
      <w:r>
        <w:rPr>
          <w:rStyle w:val="Refdenotaalpie"/>
          <w:lang w:val="es-PE"/>
        </w:rPr>
        <w:footnoteReference w:id="64"/>
      </w:r>
      <w:r w:rsidRPr="003934E0">
        <w:rPr>
          <w:lang w:val="es-PE"/>
        </w:rPr>
        <w:t>, conforme al deber de garantizar el pleno y libre ejercicio de los derechos de todas las personas bajo su jurisdicción</w:t>
      </w:r>
      <w:r>
        <w:rPr>
          <w:rStyle w:val="Refdenotaalpie"/>
          <w:lang w:val="es-PE"/>
        </w:rPr>
        <w:footnoteReference w:id="65"/>
      </w:r>
      <w:r w:rsidRPr="003934E0">
        <w:rPr>
          <w:lang w:val="es-PE"/>
        </w:rPr>
        <w:t>.</w:t>
      </w:r>
    </w:p>
    <w:p w14:paraId="1074DBFC" w14:textId="671CAFAA" w:rsidR="00BB680D" w:rsidRDefault="00BB680D" w:rsidP="00404C7B">
      <w:pPr>
        <w:pStyle w:val="Prrafodelista"/>
        <w:numPr>
          <w:ilvl w:val="0"/>
          <w:numId w:val="2"/>
        </w:numPr>
        <w:tabs>
          <w:tab w:val="left" w:pos="630"/>
        </w:tabs>
        <w:spacing w:before="120" w:after="120"/>
        <w:ind w:left="0" w:firstLine="0"/>
        <w:contextualSpacing w:val="0"/>
        <w:rPr>
          <w:lang w:val="es-PE"/>
        </w:rPr>
      </w:pPr>
      <w:r w:rsidRPr="004C4DF5">
        <w:rPr>
          <w:lang w:val="es-PE"/>
        </w:rPr>
        <w:t xml:space="preserve">En consecuencia, los Estados tienen la obligación de garantizar la creación de las condiciones que se requieran para que no se produzcan violaciones de ese derecho inalienable y, en particular, el deber de impedir que sus agentes atenten contra el mismo. Esta protección activa del derecho a la vida por parte del Estado no sólo involucra a sus legisladores, sino a toda institución estatal y a quienes deben resguardar la seguridad, sean éstas sus fuerzas de </w:t>
      </w:r>
      <w:r>
        <w:rPr>
          <w:lang w:val="es-PE"/>
        </w:rPr>
        <w:t>policía o sus fuerzas armadas</w:t>
      </w:r>
      <w:r>
        <w:rPr>
          <w:rStyle w:val="Refdenotaalpie"/>
          <w:lang w:val="es-PE"/>
        </w:rPr>
        <w:footnoteReference w:id="66"/>
      </w:r>
      <w:r w:rsidRPr="004C4DF5">
        <w:rPr>
          <w:lang w:val="es-PE"/>
        </w:rPr>
        <w:t>.</w:t>
      </w:r>
      <w:r w:rsidRPr="001B4C83">
        <w:rPr>
          <w:lang w:val="es-PE"/>
        </w:rPr>
        <w:t xml:space="preserve"> </w:t>
      </w:r>
    </w:p>
    <w:p w14:paraId="67EB83EF" w14:textId="4C02C541" w:rsidR="00771D72" w:rsidRDefault="00DE03C9" w:rsidP="00404C7B">
      <w:pPr>
        <w:pStyle w:val="Prrafodelista"/>
        <w:numPr>
          <w:ilvl w:val="0"/>
          <w:numId w:val="2"/>
        </w:numPr>
        <w:tabs>
          <w:tab w:val="left" w:pos="630"/>
        </w:tabs>
        <w:spacing w:before="120" w:after="120"/>
        <w:ind w:left="0" w:firstLine="0"/>
        <w:contextualSpacing w:val="0"/>
        <w:rPr>
          <w:lang w:val="es-PE"/>
        </w:rPr>
      </w:pPr>
      <w:r w:rsidRPr="003B376F">
        <w:rPr>
          <w:spacing w:val="1"/>
        </w:rPr>
        <w:t xml:space="preserve"> </w:t>
      </w:r>
      <w:r w:rsidR="00B5525B" w:rsidRPr="005E3B34">
        <w:rPr>
          <w:lang w:val="es-PE"/>
        </w:rPr>
        <w:t>Respecto de las personas bajo la custodia del Estado</w:t>
      </w:r>
      <w:r w:rsidR="008310DB">
        <w:rPr>
          <w:lang w:val="es-PE"/>
        </w:rPr>
        <w:t xml:space="preserve"> las cuales incluye también a los miembros de las </w:t>
      </w:r>
      <w:r w:rsidR="008310DB" w:rsidRPr="008D35C0">
        <w:rPr>
          <w:rFonts w:eastAsiaTheme="minorEastAsia"/>
          <w:szCs w:val="20"/>
          <w:lang w:val="es-ES"/>
        </w:rPr>
        <w:t>fuerzas armadas en servicio activo acuartelado</w:t>
      </w:r>
      <w:r w:rsidR="00B5525B" w:rsidRPr="005E3B34">
        <w:rPr>
          <w:lang w:val="es-PE"/>
        </w:rPr>
        <w:t xml:space="preserve">, esta Corte ha señalado que el Estado debe garantizar </w:t>
      </w:r>
      <w:r w:rsidR="00B5525B" w:rsidRPr="009C47B5">
        <w:rPr>
          <w:lang w:val="es-PE"/>
        </w:rPr>
        <w:t>su derecho a la vida y a la integridad personal, en razón de que éste se encuentra en posición especial de garante con respecto a dichas personas</w:t>
      </w:r>
      <w:r w:rsidR="00B5525B" w:rsidRPr="005E3B34">
        <w:rPr>
          <w:rStyle w:val="Refdenotaalpie"/>
          <w:lang w:val="es-PE"/>
        </w:rPr>
        <w:footnoteReference w:id="67"/>
      </w:r>
      <w:r w:rsidR="00B5525B" w:rsidRPr="005E3B34">
        <w:rPr>
          <w:lang w:val="es-PE"/>
        </w:rPr>
        <w:t xml:space="preserve">. </w:t>
      </w:r>
      <w:r w:rsidR="003E35A2" w:rsidRPr="0001748B">
        <w:rPr>
          <w:rFonts w:eastAsiaTheme="minorEastAsia" w:cs="Arial"/>
          <w:szCs w:val="20"/>
        </w:rPr>
        <w:t>Así, la Corte ha interpretado que, en relación con esas personas en especial situación de sujeción</w:t>
      </w:r>
      <w:r w:rsidR="00363F94">
        <w:rPr>
          <w:rFonts w:eastAsiaTheme="minorEastAsia" w:cs="Arial"/>
          <w:szCs w:val="20"/>
        </w:rPr>
        <w:t xml:space="preserve"> en el ámbito militar</w:t>
      </w:r>
      <w:r w:rsidR="003E35A2" w:rsidRPr="0001748B">
        <w:rPr>
          <w:rFonts w:eastAsiaTheme="minorEastAsia" w:cs="Arial"/>
          <w:szCs w:val="20"/>
        </w:rPr>
        <w:t>, el Estado tiene el deber de</w:t>
      </w:r>
      <w:r w:rsidR="003E35A2">
        <w:rPr>
          <w:rFonts w:eastAsiaTheme="minorEastAsia" w:cs="Arial"/>
          <w:szCs w:val="20"/>
        </w:rPr>
        <w:t>:</w:t>
      </w:r>
      <w:r w:rsidR="003E35A2" w:rsidRPr="0001748B">
        <w:rPr>
          <w:rFonts w:eastAsiaTheme="minorEastAsia" w:cs="Arial"/>
          <w:szCs w:val="20"/>
        </w:rPr>
        <w:t xml:space="preserve"> i) salvaguardar la </w:t>
      </w:r>
      <w:r w:rsidR="003E35A2">
        <w:rPr>
          <w:rFonts w:eastAsiaTheme="minorEastAsia" w:cs="Arial"/>
          <w:szCs w:val="20"/>
        </w:rPr>
        <w:t>integridad</w:t>
      </w:r>
      <w:r w:rsidR="003E35A2" w:rsidRPr="0001748B">
        <w:rPr>
          <w:rFonts w:eastAsiaTheme="minorEastAsia" w:cs="Arial"/>
          <w:szCs w:val="20"/>
        </w:rPr>
        <w:t xml:space="preserve"> y el bienestar de los militares en servicio activo; ii) garantizar que la manera y el método de entrenamiento no excedan el nivel inevitable de sufrimiento inherente a esa condición, y iii) proveer una explicación satisfactoria y convincente sobre las afectaciones a la </w:t>
      </w:r>
      <w:r w:rsidR="003E35A2">
        <w:rPr>
          <w:rFonts w:eastAsiaTheme="minorEastAsia" w:cs="Arial"/>
          <w:szCs w:val="20"/>
        </w:rPr>
        <w:t>integridad</w:t>
      </w:r>
      <w:r w:rsidR="003E35A2" w:rsidRPr="0001748B">
        <w:rPr>
          <w:rFonts w:eastAsiaTheme="minorEastAsia" w:cs="Arial"/>
          <w:szCs w:val="20"/>
        </w:rPr>
        <w:t xml:space="preserve"> y a la vida que presenten las personas que se encuentran en una especial situación de sujeción en el ámbito militar, sea que se encuentran prestando servicio militar de forma voluntaria u obligatoria, o que se hayan incorporado a las fuerzas armadas en carácter de cadetes u ostentando un grado en la escala jerárquica militar. En consecuencia</w:t>
      </w:r>
      <w:r w:rsidR="00FE01B7">
        <w:rPr>
          <w:rFonts w:eastAsiaTheme="minorEastAsia" w:cs="Arial"/>
          <w:szCs w:val="20"/>
        </w:rPr>
        <w:t>,</w:t>
      </w:r>
      <w:r w:rsidR="003E35A2" w:rsidRPr="0001748B">
        <w:rPr>
          <w:rFonts w:eastAsiaTheme="minorEastAsia" w:cs="Arial"/>
          <w:szCs w:val="20"/>
        </w:rPr>
        <w:t xml:space="preserve"> procede la presunción de considerar responsable al Estado por las afectaciones a la integridad personal y a la vida que sufre una persona que ha estado bajo autoridad y control de funcionarios estatales, como aquellos que participan en la instrucción o escuela militar</w:t>
      </w:r>
      <w:r w:rsidR="00771D72" w:rsidRPr="009E5AFA">
        <w:rPr>
          <w:vertAlign w:val="superscript"/>
        </w:rPr>
        <w:footnoteReference w:id="68"/>
      </w:r>
      <w:r w:rsidR="00771D72" w:rsidRPr="00753835">
        <w:rPr>
          <w:lang w:val="es-PE"/>
        </w:rPr>
        <w:t>.</w:t>
      </w:r>
      <w:r w:rsidR="008310DB">
        <w:rPr>
          <w:lang w:val="es-PE"/>
        </w:rPr>
        <w:t xml:space="preserve"> </w:t>
      </w:r>
    </w:p>
    <w:p w14:paraId="197A3A0A" w14:textId="77777777" w:rsidR="000B67B0" w:rsidRPr="00260C3E" w:rsidRDefault="00771D72" w:rsidP="00404C7B">
      <w:pPr>
        <w:pStyle w:val="Prrafodelista"/>
        <w:numPr>
          <w:ilvl w:val="0"/>
          <w:numId w:val="2"/>
        </w:numPr>
        <w:tabs>
          <w:tab w:val="left" w:pos="630"/>
        </w:tabs>
        <w:spacing w:before="120" w:after="120"/>
        <w:ind w:left="0" w:firstLine="0"/>
        <w:contextualSpacing w:val="0"/>
        <w:rPr>
          <w:b/>
          <w:lang w:val="es-MX"/>
        </w:rPr>
      </w:pPr>
      <w:r>
        <w:rPr>
          <w:lang w:val="es-PE"/>
        </w:rPr>
        <w:t>Por otra parte</w:t>
      </w:r>
      <w:r w:rsidR="00BB680D" w:rsidRPr="00DB29CF">
        <w:rPr>
          <w:lang w:val="es-MX"/>
        </w:rPr>
        <w:t xml:space="preserve">, cuando el Estado se encuentra en presencia de </w:t>
      </w:r>
      <w:r>
        <w:rPr>
          <w:lang w:val="es-MX"/>
        </w:rPr>
        <w:t xml:space="preserve">niñas y </w:t>
      </w:r>
      <w:r w:rsidR="00BB680D" w:rsidRPr="00DB29CF">
        <w:rPr>
          <w:lang w:val="es-MX"/>
        </w:rPr>
        <w:t xml:space="preserve">niños </w:t>
      </w:r>
      <w:r>
        <w:rPr>
          <w:lang w:val="es-MX"/>
        </w:rPr>
        <w:t xml:space="preserve">que </w:t>
      </w:r>
      <w:r w:rsidR="009252DC">
        <w:rPr>
          <w:lang w:val="es-MX"/>
        </w:rPr>
        <w:t>están</w:t>
      </w:r>
      <w:r>
        <w:rPr>
          <w:lang w:val="es-MX"/>
        </w:rPr>
        <w:t xml:space="preserve"> bajo su custodia, </w:t>
      </w:r>
      <w:r w:rsidR="00BB680D" w:rsidRPr="00DB29CF">
        <w:rPr>
          <w:lang w:val="es-MX"/>
        </w:rPr>
        <w:t xml:space="preserve">como ocurre en el presente caso, tiene, además de las </w:t>
      </w:r>
      <w:r w:rsidR="00BB680D" w:rsidRPr="00404C7B">
        <w:rPr>
          <w:lang w:val="es-PE"/>
        </w:rPr>
        <w:t>obligaciones</w:t>
      </w:r>
      <w:r w:rsidR="00BB680D" w:rsidRPr="00DB29CF">
        <w:rPr>
          <w:lang w:val="es-MX"/>
        </w:rPr>
        <w:t xml:space="preserve"> señaladas para toda persona</w:t>
      </w:r>
      <w:r>
        <w:rPr>
          <w:lang w:val="es-MX"/>
        </w:rPr>
        <w:t xml:space="preserve"> que se encuentra en esa condición</w:t>
      </w:r>
      <w:r w:rsidR="00BB680D" w:rsidRPr="00DB29CF">
        <w:rPr>
          <w:lang w:val="es-MX"/>
        </w:rPr>
        <w:t xml:space="preserve">, una obligación adicional establecida en el artículo 19 de la Convención Americana. Por una parte, debe asumir su </w:t>
      </w:r>
      <w:r w:rsidR="00BB680D" w:rsidRPr="00DB29CF">
        <w:rPr>
          <w:lang w:val="es-MX"/>
        </w:rPr>
        <w:lastRenderedPageBreak/>
        <w:t>posición especial de garante con mayor cuidado y responsabilidad, y debe tomar medidas especiales orientadas en el principio del interés superior del niño</w:t>
      </w:r>
      <w:r w:rsidR="00BB680D" w:rsidRPr="00DB29CF">
        <w:rPr>
          <w:vertAlign w:val="superscript"/>
          <w:lang w:val="es-MX"/>
        </w:rPr>
        <w:footnoteReference w:id="69"/>
      </w:r>
      <w:r w:rsidR="00BB680D">
        <w:rPr>
          <w:lang w:val="es-MX"/>
        </w:rPr>
        <w:t xml:space="preserve">. </w:t>
      </w:r>
    </w:p>
    <w:p w14:paraId="2D4354C4" w14:textId="1E35A50D" w:rsidR="006F71E3" w:rsidRPr="00404C7B" w:rsidRDefault="006F71E3" w:rsidP="00404C7B">
      <w:pPr>
        <w:pStyle w:val="Prrafodelista"/>
        <w:numPr>
          <w:ilvl w:val="0"/>
          <w:numId w:val="2"/>
        </w:numPr>
        <w:tabs>
          <w:tab w:val="left" w:pos="630"/>
        </w:tabs>
        <w:spacing w:before="120" w:after="120"/>
        <w:ind w:left="0" w:firstLine="0"/>
        <w:contextualSpacing w:val="0"/>
        <w:rPr>
          <w:lang w:val="es-PE"/>
        </w:rPr>
      </w:pPr>
      <w:r w:rsidRPr="00404C7B">
        <w:rPr>
          <w:lang w:val="es-MX"/>
        </w:rPr>
        <w:t xml:space="preserve">Por último, </w:t>
      </w:r>
      <w:r w:rsidR="00A658D1">
        <w:rPr>
          <w:lang w:val="es-MX"/>
        </w:rPr>
        <w:t>con</w:t>
      </w:r>
      <w:r w:rsidRPr="00404C7B">
        <w:rPr>
          <w:lang w:val="es-MX"/>
        </w:rPr>
        <w:t xml:space="preserve"> relación a personas bajo custodia del estado en instalaciones militares, l</w:t>
      </w:r>
      <w:r w:rsidRPr="00404C7B">
        <w:rPr>
          <w:lang w:val="es-PE"/>
        </w:rPr>
        <w:t xml:space="preserve">a Corte ha </w:t>
      </w:r>
      <w:r w:rsidRPr="00404C7B">
        <w:rPr>
          <w:lang w:val="es-MX"/>
        </w:rPr>
        <w:t>afirmado</w:t>
      </w:r>
      <w:r w:rsidRPr="00404C7B">
        <w:rPr>
          <w:lang w:val="es-PE"/>
        </w:rPr>
        <w:t xml:space="preserve"> que los derechos a la vida y a la integridad personal se hallan directa e inmediatamente vinculados con la atención a la salud humana</w:t>
      </w:r>
      <w:r w:rsidRPr="00404C7B">
        <w:rPr>
          <w:rStyle w:val="Refdenotaalpie"/>
          <w:lang w:val="es-PE"/>
        </w:rPr>
        <w:footnoteReference w:id="70"/>
      </w:r>
      <w:r w:rsidRPr="00404C7B">
        <w:rPr>
          <w:lang w:val="es-PE"/>
        </w:rPr>
        <w:t xml:space="preserve"> y que la falta de atención médica adecuada puede conllevar la vulneración del artículo 5.1 de la Convención</w:t>
      </w:r>
      <w:r w:rsidRPr="00404C7B">
        <w:rPr>
          <w:rStyle w:val="Refdenotaalpie"/>
          <w:lang w:val="es-PE"/>
        </w:rPr>
        <w:footnoteReference w:id="71"/>
      </w:r>
      <w:r w:rsidRPr="00404C7B">
        <w:rPr>
          <w:lang w:val="es-PE"/>
        </w:rPr>
        <w:t>. De ese modo, la Corte estima que, entre las medidas de seguridad que es preciso adoptar en el marco de los procesos de formación de las fuerzas militares, se encuentra la de contar con atención médica adecuada y de calidad en el transcurso de los entrenamientos militares, ya sea dentro de los cuarteles o en el exterior, incluyendo la asistencia médica de emergencia y especializada que se considere pertinente</w:t>
      </w:r>
      <w:r w:rsidRPr="00404C7B">
        <w:rPr>
          <w:rStyle w:val="Refdenotaalpie"/>
          <w:lang w:val="es-PE"/>
        </w:rPr>
        <w:footnoteReference w:id="72"/>
      </w:r>
      <w:r w:rsidRPr="00404C7B">
        <w:rPr>
          <w:lang w:val="es-PE"/>
        </w:rPr>
        <w:t>.</w:t>
      </w:r>
    </w:p>
    <w:p w14:paraId="5CB91695" w14:textId="33B7DD1A" w:rsidR="00BB680D" w:rsidRPr="00280D3A" w:rsidRDefault="000B67B0" w:rsidP="00280D3A">
      <w:pPr>
        <w:pStyle w:val="Ttulo3"/>
        <w:spacing w:before="240" w:after="240"/>
        <w:ind w:left="1066"/>
        <w:rPr>
          <w:b w:val="0"/>
          <w:snapToGrid w:val="0"/>
          <w:spacing w:val="-2"/>
          <w:szCs w:val="20"/>
          <w:lang w:eastAsia="es-ES"/>
        </w:rPr>
      </w:pPr>
      <w:bookmarkStart w:id="96" w:name="_Toc36132109"/>
      <w:r w:rsidRPr="00280D3A">
        <w:rPr>
          <w:b w:val="0"/>
          <w:snapToGrid w:val="0"/>
          <w:spacing w:val="-2"/>
          <w:szCs w:val="20"/>
          <w:lang w:eastAsia="es-ES"/>
        </w:rPr>
        <w:t xml:space="preserve">B.1. La responsabilidad del Estado por </w:t>
      </w:r>
      <w:r>
        <w:rPr>
          <w:b w:val="0"/>
          <w:snapToGrid w:val="0"/>
          <w:spacing w:val="-2"/>
          <w:szCs w:val="20"/>
          <w:lang w:eastAsia="es-ES"/>
        </w:rPr>
        <w:t>no haber</w:t>
      </w:r>
      <w:r w:rsidRPr="00280D3A">
        <w:rPr>
          <w:b w:val="0"/>
          <w:snapToGrid w:val="0"/>
          <w:spacing w:val="-2"/>
          <w:szCs w:val="20"/>
          <w:lang w:eastAsia="es-ES"/>
        </w:rPr>
        <w:t xml:space="preserve"> </w:t>
      </w:r>
      <w:r>
        <w:rPr>
          <w:b w:val="0"/>
          <w:snapToGrid w:val="0"/>
          <w:spacing w:val="-2"/>
          <w:szCs w:val="20"/>
          <w:lang w:eastAsia="es-ES"/>
        </w:rPr>
        <w:t xml:space="preserve">aclarado </w:t>
      </w:r>
      <w:r w:rsidRPr="00280D3A">
        <w:rPr>
          <w:b w:val="0"/>
          <w:snapToGrid w:val="0"/>
          <w:spacing w:val="-2"/>
          <w:szCs w:val="20"/>
          <w:lang w:eastAsia="es-ES"/>
        </w:rPr>
        <w:t xml:space="preserve">las circunstancias </w:t>
      </w:r>
      <w:r>
        <w:rPr>
          <w:b w:val="0"/>
          <w:snapToGrid w:val="0"/>
          <w:spacing w:val="-2"/>
          <w:szCs w:val="20"/>
          <w:lang w:eastAsia="es-ES"/>
        </w:rPr>
        <w:t xml:space="preserve">en las que se produjo </w:t>
      </w:r>
      <w:r w:rsidRPr="00280D3A">
        <w:rPr>
          <w:b w:val="0"/>
          <w:snapToGrid w:val="0"/>
          <w:spacing w:val="-2"/>
          <w:szCs w:val="20"/>
          <w:lang w:eastAsia="es-ES"/>
        </w:rPr>
        <w:t>la muerte de Vicente Noguera</w:t>
      </w:r>
      <w:bookmarkEnd w:id="96"/>
    </w:p>
    <w:p w14:paraId="6BDF685D" w14:textId="53C8DBEA" w:rsidR="00AD6772" w:rsidRPr="00260C3E" w:rsidRDefault="00C364CB" w:rsidP="00404C7B">
      <w:pPr>
        <w:pStyle w:val="Prrafodelista"/>
        <w:numPr>
          <w:ilvl w:val="0"/>
          <w:numId w:val="2"/>
        </w:numPr>
        <w:tabs>
          <w:tab w:val="left" w:pos="630"/>
        </w:tabs>
        <w:spacing w:before="120" w:after="120"/>
        <w:ind w:left="0" w:firstLine="0"/>
        <w:contextualSpacing w:val="0"/>
        <w:rPr>
          <w:lang w:val="es-PE"/>
        </w:rPr>
      </w:pPr>
      <w:r w:rsidRPr="002040C8">
        <w:rPr>
          <w:szCs w:val="20"/>
        </w:rPr>
        <w:t xml:space="preserve">La Corte recuerda que el Estado reconoció su responsabilidad internacional por </w:t>
      </w:r>
      <w:r w:rsidR="00A658D1">
        <w:rPr>
          <w:szCs w:val="20"/>
        </w:rPr>
        <w:t>la</w:t>
      </w:r>
      <w:r>
        <w:rPr>
          <w:szCs w:val="20"/>
        </w:rPr>
        <w:t xml:space="preserve"> vulneración </w:t>
      </w:r>
      <w:r w:rsidR="00A658D1">
        <w:rPr>
          <w:szCs w:val="20"/>
        </w:rPr>
        <w:t>de</w:t>
      </w:r>
      <w:r>
        <w:rPr>
          <w:szCs w:val="20"/>
        </w:rPr>
        <w:t xml:space="preserve"> los derechos a la vida</w:t>
      </w:r>
      <w:r w:rsidR="005D7280">
        <w:rPr>
          <w:szCs w:val="20"/>
        </w:rPr>
        <w:t xml:space="preserve"> (artículo 4.1)</w:t>
      </w:r>
      <w:r>
        <w:rPr>
          <w:szCs w:val="20"/>
        </w:rPr>
        <w:t xml:space="preserve">, </w:t>
      </w:r>
      <w:r w:rsidR="00A658D1">
        <w:rPr>
          <w:szCs w:val="20"/>
        </w:rPr>
        <w:t xml:space="preserve">a </w:t>
      </w:r>
      <w:r w:rsidR="00363F94">
        <w:rPr>
          <w:szCs w:val="20"/>
        </w:rPr>
        <w:t xml:space="preserve">la </w:t>
      </w:r>
      <w:r>
        <w:rPr>
          <w:szCs w:val="20"/>
        </w:rPr>
        <w:t>integridad personal</w:t>
      </w:r>
      <w:r w:rsidR="005D7280">
        <w:rPr>
          <w:szCs w:val="20"/>
        </w:rPr>
        <w:t xml:space="preserve"> (artículo 5.1)</w:t>
      </w:r>
      <w:r>
        <w:rPr>
          <w:szCs w:val="20"/>
        </w:rPr>
        <w:t xml:space="preserve"> y a los derechos del niño </w:t>
      </w:r>
      <w:r w:rsidR="00A658D1">
        <w:rPr>
          <w:szCs w:val="20"/>
        </w:rPr>
        <w:t xml:space="preserve">(artículo 19) </w:t>
      </w:r>
      <w:r>
        <w:rPr>
          <w:szCs w:val="20"/>
        </w:rPr>
        <w:t xml:space="preserve">en perjuicio de </w:t>
      </w:r>
      <w:r w:rsidR="001218E8">
        <w:rPr>
          <w:szCs w:val="20"/>
        </w:rPr>
        <w:t>Vicente Noguera</w:t>
      </w:r>
      <w:r w:rsidRPr="002040C8">
        <w:rPr>
          <w:szCs w:val="20"/>
        </w:rPr>
        <w:t>.</w:t>
      </w:r>
      <w:r w:rsidR="001218E8">
        <w:rPr>
          <w:szCs w:val="20"/>
        </w:rPr>
        <w:t xml:space="preserve"> </w:t>
      </w:r>
      <w:r w:rsidR="00FC0022">
        <w:rPr>
          <w:szCs w:val="20"/>
        </w:rPr>
        <w:t xml:space="preserve">Expresó que esos derechos se vulneraron tomando en consideración que la muerte de </w:t>
      </w:r>
      <w:r w:rsidR="00FC0022" w:rsidRPr="00260C3E">
        <w:rPr>
          <w:lang w:val="es-MX"/>
        </w:rPr>
        <w:t>Vicente</w:t>
      </w:r>
      <w:r w:rsidR="00FC0022">
        <w:rPr>
          <w:szCs w:val="20"/>
        </w:rPr>
        <w:t xml:space="preserve"> Noguera, de 17 años de edad al momento de su muerte, se produjo </w:t>
      </w:r>
      <w:r w:rsidR="00FC0022" w:rsidRPr="00FC0022">
        <w:rPr>
          <w:szCs w:val="20"/>
        </w:rPr>
        <w:t xml:space="preserve">en un </w:t>
      </w:r>
      <w:r w:rsidR="00FC0022" w:rsidRPr="00404C7B">
        <w:rPr>
          <w:lang w:val="es-PE"/>
        </w:rPr>
        <w:t>establecimiento</w:t>
      </w:r>
      <w:r w:rsidR="00FC0022" w:rsidRPr="00FC0022">
        <w:rPr>
          <w:szCs w:val="20"/>
        </w:rPr>
        <w:t xml:space="preserve"> militar, bajo tutela del Estado, sin que se hubieran aclarado las circunstancias en las que se produjo</w:t>
      </w:r>
      <w:r w:rsidR="00A658D1">
        <w:rPr>
          <w:szCs w:val="20"/>
        </w:rPr>
        <w:t>,</w:t>
      </w:r>
      <w:r w:rsidR="00FC0022" w:rsidRPr="00FC0022">
        <w:rPr>
          <w:szCs w:val="20"/>
        </w:rPr>
        <w:t xml:space="preserve"> </w:t>
      </w:r>
      <w:r w:rsidR="006F71E3">
        <w:rPr>
          <w:szCs w:val="20"/>
        </w:rPr>
        <w:t xml:space="preserve">ni que </w:t>
      </w:r>
      <w:r w:rsidR="00A658D1">
        <w:rPr>
          <w:szCs w:val="20"/>
        </w:rPr>
        <w:t xml:space="preserve">se hubieran </w:t>
      </w:r>
      <w:r w:rsidR="006F71E3" w:rsidRPr="006F71E3">
        <w:rPr>
          <w:szCs w:val="20"/>
        </w:rPr>
        <w:t xml:space="preserve">desvirtuado satisfactoriamente los indicios respecto de la posibilidad de una muerte violenta </w:t>
      </w:r>
      <w:r w:rsidR="00051FFB" w:rsidRPr="002040C8">
        <w:rPr>
          <w:szCs w:val="20"/>
        </w:rPr>
        <w:t>(</w:t>
      </w:r>
      <w:r w:rsidR="00051FFB" w:rsidRPr="002040C8">
        <w:rPr>
          <w:i/>
          <w:szCs w:val="20"/>
        </w:rPr>
        <w:t>supra</w:t>
      </w:r>
      <w:r w:rsidR="00051FFB" w:rsidRPr="002040C8">
        <w:rPr>
          <w:szCs w:val="20"/>
        </w:rPr>
        <w:t xml:space="preserve"> párr. </w:t>
      </w:r>
      <w:r w:rsidR="00FE01B7">
        <w:rPr>
          <w:szCs w:val="20"/>
        </w:rPr>
        <w:t>63</w:t>
      </w:r>
      <w:r w:rsidR="00FE01B7" w:rsidRPr="002040C8">
        <w:rPr>
          <w:szCs w:val="20"/>
        </w:rPr>
        <w:t>)</w:t>
      </w:r>
      <w:r w:rsidR="00FE01B7">
        <w:rPr>
          <w:szCs w:val="20"/>
        </w:rPr>
        <w:t xml:space="preserve">. </w:t>
      </w:r>
      <w:r w:rsidR="005F1CD7" w:rsidRPr="002040C8">
        <w:rPr>
          <w:szCs w:val="20"/>
        </w:rPr>
        <w:t xml:space="preserve">Conforme a lo anterior, </w:t>
      </w:r>
      <w:r w:rsidR="00BE1DB8">
        <w:rPr>
          <w:szCs w:val="20"/>
        </w:rPr>
        <w:t xml:space="preserve">y en virtud del reconocimiento de responsabilidad efectuado por el Estado, </w:t>
      </w:r>
      <w:r w:rsidR="005F1CD7">
        <w:rPr>
          <w:szCs w:val="20"/>
        </w:rPr>
        <w:t>el Tribunal</w:t>
      </w:r>
      <w:r w:rsidR="005F1CD7" w:rsidRPr="002040C8">
        <w:rPr>
          <w:szCs w:val="20"/>
        </w:rPr>
        <w:t xml:space="preserve"> </w:t>
      </w:r>
      <w:r w:rsidR="000A182D">
        <w:rPr>
          <w:szCs w:val="20"/>
        </w:rPr>
        <w:t>encuentra</w:t>
      </w:r>
      <w:r w:rsidR="000A182D" w:rsidRPr="002040C8">
        <w:rPr>
          <w:szCs w:val="20"/>
        </w:rPr>
        <w:t xml:space="preserve"> </w:t>
      </w:r>
      <w:r w:rsidR="005F1CD7" w:rsidRPr="002040C8">
        <w:rPr>
          <w:szCs w:val="20"/>
        </w:rPr>
        <w:t xml:space="preserve">que </w:t>
      </w:r>
      <w:r w:rsidR="005F1CD7">
        <w:rPr>
          <w:szCs w:val="20"/>
        </w:rPr>
        <w:t xml:space="preserve">el Estado es responsable por una </w:t>
      </w:r>
      <w:r w:rsidR="00A658D1">
        <w:rPr>
          <w:szCs w:val="20"/>
        </w:rPr>
        <w:t>violación</w:t>
      </w:r>
      <w:r w:rsidR="005F1CD7">
        <w:rPr>
          <w:szCs w:val="20"/>
        </w:rPr>
        <w:t xml:space="preserve"> </w:t>
      </w:r>
      <w:r w:rsidR="00A658D1">
        <w:rPr>
          <w:szCs w:val="20"/>
        </w:rPr>
        <w:t>de</w:t>
      </w:r>
      <w:r w:rsidR="00BE1DB8">
        <w:rPr>
          <w:szCs w:val="20"/>
        </w:rPr>
        <w:t xml:space="preserve">l derecho a la vida, </w:t>
      </w:r>
      <w:proofErr w:type="spellStart"/>
      <w:r w:rsidR="00A658D1">
        <w:rPr>
          <w:szCs w:val="20"/>
        </w:rPr>
        <w:t>del</w:t>
      </w:r>
      <w:r w:rsidR="00BE1DB8">
        <w:rPr>
          <w:szCs w:val="20"/>
        </w:rPr>
        <w:t>l</w:t>
      </w:r>
      <w:proofErr w:type="spellEnd"/>
      <w:r w:rsidR="00BE1DB8">
        <w:rPr>
          <w:szCs w:val="20"/>
        </w:rPr>
        <w:t xml:space="preserve"> derecho a la integridad personal y </w:t>
      </w:r>
      <w:r w:rsidR="00A658D1">
        <w:rPr>
          <w:szCs w:val="20"/>
        </w:rPr>
        <w:t>de</w:t>
      </w:r>
      <w:r w:rsidR="00BE1DB8">
        <w:rPr>
          <w:szCs w:val="20"/>
        </w:rPr>
        <w:t xml:space="preserve"> los derechos del niño</w:t>
      </w:r>
      <w:r w:rsidR="00A658D1">
        <w:rPr>
          <w:szCs w:val="20"/>
        </w:rPr>
        <w:t xml:space="preserve">, reconocidos en los </w:t>
      </w:r>
      <w:r w:rsidR="00BE1DB8">
        <w:rPr>
          <w:szCs w:val="20"/>
        </w:rPr>
        <w:t>artículos 4.1, 5.1 y 19 de la Convención</w:t>
      </w:r>
      <w:r w:rsidR="00A658D1">
        <w:rPr>
          <w:szCs w:val="20"/>
        </w:rPr>
        <w:t xml:space="preserve"> en relación con el artículo 1.1 del mismo instrumento, </w:t>
      </w:r>
      <w:r w:rsidR="00BE1DB8">
        <w:rPr>
          <w:szCs w:val="20"/>
        </w:rPr>
        <w:t>en perjuicio de Vicente Noguera</w:t>
      </w:r>
      <w:r w:rsidR="005F1CD7">
        <w:rPr>
          <w:szCs w:val="20"/>
        </w:rPr>
        <w:t>.</w:t>
      </w:r>
      <w:r w:rsidR="00AD6772">
        <w:rPr>
          <w:szCs w:val="20"/>
        </w:rPr>
        <w:t xml:space="preserve"> </w:t>
      </w:r>
    </w:p>
    <w:p w14:paraId="15277608" w14:textId="1EDF5375" w:rsidR="000B67B0" w:rsidRPr="00D470CA" w:rsidRDefault="00C64941" w:rsidP="000B67B0">
      <w:pPr>
        <w:pStyle w:val="Ttulo3"/>
        <w:spacing w:before="240" w:after="240"/>
        <w:ind w:left="1066"/>
        <w:rPr>
          <w:b w:val="0"/>
          <w:snapToGrid w:val="0"/>
          <w:spacing w:val="-2"/>
          <w:szCs w:val="20"/>
          <w:lang w:eastAsia="es-ES"/>
        </w:rPr>
      </w:pPr>
      <w:bookmarkStart w:id="97" w:name="_Toc36132110"/>
      <w:r>
        <w:rPr>
          <w:b w:val="0"/>
          <w:snapToGrid w:val="0"/>
          <w:spacing w:val="-2"/>
          <w:szCs w:val="20"/>
          <w:lang w:eastAsia="es-ES"/>
        </w:rPr>
        <w:t>B.2</w:t>
      </w:r>
      <w:r w:rsidR="000B67B0" w:rsidRPr="00D470CA">
        <w:rPr>
          <w:b w:val="0"/>
          <w:snapToGrid w:val="0"/>
          <w:spacing w:val="-2"/>
          <w:szCs w:val="20"/>
          <w:lang w:eastAsia="es-ES"/>
        </w:rPr>
        <w:t xml:space="preserve">. La responsabilidad del Estado por </w:t>
      </w:r>
      <w:r>
        <w:rPr>
          <w:b w:val="0"/>
          <w:snapToGrid w:val="0"/>
          <w:spacing w:val="-2"/>
          <w:szCs w:val="20"/>
          <w:lang w:eastAsia="es-ES"/>
        </w:rPr>
        <w:t>los alegados malos tratos en contra de Vicente Noguera</w:t>
      </w:r>
      <w:bookmarkEnd w:id="97"/>
      <w:r>
        <w:rPr>
          <w:b w:val="0"/>
          <w:snapToGrid w:val="0"/>
          <w:spacing w:val="-2"/>
          <w:szCs w:val="20"/>
          <w:lang w:eastAsia="es-ES"/>
        </w:rPr>
        <w:t xml:space="preserve"> </w:t>
      </w:r>
    </w:p>
    <w:p w14:paraId="2D837B96" w14:textId="0EAEB747" w:rsidR="00FC0022" w:rsidRPr="0037719D" w:rsidRDefault="00FC0022" w:rsidP="00404C7B">
      <w:pPr>
        <w:pStyle w:val="Prrafodelista"/>
        <w:numPr>
          <w:ilvl w:val="0"/>
          <w:numId w:val="2"/>
        </w:numPr>
        <w:tabs>
          <w:tab w:val="left" w:pos="630"/>
        </w:tabs>
        <w:spacing w:before="120" w:after="120"/>
        <w:ind w:left="0" w:firstLine="0"/>
        <w:contextualSpacing w:val="0"/>
        <w:rPr>
          <w:lang w:val="es-PE"/>
        </w:rPr>
      </w:pPr>
      <w:r w:rsidRPr="005F1CD7">
        <w:rPr>
          <w:szCs w:val="20"/>
        </w:rPr>
        <w:t xml:space="preserve">Por otra parte, este Tribunal ya expresó que </w:t>
      </w:r>
      <w:r w:rsidR="00051FFB" w:rsidRPr="005F1CD7">
        <w:rPr>
          <w:szCs w:val="20"/>
        </w:rPr>
        <w:t>aún se encontraba en controversia la alegada vulneración a esos derechos en perjuicio de Vicente Noguera por los alegados malos tratos a los cuales habría sido sometido y que habrían llevado a su muerte en un establecimiento militar (</w:t>
      </w:r>
      <w:r w:rsidR="00051FFB" w:rsidRPr="005F1CD7">
        <w:rPr>
          <w:i/>
          <w:szCs w:val="20"/>
        </w:rPr>
        <w:t>supra</w:t>
      </w:r>
      <w:r w:rsidR="00051FFB" w:rsidRPr="005F1CD7">
        <w:rPr>
          <w:szCs w:val="20"/>
        </w:rPr>
        <w:t xml:space="preserve"> párr. </w:t>
      </w:r>
      <w:r w:rsidR="00FE01B7">
        <w:rPr>
          <w:szCs w:val="20"/>
        </w:rPr>
        <w:t>25</w:t>
      </w:r>
      <w:r w:rsidR="00FE01B7" w:rsidRPr="005F1CD7">
        <w:rPr>
          <w:szCs w:val="20"/>
        </w:rPr>
        <w:t xml:space="preserve">). </w:t>
      </w:r>
      <w:r w:rsidR="0037719D">
        <w:rPr>
          <w:szCs w:val="20"/>
        </w:rPr>
        <w:t xml:space="preserve">En ese sentido, corresponde determinar si existen elementos de prueba suficiente como para concluir que el Estado es también responsable por una vulneración </w:t>
      </w:r>
      <w:r w:rsidR="00A658D1">
        <w:rPr>
          <w:szCs w:val="20"/>
        </w:rPr>
        <w:t>del</w:t>
      </w:r>
      <w:r w:rsidR="0037719D">
        <w:rPr>
          <w:szCs w:val="20"/>
        </w:rPr>
        <w:t xml:space="preserve"> derecho a la vida, a la integridad y a los derechos del niño por esos motivos en perjuicio de Vicente Noguera.</w:t>
      </w:r>
    </w:p>
    <w:p w14:paraId="75E7AE32" w14:textId="4128FC5F" w:rsidR="00094645" w:rsidRPr="00ED0EA4" w:rsidRDefault="0037719D" w:rsidP="00404C7B">
      <w:pPr>
        <w:pStyle w:val="Prrafodelista"/>
        <w:numPr>
          <w:ilvl w:val="0"/>
          <w:numId w:val="2"/>
        </w:numPr>
        <w:tabs>
          <w:tab w:val="left" w:pos="630"/>
        </w:tabs>
        <w:spacing w:before="120" w:after="120"/>
        <w:ind w:left="0" w:firstLine="0"/>
        <w:contextualSpacing w:val="0"/>
        <w:rPr>
          <w:lang w:val="es-PE"/>
        </w:rPr>
      </w:pPr>
      <w:r>
        <w:rPr>
          <w:szCs w:val="20"/>
          <w:lang w:val="es-PE"/>
        </w:rPr>
        <w:t>Con respecto a lo anterior, la Corte advierte que en el presente caso se practicaron varias experticias</w:t>
      </w:r>
      <w:r w:rsidR="00094645" w:rsidRPr="00094645">
        <w:rPr>
          <w:szCs w:val="20"/>
          <w:lang w:val="es-PE"/>
        </w:rPr>
        <w:t xml:space="preserve"> </w:t>
      </w:r>
      <w:r w:rsidR="00094645">
        <w:rPr>
          <w:szCs w:val="20"/>
          <w:lang w:val="es-PE"/>
        </w:rPr>
        <w:t>médicas</w:t>
      </w:r>
      <w:r w:rsidR="007A1FBE">
        <w:rPr>
          <w:szCs w:val="20"/>
          <w:lang w:val="es-PE"/>
        </w:rPr>
        <w:t xml:space="preserve">, </w:t>
      </w:r>
      <w:r w:rsidR="00094645">
        <w:rPr>
          <w:szCs w:val="20"/>
          <w:lang w:val="es-PE"/>
        </w:rPr>
        <w:t>o forenses:</w:t>
      </w:r>
      <w:r>
        <w:rPr>
          <w:szCs w:val="20"/>
          <w:lang w:val="es-PE"/>
        </w:rPr>
        <w:t xml:space="preserve"> </w:t>
      </w:r>
      <w:r w:rsidR="00094645">
        <w:rPr>
          <w:szCs w:val="20"/>
          <w:lang w:val="es-PE"/>
        </w:rPr>
        <w:t xml:space="preserve">a) examen forense de 11 de enero de 1996; b) autopsia de </w:t>
      </w:r>
      <w:r w:rsidR="00132FF4">
        <w:rPr>
          <w:szCs w:val="20"/>
          <w:lang w:val="es-PE"/>
        </w:rPr>
        <w:t>11</w:t>
      </w:r>
      <w:r w:rsidR="00094645">
        <w:rPr>
          <w:szCs w:val="20"/>
          <w:lang w:val="es-PE"/>
        </w:rPr>
        <w:t xml:space="preserve"> de </w:t>
      </w:r>
      <w:r w:rsidR="00132FF4">
        <w:rPr>
          <w:szCs w:val="20"/>
          <w:lang w:val="es-PE"/>
        </w:rPr>
        <w:t xml:space="preserve">enero </w:t>
      </w:r>
      <w:r w:rsidR="00094645">
        <w:rPr>
          <w:szCs w:val="20"/>
          <w:lang w:val="es-PE"/>
        </w:rPr>
        <w:t xml:space="preserve">de 1996; c) </w:t>
      </w:r>
      <w:r w:rsidR="005A6CF1">
        <w:rPr>
          <w:szCs w:val="20"/>
          <w:lang w:val="es-PE"/>
        </w:rPr>
        <w:t xml:space="preserve">examen del </w:t>
      </w:r>
      <w:r w:rsidR="005A6CF1" w:rsidRPr="00D25DA8">
        <w:rPr>
          <w:szCs w:val="20"/>
          <w:lang w:val="es-PE"/>
        </w:rPr>
        <w:t xml:space="preserve">Center </w:t>
      </w:r>
      <w:proofErr w:type="spellStart"/>
      <w:r w:rsidR="005A6CF1" w:rsidRPr="00D25DA8">
        <w:rPr>
          <w:szCs w:val="20"/>
          <w:lang w:val="es-PE"/>
        </w:rPr>
        <w:t>for</w:t>
      </w:r>
      <w:proofErr w:type="spellEnd"/>
      <w:r w:rsidR="005A6CF1" w:rsidRPr="00D25DA8">
        <w:rPr>
          <w:szCs w:val="20"/>
          <w:lang w:val="es-PE"/>
        </w:rPr>
        <w:t xml:space="preserve"> </w:t>
      </w:r>
      <w:proofErr w:type="spellStart"/>
      <w:r w:rsidR="005A6CF1" w:rsidRPr="00D25DA8">
        <w:rPr>
          <w:szCs w:val="20"/>
          <w:lang w:val="es-PE"/>
        </w:rPr>
        <w:t>Disease</w:t>
      </w:r>
      <w:proofErr w:type="spellEnd"/>
      <w:r w:rsidR="005A6CF1" w:rsidRPr="00D25DA8">
        <w:rPr>
          <w:szCs w:val="20"/>
          <w:lang w:val="es-PE"/>
        </w:rPr>
        <w:t xml:space="preserve"> Control and </w:t>
      </w:r>
      <w:proofErr w:type="spellStart"/>
      <w:r w:rsidR="005A6CF1" w:rsidRPr="00D25DA8">
        <w:rPr>
          <w:szCs w:val="20"/>
          <w:lang w:val="es-PE"/>
        </w:rPr>
        <w:t>Prevention</w:t>
      </w:r>
      <w:proofErr w:type="spellEnd"/>
      <w:r w:rsidR="005A6CF1" w:rsidRPr="00D25DA8">
        <w:rPr>
          <w:szCs w:val="20"/>
          <w:lang w:val="es-PE"/>
        </w:rPr>
        <w:t xml:space="preserve"> </w:t>
      </w:r>
      <w:r w:rsidR="005A6CF1" w:rsidRPr="00D25DA8">
        <w:rPr>
          <w:szCs w:val="20"/>
          <w:lang w:val="es-PE"/>
        </w:rPr>
        <w:lastRenderedPageBreak/>
        <w:t>(Nuevo México, Estados Unidos)</w:t>
      </w:r>
      <w:r w:rsidR="005A6CF1">
        <w:rPr>
          <w:szCs w:val="20"/>
          <w:lang w:val="es-PE"/>
        </w:rPr>
        <w:t xml:space="preserve"> con base en muestras del pulmón de la presunta víctima; d) </w:t>
      </w:r>
      <w:r w:rsidR="00132FF4">
        <w:rPr>
          <w:szCs w:val="20"/>
          <w:lang w:val="es-PE"/>
        </w:rPr>
        <w:t xml:space="preserve">exhumación y pericia practicada al </w:t>
      </w:r>
      <w:r w:rsidR="00132FF4" w:rsidRPr="00404C7B">
        <w:rPr>
          <w:szCs w:val="20"/>
        </w:rPr>
        <w:t>cuerpo</w:t>
      </w:r>
      <w:r w:rsidR="00132FF4">
        <w:rPr>
          <w:szCs w:val="20"/>
          <w:lang w:val="es-PE"/>
        </w:rPr>
        <w:t xml:space="preserve"> de Vicente Noguera de 9 de septiembre de 1996, e) autopsia practicada </w:t>
      </w:r>
      <w:r w:rsidR="00A658D1">
        <w:rPr>
          <w:szCs w:val="20"/>
          <w:lang w:val="es-PE"/>
        </w:rPr>
        <w:t>el 18 de octubre de 1996;</w:t>
      </w:r>
      <w:r w:rsidR="005A6CF1">
        <w:rPr>
          <w:szCs w:val="20"/>
          <w:lang w:val="es-PE"/>
        </w:rPr>
        <w:t xml:space="preserve"> </w:t>
      </w:r>
      <w:r w:rsidR="00FE01B7">
        <w:rPr>
          <w:szCs w:val="20"/>
          <w:lang w:val="es-PE"/>
        </w:rPr>
        <w:t xml:space="preserve">f) pericia de </w:t>
      </w:r>
      <w:r w:rsidR="00A658D1">
        <w:rPr>
          <w:szCs w:val="20"/>
          <w:lang w:val="es-PE"/>
        </w:rPr>
        <w:t>una</w:t>
      </w:r>
      <w:r w:rsidR="00FE01B7">
        <w:rPr>
          <w:szCs w:val="20"/>
          <w:lang w:val="es-PE"/>
        </w:rPr>
        <w:t xml:space="preserve"> junta médica practicada el 9 de octubre de 2013, y</w:t>
      </w:r>
      <w:r w:rsidR="005A6CF1">
        <w:rPr>
          <w:szCs w:val="20"/>
          <w:lang w:val="es-PE"/>
        </w:rPr>
        <w:t xml:space="preserve"> </w:t>
      </w:r>
      <w:r w:rsidR="00A658D1">
        <w:rPr>
          <w:szCs w:val="20"/>
          <w:lang w:val="es-PE"/>
        </w:rPr>
        <w:t>g</w:t>
      </w:r>
      <w:r w:rsidR="005A6CF1">
        <w:rPr>
          <w:szCs w:val="20"/>
          <w:lang w:val="es-PE"/>
        </w:rPr>
        <w:t xml:space="preserve">) autopsia histórica </w:t>
      </w:r>
      <w:r w:rsidR="007A1FBE">
        <w:rPr>
          <w:szCs w:val="20"/>
          <w:lang w:val="es-PE"/>
        </w:rPr>
        <w:t>el 18 de julio de 2019 (</w:t>
      </w:r>
      <w:r w:rsidR="007A1FBE" w:rsidRPr="007A1FBE">
        <w:rPr>
          <w:i/>
          <w:szCs w:val="20"/>
          <w:lang w:val="es-PE"/>
        </w:rPr>
        <w:t>supra</w:t>
      </w:r>
      <w:r w:rsidR="007A1FBE">
        <w:rPr>
          <w:szCs w:val="20"/>
          <w:lang w:val="es-PE"/>
        </w:rPr>
        <w:t xml:space="preserve"> </w:t>
      </w:r>
      <w:r w:rsidR="00FE01B7">
        <w:rPr>
          <w:szCs w:val="20"/>
          <w:lang w:val="es-PE"/>
        </w:rPr>
        <w:t>Capítulo VII.C</w:t>
      </w:r>
      <w:r w:rsidR="007A1FBE">
        <w:rPr>
          <w:szCs w:val="20"/>
          <w:lang w:val="es-PE"/>
        </w:rPr>
        <w:t xml:space="preserve">). </w:t>
      </w:r>
      <w:r w:rsidR="00F2700F">
        <w:rPr>
          <w:szCs w:val="20"/>
          <w:lang w:val="es-PE"/>
        </w:rPr>
        <w:t>En el marco de esas</w:t>
      </w:r>
      <w:r w:rsidR="007A1FBE">
        <w:rPr>
          <w:szCs w:val="20"/>
          <w:lang w:val="es-PE"/>
        </w:rPr>
        <w:t xml:space="preserve"> experticias, </w:t>
      </w:r>
      <w:r w:rsidR="00F2700F">
        <w:rPr>
          <w:szCs w:val="20"/>
          <w:lang w:val="es-PE"/>
        </w:rPr>
        <w:t>no se registran signos o señales de violencia f</w:t>
      </w:r>
      <w:r w:rsidR="007F4807">
        <w:rPr>
          <w:szCs w:val="20"/>
          <w:lang w:val="es-PE"/>
        </w:rPr>
        <w:t>ísica, y la muerte se habría producido como consecuencia de una infección generalizada</w:t>
      </w:r>
      <w:r w:rsidR="007B6CCA">
        <w:rPr>
          <w:szCs w:val="20"/>
          <w:lang w:val="es-PE"/>
        </w:rPr>
        <w:t xml:space="preserve"> que podría haber sido asintomática</w:t>
      </w:r>
      <w:r w:rsidR="007F4807">
        <w:rPr>
          <w:szCs w:val="20"/>
          <w:lang w:val="es-PE"/>
        </w:rPr>
        <w:t xml:space="preserve">. </w:t>
      </w:r>
      <w:r w:rsidR="00ED0EA4">
        <w:rPr>
          <w:szCs w:val="20"/>
          <w:lang w:val="es-PE"/>
        </w:rPr>
        <w:t xml:space="preserve">A su vez, </w:t>
      </w:r>
      <w:r w:rsidR="00A31624">
        <w:rPr>
          <w:szCs w:val="20"/>
          <w:lang w:val="es-PE"/>
        </w:rPr>
        <w:t xml:space="preserve">estas experticias son coincidentes con </w:t>
      </w:r>
      <w:r w:rsidR="00ED0EA4">
        <w:rPr>
          <w:szCs w:val="20"/>
          <w:lang w:val="es-PE"/>
        </w:rPr>
        <w:t>la versión de los hechos de acuerdo a la cual</w:t>
      </w:r>
      <w:r w:rsidR="00793FF5">
        <w:rPr>
          <w:szCs w:val="20"/>
          <w:lang w:val="es-PE"/>
        </w:rPr>
        <w:t xml:space="preserve"> </w:t>
      </w:r>
      <w:r w:rsidR="00A84A1C">
        <w:rPr>
          <w:szCs w:val="20"/>
          <w:lang w:val="es-PE"/>
        </w:rPr>
        <w:t>no se cuenta con</w:t>
      </w:r>
      <w:r w:rsidR="00ED0EA4">
        <w:rPr>
          <w:szCs w:val="20"/>
          <w:lang w:val="es-PE"/>
        </w:rPr>
        <w:t xml:space="preserve"> evidencia suficiente que permita concluir que Vicente Noguera fue objeto de apremios físicos</w:t>
      </w:r>
      <w:r w:rsidR="00A31624">
        <w:rPr>
          <w:szCs w:val="20"/>
          <w:lang w:val="es-PE"/>
        </w:rPr>
        <w:t>, la cual</w:t>
      </w:r>
      <w:r w:rsidR="00ED0EA4">
        <w:rPr>
          <w:szCs w:val="20"/>
          <w:lang w:val="es-PE"/>
        </w:rPr>
        <w:t xml:space="preserve"> ha sido reconocida por las autoridades internas en los procedimientos jurisdiccionales</w:t>
      </w:r>
      <w:r w:rsidR="00132FF4">
        <w:rPr>
          <w:szCs w:val="20"/>
          <w:lang w:val="es-PE"/>
        </w:rPr>
        <w:t xml:space="preserve"> (</w:t>
      </w:r>
      <w:r w:rsidR="00FE01B7" w:rsidRPr="007A1FBE">
        <w:rPr>
          <w:i/>
          <w:szCs w:val="20"/>
          <w:lang w:val="es-PE"/>
        </w:rPr>
        <w:t>supra</w:t>
      </w:r>
      <w:r w:rsidR="00FE01B7">
        <w:rPr>
          <w:szCs w:val="20"/>
          <w:lang w:val="es-PE"/>
        </w:rPr>
        <w:t xml:space="preserve"> Capítulo VII.C</w:t>
      </w:r>
      <w:r w:rsidR="00132FF4">
        <w:rPr>
          <w:szCs w:val="20"/>
          <w:lang w:val="es-PE"/>
        </w:rPr>
        <w:t>)</w:t>
      </w:r>
      <w:r w:rsidR="00A84A1C">
        <w:rPr>
          <w:szCs w:val="20"/>
          <w:lang w:val="es-PE"/>
        </w:rPr>
        <w:t>.</w:t>
      </w:r>
    </w:p>
    <w:p w14:paraId="46899D5D" w14:textId="678652D7" w:rsidR="00E47729" w:rsidRPr="00E47729" w:rsidRDefault="00E47729" w:rsidP="00404C7B">
      <w:pPr>
        <w:pStyle w:val="Prrafodelista"/>
        <w:numPr>
          <w:ilvl w:val="0"/>
          <w:numId w:val="2"/>
        </w:numPr>
        <w:tabs>
          <w:tab w:val="left" w:pos="630"/>
        </w:tabs>
        <w:spacing w:before="120" w:after="120"/>
        <w:ind w:left="0" w:firstLine="0"/>
        <w:contextualSpacing w:val="0"/>
        <w:rPr>
          <w:lang w:val="es-PE"/>
        </w:rPr>
      </w:pPr>
      <w:r w:rsidRPr="00E47729">
        <w:rPr>
          <w:szCs w:val="20"/>
          <w:lang w:val="es-PE"/>
        </w:rPr>
        <w:t xml:space="preserve">Por otra parte, la versión sostenida por </w:t>
      </w:r>
      <w:r w:rsidR="008C57C8">
        <w:rPr>
          <w:szCs w:val="20"/>
          <w:lang w:val="es-PE"/>
        </w:rPr>
        <w:t>los familiares de Vicente Noguera que habrían advertido</w:t>
      </w:r>
      <w:r w:rsidRPr="00E47729">
        <w:rPr>
          <w:rFonts w:eastAsia="Calibri" w:cs="Times New Roman"/>
          <w:szCs w:val="20"/>
          <w:lang w:val="es-AR"/>
        </w:rPr>
        <w:t xml:space="preserve"> que </w:t>
      </w:r>
      <w:r w:rsidRPr="00404C7B">
        <w:rPr>
          <w:szCs w:val="20"/>
          <w:lang w:val="es-PE"/>
        </w:rPr>
        <w:t>presentaba</w:t>
      </w:r>
      <w:r w:rsidRPr="00E47729">
        <w:rPr>
          <w:rFonts w:eastAsia="Calibri" w:cs="Times New Roman"/>
          <w:szCs w:val="20"/>
          <w:lang w:val="es-AR"/>
        </w:rPr>
        <w:t xml:space="preserve"> un golpe en la cabeza y rastros de sangre en su ropa interior</w:t>
      </w:r>
      <w:r w:rsidRPr="00E47729">
        <w:rPr>
          <w:szCs w:val="20"/>
          <w:lang w:val="es-PE"/>
        </w:rPr>
        <w:t xml:space="preserve"> </w:t>
      </w:r>
      <w:r w:rsidRPr="00E47729">
        <w:rPr>
          <w:rFonts w:eastAsia="Calibri" w:cs="Times New Roman"/>
          <w:szCs w:val="20"/>
          <w:lang w:val="es-AR"/>
        </w:rPr>
        <w:t xml:space="preserve">lo que resulta indicativo de que podría haber sufrido violencia sexual </w:t>
      </w:r>
      <w:r w:rsidRPr="00E47729">
        <w:rPr>
          <w:szCs w:val="20"/>
          <w:lang w:val="es-PE"/>
        </w:rPr>
        <w:t>(</w:t>
      </w:r>
      <w:r w:rsidRPr="00E47729">
        <w:rPr>
          <w:i/>
          <w:szCs w:val="20"/>
          <w:lang w:val="es-PE"/>
        </w:rPr>
        <w:t>supra</w:t>
      </w:r>
      <w:r w:rsidRPr="00E47729">
        <w:rPr>
          <w:szCs w:val="20"/>
          <w:lang w:val="es-PE"/>
        </w:rPr>
        <w:t xml:space="preserve"> </w:t>
      </w:r>
      <w:r w:rsidR="00FE01B7">
        <w:rPr>
          <w:szCs w:val="20"/>
          <w:lang w:val="es-PE"/>
        </w:rPr>
        <w:t>Capítulo VII.B</w:t>
      </w:r>
      <w:r w:rsidRPr="00E47729">
        <w:rPr>
          <w:szCs w:val="20"/>
          <w:lang w:val="es-PE"/>
        </w:rPr>
        <w:t>)</w:t>
      </w:r>
      <w:r w:rsidR="00FE01B7">
        <w:rPr>
          <w:szCs w:val="20"/>
          <w:lang w:val="es-PE"/>
        </w:rPr>
        <w:t xml:space="preserve"> está basada en el testimonio de los familiares de Vicente Noguera, en lo que habrían declarado los compañeros </w:t>
      </w:r>
      <w:r w:rsidR="00363F94">
        <w:rPr>
          <w:szCs w:val="20"/>
          <w:lang w:val="es-PE"/>
        </w:rPr>
        <w:t>de la víctima</w:t>
      </w:r>
      <w:r w:rsidR="00FE01B7">
        <w:rPr>
          <w:szCs w:val="20"/>
          <w:lang w:val="es-PE"/>
        </w:rPr>
        <w:t xml:space="preserve"> </w:t>
      </w:r>
      <w:r w:rsidR="00C823F6">
        <w:rPr>
          <w:szCs w:val="20"/>
          <w:lang w:val="es-PE"/>
        </w:rPr>
        <w:t>a la madre de Vicente, y en versiones de prensa</w:t>
      </w:r>
      <w:r w:rsidR="00ED0EA4" w:rsidRPr="00E47729">
        <w:rPr>
          <w:szCs w:val="20"/>
          <w:lang w:val="es-PE"/>
        </w:rPr>
        <w:t>.</w:t>
      </w:r>
      <w:r w:rsidRPr="00E47729">
        <w:rPr>
          <w:szCs w:val="20"/>
          <w:lang w:val="es-PE"/>
        </w:rPr>
        <w:t xml:space="preserve"> </w:t>
      </w:r>
      <w:r>
        <w:rPr>
          <w:rFonts w:eastAsia="Calibri" w:cs="Times New Roman"/>
          <w:szCs w:val="20"/>
          <w:lang w:val="es-AR"/>
        </w:rPr>
        <w:t xml:space="preserve">Por último, para el momento en que ocurrieron los hechos del presente caso, existía un contexto de vulneraciones </w:t>
      </w:r>
      <w:r w:rsidR="004320D2" w:rsidRPr="000B5EA0">
        <w:rPr>
          <w:szCs w:val="20"/>
          <w:lang w:val="es-PE"/>
        </w:rPr>
        <w:t>en las condiciones en que se presta</w:t>
      </w:r>
      <w:r w:rsidR="00A658D1">
        <w:rPr>
          <w:szCs w:val="20"/>
          <w:lang w:val="es-PE"/>
        </w:rPr>
        <w:t>ba</w:t>
      </w:r>
      <w:r w:rsidR="004320D2" w:rsidRPr="000B5EA0">
        <w:rPr>
          <w:szCs w:val="20"/>
          <w:lang w:val="es-PE"/>
        </w:rPr>
        <w:t xml:space="preserve"> </w:t>
      </w:r>
      <w:r w:rsidR="004320D2">
        <w:rPr>
          <w:szCs w:val="20"/>
          <w:lang w:val="es-PE"/>
        </w:rPr>
        <w:t xml:space="preserve">el servicio militar </w:t>
      </w:r>
      <w:r w:rsidR="004320D2" w:rsidRPr="000B5EA0">
        <w:rPr>
          <w:szCs w:val="20"/>
          <w:lang w:val="es-PE"/>
        </w:rPr>
        <w:t>en Paraguay</w:t>
      </w:r>
      <w:r w:rsidR="004320D2">
        <w:rPr>
          <w:szCs w:val="20"/>
          <w:lang w:val="es-PE"/>
        </w:rPr>
        <w:t xml:space="preserve">, y en particular se hizo referencia a </w:t>
      </w:r>
      <w:r w:rsidR="004320D2" w:rsidRPr="00D25DA8">
        <w:rPr>
          <w:szCs w:val="20"/>
          <w:lang w:val="es-PE"/>
        </w:rPr>
        <w:t xml:space="preserve">la existencia de maltratos, reclutamiento forzado, e incluso de muerte en agravio de niños </w:t>
      </w:r>
      <w:r w:rsidR="00A31624">
        <w:rPr>
          <w:szCs w:val="20"/>
          <w:lang w:val="es-PE"/>
        </w:rPr>
        <w:t>reclutas</w:t>
      </w:r>
      <w:r w:rsidR="004320D2">
        <w:rPr>
          <w:szCs w:val="20"/>
          <w:lang w:val="es-PE"/>
        </w:rPr>
        <w:t xml:space="preserve"> </w:t>
      </w:r>
      <w:r w:rsidR="004320D2" w:rsidRPr="00E47729">
        <w:rPr>
          <w:szCs w:val="20"/>
          <w:lang w:val="es-PE"/>
        </w:rPr>
        <w:t>(</w:t>
      </w:r>
      <w:r w:rsidR="004320D2" w:rsidRPr="00E47729">
        <w:rPr>
          <w:i/>
          <w:szCs w:val="20"/>
          <w:lang w:val="es-PE"/>
        </w:rPr>
        <w:t>supra</w:t>
      </w:r>
      <w:r w:rsidR="004320D2" w:rsidRPr="00E47729">
        <w:rPr>
          <w:szCs w:val="20"/>
          <w:lang w:val="es-PE"/>
        </w:rPr>
        <w:t xml:space="preserve"> </w:t>
      </w:r>
      <w:r w:rsidR="00C823F6">
        <w:rPr>
          <w:szCs w:val="20"/>
          <w:lang w:val="es-PE"/>
        </w:rPr>
        <w:t>Capítulo VII.A</w:t>
      </w:r>
      <w:r w:rsidR="004320D2" w:rsidRPr="00E47729">
        <w:rPr>
          <w:szCs w:val="20"/>
          <w:lang w:val="es-PE"/>
        </w:rPr>
        <w:t>)</w:t>
      </w:r>
      <w:r w:rsidR="004320D2">
        <w:rPr>
          <w:szCs w:val="20"/>
          <w:lang w:val="es-PE"/>
        </w:rPr>
        <w:t>.</w:t>
      </w:r>
      <w:r w:rsidR="00132FF4">
        <w:rPr>
          <w:szCs w:val="20"/>
          <w:lang w:val="es-PE"/>
        </w:rPr>
        <w:t xml:space="preserve"> </w:t>
      </w:r>
    </w:p>
    <w:p w14:paraId="31EBA84C" w14:textId="38A72F61" w:rsidR="004320D2" w:rsidRPr="004320D2" w:rsidRDefault="004320D2" w:rsidP="00404C7B">
      <w:pPr>
        <w:pStyle w:val="Prrafodelista"/>
        <w:numPr>
          <w:ilvl w:val="0"/>
          <w:numId w:val="2"/>
        </w:numPr>
        <w:tabs>
          <w:tab w:val="left" w:pos="630"/>
        </w:tabs>
        <w:spacing w:before="120" w:after="120"/>
        <w:ind w:left="0" w:firstLine="0"/>
        <w:contextualSpacing w:val="0"/>
        <w:rPr>
          <w:lang w:val="es-PE"/>
        </w:rPr>
      </w:pPr>
      <w:r w:rsidRPr="008974C4">
        <w:rPr>
          <w:rFonts w:cs="Verdana"/>
          <w:bCs/>
          <w:szCs w:val="20"/>
        </w:rPr>
        <w:t xml:space="preserve">En relación con este </w:t>
      </w:r>
      <w:r>
        <w:rPr>
          <w:rFonts w:cs="Verdana"/>
          <w:bCs/>
          <w:szCs w:val="20"/>
        </w:rPr>
        <w:t xml:space="preserve">último </w:t>
      </w:r>
      <w:r w:rsidRPr="008974C4">
        <w:rPr>
          <w:rFonts w:cs="Verdana"/>
          <w:bCs/>
          <w:szCs w:val="20"/>
        </w:rPr>
        <w:t>punto, cabe recordar</w:t>
      </w:r>
      <w:r w:rsidR="007B6CCA">
        <w:rPr>
          <w:rFonts w:cs="Verdana"/>
          <w:bCs/>
          <w:szCs w:val="20"/>
        </w:rPr>
        <w:t xml:space="preserve"> </w:t>
      </w:r>
      <w:r w:rsidRPr="008974C4">
        <w:rPr>
          <w:rFonts w:cs="Verdana"/>
          <w:bCs/>
          <w:szCs w:val="20"/>
        </w:rPr>
        <w:t xml:space="preserve">que sin perjuicio de la situación general que podía existir en </w:t>
      </w:r>
      <w:r>
        <w:rPr>
          <w:rFonts w:cs="Verdana"/>
          <w:bCs/>
          <w:szCs w:val="20"/>
        </w:rPr>
        <w:t>Paraguay para la época en que ocurrieron los hechos del caso</w:t>
      </w:r>
      <w:r w:rsidRPr="008974C4">
        <w:rPr>
          <w:rFonts w:cs="Verdana"/>
          <w:bCs/>
          <w:szCs w:val="20"/>
        </w:rPr>
        <w:t xml:space="preserve">, para fincar responsabilidad estatal por transgresión al deber de respeto en </w:t>
      </w:r>
      <w:r w:rsidRPr="00404C7B">
        <w:rPr>
          <w:szCs w:val="20"/>
          <w:lang w:val="es-PE"/>
        </w:rPr>
        <w:t>relación</w:t>
      </w:r>
      <w:r w:rsidRPr="008974C4">
        <w:rPr>
          <w:rFonts w:cs="Verdana"/>
          <w:bCs/>
          <w:szCs w:val="20"/>
        </w:rPr>
        <w:t xml:space="preserve"> con el actuar de sus agentes, no basta con una situación general o un contexto en esa región de vulneraciones a los derechos humanos por parte de funcionarios del Estado, también resulta necesario que en el caso concreto se vulneren las obligaciones de respeto a cargo de los Estados en las circunstancias propias del mismo</w:t>
      </w:r>
      <w:r w:rsidRPr="008974C4">
        <w:rPr>
          <w:rStyle w:val="Refdenotaalpie"/>
          <w:bCs/>
        </w:rPr>
        <w:footnoteReference w:id="73"/>
      </w:r>
      <w:r w:rsidRPr="008974C4">
        <w:rPr>
          <w:rFonts w:cs="Verdana"/>
          <w:bCs/>
          <w:szCs w:val="20"/>
        </w:rPr>
        <w:t>.</w:t>
      </w:r>
    </w:p>
    <w:p w14:paraId="4D160294" w14:textId="0D70131A" w:rsidR="006F71E3" w:rsidRPr="002E376F" w:rsidRDefault="00C823F6" w:rsidP="00404C7B">
      <w:pPr>
        <w:pStyle w:val="Prrafodelista"/>
        <w:numPr>
          <w:ilvl w:val="0"/>
          <w:numId w:val="2"/>
        </w:numPr>
        <w:tabs>
          <w:tab w:val="left" w:pos="630"/>
        </w:tabs>
        <w:spacing w:before="120" w:after="120"/>
        <w:ind w:left="0" w:firstLine="0"/>
        <w:contextualSpacing w:val="0"/>
        <w:rPr>
          <w:lang w:val="es-PE"/>
        </w:rPr>
      </w:pPr>
      <w:r>
        <w:rPr>
          <w:lang w:val="es-PE"/>
        </w:rPr>
        <w:t>Sobre la responsabilidad del Estado por</w:t>
      </w:r>
      <w:r w:rsidR="00B41EBA">
        <w:rPr>
          <w:lang w:val="es-PE"/>
        </w:rPr>
        <w:t xml:space="preserve"> los alegad</w:t>
      </w:r>
      <w:r>
        <w:rPr>
          <w:lang w:val="es-PE"/>
        </w:rPr>
        <w:t>os maltratos en contra de Vicente Noguera, el Tribunal advierte que</w:t>
      </w:r>
      <w:r w:rsidR="006F71E3" w:rsidRPr="002E376F">
        <w:rPr>
          <w:lang w:val="es-PE"/>
        </w:rPr>
        <w:t xml:space="preserve"> </w:t>
      </w:r>
      <w:r w:rsidR="004D756A" w:rsidRPr="002E376F">
        <w:rPr>
          <w:lang w:val="es-PE"/>
        </w:rPr>
        <w:t xml:space="preserve">el </w:t>
      </w:r>
      <w:r w:rsidR="004D756A" w:rsidRPr="005D1822">
        <w:rPr>
          <w:lang w:val="es-PE"/>
        </w:rPr>
        <w:t>Estado no p</w:t>
      </w:r>
      <w:r w:rsidR="004D756A" w:rsidRPr="008D55FD">
        <w:rPr>
          <w:lang w:val="es-PE"/>
        </w:rPr>
        <w:t>resent</w:t>
      </w:r>
      <w:r w:rsidR="004D756A" w:rsidRPr="004D756A">
        <w:rPr>
          <w:lang w:val="es-PE"/>
        </w:rPr>
        <w:t xml:space="preserve">ó información que pueda explicar </w:t>
      </w:r>
      <w:r w:rsidR="004D756A" w:rsidRPr="00260C3E">
        <w:rPr>
          <w:szCs w:val="20"/>
        </w:rPr>
        <w:t xml:space="preserve">de qué forma las autoridades militares paraguayas habrían cumplido con su obligación de garantizar la seguridad de la presunta víctima a través de mecanismos o exámenes médicos rutinarios para determinar </w:t>
      </w:r>
      <w:r w:rsidR="008613E8">
        <w:rPr>
          <w:szCs w:val="20"/>
        </w:rPr>
        <w:t>su</w:t>
      </w:r>
      <w:r w:rsidR="004D756A" w:rsidRPr="00260C3E">
        <w:rPr>
          <w:szCs w:val="20"/>
        </w:rPr>
        <w:t xml:space="preserve"> aptitud y el seguimiento </w:t>
      </w:r>
      <w:r w:rsidR="008613E8">
        <w:rPr>
          <w:szCs w:val="20"/>
        </w:rPr>
        <w:t xml:space="preserve">de su </w:t>
      </w:r>
      <w:r w:rsidR="00B41EBA">
        <w:rPr>
          <w:szCs w:val="20"/>
          <w:lang w:val="es-PE"/>
        </w:rPr>
        <w:t>e</w:t>
      </w:r>
      <w:r w:rsidR="004D756A" w:rsidRPr="00404C7B">
        <w:rPr>
          <w:szCs w:val="20"/>
          <w:lang w:val="es-PE"/>
        </w:rPr>
        <w:t>stado</w:t>
      </w:r>
      <w:r w:rsidR="004D756A" w:rsidRPr="00260C3E">
        <w:rPr>
          <w:szCs w:val="20"/>
        </w:rPr>
        <w:t xml:space="preserve"> de salud</w:t>
      </w:r>
      <w:r w:rsidR="004D756A" w:rsidRPr="002E376F">
        <w:rPr>
          <w:szCs w:val="20"/>
        </w:rPr>
        <w:t xml:space="preserve">. </w:t>
      </w:r>
      <w:r w:rsidR="004D756A" w:rsidRPr="005D1822">
        <w:rPr>
          <w:szCs w:val="20"/>
        </w:rPr>
        <w:t>Además</w:t>
      </w:r>
      <w:r w:rsidR="004D756A" w:rsidRPr="008D55FD">
        <w:rPr>
          <w:szCs w:val="20"/>
        </w:rPr>
        <w:t xml:space="preserve">, </w:t>
      </w:r>
      <w:r w:rsidR="004D756A" w:rsidRPr="004D756A">
        <w:rPr>
          <w:szCs w:val="20"/>
        </w:rPr>
        <w:t xml:space="preserve">tal como </w:t>
      </w:r>
      <w:r w:rsidR="004D756A" w:rsidRPr="00260C3E">
        <w:rPr>
          <w:szCs w:val="20"/>
        </w:rPr>
        <w:t>el informe de autopsia histórica del difunto</w:t>
      </w:r>
      <w:r w:rsidR="004D756A" w:rsidRPr="002E376F">
        <w:rPr>
          <w:szCs w:val="20"/>
        </w:rPr>
        <w:t xml:space="preserve"> indica</w:t>
      </w:r>
      <w:r>
        <w:rPr>
          <w:szCs w:val="20"/>
        </w:rPr>
        <w:t xml:space="preserve">, </w:t>
      </w:r>
      <w:r w:rsidR="004D756A" w:rsidRPr="00260C3E">
        <w:rPr>
          <w:szCs w:val="20"/>
        </w:rPr>
        <w:t>el cuadro de salud que habría causado su muerte se podría haber agravado con los entrenamientos físicos, incluso con los inherentes al rigor propio de la disciplina militar</w:t>
      </w:r>
      <w:r w:rsidR="004D756A" w:rsidRPr="002E376F">
        <w:rPr>
          <w:szCs w:val="20"/>
        </w:rPr>
        <w:t xml:space="preserve">. </w:t>
      </w:r>
      <w:r w:rsidR="004D756A">
        <w:rPr>
          <w:szCs w:val="20"/>
        </w:rPr>
        <w:t xml:space="preserve">En ese sentido, </w:t>
      </w:r>
      <w:r w:rsidR="004D756A" w:rsidRPr="002E376F">
        <w:rPr>
          <w:szCs w:val="20"/>
        </w:rPr>
        <w:t>la falta de control para detectar un padecimiento físico</w:t>
      </w:r>
      <w:r w:rsidR="004D756A" w:rsidRPr="005D1822">
        <w:rPr>
          <w:szCs w:val="20"/>
        </w:rPr>
        <w:t xml:space="preserve"> de Vicente N</w:t>
      </w:r>
      <w:r w:rsidR="004D756A" w:rsidRPr="008D55FD">
        <w:rPr>
          <w:szCs w:val="20"/>
        </w:rPr>
        <w:t xml:space="preserve">oguera, </w:t>
      </w:r>
      <w:r w:rsidR="004D756A" w:rsidRPr="004D756A">
        <w:rPr>
          <w:szCs w:val="20"/>
        </w:rPr>
        <w:t xml:space="preserve">así como su sometimiento a ejercicios físicos que podrían haber agravado su estado de salud, </w:t>
      </w:r>
      <w:r w:rsidR="004D756A">
        <w:rPr>
          <w:szCs w:val="20"/>
        </w:rPr>
        <w:t xml:space="preserve">son elementos que refuerzan la responsabilidad del Estado a pesar de que a la luz de la prueba presentada no sea posible </w:t>
      </w:r>
      <w:r w:rsidR="004D756A" w:rsidRPr="00F95744">
        <w:rPr>
          <w:szCs w:val="20"/>
          <w:lang w:val="es-PE"/>
        </w:rPr>
        <w:t xml:space="preserve">llegar a una conclusión precisa </w:t>
      </w:r>
      <w:r w:rsidR="00B41EBA">
        <w:rPr>
          <w:szCs w:val="20"/>
          <w:lang w:val="es-PE"/>
        </w:rPr>
        <w:t>con</w:t>
      </w:r>
      <w:r w:rsidR="004D756A" w:rsidRPr="00F95744">
        <w:rPr>
          <w:szCs w:val="20"/>
          <w:lang w:val="es-PE"/>
        </w:rPr>
        <w:t xml:space="preserve"> relación a que </w:t>
      </w:r>
      <w:r w:rsidR="004D756A">
        <w:rPr>
          <w:szCs w:val="20"/>
          <w:lang w:val="es-PE"/>
        </w:rPr>
        <w:t>su muerte</w:t>
      </w:r>
      <w:r w:rsidR="004D756A" w:rsidRPr="00F95744">
        <w:rPr>
          <w:szCs w:val="20"/>
          <w:lang w:val="es-PE"/>
        </w:rPr>
        <w:t xml:space="preserve"> fue</w:t>
      </w:r>
      <w:r w:rsidR="004D756A">
        <w:rPr>
          <w:szCs w:val="20"/>
          <w:lang w:val="es-PE"/>
        </w:rPr>
        <w:t>ra</w:t>
      </w:r>
      <w:r w:rsidR="004D756A" w:rsidRPr="00F95744">
        <w:rPr>
          <w:szCs w:val="20"/>
          <w:lang w:val="es-PE"/>
        </w:rPr>
        <w:t xml:space="preserve"> el resultado de malos tratos que habría sufrido</w:t>
      </w:r>
      <w:r w:rsidR="004D756A">
        <w:rPr>
          <w:szCs w:val="20"/>
          <w:lang w:val="es-PE"/>
        </w:rPr>
        <w:t>.</w:t>
      </w:r>
    </w:p>
    <w:p w14:paraId="30550738" w14:textId="5261E11E" w:rsidR="002E7320" w:rsidRPr="003B376F" w:rsidRDefault="00DE03C9" w:rsidP="007909AA">
      <w:pPr>
        <w:pStyle w:val="Ttulo1"/>
        <w:rPr>
          <w:rFonts w:eastAsiaTheme="minorHAnsi" w:cstheme="minorBidi"/>
          <w:b w:val="0"/>
          <w:bCs w:val="0"/>
          <w:caps w:val="0"/>
          <w:snapToGrid/>
          <w:color w:val="0070C0"/>
        </w:rPr>
      </w:pPr>
      <w:bookmarkStart w:id="98" w:name="_Toc36132111"/>
      <w:r w:rsidRPr="003B376F">
        <w:rPr>
          <w:rStyle w:val="Ttulo1Car"/>
          <w:rFonts w:eastAsia="Batang"/>
          <w:b/>
        </w:rPr>
        <w:t>VI</w:t>
      </w:r>
      <w:r w:rsidR="00DF044E">
        <w:rPr>
          <w:rStyle w:val="Ttulo1Car"/>
          <w:rFonts w:eastAsia="Batang"/>
          <w:b/>
        </w:rPr>
        <w:t>I</w:t>
      </w:r>
      <w:r w:rsidRPr="003B376F">
        <w:rPr>
          <w:rStyle w:val="Ttulo1Car"/>
          <w:rFonts w:eastAsia="Batang"/>
          <w:b/>
        </w:rPr>
        <w:t>I.2</w:t>
      </w:r>
      <w:r w:rsidRPr="003B376F">
        <w:rPr>
          <w:rStyle w:val="Ttulo1Car"/>
          <w:rFonts w:eastAsia="Batang"/>
          <w:b/>
          <w:color w:val="FFFFFF" w:themeColor="background1"/>
        </w:rPr>
        <w:t>.</w:t>
      </w:r>
      <w:r w:rsidRPr="003B376F">
        <w:rPr>
          <w:rStyle w:val="Ttulo1Car"/>
          <w:rFonts w:eastAsia="Batang"/>
          <w:b/>
        </w:rPr>
        <w:br/>
      </w:r>
      <w:r w:rsidR="002E7320" w:rsidRPr="003B376F">
        <w:rPr>
          <w:rStyle w:val="Ttulo1Car"/>
          <w:rFonts w:eastAsia="Batang"/>
          <w:b/>
        </w:rPr>
        <w:t>DERECHOS A LAS GARANTÍAS JUDICIALES Y A LA PROTECCIÓN JUDICIAL</w:t>
      </w:r>
      <w:r w:rsidR="002E7320" w:rsidRPr="003B376F">
        <w:rPr>
          <w:rStyle w:val="Ttulo1Car"/>
          <w:rFonts w:eastAsia="Batang"/>
          <w:b/>
        </w:rPr>
        <w:br/>
        <w:t xml:space="preserve"> (ARTÍCULOS 1.1, 8.1 y 25 DE LA CONVENCIÓN AMERICANA)</w:t>
      </w:r>
      <w:bookmarkEnd w:id="93"/>
      <w:bookmarkEnd w:id="98"/>
      <w:r w:rsidR="007909AA" w:rsidRPr="003B376F">
        <w:rPr>
          <w:rStyle w:val="Ttulo1Car"/>
          <w:rFonts w:eastAsia="Batang"/>
          <w:b/>
        </w:rPr>
        <w:t xml:space="preserve"> </w:t>
      </w:r>
    </w:p>
    <w:p w14:paraId="0BDB7704" w14:textId="343D2B9C" w:rsidR="002E7320" w:rsidRPr="003B376F" w:rsidRDefault="002E7320" w:rsidP="004C6AFA">
      <w:pPr>
        <w:pStyle w:val="Prrafodelista"/>
        <w:numPr>
          <w:ilvl w:val="0"/>
          <w:numId w:val="7"/>
        </w:numPr>
        <w:pBdr>
          <w:top w:val="nil"/>
        </w:pBdr>
        <w:spacing w:before="240" w:after="240"/>
        <w:ind w:left="1066" w:hanging="357"/>
        <w:contextualSpacing w:val="0"/>
        <w:outlineLvl w:val="1"/>
        <w:rPr>
          <w:b/>
          <w:i/>
          <w:snapToGrid w:val="0"/>
          <w:spacing w:val="-2"/>
          <w:szCs w:val="20"/>
          <w:lang w:eastAsia="es-ES"/>
        </w:rPr>
      </w:pPr>
      <w:bookmarkStart w:id="99" w:name="_Toc36132112"/>
      <w:r w:rsidRPr="003B376F">
        <w:rPr>
          <w:b/>
          <w:i/>
          <w:snapToGrid w:val="0"/>
          <w:spacing w:val="-2"/>
          <w:szCs w:val="20"/>
          <w:lang w:eastAsia="es-ES"/>
        </w:rPr>
        <w:t>Alegatos de las partes</w:t>
      </w:r>
      <w:r w:rsidR="001A5CF5" w:rsidRPr="003B376F">
        <w:rPr>
          <w:b/>
          <w:i/>
          <w:snapToGrid w:val="0"/>
          <w:spacing w:val="-2"/>
          <w:szCs w:val="20"/>
          <w:lang w:eastAsia="es-ES"/>
        </w:rPr>
        <w:t xml:space="preserve"> y de la Comisión</w:t>
      </w:r>
      <w:bookmarkEnd w:id="99"/>
    </w:p>
    <w:p w14:paraId="41E713B8" w14:textId="74B0971C" w:rsidR="00783BC4" w:rsidRPr="005F6E92" w:rsidRDefault="00FA7A1C" w:rsidP="00404C7B">
      <w:pPr>
        <w:pStyle w:val="Prrafodelista"/>
        <w:numPr>
          <w:ilvl w:val="0"/>
          <w:numId w:val="2"/>
        </w:numPr>
        <w:tabs>
          <w:tab w:val="left" w:pos="630"/>
        </w:tabs>
        <w:spacing w:before="120" w:after="120"/>
        <w:ind w:left="0" w:firstLine="0"/>
        <w:contextualSpacing w:val="0"/>
        <w:rPr>
          <w:rFonts w:eastAsia="Verdana" w:cs="Verdana"/>
          <w:color w:val="FF0000"/>
          <w:szCs w:val="20"/>
        </w:rPr>
      </w:pPr>
      <w:r w:rsidRPr="003B376F">
        <w:rPr>
          <w:rFonts w:eastAsia="Verdana" w:cs="Verdana"/>
          <w:szCs w:val="20"/>
        </w:rPr>
        <w:lastRenderedPageBreak/>
        <w:t xml:space="preserve">La </w:t>
      </w:r>
      <w:r w:rsidRPr="00404C7B">
        <w:rPr>
          <w:rFonts w:eastAsia="Verdana" w:cs="Verdana"/>
          <w:i/>
          <w:szCs w:val="20"/>
        </w:rPr>
        <w:t>Comisión</w:t>
      </w:r>
      <w:r w:rsidRPr="003B376F">
        <w:rPr>
          <w:rFonts w:eastAsia="Verdana" w:cs="Verdana"/>
          <w:szCs w:val="20"/>
        </w:rPr>
        <w:t xml:space="preserve"> señaló que</w:t>
      </w:r>
      <w:r w:rsidR="00D430C0">
        <w:rPr>
          <w:rFonts w:eastAsia="Verdana" w:cs="Verdana"/>
          <w:szCs w:val="20"/>
        </w:rPr>
        <w:t xml:space="preserve"> en el presente caso se vulneró</w:t>
      </w:r>
      <w:r w:rsidRPr="003B376F">
        <w:rPr>
          <w:rFonts w:eastAsia="Verdana" w:cs="Verdana"/>
          <w:szCs w:val="20"/>
        </w:rPr>
        <w:t>: a)</w:t>
      </w:r>
      <w:r w:rsidR="00D430C0">
        <w:rPr>
          <w:rFonts w:eastAsia="Verdana" w:cs="Verdana"/>
          <w:szCs w:val="20"/>
        </w:rPr>
        <w:t xml:space="preserve"> el </w:t>
      </w:r>
      <w:r w:rsidR="00D430C0" w:rsidRPr="00D430C0">
        <w:rPr>
          <w:rFonts w:eastAsia="Verdana" w:cs="Verdana"/>
          <w:szCs w:val="20"/>
        </w:rPr>
        <w:t>derecho a contar con una autoridad competente, independiente e imparcial</w:t>
      </w:r>
      <w:r w:rsidRPr="003B376F">
        <w:rPr>
          <w:rFonts w:eastAsia="Verdana" w:cs="Verdana"/>
          <w:szCs w:val="20"/>
        </w:rPr>
        <w:t xml:space="preserve"> </w:t>
      </w:r>
      <w:r w:rsidR="00D430C0">
        <w:rPr>
          <w:rFonts w:eastAsia="Verdana" w:cs="Verdana"/>
          <w:szCs w:val="20"/>
        </w:rPr>
        <w:t xml:space="preserve">por la </w:t>
      </w:r>
      <w:r w:rsidR="00D35997">
        <w:rPr>
          <w:rFonts w:eastAsia="Verdana" w:cs="Verdana"/>
          <w:szCs w:val="20"/>
        </w:rPr>
        <w:t xml:space="preserve">investigación en la jurisdicción </w:t>
      </w:r>
      <w:r w:rsidR="00D35997" w:rsidRPr="00404C7B">
        <w:rPr>
          <w:szCs w:val="20"/>
        </w:rPr>
        <w:t>militar</w:t>
      </w:r>
      <w:r w:rsidR="00D35997">
        <w:rPr>
          <w:rFonts w:eastAsia="Verdana" w:cs="Verdana"/>
          <w:szCs w:val="20"/>
        </w:rPr>
        <w:t xml:space="preserve"> de la muerte de Vicente Noguera</w:t>
      </w:r>
      <w:r w:rsidR="00727ECF">
        <w:rPr>
          <w:rFonts w:eastAsia="Verdana" w:cs="Verdana"/>
          <w:szCs w:val="20"/>
        </w:rPr>
        <w:t xml:space="preserve">; b) </w:t>
      </w:r>
      <w:r w:rsidR="000C0DE5">
        <w:rPr>
          <w:rFonts w:eastAsia="Verdana" w:cs="Verdana"/>
          <w:szCs w:val="20"/>
        </w:rPr>
        <w:t>la obligación por parte del Estado de investigar con la debida diligencia la muerte de Vicente Noguera</w:t>
      </w:r>
      <w:r w:rsidR="000C0DE5">
        <w:rPr>
          <w:rStyle w:val="Refdenotaalpie"/>
          <w:rFonts w:eastAsia="Verdana"/>
        </w:rPr>
        <w:footnoteReference w:id="74"/>
      </w:r>
      <w:r w:rsidR="000C0DE5">
        <w:rPr>
          <w:rFonts w:eastAsia="Verdana" w:cs="Verdana"/>
          <w:szCs w:val="20"/>
        </w:rPr>
        <w:t xml:space="preserve">, </w:t>
      </w:r>
      <w:r w:rsidR="00BA5224">
        <w:rPr>
          <w:rFonts w:eastAsia="Verdana" w:cs="Verdana"/>
          <w:szCs w:val="20"/>
        </w:rPr>
        <w:t xml:space="preserve">y </w:t>
      </w:r>
      <w:r w:rsidR="000C0DE5">
        <w:rPr>
          <w:rFonts w:eastAsia="Verdana" w:cs="Verdana"/>
          <w:szCs w:val="20"/>
        </w:rPr>
        <w:t>c</w:t>
      </w:r>
      <w:r w:rsidR="00BA5224">
        <w:rPr>
          <w:rFonts w:eastAsia="Verdana" w:cs="Verdana"/>
          <w:szCs w:val="20"/>
        </w:rPr>
        <w:t>) el principio del plazo razonable en la investigación</w:t>
      </w:r>
      <w:r w:rsidR="00BA5224" w:rsidRPr="005F6E92">
        <w:rPr>
          <w:rFonts w:eastAsia="Verdana" w:cs="Verdana"/>
          <w:szCs w:val="20"/>
        </w:rPr>
        <w:t xml:space="preserve">. </w:t>
      </w:r>
      <w:r w:rsidR="000C0DE5" w:rsidRPr="000C0DE5">
        <w:rPr>
          <w:szCs w:val="20"/>
        </w:rPr>
        <w:t xml:space="preserve">Los </w:t>
      </w:r>
      <w:r w:rsidR="000C0DE5" w:rsidRPr="00404C7B">
        <w:rPr>
          <w:i/>
          <w:szCs w:val="20"/>
        </w:rPr>
        <w:t>representantes</w:t>
      </w:r>
      <w:r w:rsidR="000C0DE5" w:rsidRPr="000C0DE5">
        <w:rPr>
          <w:szCs w:val="20"/>
        </w:rPr>
        <w:t xml:space="preserve"> coincidieron con la Comisión.</w:t>
      </w:r>
    </w:p>
    <w:p w14:paraId="5CD90FF6" w14:textId="64C218DD" w:rsidR="002E7320" w:rsidRPr="004D7C15" w:rsidRDefault="00FA7A1C" w:rsidP="00404C7B">
      <w:pPr>
        <w:pStyle w:val="Prrafodelista"/>
        <w:numPr>
          <w:ilvl w:val="0"/>
          <w:numId w:val="2"/>
        </w:numPr>
        <w:tabs>
          <w:tab w:val="left" w:pos="630"/>
        </w:tabs>
        <w:spacing w:before="120" w:after="120"/>
        <w:ind w:left="0" w:firstLine="0"/>
        <w:contextualSpacing w:val="0"/>
        <w:rPr>
          <w:rFonts w:eastAsia="Verdana" w:cs="Verdana"/>
          <w:szCs w:val="20"/>
        </w:rPr>
      </w:pPr>
      <w:r w:rsidRPr="004D7C15">
        <w:rPr>
          <w:rFonts w:eastAsia="Verdana" w:cs="Verdana"/>
          <w:szCs w:val="20"/>
        </w:rPr>
        <w:t xml:space="preserve">Por su parte, el </w:t>
      </w:r>
      <w:r w:rsidRPr="00404C7B">
        <w:rPr>
          <w:rFonts w:eastAsia="Verdana" w:cs="Verdana"/>
          <w:i/>
          <w:szCs w:val="20"/>
        </w:rPr>
        <w:t>Estado</w:t>
      </w:r>
      <w:r w:rsidRPr="004D7C15">
        <w:rPr>
          <w:rFonts w:eastAsia="Verdana" w:cs="Verdana"/>
          <w:szCs w:val="20"/>
        </w:rPr>
        <w:t xml:space="preserve"> </w:t>
      </w:r>
      <w:r w:rsidR="00E462F8" w:rsidRPr="004D7C15">
        <w:rPr>
          <w:rFonts w:eastAsia="Verdana" w:cs="Verdana"/>
          <w:szCs w:val="20"/>
        </w:rPr>
        <w:t xml:space="preserve">reconoció su responsabilidad </w:t>
      </w:r>
      <w:r w:rsidR="004D7C15" w:rsidRPr="004D7C15">
        <w:rPr>
          <w:rFonts w:eastAsia="Verdana" w:cs="Verdana"/>
          <w:szCs w:val="20"/>
        </w:rPr>
        <w:t xml:space="preserve">por una </w:t>
      </w:r>
      <w:r w:rsidR="00B41EBA">
        <w:rPr>
          <w:rFonts w:eastAsia="Verdana" w:cs="Verdana"/>
          <w:szCs w:val="20"/>
        </w:rPr>
        <w:t>violación</w:t>
      </w:r>
      <w:r w:rsidR="004D7C15" w:rsidRPr="004D7C15">
        <w:rPr>
          <w:rFonts w:eastAsia="Verdana" w:cs="Verdana"/>
          <w:szCs w:val="20"/>
        </w:rPr>
        <w:t xml:space="preserve"> a los derechos a </w:t>
      </w:r>
      <w:proofErr w:type="spellStart"/>
      <w:r w:rsidR="004D7C15" w:rsidRPr="004D7C15">
        <w:rPr>
          <w:rFonts w:eastAsia="Verdana" w:cs="Verdana"/>
          <w:szCs w:val="20"/>
        </w:rPr>
        <w:t>a</w:t>
      </w:r>
      <w:proofErr w:type="spellEnd"/>
      <w:r w:rsidR="004D7C15" w:rsidRPr="004D7C15">
        <w:rPr>
          <w:rFonts w:eastAsia="Verdana" w:cs="Verdana"/>
          <w:szCs w:val="20"/>
        </w:rPr>
        <w:t xml:space="preserve"> las garantías judiciales y a la protección judicial. Sin embargo, como fuera indicado en el capítulo correspondiente (</w:t>
      </w:r>
      <w:r w:rsidR="004D7C15" w:rsidRPr="004D7C15">
        <w:rPr>
          <w:rFonts w:eastAsia="Verdana" w:cs="Verdana"/>
          <w:i/>
          <w:szCs w:val="20"/>
        </w:rPr>
        <w:t>supra</w:t>
      </w:r>
      <w:r w:rsidR="004D7C15" w:rsidRPr="004D7C15">
        <w:rPr>
          <w:rFonts w:eastAsia="Verdana" w:cs="Verdana"/>
          <w:szCs w:val="20"/>
        </w:rPr>
        <w:t xml:space="preserve"> </w:t>
      </w:r>
      <w:r w:rsidR="00196C2E">
        <w:rPr>
          <w:rFonts w:eastAsia="Verdana" w:cs="Verdana"/>
          <w:szCs w:val="20"/>
        </w:rPr>
        <w:t>Capítulo V.B.2</w:t>
      </w:r>
      <w:r w:rsidR="004D7C15" w:rsidRPr="004D7C15">
        <w:rPr>
          <w:rFonts w:eastAsia="Verdana" w:cs="Verdana"/>
          <w:szCs w:val="20"/>
        </w:rPr>
        <w:t xml:space="preserve">), no </w:t>
      </w:r>
      <w:r w:rsidR="00A06B00">
        <w:rPr>
          <w:rFonts w:eastAsia="Verdana" w:cs="Verdana"/>
          <w:szCs w:val="20"/>
        </w:rPr>
        <w:t>son</w:t>
      </w:r>
      <w:r w:rsidR="00A06B00" w:rsidRPr="004D7C15">
        <w:rPr>
          <w:rFonts w:eastAsia="Verdana" w:cs="Verdana"/>
          <w:szCs w:val="20"/>
        </w:rPr>
        <w:t xml:space="preserve"> </w:t>
      </w:r>
      <w:r w:rsidR="004D7C15" w:rsidRPr="004D7C15">
        <w:rPr>
          <w:snapToGrid w:val="0"/>
          <w:spacing w:val="-2"/>
          <w:szCs w:val="20"/>
          <w:lang w:eastAsia="es-ES"/>
        </w:rPr>
        <w:t>claro</w:t>
      </w:r>
      <w:r w:rsidR="00A06B00">
        <w:rPr>
          <w:snapToGrid w:val="0"/>
          <w:spacing w:val="-2"/>
          <w:szCs w:val="20"/>
          <w:lang w:eastAsia="es-ES"/>
        </w:rPr>
        <w:t>s</w:t>
      </w:r>
      <w:r w:rsidR="004D7C15" w:rsidRPr="004D7C15">
        <w:rPr>
          <w:rFonts w:eastAsia="Verdana" w:cs="Verdana"/>
          <w:szCs w:val="20"/>
        </w:rPr>
        <w:t xml:space="preserve"> los motivos por los cuales procedió a tal reconocimiento. Indicó de forma genérica que “reconoce que [las investigaciones] fueron insuficientes para la aclaración de todos los hechos denunciados”. A su vez, el Estado se refirió a algunos puntos para los cuales habría habido “alguna confusión en su interpretación”. </w:t>
      </w:r>
      <w:r w:rsidR="000478DA">
        <w:rPr>
          <w:rFonts w:eastAsia="Verdana" w:cs="Verdana"/>
          <w:szCs w:val="20"/>
        </w:rPr>
        <w:t>A</w:t>
      </w:r>
      <w:r w:rsidR="004D7C15" w:rsidRPr="004D7C15">
        <w:rPr>
          <w:rFonts w:eastAsia="Verdana" w:cs="Verdana"/>
          <w:szCs w:val="20"/>
        </w:rPr>
        <w:t>legó</w:t>
      </w:r>
      <w:r w:rsidR="00B41EBA">
        <w:rPr>
          <w:rFonts w:eastAsia="Verdana" w:cs="Verdana"/>
          <w:szCs w:val="20"/>
        </w:rPr>
        <w:t>,</w:t>
      </w:r>
      <w:r w:rsidR="004D7C15" w:rsidRPr="004D7C15">
        <w:rPr>
          <w:rFonts w:eastAsia="Verdana" w:cs="Verdana"/>
          <w:szCs w:val="20"/>
        </w:rPr>
        <w:t xml:space="preserve"> </w:t>
      </w:r>
      <w:r w:rsidR="000478DA">
        <w:rPr>
          <w:rFonts w:eastAsia="Verdana" w:cs="Verdana"/>
          <w:szCs w:val="20"/>
        </w:rPr>
        <w:t>en particular</w:t>
      </w:r>
      <w:r w:rsidR="00B41EBA">
        <w:rPr>
          <w:rFonts w:eastAsia="Verdana" w:cs="Verdana"/>
          <w:szCs w:val="20"/>
        </w:rPr>
        <w:t>,</w:t>
      </w:r>
      <w:r w:rsidR="000478DA">
        <w:rPr>
          <w:rFonts w:eastAsia="Verdana" w:cs="Verdana"/>
          <w:szCs w:val="20"/>
        </w:rPr>
        <w:t xml:space="preserve"> </w:t>
      </w:r>
      <w:r w:rsidR="004D7C15" w:rsidRPr="004D7C15">
        <w:rPr>
          <w:rFonts w:eastAsia="Verdana" w:cs="Verdana"/>
          <w:szCs w:val="20"/>
        </w:rPr>
        <w:t xml:space="preserve">que </w:t>
      </w:r>
      <w:r w:rsidR="00BF0642" w:rsidRPr="004D7C15">
        <w:rPr>
          <w:rFonts w:eastAsia="Verdana" w:cs="Verdana"/>
          <w:szCs w:val="20"/>
        </w:rPr>
        <w:t xml:space="preserve">en el sumario de la justicia penal fueron realizadas múltiples diligencias investigativas </w:t>
      </w:r>
      <w:r w:rsidR="00BF0642" w:rsidRPr="004D7C15">
        <w:rPr>
          <w:rFonts w:eastAsia="Verdana" w:cs="Verdana"/>
          <w:i/>
          <w:szCs w:val="20"/>
        </w:rPr>
        <w:t xml:space="preserve">ex </w:t>
      </w:r>
      <w:proofErr w:type="spellStart"/>
      <w:r w:rsidR="00BF0642" w:rsidRPr="004D7C15">
        <w:rPr>
          <w:rFonts w:eastAsia="Verdana" w:cs="Verdana"/>
          <w:i/>
          <w:szCs w:val="20"/>
        </w:rPr>
        <w:t>officio</w:t>
      </w:r>
      <w:proofErr w:type="spellEnd"/>
      <w:r w:rsidR="00BF0642" w:rsidRPr="004D7C15">
        <w:rPr>
          <w:rFonts w:eastAsia="Verdana" w:cs="Verdana"/>
          <w:szCs w:val="20"/>
        </w:rPr>
        <w:t xml:space="preserve"> de gran valor y que con la finalidad de satisfacer el estándar internacional se abrió una nueva investigación</w:t>
      </w:r>
      <w:r w:rsidRPr="004D7C15">
        <w:rPr>
          <w:rFonts w:eastAsia="Verdana" w:cs="Verdana"/>
          <w:szCs w:val="20"/>
        </w:rPr>
        <w:t xml:space="preserve">. </w:t>
      </w:r>
      <w:r w:rsidR="004D7C15" w:rsidRPr="004D7C15">
        <w:rPr>
          <w:rFonts w:eastAsia="Verdana" w:cs="Verdana"/>
          <w:szCs w:val="20"/>
        </w:rPr>
        <w:t>Asimismo, s</w:t>
      </w:r>
      <w:r w:rsidRPr="004D7C15">
        <w:rPr>
          <w:rFonts w:eastAsia="Verdana" w:cs="Verdana"/>
          <w:szCs w:val="20"/>
        </w:rPr>
        <w:t xml:space="preserve">eñaló que </w:t>
      </w:r>
      <w:r w:rsidR="00BF0642" w:rsidRPr="004D7C15">
        <w:rPr>
          <w:rFonts w:eastAsia="Verdana" w:cs="Verdana"/>
          <w:szCs w:val="20"/>
        </w:rPr>
        <w:t xml:space="preserve">cuando sucedieron los hechos </w:t>
      </w:r>
      <w:r w:rsidR="00D430C0" w:rsidRPr="004D7C15">
        <w:rPr>
          <w:rFonts w:eastAsia="Verdana" w:cs="Verdana"/>
          <w:szCs w:val="20"/>
        </w:rPr>
        <w:t xml:space="preserve">no </w:t>
      </w:r>
      <w:r w:rsidR="00BF0642" w:rsidRPr="004D7C15">
        <w:rPr>
          <w:rFonts w:eastAsia="Verdana" w:cs="Verdana"/>
          <w:szCs w:val="20"/>
        </w:rPr>
        <w:t>era obligación de los Estados adoptar las recomendaciones del Protocolo de Min</w:t>
      </w:r>
      <w:r w:rsidR="000C0DE5" w:rsidRPr="004D7C15">
        <w:rPr>
          <w:rFonts w:eastAsia="Verdana" w:cs="Verdana"/>
          <w:szCs w:val="20"/>
        </w:rPr>
        <w:t>n</w:t>
      </w:r>
      <w:r w:rsidR="00BF0642" w:rsidRPr="004D7C15">
        <w:rPr>
          <w:rFonts w:eastAsia="Verdana" w:cs="Verdana"/>
          <w:szCs w:val="20"/>
        </w:rPr>
        <w:t>es</w:t>
      </w:r>
      <w:r w:rsidR="000C0DE5" w:rsidRPr="004D7C15">
        <w:rPr>
          <w:rFonts w:eastAsia="Verdana" w:cs="Verdana"/>
          <w:szCs w:val="20"/>
        </w:rPr>
        <w:t>o</w:t>
      </w:r>
      <w:r w:rsidR="00BF0642" w:rsidRPr="004D7C15">
        <w:rPr>
          <w:rFonts w:eastAsia="Verdana" w:cs="Verdana"/>
          <w:szCs w:val="20"/>
        </w:rPr>
        <w:t>ta</w:t>
      </w:r>
      <w:r w:rsidRPr="004D7C15">
        <w:rPr>
          <w:rFonts w:eastAsia="Verdana" w:cs="Verdana"/>
          <w:szCs w:val="20"/>
        </w:rPr>
        <w:t xml:space="preserve">. </w:t>
      </w:r>
      <w:r w:rsidR="00F238C1" w:rsidRPr="004D7C15">
        <w:rPr>
          <w:rFonts w:eastAsia="Verdana" w:cs="Verdana"/>
          <w:szCs w:val="20"/>
        </w:rPr>
        <w:t xml:space="preserve">Finalmente, se refirió a las investigaciones particulares llevadas adelante por la madre de la presunta víctima al margen de los procesos formales, negando las afirmaciones que se desprenden por no existir forma de comprobarlos y abrió la posibilidad de que en el marco de la investigación que lleva adelante el Ministerio Público, la referida información pudiera ser incorporada y verificada. </w:t>
      </w:r>
    </w:p>
    <w:p w14:paraId="670DB6BC" w14:textId="17BD737A" w:rsidR="002E7320" w:rsidRPr="003B376F" w:rsidRDefault="002E7320" w:rsidP="004C6AFA">
      <w:pPr>
        <w:pStyle w:val="Prrafodelista"/>
        <w:numPr>
          <w:ilvl w:val="0"/>
          <w:numId w:val="7"/>
        </w:numPr>
        <w:pBdr>
          <w:top w:val="nil"/>
        </w:pBdr>
        <w:spacing w:before="240" w:after="240"/>
        <w:ind w:left="1066" w:hanging="357"/>
        <w:contextualSpacing w:val="0"/>
        <w:outlineLvl w:val="1"/>
        <w:rPr>
          <w:b/>
          <w:i/>
          <w:szCs w:val="20"/>
        </w:rPr>
      </w:pPr>
      <w:bookmarkStart w:id="100" w:name="_Toc36132113"/>
      <w:r w:rsidRPr="003B376F">
        <w:rPr>
          <w:b/>
          <w:i/>
          <w:snapToGrid w:val="0"/>
          <w:spacing w:val="-2"/>
          <w:szCs w:val="20"/>
          <w:lang w:eastAsia="es-ES"/>
        </w:rPr>
        <w:t>Consideraciones</w:t>
      </w:r>
      <w:r w:rsidRPr="003B376F">
        <w:rPr>
          <w:b/>
          <w:i/>
          <w:szCs w:val="20"/>
        </w:rPr>
        <w:t xml:space="preserve"> de la Corte</w:t>
      </w:r>
      <w:bookmarkEnd w:id="100"/>
    </w:p>
    <w:p w14:paraId="09F8E6CC" w14:textId="77777777" w:rsidR="007A1326" w:rsidRPr="0043341E" w:rsidRDefault="007A1326" w:rsidP="00404C7B">
      <w:pPr>
        <w:pStyle w:val="Prrafodelista"/>
        <w:numPr>
          <w:ilvl w:val="0"/>
          <w:numId w:val="2"/>
        </w:numPr>
        <w:tabs>
          <w:tab w:val="left" w:pos="630"/>
        </w:tabs>
        <w:spacing w:before="120" w:after="120"/>
        <w:ind w:left="0" w:firstLine="0"/>
        <w:contextualSpacing w:val="0"/>
        <w:rPr>
          <w:rFonts w:ascii="Times New Roman" w:eastAsiaTheme="minorHAnsi" w:hAnsi="Times New Roman" w:cs="Times New Roman"/>
          <w:sz w:val="24"/>
          <w:lang w:val="es-CR" w:eastAsia="es-CR"/>
        </w:rPr>
      </w:pPr>
      <w:r w:rsidRPr="0043341E">
        <w:rPr>
          <w:rFonts w:cs="Arial"/>
          <w:szCs w:val="20"/>
        </w:rPr>
        <w:t>E</w:t>
      </w:r>
      <w:r w:rsidRPr="0043341E">
        <w:rPr>
          <w:rFonts w:cs="Arial"/>
          <w:szCs w:val="20"/>
          <w:lang w:val="es-CR"/>
        </w:rPr>
        <w:t xml:space="preserve">l artículo 8.1 de la Convención reconoce el derecho de toda persona a ser oída con las debidas </w:t>
      </w:r>
      <w:r w:rsidRPr="0043341E">
        <w:rPr>
          <w:rFonts w:cs="Arial"/>
          <w:szCs w:val="20"/>
        </w:rPr>
        <w:t>garantías</w:t>
      </w:r>
      <w:r w:rsidRPr="0043341E">
        <w:rPr>
          <w:rFonts w:cs="Arial"/>
          <w:szCs w:val="20"/>
          <w:lang w:val="es-CR"/>
        </w:rPr>
        <w:t xml:space="preserve"> y dentro de un plazo razonable por un juez o tribunal competente, independiente e imparcial, establecido con anterioridad por la ley, en la sustanciación de cualquier acusación penal formulada en su contra o para la determinación de sus derechos, todo ello dentro de la obligación general, a cargo de los mismos Estados, de garantizar el libre y pleno ejercicio de los derechos reconocidos por la Convención a toda persona que se encuentre bajo su jurisdicción (artículo 1.1)</w:t>
      </w:r>
      <w:r w:rsidRPr="0043341E">
        <w:rPr>
          <w:vertAlign w:val="superscript"/>
        </w:rPr>
        <w:footnoteReference w:id="75"/>
      </w:r>
      <w:r w:rsidRPr="0043341E">
        <w:rPr>
          <w:rFonts w:ascii="Times New Roman" w:eastAsiaTheme="minorHAnsi" w:hAnsi="Times New Roman" w:cs="Times New Roman"/>
          <w:sz w:val="24"/>
          <w:lang w:val="es-CR" w:eastAsia="es-CR"/>
        </w:rPr>
        <w:t>.</w:t>
      </w:r>
    </w:p>
    <w:p w14:paraId="3275E7DD" w14:textId="3D7FA6EA" w:rsidR="000976B7" w:rsidRDefault="000976B7" w:rsidP="00404C7B">
      <w:pPr>
        <w:pStyle w:val="Prrafodelista"/>
        <w:numPr>
          <w:ilvl w:val="0"/>
          <w:numId w:val="2"/>
        </w:numPr>
        <w:tabs>
          <w:tab w:val="left" w:pos="630"/>
        </w:tabs>
        <w:spacing w:before="120" w:after="120"/>
        <w:ind w:left="0" w:firstLine="0"/>
        <w:contextualSpacing w:val="0"/>
        <w:rPr>
          <w:snapToGrid w:val="0"/>
          <w:spacing w:val="-2"/>
          <w:szCs w:val="20"/>
          <w:lang w:eastAsia="es-ES"/>
        </w:rPr>
      </w:pPr>
      <w:r w:rsidRPr="00460804">
        <w:rPr>
          <w:snapToGrid w:val="0"/>
          <w:spacing w:val="-2"/>
          <w:szCs w:val="20"/>
          <w:lang w:eastAsia="es-ES"/>
        </w:rPr>
        <w:t>Este Tribunal ha señalado que el artículo 25.1 de la Convención contempla la obligación de los Estados Parte de garantizar, a todas las personas bajo su jurisdicción, un recurso judicial sencillo, rápido, y efectivo contra actos violatorios de sus derechos fundamentales</w:t>
      </w:r>
      <w:r>
        <w:rPr>
          <w:rStyle w:val="Refdenotaalpie"/>
          <w:snapToGrid w:val="0"/>
          <w:spacing w:val="-2"/>
          <w:lang w:eastAsia="es-ES"/>
        </w:rPr>
        <w:footnoteReference w:id="76"/>
      </w:r>
      <w:r>
        <w:rPr>
          <w:snapToGrid w:val="0"/>
          <w:spacing w:val="-2"/>
          <w:szCs w:val="20"/>
          <w:lang w:eastAsia="es-ES"/>
        </w:rPr>
        <w:t xml:space="preserve">. </w:t>
      </w:r>
      <w:r w:rsidRPr="00460804">
        <w:rPr>
          <w:snapToGrid w:val="0"/>
          <w:spacing w:val="-2"/>
          <w:szCs w:val="20"/>
          <w:lang w:eastAsia="es-ES"/>
        </w:rPr>
        <w:t xml:space="preserve">Teniendo en cuenta lo anterior, es posible identificar dos obligaciones específicas del Estado. La primera, </w:t>
      </w:r>
      <w:r>
        <w:rPr>
          <w:snapToGrid w:val="0"/>
          <w:spacing w:val="-2"/>
          <w:szCs w:val="20"/>
          <w:lang w:eastAsia="es-ES"/>
        </w:rPr>
        <w:t>consiste en reconocer</w:t>
      </w:r>
      <w:r w:rsidRPr="00460804">
        <w:rPr>
          <w:snapToGrid w:val="0"/>
          <w:spacing w:val="-2"/>
          <w:szCs w:val="20"/>
          <w:lang w:eastAsia="es-ES"/>
        </w:rPr>
        <w:t xml:space="preserve"> normativamente y asegurar la debida aplicación de </w:t>
      </w:r>
      <w:r w:rsidRPr="009224F7">
        <w:rPr>
          <w:rFonts w:cs="Arial"/>
          <w:szCs w:val="20"/>
          <w:lang w:val="es-CR"/>
        </w:rPr>
        <w:t>recursos</w:t>
      </w:r>
      <w:r w:rsidRPr="00460804">
        <w:rPr>
          <w:snapToGrid w:val="0"/>
          <w:spacing w:val="-2"/>
          <w:szCs w:val="20"/>
          <w:lang w:eastAsia="es-ES"/>
        </w:rPr>
        <w:t xml:space="preserve"> efectivos ante las autoridades competentes, que amparen a todas las personas bajo su jurisdicción contra actos que violen sus derechos fundamentales o que conlleven la determinación de los derechos y obligaciones de éstas. La segunda, garantizar los medios </w:t>
      </w:r>
      <w:r w:rsidRPr="00460804">
        <w:rPr>
          <w:snapToGrid w:val="0"/>
          <w:spacing w:val="-2"/>
          <w:szCs w:val="20"/>
          <w:lang w:eastAsia="es-ES"/>
        </w:rPr>
        <w:lastRenderedPageBreak/>
        <w:t>para ejecutar las respectivas decisiones y sentencias definitivas emitidas por tales autoridades competentes, de manera que se protejan efectivamente los derechos declarados o reconocidos</w:t>
      </w:r>
      <w:r>
        <w:rPr>
          <w:rStyle w:val="Refdenotaalpie"/>
          <w:snapToGrid w:val="0"/>
          <w:spacing w:val="-2"/>
          <w:lang w:eastAsia="es-ES"/>
        </w:rPr>
        <w:footnoteReference w:id="77"/>
      </w:r>
      <w:r>
        <w:rPr>
          <w:snapToGrid w:val="0"/>
          <w:spacing w:val="-2"/>
          <w:szCs w:val="20"/>
          <w:lang w:eastAsia="es-ES"/>
        </w:rPr>
        <w:t>.</w:t>
      </w:r>
    </w:p>
    <w:p w14:paraId="36C4BB4B" w14:textId="0035CC1A" w:rsidR="0014686D" w:rsidRPr="0014686D" w:rsidRDefault="0014686D" w:rsidP="0014686D">
      <w:pPr>
        <w:pStyle w:val="Ttulo3"/>
        <w:spacing w:before="240" w:after="240"/>
        <w:ind w:left="1066"/>
        <w:rPr>
          <w:b w:val="0"/>
          <w:snapToGrid w:val="0"/>
          <w:spacing w:val="-2"/>
          <w:szCs w:val="20"/>
          <w:lang w:eastAsia="es-ES"/>
        </w:rPr>
      </w:pPr>
      <w:bookmarkStart w:id="101" w:name="_Toc36132114"/>
      <w:r w:rsidRPr="0014686D">
        <w:rPr>
          <w:b w:val="0"/>
          <w:snapToGrid w:val="0"/>
          <w:spacing w:val="-2"/>
          <w:szCs w:val="20"/>
          <w:lang w:eastAsia="es-ES"/>
        </w:rPr>
        <w:t>B.</w:t>
      </w:r>
      <w:r>
        <w:rPr>
          <w:b w:val="0"/>
          <w:snapToGrid w:val="0"/>
          <w:spacing w:val="-2"/>
          <w:szCs w:val="20"/>
          <w:lang w:eastAsia="es-ES"/>
        </w:rPr>
        <w:t>1</w:t>
      </w:r>
      <w:r w:rsidRPr="0014686D">
        <w:rPr>
          <w:b w:val="0"/>
          <w:snapToGrid w:val="0"/>
          <w:spacing w:val="-2"/>
          <w:szCs w:val="20"/>
          <w:lang w:eastAsia="es-ES"/>
        </w:rPr>
        <w:t xml:space="preserve">. Sobre el principio del </w:t>
      </w:r>
      <w:r>
        <w:rPr>
          <w:b w:val="0"/>
          <w:snapToGrid w:val="0"/>
          <w:spacing w:val="-2"/>
          <w:szCs w:val="20"/>
          <w:lang w:eastAsia="es-ES"/>
        </w:rPr>
        <w:t>plazo razonable y las debidas diligencias de investigación</w:t>
      </w:r>
      <w:bookmarkEnd w:id="101"/>
    </w:p>
    <w:p w14:paraId="2429ACEA" w14:textId="5D90E9B2" w:rsidR="004342C4" w:rsidRPr="002F062F" w:rsidRDefault="007A1326" w:rsidP="00404C7B">
      <w:pPr>
        <w:pStyle w:val="Prrafodelista"/>
        <w:numPr>
          <w:ilvl w:val="0"/>
          <w:numId w:val="2"/>
        </w:numPr>
        <w:tabs>
          <w:tab w:val="left" w:pos="630"/>
        </w:tabs>
        <w:spacing w:before="120" w:after="120"/>
        <w:ind w:left="0" w:firstLine="0"/>
        <w:contextualSpacing w:val="0"/>
        <w:rPr>
          <w:snapToGrid w:val="0"/>
          <w:spacing w:val="-2"/>
          <w:szCs w:val="20"/>
          <w:lang w:eastAsia="es-ES"/>
        </w:rPr>
      </w:pPr>
      <w:r w:rsidRPr="00105351">
        <w:rPr>
          <w:rFonts w:cs="Verdana"/>
          <w:bCs/>
          <w:szCs w:val="20"/>
        </w:rPr>
        <w:t>En el presente caso</w:t>
      </w:r>
      <w:r w:rsidR="00B41EBA">
        <w:rPr>
          <w:rFonts w:cs="Verdana"/>
          <w:bCs/>
          <w:szCs w:val="20"/>
        </w:rPr>
        <w:t>,</w:t>
      </w:r>
      <w:r w:rsidR="00B82B30" w:rsidRPr="00105351">
        <w:rPr>
          <w:rFonts w:cs="Verdana"/>
          <w:bCs/>
          <w:szCs w:val="20"/>
        </w:rPr>
        <w:t xml:space="preserve"> se indicó</w:t>
      </w:r>
      <w:r w:rsidR="00B66B89" w:rsidRPr="00105351">
        <w:rPr>
          <w:rFonts w:cs="Verdana"/>
          <w:bCs/>
          <w:szCs w:val="20"/>
        </w:rPr>
        <w:t xml:space="preserve"> </w:t>
      </w:r>
      <w:r w:rsidR="00B82B30" w:rsidRPr="00105351">
        <w:rPr>
          <w:rFonts w:cs="Verdana"/>
          <w:bCs/>
          <w:szCs w:val="20"/>
        </w:rPr>
        <w:t xml:space="preserve">en el capítulo sobre el reconocimiento de </w:t>
      </w:r>
      <w:r w:rsidR="00B82B30" w:rsidRPr="00404C7B">
        <w:rPr>
          <w:snapToGrid w:val="0"/>
          <w:spacing w:val="-2"/>
          <w:szCs w:val="20"/>
          <w:lang w:eastAsia="es-ES"/>
        </w:rPr>
        <w:t>responsabilidad</w:t>
      </w:r>
      <w:r w:rsidR="00B82B30" w:rsidRPr="00105351">
        <w:rPr>
          <w:rFonts w:cs="Verdana"/>
          <w:bCs/>
          <w:szCs w:val="20"/>
        </w:rPr>
        <w:t xml:space="preserve"> </w:t>
      </w:r>
      <w:r w:rsidR="00E462F8" w:rsidRPr="00105351">
        <w:rPr>
          <w:rFonts w:cs="Verdana"/>
          <w:bCs/>
          <w:szCs w:val="20"/>
        </w:rPr>
        <w:t xml:space="preserve">efectuado por el Estado </w:t>
      </w:r>
      <w:r w:rsidR="00052DEA" w:rsidRPr="00105351">
        <w:rPr>
          <w:rFonts w:eastAsia="Verdana" w:cs="Verdana"/>
        </w:rPr>
        <w:t xml:space="preserve">que aún se encontraba en controversia la </w:t>
      </w:r>
      <w:r w:rsidR="00CA6242">
        <w:rPr>
          <w:rFonts w:eastAsia="Verdana" w:cs="Verdana"/>
        </w:rPr>
        <w:t xml:space="preserve">alegada </w:t>
      </w:r>
      <w:r w:rsidR="00052DEA" w:rsidRPr="00105351">
        <w:rPr>
          <w:rFonts w:eastAsia="Verdana" w:cs="Verdana"/>
        </w:rPr>
        <w:t xml:space="preserve">vulneración a </w:t>
      </w:r>
      <w:r w:rsidR="00B82B30" w:rsidRPr="00105351">
        <w:rPr>
          <w:rFonts w:eastAsia="Verdana" w:cs="Verdana"/>
        </w:rPr>
        <w:t xml:space="preserve">los derechos a las garantías judiciales y protección judicial </w:t>
      </w:r>
      <w:r w:rsidR="00CA6242">
        <w:rPr>
          <w:rFonts w:eastAsia="Verdana" w:cs="Verdana"/>
        </w:rPr>
        <w:t xml:space="preserve">(artículos 8 y 25 de la Convención) </w:t>
      </w:r>
      <w:r w:rsidR="00052DEA" w:rsidRPr="00105351">
        <w:rPr>
          <w:rFonts w:eastAsia="Verdana" w:cs="Verdana"/>
        </w:rPr>
        <w:t>en perjuicio de María Noguera</w:t>
      </w:r>
      <w:r w:rsidR="00105351">
        <w:rPr>
          <w:rFonts w:eastAsia="Verdana" w:cs="Verdana"/>
        </w:rPr>
        <w:t xml:space="preserve">. </w:t>
      </w:r>
    </w:p>
    <w:p w14:paraId="17222CC9" w14:textId="2C0D6249" w:rsidR="009224F7" w:rsidRDefault="009224F7" w:rsidP="00404C7B">
      <w:pPr>
        <w:pStyle w:val="Prrafodelista"/>
        <w:numPr>
          <w:ilvl w:val="0"/>
          <w:numId w:val="2"/>
        </w:numPr>
        <w:tabs>
          <w:tab w:val="left" w:pos="630"/>
        </w:tabs>
        <w:spacing w:before="120" w:after="120"/>
        <w:ind w:left="0" w:firstLine="0"/>
        <w:contextualSpacing w:val="0"/>
        <w:rPr>
          <w:snapToGrid w:val="0"/>
          <w:spacing w:val="-2"/>
          <w:szCs w:val="20"/>
          <w:lang w:eastAsia="es-ES"/>
        </w:rPr>
      </w:pPr>
      <w:r>
        <w:rPr>
          <w:rFonts w:cs="Arial"/>
          <w:szCs w:val="20"/>
          <w:lang w:val="es-CR"/>
        </w:rPr>
        <w:t>L</w:t>
      </w:r>
      <w:r w:rsidRPr="0043341E">
        <w:rPr>
          <w:rFonts w:cs="Arial"/>
          <w:szCs w:val="20"/>
          <w:lang w:val="es-CR"/>
        </w:rPr>
        <w:t xml:space="preserve">a Corte ha </w:t>
      </w:r>
      <w:r w:rsidRPr="00404C7B">
        <w:rPr>
          <w:snapToGrid w:val="0"/>
          <w:spacing w:val="-2"/>
          <w:szCs w:val="20"/>
          <w:lang w:eastAsia="es-ES"/>
        </w:rPr>
        <w:t>señalado</w:t>
      </w:r>
      <w:r w:rsidRPr="0043341E">
        <w:rPr>
          <w:rFonts w:cs="Arial"/>
          <w:szCs w:val="20"/>
          <w:lang w:val="es-CR"/>
        </w:rPr>
        <w:t xml:space="preserve"> de manera consistente que el deber de investigar es una obligación de medios y no de resultados, que debe ser asumida por el Estado como un deber jurídico </w:t>
      </w:r>
      <w:r w:rsidRPr="0043341E">
        <w:rPr>
          <w:szCs w:val="20"/>
          <w:lang w:val="es-CR"/>
        </w:rPr>
        <w:t>propio</w:t>
      </w:r>
      <w:r w:rsidRPr="0043341E">
        <w:rPr>
          <w:rFonts w:cs="Arial"/>
          <w:szCs w:val="20"/>
          <w:lang w:val="es-CR"/>
        </w:rPr>
        <w:t xml:space="preserve"> y no </w:t>
      </w:r>
      <w:r w:rsidRPr="0043341E">
        <w:rPr>
          <w:szCs w:val="20"/>
          <w:lang w:val="es-CR"/>
        </w:rPr>
        <w:t>como</w:t>
      </w:r>
      <w:r w:rsidRPr="0043341E">
        <w:rPr>
          <w:rFonts w:cs="Arial"/>
          <w:szCs w:val="20"/>
          <w:lang w:val="es-CR"/>
        </w:rPr>
        <w:t xml:space="preserve"> una simple formalidad condenada de antemano a ser infructuosa, o como una mera gestión de </w:t>
      </w:r>
      <w:r w:rsidRPr="009224F7">
        <w:rPr>
          <w:snapToGrid w:val="0"/>
          <w:spacing w:val="-2"/>
          <w:szCs w:val="20"/>
          <w:lang w:eastAsia="es-ES"/>
        </w:rPr>
        <w:t>intereses</w:t>
      </w:r>
      <w:r w:rsidRPr="0043341E">
        <w:rPr>
          <w:rFonts w:cs="Arial"/>
          <w:szCs w:val="20"/>
          <w:lang w:val="es-CR"/>
        </w:rPr>
        <w:t xml:space="preserve"> particulares</w:t>
      </w:r>
      <w:r w:rsidRPr="0043341E">
        <w:rPr>
          <w:szCs w:val="20"/>
          <w:lang w:val="es-CR"/>
        </w:rPr>
        <w:t xml:space="preserve">, que </w:t>
      </w:r>
      <w:r w:rsidRPr="0043341E">
        <w:rPr>
          <w:rFonts w:cs="Arial"/>
          <w:szCs w:val="20"/>
          <w:lang w:val="es-CR"/>
        </w:rPr>
        <w:t>dependa</w:t>
      </w:r>
      <w:r w:rsidRPr="0043341E">
        <w:rPr>
          <w:szCs w:val="20"/>
          <w:lang w:val="es-CR"/>
        </w:rPr>
        <w:t xml:space="preserve"> de la iniciativa procesal de las víctimas o de sus familiares o de la aportación privada de elementos probatorios</w:t>
      </w:r>
      <w:r w:rsidRPr="0043341E">
        <w:rPr>
          <w:szCs w:val="20"/>
          <w:vertAlign w:val="superscript"/>
          <w:lang w:val="es-CR"/>
        </w:rPr>
        <w:footnoteReference w:id="78"/>
      </w:r>
      <w:r w:rsidRPr="0043341E">
        <w:rPr>
          <w:rFonts w:cs="Arial"/>
          <w:szCs w:val="20"/>
          <w:lang w:val="es-CR"/>
        </w:rPr>
        <w:t xml:space="preserve">. Asimismo, </w:t>
      </w:r>
      <w:r w:rsidRPr="0043341E">
        <w:rPr>
          <w:szCs w:val="20"/>
          <w:lang w:val="es-CR"/>
        </w:rPr>
        <w:t>la debida diligencia exige que el órgano que investiga lleve a cabo todas aquellas actuaciones y averiguaciones necesarias para procurar el resultado que se persigue</w:t>
      </w:r>
      <w:r w:rsidRPr="0043341E">
        <w:rPr>
          <w:szCs w:val="20"/>
          <w:vertAlign w:val="superscript"/>
          <w:lang w:val="es-CR"/>
        </w:rPr>
        <w:footnoteReference w:id="79"/>
      </w:r>
      <w:r w:rsidRPr="0043341E">
        <w:rPr>
          <w:szCs w:val="20"/>
          <w:lang w:val="es-CR"/>
        </w:rPr>
        <w:t>.</w:t>
      </w:r>
      <w:r w:rsidRPr="000976B7">
        <w:rPr>
          <w:snapToGrid w:val="0"/>
          <w:spacing w:val="-2"/>
          <w:szCs w:val="20"/>
          <w:lang w:eastAsia="es-ES"/>
        </w:rPr>
        <w:t xml:space="preserve"> </w:t>
      </w:r>
    </w:p>
    <w:p w14:paraId="46C8FE32" w14:textId="268C72B6" w:rsidR="00B07EFB" w:rsidRDefault="00B41A44" w:rsidP="00404C7B">
      <w:pPr>
        <w:pStyle w:val="Prrafodelista"/>
        <w:numPr>
          <w:ilvl w:val="0"/>
          <w:numId w:val="2"/>
        </w:numPr>
        <w:tabs>
          <w:tab w:val="left" w:pos="630"/>
        </w:tabs>
        <w:spacing w:before="120" w:after="120"/>
        <w:ind w:left="0" w:firstLine="0"/>
        <w:contextualSpacing w:val="0"/>
        <w:rPr>
          <w:snapToGrid w:val="0"/>
          <w:spacing w:val="-2"/>
          <w:szCs w:val="20"/>
          <w:lang w:eastAsia="es-ES"/>
        </w:rPr>
      </w:pPr>
      <w:r>
        <w:rPr>
          <w:snapToGrid w:val="0"/>
          <w:spacing w:val="-2"/>
          <w:szCs w:val="20"/>
          <w:lang w:eastAsia="es-ES"/>
        </w:rPr>
        <w:t>Además, l</w:t>
      </w:r>
      <w:r w:rsidR="004139CC" w:rsidRPr="00B07EFB">
        <w:rPr>
          <w:snapToGrid w:val="0"/>
          <w:spacing w:val="-2"/>
          <w:szCs w:val="20"/>
          <w:lang w:eastAsia="es-ES"/>
        </w:rPr>
        <w:t xml:space="preserve">a Corte ha señalado de forma constante </w:t>
      </w:r>
      <w:r w:rsidR="009224F7" w:rsidRPr="00B07EFB">
        <w:rPr>
          <w:snapToGrid w:val="0"/>
          <w:spacing w:val="-2"/>
          <w:szCs w:val="20"/>
          <w:lang w:eastAsia="es-ES"/>
        </w:rPr>
        <w:t>que</w:t>
      </w:r>
      <w:r w:rsidR="00353C75">
        <w:rPr>
          <w:snapToGrid w:val="0"/>
          <w:spacing w:val="-2"/>
          <w:szCs w:val="20"/>
          <w:lang w:eastAsia="es-ES"/>
        </w:rPr>
        <w:t>,</w:t>
      </w:r>
      <w:r w:rsidR="009224F7" w:rsidRPr="00B07EFB">
        <w:rPr>
          <w:snapToGrid w:val="0"/>
          <w:spacing w:val="-2"/>
          <w:szCs w:val="20"/>
          <w:lang w:eastAsia="es-ES"/>
        </w:rPr>
        <w:t xml:space="preserve"> en el marco de la investigación</w:t>
      </w:r>
      <w:r w:rsidR="00353C75">
        <w:rPr>
          <w:snapToGrid w:val="0"/>
          <w:spacing w:val="-2"/>
          <w:szCs w:val="20"/>
          <w:lang w:eastAsia="es-ES"/>
        </w:rPr>
        <w:t>,</w:t>
      </w:r>
      <w:r w:rsidR="009224F7" w:rsidRPr="00B07EFB">
        <w:rPr>
          <w:snapToGrid w:val="0"/>
          <w:spacing w:val="-2"/>
          <w:szCs w:val="20"/>
          <w:lang w:eastAsia="es-ES"/>
        </w:rPr>
        <w:t xml:space="preserve"> </w:t>
      </w:r>
      <w:r w:rsidR="004139CC" w:rsidRPr="00B07EFB">
        <w:rPr>
          <w:snapToGrid w:val="0"/>
          <w:spacing w:val="-2"/>
          <w:szCs w:val="20"/>
          <w:lang w:eastAsia="es-ES"/>
        </w:rPr>
        <w:t>es crucial la importancia que tienen las primeras etapas de la investigación y el impacto negativo que las omisiones e irregularidades en tales etapas puede tener en las perspectivas reales y efectivas de esclarecer el hecho</w:t>
      </w:r>
      <w:r w:rsidR="00DD7A77">
        <w:rPr>
          <w:rStyle w:val="Refdenotaalpie"/>
          <w:snapToGrid w:val="0"/>
          <w:spacing w:val="-2"/>
          <w:lang w:eastAsia="es-ES"/>
        </w:rPr>
        <w:footnoteReference w:id="80"/>
      </w:r>
      <w:r w:rsidR="00DD7A77" w:rsidRPr="00B07EFB">
        <w:rPr>
          <w:snapToGrid w:val="0"/>
          <w:spacing w:val="-2"/>
          <w:szCs w:val="20"/>
          <w:lang w:eastAsia="es-ES"/>
        </w:rPr>
        <w:t>.</w:t>
      </w:r>
      <w:r w:rsidR="009224F7" w:rsidRPr="00B07EFB">
        <w:rPr>
          <w:snapToGrid w:val="0"/>
          <w:spacing w:val="-2"/>
          <w:szCs w:val="20"/>
          <w:lang w:eastAsia="es-ES"/>
        </w:rPr>
        <w:t xml:space="preserve"> </w:t>
      </w:r>
      <w:r w:rsidR="00CA6242">
        <w:rPr>
          <w:snapToGrid w:val="0"/>
          <w:spacing w:val="-2"/>
          <w:szCs w:val="20"/>
          <w:lang w:eastAsia="es-ES"/>
        </w:rPr>
        <w:t>En ese sentido, e</w:t>
      </w:r>
      <w:r w:rsidR="00DD7A77" w:rsidRPr="00B07EFB">
        <w:rPr>
          <w:snapToGrid w:val="0"/>
          <w:spacing w:val="-2"/>
          <w:szCs w:val="20"/>
          <w:lang w:eastAsia="es-ES"/>
        </w:rPr>
        <w:t>n aras de garantizar la efectividad de la investigación se debe evitar omisiones en la recaudación de prueba y en el seguimiento de líneas lógicas de investigación</w:t>
      </w:r>
      <w:r w:rsidR="00F41B38">
        <w:rPr>
          <w:rStyle w:val="Refdenotaalpie"/>
          <w:snapToGrid w:val="0"/>
          <w:spacing w:val="-2"/>
          <w:lang w:eastAsia="es-ES"/>
        </w:rPr>
        <w:footnoteReference w:id="81"/>
      </w:r>
      <w:r w:rsidR="00F41B38" w:rsidRPr="00B07EFB">
        <w:rPr>
          <w:snapToGrid w:val="0"/>
          <w:spacing w:val="-2"/>
          <w:szCs w:val="20"/>
          <w:lang w:eastAsia="es-ES"/>
        </w:rPr>
        <w:t xml:space="preserve">. </w:t>
      </w:r>
    </w:p>
    <w:p w14:paraId="316A9405" w14:textId="01AC95D3" w:rsidR="00CF559B" w:rsidRDefault="00CF559B" w:rsidP="00404C7B">
      <w:pPr>
        <w:pStyle w:val="Prrafodelista"/>
        <w:numPr>
          <w:ilvl w:val="0"/>
          <w:numId w:val="2"/>
        </w:numPr>
        <w:tabs>
          <w:tab w:val="left" w:pos="630"/>
        </w:tabs>
        <w:spacing w:before="120" w:after="120"/>
        <w:ind w:left="0" w:firstLine="0"/>
        <w:contextualSpacing w:val="0"/>
        <w:rPr>
          <w:rFonts w:cs="Verdana"/>
          <w:bCs/>
          <w:szCs w:val="20"/>
        </w:rPr>
      </w:pPr>
      <w:r>
        <w:rPr>
          <w:rFonts w:cs="Verdana"/>
          <w:bCs/>
          <w:szCs w:val="20"/>
        </w:rPr>
        <w:t>Asimismo, l</w:t>
      </w:r>
      <w:r w:rsidRPr="00B369F1">
        <w:rPr>
          <w:rFonts w:cs="Verdana"/>
          <w:bCs/>
          <w:szCs w:val="20"/>
        </w:rPr>
        <w:t xml:space="preserve">a Corte ha considerado en su jurisprudencia constante que una demora prolongada en el proceso puede llegar a constituir, por sí misma, una </w:t>
      </w:r>
      <w:r w:rsidRPr="00404C7B">
        <w:rPr>
          <w:snapToGrid w:val="0"/>
          <w:spacing w:val="-2"/>
          <w:szCs w:val="20"/>
          <w:lang w:eastAsia="es-ES"/>
        </w:rPr>
        <w:t>violación</w:t>
      </w:r>
      <w:r w:rsidRPr="00B369F1">
        <w:rPr>
          <w:rFonts w:cs="Verdana"/>
          <w:bCs/>
          <w:szCs w:val="20"/>
        </w:rPr>
        <w:t xml:space="preserve"> a las garantías judiciales</w:t>
      </w:r>
      <w:r>
        <w:rPr>
          <w:rStyle w:val="Refdenotaalpie"/>
          <w:bCs/>
        </w:rPr>
        <w:footnoteReference w:id="82"/>
      </w:r>
      <w:r>
        <w:rPr>
          <w:rFonts w:cs="Verdana"/>
          <w:bCs/>
          <w:szCs w:val="20"/>
        </w:rPr>
        <w:t xml:space="preserve">. </w:t>
      </w:r>
      <w:r w:rsidRPr="00B369F1">
        <w:rPr>
          <w:rFonts w:cs="Verdana"/>
          <w:bCs/>
          <w:szCs w:val="20"/>
        </w:rPr>
        <w:t>El Tribunal ha establecido que la evaluación del plazo razonable se debe analizar en cada caso concreto, en</w:t>
      </w:r>
      <w:r>
        <w:rPr>
          <w:rFonts w:cs="Verdana"/>
          <w:bCs/>
          <w:szCs w:val="20"/>
        </w:rPr>
        <w:t xml:space="preserve"> </w:t>
      </w:r>
      <w:r w:rsidRPr="00B369F1">
        <w:rPr>
          <w:rFonts w:cs="Verdana"/>
          <w:bCs/>
          <w:szCs w:val="20"/>
        </w:rPr>
        <w:t>relación con la duración total del proceso, lo cual podría también incluir la ejecución de la sentencia definitiva. De esta manera, ha considerado cuatro elementos para analizar si se cumplió con la garantía del plazo razonable, a saber: (i) la complejidad del asunto</w:t>
      </w:r>
      <w:r>
        <w:rPr>
          <w:rStyle w:val="Refdenotaalpie"/>
          <w:bCs/>
        </w:rPr>
        <w:footnoteReference w:id="83"/>
      </w:r>
      <w:r w:rsidRPr="00B369F1">
        <w:rPr>
          <w:rFonts w:cs="Verdana"/>
          <w:bCs/>
          <w:szCs w:val="20"/>
        </w:rPr>
        <w:t>, (ii) la actividad procesal del interesado</w:t>
      </w:r>
      <w:r>
        <w:rPr>
          <w:rStyle w:val="Refdenotaalpie"/>
          <w:bCs/>
        </w:rPr>
        <w:footnoteReference w:id="84"/>
      </w:r>
      <w:r w:rsidRPr="00B369F1">
        <w:rPr>
          <w:rFonts w:cs="Verdana"/>
          <w:bCs/>
          <w:szCs w:val="20"/>
        </w:rPr>
        <w:t xml:space="preserve">, </w:t>
      </w:r>
      <w:r w:rsidRPr="00B369F1">
        <w:rPr>
          <w:rFonts w:cs="Verdana"/>
          <w:bCs/>
          <w:szCs w:val="20"/>
        </w:rPr>
        <w:lastRenderedPageBreak/>
        <w:t>(iii) la conducta de las autoridades judiciales</w:t>
      </w:r>
      <w:r>
        <w:rPr>
          <w:rStyle w:val="Refdenotaalpie"/>
          <w:bCs/>
        </w:rPr>
        <w:footnoteReference w:id="85"/>
      </w:r>
      <w:r w:rsidRPr="00B369F1">
        <w:rPr>
          <w:rFonts w:cs="Verdana"/>
          <w:bCs/>
          <w:szCs w:val="20"/>
        </w:rPr>
        <w:t>, y (iv) la afectación generada en la situación jurídica de la presunta víctima</w:t>
      </w:r>
      <w:r>
        <w:rPr>
          <w:rStyle w:val="Refdenotaalpie"/>
          <w:bCs/>
        </w:rPr>
        <w:footnoteReference w:id="86"/>
      </w:r>
      <w:r w:rsidRPr="00B369F1">
        <w:rPr>
          <w:rFonts w:cs="Verdana"/>
          <w:bCs/>
          <w:szCs w:val="20"/>
        </w:rPr>
        <w:t>. La Corte recuerda que corresponde al Estado justificar, con fundamento en los criterios señalados, la razón por la cual ha requerido del tiempo transcurrido para tratar los casos y, en la eventualidad de que éste no lo demuestre, la Corte tiene amplias atribuciones para hacer su propia estimación al respecto</w:t>
      </w:r>
      <w:r>
        <w:rPr>
          <w:rStyle w:val="Refdenotaalpie"/>
          <w:bCs/>
        </w:rPr>
        <w:footnoteReference w:id="87"/>
      </w:r>
      <w:r>
        <w:rPr>
          <w:rFonts w:cs="Verdana"/>
          <w:bCs/>
          <w:szCs w:val="20"/>
        </w:rPr>
        <w:t xml:space="preserve">. </w:t>
      </w:r>
      <w:r w:rsidRPr="00B75EB2">
        <w:rPr>
          <w:rFonts w:cs="Verdana"/>
          <w:bCs/>
          <w:szCs w:val="20"/>
        </w:rPr>
        <w:t>La Corte</w:t>
      </w:r>
      <w:r w:rsidR="00B41EBA">
        <w:rPr>
          <w:rFonts w:cs="Verdana"/>
          <w:bCs/>
          <w:szCs w:val="20"/>
        </w:rPr>
        <w:t>,</w:t>
      </w:r>
      <w:r w:rsidRPr="00B75EB2">
        <w:rPr>
          <w:rFonts w:cs="Verdana"/>
          <w:bCs/>
          <w:szCs w:val="20"/>
        </w:rPr>
        <w:t xml:space="preserve"> además</w:t>
      </w:r>
      <w:r w:rsidR="00B41EBA">
        <w:rPr>
          <w:rFonts w:cs="Verdana"/>
          <w:bCs/>
          <w:szCs w:val="20"/>
        </w:rPr>
        <w:t>,</w:t>
      </w:r>
      <w:r w:rsidRPr="00B75EB2">
        <w:rPr>
          <w:rFonts w:cs="Verdana"/>
          <w:bCs/>
          <w:szCs w:val="20"/>
        </w:rPr>
        <w:t xml:space="preserve"> reitera que se debe apreciar la duración total del proceso, desde el primer acto procesal hasta que se dicte sentencia definitiva, incluyendo los recursos de instancia que pudieran eventualmente presentarse</w:t>
      </w:r>
      <w:r>
        <w:rPr>
          <w:rStyle w:val="Refdenotaalpie"/>
          <w:bCs/>
        </w:rPr>
        <w:footnoteReference w:id="88"/>
      </w:r>
      <w:r>
        <w:rPr>
          <w:rFonts w:cs="Verdana"/>
          <w:bCs/>
          <w:szCs w:val="20"/>
        </w:rPr>
        <w:t>.</w:t>
      </w:r>
    </w:p>
    <w:p w14:paraId="08228078" w14:textId="54FC70BB" w:rsidR="00CF559B" w:rsidRPr="001D6DA0" w:rsidRDefault="00A65A9C" w:rsidP="00404C7B">
      <w:pPr>
        <w:pStyle w:val="Prrafodelista"/>
        <w:numPr>
          <w:ilvl w:val="0"/>
          <w:numId w:val="2"/>
        </w:numPr>
        <w:tabs>
          <w:tab w:val="left" w:pos="630"/>
        </w:tabs>
        <w:spacing w:before="120" w:after="120"/>
        <w:ind w:left="0" w:firstLine="0"/>
        <w:contextualSpacing w:val="0"/>
        <w:rPr>
          <w:snapToGrid w:val="0"/>
          <w:spacing w:val="-2"/>
          <w:szCs w:val="20"/>
          <w:lang w:eastAsia="es-ES"/>
        </w:rPr>
      </w:pPr>
      <w:r w:rsidRPr="001D6DA0">
        <w:rPr>
          <w:snapToGrid w:val="0"/>
          <w:spacing w:val="-2"/>
          <w:szCs w:val="20"/>
          <w:lang w:eastAsia="es-ES"/>
        </w:rPr>
        <w:t>En el presente caso</w:t>
      </w:r>
      <w:r w:rsidR="00B41EBA">
        <w:rPr>
          <w:snapToGrid w:val="0"/>
          <w:spacing w:val="-2"/>
          <w:szCs w:val="20"/>
          <w:lang w:eastAsia="es-ES"/>
        </w:rPr>
        <w:t>,</w:t>
      </w:r>
      <w:r w:rsidRPr="001D6DA0">
        <w:rPr>
          <w:snapToGrid w:val="0"/>
          <w:spacing w:val="-2"/>
          <w:szCs w:val="20"/>
          <w:lang w:eastAsia="es-ES"/>
        </w:rPr>
        <w:t xml:space="preserve"> el Estado reconoció que hasta el momento no había logrado esclarecer las circunstancias que rodearon la muerte de Vicente Noguera </w:t>
      </w:r>
      <w:r w:rsidR="00CF559B" w:rsidRPr="00CF559B">
        <w:rPr>
          <w:snapToGrid w:val="0"/>
          <w:spacing w:val="-2"/>
          <w:szCs w:val="20"/>
          <w:lang w:eastAsia="es-ES"/>
        </w:rPr>
        <w:t xml:space="preserve">y que las investigaciones que fueron desarrolladas para tales fines fueron insuficientes </w:t>
      </w:r>
      <w:r w:rsidRPr="00CF559B">
        <w:rPr>
          <w:snapToGrid w:val="0"/>
          <w:spacing w:val="-2"/>
          <w:szCs w:val="20"/>
          <w:lang w:eastAsia="es-ES"/>
        </w:rPr>
        <w:t>(</w:t>
      </w:r>
      <w:r w:rsidRPr="00CF559B">
        <w:rPr>
          <w:i/>
          <w:snapToGrid w:val="0"/>
          <w:spacing w:val="-2"/>
          <w:szCs w:val="20"/>
          <w:lang w:eastAsia="es-ES"/>
        </w:rPr>
        <w:t>supra</w:t>
      </w:r>
      <w:r w:rsidRPr="00CF559B">
        <w:rPr>
          <w:snapToGrid w:val="0"/>
          <w:spacing w:val="-2"/>
          <w:szCs w:val="20"/>
          <w:lang w:eastAsia="es-ES"/>
        </w:rPr>
        <w:t xml:space="preserve"> párr. </w:t>
      </w:r>
      <w:r w:rsidR="00196C2E">
        <w:rPr>
          <w:snapToGrid w:val="0"/>
          <w:spacing w:val="-2"/>
          <w:szCs w:val="20"/>
          <w:lang w:eastAsia="es-ES"/>
        </w:rPr>
        <w:t>77</w:t>
      </w:r>
      <w:r w:rsidR="00196C2E" w:rsidRPr="00CF559B">
        <w:rPr>
          <w:snapToGrid w:val="0"/>
          <w:spacing w:val="-2"/>
          <w:szCs w:val="20"/>
          <w:lang w:eastAsia="es-ES"/>
        </w:rPr>
        <w:t xml:space="preserve">). </w:t>
      </w:r>
      <w:r w:rsidR="00CF559B" w:rsidRPr="00CF559B">
        <w:rPr>
          <w:snapToGrid w:val="0"/>
          <w:spacing w:val="-2"/>
          <w:szCs w:val="20"/>
          <w:lang w:eastAsia="es-ES"/>
        </w:rPr>
        <w:t>Esa falta de aclaración de los hechos del caso se ha prolongado por más de 23 años desde la ocurrencia de la muerte de Vicente Noguera. Del mismo modo, la Corte encuentra que los hechos del caso no revisten una complejidad que puedan justificar una dilación semejante</w:t>
      </w:r>
      <w:r w:rsidR="00D0374D">
        <w:rPr>
          <w:snapToGrid w:val="0"/>
          <w:spacing w:val="-2"/>
          <w:szCs w:val="20"/>
          <w:lang w:eastAsia="es-ES"/>
        </w:rPr>
        <w:t>.</w:t>
      </w:r>
      <w:r w:rsidR="00CF559B" w:rsidRPr="001D6DA0">
        <w:rPr>
          <w:snapToGrid w:val="0"/>
          <w:spacing w:val="-2"/>
          <w:szCs w:val="20"/>
          <w:lang w:eastAsia="es-ES"/>
        </w:rPr>
        <w:t xml:space="preserve"> A su vez, la actividad procesal de los familiares de Vicente Noguera corresponde con lo que era razonablemente exigible. </w:t>
      </w:r>
      <w:r w:rsidR="00196C2E">
        <w:rPr>
          <w:snapToGrid w:val="0"/>
          <w:spacing w:val="-2"/>
          <w:szCs w:val="20"/>
          <w:lang w:eastAsia="es-ES"/>
        </w:rPr>
        <w:t>Por otra parte</w:t>
      </w:r>
      <w:r w:rsidR="00CF559B" w:rsidRPr="001D6DA0">
        <w:rPr>
          <w:snapToGrid w:val="0"/>
          <w:spacing w:val="-2"/>
          <w:szCs w:val="20"/>
          <w:lang w:eastAsia="es-ES"/>
        </w:rPr>
        <w:t xml:space="preserve">, el procedimiento contó con distintos </w:t>
      </w:r>
      <w:r w:rsidR="00353C75">
        <w:rPr>
          <w:snapToGrid w:val="0"/>
          <w:spacing w:val="-2"/>
          <w:szCs w:val="20"/>
          <w:lang w:eastAsia="es-ES"/>
        </w:rPr>
        <w:t xml:space="preserve">períodos </w:t>
      </w:r>
      <w:r w:rsidR="00CF559B" w:rsidRPr="001D6DA0">
        <w:rPr>
          <w:snapToGrid w:val="0"/>
          <w:spacing w:val="-2"/>
          <w:szCs w:val="20"/>
          <w:lang w:eastAsia="es-ES"/>
        </w:rPr>
        <w:t>de inactividad o de dilaciones que no resultan</w:t>
      </w:r>
      <w:r w:rsidR="00CF559B" w:rsidRPr="00CF559B">
        <w:rPr>
          <w:snapToGrid w:val="0"/>
          <w:spacing w:val="-2"/>
          <w:szCs w:val="20"/>
          <w:lang w:eastAsia="es-ES"/>
        </w:rPr>
        <w:t xml:space="preserve"> razonables (i. antes del archivo del caso en el año 2002, hubo un conflicto de competencia que tardó cerca de dos años y medio </w:t>
      </w:r>
      <w:r w:rsidR="00196C2E">
        <w:rPr>
          <w:snapToGrid w:val="0"/>
          <w:spacing w:val="-2"/>
          <w:szCs w:val="20"/>
          <w:lang w:eastAsia="es-ES"/>
        </w:rPr>
        <w:t>en resolverse</w:t>
      </w:r>
      <w:r w:rsidR="00196C2E" w:rsidRPr="00CF559B">
        <w:rPr>
          <w:snapToGrid w:val="0"/>
          <w:spacing w:val="-2"/>
          <w:szCs w:val="20"/>
          <w:lang w:eastAsia="es-ES"/>
        </w:rPr>
        <w:t xml:space="preserve"> </w:t>
      </w:r>
      <w:r w:rsidR="00CF559B" w:rsidRPr="00CF559B">
        <w:rPr>
          <w:snapToGrid w:val="0"/>
          <w:spacing w:val="-2"/>
          <w:szCs w:val="20"/>
          <w:lang w:eastAsia="es-ES"/>
        </w:rPr>
        <w:t>– entre septiembre de 1996 y febrero de 1999 -, ii. el caso estuvo archiv</w:t>
      </w:r>
      <w:r w:rsidR="00196C2E">
        <w:rPr>
          <w:snapToGrid w:val="0"/>
          <w:spacing w:val="-2"/>
          <w:szCs w:val="20"/>
          <w:lang w:eastAsia="es-ES"/>
        </w:rPr>
        <w:t>ado</w:t>
      </w:r>
      <w:r w:rsidR="00CF559B" w:rsidRPr="00CF559B">
        <w:rPr>
          <w:snapToGrid w:val="0"/>
          <w:spacing w:val="-2"/>
          <w:szCs w:val="20"/>
          <w:lang w:eastAsia="es-ES"/>
        </w:rPr>
        <w:t xml:space="preserve"> cerca de 10 años antes de ser reabierto en el año 2012 para luego ser archivado nuevamente en el año 2014, y iii. en 2018 se abrió un procedimiento de apertura de la causa por presuntos hechos de tortura que aún sigue en curso</w:t>
      </w:r>
      <w:r w:rsidR="00196C2E">
        <w:rPr>
          <w:snapToGrid w:val="0"/>
          <w:spacing w:val="-2"/>
          <w:szCs w:val="20"/>
          <w:lang w:eastAsia="es-ES"/>
        </w:rPr>
        <w:t>)</w:t>
      </w:r>
      <w:r w:rsidR="00CF559B" w:rsidRPr="00CF559B">
        <w:rPr>
          <w:snapToGrid w:val="0"/>
          <w:spacing w:val="-2"/>
          <w:szCs w:val="20"/>
          <w:lang w:eastAsia="es-ES"/>
        </w:rPr>
        <w:t>.</w:t>
      </w:r>
      <w:r w:rsidR="00793FF5">
        <w:rPr>
          <w:snapToGrid w:val="0"/>
          <w:spacing w:val="-2"/>
          <w:szCs w:val="20"/>
          <w:lang w:eastAsia="es-ES"/>
        </w:rPr>
        <w:t xml:space="preserve"> </w:t>
      </w:r>
      <w:r w:rsidR="00CF559B" w:rsidRPr="001D6DA0">
        <w:rPr>
          <w:snapToGrid w:val="0"/>
          <w:spacing w:val="-2"/>
          <w:szCs w:val="20"/>
          <w:lang w:eastAsia="es-ES"/>
        </w:rPr>
        <w:t>En lo concerniente a la afectación generada por la duración del procedimiento en la situación jurídica de las personas involucradas, la Corte considera que no cuenta con elementos suficientes para pronunciarse respecto a este último criterio.</w:t>
      </w:r>
    </w:p>
    <w:p w14:paraId="50FFFBDA" w14:textId="4D0ED69F" w:rsidR="00FF322E" w:rsidRPr="00CF559B" w:rsidRDefault="00B41EBA" w:rsidP="00B41EBA">
      <w:pPr>
        <w:pStyle w:val="Prrafodelista"/>
        <w:numPr>
          <w:ilvl w:val="0"/>
          <w:numId w:val="2"/>
        </w:numPr>
        <w:tabs>
          <w:tab w:val="left" w:pos="630"/>
        </w:tabs>
        <w:spacing w:before="120" w:after="120"/>
        <w:ind w:left="0" w:firstLine="0"/>
        <w:contextualSpacing w:val="0"/>
        <w:rPr>
          <w:snapToGrid w:val="0"/>
          <w:spacing w:val="-2"/>
          <w:szCs w:val="20"/>
          <w:lang w:eastAsia="es-ES"/>
        </w:rPr>
      </w:pPr>
      <w:r w:rsidRPr="00B41EBA">
        <w:rPr>
          <w:snapToGrid w:val="0"/>
          <w:spacing w:val="-2"/>
          <w:szCs w:val="20"/>
          <w:lang w:eastAsia="es-ES"/>
        </w:rPr>
        <w:t>Por lo anteriormente señalado, el Tribunal concluye que el Estado es responsable por una vulneración la violación al principio del plazo razonable y a la debida diligencia en la investigación (artículos 8.1 y 25 de la Convención Americana)  por la muerte de Vicente Noguera, establecidos en los artículos 8.1 y 25 de la Convención Americana, en perjuicio de su madre, María Noguera</w:t>
      </w:r>
      <w:r w:rsidR="00FF322E" w:rsidRPr="00CF559B">
        <w:rPr>
          <w:snapToGrid w:val="0"/>
          <w:spacing w:val="-2"/>
          <w:szCs w:val="20"/>
          <w:lang w:eastAsia="es-ES"/>
        </w:rPr>
        <w:t>.</w:t>
      </w:r>
    </w:p>
    <w:p w14:paraId="37AF371E" w14:textId="035152A9" w:rsidR="0014686D" w:rsidRPr="0014686D" w:rsidRDefault="0014686D" w:rsidP="0014686D">
      <w:pPr>
        <w:pStyle w:val="Ttulo3"/>
        <w:spacing w:before="240" w:after="240"/>
        <w:ind w:left="1066"/>
        <w:rPr>
          <w:b w:val="0"/>
          <w:snapToGrid w:val="0"/>
          <w:spacing w:val="-2"/>
          <w:szCs w:val="20"/>
          <w:lang w:eastAsia="es-ES"/>
        </w:rPr>
      </w:pPr>
      <w:bookmarkStart w:id="102" w:name="_Toc36132115"/>
      <w:r w:rsidRPr="0014686D">
        <w:rPr>
          <w:b w:val="0"/>
          <w:snapToGrid w:val="0"/>
          <w:spacing w:val="-2"/>
          <w:szCs w:val="20"/>
          <w:lang w:eastAsia="es-ES"/>
        </w:rPr>
        <w:lastRenderedPageBreak/>
        <w:t>B.2. Sobre el principio del juez natural</w:t>
      </w:r>
      <w:bookmarkEnd w:id="102"/>
    </w:p>
    <w:p w14:paraId="193E08A9" w14:textId="0783C7BA" w:rsidR="00CF559B" w:rsidRDefault="00CF559B" w:rsidP="00404C7B">
      <w:pPr>
        <w:pStyle w:val="Prrafodelista"/>
        <w:numPr>
          <w:ilvl w:val="0"/>
          <w:numId w:val="2"/>
        </w:numPr>
        <w:tabs>
          <w:tab w:val="left" w:pos="630"/>
        </w:tabs>
        <w:spacing w:before="120" w:after="120"/>
        <w:ind w:left="0" w:firstLine="0"/>
        <w:contextualSpacing w:val="0"/>
        <w:rPr>
          <w:snapToGrid w:val="0"/>
          <w:spacing w:val="-2"/>
          <w:szCs w:val="20"/>
          <w:lang w:eastAsia="es-ES"/>
        </w:rPr>
      </w:pPr>
      <w:r>
        <w:rPr>
          <w:snapToGrid w:val="0"/>
          <w:spacing w:val="-2"/>
          <w:szCs w:val="20"/>
          <w:lang w:eastAsia="es-ES"/>
        </w:rPr>
        <w:t xml:space="preserve">En lo que respecta el principio del juez natural, </w:t>
      </w:r>
      <w:r w:rsidR="0034232A">
        <w:rPr>
          <w:snapToGrid w:val="0"/>
          <w:spacing w:val="-2"/>
          <w:szCs w:val="20"/>
          <w:lang w:eastAsia="es-ES"/>
        </w:rPr>
        <w:t xml:space="preserve">el Tribunal </w:t>
      </w:r>
      <w:r>
        <w:rPr>
          <w:snapToGrid w:val="0"/>
          <w:spacing w:val="-2"/>
          <w:szCs w:val="20"/>
          <w:lang w:eastAsia="es-ES"/>
        </w:rPr>
        <w:t>constata en primer término que la investigación sumaria por los hechos del caso fue iniciada en el ámbito de la jurisdicción militar. En el marco de esa investigación, se efectuaron diversas diligencias de investigación, en particular pruebas forenses (autopsias, y exámenes de muestras de tejidos pulmonares), en establecimientos privados, dentro y fuera del país, con la participación de un médico designado por la familia del difunto. En esa investigación se concluyó que Vicente Noguera murió por causa de una infección (</w:t>
      </w:r>
      <w:r w:rsidR="00196C2E" w:rsidRPr="00404C7B">
        <w:rPr>
          <w:i/>
          <w:snapToGrid w:val="0"/>
          <w:spacing w:val="-2"/>
          <w:szCs w:val="20"/>
          <w:lang w:eastAsia="es-ES"/>
        </w:rPr>
        <w:t>supra</w:t>
      </w:r>
      <w:r w:rsidR="00196C2E">
        <w:rPr>
          <w:snapToGrid w:val="0"/>
          <w:spacing w:val="-2"/>
          <w:szCs w:val="20"/>
          <w:lang w:eastAsia="es-ES"/>
        </w:rPr>
        <w:t xml:space="preserve"> </w:t>
      </w:r>
      <w:r w:rsidR="00196C2E" w:rsidRPr="00404C7B">
        <w:rPr>
          <w:snapToGrid w:val="0"/>
          <w:spacing w:val="-2"/>
          <w:szCs w:val="20"/>
          <w:lang w:eastAsia="es-ES"/>
        </w:rPr>
        <w:t>Capítulo</w:t>
      </w:r>
      <w:r w:rsidR="00196C2E">
        <w:rPr>
          <w:snapToGrid w:val="0"/>
          <w:spacing w:val="-2"/>
          <w:szCs w:val="20"/>
          <w:lang w:eastAsia="es-ES"/>
        </w:rPr>
        <w:t xml:space="preserve"> VII.C.1</w:t>
      </w:r>
      <w:r>
        <w:rPr>
          <w:snapToGrid w:val="0"/>
          <w:spacing w:val="-2"/>
          <w:szCs w:val="20"/>
          <w:lang w:eastAsia="es-ES"/>
        </w:rPr>
        <w:t xml:space="preserve">). En un segundo momento, la investigación fue abierta ante la jurisdicción ordinaria una vez </w:t>
      </w:r>
      <w:r w:rsidR="00B41EBA">
        <w:rPr>
          <w:snapToGrid w:val="0"/>
          <w:spacing w:val="-2"/>
          <w:szCs w:val="20"/>
          <w:lang w:eastAsia="es-ES"/>
        </w:rPr>
        <w:t xml:space="preserve">que </w:t>
      </w:r>
      <w:r>
        <w:rPr>
          <w:snapToGrid w:val="0"/>
          <w:spacing w:val="-2"/>
          <w:szCs w:val="20"/>
          <w:lang w:eastAsia="es-ES"/>
        </w:rPr>
        <w:t>fue presentada una querella criminal por homicidio por parte de la madre de Vicente Noguera (</w:t>
      </w:r>
      <w:r w:rsidRPr="0076623E">
        <w:rPr>
          <w:i/>
          <w:snapToGrid w:val="0"/>
          <w:spacing w:val="-2"/>
          <w:szCs w:val="20"/>
          <w:lang w:eastAsia="es-ES"/>
        </w:rPr>
        <w:t>supra</w:t>
      </w:r>
      <w:r>
        <w:rPr>
          <w:snapToGrid w:val="0"/>
          <w:spacing w:val="-2"/>
          <w:szCs w:val="20"/>
          <w:lang w:eastAsia="es-ES"/>
        </w:rPr>
        <w:t xml:space="preserve"> </w:t>
      </w:r>
      <w:r w:rsidR="00196C2E" w:rsidRPr="007B4AF8">
        <w:rPr>
          <w:snapToGrid w:val="0"/>
          <w:spacing w:val="-2"/>
          <w:szCs w:val="20"/>
          <w:lang w:eastAsia="es-ES"/>
        </w:rPr>
        <w:t>Capítulo</w:t>
      </w:r>
      <w:r w:rsidR="00196C2E">
        <w:rPr>
          <w:snapToGrid w:val="0"/>
          <w:spacing w:val="-2"/>
          <w:szCs w:val="20"/>
          <w:lang w:eastAsia="es-ES"/>
        </w:rPr>
        <w:t xml:space="preserve"> VII.C.2</w:t>
      </w:r>
      <w:r>
        <w:rPr>
          <w:snapToGrid w:val="0"/>
          <w:spacing w:val="-2"/>
          <w:szCs w:val="20"/>
          <w:lang w:eastAsia="es-ES"/>
        </w:rPr>
        <w:t>). Ante esa jurisdicción, se practicó una exhumación y una segunda autopsia y se recabó prueba testimonial y se llegó a iguales conclusiones</w:t>
      </w:r>
      <w:r w:rsidR="00196C2E">
        <w:rPr>
          <w:snapToGrid w:val="0"/>
          <w:spacing w:val="-2"/>
          <w:szCs w:val="20"/>
          <w:lang w:eastAsia="es-ES"/>
        </w:rPr>
        <w:t xml:space="preserve"> (</w:t>
      </w:r>
      <w:r w:rsidR="00196C2E" w:rsidRPr="0076623E">
        <w:rPr>
          <w:i/>
          <w:snapToGrid w:val="0"/>
          <w:spacing w:val="-2"/>
          <w:szCs w:val="20"/>
          <w:lang w:eastAsia="es-ES"/>
        </w:rPr>
        <w:t>supra</w:t>
      </w:r>
      <w:r w:rsidR="00196C2E">
        <w:rPr>
          <w:snapToGrid w:val="0"/>
          <w:spacing w:val="-2"/>
          <w:szCs w:val="20"/>
          <w:lang w:eastAsia="es-ES"/>
        </w:rPr>
        <w:t xml:space="preserve"> </w:t>
      </w:r>
      <w:r w:rsidR="00196C2E" w:rsidRPr="007B4AF8">
        <w:rPr>
          <w:snapToGrid w:val="0"/>
          <w:spacing w:val="-2"/>
          <w:szCs w:val="20"/>
          <w:lang w:eastAsia="es-ES"/>
        </w:rPr>
        <w:t>Capítulo</w:t>
      </w:r>
      <w:r w:rsidR="00196C2E">
        <w:rPr>
          <w:snapToGrid w:val="0"/>
          <w:spacing w:val="-2"/>
          <w:szCs w:val="20"/>
          <w:lang w:eastAsia="es-ES"/>
        </w:rPr>
        <w:t xml:space="preserve"> VII.C.2)</w:t>
      </w:r>
      <w:r>
        <w:rPr>
          <w:snapToGrid w:val="0"/>
          <w:spacing w:val="-2"/>
          <w:szCs w:val="20"/>
          <w:lang w:eastAsia="es-ES"/>
        </w:rPr>
        <w:t xml:space="preserve">. </w:t>
      </w:r>
    </w:p>
    <w:p w14:paraId="42787579" w14:textId="0AAD12B8" w:rsidR="0034232A" w:rsidRPr="00A150D1" w:rsidRDefault="00CF559B" w:rsidP="00404C7B">
      <w:pPr>
        <w:pStyle w:val="Prrafodelista"/>
        <w:numPr>
          <w:ilvl w:val="0"/>
          <w:numId w:val="2"/>
        </w:numPr>
        <w:tabs>
          <w:tab w:val="left" w:pos="630"/>
        </w:tabs>
        <w:spacing w:before="120" w:after="120"/>
        <w:ind w:left="0" w:firstLine="0"/>
        <w:contextualSpacing w:val="0"/>
        <w:rPr>
          <w:snapToGrid w:val="0"/>
          <w:spacing w:val="-2"/>
          <w:szCs w:val="20"/>
          <w:lang w:eastAsia="es-ES"/>
        </w:rPr>
      </w:pPr>
      <w:r>
        <w:rPr>
          <w:snapToGrid w:val="0"/>
          <w:spacing w:val="-2"/>
          <w:szCs w:val="20"/>
          <w:lang w:eastAsia="es-ES"/>
        </w:rPr>
        <w:t xml:space="preserve">De ese modo, </w:t>
      </w:r>
      <w:r w:rsidR="00F1020E">
        <w:rPr>
          <w:snapToGrid w:val="0"/>
          <w:spacing w:val="-2"/>
          <w:szCs w:val="20"/>
          <w:lang w:eastAsia="es-ES"/>
        </w:rPr>
        <w:t xml:space="preserve">frente a la posibilidad de que Vicente Noguera hubiese sido víctima de actos de violencia, </w:t>
      </w:r>
      <w:r w:rsidR="0034232A">
        <w:rPr>
          <w:snapToGrid w:val="0"/>
          <w:spacing w:val="-2"/>
          <w:szCs w:val="20"/>
          <w:lang w:eastAsia="es-ES"/>
        </w:rPr>
        <w:t xml:space="preserve">las autoridades internas abrieron una causa en el ámbito de la jurisdicción ordinaria, y desarrollaron diligencias de investigación, las cuales llegaron a idénticos resultados que los que se habían presentado ante la jurisdicción </w:t>
      </w:r>
      <w:r w:rsidR="0034232A" w:rsidRPr="0034232A">
        <w:rPr>
          <w:szCs w:val="20"/>
        </w:rPr>
        <w:t>militar</w:t>
      </w:r>
      <w:r w:rsidR="0034232A">
        <w:rPr>
          <w:snapToGrid w:val="0"/>
          <w:spacing w:val="-2"/>
          <w:szCs w:val="20"/>
          <w:lang w:eastAsia="es-ES"/>
        </w:rPr>
        <w:t xml:space="preserve">. A su vez, la </w:t>
      </w:r>
      <w:r w:rsidR="0034232A" w:rsidRPr="0034232A">
        <w:rPr>
          <w:snapToGrid w:val="0"/>
          <w:spacing w:val="-2"/>
          <w:szCs w:val="20"/>
          <w:lang w:eastAsia="es-ES"/>
        </w:rPr>
        <w:t xml:space="preserve">Instrucción del sumario en averiguación y comprobación de la muerte de </w:t>
      </w:r>
      <w:r w:rsidR="0034232A">
        <w:rPr>
          <w:snapToGrid w:val="0"/>
          <w:spacing w:val="-2"/>
          <w:szCs w:val="20"/>
          <w:lang w:eastAsia="es-ES"/>
        </w:rPr>
        <w:t xml:space="preserve">Vicente Noguera </w:t>
      </w:r>
      <w:r w:rsidR="00A65A9C">
        <w:rPr>
          <w:snapToGrid w:val="0"/>
          <w:spacing w:val="-2"/>
          <w:szCs w:val="20"/>
          <w:lang w:eastAsia="es-ES"/>
        </w:rPr>
        <w:t xml:space="preserve">abarcó </w:t>
      </w:r>
      <w:r w:rsidR="0034232A">
        <w:rPr>
          <w:snapToGrid w:val="0"/>
          <w:spacing w:val="-2"/>
          <w:szCs w:val="20"/>
          <w:lang w:eastAsia="es-ES"/>
        </w:rPr>
        <w:t xml:space="preserve">diligencias </w:t>
      </w:r>
      <w:r w:rsidR="00A65A9C">
        <w:rPr>
          <w:snapToGrid w:val="0"/>
          <w:spacing w:val="-2"/>
          <w:szCs w:val="20"/>
          <w:lang w:eastAsia="es-ES"/>
        </w:rPr>
        <w:t xml:space="preserve">(autopsia y exámenes) </w:t>
      </w:r>
      <w:r w:rsidR="0034232A">
        <w:rPr>
          <w:snapToGrid w:val="0"/>
          <w:spacing w:val="-2"/>
          <w:szCs w:val="20"/>
          <w:lang w:eastAsia="es-ES"/>
        </w:rPr>
        <w:t xml:space="preserve">que </w:t>
      </w:r>
      <w:r w:rsidR="00A65A9C">
        <w:rPr>
          <w:snapToGrid w:val="0"/>
          <w:spacing w:val="-2"/>
          <w:szCs w:val="20"/>
          <w:lang w:eastAsia="es-ES"/>
        </w:rPr>
        <w:t xml:space="preserve">se desarrollaron en establecimientos no militares. </w:t>
      </w:r>
      <w:r w:rsidR="008C57C8">
        <w:rPr>
          <w:snapToGrid w:val="0"/>
          <w:spacing w:val="-2"/>
          <w:szCs w:val="20"/>
          <w:lang w:eastAsia="es-ES"/>
        </w:rPr>
        <w:t>En consecuencia</w:t>
      </w:r>
      <w:r w:rsidR="00A65A9C">
        <w:rPr>
          <w:snapToGrid w:val="0"/>
          <w:spacing w:val="-2"/>
          <w:szCs w:val="20"/>
          <w:lang w:eastAsia="es-ES"/>
        </w:rPr>
        <w:t xml:space="preserve">, </w:t>
      </w:r>
      <w:r w:rsidR="004D756A">
        <w:rPr>
          <w:snapToGrid w:val="0"/>
          <w:spacing w:val="-2"/>
          <w:szCs w:val="20"/>
          <w:lang w:eastAsia="es-ES"/>
        </w:rPr>
        <w:t xml:space="preserve">dadas las particularidades del caso, </w:t>
      </w:r>
      <w:r w:rsidR="00A65A9C">
        <w:rPr>
          <w:snapToGrid w:val="0"/>
          <w:spacing w:val="-2"/>
          <w:szCs w:val="20"/>
          <w:lang w:eastAsia="es-ES"/>
        </w:rPr>
        <w:t xml:space="preserve">la Corte </w:t>
      </w:r>
      <w:r w:rsidR="0043014E">
        <w:rPr>
          <w:snapToGrid w:val="0"/>
          <w:spacing w:val="-2"/>
          <w:szCs w:val="20"/>
          <w:lang w:eastAsia="es-ES"/>
        </w:rPr>
        <w:t xml:space="preserve">concluye que no se vulneró </w:t>
      </w:r>
      <w:r w:rsidR="00A65A9C">
        <w:rPr>
          <w:snapToGrid w:val="0"/>
          <w:spacing w:val="-2"/>
          <w:szCs w:val="20"/>
          <w:lang w:eastAsia="es-ES"/>
        </w:rPr>
        <w:t>el principio del juez natural contenido en el artículo 8.1 de la Convención Americana.</w:t>
      </w:r>
      <w:r w:rsidR="00793FF5">
        <w:rPr>
          <w:snapToGrid w:val="0"/>
          <w:spacing w:val="-2"/>
          <w:szCs w:val="20"/>
          <w:lang w:eastAsia="es-ES"/>
        </w:rPr>
        <w:t xml:space="preserve">   </w:t>
      </w:r>
    </w:p>
    <w:p w14:paraId="36978D49" w14:textId="69E24B9F" w:rsidR="001322C1" w:rsidRPr="001322C1" w:rsidRDefault="004802DD" w:rsidP="001322C1">
      <w:pPr>
        <w:pStyle w:val="Ttulo1"/>
        <w:rPr>
          <w:b w:val="0"/>
        </w:rPr>
      </w:pPr>
      <w:bookmarkStart w:id="103" w:name="_ftnref258"/>
      <w:bookmarkStart w:id="104" w:name="_Toc36132116"/>
      <w:bookmarkEnd w:id="103"/>
      <w:r>
        <w:t>IX</w:t>
      </w:r>
      <w:r w:rsidR="001322C1" w:rsidRPr="003B376F">
        <w:rPr>
          <w:color w:val="FFFFFF" w:themeColor="background1"/>
        </w:rPr>
        <w:t>.</w:t>
      </w:r>
      <w:r w:rsidR="001322C1" w:rsidRPr="003B376F">
        <w:br/>
        <w:t>REPARACIONES</w:t>
      </w:r>
      <w:r w:rsidR="001322C1" w:rsidRPr="003B376F">
        <w:br/>
        <w:t>(</w:t>
      </w:r>
      <w:r w:rsidR="001322C1" w:rsidRPr="003B376F">
        <w:rPr>
          <w:caps w:val="0"/>
        </w:rPr>
        <w:t>APLICACIÓN DEL ARTÍCULO 63.1 DE LA CONVENCIÓN AMERICANA</w:t>
      </w:r>
      <w:r w:rsidR="001322C1" w:rsidRPr="003B376F">
        <w:t>)</w:t>
      </w:r>
      <w:bookmarkEnd w:id="104"/>
    </w:p>
    <w:p w14:paraId="0AB521FB" w14:textId="3D6E876F" w:rsidR="001322C1" w:rsidRPr="005E3B34" w:rsidRDefault="001322C1" w:rsidP="00404C7B">
      <w:pPr>
        <w:pStyle w:val="Prrafodelista"/>
        <w:numPr>
          <w:ilvl w:val="0"/>
          <w:numId w:val="2"/>
        </w:numPr>
        <w:tabs>
          <w:tab w:val="left" w:pos="630"/>
        </w:tabs>
        <w:spacing w:before="120" w:after="120"/>
        <w:ind w:left="0" w:firstLine="0"/>
        <w:contextualSpacing w:val="0"/>
        <w:rPr>
          <w:strike/>
        </w:rPr>
      </w:pPr>
      <w:r w:rsidRPr="008974C4">
        <w:rPr>
          <w:rFonts w:eastAsia="Times"/>
          <w:szCs w:val="20"/>
          <w:lang w:eastAsia="es-ES"/>
        </w:rPr>
        <w:t>Sobre</w:t>
      </w:r>
      <w:r w:rsidRPr="008974C4">
        <w:rPr>
          <w:szCs w:val="20"/>
        </w:rPr>
        <w:t xml:space="preserve"> la </w:t>
      </w:r>
      <w:r w:rsidRPr="008974C4">
        <w:rPr>
          <w:rFonts w:cs="Verdana"/>
          <w:bCs/>
          <w:szCs w:val="20"/>
        </w:rPr>
        <w:t>base</w:t>
      </w:r>
      <w:r w:rsidRPr="008974C4">
        <w:rPr>
          <w:szCs w:val="20"/>
        </w:rPr>
        <w:t xml:space="preserve"> de </w:t>
      </w:r>
      <w:r w:rsidRPr="008974C4">
        <w:rPr>
          <w:rFonts w:eastAsia="Times"/>
          <w:szCs w:val="20"/>
          <w:lang w:eastAsia="es-ES"/>
        </w:rPr>
        <w:t>lo</w:t>
      </w:r>
      <w:r w:rsidRPr="008974C4">
        <w:rPr>
          <w:szCs w:val="20"/>
        </w:rPr>
        <w:t xml:space="preserve"> dispuesto en el artículo 63.1 de la Convención Americana, la Corte ha indicado </w:t>
      </w:r>
      <w:r w:rsidRPr="008974C4">
        <w:rPr>
          <w:szCs w:val="20"/>
          <w:lang w:val="es-ES"/>
        </w:rPr>
        <w:t>que</w:t>
      </w:r>
      <w:r w:rsidRPr="008974C4">
        <w:rPr>
          <w:szCs w:val="20"/>
        </w:rPr>
        <w:t xml:space="preserve"> toda violación de una obligación internacional que haya producido </w:t>
      </w:r>
      <w:r w:rsidRPr="00404C7B">
        <w:rPr>
          <w:snapToGrid w:val="0"/>
          <w:spacing w:val="-2"/>
          <w:szCs w:val="20"/>
          <w:lang w:eastAsia="es-ES"/>
        </w:rPr>
        <w:t>daño</w:t>
      </w:r>
      <w:r w:rsidRPr="008974C4">
        <w:rPr>
          <w:szCs w:val="20"/>
        </w:rPr>
        <w:t xml:space="preserve"> comporta el deber de repararlo adecuadamente, y que esa disposición recoge una norma consuetudinaria que constituye uno de los principios fundamentales del Derecho Internacional contemporáneo sobre responsabilidad de un Estado</w:t>
      </w:r>
      <w:r w:rsidRPr="008974C4">
        <w:rPr>
          <w:rStyle w:val="Refdenotaalpie"/>
          <w:rFonts w:eastAsia="Calibri"/>
        </w:rPr>
        <w:footnoteReference w:id="89"/>
      </w:r>
      <w:r w:rsidRPr="008974C4">
        <w:t xml:space="preserve">. La Corte ha considerado la necesidad de otorgar diversas medidas de reparación, a fin de resarcir los daños de manera </w:t>
      </w:r>
      <w:r w:rsidRPr="009625E7">
        <w:rPr>
          <w:snapToGrid w:val="0"/>
          <w:spacing w:val="-2"/>
          <w:szCs w:val="20"/>
          <w:lang w:eastAsia="es-ES"/>
        </w:rPr>
        <w:t>integral</w:t>
      </w:r>
      <w:r w:rsidRPr="008974C4">
        <w:t>, por lo que además de las compensaciones pecuniarias, las medidas de restitución, rehabilitación, satisfacción y garantías de no repetición tienen especial relevancia por los daños ocasionados</w:t>
      </w:r>
      <w:r w:rsidRPr="008974C4">
        <w:rPr>
          <w:rStyle w:val="Refdenotaalpie"/>
          <w:rFonts w:eastAsia="Calibri"/>
        </w:rPr>
        <w:footnoteReference w:id="90"/>
      </w:r>
      <w:r w:rsidRPr="008974C4">
        <w:t>. Del mismo modo, las reparaciones deben tener un nexo causal con los hechos del caso, las violaciones declaradas, los daños acreditados, así como las medidas solicitadas para reparar los daños respectivos</w:t>
      </w:r>
      <w:r w:rsidRPr="008974C4">
        <w:rPr>
          <w:rStyle w:val="Refdenotaalpie"/>
          <w:rFonts w:eastAsia="Calibri"/>
        </w:rPr>
        <w:footnoteReference w:id="91"/>
      </w:r>
      <w:r w:rsidRPr="008974C4">
        <w:t>.</w:t>
      </w:r>
    </w:p>
    <w:p w14:paraId="1F72B16E" w14:textId="6E27D403" w:rsidR="00B84BC6" w:rsidRDefault="00B84BC6" w:rsidP="00404C7B">
      <w:pPr>
        <w:pStyle w:val="Prrafodelista"/>
        <w:numPr>
          <w:ilvl w:val="0"/>
          <w:numId w:val="2"/>
        </w:numPr>
        <w:tabs>
          <w:tab w:val="left" w:pos="630"/>
        </w:tabs>
        <w:spacing w:before="120" w:after="120"/>
        <w:ind w:left="0" w:firstLine="0"/>
        <w:contextualSpacing w:val="0"/>
        <w:rPr>
          <w:szCs w:val="20"/>
        </w:rPr>
      </w:pPr>
      <w:r w:rsidRPr="008974C4">
        <w:rPr>
          <w:szCs w:val="20"/>
        </w:rPr>
        <w:t xml:space="preserve">En consideración de </w:t>
      </w:r>
      <w:r w:rsidRPr="00404C7B">
        <w:rPr>
          <w:snapToGrid w:val="0"/>
          <w:spacing w:val="-2"/>
          <w:szCs w:val="20"/>
          <w:lang w:eastAsia="es-ES"/>
        </w:rPr>
        <w:t>las</w:t>
      </w:r>
      <w:r w:rsidRPr="008974C4">
        <w:rPr>
          <w:szCs w:val="20"/>
        </w:rPr>
        <w:t xml:space="preserve"> violaciones declaradas en los capítulos anteriores, este Tribunal procederá a analizar las pretensiones presentadas por la Comisión y los representantes, así como los argumentos del Estado, a la luz de los criterios fijados en la </w:t>
      </w:r>
      <w:r w:rsidRPr="008974C4">
        <w:rPr>
          <w:szCs w:val="20"/>
        </w:rPr>
        <w:lastRenderedPageBreak/>
        <w:t>jurisprudencia de la Corte en relación con la naturaleza y alcance de la obligación de reparar</w:t>
      </w:r>
      <w:r w:rsidRPr="008974C4">
        <w:rPr>
          <w:rStyle w:val="Refdenotaalpie"/>
          <w:rFonts w:eastAsia="Calibri"/>
        </w:rPr>
        <w:footnoteReference w:id="92"/>
      </w:r>
      <w:r w:rsidRPr="008974C4">
        <w:rPr>
          <w:szCs w:val="20"/>
        </w:rPr>
        <w:t xml:space="preserve">. </w:t>
      </w:r>
    </w:p>
    <w:p w14:paraId="561711F8" w14:textId="33F150F6" w:rsidR="00DF044E" w:rsidRPr="001D6DA0" w:rsidRDefault="000C42FB" w:rsidP="00404C7B">
      <w:pPr>
        <w:pStyle w:val="Prrafodelista"/>
        <w:numPr>
          <w:ilvl w:val="0"/>
          <w:numId w:val="2"/>
        </w:numPr>
        <w:tabs>
          <w:tab w:val="left" w:pos="630"/>
        </w:tabs>
        <w:spacing w:before="120" w:after="120"/>
        <w:ind w:left="0" w:firstLine="0"/>
        <w:contextualSpacing w:val="0"/>
        <w:rPr>
          <w:szCs w:val="20"/>
        </w:rPr>
      </w:pPr>
      <w:r>
        <w:rPr>
          <w:szCs w:val="20"/>
        </w:rPr>
        <w:t>L</w:t>
      </w:r>
      <w:r w:rsidR="00DF044E" w:rsidRPr="001D6DA0">
        <w:rPr>
          <w:szCs w:val="20"/>
        </w:rPr>
        <w:t xml:space="preserve">a Corte </w:t>
      </w:r>
      <w:r>
        <w:rPr>
          <w:szCs w:val="20"/>
        </w:rPr>
        <w:t xml:space="preserve">reitera </w:t>
      </w:r>
      <w:r w:rsidR="00DF044E" w:rsidRPr="001D6DA0">
        <w:rPr>
          <w:szCs w:val="20"/>
        </w:rPr>
        <w:t xml:space="preserve">que </w:t>
      </w:r>
      <w:r w:rsidR="006E7046" w:rsidRPr="00280D3A">
        <w:rPr>
          <w:szCs w:val="20"/>
        </w:rPr>
        <w:t xml:space="preserve">en transcurso del proceso del presente caso ante la Comisión se firmó un </w:t>
      </w:r>
      <w:r w:rsidR="00B41EBA">
        <w:rPr>
          <w:szCs w:val="20"/>
        </w:rPr>
        <w:t>A</w:t>
      </w:r>
      <w:r w:rsidR="006E7046" w:rsidRPr="00280D3A">
        <w:rPr>
          <w:szCs w:val="20"/>
        </w:rPr>
        <w:t xml:space="preserve">cuerdo de </w:t>
      </w:r>
      <w:r w:rsidR="00B41EBA">
        <w:rPr>
          <w:szCs w:val="20"/>
        </w:rPr>
        <w:t>S</w:t>
      </w:r>
      <w:r w:rsidR="006E7046" w:rsidRPr="00280D3A">
        <w:rPr>
          <w:szCs w:val="20"/>
        </w:rPr>
        <w:t xml:space="preserve">olución </w:t>
      </w:r>
      <w:r w:rsidR="00B41EBA">
        <w:rPr>
          <w:szCs w:val="20"/>
        </w:rPr>
        <w:t>A</w:t>
      </w:r>
      <w:r w:rsidR="006E7046" w:rsidRPr="00280D3A">
        <w:rPr>
          <w:szCs w:val="20"/>
        </w:rPr>
        <w:t>mistosa entre los representantes y el Estado el cual no fue homologado por la Comisión (</w:t>
      </w:r>
      <w:r w:rsidR="006E7046" w:rsidRPr="00280D3A">
        <w:rPr>
          <w:i/>
          <w:szCs w:val="20"/>
        </w:rPr>
        <w:t>supra</w:t>
      </w:r>
      <w:r w:rsidR="006E7046" w:rsidRPr="00280D3A">
        <w:rPr>
          <w:szCs w:val="20"/>
        </w:rPr>
        <w:t xml:space="preserve"> párr. </w:t>
      </w:r>
      <w:r w:rsidR="00F72E98">
        <w:rPr>
          <w:szCs w:val="20"/>
        </w:rPr>
        <w:t>2.c</w:t>
      </w:r>
      <w:r w:rsidR="006E7046" w:rsidRPr="00280D3A">
        <w:rPr>
          <w:szCs w:val="20"/>
        </w:rPr>
        <w:t xml:space="preserve">). </w:t>
      </w:r>
      <w:r>
        <w:rPr>
          <w:szCs w:val="20"/>
        </w:rPr>
        <w:t>A pesar de ello, el Estado cumplió con varias medidas de reparación que habían sido acordadas con los representantes y que son objeto de pretensión de medidas de reparación en el proceso ante el Tribunal.</w:t>
      </w:r>
    </w:p>
    <w:p w14:paraId="612C20F7" w14:textId="386686E3" w:rsidR="00D6633F" w:rsidRPr="00280D3A" w:rsidRDefault="00D6633F" w:rsidP="00280D3A">
      <w:pPr>
        <w:pStyle w:val="Prrafodelista"/>
        <w:numPr>
          <w:ilvl w:val="0"/>
          <w:numId w:val="19"/>
        </w:numPr>
        <w:pBdr>
          <w:top w:val="nil"/>
        </w:pBdr>
        <w:spacing w:before="240" w:after="240"/>
        <w:contextualSpacing w:val="0"/>
        <w:outlineLvl w:val="1"/>
        <w:rPr>
          <w:b/>
          <w:i/>
          <w:snapToGrid w:val="0"/>
          <w:spacing w:val="-2"/>
          <w:szCs w:val="20"/>
          <w:lang w:val="es-CR" w:eastAsia="es-ES"/>
        </w:rPr>
      </w:pPr>
      <w:bookmarkStart w:id="105" w:name="_Toc36132117"/>
      <w:r w:rsidRPr="00280D3A">
        <w:rPr>
          <w:b/>
          <w:i/>
          <w:snapToGrid w:val="0"/>
          <w:spacing w:val="-2"/>
          <w:szCs w:val="20"/>
          <w:lang w:val="es-CR" w:eastAsia="es-ES"/>
        </w:rPr>
        <w:t>Parte Lesionada</w:t>
      </w:r>
      <w:bookmarkEnd w:id="105"/>
      <w:r w:rsidRPr="00280D3A">
        <w:rPr>
          <w:b/>
          <w:i/>
          <w:snapToGrid w:val="0"/>
          <w:spacing w:val="-2"/>
          <w:szCs w:val="20"/>
          <w:lang w:val="es-CR" w:eastAsia="es-ES"/>
        </w:rPr>
        <w:t xml:space="preserve"> </w:t>
      </w:r>
    </w:p>
    <w:p w14:paraId="0034CA4B" w14:textId="5FFDFC83" w:rsidR="00D6633F" w:rsidRDefault="00D6633F" w:rsidP="00404C7B">
      <w:pPr>
        <w:pStyle w:val="Prrafodelista"/>
        <w:numPr>
          <w:ilvl w:val="0"/>
          <w:numId w:val="2"/>
        </w:numPr>
        <w:tabs>
          <w:tab w:val="left" w:pos="630"/>
        </w:tabs>
        <w:spacing w:before="120" w:after="120"/>
        <w:ind w:left="0" w:firstLine="0"/>
        <w:contextualSpacing w:val="0"/>
        <w:rPr>
          <w:szCs w:val="20"/>
        </w:rPr>
      </w:pPr>
      <w:r w:rsidRPr="008974C4">
        <w:rPr>
          <w:szCs w:val="20"/>
        </w:rPr>
        <w:t xml:space="preserve">Este Tribunal reitera que se considera parte lesionada, en los términos del artículo 63.1 de la Convención, a quien ha sido declarada víctima de la violación de algún derecho reconocido en la misma. Por lo tanto, en mérito de lo expuesto precedentemente, esta Corte considera como “parte lesionada” a </w:t>
      </w:r>
      <w:r>
        <w:rPr>
          <w:szCs w:val="20"/>
        </w:rPr>
        <w:t xml:space="preserve">Vicente </w:t>
      </w:r>
      <w:r w:rsidR="00B41EBA">
        <w:rPr>
          <w:szCs w:val="20"/>
        </w:rPr>
        <w:t xml:space="preserve">Ariel </w:t>
      </w:r>
      <w:r>
        <w:rPr>
          <w:szCs w:val="20"/>
        </w:rPr>
        <w:t xml:space="preserve">Noguera, así como a su madre, la señora </w:t>
      </w:r>
      <w:r w:rsidR="00B41EBA" w:rsidRPr="00B41EBA">
        <w:rPr>
          <w:rFonts w:eastAsia="Verdana" w:cs="Verdana"/>
        </w:rPr>
        <w:t>María Ramona Isabel Noguera Domínguez</w:t>
      </w:r>
      <w:r w:rsidRPr="008974C4">
        <w:rPr>
          <w:szCs w:val="20"/>
        </w:rPr>
        <w:t xml:space="preserve">. </w:t>
      </w:r>
    </w:p>
    <w:p w14:paraId="00B02C4D" w14:textId="555AED32" w:rsidR="000C79E5" w:rsidRPr="00280D3A" w:rsidRDefault="000C79E5" w:rsidP="00280D3A">
      <w:pPr>
        <w:pStyle w:val="Prrafodelista"/>
        <w:numPr>
          <w:ilvl w:val="0"/>
          <w:numId w:val="19"/>
        </w:numPr>
        <w:pBdr>
          <w:top w:val="nil"/>
        </w:pBdr>
        <w:spacing w:before="240" w:after="240"/>
        <w:contextualSpacing w:val="0"/>
        <w:outlineLvl w:val="1"/>
        <w:rPr>
          <w:b/>
          <w:i/>
          <w:snapToGrid w:val="0"/>
          <w:spacing w:val="-2"/>
          <w:szCs w:val="20"/>
          <w:lang w:val="es-CR" w:eastAsia="es-ES"/>
        </w:rPr>
      </w:pPr>
      <w:bookmarkStart w:id="106" w:name="_Toc36132118"/>
      <w:r w:rsidRPr="00280D3A">
        <w:rPr>
          <w:b/>
          <w:i/>
          <w:snapToGrid w:val="0"/>
          <w:spacing w:val="-2"/>
          <w:szCs w:val="20"/>
          <w:lang w:val="es-CR" w:eastAsia="es-ES"/>
        </w:rPr>
        <w:t xml:space="preserve">Obligación de investigar </w:t>
      </w:r>
      <w:r w:rsidR="00190CDF" w:rsidRPr="00280D3A">
        <w:rPr>
          <w:b/>
          <w:i/>
          <w:snapToGrid w:val="0"/>
          <w:spacing w:val="-2"/>
          <w:szCs w:val="20"/>
          <w:lang w:val="es-CR" w:eastAsia="es-ES"/>
        </w:rPr>
        <w:t>los hechos e identificar, y en su caso, juzgar y sancionar a todos los responsables</w:t>
      </w:r>
      <w:bookmarkEnd w:id="106"/>
    </w:p>
    <w:p w14:paraId="32A498CD" w14:textId="153A2C38" w:rsidR="00B62A5E" w:rsidRPr="009625E7" w:rsidRDefault="000C79E5" w:rsidP="00404C7B">
      <w:pPr>
        <w:pStyle w:val="Prrafodelista"/>
        <w:numPr>
          <w:ilvl w:val="0"/>
          <w:numId w:val="2"/>
        </w:numPr>
        <w:tabs>
          <w:tab w:val="left" w:pos="630"/>
        </w:tabs>
        <w:spacing w:before="120" w:after="120"/>
        <w:ind w:left="0" w:firstLine="0"/>
        <w:contextualSpacing w:val="0"/>
        <w:rPr>
          <w:rFonts w:eastAsia="Times"/>
          <w:szCs w:val="20"/>
          <w:lang w:eastAsia="es-ES"/>
        </w:rPr>
      </w:pPr>
      <w:r>
        <w:rPr>
          <w:rFonts w:eastAsia="Times"/>
          <w:szCs w:val="20"/>
          <w:lang w:eastAsia="es-ES"/>
        </w:rPr>
        <w:t xml:space="preserve">La </w:t>
      </w:r>
      <w:r w:rsidRPr="00404C7B">
        <w:rPr>
          <w:rFonts w:eastAsia="Times"/>
          <w:i/>
          <w:szCs w:val="20"/>
          <w:lang w:eastAsia="es-ES"/>
        </w:rPr>
        <w:t>Comisión</w:t>
      </w:r>
      <w:r>
        <w:rPr>
          <w:rFonts w:eastAsia="Times"/>
          <w:szCs w:val="20"/>
          <w:lang w:eastAsia="es-ES"/>
        </w:rPr>
        <w:t xml:space="preserve"> solicitó a la Corte que ord</w:t>
      </w:r>
      <w:r w:rsidR="005D7081">
        <w:rPr>
          <w:rFonts w:eastAsia="Times"/>
          <w:szCs w:val="20"/>
          <w:lang w:eastAsia="es-ES"/>
        </w:rPr>
        <w:t>enare</w:t>
      </w:r>
      <w:r>
        <w:rPr>
          <w:rFonts w:eastAsia="Times"/>
          <w:szCs w:val="20"/>
          <w:lang w:eastAsia="es-ES"/>
        </w:rPr>
        <w:t xml:space="preserve"> al Estado impulsar y concluir la investigación penal que fue reabierta en mayo de 2012 de manera diligente, efectiva y dentro de un plazo razonable con el objeto de esclarecer los hechos en forma completa, identificar los responsables e imponer las sanciones que correspondan. </w:t>
      </w:r>
      <w:r w:rsidR="00C01E28">
        <w:rPr>
          <w:rFonts w:eastAsia="Times"/>
          <w:szCs w:val="20"/>
          <w:lang w:eastAsia="es-ES"/>
        </w:rPr>
        <w:t xml:space="preserve">Los </w:t>
      </w:r>
      <w:r w:rsidR="00C01E28" w:rsidRPr="00404C7B">
        <w:rPr>
          <w:rFonts w:eastAsia="Times"/>
          <w:i/>
          <w:szCs w:val="20"/>
          <w:lang w:eastAsia="es-ES"/>
        </w:rPr>
        <w:t>representantes</w:t>
      </w:r>
      <w:r w:rsidR="00C01E28">
        <w:rPr>
          <w:rFonts w:eastAsia="Times"/>
          <w:szCs w:val="20"/>
          <w:lang w:eastAsia="es-ES"/>
        </w:rPr>
        <w:t xml:space="preserve"> </w:t>
      </w:r>
      <w:r w:rsidR="00C01E28" w:rsidRPr="009625E7">
        <w:rPr>
          <w:szCs w:val="20"/>
        </w:rPr>
        <w:t>señalaron</w:t>
      </w:r>
      <w:r w:rsidR="00C01E28">
        <w:rPr>
          <w:rFonts w:eastAsia="Times"/>
          <w:szCs w:val="20"/>
          <w:lang w:eastAsia="es-ES"/>
        </w:rPr>
        <w:t xml:space="preserve"> que el Estado debía llevar a cabo una investigación en la que </w:t>
      </w:r>
      <w:r w:rsidR="000F2EE5">
        <w:rPr>
          <w:rFonts w:eastAsia="Times"/>
          <w:szCs w:val="20"/>
          <w:lang w:eastAsia="es-ES"/>
        </w:rPr>
        <w:t>se realizara</w:t>
      </w:r>
      <w:r w:rsidR="00C01E28">
        <w:rPr>
          <w:rFonts w:eastAsia="Times"/>
          <w:szCs w:val="20"/>
          <w:lang w:eastAsia="es-ES"/>
        </w:rPr>
        <w:t xml:space="preserve"> la reconstrucción de los hechos, entregar a la madre la filmación de la autopsia realizada el 11 de enero de 1996 y en caso de ser necesario, realizar una nueva autopsia con la presencia de peritos designados por la familia de la víctima.</w:t>
      </w:r>
      <w:r w:rsidR="00C32D9B">
        <w:rPr>
          <w:rFonts w:eastAsia="Times"/>
          <w:szCs w:val="20"/>
          <w:lang w:eastAsia="es-ES"/>
        </w:rPr>
        <w:t xml:space="preserve"> </w:t>
      </w:r>
      <w:r w:rsidR="00452FE1">
        <w:rPr>
          <w:rFonts w:eastAsia="Times"/>
          <w:szCs w:val="20"/>
          <w:lang w:eastAsia="es-ES"/>
        </w:rPr>
        <w:t xml:space="preserve">El </w:t>
      </w:r>
      <w:r w:rsidR="00452FE1" w:rsidRPr="00404C7B">
        <w:rPr>
          <w:rFonts w:eastAsia="Times"/>
          <w:i/>
          <w:szCs w:val="20"/>
          <w:lang w:eastAsia="es-ES"/>
        </w:rPr>
        <w:t>Estado</w:t>
      </w:r>
      <w:r w:rsidR="00452FE1">
        <w:rPr>
          <w:rFonts w:eastAsia="Times"/>
          <w:szCs w:val="20"/>
          <w:lang w:eastAsia="es-ES"/>
        </w:rPr>
        <w:t xml:space="preserve"> </w:t>
      </w:r>
      <w:r w:rsidR="00EE2FDC">
        <w:rPr>
          <w:rFonts w:eastAsia="Times"/>
          <w:szCs w:val="20"/>
          <w:lang w:eastAsia="es-ES"/>
        </w:rPr>
        <w:t xml:space="preserve">afirmó que en 2012 reabrió el caso que había sido archivado en el 2001, conformando una nueva junta médica la cual trabajó sobre la base de dos autopsias previas y concluyó nuevamente que la muerte de </w:t>
      </w:r>
      <w:r w:rsidR="005D7081">
        <w:rPr>
          <w:rFonts w:eastAsia="Times"/>
          <w:szCs w:val="20"/>
          <w:lang w:eastAsia="es-ES"/>
        </w:rPr>
        <w:t xml:space="preserve">Vicente Noguera </w:t>
      </w:r>
      <w:r w:rsidR="00EE2FDC">
        <w:rPr>
          <w:rFonts w:eastAsia="Times"/>
          <w:szCs w:val="20"/>
          <w:lang w:eastAsia="es-ES"/>
        </w:rPr>
        <w:t>no fue violenta y que el 13 de diciembre de 2018 decidió iniciar una nueva investigación por el hecho punible de tortura para determinar si existieron o no hechos de relevancia penal</w:t>
      </w:r>
      <w:r w:rsidR="00190CDF">
        <w:rPr>
          <w:rFonts w:eastAsia="Times"/>
          <w:szCs w:val="20"/>
          <w:lang w:eastAsia="es-ES"/>
        </w:rPr>
        <w:t xml:space="preserve">, así como el esclarecimiento completo de todos los hechos. </w:t>
      </w:r>
      <w:r w:rsidR="005D7081">
        <w:rPr>
          <w:rFonts w:eastAsia="Times"/>
          <w:szCs w:val="20"/>
          <w:lang w:eastAsia="es-ES"/>
        </w:rPr>
        <w:t>Con</w:t>
      </w:r>
      <w:r w:rsidR="00190CDF">
        <w:rPr>
          <w:rFonts w:eastAsia="Times"/>
          <w:szCs w:val="20"/>
          <w:lang w:eastAsia="es-ES"/>
        </w:rPr>
        <w:t xml:space="preserve"> relación a la autopsia, el </w:t>
      </w:r>
      <w:r w:rsidR="00190CDF" w:rsidRPr="00190CDF">
        <w:rPr>
          <w:rFonts w:eastAsia="Times"/>
          <w:i/>
          <w:szCs w:val="20"/>
          <w:lang w:eastAsia="es-ES"/>
        </w:rPr>
        <w:t xml:space="preserve">Estado </w:t>
      </w:r>
      <w:r w:rsidR="00190CDF">
        <w:rPr>
          <w:rFonts w:eastAsia="Times"/>
          <w:szCs w:val="20"/>
          <w:lang w:eastAsia="es-ES"/>
        </w:rPr>
        <w:t xml:space="preserve">precisó que realizó una pericia consistente en una autopsia histórica para determinar si </w:t>
      </w:r>
      <w:r w:rsidR="005D7081">
        <w:rPr>
          <w:rFonts w:eastAsia="Times"/>
          <w:szCs w:val="20"/>
          <w:lang w:eastAsia="es-ES"/>
        </w:rPr>
        <w:t>Vicente Noguera</w:t>
      </w:r>
      <w:r w:rsidR="00190CDF">
        <w:rPr>
          <w:rFonts w:eastAsia="Times"/>
          <w:szCs w:val="20"/>
          <w:lang w:eastAsia="es-ES"/>
        </w:rPr>
        <w:t xml:space="preserve"> tuvo signos de violencia en su cuerpo</w:t>
      </w:r>
      <w:r w:rsidR="00CB1B2F">
        <w:rPr>
          <w:rFonts w:eastAsia="Times"/>
          <w:szCs w:val="20"/>
          <w:lang w:eastAsia="es-ES"/>
        </w:rPr>
        <w:t>.</w:t>
      </w:r>
      <w:r w:rsidR="00190CDF">
        <w:rPr>
          <w:rFonts w:eastAsia="Times"/>
          <w:szCs w:val="20"/>
          <w:lang w:eastAsia="es-ES"/>
        </w:rPr>
        <w:t xml:space="preserve"> </w:t>
      </w:r>
    </w:p>
    <w:p w14:paraId="3497AD98" w14:textId="4A82498C" w:rsidR="009625E7" w:rsidRPr="00280D3A" w:rsidRDefault="009625E7" w:rsidP="00404C7B">
      <w:pPr>
        <w:pStyle w:val="Prrafodelista"/>
        <w:numPr>
          <w:ilvl w:val="0"/>
          <w:numId w:val="2"/>
        </w:numPr>
        <w:tabs>
          <w:tab w:val="left" w:pos="630"/>
        </w:tabs>
        <w:spacing w:before="120" w:after="120"/>
        <w:ind w:left="0" w:firstLine="0"/>
        <w:contextualSpacing w:val="0"/>
        <w:rPr>
          <w:rFonts w:eastAsia="Times"/>
          <w:strike/>
          <w:szCs w:val="20"/>
          <w:lang w:eastAsia="es-ES"/>
        </w:rPr>
      </w:pPr>
      <w:r>
        <w:rPr>
          <w:rFonts w:eastAsia="Times"/>
          <w:szCs w:val="20"/>
          <w:lang w:eastAsia="es-ES"/>
        </w:rPr>
        <w:t xml:space="preserve">En relación con esta solicitud, la </w:t>
      </w:r>
      <w:r w:rsidRPr="00404C7B">
        <w:rPr>
          <w:rFonts w:eastAsia="Times"/>
          <w:i/>
          <w:szCs w:val="20"/>
          <w:lang w:eastAsia="es-ES"/>
        </w:rPr>
        <w:t>Corte</w:t>
      </w:r>
      <w:r>
        <w:rPr>
          <w:rFonts w:eastAsia="Times"/>
          <w:szCs w:val="20"/>
          <w:lang w:eastAsia="es-ES"/>
        </w:rPr>
        <w:t xml:space="preserve"> constata que en el año 2018 fue abierta una investigación. En consecuencia, la Corte ordena al Estado continuar y completar </w:t>
      </w:r>
      <w:r w:rsidR="006D17CA">
        <w:rPr>
          <w:rFonts w:eastAsia="Times"/>
          <w:szCs w:val="20"/>
          <w:lang w:eastAsia="es-ES"/>
        </w:rPr>
        <w:t>esa investigación de conformidad con el derecho interno aplicable.</w:t>
      </w:r>
      <w:r>
        <w:rPr>
          <w:rFonts w:eastAsia="Times"/>
          <w:szCs w:val="20"/>
          <w:lang w:eastAsia="es-ES"/>
        </w:rPr>
        <w:t xml:space="preserve"> </w:t>
      </w:r>
    </w:p>
    <w:p w14:paraId="09EBFEBF" w14:textId="286D1487" w:rsidR="00025B16" w:rsidRPr="00280D3A" w:rsidRDefault="00025B16" w:rsidP="00280D3A">
      <w:pPr>
        <w:pStyle w:val="Prrafodelista"/>
        <w:numPr>
          <w:ilvl w:val="0"/>
          <w:numId w:val="19"/>
        </w:numPr>
        <w:pBdr>
          <w:top w:val="nil"/>
        </w:pBdr>
        <w:spacing w:before="240" w:after="240"/>
        <w:contextualSpacing w:val="0"/>
        <w:outlineLvl w:val="1"/>
        <w:rPr>
          <w:b/>
          <w:i/>
          <w:snapToGrid w:val="0"/>
          <w:spacing w:val="-2"/>
          <w:szCs w:val="20"/>
          <w:lang w:val="es-CR" w:eastAsia="es-ES"/>
        </w:rPr>
      </w:pPr>
      <w:bookmarkStart w:id="107" w:name="_Toc36132119"/>
      <w:r w:rsidRPr="001D6DA0">
        <w:rPr>
          <w:b/>
          <w:i/>
          <w:snapToGrid w:val="0"/>
          <w:spacing w:val="-2"/>
          <w:szCs w:val="20"/>
          <w:lang w:val="es-CR" w:eastAsia="es-ES"/>
        </w:rPr>
        <w:t>Medidas</w:t>
      </w:r>
      <w:r>
        <w:rPr>
          <w:b/>
          <w:i/>
          <w:snapToGrid w:val="0"/>
          <w:spacing w:val="-2"/>
          <w:szCs w:val="20"/>
          <w:lang w:val="es-CR" w:eastAsia="es-ES"/>
        </w:rPr>
        <w:t xml:space="preserve"> de rehabilitación</w:t>
      </w:r>
      <w:bookmarkEnd w:id="107"/>
    </w:p>
    <w:p w14:paraId="01C7703B" w14:textId="6C2B1D15" w:rsidR="00025B16" w:rsidRPr="00D5203F" w:rsidRDefault="00025B16"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025B16">
        <w:rPr>
          <w:szCs w:val="20"/>
        </w:rPr>
        <w:t>La</w:t>
      </w:r>
      <w:r w:rsidRPr="008974C4">
        <w:rPr>
          <w:i/>
          <w:szCs w:val="20"/>
        </w:rPr>
        <w:t xml:space="preserve"> </w:t>
      </w:r>
      <w:r w:rsidRPr="00404C7B">
        <w:rPr>
          <w:i/>
          <w:szCs w:val="20"/>
        </w:rPr>
        <w:t>Comisión</w:t>
      </w:r>
      <w:r w:rsidRPr="008974C4">
        <w:rPr>
          <w:i/>
          <w:szCs w:val="20"/>
        </w:rPr>
        <w:t xml:space="preserve"> </w:t>
      </w:r>
      <w:r w:rsidRPr="00025B16">
        <w:rPr>
          <w:szCs w:val="20"/>
        </w:rPr>
        <w:t>s</w:t>
      </w:r>
      <w:r>
        <w:rPr>
          <w:szCs w:val="20"/>
        </w:rPr>
        <w:t xml:space="preserve">eñaló que el Estado debe disponer las medidas de atención en salud física y </w:t>
      </w:r>
      <w:r w:rsidRPr="00D5203F">
        <w:rPr>
          <w:rFonts w:eastAsia="Times"/>
          <w:szCs w:val="20"/>
          <w:lang w:eastAsia="es-ES"/>
        </w:rPr>
        <w:t>mental</w:t>
      </w:r>
      <w:r>
        <w:rPr>
          <w:szCs w:val="20"/>
        </w:rPr>
        <w:t xml:space="preserve"> necesarias para la </w:t>
      </w:r>
      <w:r w:rsidRPr="00404C7B">
        <w:rPr>
          <w:rFonts w:eastAsia="Times"/>
          <w:szCs w:val="20"/>
          <w:lang w:eastAsia="es-ES"/>
        </w:rPr>
        <w:t>rehabilitación</w:t>
      </w:r>
      <w:r>
        <w:rPr>
          <w:szCs w:val="20"/>
        </w:rPr>
        <w:t xml:space="preserve"> de María Noguera, de ser su voluntad y de manera concertada. </w:t>
      </w:r>
      <w:r w:rsidR="00AB5E8D">
        <w:rPr>
          <w:szCs w:val="20"/>
        </w:rPr>
        <w:t xml:space="preserve">Los </w:t>
      </w:r>
      <w:r w:rsidR="00AB5E8D" w:rsidRPr="00404C7B">
        <w:rPr>
          <w:i/>
          <w:szCs w:val="20"/>
        </w:rPr>
        <w:t>representantes</w:t>
      </w:r>
      <w:r w:rsidR="00AB5E8D">
        <w:rPr>
          <w:i/>
          <w:szCs w:val="20"/>
        </w:rPr>
        <w:t xml:space="preserve"> </w:t>
      </w:r>
      <w:r w:rsidR="00AB5E8D">
        <w:rPr>
          <w:szCs w:val="20"/>
        </w:rPr>
        <w:t xml:space="preserve">no se refirieron a esta medida de reparación. </w:t>
      </w:r>
      <w:r>
        <w:rPr>
          <w:szCs w:val="20"/>
        </w:rPr>
        <w:t xml:space="preserve">El </w:t>
      </w:r>
      <w:r w:rsidRPr="00404C7B">
        <w:rPr>
          <w:i/>
          <w:szCs w:val="20"/>
        </w:rPr>
        <w:t>Estado</w:t>
      </w:r>
      <w:r>
        <w:rPr>
          <w:szCs w:val="20"/>
        </w:rPr>
        <w:t xml:space="preserve"> </w:t>
      </w:r>
      <w:r w:rsidR="00AB5E8D">
        <w:rPr>
          <w:szCs w:val="20"/>
        </w:rPr>
        <w:t>afirmó</w:t>
      </w:r>
      <w:r>
        <w:rPr>
          <w:szCs w:val="20"/>
        </w:rPr>
        <w:t xml:space="preserve"> que esta medida </w:t>
      </w:r>
      <w:r w:rsidR="00AB5E8D">
        <w:rPr>
          <w:szCs w:val="20"/>
        </w:rPr>
        <w:t xml:space="preserve">de reparación ya había sido cumplida en </w:t>
      </w:r>
      <w:r w:rsidR="007A3917">
        <w:rPr>
          <w:szCs w:val="20"/>
        </w:rPr>
        <w:t xml:space="preserve">el marco </w:t>
      </w:r>
      <w:r w:rsidR="00FB72B5">
        <w:rPr>
          <w:szCs w:val="20"/>
        </w:rPr>
        <w:t xml:space="preserve">de los compromisos que figuran en </w:t>
      </w:r>
      <w:r w:rsidR="00AB5E8D">
        <w:rPr>
          <w:szCs w:val="20"/>
        </w:rPr>
        <w:t xml:space="preserve">el marco del </w:t>
      </w:r>
      <w:r w:rsidR="008F3E3C">
        <w:rPr>
          <w:szCs w:val="20"/>
        </w:rPr>
        <w:t>A</w:t>
      </w:r>
      <w:r w:rsidR="00AB5E8D">
        <w:rPr>
          <w:szCs w:val="20"/>
        </w:rPr>
        <w:t xml:space="preserve">cuerdo de </w:t>
      </w:r>
      <w:r w:rsidR="008F3E3C">
        <w:rPr>
          <w:szCs w:val="20"/>
        </w:rPr>
        <w:t>S</w:t>
      </w:r>
      <w:r w:rsidR="00AB5E8D">
        <w:rPr>
          <w:szCs w:val="20"/>
        </w:rPr>
        <w:t xml:space="preserve">olución </w:t>
      </w:r>
      <w:r w:rsidR="008F3E3C">
        <w:rPr>
          <w:szCs w:val="20"/>
        </w:rPr>
        <w:t>A</w:t>
      </w:r>
      <w:r w:rsidR="00AB5E8D">
        <w:rPr>
          <w:szCs w:val="20"/>
        </w:rPr>
        <w:t>mistosa</w:t>
      </w:r>
      <w:r w:rsidR="00FB72B5">
        <w:rPr>
          <w:szCs w:val="20"/>
        </w:rPr>
        <w:t xml:space="preserve"> y que coinciden con esta solicitud de la Comisión</w:t>
      </w:r>
      <w:r>
        <w:rPr>
          <w:szCs w:val="20"/>
        </w:rPr>
        <w:t xml:space="preserve">. </w:t>
      </w:r>
    </w:p>
    <w:p w14:paraId="3C89FD2C" w14:textId="45EC8ABE" w:rsidR="00D5203F" w:rsidRPr="008F3E3C" w:rsidRDefault="00D5203F" w:rsidP="00B41EBA">
      <w:pPr>
        <w:pStyle w:val="Prrafodelista"/>
        <w:numPr>
          <w:ilvl w:val="0"/>
          <w:numId w:val="2"/>
        </w:numPr>
        <w:tabs>
          <w:tab w:val="left" w:pos="630"/>
        </w:tabs>
        <w:spacing w:before="120" w:after="120"/>
        <w:ind w:left="0" w:firstLine="0"/>
        <w:contextualSpacing w:val="0"/>
        <w:rPr>
          <w:rFonts w:eastAsia="Times"/>
          <w:szCs w:val="20"/>
          <w:lang w:eastAsia="es-ES"/>
        </w:rPr>
      </w:pPr>
      <w:r w:rsidRPr="008F3E3C">
        <w:rPr>
          <w:rFonts w:eastAsia="Times"/>
          <w:szCs w:val="20"/>
          <w:lang w:eastAsia="es-ES"/>
        </w:rPr>
        <w:t xml:space="preserve">La </w:t>
      </w:r>
      <w:r w:rsidRPr="00404C7B">
        <w:rPr>
          <w:rFonts w:eastAsia="Times"/>
          <w:i/>
          <w:szCs w:val="20"/>
          <w:lang w:eastAsia="es-ES"/>
        </w:rPr>
        <w:t>Corte</w:t>
      </w:r>
      <w:r w:rsidRPr="008F3E3C">
        <w:rPr>
          <w:rFonts w:eastAsia="Times"/>
          <w:szCs w:val="20"/>
          <w:lang w:eastAsia="es-ES"/>
        </w:rPr>
        <w:t xml:space="preserve"> no estima procedente ordenar la referida medida de reparación por </w:t>
      </w:r>
      <w:r w:rsidR="008F3E3C">
        <w:rPr>
          <w:rFonts w:eastAsia="Times"/>
          <w:szCs w:val="20"/>
          <w:lang w:eastAsia="es-ES"/>
        </w:rPr>
        <w:t xml:space="preserve">entender </w:t>
      </w:r>
      <w:r w:rsidR="008F3E3C" w:rsidRPr="00B41EBA">
        <w:rPr>
          <w:szCs w:val="20"/>
        </w:rPr>
        <w:t>que</w:t>
      </w:r>
      <w:r w:rsidR="008F3E3C">
        <w:rPr>
          <w:rFonts w:eastAsia="Times"/>
          <w:szCs w:val="20"/>
          <w:lang w:eastAsia="es-ES"/>
        </w:rPr>
        <w:t xml:space="preserve"> </w:t>
      </w:r>
      <w:r w:rsidR="00FB72B5">
        <w:rPr>
          <w:rFonts w:eastAsia="Times"/>
          <w:szCs w:val="20"/>
          <w:lang w:eastAsia="es-ES"/>
        </w:rPr>
        <w:t xml:space="preserve">el Estado </w:t>
      </w:r>
      <w:r w:rsidR="00F350ED">
        <w:rPr>
          <w:rFonts w:eastAsia="Times"/>
          <w:szCs w:val="20"/>
          <w:lang w:eastAsia="es-ES"/>
        </w:rPr>
        <w:t xml:space="preserve">la </w:t>
      </w:r>
      <w:r w:rsidR="00FB72B5">
        <w:rPr>
          <w:rFonts w:eastAsia="Times"/>
          <w:szCs w:val="20"/>
          <w:lang w:eastAsia="es-ES"/>
        </w:rPr>
        <w:t xml:space="preserve">ha cumplido en el marco del cumplimiento de las disposiciones del </w:t>
      </w:r>
      <w:r w:rsidR="00B41EBA" w:rsidRPr="00B41EBA">
        <w:rPr>
          <w:rFonts w:eastAsia="Times"/>
          <w:szCs w:val="20"/>
          <w:lang w:eastAsia="es-ES"/>
        </w:rPr>
        <w:t xml:space="preserve">Acuerdo </w:t>
      </w:r>
      <w:r w:rsidR="00B41EBA" w:rsidRPr="00B41EBA">
        <w:rPr>
          <w:rFonts w:eastAsia="Times"/>
          <w:szCs w:val="20"/>
          <w:lang w:eastAsia="es-ES"/>
        </w:rPr>
        <w:lastRenderedPageBreak/>
        <w:t>de Solución Amistosa</w:t>
      </w:r>
      <w:r w:rsidR="008F3E3C">
        <w:rPr>
          <w:rStyle w:val="Refdenotaalpie"/>
          <w:rFonts w:eastAsia="Times"/>
          <w:lang w:eastAsia="es-ES"/>
        </w:rPr>
        <w:footnoteReference w:id="93"/>
      </w:r>
      <w:r w:rsidR="00FB72B5">
        <w:rPr>
          <w:rFonts w:eastAsia="Times"/>
          <w:szCs w:val="20"/>
          <w:lang w:eastAsia="es-ES"/>
        </w:rPr>
        <w:t>. L</w:t>
      </w:r>
      <w:r w:rsidR="008F3E3C">
        <w:rPr>
          <w:rFonts w:eastAsia="Times"/>
          <w:szCs w:val="20"/>
          <w:lang w:eastAsia="es-ES"/>
        </w:rPr>
        <w:t>os representantes</w:t>
      </w:r>
      <w:r w:rsidR="00FB72B5">
        <w:rPr>
          <w:rFonts w:eastAsia="Times"/>
          <w:szCs w:val="20"/>
          <w:lang w:eastAsia="es-ES"/>
        </w:rPr>
        <w:t xml:space="preserve"> no han </w:t>
      </w:r>
      <w:r w:rsidR="00FB72B5" w:rsidRPr="00404C7B">
        <w:rPr>
          <w:szCs w:val="20"/>
        </w:rPr>
        <w:t>controvertido</w:t>
      </w:r>
      <w:r w:rsidR="00FB72B5">
        <w:rPr>
          <w:rFonts w:eastAsia="Times"/>
          <w:szCs w:val="20"/>
          <w:lang w:eastAsia="es-ES"/>
        </w:rPr>
        <w:t xml:space="preserve"> la información presentada por el Estado sobre </w:t>
      </w:r>
      <w:r w:rsidR="00F350ED">
        <w:rPr>
          <w:rFonts w:eastAsia="Times"/>
          <w:szCs w:val="20"/>
          <w:lang w:eastAsia="es-ES"/>
        </w:rPr>
        <w:t xml:space="preserve">el cumplimiento de </w:t>
      </w:r>
      <w:r w:rsidR="00FB72B5">
        <w:rPr>
          <w:rFonts w:eastAsia="Times"/>
          <w:szCs w:val="20"/>
          <w:lang w:eastAsia="es-ES"/>
        </w:rPr>
        <w:t>esta medida ni tampoco formularon solicitud alguna al respecto</w:t>
      </w:r>
      <w:r w:rsidR="008F3E3C">
        <w:rPr>
          <w:rFonts w:eastAsia="Times"/>
          <w:szCs w:val="20"/>
          <w:lang w:eastAsia="es-ES"/>
        </w:rPr>
        <w:t xml:space="preserve">. </w:t>
      </w:r>
    </w:p>
    <w:p w14:paraId="0F59E1CD" w14:textId="77777777" w:rsidR="00805E4A" w:rsidRPr="001D6DA0" w:rsidRDefault="00190CDF" w:rsidP="00280D3A">
      <w:pPr>
        <w:pStyle w:val="Prrafodelista"/>
        <w:numPr>
          <w:ilvl w:val="0"/>
          <w:numId w:val="19"/>
        </w:numPr>
        <w:pBdr>
          <w:top w:val="nil"/>
        </w:pBdr>
        <w:spacing w:before="240" w:after="240"/>
        <w:contextualSpacing w:val="0"/>
        <w:outlineLvl w:val="1"/>
        <w:rPr>
          <w:b/>
          <w:i/>
          <w:snapToGrid w:val="0"/>
          <w:spacing w:val="-2"/>
          <w:szCs w:val="20"/>
          <w:lang w:val="es-CR" w:eastAsia="es-ES"/>
        </w:rPr>
      </w:pPr>
      <w:bookmarkStart w:id="108" w:name="_Toc36132120"/>
      <w:r w:rsidRPr="00190CDF">
        <w:rPr>
          <w:b/>
          <w:i/>
          <w:snapToGrid w:val="0"/>
          <w:spacing w:val="-2"/>
          <w:szCs w:val="20"/>
          <w:lang w:val="es-CR" w:eastAsia="es-ES"/>
        </w:rPr>
        <w:t>Medidas de satisfacción</w:t>
      </w:r>
      <w:bookmarkEnd w:id="108"/>
    </w:p>
    <w:p w14:paraId="767AD1D9" w14:textId="4E07B5DB" w:rsidR="00190CDF" w:rsidRPr="00280D3A" w:rsidRDefault="00805E4A" w:rsidP="00280D3A">
      <w:pPr>
        <w:pStyle w:val="Ttulo3"/>
        <w:spacing w:before="240" w:after="240"/>
        <w:ind w:left="1066"/>
        <w:rPr>
          <w:i w:val="0"/>
          <w:snapToGrid w:val="0"/>
          <w:spacing w:val="-2"/>
          <w:szCs w:val="20"/>
          <w:lang w:eastAsia="es-ES"/>
        </w:rPr>
      </w:pPr>
      <w:bookmarkStart w:id="109" w:name="_Toc36132121"/>
      <w:r w:rsidRPr="00280D3A">
        <w:rPr>
          <w:b w:val="0"/>
          <w:snapToGrid w:val="0"/>
          <w:spacing w:val="-2"/>
          <w:szCs w:val="20"/>
          <w:lang w:eastAsia="es-ES"/>
        </w:rPr>
        <w:t>D.1. Publicación de la Sentencia</w:t>
      </w:r>
      <w:bookmarkEnd w:id="109"/>
    </w:p>
    <w:p w14:paraId="077AC015" w14:textId="036B3C58" w:rsidR="00190CDF" w:rsidRPr="00805E4A" w:rsidRDefault="00190CDF"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1D6DA0">
        <w:rPr>
          <w:rFonts w:eastAsia="Times"/>
          <w:szCs w:val="20"/>
          <w:lang w:eastAsia="es-ES"/>
        </w:rPr>
        <w:t xml:space="preserve">Las </w:t>
      </w:r>
      <w:r w:rsidRPr="001D6DA0">
        <w:rPr>
          <w:szCs w:val="20"/>
        </w:rPr>
        <w:t>partes</w:t>
      </w:r>
      <w:r w:rsidRPr="00805E4A">
        <w:rPr>
          <w:rFonts w:eastAsia="Times"/>
          <w:szCs w:val="20"/>
          <w:lang w:eastAsia="es-ES"/>
        </w:rPr>
        <w:t xml:space="preserve"> y la </w:t>
      </w:r>
      <w:r w:rsidRPr="00404C7B">
        <w:rPr>
          <w:rFonts w:eastAsia="Times"/>
          <w:i/>
          <w:szCs w:val="20"/>
          <w:lang w:eastAsia="es-ES"/>
        </w:rPr>
        <w:t>Comisión</w:t>
      </w:r>
      <w:r w:rsidRPr="00805E4A">
        <w:rPr>
          <w:rFonts w:eastAsia="Times"/>
          <w:szCs w:val="20"/>
          <w:lang w:eastAsia="es-ES"/>
        </w:rPr>
        <w:t xml:space="preserve"> no se refirieron a esta medida de reparación.</w:t>
      </w:r>
      <w:r w:rsidR="00805E4A">
        <w:rPr>
          <w:rFonts w:eastAsia="Times"/>
          <w:szCs w:val="20"/>
          <w:lang w:eastAsia="es-ES"/>
        </w:rPr>
        <w:t xml:space="preserve"> </w:t>
      </w:r>
      <w:r w:rsidRPr="001D6DA0">
        <w:rPr>
          <w:rFonts w:eastAsia="Times"/>
          <w:szCs w:val="20"/>
          <w:lang w:eastAsia="es-ES"/>
        </w:rPr>
        <w:t xml:space="preserve">No obstante, la </w:t>
      </w:r>
      <w:r w:rsidRPr="00404C7B">
        <w:rPr>
          <w:rFonts w:eastAsia="Times"/>
          <w:i/>
          <w:szCs w:val="20"/>
          <w:lang w:eastAsia="es-ES"/>
        </w:rPr>
        <w:t>Corte</w:t>
      </w:r>
      <w:r w:rsidRPr="00805E4A">
        <w:rPr>
          <w:rFonts w:eastAsia="Times"/>
          <w:szCs w:val="20"/>
          <w:lang w:eastAsia="es-ES"/>
        </w:rPr>
        <w:t xml:space="preserve"> estima pertinente ordenar, como lo ha hecho en otros casos</w:t>
      </w:r>
      <w:r>
        <w:rPr>
          <w:rStyle w:val="Refdenotaalpie"/>
          <w:rFonts w:eastAsia="Times"/>
          <w:lang w:eastAsia="es-ES"/>
        </w:rPr>
        <w:footnoteReference w:id="94"/>
      </w:r>
      <w:r w:rsidR="005D7081">
        <w:rPr>
          <w:rFonts w:eastAsia="Times"/>
          <w:szCs w:val="20"/>
          <w:lang w:eastAsia="es-ES"/>
        </w:rPr>
        <w:t>,</w:t>
      </w:r>
      <w:r w:rsidRPr="001D6DA0">
        <w:rPr>
          <w:rFonts w:eastAsia="Times"/>
          <w:szCs w:val="20"/>
          <w:lang w:eastAsia="es-ES"/>
        </w:rPr>
        <w:t xml:space="preserve"> que el Estado </w:t>
      </w:r>
      <w:proofErr w:type="spellStart"/>
      <w:r w:rsidRPr="001D6DA0">
        <w:rPr>
          <w:rFonts w:eastAsia="Times"/>
          <w:szCs w:val="20"/>
          <w:lang w:eastAsia="es-ES"/>
        </w:rPr>
        <w:t>debepublicar</w:t>
      </w:r>
      <w:proofErr w:type="spellEnd"/>
      <w:r w:rsidRPr="001D6DA0">
        <w:rPr>
          <w:rFonts w:eastAsia="Times"/>
          <w:szCs w:val="20"/>
          <w:lang w:eastAsia="es-ES"/>
        </w:rPr>
        <w:t xml:space="preserve">, en el plazo de seis meses, contado a partir de la notificación de la presente Sentencia: a) el resumen oficial de esta Sentencia elaborado por </w:t>
      </w:r>
      <w:r w:rsidRPr="00805E4A">
        <w:rPr>
          <w:rFonts w:eastAsia="Times"/>
          <w:szCs w:val="20"/>
          <w:lang w:eastAsia="es-ES"/>
        </w:rPr>
        <w:t xml:space="preserve">la Corte, por una sola vez, en el Diario Oficial en un tamaño de letra legible y adecuado; b) el resumen oficial de la Sentencia elaborado por la Corte, por una sola vez, en un diario de amplia circulación nacional, en un tamaño de </w:t>
      </w:r>
      <w:r w:rsidRPr="00805E4A">
        <w:rPr>
          <w:szCs w:val="20"/>
        </w:rPr>
        <w:t>letra</w:t>
      </w:r>
      <w:r w:rsidRPr="00805E4A">
        <w:rPr>
          <w:rFonts w:eastAsia="Times"/>
          <w:szCs w:val="20"/>
          <w:lang w:eastAsia="es-ES"/>
        </w:rPr>
        <w:t xml:space="preserve"> legible y adecuado, y c) la presente sentencia en su integridad, la cual debe estar disponible por un período de un año, en un sitio web oficial, de manera accesible al público.</w:t>
      </w:r>
      <w:r w:rsidR="008F3E3C" w:rsidRPr="00805E4A">
        <w:rPr>
          <w:rFonts w:eastAsia="Times"/>
          <w:szCs w:val="20"/>
          <w:lang w:eastAsia="es-ES"/>
        </w:rPr>
        <w:t xml:space="preserve"> </w:t>
      </w:r>
      <w:r w:rsidR="00491883" w:rsidRPr="00805E4A">
        <w:rPr>
          <w:rFonts w:eastAsia="Times"/>
          <w:szCs w:val="20"/>
          <w:lang w:eastAsia="es-ES"/>
        </w:rPr>
        <w:t>El Estado deberá comunicar de forma inmediata a esta Corte una vez que proceda a realizar cada una de las publicaciones dispuestas.</w:t>
      </w:r>
    </w:p>
    <w:p w14:paraId="097F2C9C" w14:textId="52D199D7" w:rsidR="001116E4" w:rsidRPr="00D470CA" w:rsidRDefault="001116E4" w:rsidP="001116E4">
      <w:pPr>
        <w:pStyle w:val="Ttulo3"/>
        <w:spacing w:before="240" w:after="240"/>
        <w:ind w:left="1066"/>
        <w:rPr>
          <w:b w:val="0"/>
          <w:snapToGrid w:val="0"/>
          <w:spacing w:val="-2"/>
          <w:szCs w:val="20"/>
          <w:lang w:eastAsia="es-ES"/>
        </w:rPr>
      </w:pPr>
      <w:bookmarkStart w:id="110" w:name="_Toc32338645"/>
      <w:bookmarkStart w:id="111" w:name="_Toc36132122"/>
      <w:bookmarkStart w:id="112" w:name="_Toc25061181"/>
      <w:bookmarkEnd w:id="110"/>
      <w:r w:rsidRPr="00D470CA">
        <w:rPr>
          <w:b w:val="0"/>
          <w:snapToGrid w:val="0"/>
          <w:spacing w:val="-2"/>
          <w:szCs w:val="20"/>
          <w:lang w:eastAsia="es-ES"/>
        </w:rPr>
        <w:t>D.</w:t>
      </w:r>
      <w:r>
        <w:rPr>
          <w:b w:val="0"/>
          <w:snapToGrid w:val="0"/>
          <w:spacing w:val="-2"/>
          <w:szCs w:val="20"/>
          <w:lang w:eastAsia="es-ES"/>
        </w:rPr>
        <w:t>2</w:t>
      </w:r>
      <w:r w:rsidRPr="00D470CA">
        <w:rPr>
          <w:b w:val="0"/>
          <w:snapToGrid w:val="0"/>
          <w:spacing w:val="-2"/>
          <w:szCs w:val="20"/>
          <w:lang w:eastAsia="es-ES"/>
        </w:rPr>
        <w:t xml:space="preserve">. </w:t>
      </w:r>
      <w:r>
        <w:rPr>
          <w:b w:val="0"/>
          <w:snapToGrid w:val="0"/>
          <w:spacing w:val="-2"/>
          <w:szCs w:val="20"/>
          <w:lang w:eastAsia="es-ES"/>
        </w:rPr>
        <w:t>Otras Medidas de Satisfacción</w:t>
      </w:r>
      <w:bookmarkEnd w:id="111"/>
    </w:p>
    <w:p w14:paraId="7796E07C" w14:textId="68E79997" w:rsidR="001116E4" w:rsidRDefault="001116E4" w:rsidP="00404C7B">
      <w:pPr>
        <w:pStyle w:val="Prrafodelista"/>
        <w:numPr>
          <w:ilvl w:val="0"/>
          <w:numId w:val="2"/>
        </w:numPr>
        <w:tabs>
          <w:tab w:val="left" w:pos="630"/>
        </w:tabs>
        <w:spacing w:before="120" w:after="120"/>
        <w:ind w:left="0" w:firstLine="0"/>
        <w:contextualSpacing w:val="0"/>
        <w:rPr>
          <w:rFonts w:eastAsia="Times"/>
          <w:szCs w:val="20"/>
          <w:lang w:eastAsia="es-ES"/>
        </w:rPr>
      </w:pPr>
      <w:r>
        <w:rPr>
          <w:rFonts w:eastAsia="Times"/>
          <w:szCs w:val="20"/>
          <w:lang w:eastAsia="es-ES"/>
        </w:rPr>
        <w:t xml:space="preserve">Los </w:t>
      </w:r>
      <w:r w:rsidRPr="00404C7B">
        <w:rPr>
          <w:rFonts w:eastAsia="Times"/>
          <w:i/>
          <w:szCs w:val="20"/>
          <w:lang w:eastAsia="es-ES"/>
        </w:rPr>
        <w:t>representantes</w:t>
      </w:r>
      <w:r>
        <w:rPr>
          <w:rFonts w:eastAsia="Times"/>
          <w:szCs w:val="20"/>
          <w:lang w:eastAsia="es-ES"/>
        </w:rPr>
        <w:t xml:space="preserve"> solicitaron que se ordenara al Estado: i) la construcción de un nuevo monolito con una placa conmemorativa en la intersección de la calle Cnel. Martínez y Avda. Sta. </w:t>
      </w:r>
      <w:r w:rsidRPr="008F3E3C">
        <w:rPr>
          <w:szCs w:val="20"/>
        </w:rPr>
        <w:t>Teresa</w:t>
      </w:r>
      <w:r>
        <w:rPr>
          <w:rFonts w:eastAsia="Times"/>
          <w:szCs w:val="20"/>
          <w:lang w:eastAsia="es-ES"/>
        </w:rPr>
        <w:t>; ii) la permanencia del monolito construido en memoria de la víctima en Mariscal Estigarribia en el Chaco Paraguayo; iii) cambiar el nombre de la Avenida Santa Teresa por el de Subteniente de</w:t>
      </w:r>
      <w:r w:rsidR="005D7081">
        <w:rPr>
          <w:rFonts w:eastAsia="Times"/>
          <w:szCs w:val="20"/>
          <w:lang w:eastAsia="es-ES"/>
        </w:rPr>
        <w:t xml:space="preserve"> Infantería Vicente Noguera;</w:t>
      </w:r>
      <w:r>
        <w:rPr>
          <w:rFonts w:eastAsia="Times"/>
          <w:szCs w:val="20"/>
          <w:lang w:eastAsia="es-ES"/>
        </w:rPr>
        <w:t xml:space="preserve"> iv) </w:t>
      </w:r>
      <w:r w:rsidR="00EA6DA0">
        <w:rPr>
          <w:rFonts w:eastAsia="Times"/>
          <w:szCs w:val="20"/>
          <w:lang w:eastAsia="es-ES"/>
        </w:rPr>
        <w:t>la cesión de</w:t>
      </w:r>
      <w:r>
        <w:rPr>
          <w:rFonts w:eastAsia="Times"/>
          <w:szCs w:val="20"/>
          <w:lang w:eastAsia="es-ES"/>
        </w:rPr>
        <w:t xml:space="preserve"> un local para la instalación y funcionamiento de la Casa del Soldado con la finalidad de brindar una atención </w:t>
      </w:r>
      <w:r w:rsidRPr="007A3917">
        <w:rPr>
          <w:rFonts w:eastAsia="Times"/>
          <w:szCs w:val="20"/>
          <w:lang w:eastAsia="es-ES"/>
        </w:rPr>
        <w:t>integral</w:t>
      </w:r>
      <w:r>
        <w:rPr>
          <w:rFonts w:eastAsia="Times"/>
          <w:szCs w:val="20"/>
          <w:lang w:eastAsia="es-ES"/>
        </w:rPr>
        <w:t xml:space="preserve"> a las víctimas y familiares del servicio militar; v) oficializar la lista parcial de los 157 jóvenes fallecidos ya reconocidos y contin</w:t>
      </w:r>
      <w:r w:rsidR="005D7081">
        <w:rPr>
          <w:rFonts w:eastAsia="Times"/>
          <w:szCs w:val="20"/>
          <w:lang w:eastAsia="es-ES"/>
        </w:rPr>
        <w:t>uar hasta completar dicha lista;</w:t>
      </w:r>
      <w:r>
        <w:rPr>
          <w:rFonts w:eastAsia="Times"/>
          <w:szCs w:val="20"/>
          <w:lang w:eastAsia="es-ES"/>
        </w:rPr>
        <w:t xml:space="preserve"> vi) hacer entrega del contrato de usufructo vitalicio del panteón donde reposan los restos de la víctima, así como exonerar las tasas municipales del mismo</w:t>
      </w:r>
      <w:r w:rsidR="005D7081">
        <w:rPr>
          <w:rFonts w:eastAsia="Times"/>
          <w:szCs w:val="20"/>
          <w:lang w:eastAsia="es-ES"/>
        </w:rPr>
        <w:t>,</w:t>
      </w:r>
      <w:r>
        <w:rPr>
          <w:rFonts w:eastAsia="Times"/>
          <w:szCs w:val="20"/>
          <w:lang w:eastAsia="es-ES"/>
        </w:rPr>
        <w:t xml:space="preserve"> y vii) </w:t>
      </w:r>
      <w:r w:rsidR="004C4B06">
        <w:rPr>
          <w:rFonts w:eastAsia="Times"/>
          <w:szCs w:val="20"/>
          <w:lang w:eastAsia="es-ES"/>
        </w:rPr>
        <w:t>apartar</w:t>
      </w:r>
      <w:r>
        <w:rPr>
          <w:rFonts w:eastAsia="Times"/>
          <w:szCs w:val="20"/>
          <w:lang w:eastAsia="es-ES"/>
        </w:rPr>
        <w:t xml:space="preserve"> de las negociaciones al Ministerio de Defensa.</w:t>
      </w:r>
      <w:r w:rsidRPr="008F3E3C">
        <w:rPr>
          <w:rFonts w:eastAsia="Times"/>
          <w:szCs w:val="20"/>
          <w:lang w:eastAsia="es-ES"/>
        </w:rPr>
        <w:t xml:space="preserve"> </w:t>
      </w:r>
      <w:r>
        <w:rPr>
          <w:rFonts w:eastAsia="Times"/>
          <w:szCs w:val="20"/>
          <w:lang w:eastAsia="es-ES"/>
        </w:rPr>
        <w:t xml:space="preserve">La </w:t>
      </w:r>
      <w:r w:rsidRPr="00404C7B">
        <w:rPr>
          <w:rFonts w:eastAsia="Times"/>
          <w:i/>
          <w:szCs w:val="20"/>
          <w:lang w:eastAsia="es-ES"/>
        </w:rPr>
        <w:t>Comisión</w:t>
      </w:r>
      <w:r>
        <w:rPr>
          <w:rFonts w:eastAsia="Times"/>
          <w:szCs w:val="20"/>
          <w:lang w:eastAsia="es-ES"/>
        </w:rPr>
        <w:t xml:space="preserve"> no se refirió específicamente a estas medidas.</w:t>
      </w:r>
    </w:p>
    <w:p w14:paraId="1196CAD5" w14:textId="41FA8BE3" w:rsidR="001116E4" w:rsidRDefault="001116E4" w:rsidP="00404C7B">
      <w:pPr>
        <w:pStyle w:val="Prrafodelista"/>
        <w:numPr>
          <w:ilvl w:val="0"/>
          <w:numId w:val="2"/>
        </w:numPr>
        <w:tabs>
          <w:tab w:val="left" w:pos="630"/>
        </w:tabs>
        <w:spacing w:before="120" w:after="120"/>
        <w:ind w:left="0" w:firstLine="0"/>
        <w:contextualSpacing w:val="0"/>
        <w:rPr>
          <w:rFonts w:eastAsia="Times"/>
          <w:szCs w:val="20"/>
          <w:lang w:eastAsia="es-ES"/>
        </w:rPr>
      </w:pPr>
      <w:r>
        <w:rPr>
          <w:rFonts w:eastAsia="Times"/>
          <w:szCs w:val="20"/>
          <w:lang w:eastAsia="es-ES"/>
        </w:rPr>
        <w:t xml:space="preserve">El </w:t>
      </w:r>
      <w:r w:rsidRPr="00404C7B">
        <w:rPr>
          <w:rFonts w:eastAsia="Times"/>
          <w:i/>
          <w:szCs w:val="20"/>
          <w:lang w:eastAsia="es-ES"/>
        </w:rPr>
        <w:t>Estado</w:t>
      </w:r>
      <w:r>
        <w:rPr>
          <w:rFonts w:eastAsia="Times"/>
          <w:szCs w:val="20"/>
          <w:lang w:eastAsia="es-ES"/>
        </w:rPr>
        <w:t xml:space="preserve"> señaló en relación </w:t>
      </w:r>
      <w:r w:rsidR="005D7081">
        <w:rPr>
          <w:rFonts w:eastAsia="Times"/>
          <w:szCs w:val="20"/>
          <w:lang w:eastAsia="es-ES"/>
        </w:rPr>
        <w:t>con la</w:t>
      </w:r>
      <w:r>
        <w:rPr>
          <w:rFonts w:eastAsia="Times"/>
          <w:szCs w:val="20"/>
          <w:lang w:eastAsia="es-ES"/>
        </w:rPr>
        <w:t xml:space="preserve"> construcción del monolito que dicha medida ya fue cumplida, dado que se construyeron tres monolitos con sus placas conmemorativas en honor a Vicente Noguera y el último fue levantado en la calle Cnel. Martínez y Avda. Santa Teresa, requerido por la señora María Noguera; en lo que respecta a la permanencia del monolito construido, el Estado consideró que la misma era innecesaria debido a que no existen denuncias de hechos que permitan sugerir que el monolito será retirado; referente al cambio de nombre de la Avenida Santa Teresa, el Estado afirmó que envió notas a las municipalidades de Asunción y Fernando de la Mora en las cuales se solicitó el cambio de nombre; finalmente, el Estado afirmó que el local “Casa del Soldado” se encuentra a disposición de la señora María Noguera desde el 2013. El </w:t>
      </w:r>
      <w:r w:rsidRPr="000F2EE5">
        <w:rPr>
          <w:rFonts w:eastAsia="Times"/>
          <w:i/>
          <w:szCs w:val="20"/>
          <w:lang w:eastAsia="es-ES"/>
        </w:rPr>
        <w:t>Estado</w:t>
      </w:r>
      <w:r>
        <w:rPr>
          <w:rFonts w:eastAsia="Times"/>
          <w:szCs w:val="20"/>
          <w:lang w:eastAsia="es-ES"/>
        </w:rPr>
        <w:t xml:space="preserve"> no </w:t>
      </w:r>
      <w:r w:rsidR="007A3917">
        <w:rPr>
          <w:rFonts w:eastAsia="Times"/>
          <w:szCs w:val="20"/>
          <w:lang w:eastAsia="es-ES"/>
        </w:rPr>
        <w:t xml:space="preserve">presentó alegatos sobre el </w:t>
      </w:r>
      <w:r>
        <w:rPr>
          <w:rFonts w:eastAsia="Times"/>
          <w:szCs w:val="20"/>
          <w:lang w:eastAsia="es-ES"/>
        </w:rPr>
        <w:t xml:space="preserve">contrato de usufructo vitalicio del panteón donde se encuentran los restos de la presunta víctima y la </w:t>
      </w:r>
      <w:r w:rsidRPr="000F2EE5">
        <w:rPr>
          <w:rFonts w:eastAsia="Times"/>
          <w:i/>
          <w:szCs w:val="20"/>
          <w:lang w:eastAsia="es-ES"/>
        </w:rPr>
        <w:t>Comisión</w:t>
      </w:r>
      <w:r>
        <w:rPr>
          <w:rFonts w:eastAsia="Times"/>
          <w:szCs w:val="20"/>
          <w:lang w:eastAsia="es-ES"/>
        </w:rPr>
        <w:t xml:space="preserve"> no se refirió a estas medidas solicitadas.</w:t>
      </w:r>
    </w:p>
    <w:p w14:paraId="05465402" w14:textId="512C9B55" w:rsidR="009A1278" w:rsidRDefault="00280D3A"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9E5AFA">
        <w:rPr>
          <w:rFonts w:eastAsia="Times"/>
          <w:szCs w:val="20"/>
          <w:lang w:eastAsia="es-ES"/>
        </w:rPr>
        <w:lastRenderedPageBreak/>
        <w:t xml:space="preserve">En </w:t>
      </w:r>
      <w:r>
        <w:rPr>
          <w:rFonts w:eastAsia="Times"/>
          <w:szCs w:val="20"/>
          <w:lang w:eastAsia="es-ES"/>
        </w:rPr>
        <w:t>cuanto a estas</w:t>
      </w:r>
      <w:r w:rsidRPr="009E5AFA">
        <w:rPr>
          <w:rFonts w:eastAsia="Times"/>
          <w:szCs w:val="20"/>
          <w:lang w:eastAsia="es-ES"/>
        </w:rPr>
        <w:t xml:space="preserve"> solicitudes de reparación, la </w:t>
      </w:r>
      <w:r w:rsidRPr="009E5AFA">
        <w:rPr>
          <w:rFonts w:eastAsia="Times"/>
          <w:i/>
          <w:szCs w:val="20"/>
          <w:lang w:eastAsia="es-ES"/>
        </w:rPr>
        <w:t>Corte</w:t>
      </w:r>
      <w:r w:rsidRPr="009E5AFA">
        <w:rPr>
          <w:rFonts w:eastAsia="Times"/>
          <w:szCs w:val="20"/>
          <w:lang w:eastAsia="es-ES"/>
        </w:rPr>
        <w:t xml:space="preserve"> nota que en el marco del Acuerdo de Solución Amistosa, a) el Estado reconoció su responsabilidad internacional en el acto público difundido por los medios de comunicación por medio del entonces </w:t>
      </w:r>
      <w:r w:rsidR="009A1278">
        <w:rPr>
          <w:rFonts w:eastAsia="Times"/>
          <w:szCs w:val="20"/>
          <w:lang w:eastAsia="es-ES"/>
        </w:rPr>
        <w:t xml:space="preserve">Presidente </w:t>
      </w:r>
      <w:r w:rsidRPr="009E5AFA">
        <w:rPr>
          <w:rFonts w:eastAsia="Times"/>
          <w:szCs w:val="20"/>
          <w:lang w:eastAsia="es-ES"/>
        </w:rPr>
        <w:t xml:space="preserve">Fernando Lugo quien pidió disculpas a la familia Noguera; b) el </w:t>
      </w:r>
      <w:r w:rsidR="0006217C">
        <w:rPr>
          <w:rFonts w:eastAsia="Times"/>
          <w:szCs w:val="20"/>
          <w:lang w:eastAsia="es-ES"/>
        </w:rPr>
        <w:t>ex-P</w:t>
      </w:r>
      <w:r w:rsidRPr="009E5AFA">
        <w:rPr>
          <w:rFonts w:eastAsia="Times"/>
          <w:szCs w:val="20"/>
          <w:lang w:eastAsia="es-ES"/>
        </w:rPr>
        <w:t xml:space="preserve">residente de </w:t>
      </w:r>
      <w:r w:rsidR="0006217C">
        <w:rPr>
          <w:rFonts w:eastAsia="Times"/>
          <w:szCs w:val="20"/>
          <w:lang w:eastAsia="es-ES"/>
        </w:rPr>
        <w:t xml:space="preserve">Paraguay </w:t>
      </w:r>
      <w:r w:rsidRPr="009E5AFA">
        <w:rPr>
          <w:rFonts w:eastAsia="Times"/>
          <w:szCs w:val="20"/>
          <w:lang w:eastAsia="es-ES"/>
        </w:rPr>
        <w:t xml:space="preserve">Federico Franco ha participado en actos de desagravio respecto de la señora Noguera en representación del Estado; c) el Estado ha suscrito un contrato de </w:t>
      </w:r>
      <w:r w:rsidRPr="00280D3A">
        <w:rPr>
          <w:rFonts w:eastAsia="Times"/>
          <w:szCs w:val="20"/>
          <w:lang w:eastAsia="es-ES"/>
        </w:rPr>
        <w:t>usufructo</w:t>
      </w:r>
      <w:r w:rsidRPr="009E5AFA">
        <w:rPr>
          <w:rFonts w:eastAsia="Times"/>
          <w:szCs w:val="20"/>
          <w:lang w:eastAsia="es-ES"/>
        </w:rPr>
        <w:t xml:space="preserve"> con señora Noguera y entregado en acto público con la presencia del </w:t>
      </w:r>
      <w:r w:rsidR="0006217C">
        <w:rPr>
          <w:rFonts w:eastAsia="Times"/>
          <w:szCs w:val="20"/>
          <w:lang w:eastAsia="es-ES"/>
        </w:rPr>
        <w:t>e</w:t>
      </w:r>
      <w:r w:rsidRPr="009E5AFA">
        <w:rPr>
          <w:rFonts w:eastAsia="Times"/>
          <w:szCs w:val="20"/>
          <w:lang w:eastAsia="es-ES"/>
        </w:rPr>
        <w:t>x</w:t>
      </w:r>
      <w:r w:rsidR="0006217C">
        <w:rPr>
          <w:rFonts w:eastAsia="Times"/>
          <w:szCs w:val="20"/>
          <w:lang w:eastAsia="es-ES"/>
        </w:rPr>
        <w:t>-P</w:t>
      </w:r>
      <w:r w:rsidRPr="009E5AFA">
        <w:rPr>
          <w:rFonts w:eastAsia="Times"/>
          <w:szCs w:val="20"/>
          <w:lang w:eastAsia="es-ES"/>
        </w:rPr>
        <w:t xml:space="preserve">residente </w:t>
      </w:r>
      <w:r w:rsidR="007A3917" w:rsidRPr="009E5AFA">
        <w:rPr>
          <w:rFonts w:eastAsia="Times"/>
          <w:szCs w:val="20"/>
          <w:lang w:eastAsia="es-ES"/>
        </w:rPr>
        <w:t xml:space="preserve">Federico </w:t>
      </w:r>
      <w:r w:rsidRPr="009E5AFA">
        <w:rPr>
          <w:rFonts w:eastAsia="Times"/>
          <w:szCs w:val="20"/>
          <w:lang w:eastAsia="es-ES"/>
        </w:rPr>
        <w:t xml:space="preserve">Franco un inmueble denominado Casa del Soldado para que sirva como oficina de la asociación familiar de víctimas del servicio militar de la que la </w:t>
      </w:r>
      <w:r>
        <w:rPr>
          <w:rFonts w:eastAsia="Times"/>
          <w:szCs w:val="20"/>
          <w:lang w:eastAsia="es-ES"/>
        </w:rPr>
        <w:t>María</w:t>
      </w:r>
      <w:r w:rsidRPr="009E5AFA">
        <w:rPr>
          <w:rFonts w:eastAsia="Times"/>
          <w:szCs w:val="20"/>
          <w:lang w:eastAsia="es-ES"/>
        </w:rPr>
        <w:t xml:space="preserve"> Noguera es </w:t>
      </w:r>
      <w:r w:rsidR="007A3917">
        <w:rPr>
          <w:rFonts w:eastAsia="Times"/>
          <w:szCs w:val="20"/>
          <w:lang w:eastAsia="es-ES"/>
        </w:rPr>
        <w:t>P</w:t>
      </w:r>
      <w:r w:rsidR="007A3917" w:rsidRPr="009E5AFA">
        <w:rPr>
          <w:rFonts w:eastAsia="Times"/>
          <w:szCs w:val="20"/>
          <w:lang w:eastAsia="es-ES"/>
        </w:rPr>
        <w:t>residenta</w:t>
      </w:r>
      <w:r w:rsidRPr="009E5AFA">
        <w:rPr>
          <w:rFonts w:eastAsia="Times"/>
          <w:szCs w:val="20"/>
          <w:lang w:eastAsia="es-ES"/>
        </w:rPr>
        <w:t>; d) se construyeron 3 monolitos con placas conmemorativas en memoria del fallecido, y e) se reparó el panteón donde se encuentra Vicente Noguera y se hizo entrega del mismo en presencia de altas autoridades.</w:t>
      </w:r>
      <w:r>
        <w:rPr>
          <w:rFonts w:eastAsia="Times"/>
          <w:szCs w:val="20"/>
          <w:lang w:eastAsia="es-ES"/>
        </w:rPr>
        <w:t xml:space="preserve"> </w:t>
      </w:r>
    </w:p>
    <w:p w14:paraId="77DEB3A9" w14:textId="761178A9" w:rsidR="00F95744" w:rsidRPr="00280D3A" w:rsidRDefault="00280D3A"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EA6DA0">
        <w:rPr>
          <w:rFonts w:eastAsia="Times"/>
          <w:szCs w:val="20"/>
          <w:lang w:eastAsia="es-ES"/>
        </w:rPr>
        <w:t xml:space="preserve">Por esos motivos, este Tribunal considera que </w:t>
      </w:r>
      <w:r w:rsidRPr="00EA6DA0">
        <w:rPr>
          <w:rFonts w:eastAsia="Calibri"/>
          <w:szCs w:val="20"/>
          <w:lang w:val="es-CO"/>
        </w:rPr>
        <w:t>la emisión de la presente Sentencia y las demás medidas de satisfacción que ya fueron cumplidas por el Estado resultan suficientes y adecuadas para remediar las violaciones sufridas por las víctimas y no estima procedente ordenar medidas adicionales.</w:t>
      </w:r>
    </w:p>
    <w:p w14:paraId="5E3A7094" w14:textId="27500BA7" w:rsidR="00341164" w:rsidRPr="00280D3A" w:rsidRDefault="00341164" w:rsidP="00280D3A">
      <w:pPr>
        <w:pStyle w:val="Prrafodelista"/>
        <w:numPr>
          <w:ilvl w:val="0"/>
          <w:numId w:val="19"/>
        </w:numPr>
        <w:pBdr>
          <w:top w:val="nil"/>
        </w:pBdr>
        <w:spacing w:before="240" w:after="240"/>
        <w:contextualSpacing w:val="0"/>
        <w:outlineLvl w:val="1"/>
        <w:rPr>
          <w:b/>
          <w:i/>
          <w:snapToGrid w:val="0"/>
          <w:spacing w:val="-2"/>
          <w:szCs w:val="20"/>
          <w:lang w:val="es-CR" w:eastAsia="es-ES"/>
        </w:rPr>
      </w:pPr>
      <w:bookmarkStart w:id="113" w:name="_Toc36132123"/>
      <w:r w:rsidRPr="003A6DDA">
        <w:rPr>
          <w:b/>
          <w:i/>
          <w:snapToGrid w:val="0"/>
          <w:spacing w:val="-2"/>
          <w:szCs w:val="20"/>
          <w:lang w:val="es-CR" w:eastAsia="es-ES"/>
        </w:rPr>
        <w:t>Garantía</w:t>
      </w:r>
      <w:r w:rsidR="006E7046">
        <w:rPr>
          <w:b/>
          <w:i/>
          <w:snapToGrid w:val="0"/>
          <w:spacing w:val="-2"/>
          <w:szCs w:val="20"/>
          <w:lang w:val="es-CR" w:eastAsia="es-ES"/>
        </w:rPr>
        <w:t>s</w:t>
      </w:r>
      <w:r w:rsidRPr="003A6DDA">
        <w:rPr>
          <w:b/>
          <w:i/>
          <w:snapToGrid w:val="0"/>
          <w:spacing w:val="-2"/>
          <w:szCs w:val="20"/>
          <w:lang w:val="es-CR" w:eastAsia="es-ES"/>
        </w:rPr>
        <w:t xml:space="preserve"> de no repetición</w:t>
      </w:r>
      <w:bookmarkEnd w:id="112"/>
      <w:bookmarkEnd w:id="113"/>
    </w:p>
    <w:p w14:paraId="6D4D6A64" w14:textId="11D8B6BD" w:rsidR="00106929" w:rsidRPr="009E5AFA" w:rsidRDefault="00341164"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3A6DDA">
        <w:rPr>
          <w:rFonts w:eastAsia="Times"/>
          <w:szCs w:val="20"/>
          <w:lang w:eastAsia="es-ES"/>
        </w:rPr>
        <w:t xml:space="preserve">La </w:t>
      </w:r>
      <w:r w:rsidRPr="00404C7B">
        <w:rPr>
          <w:rFonts w:eastAsia="Times"/>
          <w:i/>
          <w:szCs w:val="20"/>
          <w:lang w:eastAsia="es-ES"/>
        </w:rPr>
        <w:t>Comisión</w:t>
      </w:r>
      <w:r w:rsidRPr="003A6DDA">
        <w:rPr>
          <w:rFonts w:eastAsia="Times"/>
          <w:i/>
          <w:szCs w:val="20"/>
          <w:lang w:eastAsia="es-ES"/>
        </w:rPr>
        <w:t xml:space="preserve"> </w:t>
      </w:r>
      <w:r w:rsidR="003A6DDA" w:rsidRPr="003A6DDA">
        <w:rPr>
          <w:rFonts w:eastAsia="Times"/>
          <w:szCs w:val="20"/>
          <w:lang w:eastAsia="es-ES"/>
        </w:rPr>
        <w:t>y</w:t>
      </w:r>
      <w:r w:rsidR="003A6DDA" w:rsidRPr="003A6DDA">
        <w:rPr>
          <w:rFonts w:eastAsia="Times"/>
          <w:i/>
          <w:szCs w:val="20"/>
          <w:lang w:eastAsia="es-ES"/>
        </w:rPr>
        <w:t xml:space="preserve"> </w:t>
      </w:r>
      <w:r w:rsidR="003A6DDA" w:rsidRPr="003A6DDA">
        <w:rPr>
          <w:rFonts w:eastAsia="Times"/>
          <w:szCs w:val="20"/>
          <w:lang w:eastAsia="es-ES"/>
        </w:rPr>
        <w:t xml:space="preserve">los </w:t>
      </w:r>
      <w:r w:rsidR="003A6DDA" w:rsidRPr="00404C7B">
        <w:rPr>
          <w:rFonts w:eastAsia="Times"/>
          <w:i/>
          <w:szCs w:val="20"/>
          <w:lang w:eastAsia="es-ES"/>
        </w:rPr>
        <w:t>representantes</w:t>
      </w:r>
      <w:r w:rsidR="003A6DDA" w:rsidRPr="003A6DDA">
        <w:rPr>
          <w:rFonts w:eastAsia="Times"/>
          <w:szCs w:val="20"/>
          <w:lang w:eastAsia="es-ES"/>
        </w:rPr>
        <w:t xml:space="preserve"> </w:t>
      </w:r>
      <w:r w:rsidRPr="003A6DDA">
        <w:rPr>
          <w:rFonts w:eastAsia="Times"/>
          <w:szCs w:val="20"/>
          <w:lang w:eastAsia="es-ES"/>
        </w:rPr>
        <w:t>solicit</w:t>
      </w:r>
      <w:r w:rsidR="003A6DDA" w:rsidRPr="003A6DDA">
        <w:rPr>
          <w:rFonts w:eastAsia="Times"/>
          <w:szCs w:val="20"/>
          <w:lang w:eastAsia="es-ES"/>
        </w:rPr>
        <w:t>aron</w:t>
      </w:r>
      <w:r w:rsidRPr="003A6DDA">
        <w:rPr>
          <w:rFonts w:eastAsia="Times"/>
          <w:szCs w:val="20"/>
          <w:lang w:eastAsia="es-ES"/>
        </w:rPr>
        <w:t xml:space="preserve"> que se ordenara al Estado realizar programas de capacitación a miembros de las fuerzas armadas a cargo de las personas que prestan el servicio militar, específicamente en cuanto </w:t>
      </w:r>
      <w:r w:rsidR="00EB3AB5" w:rsidRPr="003A6DDA">
        <w:rPr>
          <w:rFonts w:eastAsia="Times"/>
          <w:szCs w:val="20"/>
          <w:lang w:eastAsia="es-ES"/>
        </w:rPr>
        <w:t xml:space="preserve">a los estándares internacionales sobre su posición especial de garante frente a dichas personas y </w:t>
      </w:r>
      <w:r w:rsidR="00EB3AB5" w:rsidRPr="00404C7B">
        <w:rPr>
          <w:rFonts w:eastAsia="Calibri"/>
          <w:szCs w:val="20"/>
          <w:lang w:val="es-CO"/>
        </w:rPr>
        <w:t>sobre</w:t>
      </w:r>
      <w:r w:rsidR="00EB3AB5" w:rsidRPr="003A6DDA">
        <w:rPr>
          <w:rFonts w:eastAsia="Times"/>
          <w:szCs w:val="20"/>
          <w:lang w:eastAsia="es-ES"/>
        </w:rPr>
        <w:t xml:space="preserve"> los límites que el derecho internacional de los derechos humanos impone a los métodos de disciplina militar. </w:t>
      </w:r>
      <w:r w:rsidR="00106929" w:rsidRPr="00106929">
        <w:rPr>
          <w:rFonts w:eastAsia="Times"/>
          <w:szCs w:val="20"/>
          <w:lang w:eastAsia="es-ES"/>
        </w:rPr>
        <w:t>A su vez,</w:t>
      </w:r>
      <w:r w:rsidR="00106929">
        <w:rPr>
          <w:rFonts w:eastAsia="Times"/>
          <w:b/>
          <w:szCs w:val="20"/>
          <w:lang w:eastAsia="es-ES"/>
        </w:rPr>
        <w:t xml:space="preserve"> </w:t>
      </w:r>
      <w:r w:rsidR="00106929" w:rsidRPr="00106929">
        <w:rPr>
          <w:rFonts w:eastAsia="Times"/>
          <w:szCs w:val="20"/>
          <w:lang w:eastAsia="es-ES"/>
        </w:rPr>
        <w:t>la</w:t>
      </w:r>
      <w:r w:rsidR="00106929" w:rsidRPr="00471CCB">
        <w:rPr>
          <w:rFonts w:eastAsia="Times"/>
          <w:szCs w:val="20"/>
          <w:lang w:eastAsia="es-ES"/>
        </w:rPr>
        <w:t xml:space="preserve"> </w:t>
      </w:r>
      <w:r w:rsidR="00106929" w:rsidRPr="00404C7B">
        <w:rPr>
          <w:rFonts w:eastAsia="Times"/>
          <w:i/>
          <w:szCs w:val="20"/>
          <w:lang w:eastAsia="es-ES"/>
        </w:rPr>
        <w:t>Comisión</w:t>
      </w:r>
      <w:r w:rsidR="00106929" w:rsidRPr="00471CCB">
        <w:rPr>
          <w:rFonts w:eastAsia="Times"/>
          <w:i/>
          <w:szCs w:val="20"/>
          <w:lang w:eastAsia="es-ES"/>
        </w:rPr>
        <w:t xml:space="preserve"> </w:t>
      </w:r>
      <w:r w:rsidR="00106929" w:rsidRPr="00471CCB">
        <w:rPr>
          <w:rFonts w:eastAsia="Times"/>
          <w:szCs w:val="20"/>
          <w:lang w:eastAsia="es-ES"/>
        </w:rPr>
        <w:t>solicitó que se orde</w:t>
      </w:r>
      <w:r w:rsidR="0006217C">
        <w:rPr>
          <w:rFonts w:eastAsia="Times"/>
          <w:szCs w:val="20"/>
          <w:lang w:eastAsia="es-ES"/>
        </w:rPr>
        <w:t>nare</w:t>
      </w:r>
      <w:r w:rsidR="00106929" w:rsidRPr="00471CCB">
        <w:rPr>
          <w:rFonts w:eastAsia="Times"/>
          <w:szCs w:val="20"/>
          <w:lang w:eastAsia="es-ES"/>
        </w:rPr>
        <w:t xml:space="preserve"> al Estado la creación de mecanismos independientes, idóneos y efectivos de rendición de cuentas sobre abusos en el ámbito de la prestación del servicio militar, así como la eliminación del uso de la justicia militar y el fortalecimiento de las capacidades investigativas frente a muertes y otros abusos que tengan lugar bajo la custodia del Estado en el marco de la prestación del servicio militar. Además</w:t>
      </w:r>
      <w:r w:rsidR="00106929">
        <w:rPr>
          <w:rFonts w:eastAsia="Times"/>
          <w:szCs w:val="20"/>
          <w:lang w:eastAsia="es-ES"/>
        </w:rPr>
        <w:t>,</w:t>
      </w:r>
      <w:r w:rsidR="00106929" w:rsidRPr="00471CCB">
        <w:rPr>
          <w:rFonts w:eastAsia="Times"/>
          <w:szCs w:val="20"/>
          <w:lang w:eastAsia="es-ES"/>
        </w:rPr>
        <w:t xml:space="preserve"> </w:t>
      </w:r>
      <w:r w:rsidR="00106929">
        <w:rPr>
          <w:rFonts w:eastAsia="Times"/>
          <w:szCs w:val="20"/>
          <w:lang w:eastAsia="es-ES"/>
        </w:rPr>
        <w:t xml:space="preserve">los </w:t>
      </w:r>
      <w:r w:rsidR="00106929" w:rsidRPr="00404C7B">
        <w:rPr>
          <w:rFonts w:eastAsia="Times"/>
          <w:i/>
          <w:szCs w:val="20"/>
          <w:lang w:eastAsia="es-ES"/>
        </w:rPr>
        <w:t>representantes</w:t>
      </w:r>
      <w:r w:rsidR="00106929">
        <w:rPr>
          <w:rFonts w:eastAsia="Times"/>
          <w:szCs w:val="20"/>
          <w:lang w:eastAsia="es-ES"/>
        </w:rPr>
        <w:t xml:space="preserve"> </w:t>
      </w:r>
      <w:r w:rsidR="00106929" w:rsidRPr="00471CCB">
        <w:rPr>
          <w:rFonts w:eastAsia="Times"/>
          <w:szCs w:val="20"/>
          <w:lang w:eastAsia="es-ES"/>
        </w:rPr>
        <w:t>señalaron que el Estado debía eliminar la Justicia Militar como ámbito jurisdiccional para investigación de casos de acción penal pública y casos de violaciones de derechos humanos y solicitaron que se reglamentara la Ley No. 4913 que recuerda la no violencia en los cuarteles.</w:t>
      </w:r>
    </w:p>
    <w:p w14:paraId="5C7C5BE9" w14:textId="41E73452" w:rsidR="00341164" w:rsidRPr="003A6DDA" w:rsidRDefault="00106929" w:rsidP="00404C7B">
      <w:pPr>
        <w:pStyle w:val="Prrafodelista"/>
        <w:numPr>
          <w:ilvl w:val="0"/>
          <w:numId w:val="2"/>
        </w:numPr>
        <w:tabs>
          <w:tab w:val="left" w:pos="630"/>
        </w:tabs>
        <w:spacing w:before="120" w:after="120"/>
        <w:ind w:left="0" w:firstLine="0"/>
        <w:contextualSpacing w:val="0"/>
        <w:rPr>
          <w:rFonts w:eastAsia="Times"/>
          <w:szCs w:val="20"/>
          <w:lang w:eastAsia="es-ES"/>
        </w:rPr>
      </w:pPr>
      <w:r>
        <w:rPr>
          <w:rFonts w:eastAsia="Times"/>
          <w:szCs w:val="20"/>
          <w:lang w:eastAsia="es-ES"/>
        </w:rPr>
        <w:t>Sobre los programas de capacitación, e</w:t>
      </w:r>
      <w:r w:rsidR="0084606A" w:rsidRPr="003A6DDA">
        <w:rPr>
          <w:rFonts w:eastAsia="Times"/>
          <w:szCs w:val="20"/>
          <w:lang w:eastAsia="es-ES"/>
        </w:rPr>
        <w:t xml:space="preserve">l </w:t>
      </w:r>
      <w:r w:rsidR="0084606A" w:rsidRPr="00404C7B">
        <w:rPr>
          <w:rFonts w:eastAsia="Times"/>
          <w:i/>
          <w:szCs w:val="20"/>
          <w:lang w:eastAsia="es-ES"/>
        </w:rPr>
        <w:t>Estado</w:t>
      </w:r>
      <w:r w:rsidR="0084606A" w:rsidRPr="003A6DDA">
        <w:rPr>
          <w:rFonts w:eastAsia="Times"/>
          <w:szCs w:val="20"/>
          <w:lang w:eastAsia="es-ES"/>
        </w:rPr>
        <w:t xml:space="preserve"> señaló que esta medida ya fue cumplida, sumado a que en el caso Vargas Areco ya se tuvo por cumplida una medida </w:t>
      </w:r>
      <w:r w:rsidR="007A3917">
        <w:rPr>
          <w:rFonts w:eastAsia="Times"/>
          <w:szCs w:val="20"/>
          <w:lang w:eastAsia="es-ES"/>
        </w:rPr>
        <w:t xml:space="preserve">de reparación de </w:t>
      </w:r>
      <w:r w:rsidR="0084606A" w:rsidRPr="003A6DDA">
        <w:rPr>
          <w:rFonts w:eastAsia="Times"/>
          <w:szCs w:val="20"/>
          <w:lang w:eastAsia="es-ES"/>
        </w:rPr>
        <w:t>similar</w:t>
      </w:r>
      <w:r w:rsidR="007A3917">
        <w:rPr>
          <w:rFonts w:eastAsia="Times"/>
          <w:szCs w:val="20"/>
          <w:lang w:eastAsia="es-ES"/>
        </w:rPr>
        <w:t xml:space="preserve"> naturaleza</w:t>
      </w:r>
      <w:r w:rsidR="0084606A" w:rsidRPr="003A6DDA">
        <w:rPr>
          <w:rFonts w:eastAsia="Times"/>
          <w:szCs w:val="20"/>
          <w:lang w:eastAsia="es-ES"/>
        </w:rPr>
        <w:t>. Específicamente, el Estado afirmó que por directiva general del Comando en Jefe de las Fuerzas Armadas</w:t>
      </w:r>
      <w:r w:rsidR="0006217C">
        <w:rPr>
          <w:rFonts w:eastAsia="Times"/>
          <w:szCs w:val="20"/>
          <w:lang w:eastAsia="es-ES"/>
        </w:rPr>
        <w:t>,</w:t>
      </w:r>
      <w:r w:rsidR="0084606A" w:rsidRPr="003A6DDA">
        <w:rPr>
          <w:rFonts w:eastAsia="Times"/>
          <w:szCs w:val="20"/>
          <w:lang w:eastAsia="es-ES"/>
        </w:rPr>
        <w:t xml:space="preserve"> se ordenó enfatizar la enseñanza en el área de los Derechos Humanos, Derecho Internacional Humanitario y defensa del ambiente.</w:t>
      </w:r>
      <w:r w:rsidR="00793FF5">
        <w:rPr>
          <w:rFonts w:eastAsia="Times"/>
          <w:szCs w:val="20"/>
          <w:lang w:eastAsia="es-ES"/>
        </w:rPr>
        <w:t xml:space="preserve"> </w:t>
      </w:r>
      <w:r w:rsidRPr="00106929">
        <w:rPr>
          <w:rFonts w:eastAsia="Times"/>
          <w:szCs w:val="20"/>
          <w:lang w:eastAsia="es-ES"/>
        </w:rPr>
        <w:t>En cuanto a</w:t>
      </w:r>
      <w:r>
        <w:rPr>
          <w:rFonts w:eastAsia="Times"/>
          <w:b/>
          <w:szCs w:val="20"/>
          <w:lang w:eastAsia="es-ES"/>
        </w:rPr>
        <w:t xml:space="preserve"> </w:t>
      </w:r>
      <w:r>
        <w:rPr>
          <w:rFonts w:eastAsia="Times"/>
          <w:szCs w:val="20"/>
          <w:lang w:eastAsia="es-ES"/>
        </w:rPr>
        <w:t>la justicia penal militar, e</w:t>
      </w:r>
      <w:r w:rsidRPr="00A854E7">
        <w:rPr>
          <w:rFonts w:eastAsia="Times"/>
          <w:szCs w:val="20"/>
          <w:lang w:eastAsia="es-ES"/>
        </w:rPr>
        <w:t xml:space="preserve">l </w:t>
      </w:r>
      <w:r w:rsidRPr="00404C7B">
        <w:rPr>
          <w:rFonts w:eastAsia="Times"/>
          <w:i/>
          <w:szCs w:val="20"/>
          <w:lang w:eastAsia="es-ES"/>
        </w:rPr>
        <w:t>Estado</w:t>
      </w:r>
      <w:r w:rsidRPr="00A854E7">
        <w:rPr>
          <w:rFonts w:eastAsia="Times"/>
          <w:szCs w:val="20"/>
          <w:lang w:eastAsia="es-ES"/>
        </w:rPr>
        <w:t xml:space="preserve"> informó que existe en trámite un pedido de modificación de todo el sistema penal militar y un completo cambio de paradigma respecto de su alcance, cuya discusión estaba por iniciar en el congreso. </w:t>
      </w:r>
    </w:p>
    <w:p w14:paraId="01AB13AA" w14:textId="104CF907" w:rsidR="000C3FC1" w:rsidRDefault="003A6DDA"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1D6DA0">
        <w:rPr>
          <w:rFonts w:eastAsia="Times"/>
          <w:szCs w:val="20"/>
          <w:lang w:eastAsia="es-ES"/>
        </w:rPr>
        <w:t xml:space="preserve">Esta </w:t>
      </w:r>
      <w:r w:rsidRPr="00404C7B">
        <w:rPr>
          <w:rFonts w:eastAsia="Times"/>
          <w:i/>
          <w:szCs w:val="20"/>
          <w:lang w:eastAsia="es-ES"/>
        </w:rPr>
        <w:t>Corte</w:t>
      </w:r>
      <w:r w:rsidRPr="001D6DA0">
        <w:rPr>
          <w:rFonts w:eastAsia="Times"/>
          <w:szCs w:val="20"/>
          <w:lang w:eastAsia="es-ES"/>
        </w:rPr>
        <w:t xml:space="preserve"> </w:t>
      </w:r>
      <w:r w:rsidR="00363F94">
        <w:rPr>
          <w:rFonts w:eastAsia="Times"/>
          <w:szCs w:val="20"/>
          <w:lang w:eastAsia="es-ES"/>
        </w:rPr>
        <w:t>observa</w:t>
      </w:r>
      <w:r w:rsidR="00471CCB" w:rsidRPr="001D6DA0">
        <w:rPr>
          <w:rFonts w:eastAsia="Times"/>
          <w:szCs w:val="20"/>
          <w:lang w:eastAsia="es-ES"/>
        </w:rPr>
        <w:t xml:space="preserve"> que</w:t>
      </w:r>
      <w:r w:rsidR="00E62EF0" w:rsidRPr="007A012C">
        <w:rPr>
          <w:rFonts w:eastAsia="Times"/>
          <w:szCs w:val="20"/>
          <w:lang w:eastAsia="es-ES"/>
        </w:rPr>
        <w:t>,</w:t>
      </w:r>
      <w:r w:rsidR="00471CCB" w:rsidRPr="007A012C">
        <w:rPr>
          <w:rFonts w:eastAsia="Times"/>
          <w:szCs w:val="20"/>
          <w:lang w:eastAsia="es-ES"/>
        </w:rPr>
        <w:t xml:space="preserve"> en el Acuerdo de Solución Amistosa, el Estado se comprometió a incluir en la </w:t>
      </w:r>
      <w:proofErr w:type="spellStart"/>
      <w:r w:rsidR="00471CCB" w:rsidRPr="007A012C">
        <w:rPr>
          <w:rFonts w:eastAsia="Times"/>
          <w:i/>
          <w:szCs w:val="20"/>
          <w:lang w:eastAsia="es-ES"/>
        </w:rPr>
        <w:t>curricula</w:t>
      </w:r>
      <w:proofErr w:type="spellEnd"/>
      <w:r w:rsidR="00471CCB" w:rsidRPr="007A012C">
        <w:rPr>
          <w:rFonts w:eastAsia="Times"/>
          <w:szCs w:val="20"/>
          <w:lang w:eastAsia="es-ES"/>
        </w:rPr>
        <w:t xml:space="preserve"> de formación académica militar de la Escuela de Estado Mayor y Escuelas de Capitanes de las tres Armas</w:t>
      </w:r>
      <w:r w:rsidR="007A3917">
        <w:rPr>
          <w:rFonts w:eastAsia="Times"/>
          <w:szCs w:val="20"/>
          <w:lang w:eastAsia="es-ES"/>
        </w:rPr>
        <w:t>,</w:t>
      </w:r>
      <w:r w:rsidR="00471CCB" w:rsidRPr="007A012C">
        <w:rPr>
          <w:rFonts w:eastAsia="Times"/>
          <w:szCs w:val="20"/>
          <w:lang w:eastAsia="es-ES"/>
        </w:rPr>
        <w:t xml:space="preserve"> Programas de Educación en Derechos Humanos, en atención a que la víctima formaba parte de la Escuela de Formación de Oficiales de Reserva. Por otra parte, el Tribunal valora</w:t>
      </w:r>
      <w:r w:rsidR="0006217C">
        <w:rPr>
          <w:rFonts w:eastAsia="Times"/>
          <w:szCs w:val="20"/>
          <w:lang w:eastAsia="es-ES"/>
        </w:rPr>
        <w:t>,</w:t>
      </w:r>
      <w:r w:rsidR="00471CCB" w:rsidRPr="007A012C">
        <w:rPr>
          <w:rFonts w:eastAsia="Times"/>
          <w:szCs w:val="20"/>
          <w:lang w:eastAsia="es-ES"/>
        </w:rPr>
        <w:t xml:space="preserve"> que en el marco del cumplimiento de las reparaciones ordenadas en el caso Vargas Areco</w:t>
      </w:r>
      <w:r w:rsidR="0006217C">
        <w:rPr>
          <w:rFonts w:eastAsia="Times"/>
          <w:szCs w:val="20"/>
          <w:lang w:eastAsia="es-ES"/>
        </w:rPr>
        <w:t>,</w:t>
      </w:r>
      <w:r w:rsidR="00471CCB" w:rsidRPr="007A012C">
        <w:rPr>
          <w:rFonts w:eastAsia="Times"/>
          <w:szCs w:val="20"/>
          <w:lang w:eastAsia="es-ES"/>
        </w:rPr>
        <w:t xml:space="preserve"> se implementaran programas de capacitación dirigidos a las fuerzas </w:t>
      </w:r>
      <w:r w:rsidR="0006217C">
        <w:rPr>
          <w:rFonts w:eastAsia="Times"/>
          <w:szCs w:val="20"/>
          <w:lang w:eastAsia="es-ES"/>
        </w:rPr>
        <w:t>armadas como una garantía</w:t>
      </w:r>
      <w:r w:rsidR="00471CCB" w:rsidRPr="00E85D39">
        <w:rPr>
          <w:rFonts w:eastAsia="Times"/>
          <w:szCs w:val="20"/>
          <w:lang w:eastAsia="es-ES"/>
        </w:rPr>
        <w:t xml:space="preserve"> de no repetición</w:t>
      </w:r>
      <w:r w:rsidR="00363F94">
        <w:rPr>
          <w:rFonts w:eastAsia="Times"/>
          <w:szCs w:val="20"/>
          <w:lang w:eastAsia="es-ES"/>
        </w:rPr>
        <w:t xml:space="preserve"> y que </w:t>
      </w:r>
      <w:r w:rsidR="002E376F">
        <w:rPr>
          <w:rFonts w:eastAsia="Times"/>
          <w:szCs w:val="20"/>
          <w:lang w:eastAsia="es-ES"/>
        </w:rPr>
        <w:t>Paraguay no permite que personas menores de edad puedan efectuar el servicio militar voluntario desde el año 2008</w:t>
      </w:r>
      <w:r w:rsidR="00E62EF0" w:rsidRPr="001D6DA0">
        <w:rPr>
          <w:rFonts w:eastAsia="Times"/>
          <w:szCs w:val="20"/>
          <w:lang w:eastAsia="es-ES"/>
        </w:rPr>
        <w:t>.</w:t>
      </w:r>
      <w:r w:rsidR="00471CCB" w:rsidRPr="001D6DA0">
        <w:rPr>
          <w:rFonts w:eastAsia="Times"/>
          <w:szCs w:val="20"/>
          <w:lang w:eastAsia="es-ES"/>
        </w:rPr>
        <w:t xml:space="preserve"> </w:t>
      </w:r>
      <w:r w:rsidR="00E62EF0" w:rsidRPr="007A012C">
        <w:rPr>
          <w:rFonts w:eastAsia="Times"/>
          <w:szCs w:val="20"/>
          <w:lang w:eastAsia="es-ES"/>
        </w:rPr>
        <w:t>S</w:t>
      </w:r>
      <w:r w:rsidR="00471CCB" w:rsidRPr="007A012C">
        <w:rPr>
          <w:rFonts w:eastAsia="Times"/>
          <w:szCs w:val="20"/>
          <w:lang w:eastAsia="es-ES"/>
        </w:rPr>
        <w:t>in embargo</w:t>
      </w:r>
      <w:r w:rsidR="00E62EF0" w:rsidRPr="007A012C">
        <w:rPr>
          <w:rFonts w:eastAsia="Times"/>
          <w:szCs w:val="20"/>
          <w:lang w:eastAsia="es-ES"/>
        </w:rPr>
        <w:t>,</w:t>
      </w:r>
      <w:r w:rsidR="00471CCB" w:rsidRPr="007A012C">
        <w:rPr>
          <w:rFonts w:eastAsia="Times"/>
          <w:szCs w:val="20"/>
          <w:lang w:eastAsia="es-ES"/>
        </w:rPr>
        <w:t xml:space="preserve"> </w:t>
      </w:r>
      <w:r w:rsidRPr="007A012C">
        <w:rPr>
          <w:rFonts w:eastAsia="Times"/>
          <w:szCs w:val="20"/>
          <w:lang w:eastAsia="es-ES"/>
        </w:rPr>
        <w:t>estima que corresponde ordenar al Estado que</w:t>
      </w:r>
      <w:r w:rsidR="0006217C" w:rsidRPr="0006217C">
        <w:rPr>
          <w:rFonts w:eastAsia="Times"/>
          <w:szCs w:val="20"/>
          <w:lang w:eastAsia="es-ES"/>
        </w:rPr>
        <w:t xml:space="preserve"> </w:t>
      </w:r>
      <w:r w:rsidR="0006217C" w:rsidRPr="007A012C">
        <w:rPr>
          <w:rFonts w:eastAsia="Times"/>
          <w:szCs w:val="20"/>
          <w:lang w:eastAsia="es-ES"/>
        </w:rPr>
        <w:t>se asegure</w:t>
      </w:r>
      <w:r w:rsidRPr="007A012C">
        <w:rPr>
          <w:rFonts w:eastAsia="Times"/>
          <w:szCs w:val="20"/>
          <w:lang w:eastAsia="es-ES"/>
        </w:rPr>
        <w:t xml:space="preserve"> </w:t>
      </w:r>
      <w:r w:rsidR="001116E4" w:rsidRPr="007A012C">
        <w:rPr>
          <w:rFonts w:eastAsia="Times"/>
          <w:szCs w:val="20"/>
          <w:lang w:eastAsia="es-ES"/>
        </w:rPr>
        <w:t xml:space="preserve">que dentro de la </w:t>
      </w:r>
      <w:proofErr w:type="spellStart"/>
      <w:r w:rsidR="001116E4" w:rsidRPr="007A012C">
        <w:rPr>
          <w:rFonts w:eastAsia="Times"/>
          <w:i/>
          <w:szCs w:val="20"/>
          <w:lang w:eastAsia="es-ES"/>
        </w:rPr>
        <w:t>curricula</w:t>
      </w:r>
      <w:proofErr w:type="spellEnd"/>
      <w:r w:rsidR="001116E4" w:rsidRPr="007A012C">
        <w:rPr>
          <w:rFonts w:eastAsia="Times"/>
          <w:szCs w:val="20"/>
          <w:lang w:eastAsia="es-ES"/>
        </w:rPr>
        <w:t xml:space="preserve"> de formación académica militar de la Escuela de </w:t>
      </w:r>
      <w:r w:rsidR="001116E4" w:rsidRPr="007A012C">
        <w:rPr>
          <w:rFonts w:eastAsia="Times"/>
          <w:szCs w:val="20"/>
          <w:lang w:eastAsia="es-ES"/>
        </w:rPr>
        <w:lastRenderedPageBreak/>
        <w:t xml:space="preserve">Estado Mayor y Escuelas de Capitanes de las tres Armas </w:t>
      </w:r>
      <w:r w:rsidR="00D72033">
        <w:rPr>
          <w:rFonts w:eastAsia="Times"/>
          <w:szCs w:val="20"/>
          <w:lang w:eastAsia="es-ES"/>
        </w:rPr>
        <w:t xml:space="preserve">estén previstos </w:t>
      </w:r>
      <w:r w:rsidR="001116E4" w:rsidRPr="001D6DA0">
        <w:rPr>
          <w:rFonts w:eastAsia="Times"/>
          <w:szCs w:val="20"/>
          <w:lang w:eastAsia="es-ES"/>
        </w:rPr>
        <w:t xml:space="preserve">programas de </w:t>
      </w:r>
      <w:r w:rsidR="0006217C">
        <w:rPr>
          <w:rFonts w:eastAsia="Times"/>
          <w:szCs w:val="20"/>
          <w:lang w:eastAsia="es-ES"/>
        </w:rPr>
        <w:t xml:space="preserve">formación en </w:t>
      </w:r>
      <w:r w:rsidR="001116E4" w:rsidRPr="001D6DA0">
        <w:rPr>
          <w:rFonts w:eastAsia="Times"/>
          <w:szCs w:val="20"/>
          <w:lang w:eastAsia="es-ES"/>
        </w:rPr>
        <w:t>Derechos Humanos</w:t>
      </w:r>
      <w:r w:rsidR="007A012C" w:rsidRPr="001D6DA0">
        <w:rPr>
          <w:rFonts w:eastAsia="Times"/>
          <w:szCs w:val="20"/>
          <w:lang w:eastAsia="es-ES"/>
        </w:rPr>
        <w:t xml:space="preserve"> </w:t>
      </w:r>
      <w:r w:rsidR="007A012C" w:rsidRPr="007A012C">
        <w:rPr>
          <w:rFonts w:eastAsia="Times"/>
          <w:szCs w:val="20"/>
          <w:lang w:eastAsia="es-ES"/>
        </w:rPr>
        <w:t xml:space="preserve">específicamente en cuanto a los estándares internacionales sobre </w:t>
      </w:r>
      <w:r w:rsidR="00363F94">
        <w:rPr>
          <w:rFonts w:eastAsia="Times"/>
          <w:szCs w:val="20"/>
          <w:lang w:eastAsia="es-ES"/>
        </w:rPr>
        <w:t>la</w:t>
      </w:r>
      <w:r w:rsidR="007A012C" w:rsidRPr="007A012C">
        <w:rPr>
          <w:rFonts w:eastAsia="Times"/>
          <w:szCs w:val="20"/>
          <w:lang w:eastAsia="es-ES"/>
        </w:rPr>
        <w:t xml:space="preserve"> posición especial de garante</w:t>
      </w:r>
      <w:r w:rsidR="00E85D39">
        <w:rPr>
          <w:rFonts w:eastAsia="Times"/>
          <w:szCs w:val="20"/>
          <w:lang w:eastAsia="es-ES"/>
        </w:rPr>
        <w:t xml:space="preserve"> del Estado</w:t>
      </w:r>
      <w:r w:rsidR="007A012C" w:rsidRPr="001D6DA0">
        <w:rPr>
          <w:rFonts w:eastAsia="Times"/>
          <w:szCs w:val="20"/>
          <w:lang w:eastAsia="es-ES"/>
        </w:rPr>
        <w:t xml:space="preserve"> frente a</w:t>
      </w:r>
      <w:r w:rsidR="00CF2BF4">
        <w:rPr>
          <w:rFonts w:eastAsia="Times"/>
          <w:szCs w:val="20"/>
          <w:lang w:eastAsia="es-ES"/>
        </w:rPr>
        <w:t xml:space="preserve"> todas</w:t>
      </w:r>
      <w:r w:rsidR="007A012C" w:rsidRPr="001D6DA0">
        <w:rPr>
          <w:rFonts w:eastAsia="Times"/>
          <w:szCs w:val="20"/>
          <w:lang w:eastAsia="es-ES"/>
        </w:rPr>
        <w:t xml:space="preserve"> las personas que prestan el servicio militar.</w:t>
      </w:r>
      <w:r w:rsidR="007A012C">
        <w:rPr>
          <w:rFonts w:eastAsia="Times"/>
          <w:szCs w:val="20"/>
          <w:lang w:eastAsia="es-ES"/>
        </w:rPr>
        <w:t xml:space="preserve"> Lo anterior </w:t>
      </w:r>
      <w:r w:rsidR="00471CCB" w:rsidRPr="001D6DA0">
        <w:rPr>
          <w:rFonts w:eastAsia="Times"/>
          <w:szCs w:val="20"/>
          <w:lang w:eastAsia="es-ES"/>
        </w:rPr>
        <w:t xml:space="preserve">deberá </w:t>
      </w:r>
      <w:r w:rsidR="007A012C">
        <w:rPr>
          <w:rFonts w:eastAsia="Times"/>
          <w:szCs w:val="20"/>
          <w:lang w:eastAsia="es-ES"/>
        </w:rPr>
        <w:t xml:space="preserve">ser cumplido </w:t>
      </w:r>
      <w:r w:rsidR="00471CCB" w:rsidRPr="001D6DA0">
        <w:rPr>
          <w:rFonts w:eastAsia="Times"/>
          <w:szCs w:val="20"/>
          <w:lang w:eastAsia="es-ES"/>
        </w:rPr>
        <w:t>en el plazo de un año des</w:t>
      </w:r>
      <w:r w:rsidR="0006217C">
        <w:rPr>
          <w:rFonts w:eastAsia="Times"/>
          <w:szCs w:val="20"/>
          <w:lang w:eastAsia="es-ES"/>
        </w:rPr>
        <w:t>d</w:t>
      </w:r>
      <w:r w:rsidR="00471CCB" w:rsidRPr="001D6DA0">
        <w:rPr>
          <w:rFonts w:eastAsia="Times"/>
          <w:szCs w:val="20"/>
          <w:lang w:eastAsia="es-ES"/>
        </w:rPr>
        <w:t xml:space="preserve">e la notificación </w:t>
      </w:r>
      <w:r w:rsidR="00471CCB" w:rsidRPr="007A012C">
        <w:rPr>
          <w:rFonts w:eastAsia="Times"/>
          <w:szCs w:val="20"/>
          <w:lang w:eastAsia="es-ES"/>
        </w:rPr>
        <w:t>de la presente Sentencia</w:t>
      </w:r>
      <w:r w:rsidR="007A012C">
        <w:rPr>
          <w:rFonts w:eastAsia="Times"/>
          <w:szCs w:val="20"/>
          <w:lang w:eastAsia="es-ES"/>
        </w:rPr>
        <w:t>.</w:t>
      </w:r>
      <w:r w:rsidR="00EE22D7">
        <w:rPr>
          <w:rFonts w:eastAsia="Times"/>
          <w:szCs w:val="20"/>
          <w:lang w:eastAsia="es-ES"/>
        </w:rPr>
        <w:t xml:space="preserve"> </w:t>
      </w:r>
    </w:p>
    <w:p w14:paraId="3A2EC5FB" w14:textId="0B34F259" w:rsidR="003A6DDA" w:rsidRPr="007A012C" w:rsidRDefault="000C3FC1" w:rsidP="0006217C">
      <w:pPr>
        <w:pStyle w:val="Prrafodelista"/>
        <w:numPr>
          <w:ilvl w:val="0"/>
          <w:numId w:val="2"/>
        </w:numPr>
        <w:tabs>
          <w:tab w:val="left" w:pos="630"/>
        </w:tabs>
        <w:spacing w:before="120" w:after="120"/>
        <w:ind w:left="0" w:firstLine="0"/>
        <w:contextualSpacing w:val="0"/>
        <w:rPr>
          <w:rFonts w:eastAsia="Times"/>
          <w:szCs w:val="20"/>
          <w:lang w:eastAsia="es-ES"/>
        </w:rPr>
      </w:pPr>
      <w:r w:rsidRPr="00106929">
        <w:rPr>
          <w:rFonts w:eastAsia="Times"/>
          <w:szCs w:val="20"/>
          <w:lang w:eastAsia="es-ES"/>
        </w:rPr>
        <w:t xml:space="preserve">Por otra parte, </w:t>
      </w:r>
      <w:r>
        <w:rPr>
          <w:rFonts w:eastAsia="Times"/>
          <w:szCs w:val="20"/>
          <w:lang w:eastAsia="es-ES"/>
        </w:rPr>
        <w:t xml:space="preserve">en cuanto a la jurisdicción penal militar, </w:t>
      </w:r>
      <w:r w:rsidRPr="00106929">
        <w:rPr>
          <w:rFonts w:eastAsia="Times"/>
          <w:szCs w:val="20"/>
          <w:lang w:eastAsia="es-ES"/>
        </w:rPr>
        <w:t>la Corte recuerda que, si bien en el presente caso no se llegó a concluir que el Estado fuera responsable por una violación a su deber de adoptar disposiciones de derecho interno contenido en el artículo 2 de la Convención Americana, sí estima pertinente ordenar al Estado paraguayo que</w:t>
      </w:r>
      <w:r w:rsidR="0006217C">
        <w:rPr>
          <w:rFonts w:eastAsia="Times"/>
          <w:szCs w:val="20"/>
          <w:lang w:eastAsia="es-ES"/>
        </w:rPr>
        <w:t xml:space="preserve">, </w:t>
      </w:r>
      <w:r w:rsidR="0006217C" w:rsidRPr="0006217C">
        <w:rPr>
          <w:rFonts w:eastAsia="Times"/>
          <w:szCs w:val="20"/>
          <w:lang w:eastAsia="es-ES"/>
        </w:rPr>
        <w:t>en razón de que la primera investigación se adelantó en el ámbito de la justicia militar</w:t>
      </w:r>
      <w:r w:rsidR="0006217C">
        <w:rPr>
          <w:rFonts w:eastAsia="Times"/>
          <w:szCs w:val="20"/>
          <w:lang w:eastAsia="es-ES"/>
        </w:rPr>
        <w:t>,</w:t>
      </w:r>
      <w:r w:rsidRPr="00106929">
        <w:rPr>
          <w:rFonts w:eastAsia="Times"/>
          <w:szCs w:val="20"/>
          <w:lang w:eastAsia="es-ES"/>
        </w:rPr>
        <w:t xml:space="preserve"> rinda un informe sobre el avance del trámite legislativo relativo a la reforma de la jurisdicción penal militar</w:t>
      </w:r>
      <w:r w:rsidR="007A3917">
        <w:rPr>
          <w:rFonts w:eastAsia="Times"/>
          <w:szCs w:val="20"/>
          <w:lang w:eastAsia="es-ES"/>
        </w:rPr>
        <w:t xml:space="preserve"> que fuera mencionada por </w:t>
      </w:r>
      <w:r w:rsidR="008310DB">
        <w:rPr>
          <w:rFonts w:eastAsia="Times"/>
          <w:szCs w:val="20"/>
          <w:lang w:eastAsia="es-ES"/>
        </w:rPr>
        <w:t>éste</w:t>
      </w:r>
      <w:r w:rsidRPr="00106929">
        <w:rPr>
          <w:rFonts w:eastAsia="Times"/>
          <w:szCs w:val="20"/>
          <w:lang w:eastAsia="es-ES"/>
        </w:rPr>
        <w:t>. Dicho informe deberá contener precisiones respecto a los principales cambios propuestos, su compatibilidad con la Convención y los plazos propuestos para su aprobación definitiva.</w:t>
      </w:r>
      <w:r w:rsidR="0006217C" w:rsidRPr="0006217C">
        <w:rPr>
          <w:rFonts w:eastAsia="Times"/>
          <w:szCs w:val="20"/>
          <w:lang w:eastAsia="es-ES"/>
        </w:rPr>
        <w:t xml:space="preserve"> </w:t>
      </w:r>
      <w:r w:rsidR="0006217C">
        <w:rPr>
          <w:rFonts w:eastAsia="Times"/>
          <w:szCs w:val="20"/>
          <w:lang w:eastAsia="es-ES"/>
        </w:rPr>
        <w:t xml:space="preserve">Lo anterior </w:t>
      </w:r>
      <w:r w:rsidR="0006217C" w:rsidRPr="001D6DA0">
        <w:rPr>
          <w:rFonts w:eastAsia="Times"/>
          <w:szCs w:val="20"/>
          <w:lang w:eastAsia="es-ES"/>
        </w:rPr>
        <w:t xml:space="preserve">deberá </w:t>
      </w:r>
      <w:r w:rsidR="0006217C">
        <w:rPr>
          <w:rFonts w:eastAsia="Times"/>
          <w:szCs w:val="20"/>
          <w:lang w:eastAsia="es-ES"/>
        </w:rPr>
        <w:t xml:space="preserve">ser cumplido </w:t>
      </w:r>
      <w:r w:rsidR="0006217C" w:rsidRPr="001D6DA0">
        <w:rPr>
          <w:rFonts w:eastAsia="Times"/>
          <w:szCs w:val="20"/>
          <w:lang w:eastAsia="es-ES"/>
        </w:rPr>
        <w:t>en el plazo de un año des</w:t>
      </w:r>
      <w:r w:rsidR="0006217C">
        <w:rPr>
          <w:rFonts w:eastAsia="Times"/>
          <w:szCs w:val="20"/>
          <w:lang w:eastAsia="es-ES"/>
        </w:rPr>
        <w:t>d</w:t>
      </w:r>
      <w:r w:rsidR="0006217C" w:rsidRPr="001D6DA0">
        <w:rPr>
          <w:rFonts w:eastAsia="Times"/>
          <w:szCs w:val="20"/>
          <w:lang w:eastAsia="es-ES"/>
        </w:rPr>
        <w:t xml:space="preserve">e la notificación </w:t>
      </w:r>
      <w:r w:rsidR="0006217C" w:rsidRPr="007A012C">
        <w:rPr>
          <w:rFonts w:eastAsia="Times"/>
          <w:szCs w:val="20"/>
          <w:lang w:eastAsia="es-ES"/>
        </w:rPr>
        <w:t>de la presente Sentencia</w:t>
      </w:r>
      <w:r w:rsidR="0006217C">
        <w:rPr>
          <w:rFonts w:eastAsia="Times"/>
          <w:szCs w:val="20"/>
          <w:lang w:eastAsia="es-ES"/>
        </w:rPr>
        <w:t>.</w:t>
      </w:r>
    </w:p>
    <w:p w14:paraId="1F27AEE8" w14:textId="6FCC5C49" w:rsidR="00112425" w:rsidRPr="009E5AFA" w:rsidRDefault="00CA2A7D" w:rsidP="009E5AFA">
      <w:pPr>
        <w:pStyle w:val="Prrafodelista"/>
        <w:numPr>
          <w:ilvl w:val="0"/>
          <w:numId w:val="11"/>
        </w:numPr>
        <w:pBdr>
          <w:top w:val="nil"/>
        </w:pBdr>
        <w:spacing w:before="240" w:after="240"/>
        <w:contextualSpacing w:val="0"/>
        <w:outlineLvl w:val="1"/>
        <w:rPr>
          <w:b/>
          <w:i/>
          <w:snapToGrid w:val="0"/>
          <w:spacing w:val="-2"/>
          <w:szCs w:val="20"/>
          <w:lang w:val="es-CR" w:eastAsia="es-ES"/>
        </w:rPr>
      </w:pPr>
      <w:bookmarkStart w:id="114" w:name="_Toc36132124"/>
      <w:r w:rsidRPr="009E5AFA">
        <w:rPr>
          <w:b/>
          <w:i/>
          <w:snapToGrid w:val="0"/>
          <w:spacing w:val="-2"/>
          <w:szCs w:val="20"/>
          <w:lang w:val="es-CR" w:eastAsia="es-ES"/>
        </w:rPr>
        <w:t xml:space="preserve">Otras medidas de </w:t>
      </w:r>
      <w:r w:rsidR="00280D3A">
        <w:rPr>
          <w:b/>
          <w:i/>
          <w:snapToGrid w:val="0"/>
          <w:spacing w:val="-2"/>
          <w:szCs w:val="20"/>
          <w:lang w:val="es-CR" w:eastAsia="es-ES"/>
        </w:rPr>
        <w:t xml:space="preserve">no repetición </w:t>
      </w:r>
      <w:r w:rsidRPr="009E5AFA">
        <w:rPr>
          <w:b/>
          <w:i/>
          <w:snapToGrid w:val="0"/>
          <w:spacing w:val="-2"/>
          <w:szCs w:val="20"/>
          <w:lang w:val="es-CR" w:eastAsia="es-ES"/>
        </w:rPr>
        <w:t>solicitadas</w:t>
      </w:r>
      <w:bookmarkEnd w:id="114"/>
    </w:p>
    <w:p w14:paraId="1ED39A21" w14:textId="44B42108" w:rsidR="00CA2A7D" w:rsidRPr="00471CCB" w:rsidRDefault="00106929" w:rsidP="00404C7B">
      <w:pPr>
        <w:pStyle w:val="Prrafodelista"/>
        <w:numPr>
          <w:ilvl w:val="0"/>
          <w:numId w:val="2"/>
        </w:numPr>
        <w:tabs>
          <w:tab w:val="left" w:pos="630"/>
        </w:tabs>
        <w:spacing w:before="120" w:after="120"/>
        <w:ind w:left="0" w:firstLine="0"/>
        <w:contextualSpacing w:val="0"/>
        <w:rPr>
          <w:rFonts w:eastAsia="Times"/>
          <w:szCs w:val="20"/>
          <w:lang w:eastAsia="es-ES"/>
        </w:rPr>
      </w:pPr>
      <w:r>
        <w:rPr>
          <w:rFonts w:eastAsia="Times"/>
          <w:szCs w:val="20"/>
          <w:lang w:eastAsia="es-ES"/>
        </w:rPr>
        <w:t>L</w:t>
      </w:r>
      <w:r w:rsidR="00CA2A7D">
        <w:rPr>
          <w:rFonts w:eastAsia="Times"/>
          <w:szCs w:val="20"/>
          <w:lang w:eastAsia="es-ES"/>
        </w:rPr>
        <w:t xml:space="preserve">os </w:t>
      </w:r>
      <w:r w:rsidR="00CA2A7D" w:rsidRPr="00404C7B">
        <w:rPr>
          <w:rFonts w:eastAsia="Times"/>
          <w:i/>
          <w:szCs w:val="20"/>
          <w:lang w:eastAsia="es-ES"/>
        </w:rPr>
        <w:t>representantes</w:t>
      </w:r>
      <w:r w:rsidR="00CA2A7D" w:rsidRPr="00471CCB">
        <w:rPr>
          <w:rFonts w:eastAsia="Times"/>
          <w:i/>
          <w:szCs w:val="20"/>
          <w:lang w:eastAsia="es-ES"/>
        </w:rPr>
        <w:t xml:space="preserve"> </w:t>
      </w:r>
      <w:r w:rsidR="00CA2A7D" w:rsidRPr="00471CCB">
        <w:rPr>
          <w:rFonts w:eastAsia="Times"/>
          <w:szCs w:val="20"/>
          <w:lang w:eastAsia="es-ES"/>
        </w:rPr>
        <w:t xml:space="preserve">solicitaron que se ordenara al Estado trabajar en un protocolo a seguir con la investigación de todos los casos de violaciones de derechos humanos dentro de los cuarteles y adecuar la realización de autopsias conforme a los estándares internacionales. </w:t>
      </w:r>
      <w:r>
        <w:rPr>
          <w:rFonts w:eastAsia="Times"/>
          <w:szCs w:val="20"/>
          <w:lang w:eastAsia="es-ES"/>
        </w:rPr>
        <w:t>Por otra parte</w:t>
      </w:r>
      <w:r w:rsidR="00CA2A7D" w:rsidRPr="00471CCB">
        <w:rPr>
          <w:rFonts w:eastAsia="Times"/>
          <w:szCs w:val="20"/>
          <w:lang w:eastAsia="es-ES"/>
        </w:rPr>
        <w:t xml:space="preserve">, los </w:t>
      </w:r>
      <w:r w:rsidR="00CA2A7D" w:rsidRPr="00471CCB">
        <w:rPr>
          <w:rFonts w:eastAsia="Times"/>
          <w:i/>
          <w:szCs w:val="20"/>
          <w:lang w:eastAsia="es-ES"/>
        </w:rPr>
        <w:t>representantes</w:t>
      </w:r>
      <w:r w:rsidR="00CA2A7D" w:rsidRPr="00471CCB">
        <w:rPr>
          <w:rFonts w:eastAsia="Times"/>
          <w:szCs w:val="20"/>
          <w:lang w:eastAsia="es-ES"/>
        </w:rPr>
        <w:t xml:space="preserve"> solicitaron que</w:t>
      </w:r>
      <w:r w:rsidR="0006217C">
        <w:rPr>
          <w:rFonts w:eastAsia="Times"/>
          <w:szCs w:val="20"/>
          <w:lang w:eastAsia="es-ES"/>
        </w:rPr>
        <w:t>,</w:t>
      </w:r>
      <w:r w:rsidR="00CA2A7D" w:rsidRPr="00471CCB">
        <w:rPr>
          <w:rFonts w:eastAsia="Times"/>
          <w:szCs w:val="20"/>
          <w:lang w:eastAsia="es-ES"/>
        </w:rPr>
        <w:t xml:space="preserve"> a través del Servicio Nacional de Calidad y Salud Animal (SENACSA)</w:t>
      </w:r>
      <w:r w:rsidR="0006217C">
        <w:rPr>
          <w:rFonts w:eastAsia="Times"/>
          <w:szCs w:val="20"/>
          <w:lang w:eastAsia="es-ES"/>
        </w:rPr>
        <w:t>,</w:t>
      </w:r>
      <w:r w:rsidR="00CA2A7D" w:rsidRPr="00471CCB">
        <w:rPr>
          <w:rFonts w:eastAsia="Times"/>
          <w:szCs w:val="20"/>
          <w:lang w:eastAsia="es-ES"/>
        </w:rPr>
        <w:t xml:space="preserve"> se realizara un control epidemiológico de animales portadores del Hantavirus, comprobar en todos los establecimientos militares de la Región Occidental la existencia de roedores portadores del Hanta Virus y adoptar las medidas necesarias con el fin de erradicar dicha enfermedad.</w:t>
      </w:r>
    </w:p>
    <w:p w14:paraId="2BDEDC74" w14:textId="4D640B05" w:rsidR="00BD59DF" w:rsidRPr="00A854E7" w:rsidRDefault="00106929" w:rsidP="00404C7B">
      <w:pPr>
        <w:pStyle w:val="Prrafodelista"/>
        <w:numPr>
          <w:ilvl w:val="0"/>
          <w:numId w:val="2"/>
        </w:numPr>
        <w:tabs>
          <w:tab w:val="left" w:pos="630"/>
        </w:tabs>
        <w:spacing w:before="120" w:after="120"/>
        <w:ind w:left="0" w:firstLine="0"/>
        <w:contextualSpacing w:val="0"/>
        <w:rPr>
          <w:rFonts w:eastAsia="Times"/>
          <w:szCs w:val="20"/>
          <w:lang w:eastAsia="es-ES"/>
        </w:rPr>
      </w:pPr>
      <w:r>
        <w:rPr>
          <w:rFonts w:eastAsia="Times"/>
          <w:szCs w:val="20"/>
          <w:lang w:eastAsia="es-ES"/>
        </w:rPr>
        <w:t>E</w:t>
      </w:r>
      <w:r w:rsidR="00BD59DF" w:rsidRPr="00A854E7">
        <w:rPr>
          <w:rFonts w:eastAsia="Times"/>
          <w:szCs w:val="20"/>
          <w:lang w:eastAsia="es-ES"/>
        </w:rPr>
        <w:t xml:space="preserve">n lo que respecta </w:t>
      </w:r>
      <w:r w:rsidR="0006217C">
        <w:rPr>
          <w:rFonts w:eastAsia="Times"/>
          <w:szCs w:val="20"/>
          <w:lang w:eastAsia="es-ES"/>
        </w:rPr>
        <w:t xml:space="preserve">a </w:t>
      </w:r>
      <w:r w:rsidR="00BD59DF" w:rsidRPr="00A854E7">
        <w:rPr>
          <w:rFonts w:eastAsia="Times"/>
          <w:szCs w:val="20"/>
          <w:lang w:eastAsia="es-ES"/>
        </w:rPr>
        <w:t xml:space="preserve">la medida de reparación sobre el control epidemiológico de animales portadores del Hantavirus, </w:t>
      </w:r>
      <w:r>
        <w:rPr>
          <w:rFonts w:eastAsia="Times"/>
          <w:szCs w:val="20"/>
          <w:lang w:eastAsia="es-ES"/>
        </w:rPr>
        <w:t>e</w:t>
      </w:r>
      <w:r w:rsidRPr="00A854E7">
        <w:rPr>
          <w:rFonts w:eastAsia="Times"/>
          <w:szCs w:val="20"/>
          <w:lang w:eastAsia="es-ES"/>
        </w:rPr>
        <w:t xml:space="preserve">l </w:t>
      </w:r>
      <w:r w:rsidRPr="00404C7B">
        <w:rPr>
          <w:rFonts w:eastAsia="Times"/>
          <w:i/>
          <w:szCs w:val="20"/>
          <w:lang w:eastAsia="es-ES"/>
        </w:rPr>
        <w:t>Estado</w:t>
      </w:r>
      <w:r w:rsidRPr="00A854E7">
        <w:rPr>
          <w:rFonts w:eastAsia="Times"/>
          <w:szCs w:val="20"/>
          <w:lang w:eastAsia="es-ES"/>
        </w:rPr>
        <w:t xml:space="preserve"> </w:t>
      </w:r>
      <w:r w:rsidR="00C32D9B" w:rsidRPr="00A854E7">
        <w:rPr>
          <w:rFonts w:eastAsia="Times"/>
          <w:szCs w:val="20"/>
          <w:lang w:eastAsia="es-ES"/>
        </w:rPr>
        <w:t xml:space="preserve">señaló que la medida solicitada se encuentra descontextualizada de los hechos que motivaron el litigio, sumado a que la señora Noguera solicitó como medida de reparación que se elimine de la lista de fallecidos por Hantavirus el nombre de su hijo, afirmando que no murió de dicha enfermedad. </w:t>
      </w:r>
      <w:r w:rsidR="00BD59DF" w:rsidRPr="00A854E7">
        <w:rPr>
          <w:rFonts w:eastAsia="Times"/>
          <w:szCs w:val="20"/>
          <w:lang w:eastAsia="es-ES"/>
        </w:rPr>
        <w:t xml:space="preserve">Por último, en lo que respecta el protocolo a seguir con la investigación de todos los casos de violaciones de derechos humanos, el Estado señaló que dicha medida era sumamente genérica, sumado a que los representantes de las víctimas tienen la posibilidad de participar en los procedimientos penales y que desde el 2006, se cuenta con un protocolo de autopsias en el Ministerio Público. </w:t>
      </w:r>
    </w:p>
    <w:p w14:paraId="0E609FCB" w14:textId="47C03EFB" w:rsidR="00BD59DF" w:rsidRPr="009E5AFA" w:rsidRDefault="00106929"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106929">
        <w:rPr>
          <w:rFonts w:eastAsia="Times"/>
          <w:szCs w:val="20"/>
          <w:lang w:eastAsia="es-ES"/>
        </w:rPr>
        <w:t>En lo que respecta a lo anterior, la Corte nota en primer término, y tal como lo ha enfatizado la representación de las víctimas, que la evidencia presentada por las partes y la Comisión no concluyen que Vicente Noguera hubiese fallecido a causa de una enfermedad relacionad</w:t>
      </w:r>
      <w:r w:rsidR="0006217C">
        <w:rPr>
          <w:rFonts w:eastAsia="Times"/>
          <w:szCs w:val="20"/>
          <w:lang w:eastAsia="es-ES"/>
        </w:rPr>
        <w:t>a</w:t>
      </w:r>
      <w:r w:rsidRPr="00106929">
        <w:rPr>
          <w:rFonts w:eastAsia="Times"/>
          <w:szCs w:val="20"/>
          <w:lang w:eastAsia="es-ES"/>
        </w:rPr>
        <w:t xml:space="preserve"> con el Hantavirus, por lo cual no corresponde ordenar una medida de reparación relacionada con un control epidemiológico de animales portadores del Hantavirus a través del Servicio Nacional de Calidad y Salud Animal (SENACSA) en razón de que dicha solicitud carece de nexo causal con las conclusiones de los capítulos de hechos y de fondo de la presente Sentencia. Con relación a las </w:t>
      </w:r>
      <w:r w:rsidR="00A14E9F">
        <w:rPr>
          <w:rFonts w:eastAsia="Times"/>
          <w:szCs w:val="20"/>
          <w:lang w:eastAsia="es-ES"/>
        </w:rPr>
        <w:t>otras</w:t>
      </w:r>
      <w:r w:rsidR="00A14E9F" w:rsidRPr="00106929">
        <w:rPr>
          <w:rFonts w:eastAsia="Times"/>
          <w:szCs w:val="20"/>
          <w:lang w:eastAsia="es-ES"/>
        </w:rPr>
        <w:t xml:space="preserve"> </w:t>
      </w:r>
      <w:r w:rsidR="00A14E9F">
        <w:rPr>
          <w:rFonts w:eastAsia="Times"/>
          <w:szCs w:val="20"/>
          <w:lang w:eastAsia="es-ES"/>
        </w:rPr>
        <w:t>solicitudes</w:t>
      </w:r>
      <w:r w:rsidRPr="00106929">
        <w:rPr>
          <w:rFonts w:eastAsia="Times"/>
          <w:szCs w:val="20"/>
          <w:lang w:eastAsia="es-ES"/>
        </w:rPr>
        <w:t>, este Tribunal considera que las demás medidas de reparación que ya fueron cumplidas por el Estado resultan suficientes y adecuadas para remediar las violaciones sufridas por las víctimas y no estima procedente ordenar medidas adicionales</w:t>
      </w:r>
      <w:r w:rsidR="006778F6" w:rsidRPr="009E5AFA">
        <w:rPr>
          <w:rFonts w:eastAsia="Calibri"/>
          <w:szCs w:val="20"/>
          <w:lang w:val="es-CO"/>
        </w:rPr>
        <w:t>.</w:t>
      </w:r>
      <w:r w:rsidR="00A854E7" w:rsidRPr="009E5AFA">
        <w:rPr>
          <w:rFonts w:eastAsia="Times"/>
          <w:szCs w:val="20"/>
          <w:lang w:eastAsia="es-ES"/>
        </w:rPr>
        <w:t xml:space="preserve">  </w:t>
      </w:r>
      <w:r w:rsidR="00793FF5">
        <w:rPr>
          <w:rFonts w:eastAsia="Times"/>
          <w:szCs w:val="20"/>
          <w:lang w:eastAsia="es-ES"/>
        </w:rPr>
        <w:t xml:space="preserve"> </w:t>
      </w:r>
      <w:r w:rsidR="00471CCB" w:rsidRPr="009E5AFA">
        <w:rPr>
          <w:rFonts w:eastAsia="Times"/>
          <w:szCs w:val="20"/>
          <w:lang w:eastAsia="es-ES"/>
        </w:rPr>
        <w:t xml:space="preserve"> </w:t>
      </w:r>
    </w:p>
    <w:p w14:paraId="3F705D4B" w14:textId="007B4E49" w:rsidR="00710657" w:rsidRPr="00280D3A" w:rsidRDefault="00710657" w:rsidP="00280D3A">
      <w:pPr>
        <w:pStyle w:val="Prrafodelista"/>
        <w:numPr>
          <w:ilvl w:val="0"/>
          <w:numId w:val="19"/>
        </w:numPr>
        <w:pBdr>
          <w:top w:val="nil"/>
        </w:pBdr>
        <w:spacing w:before="240" w:after="240"/>
        <w:contextualSpacing w:val="0"/>
        <w:outlineLvl w:val="1"/>
        <w:rPr>
          <w:b/>
          <w:i/>
          <w:snapToGrid w:val="0"/>
          <w:spacing w:val="-2"/>
          <w:szCs w:val="20"/>
          <w:lang w:val="es-CR" w:eastAsia="es-ES"/>
        </w:rPr>
      </w:pPr>
      <w:bookmarkStart w:id="115" w:name="_Toc32338652"/>
      <w:bookmarkStart w:id="116" w:name="_Toc25061184"/>
      <w:bookmarkStart w:id="117" w:name="_Toc36132125"/>
      <w:bookmarkEnd w:id="115"/>
      <w:r w:rsidRPr="009E5AFA">
        <w:rPr>
          <w:b/>
          <w:i/>
          <w:snapToGrid w:val="0"/>
          <w:spacing w:val="-2"/>
          <w:szCs w:val="20"/>
          <w:lang w:val="es-CR" w:eastAsia="es-ES"/>
        </w:rPr>
        <w:t>Indemnización compensatoria</w:t>
      </w:r>
      <w:bookmarkEnd w:id="116"/>
      <w:bookmarkEnd w:id="117"/>
    </w:p>
    <w:p w14:paraId="5783C9EA" w14:textId="7EFA69E7" w:rsidR="005B7BEF" w:rsidRDefault="00C621DB" w:rsidP="00C621DB">
      <w:pPr>
        <w:pStyle w:val="Ttulo3"/>
        <w:spacing w:before="240" w:after="240"/>
        <w:ind w:left="357" w:firstLine="709"/>
        <w:rPr>
          <w:rFonts w:cs="Verdana"/>
          <w:b w:val="0"/>
          <w:bCs w:val="0"/>
          <w:szCs w:val="20"/>
        </w:rPr>
      </w:pPr>
      <w:bookmarkStart w:id="118" w:name="_Toc36132126"/>
      <w:bookmarkStart w:id="119" w:name="_Toc25061185"/>
      <w:r w:rsidRPr="008974C4">
        <w:rPr>
          <w:rFonts w:cs="Verdana"/>
          <w:b w:val="0"/>
          <w:bCs w:val="0"/>
          <w:szCs w:val="20"/>
        </w:rPr>
        <w:lastRenderedPageBreak/>
        <w:t xml:space="preserve">F.1. </w:t>
      </w:r>
      <w:r w:rsidR="005B7BEF">
        <w:rPr>
          <w:rFonts w:cs="Verdana"/>
          <w:b w:val="0"/>
          <w:bCs w:val="0"/>
          <w:szCs w:val="20"/>
        </w:rPr>
        <w:t xml:space="preserve">Alegatos de las </w:t>
      </w:r>
      <w:r w:rsidR="0006217C">
        <w:rPr>
          <w:rFonts w:cs="Verdana"/>
          <w:b w:val="0"/>
          <w:bCs w:val="0"/>
          <w:szCs w:val="20"/>
        </w:rPr>
        <w:t>p</w:t>
      </w:r>
      <w:r w:rsidR="005B7BEF">
        <w:rPr>
          <w:rFonts w:cs="Verdana"/>
          <w:b w:val="0"/>
          <w:bCs w:val="0"/>
          <w:szCs w:val="20"/>
        </w:rPr>
        <w:t>artes y de la Comisión</w:t>
      </w:r>
      <w:bookmarkEnd w:id="118"/>
    </w:p>
    <w:p w14:paraId="1439A214" w14:textId="22695C21" w:rsidR="00C621DB" w:rsidRPr="00C621DB" w:rsidRDefault="005B7BEF" w:rsidP="00C621DB">
      <w:pPr>
        <w:pStyle w:val="Ttulo3"/>
        <w:spacing w:before="240" w:after="240"/>
        <w:ind w:left="357" w:firstLine="709"/>
        <w:rPr>
          <w:rFonts w:cs="Verdana"/>
          <w:szCs w:val="20"/>
        </w:rPr>
      </w:pPr>
      <w:bookmarkStart w:id="120" w:name="_Toc36132127"/>
      <w:r>
        <w:rPr>
          <w:rFonts w:cs="Verdana"/>
          <w:b w:val="0"/>
          <w:bCs w:val="0"/>
          <w:szCs w:val="20"/>
        </w:rPr>
        <w:t xml:space="preserve">a) </w:t>
      </w:r>
      <w:r w:rsidR="00EA6DA0">
        <w:rPr>
          <w:rFonts w:cs="Verdana"/>
          <w:b w:val="0"/>
          <w:bCs w:val="0"/>
          <w:szCs w:val="20"/>
        </w:rPr>
        <w:t>Sobre el d</w:t>
      </w:r>
      <w:r w:rsidR="00EA6DA0" w:rsidRPr="008974C4">
        <w:rPr>
          <w:rFonts w:cs="Verdana"/>
          <w:b w:val="0"/>
          <w:bCs w:val="0"/>
          <w:szCs w:val="20"/>
        </w:rPr>
        <w:t xml:space="preserve">año </w:t>
      </w:r>
      <w:r w:rsidR="00C621DB" w:rsidRPr="008974C4">
        <w:rPr>
          <w:rFonts w:cs="Verdana"/>
          <w:b w:val="0"/>
          <w:bCs w:val="0"/>
          <w:szCs w:val="20"/>
        </w:rPr>
        <w:t>material</w:t>
      </w:r>
      <w:bookmarkEnd w:id="119"/>
      <w:bookmarkEnd w:id="120"/>
    </w:p>
    <w:p w14:paraId="1C0AB9AD" w14:textId="0278233B" w:rsidR="00741BF7" w:rsidRPr="00741BF7" w:rsidRDefault="006E7046" w:rsidP="00404C7B">
      <w:pPr>
        <w:pStyle w:val="Prrafodelista"/>
        <w:numPr>
          <w:ilvl w:val="0"/>
          <w:numId w:val="2"/>
        </w:numPr>
        <w:tabs>
          <w:tab w:val="left" w:pos="630"/>
        </w:tabs>
        <w:spacing w:before="120" w:after="120"/>
        <w:ind w:left="0" w:firstLine="0"/>
        <w:contextualSpacing w:val="0"/>
        <w:rPr>
          <w:rFonts w:eastAsia="Times"/>
          <w:b/>
          <w:szCs w:val="20"/>
          <w:lang w:eastAsia="es-ES"/>
        </w:rPr>
      </w:pPr>
      <w:r>
        <w:rPr>
          <w:rFonts w:eastAsia="Times"/>
          <w:szCs w:val="20"/>
          <w:lang w:eastAsia="es-ES"/>
        </w:rPr>
        <w:t xml:space="preserve">La </w:t>
      </w:r>
      <w:r w:rsidRPr="00404C7B">
        <w:rPr>
          <w:rFonts w:eastAsia="Times"/>
          <w:i/>
          <w:szCs w:val="20"/>
          <w:lang w:eastAsia="es-ES"/>
        </w:rPr>
        <w:t>Comisión</w:t>
      </w:r>
      <w:r>
        <w:rPr>
          <w:rFonts w:eastAsia="Times"/>
          <w:i/>
          <w:szCs w:val="20"/>
          <w:lang w:eastAsia="es-ES"/>
        </w:rPr>
        <w:t xml:space="preserve"> </w:t>
      </w:r>
      <w:r>
        <w:rPr>
          <w:rFonts w:eastAsia="Times"/>
          <w:szCs w:val="20"/>
          <w:lang w:eastAsia="es-ES"/>
        </w:rPr>
        <w:t>solicitó que se orden</w:t>
      </w:r>
      <w:r w:rsidR="0006217C">
        <w:rPr>
          <w:rFonts w:eastAsia="Times"/>
          <w:szCs w:val="20"/>
          <w:lang w:eastAsia="es-ES"/>
        </w:rPr>
        <w:t>are</w:t>
      </w:r>
      <w:r>
        <w:rPr>
          <w:rFonts w:eastAsia="Times"/>
          <w:szCs w:val="20"/>
          <w:lang w:eastAsia="es-ES"/>
        </w:rPr>
        <w:t xml:space="preserve"> al Estado reparar integralmente tanto en el aspecto material como inmaterial y adoptar medidas de compensación económica. </w:t>
      </w:r>
      <w:r w:rsidR="00741BF7">
        <w:rPr>
          <w:rFonts w:eastAsia="Times"/>
          <w:szCs w:val="20"/>
          <w:lang w:eastAsia="es-ES"/>
        </w:rPr>
        <w:t xml:space="preserve">Los </w:t>
      </w:r>
      <w:r w:rsidR="00741BF7" w:rsidRPr="00404C7B">
        <w:rPr>
          <w:rFonts w:eastAsia="Times"/>
          <w:i/>
          <w:szCs w:val="20"/>
          <w:lang w:eastAsia="es-ES"/>
        </w:rPr>
        <w:t>representantes</w:t>
      </w:r>
      <w:r w:rsidR="00741BF7">
        <w:rPr>
          <w:rFonts w:eastAsia="Times"/>
          <w:szCs w:val="20"/>
          <w:lang w:eastAsia="es-ES"/>
        </w:rPr>
        <w:t xml:space="preserve"> estimaron que el Estado debía pagar por concepto de lucro cesante la suma de </w:t>
      </w:r>
      <w:r w:rsidR="00741BF7" w:rsidRPr="001E07B6">
        <w:rPr>
          <w:rFonts w:cs="Arial"/>
          <w:color w:val="000000" w:themeColor="text1"/>
          <w:szCs w:val="20"/>
        </w:rPr>
        <w:t>Gs</w:t>
      </w:r>
      <w:r w:rsidR="00A14E9F">
        <w:rPr>
          <w:rFonts w:cs="Arial"/>
          <w:color w:val="000000" w:themeColor="text1"/>
          <w:szCs w:val="20"/>
        </w:rPr>
        <w:t xml:space="preserve"> </w:t>
      </w:r>
      <w:r w:rsidR="00741BF7" w:rsidRPr="001E07B6">
        <w:rPr>
          <w:rFonts w:cs="Arial"/>
          <w:color w:val="000000" w:themeColor="text1"/>
          <w:szCs w:val="20"/>
        </w:rPr>
        <w:t>1</w:t>
      </w:r>
      <w:r w:rsidR="00A14E9F">
        <w:rPr>
          <w:rFonts w:cs="Arial"/>
          <w:color w:val="000000" w:themeColor="text1"/>
          <w:szCs w:val="20"/>
        </w:rPr>
        <w:t>.</w:t>
      </w:r>
      <w:r w:rsidR="00741BF7" w:rsidRPr="001E07B6">
        <w:rPr>
          <w:rFonts w:cs="Arial"/>
          <w:color w:val="000000" w:themeColor="text1"/>
          <w:szCs w:val="20"/>
        </w:rPr>
        <w:t>634</w:t>
      </w:r>
      <w:r w:rsidR="00A14E9F">
        <w:rPr>
          <w:rFonts w:cs="Arial"/>
          <w:color w:val="000000" w:themeColor="text1"/>
          <w:szCs w:val="20"/>
        </w:rPr>
        <w:t>.</w:t>
      </w:r>
      <w:r w:rsidR="00741BF7" w:rsidRPr="001E07B6">
        <w:rPr>
          <w:rFonts w:cs="Arial"/>
          <w:color w:val="000000" w:themeColor="text1"/>
          <w:szCs w:val="20"/>
        </w:rPr>
        <w:t>929</w:t>
      </w:r>
      <w:r w:rsidR="00A14E9F">
        <w:rPr>
          <w:rFonts w:cs="Arial"/>
          <w:color w:val="000000" w:themeColor="text1"/>
          <w:szCs w:val="20"/>
        </w:rPr>
        <w:t>.</w:t>
      </w:r>
      <w:r w:rsidR="00741BF7" w:rsidRPr="001E07B6">
        <w:rPr>
          <w:rFonts w:cs="Arial"/>
          <w:color w:val="000000" w:themeColor="text1"/>
          <w:szCs w:val="20"/>
        </w:rPr>
        <w:t>686</w:t>
      </w:r>
      <w:r w:rsidR="00A14E9F">
        <w:rPr>
          <w:rFonts w:cs="Arial"/>
          <w:color w:val="000000" w:themeColor="text1"/>
          <w:szCs w:val="20"/>
        </w:rPr>
        <w:t>,00</w:t>
      </w:r>
      <w:r w:rsidR="00741BF7" w:rsidRPr="001E07B6">
        <w:rPr>
          <w:rFonts w:cs="Arial"/>
          <w:color w:val="000000" w:themeColor="text1"/>
          <w:szCs w:val="20"/>
        </w:rPr>
        <w:t xml:space="preserve"> (mil seiscientos treinta y cuatro millones novecientos veintinueve mil seiscientos ochenta y seis guaraníes) </w:t>
      </w:r>
      <w:r w:rsidR="00741BF7" w:rsidRPr="00741BF7">
        <w:rPr>
          <w:rFonts w:cs="Arial"/>
          <w:szCs w:val="20"/>
        </w:rPr>
        <w:t>de Vicente Noguera.</w:t>
      </w:r>
      <w:r w:rsidR="00741BF7">
        <w:rPr>
          <w:rFonts w:cs="Arial"/>
          <w:color w:val="00B050"/>
          <w:szCs w:val="20"/>
        </w:rPr>
        <w:t xml:space="preserve"> </w:t>
      </w:r>
      <w:r w:rsidR="00741BF7" w:rsidRPr="00741BF7">
        <w:rPr>
          <w:rFonts w:cs="Arial"/>
          <w:color w:val="000000" w:themeColor="text1"/>
          <w:szCs w:val="20"/>
        </w:rPr>
        <w:t>Para ello, tomaron en consideración el salario mínimo desde el año 1996 hasta el año 2046 y la expectativa de vida al momento de los hechos (67.7 años)</w:t>
      </w:r>
      <w:r w:rsidR="00741BF7" w:rsidRPr="00190023">
        <w:rPr>
          <w:rStyle w:val="Refdenotaalpie"/>
          <w:rFonts w:eastAsia="Times"/>
          <w:color w:val="000000" w:themeColor="text1"/>
          <w:lang w:eastAsia="es-ES"/>
        </w:rPr>
        <w:footnoteReference w:id="95"/>
      </w:r>
      <w:r w:rsidR="00741BF7">
        <w:rPr>
          <w:rFonts w:cs="Arial"/>
          <w:color w:val="000000" w:themeColor="text1"/>
          <w:szCs w:val="20"/>
        </w:rPr>
        <w:t>.</w:t>
      </w:r>
      <w:r w:rsidR="00741BF7">
        <w:rPr>
          <w:rFonts w:eastAsia="Times"/>
          <w:b/>
          <w:szCs w:val="20"/>
          <w:lang w:eastAsia="es-ES"/>
        </w:rPr>
        <w:t xml:space="preserve"> </w:t>
      </w:r>
      <w:r w:rsidR="00173E5B" w:rsidRPr="00741BF7">
        <w:rPr>
          <w:rFonts w:cs="Arial"/>
          <w:color w:val="000000" w:themeColor="text1"/>
          <w:szCs w:val="20"/>
        </w:rPr>
        <w:t>Adicionalmente, estimaron el lucro cesante de María Noguera en Gs 129</w:t>
      </w:r>
      <w:r w:rsidR="004970F6">
        <w:rPr>
          <w:rFonts w:cs="Arial"/>
          <w:color w:val="000000" w:themeColor="text1"/>
          <w:szCs w:val="20"/>
        </w:rPr>
        <w:t>.</w:t>
      </w:r>
      <w:r w:rsidR="00173E5B" w:rsidRPr="00741BF7">
        <w:rPr>
          <w:rFonts w:cs="Arial"/>
          <w:color w:val="000000" w:themeColor="text1"/>
          <w:szCs w:val="20"/>
        </w:rPr>
        <w:t>600</w:t>
      </w:r>
      <w:r w:rsidR="004970F6">
        <w:rPr>
          <w:rFonts w:cs="Arial"/>
          <w:color w:val="000000" w:themeColor="text1"/>
          <w:szCs w:val="20"/>
        </w:rPr>
        <w:t>.</w:t>
      </w:r>
      <w:r w:rsidR="00173E5B" w:rsidRPr="00741BF7">
        <w:rPr>
          <w:rFonts w:cs="Arial"/>
          <w:color w:val="000000" w:themeColor="text1"/>
          <w:szCs w:val="20"/>
        </w:rPr>
        <w:t>000</w:t>
      </w:r>
      <w:r w:rsidR="004970F6">
        <w:rPr>
          <w:rFonts w:cs="Arial"/>
          <w:color w:val="000000" w:themeColor="text1"/>
          <w:szCs w:val="20"/>
        </w:rPr>
        <w:t>,00</w:t>
      </w:r>
      <w:r w:rsidR="00173E5B" w:rsidRPr="00741BF7">
        <w:rPr>
          <w:rFonts w:cs="Arial"/>
          <w:color w:val="000000" w:themeColor="text1"/>
          <w:szCs w:val="20"/>
        </w:rPr>
        <w:t xml:space="preserve"> (ciento veintinueve millones seiscientos mil guaraníes), tomando en cuenta lo que ella percibía en su taller de confecciones diariamente. </w:t>
      </w:r>
    </w:p>
    <w:p w14:paraId="3A14007A" w14:textId="1652DEC1" w:rsidR="00C621DB" w:rsidRPr="006E7046" w:rsidRDefault="006E7046" w:rsidP="00404C7B">
      <w:pPr>
        <w:pStyle w:val="Prrafodelista"/>
        <w:numPr>
          <w:ilvl w:val="0"/>
          <w:numId w:val="2"/>
        </w:numPr>
        <w:tabs>
          <w:tab w:val="left" w:pos="630"/>
        </w:tabs>
        <w:spacing w:before="120" w:after="120"/>
        <w:ind w:left="0" w:firstLine="0"/>
        <w:contextualSpacing w:val="0"/>
        <w:rPr>
          <w:rFonts w:eastAsia="Times"/>
          <w:b/>
          <w:szCs w:val="20"/>
          <w:lang w:eastAsia="es-ES"/>
        </w:rPr>
      </w:pPr>
      <w:r w:rsidRPr="001D6DA0">
        <w:rPr>
          <w:rFonts w:eastAsia="Times"/>
          <w:szCs w:val="20"/>
          <w:lang w:eastAsia="es-ES"/>
        </w:rPr>
        <w:t xml:space="preserve">El </w:t>
      </w:r>
      <w:r w:rsidRPr="00404C7B">
        <w:rPr>
          <w:rFonts w:eastAsia="Times"/>
          <w:i/>
          <w:szCs w:val="20"/>
          <w:lang w:eastAsia="es-ES"/>
        </w:rPr>
        <w:t>Estado</w:t>
      </w:r>
      <w:r w:rsidRPr="006E7046">
        <w:rPr>
          <w:rFonts w:eastAsia="Times"/>
          <w:i/>
          <w:szCs w:val="20"/>
          <w:lang w:eastAsia="es-ES"/>
        </w:rPr>
        <w:t xml:space="preserve"> </w:t>
      </w:r>
      <w:r w:rsidRPr="006E7046">
        <w:rPr>
          <w:rFonts w:eastAsia="Times"/>
          <w:szCs w:val="20"/>
          <w:lang w:eastAsia="es-ES"/>
        </w:rPr>
        <w:t>informó que acordó y pagó a la señora María Noguera en concepto de indemnización la suma de US$ 75.000 (setenta y cinco mil dólares de los Estados Unidos de América), sumado al monto mensual que percibe en carácter de pensión desde 1996 y que seguirá percibiendo el resto de su vida, razón por la cual consideraba que lo pagado y lo que seguirá pagando constituye una justa indemnización</w:t>
      </w:r>
      <w:r>
        <w:rPr>
          <w:rStyle w:val="Refdenotaalpie"/>
          <w:rFonts w:eastAsia="Times"/>
          <w:lang w:eastAsia="es-ES"/>
        </w:rPr>
        <w:footnoteReference w:id="96"/>
      </w:r>
      <w:r w:rsidRPr="001D6DA0">
        <w:rPr>
          <w:rFonts w:eastAsia="Times"/>
          <w:szCs w:val="20"/>
          <w:lang w:eastAsia="es-ES"/>
        </w:rPr>
        <w:t xml:space="preserve">. </w:t>
      </w:r>
      <w:r>
        <w:rPr>
          <w:rFonts w:cs="Arial"/>
          <w:color w:val="000000" w:themeColor="text1"/>
          <w:szCs w:val="20"/>
        </w:rPr>
        <w:t>Indicó en particular</w:t>
      </w:r>
      <w:r w:rsidR="004970F6">
        <w:rPr>
          <w:rFonts w:cs="Arial"/>
          <w:color w:val="000000" w:themeColor="text1"/>
          <w:szCs w:val="20"/>
        </w:rPr>
        <w:t>,</w:t>
      </w:r>
      <w:r>
        <w:rPr>
          <w:rFonts w:cs="Arial"/>
          <w:color w:val="000000" w:themeColor="text1"/>
          <w:szCs w:val="20"/>
        </w:rPr>
        <w:t xml:space="preserve"> </w:t>
      </w:r>
      <w:r w:rsidR="004A0EBA" w:rsidRPr="006E7046">
        <w:rPr>
          <w:rFonts w:cs="Arial"/>
          <w:color w:val="000000" w:themeColor="text1"/>
          <w:szCs w:val="20"/>
        </w:rPr>
        <w:t xml:space="preserve">que la señora Noguera percibe desde 1996 y mientras viva, una pensión que fue acordada luego del fallecimiento de su hijo y que hasta marzo de 2019 </w:t>
      </w:r>
      <w:r w:rsidR="001B6C66" w:rsidRPr="006E7046">
        <w:rPr>
          <w:rFonts w:cs="Arial"/>
          <w:color w:val="000000" w:themeColor="text1"/>
          <w:szCs w:val="20"/>
        </w:rPr>
        <w:t>había recibido aproximadamente US$ 92</w:t>
      </w:r>
      <w:r w:rsidR="004970F6">
        <w:rPr>
          <w:rFonts w:cs="Arial"/>
          <w:color w:val="000000" w:themeColor="text1"/>
          <w:szCs w:val="20"/>
        </w:rPr>
        <w:t>.</w:t>
      </w:r>
      <w:r w:rsidR="001B6C66" w:rsidRPr="006E7046">
        <w:rPr>
          <w:rFonts w:cs="Arial"/>
          <w:color w:val="000000" w:themeColor="text1"/>
          <w:szCs w:val="20"/>
        </w:rPr>
        <w:t>656 (noventa y dos mil seiscientos cincuenta y seis dólares de los Estados Unidos de América)</w:t>
      </w:r>
      <w:r w:rsidR="004A0EBA" w:rsidRPr="006E7046">
        <w:rPr>
          <w:rFonts w:cs="Arial"/>
          <w:color w:val="000000" w:themeColor="text1"/>
          <w:szCs w:val="20"/>
        </w:rPr>
        <w:t xml:space="preserve">, por lo que el reclamo del lucro cesante </w:t>
      </w:r>
      <w:r w:rsidR="004970F6">
        <w:rPr>
          <w:rFonts w:cs="Arial"/>
          <w:color w:val="000000" w:themeColor="text1"/>
          <w:szCs w:val="20"/>
        </w:rPr>
        <w:t>era</w:t>
      </w:r>
      <w:r w:rsidR="004A0EBA" w:rsidRPr="006E7046">
        <w:rPr>
          <w:rFonts w:cs="Arial"/>
          <w:color w:val="000000" w:themeColor="text1"/>
          <w:szCs w:val="20"/>
        </w:rPr>
        <w:t xml:space="preserve"> improcedente.</w:t>
      </w:r>
      <w:r w:rsidR="001B6C66" w:rsidRPr="006E7046">
        <w:rPr>
          <w:rFonts w:cs="Arial"/>
          <w:color w:val="000000" w:themeColor="text1"/>
          <w:szCs w:val="20"/>
        </w:rPr>
        <w:t xml:space="preserve"> Finalmente, señaló que el importe de dinero que habría dejado de percibir la señora Noguera no se realizó </w:t>
      </w:r>
      <w:r w:rsidR="00741BF7" w:rsidRPr="006E7046">
        <w:rPr>
          <w:rFonts w:cs="Arial"/>
          <w:color w:val="000000" w:themeColor="text1"/>
          <w:szCs w:val="20"/>
        </w:rPr>
        <w:t xml:space="preserve">con </w:t>
      </w:r>
      <w:r w:rsidR="001B6C66" w:rsidRPr="006E7046">
        <w:rPr>
          <w:rFonts w:cs="Arial"/>
          <w:color w:val="000000" w:themeColor="text1"/>
          <w:szCs w:val="20"/>
        </w:rPr>
        <w:t xml:space="preserve">base </w:t>
      </w:r>
      <w:r w:rsidR="00741BF7" w:rsidRPr="006E7046">
        <w:rPr>
          <w:rFonts w:cs="Arial"/>
          <w:color w:val="000000" w:themeColor="text1"/>
          <w:szCs w:val="20"/>
        </w:rPr>
        <w:t>en</w:t>
      </w:r>
      <w:r w:rsidR="001B6C66" w:rsidRPr="006E7046">
        <w:rPr>
          <w:rFonts w:cs="Arial"/>
          <w:color w:val="000000" w:themeColor="text1"/>
          <w:szCs w:val="20"/>
        </w:rPr>
        <w:t xml:space="preserve"> prueba documental alguna, por lo que el mismo también debía ser rechazado.</w:t>
      </w:r>
      <w:r w:rsidR="004A0EBA" w:rsidRPr="006E7046">
        <w:rPr>
          <w:rFonts w:cs="Arial"/>
          <w:color w:val="000000" w:themeColor="text1"/>
          <w:szCs w:val="20"/>
        </w:rPr>
        <w:t xml:space="preserve"> </w:t>
      </w:r>
    </w:p>
    <w:p w14:paraId="3E95586B" w14:textId="0DFAD68B" w:rsidR="005B7BEF" w:rsidRPr="005B7BEF" w:rsidRDefault="007E74B5"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1E07B6">
        <w:rPr>
          <w:rFonts w:cs="Arial"/>
          <w:color w:val="000000" w:themeColor="text1"/>
          <w:szCs w:val="20"/>
        </w:rPr>
        <w:t xml:space="preserve">Respecto al daño emergente, los </w:t>
      </w:r>
      <w:r w:rsidRPr="00404C7B">
        <w:rPr>
          <w:rFonts w:cs="Arial"/>
          <w:i/>
          <w:color w:val="000000" w:themeColor="text1"/>
          <w:szCs w:val="20"/>
        </w:rPr>
        <w:t>representantes</w:t>
      </w:r>
      <w:r w:rsidRPr="001E07B6">
        <w:rPr>
          <w:rFonts w:cs="Arial"/>
          <w:color w:val="000000" w:themeColor="text1"/>
          <w:szCs w:val="20"/>
        </w:rPr>
        <w:t xml:space="preserve"> señalaron que tomaban en cuenta todos los imponderables que surgieron como consecuencia del daño ocasionado</w:t>
      </w:r>
      <w:r w:rsidR="000F67C4" w:rsidRPr="001E07B6">
        <w:rPr>
          <w:rFonts w:cs="Arial"/>
          <w:color w:val="000000" w:themeColor="text1"/>
          <w:szCs w:val="20"/>
        </w:rPr>
        <w:t xml:space="preserve">. Específicamente, tomaron en cuenta el promedio pagado durante 15 años de alquiler, por lo que estimaron </w:t>
      </w:r>
      <w:r w:rsidR="00173E5B" w:rsidRPr="001E07B6">
        <w:rPr>
          <w:rFonts w:cs="Arial"/>
          <w:color w:val="000000" w:themeColor="text1"/>
          <w:szCs w:val="20"/>
        </w:rPr>
        <w:t xml:space="preserve">el </w:t>
      </w:r>
      <w:r w:rsidR="000F67C4" w:rsidRPr="001E07B6">
        <w:rPr>
          <w:rFonts w:cs="Arial"/>
          <w:color w:val="000000" w:themeColor="text1"/>
          <w:szCs w:val="20"/>
        </w:rPr>
        <w:t xml:space="preserve">daño emergente en </w:t>
      </w:r>
      <w:r w:rsidR="00173E5B" w:rsidRPr="001E07B6">
        <w:rPr>
          <w:rFonts w:cs="Arial"/>
          <w:color w:val="000000" w:themeColor="text1"/>
          <w:szCs w:val="20"/>
        </w:rPr>
        <w:t>Gs 144</w:t>
      </w:r>
      <w:r w:rsidR="00A14E9F">
        <w:rPr>
          <w:rFonts w:cs="Arial"/>
          <w:color w:val="000000" w:themeColor="text1"/>
          <w:szCs w:val="20"/>
        </w:rPr>
        <w:t>.</w:t>
      </w:r>
      <w:r w:rsidR="00173E5B" w:rsidRPr="001E07B6">
        <w:rPr>
          <w:rFonts w:cs="Arial"/>
          <w:color w:val="000000" w:themeColor="text1"/>
          <w:szCs w:val="20"/>
        </w:rPr>
        <w:t>000</w:t>
      </w:r>
      <w:r w:rsidR="00A14E9F">
        <w:rPr>
          <w:rFonts w:cs="Arial"/>
          <w:color w:val="000000" w:themeColor="text1"/>
          <w:szCs w:val="20"/>
        </w:rPr>
        <w:t>.</w:t>
      </w:r>
      <w:r w:rsidR="00173E5B" w:rsidRPr="001E07B6">
        <w:rPr>
          <w:rFonts w:cs="Arial"/>
          <w:color w:val="000000" w:themeColor="text1"/>
          <w:szCs w:val="20"/>
        </w:rPr>
        <w:t>000</w:t>
      </w:r>
      <w:r w:rsidR="00A14E9F">
        <w:rPr>
          <w:rFonts w:cs="Arial"/>
          <w:color w:val="000000" w:themeColor="text1"/>
          <w:szCs w:val="20"/>
        </w:rPr>
        <w:t>,00</w:t>
      </w:r>
      <w:r w:rsidR="00173E5B" w:rsidRPr="001E07B6">
        <w:rPr>
          <w:rFonts w:cs="Arial"/>
          <w:color w:val="000000" w:themeColor="text1"/>
          <w:szCs w:val="20"/>
        </w:rPr>
        <w:t xml:space="preserve"> (ciento cuarenta y </w:t>
      </w:r>
      <w:r w:rsidR="00173E5B" w:rsidRPr="00404C7B">
        <w:rPr>
          <w:rFonts w:eastAsia="Times"/>
          <w:szCs w:val="20"/>
          <w:lang w:eastAsia="es-ES"/>
        </w:rPr>
        <w:t>cuatro</w:t>
      </w:r>
      <w:r w:rsidR="00173E5B" w:rsidRPr="001E07B6">
        <w:rPr>
          <w:rFonts w:cs="Arial"/>
          <w:color w:val="000000" w:themeColor="text1"/>
          <w:szCs w:val="20"/>
        </w:rPr>
        <w:t xml:space="preserve"> millones de guaraníes), así como Gs 50</w:t>
      </w:r>
      <w:r w:rsidR="00A14E9F">
        <w:rPr>
          <w:rFonts w:cs="Arial"/>
          <w:color w:val="000000" w:themeColor="text1"/>
          <w:szCs w:val="20"/>
        </w:rPr>
        <w:t>.</w:t>
      </w:r>
      <w:r w:rsidR="00173E5B" w:rsidRPr="001E07B6">
        <w:rPr>
          <w:rFonts w:cs="Arial"/>
          <w:color w:val="000000" w:themeColor="text1"/>
          <w:szCs w:val="20"/>
        </w:rPr>
        <w:t>000</w:t>
      </w:r>
      <w:r w:rsidR="00A14E9F">
        <w:rPr>
          <w:rFonts w:cs="Arial"/>
          <w:color w:val="000000" w:themeColor="text1"/>
          <w:szCs w:val="20"/>
        </w:rPr>
        <w:t>.</w:t>
      </w:r>
      <w:r w:rsidR="00173E5B" w:rsidRPr="001E07B6">
        <w:rPr>
          <w:rFonts w:cs="Arial"/>
          <w:color w:val="000000" w:themeColor="text1"/>
          <w:szCs w:val="20"/>
        </w:rPr>
        <w:t>000</w:t>
      </w:r>
      <w:r w:rsidR="00A14E9F">
        <w:rPr>
          <w:rFonts w:cs="Arial"/>
          <w:color w:val="000000" w:themeColor="text1"/>
          <w:szCs w:val="20"/>
        </w:rPr>
        <w:t>,00</w:t>
      </w:r>
      <w:r w:rsidR="00173E5B" w:rsidRPr="001E07B6">
        <w:rPr>
          <w:rFonts w:cs="Arial"/>
          <w:color w:val="000000" w:themeColor="text1"/>
          <w:szCs w:val="20"/>
        </w:rPr>
        <w:t xml:space="preserve"> (cincuenta millones de guaraníes)</w:t>
      </w:r>
      <w:r w:rsidR="001E07B6" w:rsidRPr="001E07B6">
        <w:rPr>
          <w:rFonts w:cs="Arial"/>
          <w:color w:val="000000" w:themeColor="text1"/>
          <w:szCs w:val="20"/>
        </w:rPr>
        <w:t xml:space="preserve"> </w:t>
      </w:r>
      <w:r w:rsidR="00173E5B" w:rsidRPr="001E07B6">
        <w:rPr>
          <w:rFonts w:cs="Arial"/>
          <w:color w:val="000000" w:themeColor="text1"/>
          <w:szCs w:val="20"/>
        </w:rPr>
        <w:t>por concepto de gastos médicos</w:t>
      </w:r>
      <w:r w:rsidR="00930DBC" w:rsidRPr="001E07B6">
        <w:rPr>
          <w:rFonts w:cs="Arial"/>
          <w:color w:val="000000" w:themeColor="text1"/>
          <w:szCs w:val="20"/>
        </w:rPr>
        <w:t xml:space="preserve"> y Gs 27</w:t>
      </w:r>
      <w:r w:rsidR="00A14E9F">
        <w:rPr>
          <w:rFonts w:cs="Arial"/>
          <w:color w:val="000000" w:themeColor="text1"/>
          <w:szCs w:val="20"/>
        </w:rPr>
        <w:t>.</w:t>
      </w:r>
      <w:r w:rsidR="00930DBC" w:rsidRPr="001E07B6">
        <w:rPr>
          <w:rFonts w:cs="Arial"/>
          <w:color w:val="000000" w:themeColor="text1"/>
          <w:szCs w:val="20"/>
        </w:rPr>
        <w:t>750</w:t>
      </w:r>
      <w:r w:rsidR="00A14E9F">
        <w:rPr>
          <w:rFonts w:cs="Arial"/>
          <w:color w:val="000000" w:themeColor="text1"/>
          <w:szCs w:val="20"/>
        </w:rPr>
        <w:t>.</w:t>
      </w:r>
      <w:r w:rsidR="00930DBC" w:rsidRPr="001E07B6">
        <w:rPr>
          <w:rFonts w:cs="Arial"/>
          <w:color w:val="000000" w:themeColor="text1"/>
          <w:szCs w:val="20"/>
        </w:rPr>
        <w:t>000</w:t>
      </w:r>
      <w:r w:rsidR="00A14E9F">
        <w:rPr>
          <w:rFonts w:cs="Arial"/>
          <w:color w:val="000000" w:themeColor="text1"/>
          <w:szCs w:val="20"/>
        </w:rPr>
        <w:t>,00</w:t>
      </w:r>
      <w:r w:rsidR="00930DBC" w:rsidRPr="001E07B6">
        <w:rPr>
          <w:rFonts w:cs="Arial"/>
          <w:color w:val="000000" w:themeColor="text1"/>
          <w:szCs w:val="20"/>
        </w:rPr>
        <w:t xml:space="preserve"> (veintisiete millones setecientos cincuenta mil guaraníes)</w:t>
      </w:r>
      <w:r w:rsidR="001E07B6" w:rsidRPr="001E07B6">
        <w:rPr>
          <w:rFonts w:cs="Arial"/>
          <w:color w:val="000000" w:themeColor="text1"/>
          <w:szCs w:val="20"/>
        </w:rPr>
        <w:t xml:space="preserve"> </w:t>
      </w:r>
      <w:r w:rsidR="001B6C66" w:rsidRPr="001E07B6">
        <w:rPr>
          <w:rFonts w:cs="Arial"/>
          <w:color w:val="000000" w:themeColor="text1"/>
          <w:szCs w:val="20"/>
        </w:rPr>
        <w:t>por</w:t>
      </w:r>
      <w:r w:rsidR="001B6C66">
        <w:rPr>
          <w:rFonts w:cs="Arial"/>
          <w:color w:val="000000" w:themeColor="text1"/>
          <w:szCs w:val="20"/>
          <w:shd w:val="clear" w:color="auto" w:fill="FFFFFF"/>
        </w:rPr>
        <w:t xml:space="preserve"> </w:t>
      </w:r>
      <w:r w:rsidR="001B6C66" w:rsidRPr="005B7BEF">
        <w:rPr>
          <w:rFonts w:cs="Arial"/>
          <w:color w:val="000000" w:themeColor="text1"/>
          <w:szCs w:val="20"/>
        </w:rPr>
        <w:t>concepto de reparación y terminación del panteón de la víctima</w:t>
      </w:r>
      <w:r w:rsidR="00930DBC" w:rsidRPr="005B7BEF">
        <w:rPr>
          <w:rFonts w:cs="Arial"/>
          <w:color w:val="000000" w:themeColor="text1"/>
          <w:szCs w:val="20"/>
        </w:rPr>
        <w:t xml:space="preserve">, </w:t>
      </w:r>
      <w:r w:rsidR="00930DBC" w:rsidRPr="001E07B6">
        <w:rPr>
          <w:rFonts w:cs="Arial"/>
          <w:color w:val="000000" w:themeColor="text1"/>
          <w:szCs w:val="20"/>
        </w:rPr>
        <w:t>para un total de Gs 221</w:t>
      </w:r>
      <w:r w:rsidR="00A14E9F">
        <w:rPr>
          <w:rFonts w:cs="Arial"/>
          <w:color w:val="000000" w:themeColor="text1"/>
          <w:szCs w:val="20"/>
        </w:rPr>
        <w:t>.</w:t>
      </w:r>
      <w:r w:rsidR="00930DBC" w:rsidRPr="001E07B6">
        <w:rPr>
          <w:rFonts w:cs="Arial"/>
          <w:color w:val="000000" w:themeColor="text1"/>
          <w:szCs w:val="20"/>
        </w:rPr>
        <w:t>750</w:t>
      </w:r>
      <w:r w:rsidR="00A14E9F">
        <w:rPr>
          <w:rFonts w:cs="Arial"/>
          <w:color w:val="000000" w:themeColor="text1"/>
          <w:szCs w:val="20"/>
        </w:rPr>
        <w:t>.</w:t>
      </w:r>
      <w:r w:rsidR="00930DBC" w:rsidRPr="001E07B6">
        <w:rPr>
          <w:rFonts w:cs="Arial"/>
          <w:color w:val="000000" w:themeColor="text1"/>
          <w:szCs w:val="20"/>
        </w:rPr>
        <w:t>000</w:t>
      </w:r>
      <w:r w:rsidR="00A14E9F">
        <w:rPr>
          <w:rFonts w:cs="Arial"/>
          <w:color w:val="000000" w:themeColor="text1"/>
          <w:szCs w:val="20"/>
        </w:rPr>
        <w:t>,00</w:t>
      </w:r>
      <w:r w:rsidR="00930DBC" w:rsidRPr="001E07B6">
        <w:rPr>
          <w:rFonts w:cs="Arial"/>
          <w:color w:val="000000" w:themeColor="text1"/>
          <w:szCs w:val="20"/>
        </w:rPr>
        <w:t xml:space="preserve"> (doscientos veintiún</w:t>
      </w:r>
      <w:r w:rsidR="00173E5B" w:rsidRPr="001E07B6">
        <w:rPr>
          <w:rFonts w:cs="Arial"/>
          <w:color w:val="000000" w:themeColor="text1"/>
          <w:szCs w:val="20"/>
        </w:rPr>
        <w:t xml:space="preserve"> millones </w:t>
      </w:r>
      <w:r w:rsidR="00930DBC" w:rsidRPr="001E07B6">
        <w:rPr>
          <w:rFonts w:cs="Arial"/>
          <w:color w:val="000000" w:themeColor="text1"/>
          <w:szCs w:val="20"/>
        </w:rPr>
        <w:t>setecientos cincuenta mil</w:t>
      </w:r>
      <w:r w:rsidR="00173E5B" w:rsidRPr="001E07B6">
        <w:rPr>
          <w:rFonts w:cs="Arial"/>
          <w:color w:val="000000" w:themeColor="text1"/>
          <w:szCs w:val="20"/>
        </w:rPr>
        <w:t xml:space="preserve"> guaraníes). </w:t>
      </w:r>
    </w:p>
    <w:p w14:paraId="3BC610A2" w14:textId="043861D7" w:rsidR="007E74B5" w:rsidRPr="005B7BEF" w:rsidRDefault="001B6C66"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1E07B6">
        <w:rPr>
          <w:rFonts w:cs="Arial"/>
          <w:color w:val="000000" w:themeColor="text1"/>
          <w:szCs w:val="20"/>
        </w:rPr>
        <w:t xml:space="preserve">El </w:t>
      </w:r>
      <w:r w:rsidRPr="00404C7B">
        <w:rPr>
          <w:rFonts w:cs="Arial"/>
          <w:i/>
          <w:color w:val="000000" w:themeColor="text1"/>
          <w:szCs w:val="20"/>
        </w:rPr>
        <w:t>Estado</w:t>
      </w:r>
      <w:r w:rsidRPr="001E07B6">
        <w:rPr>
          <w:rFonts w:cs="Arial"/>
          <w:i/>
          <w:color w:val="000000" w:themeColor="text1"/>
          <w:szCs w:val="20"/>
        </w:rPr>
        <w:t xml:space="preserve"> </w:t>
      </w:r>
      <w:r w:rsidRPr="001E07B6">
        <w:rPr>
          <w:rFonts w:cs="Arial"/>
          <w:color w:val="000000" w:themeColor="text1"/>
          <w:szCs w:val="20"/>
        </w:rPr>
        <w:t xml:space="preserve">señaló que respecto a los pagos de alquileres no existe un nexo causal entre el daño reclamado y los hechos denunciados; en cuanto a los gastos médicos señaló que no se aportaba un solo documento que permitiera deducir los mismos, así como sus fechas y costos, sumado a que se ofreció atención médica gratuita a la señora Noguera, la cual fue rechazada </w:t>
      </w:r>
      <w:r w:rsidR="00AD110D" w:rsidRPr="001E07B6">
        <w:rPr>
          <w:rFonts w:cs="Arial"/>
          <w:color w:val="000000" w:themeColor="text1"/>
          <w:szCs w:val="20"/>
        </w:rPr>
        <w:t xml:space="preserve">por la misma </w:t>
      </w:r>
      <w:r w:rsidRPr="001E07B6">
        <w:rPr>
          <w:rFonts w:cs="Arial"/>
          <w:color w:val="000000" w:themeColor="text1"/>
          <w:szCs w:val="20"/>
        </w:rPr>
        <w:t>argumentando que</w:t>
      </w:r>
      <w:r w:rsidR="00AD110D" w:rsidRPr="001E07B6">
        <w:rPr>
          <w:rFonts w:cs="Arial"/>
          <w:color w:val="000000" w:themeColor="text1"/>
          <w:szCs w:val="20"/>
        </w:rPr>
        <w:t xml:space="preserve"> contaba con un seguro médico privado, por lo que se podía suponer que no existieron gastos médicos reclamables.</w:t>
      </w:r>
      <w:r w:rsidR="00DB7D91" w:rsidRPr="001E07B6">
        <w:rPr>
          <w:rFonts w:cs="Arial"/>
          <w:color w:val="000000" w:themeColor="text1"/>
          <w:szCs w:val="20"/>
        </w:rPr>
        <w:t xml:space="preserve"> Finalmente, el </w:t>
      </w:r>
      <w:r w:rsidR="00DB7D91" w:rsidRPr="001E07B6">
        <w:rPr>
          <w:rFonts w:cs="Arial"/>
          <w:i/>
          <w:color w:val="000000" w:themeColor="text1"/>
          <w:szCs w:val="20"/>
        </w:rPr>
        <w:t xml:space="preserve">Estado </w:t>
      </w:r>
      <w:r w:rsidR="00DB7D91" w:rsidRPr="001E07B6">
        <w:rPr>
          <w:rFonts w:cs="Arial"/>
          <w:color w:val="000000" w:themeColor="text1"/>
          <w:szCs w:val="20"/>
        </w:rPr>
        <w:t>se refirió al monto solicitado por concepto de reparación y terminación del panteón, afirmando que el mismo no tiene ninguna fundamentación</w:t>
      </w:r>
      <w:r w:rsidR="004970F6">
        <w:rPr>
          <w:rFonts w:cs="Arial"/>
          <w:color w:val="000000" w:themeColor="text1"/>
          <w:szCs w:val="20"/>
        </w:rPr>
        <w:t>,</w:t>
      </w:r>
      <w:r w:rsidR="00DB7D91" w:rsidRPr="001E07B6">
        <w:rPr>
          <w:rFonts w:cs="Arial"/>
          <w:color w:val="000000" w:themeColor="text1"/>
          <w:szCs w:val="20"/>
        </w:rPr>
        <w:t xml:space="preserve"> ya que dicho panteón fue remodelado y entregado a satisfacción en el marco del </w:t>
      </w:r>
      <w:r w:rsidR="00B41EBA">
        <w:rPr>
          <w:szCs w:val="20"/>
        </w:rPr>
        <w:t>A</w:t>
      </w:r>
      <w:r w:rsidR="00B41EBA" w:rsidRPr="00280D3A">
        <w:rPr>
          <w:szCs w:val="20"/>
        </w:rPr>
        <w:t xml:space="preserve">cuerdo de </w:t>
      </w:r>
      <w:r w:rsidR="00B41EBA">
        <w:rPr>
          <w:szCs w:val="20"/>
        </w:rPr>
        <w:t>S</w:t>
      </w:r>
      <w:r w:rsidR="00B41EBA" w:rsidRPr="00280D3A">
        <w:rPr>
          <w:szCs w:val="20"/>
        </w:rPr>
        <w:t xml:space="preserve">olución </w:t>
      </w:r>
      <w:r w:rsidR="00B41EBA">
        <w:rPr>
          <w:szCs w:val="20"/>
        </w:rPr>
        <w:t>A</w:t>
      </w:r>
      <w:r w:rsidR="00B41EBA" w:rsidRPr="00280D3A">
        <w:rPr>
          <w:szCs w:val="20"/>
        </w:rPr>
        <w:t>mistosa</w:t>
      </w:r>
      <w:r w:rsidR="00DB7D91" w:rsidRPr="001E07B6">
        <w:rPr>
          <w:rFonts w:cs="Arial"/>
          <w:color w:val="000000" w:themeColor="text1"/>
          <w:szCs w:val="20"/>
        </w:rPr>
        <w:t xml:space="preserve"> en el </w:t>
      </w:r>
      <w:r w:rsidR="00DB7D91" w:rsidRPr="001E07B6">
        <w:rPr>
          <w:rFonts w:cs="Arial"/>
          <w:color w:val="000000" w:themeColor="text1"/>
          <w:szCs w:val="20"/>
        </w:rPr>
        <w:lastRenderedPageBreak/>
        <w:t>año 2011, sumado a que no existe rechazo con la remodelación ni prueba que demuestre deterioro o desperfecto, por lo que dicho reclamo debía ser rechazado.</w:t>
      </w:r>
      <w:r w:rsidRPr="001E07B6">
        <w:rPr>
          <w:rFonts w:cs="Arial"/>
          <w:color w:val="000000" w:themeColor="text1"/>
          <w:szCs w:val="20"/>
        </w:rPr>
        <w:t xml:space="preserve"> </w:t>
      </w:r>
    </w:p>
    <w:p w14:paraId="52038EE0" w14:textId="2D11150D" w:rsidR="005B7BEF" w:rsidRPr="00C621DB" w:rsidRDefault="005B7BEF" w:rsidP="005B7BEF">
      <w:pPr>
        <w:pStyle w:val="Ttulo3"/>
        <w:spacing w:before="240" w:after="240"/>
        <w:ind w:left="357" w:firstLine="709"/>
        <w:rPr>
          <w:rFonts w:cs="Verdana"/>
          <w:szCs w:val="20"/>
        </w:rPr>
      </w:pPr>
      <w:bookmarkStart w:id="121" w:name="_Toc36132128"/>
      <w:r>
        <w:rPr>
          <w:rFonts w:cs="Verdana"/>
          <w:b w:val="0"/>
          <w:bCs w:val="0"/>
          <w:szCs w:val="20"/>
        </w:rPr>
        <w:t xml:space="preserve">b) </w:t>
      </w:r>
      <w:r w:rsidR="00EA6DA0">
        <w:rPr>
          <w:rFonts w:cs="Verdana"/>
          <w:b w:val="0"/>
          <w:bCs w:val="0"/>
          <w:szCs w:val="20"/>
        </w:rPr>
        <w:t>Sobre el d</w:t>
      </w:r>
      <w:r w:rsidRPr="008974C4">
        <w:rPr>
          <w:rFonts w:cs="Verdana"/>
          <w:b w:val="0"/>
          <w:bCs w:val="0"/>
          <w:szCs w:val="20"/>
        </w:rPr>
        <w:t xml:space="preserve">año </w:t>
      </w:r>
      <w:r>
        <w:rPr>
          <w:rFonts w:cs="Verdana"/>
          <w:b w:val="0"/>
          <w:bCs w:val="0"/>
          <w:szCs w:val="20"/>
        </w:rPr>
        <w:t>in</w:t>
      </w:r>
      <w:r w:rsidRPr="008974C4">
        <w:rPr>
          <w:rFonts w:cs="Verdana"/>
          <w:b w:val="0"/>
          <w:bCs w:val="0"/>
          <w:szCs w:val="20"/>
        </w:rPr>
        <w:t>material</w:t>
      </w:r>
      <w:bookmarkEnd w:id="121"/>
    </w:p>
    <w:p w14:paraId="4B77FA01" w14:textId="73479DE1" w:rsidR="005B7BEF" w:rsidRPr="005B7BEF" w:rsidRDefault="00610E90"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1E07B6">
        <w:rPr>
          <w:rFonts w:cs="Arial"/>
          <w:color w:val="000000" w:themeColor="text1"/>
          <w:szCs w:val="20"/>
        </w:rPr>
        <w:t xml:space="preserve">Los </w:t>
      </w:r>
      <w:r w:rsidRPr="00404C7B">
        <w:rPr>
          <w:rFonts w:cs="Arial"/>
          <w:i/>
          <w:color w:val="000000" w:themeColor="text1"/>
          <w:szCs w:val="20"/>
        </w:rPr>
        <w:t>representantes</w:t>
      </w:r>
      <w:r w:rsidRPr="001E07B6">
        <w:rPr>
          <w:rFonts w:cs="Arial"/>
          <w:color w:val="000000" w:themeColor="text1"/>
          <w:szCs w:val="20"/>
        </w:rPr>
        <w:t xml:space="preserve"> señalaron que el monto por daño moral quedaba a criterio del Tribunal. Sin embargo, </w:t>
      </w:r>
      <w:r w:rsidR="00A14E9F">
        <w:rPr>
          <w:rFonts w:cs="Arial"/>
          <w:color w:val="000000" w:themeColor="text1"/>
          <w:szCs w:val="20"/>
        </w:rPr>
        <w:t>requirieron</w:t>
      </w:r>
      <w:r w:rsidRPr="001E07B6">
        <w:rPr>
          <w:rFonts w:cs="Arial"/>
          <w:color w:val="000000" w:themeColor="text1"/>
          <w:szCs w:val="20"/>
        </w:rPr>
        <w:t xml:space="preserve"> la suma de Gs1 387</w:t>
      </w:r>
      <w:r w:rsidR="00A14E9F">
        <w:rPr>
          <w:rFonts w:cs="Arial"/>
          <w:color w:val="000000" w:themeColor="text1"/>
          <w:szCs w:val="20"/>
        </w:rPr>
        <w:t>.</w:t>
      </w:r>
      <w:r w:rsidRPr="001E07B6">
        <w:rPr>
          <w:rFonts w:cs="Arial"/>
          <w:color w:val="000000" w:themeColor="text1"/>
          <w:szCs w:val="20"/>
        </w:rPr>
        <w:t>000</w:t>
      </w:r>
      <w:r w:rsidR="00A14E9F">
        <w:rPr>
          <w:rFonts w:cs="Arial"/>
          <w:color w:val="000000" w:themeColor="text1"/>
          <w:szCs w:val="20"/>
        </w:rPr>
        <w:t>.</w:t>
      </w:r>
      <w:r w:rsidRPr="001E07B6">
        <w:rPr>
          <w:rFonts w:cs="Arial"/>
          <w:color w:val="000000" w:themeColor="text1"/>
          <w:szCs w:val="20"/>
        </w:rPr>
        <w:t>000</w:t>
      </w:r>
      <w:r w:rsidR="00A14E9F">
        <w:rPr>
          <w:rFonts w:cs="Arial"/>
          <w:color w:val="000000" w:themeColor="text1"/>
          <w:szCs w:val="20"/>
        </w:rPr>
        <w:t>,00</w:t>
      </w:r>
      <w:r w:rsidRPr="001E07B6">
        <w:rPr>
          <w:rFonts w:cs="Arial"/>
          <w:color w:val="000000" w:themeColor="text1"/>
          <w:szCs w:val="20"/>
        </w:rPr>
        <w:t xml:space="preserve"> (mil trescientos ochenta y siete millones de guaraníes) y agregaron que solicitaban U</w:t>
      </w:r>
      <w:r w:rsidR="00246C03" w:rsidRPr="001E07B6">
        <w:rPr>
          <w:rFonts w:cs="Arial"/>
          <w:color w:val="000000" w:themeColor="text1"/>
          <w:szCs w:val="20"/>
        </w:rPr>
        <w:t>S$</w:t>
      </w:r>
      <w:r w:rsidRPr="001E07B6">
        <w:rPr>
          <w:rFonts w:cs="Arial"/>
          <w:color w:val="000000" w:themeColor="text1"/>
          <w:szCs w:val="20"/>
        </w:rPr>
        <w:t xml:space="preserve"> 50</w:t>
      </w:r>
      <w:r w:rsidR="00A14E9F">
        <w:rPr>
          <w:rFonts w:cs="Arial"/>
          <w:color w:val="000000" w:themeColor="text1"/>
          <w:szCs w:val="20"/>
        </w:rPr>
        <w:t>.</w:t>
      </w:r>
      <w:r w:rsidRPr="001E07B6">
        <w:rPr>
          <w:rFonts w:cs="Arial"/>
          <w:color w:val="000000" w:themeColor="text1"/>
          <w:szCs w:val="20"/>
        </w:rPr>
        <w:t xml:space="preserve">000 (cincuenta mil dólares de los Estados Unidos de América) para cada uno de los hijos de la señora María Noguera: Aldo David Alcaraz Noguera, Catherine Elizabeth Noguera y Ruth Araceli Alcaraz Noguera. </w:t>
      </w:r>
    </w:p>
    <w:p w14:paraId="446730EE" w14:textId="18EEAD82" w:rsidR="00930DBC" w:rsidRPr="005B7BEF" w:rsidRDefault="00837ADA"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1E07B6">
        <w:rPr>
          <w:rFonts w:cs="Arial"/>
          <w:color w:val="000000" w:themeColor="text1"/>
          <w:szCs w:val="20"/>
        </w:rPr>
        <w:t xml:space="preserve">El </w:t>
      </w:r>
      <w:r w:rsidRPr="00404C7B">
        <w:rPr>
          <w:rFonts w:cs="Arial"/>
          <w:i/>
          <w:color w:val="000000" w:themeColor="text1"/>
          <w:szCs w:val="20"/>
        </w:rPr>
        <w:t>Estado</w:t>
      </w:r>
      <w:r w:rsidRPr="001E07B6">
        <w:rPr>
          <w:rFonts w:cs="Arial"/>
          <w:i/>
          <w:color w:val="000000" w:themeColor="text1"/>
          <w:szCs w:val="20"/>
        </w:rPr>
        <w:t xml:space="preserve"> </w:t>
      </w:r>
      <w:r w:rsidRPr="001E07B6">
        <w:rPr>
          <w:rFonts w:cs="Arial"/>
          <w:color w:val="000000" w:themeColor="text1"/>
          <w:szCs w:val="20"/>
        </w:rPr>
        <w:t xml:space="preserve">argumentó que los montos solicitados </w:t>
      </w:r>
      <w:r w:rsidRPr="00741BF7">
        <w:rPr>
          <w:rFonts w:eastAsia="Times"/>
          <w:szCs w:val="20"/>
          <w:lang w:eastAsia="es-ES"/>
        </w:rPr>
        <w:t>pretendían</w:t>
      </w:r>
      <w:r w:rsidRPr="001E07B6">
        <w:rPr>
          <w:rFonts w:cs="Arial"/>
          <w:color w:val="000000" w:themeColor="text1"/>
          <w:szCs w:val="20"/>
        </w:rPr>
        <w:t xml:space="preserve"> sostenerse en una serie de factores genéricos y meramente subjetivos, por lo que solicitó que en virtud de la compensación económica recibida voluntariamente por la señora Noguera no </w:t>
      </w:r>
      <w:r w:rsidR="00741BF7">
        <w:rPr>
          <w:rFonts w:cs="Arial"/>
          <w:color w:val="000000" w:themeColor="text1"/>
          <w:szCs w:val="20"/>
        </w:rPr>
        <w:t xml:space="preserve">se </w:t>
      </w:r>
      <w:r w:rsidRPr="001E07B6">
        <w:rPr>
          <w:rFonts w:cs="Arial"/>
          <w:color w:val="000000" w:themeColor="text1"/>
          <w:szCs w:val="20"/>
        </w:rPr>
        <w:t>realizara</w:t>
      </w:r>
      <w:r w:rsidR="00741BF7">
        <w:rPr>
          <w:rFonts w:cs="Arial"/>
          <w:color w:val="000000" w:themeColor="text1"/>
          <w:szCs w:val="20"/>
        </w:rPr>
        <w:t>n</w:t>
      </w:r>
      <w:r w:rsidRPr="001E07B6">
        <w:rPr>
          <w:rFonts w:cs="Arial"/>
          <w:color w:val="000000" w:themeColor="text1"/>
          <w:szCs w:val="20"/>
        </w:rPr>
        <w:t xml:space="preserve"> pronunciamientos adicionales por concepto de daño inmaterial. </w:t>
      </w:r>
      <w:r w:rsidR="004970F6">
        <w:rPr>
          <w:rFonts w:cs="Arial"/>
          <w:color w:val="000000" w:themeColor="text1"/>
          <w:szCs w:val="20"/>
        </w:rPr>
        <w:t>Con elación</w:t>
      </w:r>
      <w:r w:rsidRPr="001E07B6">
        <w:rPr>
          <w:rFonts w:cs="Arial"/>
          <w:color w:val="000000" w:themeColor="text1"/>
          <w:szCs w:val="20"/>
        </w:rPr>
        <w:t xml:space="preserve"> a los hijos de </w:t>
      </w:r>
      <w:r w:rsidR="004970F6">
        <w:rPr>
          <w:rFonts w:cs="Arial"/>
          <w:color w:val="000000" w:themeColor="text1"/>
          <w:szCs w:val="20"/>
        </w:rPr>
        <w:t>María</w:t>
      </w:r>
      <w:r w:rsidRPr="001E07B6">
        <w:rPr>
          <w:rFonts w:cs="Arial"/>
          <w:color w:val="000000" w:themeColor="text1"/>
          <w:szCs w:val="20"/>
        </w:rPr>
        <w:t xml:space="preserve"> Noguera, reiteró que </w:t>
      </w:r>
      <w:r w:rsidR="00741BF7">
        <w:rPr>
          <w:rFonts w:cs="Arial"/>
          <w:color w:val="000000" w:themeColor="text1"/>
          <w:szCs w:val="20"/>
        </w:rPr>
        <w:t>no consideraba que debían ser considerados como víctimas en el presente caso</w:t>
      </w:r>
      <w:r w:rsidRPr="001E07B6">
        <w:rPr>
          <w:rFonts w:cs="Arial"/>
          <w:color w:val="000000" w:themeColor="text1"/>
          <w:szCs w:val="20"/>
        </w:rPr>
        <w:t xml:space="preserve"> y agregó que el reclamo resultaba genérico, ya que no se adjuntaba un solo documento que demostrara los daños psicológicos o emocionales señalados ni certificados de las actas de nacimiento</w:t>
      </w:r>
      <w:r w:rsidR="00DB7D91" w:rsidRPr="001E07B6">
        <w:rPr>
          <w:rFonts w:cs="Arial"/>
          <w:color w:val="000000" w:themeColor="text1"/>
          <w:szCs w:val="20"/>
        </w:rPr>
        <w:t xml:space="preserve"> que permitan valorar la edad de los mismos al momento en que sucedieron los hechos.</w:t>
      </w:r>
      <w:r w:rsidRPr="001E07B6">
        <w:rPr>
          <w:rFonts w:cs="Arial"/>
          <w:color w:val="000000" w:themeColor="text1"/>
          <w:szCs w:val="20"/>
        </w:rPr>
        <w:t xml:space="preserve"> </w:t>
      </w:r>
    </w:p>
    <w:p w14:paraId="33B4F6D6" w14:textId="6A9205C2" w:rsidR="005B7BEF" w:rsidRPr="00930DBC" w:rsidRDefault="005B7BEF" w:rsidP="005B7BEF">
      <w:pPr>
        <w:pStyle w:val="Ttulo3"/>
        <w:spacing w:before="240" w:after="240"/>
        <w:ind w:left="357" w:firstLine="709"/>
        <w:rPr>
          <w:rFonts w:cs="Verdana"/>
          <w:szCs w:val="20"/>
        </w:rPr>
      </w:pPr>
      <w:bookmarkStart w:id="122" w:name="_Toc36132129"/>
      <w:r>
        <w:rPr>
          <w:rFonts w:cs="Verdana"/>
          <w:b w:val="0"/>
          <w:bCs w:val="0"/>
          <w:szCs w:val="20"/>
        </w:rPr>
        <w:t>F.2</w:t>
      </w:r>
      <w:r w:rsidRPr="008974C4">
        <w:rPr>
          <w:rFonts w:cs="Verdana"/>
          <w:b w:val="0"/>
          <w:bCs w:val="0"/>
          <w:szCs w:val="20"/>
        </w:rPr>
        <w:t xml:space="preserve">. </w:t>
      </w:r>
      <w:r>
        <w:rPr>
          <w:rFonts w:cs="Verdana"/>
          <w:b w:val="0"/>
          <w:bCs w:val="0"/>
          <w:szCs w:val="20"/>
        </w:rPr>
        <w:t>Consideraciones de la Corte</w:t>
      </w:r>
      <w:bookmarkEnd w:id="122"/>
    </w:p>
    <w:p w14:paraId="5333AD39" w14:textId="77777777" w:rsidR="005B7BEF" w:rsidRPr="005B7BEF" w:rsidRDefault="005B7BEF"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A63C02">
        <w:rPr>
          <w:szCs w:val="20"/>
        </w:rPr>
        <w:t xml:space="preserve">Respecto al daño material, este Tribunal ha desarrollado en su jurisprudencia que el mismo supone la pérdida o detrimento de los ingresos de las víctimas, los gastos </w:t>
      </w:r>
      <w:r w:rsidRPr="00404C7B">
        <w:rPr>
          <w:rFonts w:cs="Arial"/>
          <w:color w:val="000000" w:themeColor="text1"/>
          <w:szCs w:val="20"/>
        </w:rPr>
        <w:t>efectuados</w:t>
      </w:r>
      <w:r w:rsidRPr="00A63C02">
        <w:rPr>
          <w:szCs w:val="20"/>
        </w:rPr>
        <w:t xml:space="preserve"> con motivo de los hechos y las consecuencias de carácter pecuniario que tengan un nexo causal con los hechos del caso</w:t>
      </w:r>
      <w:r w:rsidRPr="00A63C02">
        <w:rPr>
          <w:rStyle w:val="Refdenotaalpie"/>
        </w:rPr>
        <w:footnoteReference w:id="97"/>
      </w:r>
      <w:r w:rsidRPr="00A63C02">
        <w:rPr>
          <w:szCs w:val="20"/>
        </w:rPr>
        <w:t xml:space="preserve">. </w:t>
      </w:r>
    </w:p>
    <w:p w14:paraId="49BA5CB2" w14:textId="0C812112" w:rsidR="003A6DDA" w:rsidRPr="003A6DDA" w:rsidRDefault="005B7BEF" w:rsidP="00404C7B">
      <w:pPr>
        <w:pStyle w:val="Prrafodelista"/>
        <w:numPr>
          <w:ilvl w:val="0"/>
          <w:numId w:val="2"/>
        </w:numPr>
        <w:tabs>
          <w:tab w:val="left" w:pos="630"/>
        </w:tabs>
        <w:spacing w:before="120" w:after="120"/>
        <w:ind w:left="0" w:firstLine="0"/>
        <w:contextualSpacing w:val="0"/>
        <w:rPr>
          <w:rFonts w:eastAsia="Times"/>
          <w:szCs w:val="20"/>
          <w:lang w:eastAsia="es-ES"/>
        </w:rPr>
      </w:pPr>
      <w:r>
        <w:rPr>
          <w:szCs w:val="20"/>
        </w:rPr>
        <w:t xml:space="preserve">En el presente caso, la Corte constata que la señora Noguera está percibiendo desde el año 1996 una pensión </w:t>
      </w:r>
      <w:r>
        <w:rPr>
          <w:rFonts w:cs="Arial"/>
          <w:color w:val="000000" w:themeColor="text1"/>
          <w:szCs w:val="20"/>
        </w:rPr>
        <w:t xml:space="preserve">la cual </w:t>
      </w:r>
      <w:r w:rsidRPr="00741BF7">
        <w:rPr>
          <w:rFonts w:cs="Arial"/>
          <w:color w:val="000000" w:themeColor="text1"/>
          <w:szCs w:val="20"/>
        </w:rPr>
        <w:t>fue acordada luego del fallecimiento de su hijo</w:t>
      </w:r>
      <w:r>
        <w:rPr>
          <w:rFonts w:cs="Arial"/>
          <w:color w:val="000000" w:themeColor="text1"/>
          <w:szCs w:val="20"/>
        </w:rPr>
        <w:t xml:space="preserve">, motivo por el cual no corresponde a esta Corte establecer ningún monto de reparación pecuniaria por concepto de lucro cesante. </w:t>
      </w:r>
      <w:r w:rsidR="003A6DDA">
        <w:rPr>
          <w:rFonts w:cs="Arial"/>
          <w:color w:val="000000" w:themeColor="text1"/>
          <w:szCs w:val="20"/>
        </w:rPr>
        <w:t>Por otra parte</w:t>
      </w:r>
      <w:r w:rsidR="00E62EF0">
        <w:rPr>
          <w:rFonts w:cs="Arial"/>
          <w:color w:val="000000" w:themeColor="text1"/>
          <w:szCs w:val="20"/>
        </w:rPr>
        <w:t>,</w:t>
      </w:r>
      <w:r w:rsidR="003A6DDA">
        <w:rPr>
          <w:rFonts w:cs="Arial"/>
          <w:color w:val="000000" w:themeColor="text1"/>
          <w:szCs w:val="20"/>
        </w:rPr>
        <w:t xml:space="preserve"> esta Corte </w:t>
      </w:r>
      <w:r w:rsidR="003A6DDA" w:rsidRPr="00A63C02">
        <w:rPr>
          <w:szCs w:val="20"/>
        </w:rPr>
        <w:t xml:space="preserve">estima pertinente ordenar, en equidad, el pago US$ </w:t>
      </w:r>
      <w:r w:rsidR="00FF05E5">
        <w:rPr>
          <w:szCs w:val="20"/>
        </w:rPr>
        <w:t>2</w:t>
      </w:r>
      <w:r w:rsidR="003A6DDA" w:rsidRPr="00A63C02">
        <w:rPr>
          <w:szCs w:val="20"/>
        </w:rPr>
        <w:t>0.000,00 (</w:t>
      </w:r>
      <w:r w:rsidR="00FF05E5">
        <w:rPr>
          <w:szCs w:val="20"/>
        </w:rPr>
        <w:t>veinte</w:t>
      </w:r>
      <w:r w:rsidR="003A6DDA" w:rsidRPr="00A63C02">
        <w:rPr>
          <w:szCs w:val="20"/>
        </w:rPr>
        <w:t xml:space="preserve"> mil dólares de los Estados Unidos de América) </w:t>
      </w:r>
      <w:r w:rsidR="003A6DDA">
        <w:rPr>
          <w:szCs w:val="20"/>
        </w:rPr>
        <w:t xml:space="preserve">a </w:t>
      </w:r>
      <w:r w:rsidR="004970F6">
        <w:rPr>
          <w:szCs w:val="20"/>
        </w:rPr>
        <w:t>María</w:t>
      </w:r>
      <w:r w:rsidR="003A6DDA" w:rsidRPr="00A63C02">
        <w:rPr>
          <w:szCs w:val="20"/>
        </w:rPr>
        <w:t xml:space="preserve"> </w:t>
      </w:r>
      <w:r w:rsidR="003A6DDA">
        <w:rPr>
          <w:szCs w:val="20"/>
        </w:rPr>
        <w:t xml:space="preserve">Noguera </w:t>
      </w:r>
      <w:r w:rsidR="003A6DDA" w:rsidRPr="00A63C02">
        <w:rPr>
          <w:szCs w:val="20"/>
        </w:rPr>
        <w:t>por concepto de daño material</w:t>
      </w:r>
      <w:r w:rsidR="003A6DDA">
        <w:rPr>
          <w:szCs w:val="20"/>
        </w:rPr>
        <w:t xml:space="preserve"> emergente relacionado con la búsqueda de justicia por la muerte de su hijo.</w:t>
      </w:r>
    </w:p>
    <w:p w14:paraId="5AA70F2A" w14:textId="00D3C7BF" w:rsidR="005B7BEF" w:rsidRPr="004906BC" w:rsidRDefault="005B7BEF" w:rsidP="00404C7B">
      <w:pPr>
        <w:pStyle w:val="Prrafodelista"/>
        <w:numPr>
          <w:ilvl w:val="0"/>
          <w:numId w:val="2"/>
        </w:numPr>
        <w:tabs>
          <w:tab w:val="left" w:pos="630"/>
        </w:tabs>
        <w:spacing w:before="120" w:after="120"/>
        <w:ind w:left="0" w:firstLine="0"/>
        <w:contextualSpacing w:val="0"/>
        <w:rPr>
          <w:rFonts w:eastAsia="Times"/>
          <w:szCs w:val="20"/>
          <w:lang w:eastAsia="es-ES"/>
        </w:rPr>
      </w:pPr>
      <w:r w:rsidRPr="004906BC">
        <w:rPr>
          <w:rFonts w:cs="Arial"/>
          <w:color w:val="000000" w:themeColor="text1"/>
          <w:szCs w:val="20"/>
        </w:rPr>
        <w:t xml:space="preserve">A su vez, el Tribunal constata que tal como había sido acordado en el Acuerdo de Solución Amistosa, el Estado pagó a la señora Noguera </w:t>
      </w:r>
      <w:r w:rsidRPr="004906BC">
        <w:rPr>
          <w:szCs w:val="20"/>
        </w:rPr>
        <w:t xml:space="preserve">US$ 75.000,00 (setenta y cinco mil dólares de los Estados Unidos de América) por la muerte de su hijo. </w:t>
      </w:r>
      <w:r w:rsidR="004906BC" w:rsidRPr="004906BC">
        <w:rPr>
          <w:szCs w:val="20"/>
        </w:rPr>
        <w:t>E</w:t>
      </w:r>
      <w:r w:rsidRPr="004906BC">
        <w:rPr>
          <w:szCs w:val="20"/>
        </w:rPr>
        <w:t xml:space="preserve">sta Corte </w:t>
      </w:r>
      <w:r w:rsidR="003A6DDA" w:rsidRPr="004906BC">
        <w:rPr>
          <w:szCs w:val="20"/>
        </w:rPr>
        <w:t xml:space="preserve">entiende que </w:t>
      </w:r>
      <w:r w:rsidRPr="004906BC">
        <w:rPr>
          <w:szCs w:val="20"/>
        </w:rPr>
        <w:t xml:space="preserve">no que corresponde ordenar una reparación adicional </w:t>
      </w:r>
      <w:r w:rsidR="003A6DDA" w:rsidRPr="004906BC">
        <w:rPr>
          <w:szCs w:val="20"/>
        </w:rPr>
        <w:t>a lo que ya fue percibido por María Noguera por ese concepto.</w:t>
      </w:r>
      <w:r w:rsidR="00793FF5">
        <w:rPr>
          <w:szCs w:val="20"/>
        </w:rPr>
        <w:t xml:space="preserve"> </w:t>
      </w:r>
    </w:p>
    <w:p w14:paraId="485E4D2E" w14:textId="77777777" w:rsidR="00610E90" w:rsidRPr="00280D3A" w:rsidRDefault="00610E90" w:rsidP="00280D3A">
      <w:pPr>
        <w:pStyle w:val="Prrafodelista"/>
        <w:numPr>
          <w:ilvl w:val="0"/>
          <w:numId w:val="19"/>
        </w:numPr>
        <w:pBdr>
          <w:top w:val="nil"/>
        </w:pBdr>
        <w:spacing w:before="240" w:after="240"/>
        <w:contextualSpacing w:val="0"/>
        <w:outlineLvl w:val="1"/>
        <w:rPr>
          <w:b/>
          <w:i/>
          <w:snapToGrid w:val="0"/>
          <w:spacing w:val="-2"/>
          <w:szCs w:val="20"/>
          <w:lang w:val="es-CR" w:eastAsia="es-ES"/>
        </w:rPr>
      </w:pPr>
      <w:bookmarkStart w:id="123" w:name="_Toc25061187"/>
      <w:bookmarkStart w:id="124" w:name="_Toc36132130"/>
      <w:r w:rsidRPr="008974C4">
        <w:rPr>
          <w:b/>
          <w:i/>
          <w:snapToGrid w:val="0"/>
          <w:spacing w:val="-2"/>
          <w:szCs w:val="20"/>
          <w:lang w:val="es-CR" w:eastAsia="es-ES"/>
        </w:rPr>
        <w:t>Costas y gastos</w:t>
      </w:r>
      <w:bookmarkEnd w:id="123"/>
      <w:bookmarkEnd w:id="124"/>
    </w:p>
    <w:p w14:paraId="39B5F955" w14:textId="14FC340C" w:rsidR="00610E90" w:rsidRPr="009E5AFA" w:rsidRDefault="00610E90" w:rsidP="00404C7B">
      <w:pPr>
        <w:pStyle w:val="Prrafodelista"/>
        <w:numPr>
          <w:ilvl w:val="0"/>
          <w:numId w:val="2"/>
        </w:numPr>
        <w:tabs>
          <w:tab w:val="left" w:pos="630"/>
        </w:tabs>
        <w:spacing w:before="120" w:after="120"/>
        <w:ind w:left="0" w:firstLine="0"/>
        <w:contextualSpacing w:val="0"/>
        <w:rPr>
          <w:rFonts w:eastAsia="Times"/>
          <w:szCs w:val="20"/>
          <w:lang w:eastAsia="es-ES"/>
        </w:rPr>
      </w:pPr>
      <w:r>
        <w:rPr>
          <w:rFonts w:eastAsia="Times"/>
          <w:szCs w:val="20"/>
          <w:lang w:eastAsia="es-ES"/>
        </w:rPr>
        <w:t xml:space="preserve">Los </w:t>
      </w:r>
      <w:r w:rsidRPr="00404C7B">
        <w:rPr>
          <w:rFonts w:eastAsia="Times"/>
          <w:i/>
          <w:szCs w:val="20"/>
          <w:lang w:eastAsia="es-ES"/>
        </w:rPr>
        <w:t>representantes</w:t>
      </w:r>
      <w:r>
        <w:rPr>
          <w:rFonts w:eastAsia="Times"/>
          <w:i/>
          <w:szCs w:val="20"/>
          <w:lang w:eastAsia="es-ES"/>
        </w:rPr>
        <w:t xml:space="preserve"> </w:t>
      </w:r>
      <w:r>
        <w:rPr>
          <w:rFonts w:eastAsia="Times"/>
          <w:szCs w:val="20"/>
          <w:lang w:eastAsia="es-ES"/>
        </w:rPr>
        <w:t xml:space="preserve">solicitaron que conforme a los estándares internacionales </w:t>
      </w:r>
      <w:r w:rsidR="007A36C1">
        <w:rPr>
          <w:rFonts w:eastAsia="Times"/>
          <w:szCs w:val="20"/>
          <w:lang w:eastAsia="es-ES"/>
        </w:rPr>
        <w:t>se otorgara la suma de U</w:t>
      </w:r>
      <w:r w:rsidR="00246C03">
        <w:rPr>
          <w:rFonts w:eastAsia="Times"/>
          <w:szCs w:val="20"/>
          <w:lang w:eastAsia="es-ES"/>
        </w:rPr>
        <w:t>S</w:t>
      </w:r>
      <w:r w:rsidR="007A36C1">
        <w:rPr>
          <w:rFonts w:eastAsia="Times"/>
          <w:szCs w:val="20"/>
          <w:lang w:eastAsia="es-ES"/>
        </w:rPr>
        <w:t xml:space="preserve">$ </w:t>
      </w:r>
      <w:r w:rsidR="00A14E9F">
        <w:rPr>
          <w:rFonts w:eastAsia="Times"/>
          <w:szCs w:val="20"/>
          <w:lang w:eastAsia="es-ES"/>
        </w:rPr>
        <w:t>15.</w:t>
      </w:r>
      <w:r w:rsidR="007A36C1">
        <w:rPr>
          <w:rFonts w:eastAsia="Times"/>
          <w:szCs w:val="20"/>
          <w:lang w:eastAsia="es-ES"/>
        </w:rPr>
        <w:t xml:space="preserve">000 (quince mil dólares de los Estados Unidos de América). </w:t>
      </w:r>
      <w:r w:rsidR="00DB7D91">
        <w:rPr>
          <w:rFonts w:eastAsia="Times"/>
          <w:szCs w:val="20"/>
          <w:lang w:eastAsia="es-ES"/>
        </w:rPr>
        <w:t xml:space="preserve">El </w:t>
      </w:r>
      <w:r w:rsidR="00DB7D91" w:rsidRPr="00404C7B">
        <w:rPr>
          <w:rFonts w:eastAsia="Times"/>
          <w:i/>
          <w:szCs w:val="20"/>
          <w:lang w:eastAsia="es-ES"/>
        </w:rPr>
        <w:t>Estado</w:t>
      </w:r>
      <w:r w:rsidR="00DB7D91">
        <w:rPr>
          <w:rFonts w:eastAsia="Times"/>
          <w:i/>
          <w:szCs w:val="20"/>
          <w:lang w:eastAsia="es-ES"/>
        </w:rPr>
        <w:t xml:space="preserve"> </w:t>
      </w:r>
      <w:r w:rsidR="00DB7D91">
        <w:rPr>
          <w:rFonts w:eastAsia="Times"/>
          <w:szCs w:val="20"/>
          <w:lang w:eastAsia="es-ES"/>
        </w:rPr>
        <w:t xml:space="preserve">señaló que rechazaba las costas reclamadas ya que eventualmente se reintegrarán esos gastos utilizando el </w:t>
      </w:r>
      <w:r w:rsidR="002E580C">
        <w:rPr>
          <w:rFonts w:eastAsia="Times"/>
          <w:szCs w:val="20"/>
          <w:lang w:eastAsia="es-ES"/>
        </w:rPr>
        <w:t xml:space="preserve">Fondo de Asistencia Legal de Víctimas, sumado a que los representantes no agregaron comprobantes que permitan acreditar erogaciones que puedan ser justificadas como el pago de costas, por lo que la solicitud debía ser rechazada. </w:t>
      </w:r>
    </w:p>
    <w:p w14:paraId="01F5987B" w14:textId="047D1909" w:rsidR="009C47B5" w:rsidRPr="00A63C02" w:rsidRDefault="009C47B5" w:rsidP="00404C7B">
      <w:pPr>
        <w:pStyle w:val="Prrafodelista"/>
        <w:numPr>
          <w:ilvl w:val="0"/>
          <w:numId w:val="2"/>
        </w:numPr>
        <w:tabs>
          <w:tab w:val="left" w:pos="630"/>
        </w:tabs>
        <w:spacing w:before="120" w:after="120"/>
        <w:ind w:left="0" w:firstLine="0"/>
        <w:contextualSpacing w:val="0"/>
        <w:rPr>
          <w:rFonts w:cs="Arial"/>
          <w:b/>
          <w:szCs w:val="20"/>
          <w:lang w:val="es-CR"/>
        </w:rPr>
      </w:pPr>
      <w:r w:rsidRPr="009C47B5">
        <w:rPr>
          <w:szCs w:val="20"/>
        </w:rPr>
        <w:lastRenderedPageBreak/>
        <w:t xml:space="preserve"> </w:t>
      </w:r>
      <w:r w:rsidRPr="00A63C02">
        <w:rPr>
          <w:szCs w:val="20"/>
        </w:rPr>
        <w:t xml:space="preserve">La </w:t>
      </w:r>
      <w:r w:rsidRPr="00404C7B">
        <w:rPr>
          <w:i/>
          <w:szCs w:val="20"/>
        </w:rPr>
        <w:t>Corte</w:t>
      </w:r>
      <w:r w:rsidRPr="00A63C02">
        <w:rPr>
          <w:szCs w:val="20"/>
        </w:rPr>
        <w:t xml:space="preserve"> reitera que, conforme a su jurisprudencia, las costas y gastos hacen parte del concepto de reparación, toda vez que la actividad desplegada por las víctimas con el fin de obtener justicia, tanto a nivel nacional como internacional, implica erogaciones que deben ser compensadas cuando la </w:t>
      </w:r>
      <w:r w:rsidRPr="00404C7B">
        <w:rPr>
          <w:rFonts w:eastAsia="Times"/>
          <w:szCs w:val="20"/>
          <w:lang w:eastAsia="es-ES"/>
        </w:rPr>
        <w:t>responsabilidad</w:t>
      </w:r>
      <w:r w:rsidRPr="00A63C02">
        <w:rPr>
          <w:szCs w:val="20"/>
        </w:rPr>
        <w:t xml:space="preserve">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A63C02">
        <w:rPr>
          <w:i/>
          <w:szCs w:val="20"/>
        </w:rPr>
        <w:t>quantum</w:t>
      </w:r>
      <w:r w:rsidRPr="00A63C02">
        <w:rPr>
          <w:szCs w:val="20"/>
        </w:rPr>
        <w:t xml:space="preserve"> sea razonable</w:t>
      </w:r>
      <w:r w:rsidRPr="00A63C02">
        <w:rPr>
          <w:rStyle w:val="Refdenotaalpie"/>
        </w:rPr>
        <w:footnoteReference w:id="98"/>
      </w:r>
      <w:r w:rsidRPr="00A63C02">
        <w:rPr>
          <w:szCs w:val="20"/>
        </w:rPr>
        <w:t>.</w:t>
      </w:r>
    </w:p>
    <w:p w14:paraId="45E74B53" w14:textId="77777777" w:rsidR="009C47B5" w:rsidRPr="00A63C02" w:rsidRDefault="009C47B5" w:rsidP="00404C7B">
      <w:pPr>
        <w:pStyle w:val="Prrafodelista"/>
        <w:numPr>
          <w:ilvl w:val="0"/>
          <w:numId w:val="2"/>
        </w:numPr>
        <w:tabs>
          <w:tab w:val="left" w:pos="630"/>
        </w:tabs>
        <w:spacing w:before="120" w:after="120"/>
        <w:ind w:left="0" w:firstLine="0"/>
        <w:contextualSpacing w:val="0"/>
        <w:rPr>
          <w:rFonts w:cs="Arial"/>
          <w:b/>
          <w:szCs w:val="20"/>
          <w:lang w:val="es-CR"/>
        </w:rPr>
      </w:pPr>
      <w:r w:rsidRPr="00A63C02">
        <w:rPr>
          <w:szCs w:val="20"/>
        </w:rPr>
        <w:t>Este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A63C02">
        <w:rPr>
          <w:rStyle w:val="Refdenotaalpie"/>
        </w:rPr>
        <w:footnoteReference w:id="99"/>
      </w:r>
      <w:r w:rsidRPr="00A63C02">
        <w:rPr>
          <w:szCs w:val="20"/>
        </w:rPr>
        <w:t>.</w:t>
      </w:r>
    </w:p>
    <w:p w14:paraId="5541822D" w14:textId="41911E86" w:rsidR="009C47B5" w:rsidRPr="00A63C02" w:rsidRDefault="009C47B5" w:rsidP="00404C7B">
      <w:pPr>
        <w:pStyle w:val="Prrafodelista"/>
        <w:numPr>
          <w:ilvl w:val="0"/>
          <w:numId w:val="2"/>
        </w:numPr>
        <w:tabs>
          <w:tab w:val="left" w:pos="630"/>
        </w:tabs>
        <w:spacing w:before="120" w:after="120"/>
        <w:ind w:left="0" w:firstLine="0"/>
        <w:contextualSpacing w:val="0"/>
        <w:rPr>
          <w:rFonts w:cs="Arial"/>
          <w:b/>
          <w:szCs w:val="20"/>
          <w:lang w:val="es-CR"/>
        </w:rPr>
      </w:pPr>
      <w:r w:rsidRPr="00A63C02">
        <w:rPr>
          <w:szCs w:val="20"/>
        </w:rPr>
        <w:t>En el presente caso, no consta en el expediente respaldo probatorio preciso en relación con las costas y gastos en los cuales incurri</w:t>
      </w:r>
      <w:r>
        <w:rPr>
          <w:szCs w:val="20"/>
        </w:rPr>
        <w:t xml:space="preserve">eron los representantes </w:t>
      </w:r>
      <w:r w:rsidRPr="00A63C02">
        <w:rPr>
          <w:szCs w:val="20"/>
        </w:rPr>
        <w:t xml:space="preserve">respecto a la tramitación del caso ante la Corte. Sin embargo, la Corte considera que tales trámites necesariamente implicaron erogaciones pecuniarias, por lo que determina que el Estado debe entregar </w:t>
      </w:r>
      <w:r w:rsidR="00A14E9F">
        <w:rPr>
          <w:szCs w:val="20"/>
        </w:rPr>
        <w:t xml:space="preserve">a </w:t>
      </w:r>
      <w:r w:rsidR="004970F6">
        <w:rPr>
          <w:szCs w:val="20"/>
        </w:rPr>
        <w:t xml:space="preserve">la representación de la víctima </w:t>
      </w:r>
      <w:r w:rsidRPr="00A63C02">
        <w:rPr>
          <w:szCs w:val="20"/>
        </w:rPr>
        <w:t xml:space="preserve">la cantidad de US$ </w:t>
      </w:r>
      <w:r w:rsidR="00FF05E5">
        <w:rPr>
          <w:szCs w:val="20"/>
        </w:rPr>
        <w:t>15</w:t>
      </w:r>
      <w:r w:rsidRPr="00A63C02">
        <w:rPr>
          <w:szCs w:val="20"/>
        </w:rPr>
        <w:t>.000,00 (</w:t>
      </w:r>
      <w:r w:rsidR="00FF05E5">
        <w:rPr>
          <w:szCs w:val="20"/>
        </w:rPr>
        <w:t>quince</w:t>
      </w:r>
      <w:r w:rsidRPr="00A63C02">
        <w:rPr>
          <w:szCs w:val="20"/>
        </w:rPr>
        <w:t xml:space="preserve"> mil dólares de los Estados Unidos de América) por concepto de costas y gastos. En la etapa de supervisión de cumplimiento de la presente Sentencia, la Corte podrá disponer que el Estado reembolse a la</w:t>
      </w:r>
      <w:r>
        <w:rPr>
          <w:szCs w:val="20"/>
        </w:rPr>
        <w:t>s</w:t>
      </w:r>
      <w:r w:rsidRPr="00A63C02">
        <w:rPr>
          <w:szCs w:val="20"/>
        </w:rPr>
        <w:t xml:space="preserve"> víctima</w:t>
      </w:r>
      <w:r>
        <w:rPr>
          <w:szCs w:val="20"/>
        </w:rPr>
        <w:t>s</w:t>
      </w:r>
      <w:r w:rsidRPr="00A63C02">
        <w:rPr>
          <w:szCs w:val="20"/>
        </w:rPr>
        <w:t xml:space="preserve"> o su</w:t>
      </w:r>
      <w:r>
        <w:rPr>
          <w:szCs w:val="20"/>
        </w:rPr>
        <w:t>s</w:t>
      </w:r>
      <w:r w:rsidRPr="00A63C02">
        <w:rPr>
          <w:szCs w:val="20"/>
        </w:rPr>
        <w:t xml:space="preserve"> representante</w:t>
      </w:r>
      <w:r>
        <w:rPr>
          <w:szCs w:val="20"/>
        </w:rPr>
        <w:t>s</w:t>
      </w:r>
      <w:r w:rsidRPr="00A63C02">
        <w:rPr>
          <w:szCs w:val="20"/>
        </w:rPr>
        <w:t xml:space="preserve"> los gastos razonables en que incurra en dicha etapa procesal</w:t>
      </w:r>
      <w:r w:rsidRPr="00A63C02">
        <w:rPr>
          <w:rStyle w:val="Refdenotaalpie"/>
        </w:rPr>
        <w:footnoteReference w:id="100"/>
      </w:r>
      <w:r w:rsidRPr="00A63C02">
        <w:rPr>
          <w:szCs w:val="20"/>
        </w:rPr>
        <w:t>.</w:t>
      </w:r>
    </w:p>
    <w:p w14:paraId="5DB7E27B" w14:textId="788F8403" w:rsidR="00741BF7" w:rsidRPr="00280D3A" w:rsidRDefault="002E580C" w:rsidP="00280D3A">
      <w:pPr>
        <w:pStyle w:val="Prrafodelista"/>
        <w:numPr>
          <w:ilvl w:val="0"/>
          <w:numId w:val="19"/>
        </w:numPr>
        <w:pBdr>
          <w:top w:val="nil"/>
        </w:pBdr>
        <w:spacing w:before="240" w:after="240"/>
        <w:contextualSpacing w:val="0"/>
        <w:outlineLvl w:val="1"/>
        <w:rPr>
          <w:b/>
          <w:i/>
          <w:snapToGrid w:val="0"/>
          <w:spacing w:val="-2"/>
          <w:szCs w:val="20"/>
          <w:lang w:val="es-CR" w:eastAsia="es-ES"/>
        </w:rPr>
      </w:pPr>
      <w:bookmarkStart w:id="125" w:name="_Toc32338659"/>
      <w:bookmarkStart w:id="126" w:name="_Toc25061188"/>
      <w:bookmarkStart w:id="127" w:name="_Toc36132131"/>
      <w:bookmarkEnd w:id="125"/>
      <w:r w:rsidRPr="00280D3A">
        <w:rPr>
          <w:b/>
          <w:i/>
          <w:snapToGrid w:val="0"/>
          <w:spacing w:val="-2"/>
          <w:szCs w:val="20"/>
          <w:lang w:val="es-CR" w:eastAsia="es-ES"/>
        </w:rPr>
        <w:t>Reintegro de los gastos al Fondo de Asistencia Legal de víctimas</w:t>
      </w:r>
      <w:bookmarkEnd w:id="126"/>
      <w:bookmarkEnd w:id="127"/>
    </w:p>
    <w:p w14:paraId="72786E35" w14:textId="7C71CC6D" w:rsidR="002E580C" w:rsidRPr="002E580C" w:rsidRDefault="002E580C" w:rsidP="00404C7B">
      <w:pPr>
        <w:pStyle w:val="Prrafodelista"/>
        <w:numPr>
          <w:ilvl w:val="0"/>
          <w:numId w:val="2"/>
        </w:numPr>
        <w:tabs>
          <w:tab w:val="left" w:pos="630"/>
        </w:tabs>
        <w:spacing w:before="120" w:after="120"/>
        <w:ind w:left="0" w:firstLine="0"/>
        <w:contextualSpacing w:val="0"/>
        <w:rPr>
          <w:rFonts w:eastAsia="Times"/>
          <w:szCs w:val="20"/>
          <w:lang w:val="es-CR" w:eastAsia="es-ES"/>
        </w:rPr>
      </w:pPr>
      <w:r w:rsidRPr="002E580C">
        <w:rPr>
          <w:rFonts w:eastAsia="Times"/>
          <w:szCs w:val="20"/>
          <w:lang w:val="es-CR" w:eastAsia="es-ES"/>
        </w:rPr>
        <w:t>Mediante Resolución de 1</w:t>
      </w:r>
      <w:r>
        <w:rPr>
          <w:rFonts w:eastAsia="Times"/>
          <w:szCs w:val="20"/>
          <w:lang w:val="es-CR" w:eastAsia="es-ES"/>
        </w:rPr>
        <w:t>6</w:t>
      </w:r>
      <w:r w:rsidRPr="002E580C">
        <w:rPr>
          <w:rFonts w:eastAsia="Times"/>
          <w:szCs w:val="20"/>
          <w:lang w:val="es-CR" w:eastAsia="es-ES"/>
        </w:rPr>
        <w:t xml:space="preserve"> de </w:t>
      </w:r>
      <w:r>
        <w:rPr>
          <w:rFonts w:eastAsia="Times"/>
          <w:szCs w:val="20"/>
          <w:lang w:val="es-CR" w:eastAsia="es-ES"/>
        </w:rPr>
        <w:t>julio</w:t>
      </w:r>
      <w:r w:rsidRPr="002E580C">
        <w:rPr>
          <w:rFonts w:eastAsia="Times"/>
          <w:szCs w:val="20"/>
          <w:lang w:val="es-CR" w:eastAsia="es-ES"/>
        </w:rPr>
        <w:t xml:space="preserve"> de 201</w:t>
      </w:r>
      <w:r>
        <w:rPr>
          <w:rFonts w:eastAsia="Times"/>
          <w:szCs w:val="20"/>
          <w:lang w:val="es-CR" w:eastAsia="es-ES"/>
        </w:rPr>
        <w:t>9</w:t>
      </w:r>
      <w:r w:rsidR="004970F6">
        <w:rPr>
          <w:rFonts w:eastAsia="Times"/>
          <w:szCs w:val="20"/>
          <w:lang w:val="es-CR" w:eastAsia="es-ES"/>
        </w:rPr>
        <w:t>,</w:t>
      </w:r>
      <w:r w:rsidRPr="002E580C">
        <w:rPr>
          <w:rFonts w:eastAsia="Times"/>
          <w:szCs w:val="20"/>
          <w:lang w:val="es-CR" w:eastAsia="es-ES"/>
        </w:rPr>
        <w:t xml:space="preserve"> </w:t>
      </w:r>
      <w:r w:rsidR="004970F6">
        <w:rPr>
          <w:rFonts w:eastAsia="Times"/>
          <w:szCs w:val="20"/>
          <w:lang w:val="es-CR" w:eastAsia="es-ES"/>
        </w:rPr>
        <w:t>la</w:t>
      </w:r>
      <w:r w:rsidRPr="002E580C">
        <w:rPr>
          <w:rFonts w:eastAsia="Times"/>
          <w:szCs w:val="20"/>
          <w:lang w:val="es-CR" w:eastAsia="es-ES"/>
        </w:rPr>
        <w:t xml:space="preserve"> Presiden</w:t>
      </w:r>
      <w:r w:rsidR="004970F6">
        <w:rPr>
          <w:rFonts w:eastAsia="Times"/>
          <w:szCs w:val="20"/>
          <w:lang w:val="es-CR" w:eastAsia="es-ES"/>
        </w:rPr>
        <w:t>cia</w:t>
      </w:r>
      <w:r w:rsidRPr="002E580C">
        <w:rPr>
          <w:rFonts w:eastAsia="Times"/>
          <w:szCs w:val="20"/>
          <w:lang w:val="es-CR" w:eastAsia="es-ES"/>
        </w:rPr>
        <w:t xml:space="preserve"> del Tribunal declaró procedente </w:t>
      </w:r>
      <w:r w:rsidRPr="00404C7B">
        <w:rPr>
          <w:szCs w:val="20"/>
        </w:rPr>
        <w:t>la</w:t>
      </w:r>
      <w:r w:rsidRPr="002E580C">
        <w:rPr>
          <w:rFonts w:eastAsia="Times"/>
          <w:szCs w:val="20"/>
          <w:lang w:val="es-CR" w:eastAsia="es-ES"/>
        </w:rPr>
        <w:t xml:space="preserve"> solicitud interpuesta por las presuntas víctimas a través de sus representantes para acogerse al Fondo de Asistencia Legal, y </w:t>
      </w:r>
      <w:r w:rsidR="00741BF7" w:rsidRPr="002E580C">
        <w:rPr>
          <w:rFonts w:eastAsia="Times"/>
          <w:szCs w:val="20"/>
          <w:lang w:val="es-CR" w:eastAsia="es-ES"/>
        </w:rPr>
        <w:t>aprobó</w:t>
      </w:r>
      <w:r w:rsidRPr="002E580C">
        <w:rPr>
          <w:rFonts w:eastAsia="Times"/>
          <w:szCs w:val="20"/>
          <w:lang w:val="es-CR" w:eastAsia="es-ES"/>
        </w:rPr>
        <w:t xml:space="preserve">́ que se otorgara la asistencia </w:t>
      </w:r>
      <w:r w:rsidR="00741BF7" w:rsidRPr="00741BF7">
        <w:rPr>
          <w:rFonts w:eastAsia="Times"/>
          <w:szCs w:val="20"/>
          <w:lang w:eastAsia="es-ES"/>
        </w:rPr>
        <w:t>económica</w:t>
      </w:r>
      <w:r w:rsidRPr="002E580C">
        <w:rPr>
          <w:rFonts w:eastAsia="Times"/>
          <w:szCs w:val="20"/>
          <w:lang w:val="es-CR" w:eastAsia="es-ES"/>
        </w:rPr>
        <w:t xml:space="preserve"> necesaria </w:t>
      </w:r>
      <w:r w:rsidRPr="002E580C">
        <w:rPr>
          <w:rFonts w:eastAsia="Times"/>
          <w:szCs w:val="20"/>
          <w:lang w:eastAsia="es-ES"/>
        </w:rPr>
        <w:t>para solventar los gastos para la presentación de un testimonio y la comparecencia de dos representantes legales en la audiencia pública del presente caso</w:t>
      </w:r>
      <w:r w:rsidRPr="002E580C">
        <w:rPr>
          <w:rFonts w:eastAsia="Times"/>
          <w:szCs w:val="20"/>
          <w:lang w:val="es-CR" w:eastAsia="es-ES"/>
        </w:rPr>
        <w:t xml:space="preserve">. La </w:t>
      </w:r>
      <w:r w:rsidR="004970F6">
        <w:rPr>
          <w:rFonts w:eastAsia="Times"/>
          <w:szCs w:val="20"/>
          <w:lang w:val="es-CR" w:eastAsia="es-ES"/>
        </w:rPr>
        <w:t>Secretarí</w:t>
      </w:r>
      <w:r w:rsidR="00741BF7" w:rsidRPr="002E580C">
        <w:rPr>
          <w:rFonts w:eastAsia="Times"/>
          <w:szCs w:val="20"/>
          <w:lang w:val="es-CR" w:eastAsia="es-ES"/>
        </w:rPr>
        <w:t>a</w:t>
      </w:r>
      <w:r w:rsidRPr="002E580C">
        <w:rPr>
          <w:rFonts w:eastAsia="Times"/>
          <w:szCs w:val="20"/>
          <w:lang w:val="es-CR" w:eastAsia="es-ES"/>
        </w:rPr>
        <w:t xml:space="preserve"> de la Corte </w:t>
      </w:r>
      <w:r w:rsidR="00741BF7" w:rsidRPr="002E580C">
        <w:rPr>
          <w:rFonts w:eastAsia="Times"/>
          <w:szCs w:val="20"/>
          <w:lang w:val="es-CR" w:eastAsia="es-ES"/>
        </w:rPr>
        <w:t>transmitió</w:t>
      </w:r>
      <w:r w:rsidRPr="002E580C">
        <w:rPr>
          <w:rFonts w:eastAsia="Times"/>
          <w:szCs w:val="20"/>
          <w:lang w:val="es-CR" w:eastAsia="es-ES"/>
        </w:rPr>
        <w:t xml:space="preserve">́ al Estado copia del informe sobre las erogaciones realizadas en </w:t>
      </w:r>
      <w:r w:rsidR="00741BF7" w:rsidRPr="002E580C">
        <w:rPr>
          <w:rFonts w:eastAsia="Times"/>
          <w:szCs w:val="20"/>
          <w:lang w:val="es-CR" w:eastAsia="es-ES"/>
        </w:rPr>
        <w:t>aplicación</w:t>
      </w:r>
      <w:r w:rsidRPr="002E580C">
        <w:rPr>
          <w:rFonts w:eastAsia="Times"/>
          <w:szCs w:val="20"/>
          <w:lang w:val="es-CR" w:eastAsia="es-ES"/>
        </w:rPr>
        <w:t xml:space="preserve"> de dicho fondo en el presente caso, las cuales ascendieron a la suma de US$</w:t>
      </w:r>
      <w:r>
        <w:rPr>
          <w:rFonts w:eastAsia="Times"/>
          <w:szCs w:val="20"/>
          <w:lang w:val="es-CR" w:eastAsia="es-ES"/>
        </w:rPr>
        <w:t>1</w:t>
      </w:r>
      <w:r w:rsidRPr="002E580C">
        <w:rPr>
          <w:rFonts w:eastAsia="Times"/>
          <w:szCs w:val="20"/>
          <w:lang w:val="es-CR" w:eastAsia="es-ES"/>
        </w:rPr>
        <w:t>.</w:t>
      </w:r>
      <w:r>
        <w:rPr>
          <w:rFonts w:eastAsia="Times"/>
          <w:szCs w:val="20"/>
          <w:lang w:val="es-CR" w:eastAsia="es-ES"/>
        </w:rPr>
        <w:t>994</w:t>
      </w:r>
      <w:r w:rsidRPr="002E580C">
        <w:rPr>
          <w:rFonts w:eastAsia="Times"/>
          <w:szCs w:val="20"/>
          <w:lang w:val="es-CR" w:eastAsia="es-ES"/>
        </w:rPr>
        <w:t>,</w:t>
      </w:r>
      <w:r>
        <w:rPr>
          <w:rFonts w:eastAsia="Times"/>
          <w:szCs w:val="20"/>
          <w:lang w:val="es-CR" w:eastAsia="es-ES"/>
        </w:rPr>
        <w:t>88</w:t>
      </w:r>
      <w:r w:rsidRPr="002E580C">
        <w:rPr>
          <w:rFonts w:eastAsia="Times"/>
          <w:szCs w:val="20"/>
          <w:lang w:val="es-CR" w:eastAsia="es-ES"/>
        </w:rPr>
        <w:t xml:space="preserve"> (mil </w:t>
      </w:r>
      <w:r>
        <w:rPr>
          <w:rFonts w:eastAsia="Times"/>
          <w:szCs w:val="20"/>
          <w:lang w:val="es-CR" w:eastAsia="es-ES"/>
        </w:rPr>
        <w:t>nove</w:t>
      </w:r>
      <w:r w:rsidRPr="002E580C">
        <w:rPr>
          <w:rFonts w:eastAsia="Times"/>
          <w:szCs w:val="20"/>
          <w:lang w:val="es-CR" w:eastAsia="es-ES"/>
        </w:rPr>
        <w:t xml:space="preserve">cientos </w:t>
      </w:r>
      <w:r>
        <w:rPr>
          <w:rFonts w:eastAsia="Times"/>
          <w:szCs w:val="20"/>
          <w:lang w:val="es-CR" w:eastAsia="es-ES"/>
        </w:rPr>
        <w:t>noventa y cuatro</w:t>
      </w:r>
      <w:r w:rsidRPr="002E580C">
        <w:rPr>
          <w:rFonts w:eastAsia="Times"/>
          <w:szCs w:val="20"/>
          <w:lang w:val="es-CR" w:eastAsia="es-ES"/>
        </w:rPr>
        <w:t xml:space="preserve"> </w:t>
      </w:r>
      <w:r w:rsidR="00741BF7" w:rsidRPr="002E580C">
        <w:rPr>
          <w:rFonts w:eastAsia="Times"/>
          <w:szCs w:val="20"/>
          <w:lang w:val="es-CR" w:eastAsia="es-ES"/>
        </w:rPr>
        <w:t>dólares</w:t>
      </w:r>
      <w:r w:rsidRPr="002E580C">
        <w:rPr>
          <w:rFonts w:eastAsia="Times"/>
          <w:szCs w:val="20"/>
          <w:lang w:val="es-CR" w:eastAsia="es-ES"/>
        </w:rPr>
        <w:t xml:space="preserve"> de los Estados Unidos de </w:t>
      </w:r>
      <w:r w:rsidR="00741BF7" w:rsidRPr="002E580C">
        <w:rPr>
          <w:rFonts w:eastAsia="Times"/>
          <w:szCs w:val="20"/>
          <w:lang w:val="es-CR" w:eastAsia="es-ES"/>
        </w:rPr>
        <w:t>América</w:t>
      </w:r>
      <w:r w:rsidRPr="002E580C">
        <w:rPr>
          <w:rFonts w:eastAsia="Times"/>
          <w:szCs w:val="20"/>
          <w:lang w:val="es-CR" w:eastAsia="es-ES"/>
        </w:rPr>
        <w:t xml:space="preserve"> con </w:t>
      </w:r>
      <w:r>
        <w:rPr>
          <w:rFonts w:eastAsia="Times"/>
          <w:szCs w:val="20"/>
          <w:lang w:val="es-CR" w:eastAsia="es-ES"/>
        </w:rPr>
        <w:t>och</w:t>
      </w:r>
      <w:r w:rsidRPr="002E580C">
        <w:rPr>
          <w:rFonts w:eastAsia="Times"/>
          <w:szCs w:val="20"/>
          <w:lang w:val="es-CR" w:eastAsia="es-ES"/>
        </w:rPr>
        <w:t xml:space="preserve">enta y </w:t>
      </w:r>
      <w:r>
        <w:rPr>
          <w:rFonts w:eastAsia="Times"/>
          <w:szCs w:val="20"/>
          <w:lang w:val="es-CR" w:eastAsia="es-ES"/>
        </w:rPr>
        <w:t>ocho centavos). Paraguay señaló que era atribución de la Corte decidir al momento de emitir la Sentencia sobre el reintegro de los recursos al Fondo de Asistencia Legal de Víctimas</w:t>
      </w:r>
      <w:r w:rsidRPr="002E580C">
        <w:rPr>
          <w:rFonts w:eastAsia="Times"/>
          <w:szCs w:val="20"/>
          <w:lang w:val="es-CR" w:eastAsia="es-ES"/>
        </w:rPr>
        <w:t>.</w:t>
      </w:r>
      <w:r>
        <w:rPr>
          <w:rFonts w:eastAsia="Times"/>
          <w:szCs w:val="20"/>
          <w:lang w:val="es-CR" w:eastAsia="es-ES"/>
        </w:rPr>
        <w:t xml:space="preserve"> </w:t>
      </w:r>
      <w:r w:rsidRPr="002E580C">
        <w:rPr>
          <w:rFonts w:eastAsia="Times"/>
          <w:szCs w:val="20"/>
          <w:lang w:val="es-CR" w:eastAsia="es-ES"/>
        </w:rPr>
        <w:t xml:space="preserve">Corresponde al Tribunal, en </w:t>
      </w:r>
      <w:r w:rsidR="00741BF7" w:rsidRPr="002E580C">
        <w:rPr>
          <w:rFonts w:eastAsia="Times"/>
          <w:szCs w:val="20"/>
          <w:lang w:val="es-CR" w:eastAsia="es-ES"/>
        </w:rPr>
        <w:t>aplicación</w:t>
      </w:r>
      <w:r w:rsidRPr="002E580C">
        <w:rPr>
          <w:rFonts w:eastAsia="Times"/>
          <w:szCs w:val="20"/>
          <w:lang w:val="es-CR" w:eastAsia="es-ES"/>
        </w:rPr>
        <w:t xml:space="preserve"> del </w:t>
      </w:r>
      <w:r w:rsidR="00741BF7" w:rsidRPr="002E580C">
        <w:rPr>
          <w:rFonts w:eastAsia="Times"/>
          <w:szCs w:val="20"/>
          <w:lang w:val="es-CR" w:eastAsia="es-ES"/>
        </w:rPr>
        <w:lastRenderedPageBreak/>
        <w:t>artículo</w:t>
      </w:r>
      <w:r w:rsidRPr="002E580C">
        <w:rPr>
          <w:rFonts w:eastAsia="Times"/>
          <w:szCs w:val="20"/>
          <w:lang w:val="es-CR" w:eastAsia="es-ES"/>
        </w:rPr>
        <w:t xml:space="preserve"> 5 del Reglamento del Fondo, evaluar la procedencia de ordenar al Estado demandado el reintegro al Fondo de Asistencia Legal de las erogaciones en que se hubiese incurrido. </w:t>
      </w:r>
    </w:p>
    <w:p w14:paraId="6480B3E8" w14:textId="124045E6" w:rsidR="00320CA5" w:rsidRPr="00320CA5" w:rsidRDefault="002E580C" w:rsidP="00404C7B">
      <w:pPr>
        <w:pStyle w:val="Prrafodelista"/>
        <w:numPr>
          <w:ilvl w:val="0"/>
          <w:numId w:val="2"/>
        </w:numPr>
        <w:tabs>
          <w:tab w:val="left" w:pos="630"/>
        </w:tabs>
        <w:spacing w:before="120" w:after="120"/>
        <w:ind w:left="0" w:firstLine="0"/>
        <w:contextualSpacing w:val="0"/>
        <w:rPr>
          <w:rFonts w:eastAsia="Times"/>
          <w:szCs w:val="20"/>
          <w:lang w:val="es-CR" w:eastAsia="es-ES"/>
        </w:rPr>
      </w:pPr>
      <w:r w:rsidRPr="002E580C">
        <w:rPr>
          <w:rFonts w:eastAsia="Times"/>
          <w:szCs w:val="20"/>
          <w:lang w:val="es-CR" w:eastAsia="es-ES"/>
        </w:rPr>
        <w:t xml:space="preserve">En </w:t>
      </w:r>
      <w:r w:rsidR="00741BF7" w:rsidRPr="002E580C">
        <w:rPr>
          <w:rFonts w:eastAsia="Times"/>
          <w:szCs w:val="20"/>
          <w:lang w:val="es-CR" w:eastAsia="es-ES"/>
        </w:rPr>
        <w:t>razón</w:t>
      </w:r>
      <w:r w:rsidRPr="002E580C">
        <w:rPr>
          <w:rFonts w:eastAsia="Times"/>
          <w:szCs w:val="20"/>
          <w:lang w:val="es-CR" w:eastAsia="es-ES"/>
        </w:rPr>
        <w:t xml:space="preserve"> de las violaciones declaradas en la presente Sentencia, la Corte ordena al Estado el reintegro a dicho Fondo por la cantidad de US$</w:t>
      </w:r>
      <w:r>
        <w:rPr>
          <w:rFonts w:eastAsia="Times"/>
          <w:szCs w:val="20"/>
          <w:lang w:val="es-CR" w:eastAsia="es-ES"/>
        </w:rPr>
        <w:t>1</w:t>
      </w:r>
      <w:r w:rsidRPr="002E580C">
        <w:rPr>
          <w:rFonts w:eastAsia="Times"/>
          <w:szCs w:val="20"/>
          <w:lang w:val="es-CR" w:eastAsia="es-ES"/>
        </w:rPr>
        <w:t>.</w:t>
      </w:r>
      <w:r>
        <w:rPr>
          <w:rFonts w:eastAsia="Times"/>
          <w:szCs w:val="20"/>
          <w:lang w:val="es-CR" w:eastAsia="es-ES"/>
        </w:rPr>
        <w:t>994</w:t>
      </w:r>
      <w:r w:rsidRPr="002E580C">
        <w:rPr>
          <w:rFonts w:eastAsia="Times"/>
          <w:szCs w:val="20"/>
          <w:lang w:val="es-CR" w:eastAsia="es-ES"/>
        </w:rPr>
        <w:t>,</w:t>
      </w:r>
      <w:r>
        <w:rPr>
          <w:rFonts w:eastAsia="Times"/>
          <w:szCs w:val="20"/>
          <w:lang w:val="es-CR" w:eastAsia="es-ES"/>
        </w:rPr>
        <w:t>88</w:t>
      </w:r>
      <w:r w:rsidRPr="002E580C">
        <w:rPr>
          <w:rFonts w:eastAsia="Times"/>
          <w:szCs w:val="20"/>
          <w:lang w:val="es-CR" w:eastAsia="es-ES"/>
        </w:rPr>
        <w:t xml:space="preserve"> (mil </w:t>
      </w:r>
      <w:r>
        <w:rPr>
          <w:rFonts w:eastAsia="Times"/>
          <w:szCs w:val="20"/>
          <w:lang w:val="es-CR" w:eastAsia="es-ES"/>
        </w:rPr>
        <w:t>nove</w:t>
      </w:r>
      <w:r w:rsidRPr="002E580C">
        <w:rPr>
          <w:rFonts w:eastAsia="Times"/>
          <w:szCs w:val="20"/>
          <w:lang w:val="es-CR" w:eastAsia="es-ES"/>
        </w:rPr>
        <w:t xml:space="preserve">cientos </w:t>
      </w:r>
      <w:r>
        <w:rPr>
          <w:rFonts w:eastAsia="Times"/>
          <w:szCs w:val="20"/>
          <w:lang w:val="es-CR" w:eastAsia="es-ES"/>
        </w:rPr>
        <w:t>noventa y cuatro</w:t>
      </w:r>
      <w:r w:rsidRPr="002E580C">
        <w:rPr>
          <w:rFonts w:eastAsia="Times"/>
          <w:szCs w:val="20"/>
          <w:lang w:val="es-CR" w:eastAsia="es-ES"/>
        </w:rPr>
        <w:t xml:space="preserve"> </w:t>
      </w:r>
      <w:r w:rsidR="00741BF7" w:rsidRPr="002E580C">
        <w:rPr>
          <w:rFonts w:eastAsia="Times"/>
          <w:szCs w:val="20"/>
          <w:lang w:val="es-CR" w:eastAsia="es-ES"/>
        </w:rPr>
        <w:t>dólares</w:t>
      </w:r>
      <w:r w:rsidRPr="002E580C">
        <w:rPr>
          <w:rFonts w:eastAsia="Times"/>
          <w:szCs w:val="20"/>
          <w:lang w:val="es-CR" w:eastAsia="es-ES"/>
        </w:rPr>
        <w:t xml:space="preserve"> de los Estados Unidos de </w:t>
      </w:r>
      <w:r w:rsidR="00741BF7" w:rsidRPr="002E580C">
        <w:rPr>
          <w:rFonts w:eastAsia="Times"/>
          <w:szCs w:val="20"/>
          <w:lang w:val="es-CR" w:eastAsia="es-ES"/>
        </w:rPr>
        <w:t>América</w:t>
      </w:r>
      <w:r w:rsidRPr="002E580C">
        <w:rPr>
          <w:rFonts w:eastAsia="Times"/>
          <w:szCs w:val="20"/>
          <w:lang w:val="es-CR" w:eastAsia="es-ES"/>
        </w:rPr>
        <w:t xml:space="preserve"> con </w:t>
      </w:r>
      <w:r>
        <w:rPr>
          <w:rFonts w:eastAsia="Times"/>
          <w:szCs w:val="20"/>
          <w:lang w:val="es-CR" w:eastAsia="es-ES"/>
        </w:rPr>
        <w:t>och</w:t>
      </w:r>
      <w:r w:rsidRPr="002E580C">
        <w:rPr>
          <w:rFonts w:eastAsia="Times"/>
          <w:szCs w:val="20"/>
          <w:lang w:val="es-CR" w:eastAsia="es-ES"/>
        </w:rPr>
        <w:t xml:space="preserve">enta y </w:t>
      </w:r>
      <w:r>
        <w:rPr>
          <w:rFonts w:eastAsia="Times"/>
          <w:szCs w:val="20"/>
          <w:lang w:val="es-CR" w:eastAsia="es-ES"/>
        </w:rPr>
        <w:t>ocho centavos)</w:t>
      </w:r>
      <w:r w:rsidRPr="002E580C">
        <w:rPr>
          <w:rFonts w:eastAsia="Times"/>
          <w:szCs w:val="20"/>
          <w:lang w:val="es-CR" w:eastAsia="es-ES"/>
        </w:rPr>
        <w:t xml:space="preserve">, por los gastos incurridos. Este monto </w:t>
      </w:r>
      <w:r w:rsidR="00741BF7" w:rsidRPr="002E580C">
        <w:rPr>
          <w:rFonts w:eastAsia="Times"/>
          <w:szCs w:val="20"/>
          <w:lang w:val="es-CR" w:eastAsia="es-ES"/>
        </w:rPr>
        <w:t>deberá</w:t>
      </w:r>
      <w:r w:rsidRPr="002E580C">
        <w:rPr>
          <w:rFonts w:eastAsia="Times"/>
          <w:szCs w:val="20"/>
          <w:lang w:val="es-CR" w:eastAsia="es-ES"/>
        </w:rPr>
        <w:t xml:space="preserve">́ ser reintegrado a la Corte Interamericana en el plazo de noventa </w:t>
      </w:r>
      <w:r w:rsidR="00741BF7" w:rsidRPr="002E580C">
        <w:rPr>
          <w:rFonts w:eastAsia="Times"/>
          <w:szCs w:val="20"/>
          <w:lang w:val="es-CR" w:eastAsia="es-ES"/>
        </w:rPr>
        <w:t>días</w:t>
      </w:r>
      <w:r w:rsidRPr="002E580C">
        <w:rPr>
          <w:rFonts w:eastAsia="Times"/>
          <w:szCs w:val="20"/>
          <w:lang w:val="es-CR" w:eastAsia="es-ES"/>
        </w:rPr>
        <w:t xml:space="preserve">, contados a partir de la </w:t>
      </w:r>
      <w:r w:rsidR="00741BF7" w:rsidRPr="002E580C">
        <w:rPr>
          <w:rFonts w:eastAsia="Times"/>
          <w:szCs w:val="20"/>
          <w:lang w:val="es-CR" w:eastAsia="es-ES"/>
        </w:rPr>
        <w:t>notificación</w:t>
      </w:r>
      <w:r w:rsidRPr="002E580C">
        <w:rPr>
          <w:rFonts w:eastAsia="Times"/>
          <w:szCs w:val="20"/>
          <w:lang w:val="es-CR" w:eastAsia="es-ES"/>
        </w:rPr>
        <w:t xml:space="preserve"> del presente Fallo. </w:t>
      </w:r>
    </w:p>
    <w:p w14:paraId="78A639D1" w14:textId="236C8E22" w:rsidR="00741BF7" w:rsidRPr="00280D3A" w:rsidRDefault="00741BF7" w:rsidP="00280D3A">
      <w:pPr>
        <w:pStyle w:val="Prrafodelista"/>
        <w:numPr>
          <w:ilvl w:val="0"/>
          <w:numId w:val="19"/>
        </w:numPr>
        <w:pBdr>
          <w:top w:val="nil"/>
        </w:pBdr>
        <w:spacing w:before="240" w:after="240"/>
        <w:contextualSpacing w:val="0"/>
        <w:outlineLvl w:val="1"/>
        <w:rPr>
          <w:b/>
          <w:i/>
          <w:snapToGrid w:val="0"/>
          <w:spacing w:val="-2"/>
          <w:szCs w:val="20"/>
          <w:lang w:val="es-CR" w:eastAsia="es-ES"/>
        </w:rPr>
      </w:pPr>
      <w:bookmarkStart w:id="128" w:name="_Toc36132132"/>
      <w:r w:rsidRPr="00741BF7">
        <w:rPr>
          <w:b/>
          <w:i/>
          <w:snapToGrid w:val="0"/>
          <w:spacing w:val="-2"/>
          <w:szCs w:val="20"/>
          <w:lang w:val="es-CR" w:eastAsia="es-ES"/>
        </w:rPr>
        <w:t>Modalidad de cumplimiento de los pagos ordenados</w:t>
      </w:r>
      <w:bookmarkEnd w:id="128"/>
    </w:p>
    <w:p w14:paraId="43C455BF" w14:textId="0A9E770B" w:rsidR="003A6DDA" w:rsidRPr="00A63C02" w:rsidRDefault="003A6DDA" w:rsidP="00404C7B">
      <w:pPr>
        <w:pStyle w:val="Prrafodelista"/>
        <w:numPr>
          <w:ilvl w:val="0"/>
          <w:numId w:val="2"/>
        </w:numPr>
        <w:tabs>
          <w:tab w:val="left" w:pos="630"/>
        </w:tabs>
        <w:spacing w:before="120" w:after="120"/>
        <w:ind w:left="0" w:firstLine="0"/>
        <w:contextualSpacing w:val="0"/>
        <w:rPr>
          <w:rFonts w:cs="Vrinda"/>
          <w:szCs w:val="20"/>
          <w:lang w:bidi="en-US"/>
        </w:rPr>
      </w:pPr>
      <w:bookmarkStart w:id="129" w:name="_Ref512872975"/>
      <w:r w:rsidRPr="00A63C02">
        <w:rPr>
          <w:szCs w:val="20"/>
        </w:rPr>
        <w:t xml:space="preserve">El Estado deberá efectuar el pago de las indemnizaciones y el reintegro de costas y gastos establecidos en la presente Sentencia directamente a </w:t>
      </w:r>
      <w:r w:rsidR="004970F6">
        <w:rPr>
          <w:szCs w:val="20"/>
        </w:rPr>
        <w:t>María Noguera</w:t>
      </w:r>
      <w:r w:rsidRPr="00A63C02">
        <w:rPr>
          <w:szCs w:val="20"/>
        </w:rPr>
        <w:t>, dentro del plazo de un año contado a partir de la notificación de la presente Sentencia</w:t>
      </w:r>
      <w:bookmarkStart w:id="130" w:name="_Ref469601153"/>
      <w:bookmarkEnd w:id="129"/>
      <w:r w:rsidRPr="00A63C02">
        <w:rPr>
          <w:szCs w:val="20"/>
        </w:rPr>
        <w:t>.</w:t>
      </w:r>
    </w:p>
    <w:p w14:paraId="5E1A5355" w14:textId="3DFA307D" w:rsidR="003A6DDA" w:rsidRPr="00A63C02" w:rsidRDefault="003A6DDA" w:rsidP="00404C7B">
      <w:pPr>
        <w:pStyle w:val="Prrafodelista"/>
        <w:numPr>
          <w:ilvl w:val="0"/>
          <w:numId w:val="2"/>
        </w:numPr>
        <w:tabs>
          <w:tab w:val="left" w:pos="630"/>
        </w:tabs>
        <w:spacing w:before="120" w:after="120"/>
        <w:ind w:left="0" w:firstLine="0"/>
        <w:contextualSpacing w:val="0"/>
        <w:rPr>
          <w:rFonts w:cs="Vrinda"/>
          <w:szCs w:val="20"/>
          <w:lang w:bidi="en-US"/>
        </w:rPr>
      </w:pPr>
      <w:r w:rsidRPr="00A63C02">
        <w:rPr>
          <w:szCs w:val="20"/>
        </w:rPr>
        <w:t xml:space="preserve">En caso de que </w:t>
      </w:r>
      <w:r w:rsidR="004970F6">
        <w:rPr>
          <w:szCs w:val="20"/>
        </w:rPr>
        <w:t>la</w:t>
      </w:r>
      <w:r w:rsidRPr="00A63C02">
        <w:rPr>
          <w:szCs w:val="20"/>
        </w:rPr>
        <w:t xml:space="preserve"> beneficiari</w:t>
      </w:r>
      <w:r w:rsidR="004970F6">
        <w:rPr>
          <w:szCs w:val="20"/>
        </w:rPr>
        <w:t>a</w:t>
      </w:r>
      <w:r w:rsidRPr="00A63C02">
        <w:rPr>
          <w:szCs w:val="20"/>
        </w:rPr>
        <w:t xml:space="preserve"> haya fallecido o fallezca antes de que les sea entregada la cantidad respectiva, esta se entregará directamente a sus derechohabientes, conforme al derecho interno aplicable.</w:t>
      </w:r>
      <w:bookmarkEnd w:id="130"/>
    </w:p>
    <w:p w14:paraId="32FBC0A4" w14:textId="77777777" w:rsidR="003A6DDA" w:rsidRPr="00A63C02" w:rsidRDefault="003A6DDA" w:rsidP="00404C7B">
      <w:pPr>
        <w:pStyle w:val="Prrafodelista"/>
        <w:numPr>
          <w:ilvl w:val="0"/>
          <w:numId w:val="2"/>
        </w:numPr>
        <w:tabs>
          <w:tab w:val="left" w:pos="630"/>
        </w:tabs>
        <w:spacing w:before="120" w:after="120"/>
        <w:ind w:left="0" w:firstLine="0"/>
        <w:contextualSpacing w:val="0"/>
        <w:rPr>
          <w:rFonts w:cs="Vrinda"/>
          <w:szCs w:val="20"/>
          <w:lang w:bidi="en-US"/>
        </w:rPr>
      </w:pPr>
      <w:r w:rsidRPr="00A63C02">
        <w:rPr>
          <w:szCs w:val="20"/>
        </w:rPr>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7F1A2878" w14:textId="13ED09B9" w:rsidR="003A6DDA" w:rsidRPr="00A63C02" w:rsidRDefault="003A6DDA" w:rsidP="00404C7B">
      <w:pPr>
        <w:pStyle w:val="Prrafodelista"/>
        <w:numPr>
          <w:ilvl w:val="0"/>
          <w:numId w:val="2"/>
        </w:numPr>
        <w:tabs>
          <w:tab w:val="left" w:pos="630"/>
        </w:tabs>
        <w:spacing w:before="120" w:after="120"/>
        <w:ind w:left="0" w:firstLine="0"/>
        <w:contextualSpacing w:val="0"/>
        <w:rPr>
          <w:rFonts w:cs="Vrinda"/>
          <w:szCs w:val="20"/>
          <w:lang w:bidi="en-US"/>
        </w:rPr>
      </w:pPr>
      <w:r w:rsidRPr="00A63C02">
        <w:rPr>
          <w:szCs w:val="20"/>
        </w:rPr>
        <w:t xml:space="preserve">Si por causas atribuibles </w:t>
      </w:r>
      <w:r w:rsidR="004970F6">
        <w:rPr>
          <w:szCs w:val="20"/>
        </w:rPr>
        <w:t>a la</w:t>
      </w:r>
      <w:r w:rsidRPr="00A63C02">
        <w:rPr>
          <w:szCs w:val="20"/>
        </w:rPr>
        <w:t xml:space="preserve"> beneficiari</w:t>
      </w:r>
      <w:r w:rsidR="004970F6">
        <w:rPr>
          <w:szCs w:val="20"/>
        </w:rPr>
        <w:t>a</w:t>
      </w:r>
      <w:r w:rsidRPr="00A63C02">
        <w:rPr>
          <w:szCs w:val="20"/>
        </w:rPr>
        <w:t xml:space="preserve"> de las indemnizaciones o a sus derechohabientes no fuese posible el pago de las cantidades determinadas dentro del plazo indicado, el Estado consignará dichos montos a su favor en una cuenta o certificado de depósito en una institución financiera </w:t>
      </w:r>
      <w:r>
        <w:rPr>
          <w:szCs w:val="20"/>
        </w:rPr>
        <w:t>paraguaya</w:t>
      </w:r>
      <w:r w:rsidRPr="00A63C02">
        <w:rPr>
          <w:szCs w:val="20"/>
        </w:rPr>
        <w:t xml:space="preserve">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298F7C15" w14:textId="38072E87" w:rsidR="003A6DDA" w:rsidRPr="00A63C02" w:rsidRDefault="003A6DDA" w:rsidP="00404C7B">
      <w:pPr>
        <w:pStyle w:val="Prrafodelista"/>
        <w:numPr>
          <w:ilvl w:val="0"/>
          <w:numId w:val="2"/>
        </w:numPr>
        <w:tabs>
          <w:tab w:val="left" w:pos="630"/>
        </w:tabs>
        <w:spacing w:before="120" w:after="120"/>
        <w:ind w:left="0" w:firstLine="0"/>
        <w:contextualSpacing w:val="0"/>
        <w:rPr>
          <w:rFonts w:cs="Vrinda"/>
          <w:szCs w:val="20"/>
          <w:lang w:bidi="en-US"/>
        </w:rPr>
      </w:pPr>
      <w:r w:rsidRPr="00A63C02">
        <w:rPr>
          <w:szCs w:val="20"/>
        </w:rPr>
        <w:t xml:space="preserve">Las cantidades asignadas en la presente Sentencia como </w:t>
      </w:r>
      <w:r w:rsidR="004970F6">
        <w:rPr>
          <w:szCs w:val="20"/>
        </w:rPr>
        <w:t>indemnizaciones</w:t>
      </w:r>
      <w:r w:rsidRPr="00A63C02">
        <w:rPr>
          <w:szCs w:val="20"/>
        </w:rPr>
        <w:t>, y como reintegro de costas y gastos, deberán ser entregadas a la persona indicada en forma íntegra, conforme a lo establecido en esta Sentencia, sin reducciones derivadas de eventuales cargas fiscales.</w:t>
      </w:r>
      <w:bookmarkStart w:id="131" w:name="_Ref469940442"/>
    </w:p>
    <w:p w14:paraId="0097E81B" w14:textId="750A3B6A" w:rsidR="003A6DDA" w:rsidRPr="00A63C02" w:rsidRDefault="00EA6DA0" w:rsidP="00404C7B">
      <w:pPr>
        <w:pStyle w:val="Prrafodelista"/>
        <w:numPr>
          <w:ilvl w:val="0"/>
          <w:numId w:val="2"/>
        </w:numPr>
        <w:tabs>
          <w:tab w:val="left" w:pos="630"/>
        </w:tabs>
        <w:spacing w:before="120" w:after="120"/>
        <w:ind w:left="0" w:firstLine="0"/>
        <w:contextualSpacing w:val="0"/>
        <w:rPr>
          <w:szCs w:val="20"/>
        </w:rPr>
      </w:pPr>
      <w:r w:rsidRPr="00A63C02">
        <w:rPr>
          <w:szCs w:val="20"/>
        </w:rPr>
        <w:t>En caso de que el Estado incurriera en mora</w:t>
      </w:r>
      <w:r w:rsidRPr="0001748B">
        <w:rPr>
          <w:rFonts w:eastAsia="MS Mincho" w:cs="Verdana"/>
          <w:spacing w:val="-2"/>
          <w:szCs w:val="20"/>
          <w:lang w:bidi="en-US"/>
        </w:rPr>
        <w:t xml:space="preserve">, incluyendo en el reintegro de los gastos al Fondo de </w:t>
      </w:r>
      <w:r w:rsidRPr="00404C7B">
        <w:rPr>
          <w:szCs w:val="20"/>
        </w:rPr>
        <w:t>Asistencia</w:t>
      </w:r>
      <w:r w:rsidRPr="0001748B">
        <w:rPr>
          <w:rFonts w:eastAsia="MS Mincho" w:cs="Verdana"/>
          <w:spacing w:val="-2"/>
          <w:szCs w:val="20"/>
          <w:lang w:bidi="en-US"/>
        </w:rPr>
        <w:t xml:space="preserve"> Legal de Víctimas</w:t>
      </w:r>
      <w:r w:rsidR="003A6DDA" w:rsidRPr="00A63C02">
        <w:rPr>
          <w:szCs w:val="20"/>
        </w:rPr>
        <w:t xml:space="preserve">, deberá pagar un interés sobre la cantidad adeudada correspondiente al interés bancario moratorio en la República de </w:t>
      </w:r>
      <w:r w:rsidR="003A6DDA">
        <w:rPr>
          <w:szCs w:val="20"/>
        </w:rPr>
        <w:t>Paraguay</w:t>
      </w:r>
      <w:r w:rsidR="003A6DDA" w:rsidRPr="00A63C02">
        <w:rPr>
          <w:szCs w:val="20"/>
        </w:rPr>
        <w:t>.</w:t>
      </w:r>
      <w:bookmarkEnd w:id="131"/>
    </w:p>
    <w:p w14:paraId="6924A4E2" w14:textId="77777777" w:rsidR="00B03DD6" w:rsidRDefault="00B03DD6" w:rsidP="00280D3A">
      <w:pPr>
        <w:pStyle w:val="Ttulo1"/>
      </w:pPr>
      <w:bookmarkStart w:id="132" w:name="_Toc36132133"/>
      <w:r>
        <w:t>X</w:t>
      </w:r>
      <w:r w:rsidRPr="001D6DA0">
        <w:rPr>
          <w:color w:val="FFFFFF" w:themeColor="background1"/>
        </w:rPr>
        <w:t>.</w:t>
      </w:r>
      <w:r w:rsidRPr="003B376F">
        <w:br/>
      </w:r>
      <w:r>
        <w:t>PUNTOS RESOLUTIVOS</w:t>
      </w:r>
      <w:bookmarkEnd w:id="132"/>
    </w:p>
    <w:p w14:paraId="10CDC500" w14:textId="7AD064F2" w:rsidR="004970F6" w:rsidRPr="004970F6" w:rsidRDefault="004970F6" w:rsidP="004970F6">
      <w:pPr>
        <w:pStyle w:val="Prrafodelista"/>
        <w:numPr>
          <w:ilvl w:val="0"/>
          <w:numId w:val="2"/>
        </w:numPr>
        <w:tabs>
          <w:tab w:val="left" w:pos="630"/>
        </w:tabs>
        <w:spacing w:before="240" w:after="240"/>
        <w:ind w:left="0" w:firstLine="0"/>
        <w:contextualSpacing w:val="0"/>
        <w:rPr>
          <w:szCs w:val="20"/>
        </w:rPr>
      </w:pPr>
      <w:r w:rsidRPr="004970F6">
        <w:rPr>
          <w:szCs w:val="20"/>
        </w:rPr>
        <w:t xml:space="preserve">Por tanto, </w:t>
      </w:r>
    </w:p>
    <w:p w14:paraId="50675FF1" w14:textId="30BC0889" w:rsidR="00D72033" w:rsidRPr="008B267B" w:rsidRDefault="00D72033" w:rsidP="004970F6">
      <w:pPr>
        <w:pStyle w:val="Prrafodelista"/>
        <w:tabs>
          <w:tab w:val="left" w:pos="630"/>
        </w:tabs>
        <w:spacing w:before="120" w:after="120"/>
        <w:ind w:left="0"/>
        <w:contextualSpacing w:val="0"/>
        <w:rPr>
          <w:b/>
        </w:rPr>
      </w:pPr>
      <w:r w:rsidRPr="008B267B">
        <w:rPr>
          <w:b/>
        </w:rPr>
        <w:t>LA CORTE</w:t>
      </w:r>
    </w:p>
    <w:p w14:paraId="28D89391" w14:textId="77777777" w:rsidR="00D72033" w:rsidRPr="008B267B" w:rsidRDefault="00D72033" w:rsidP="00280D3A">
      <w:pPr>
        <w:spacing w:before="240" w:after="240"/>
        <w:rPr>
          <w:b/>
          <w:lang w:val="es-PE"/>
        </w:rPr>
      </w:pPr>
      <w:r w:rsidRPr="00280D3A">
        <w:rPr>
          <w:b/>
        </w:rPr>
        <w:t>DECLARA</w:t>
      </w:r>
      <w:r w:rsidRPr="008B267B">
        <w:rPr>
          <w:b/>
          <w:lang w:val="es-PE"/>
        </w:rPr>
        <w:t>,</w:t>
      </w:r>
    </w:p>
    <w:p w14:paraId="17A1F48D" w14:textId="3C53732C" w:rsidR="00D72033" w:rsidRDefault="00D72033" w:rsidP="00280D3A">
      <w:pPr>
        <w:spacing w:before="240" w:after="240"/>
        <w:rPr>
          <w:lang w:val="es-PE"/>
        </w:rPr>
      </w:pPr>
      <w:r>
        <w:rPr>
          <w:lang w:val="es-PE"/>
        </w:rPr>
        <w:t xml:space="preserve">Por </w:t>
      </w:r>
      <w:r w:rsidR="00692ACE">
        <w:rPr>
          <w:lang w:val="es-PE"/>
        </w:rPr>
        <w:t xml:space="preserve">unanimidad, </w:t>
      </w:r>
      <w:r>
        <w:rPr>
          <w:lang w:val="es-PE"/>
        </w:rPr>
        <w:t>que:</w:t>
      </w:r>
    </w:p>
    <w:p w14:paraId="3B2F74A7" w14:textId="6B744F1E" w:rsidR="00D72033" w:rsidRDefault="00D72033" w:rsidP="00280D3A">
      <w:pPr>
        <w:numPr>
          <w:ilvl w:val="0"/>
          <w:numId w:val="20"/>
        </w:numPr>
        <w:spacing w:before="120" w:after="120"/>
        <w:ind w:left="0" w:firstLine="0"/>
        <w:rPr>
          <w:lang w:val="es-PE"/>
        </w:rPr>
      </w:pPr>
      <w:r w:rsidRPr="008B267B">
        <w:rPr>
          <w:lang w:val="es-PE"/>
        </w:rPr>
        <w:lastRenderedPageBreak/>
        <w:t xml:space="preserve">El Estado es responsable por la </w:t>
      </w:r>
      <w:r w:rsidR="00D74080">
        <w:rPr>
          <w:lang w:val="es-PE"/>
        </w:rPr>
        <w:t>violación</w:t>
      </w:r>
      <w:r w:rsidRPr="008B267B">
        <w:rPr>
          <w:lang w:val="es-PE"/>
        </w:rPr>
        <w:t xml:space="preserve"> de los derechos </w:t>
      </w:r>
      <w:r w:rsidR="0014686D">
        <w:rPr>
          <w:lang w:val="es-PE"/>
        </w:rPr>
        <w:t>contenidos</w:t>
      </w:r>
      <w:r w:rsidRPr="008B267B">
        <w:rPr>
          <w:lang w:val="es-PE"/>
        </w:rPr>
        <w:t xml:space="preserve"> en los artículos 4</w:t>
      </w:r>
      <w:r>
        <w:rPr>
          <w:lang w:val="es-PE"/>
        </w:rPr>
        <w:t>.1</w:t>
      </w:r>
      <w:r w:rsidRPr="008B267B">
        <w:rPr>
          <w:lang w:val="es-PE"/>
        </w:rPr>
        <w:t>, 5</w:t>
      </w:r>
      <w:r>
        <w:rPr>
          <w:lang w:val="es-PE"/>
        </w:rPr>
        <w:t>.1</w:t>
      </w:r>
      <w:r w:rsidRPr="008B267B">
        <w:rPr>
          <w:lang w:val="es-PE"/>
        </w:rPr>
        <w:t xml:space="preserve"> y 19 de la Convención Americana </w:t>
      </w:r>
      <w:r>
        <w:rPr>
          <w:lang w:val="es-PE"/>
        </w:rPr>
        <w:t>sobre Derechos Humanos</w:t>
      </w:r>
      <w:r w:rsidR="00D74080">
        <w:rPr>
          <w:lang w:val="es-PE"/>
        </w:rPr>
        <w:t xml:space="preserve"> en perjuicio de Vicente Noguera</w:t>
      </w:r>
      <w:r>
        <w:rPr>
          <w:lang w:val="es-PE"/>
        </w:rPr>
        <w:t xml:space="preserve">, en los términos de los párrafos </w:t>
      </w:r>
      <w:r w:rsidR="00217107">
        <w:rPr>
          <w:lang w:val="es-PE"/>
        </w:rPr>
        <w:t xml:space="preserve">70 </w:t>
      </w:r>
      <w:r>
        <w:rPr>
          <w:lang w:val="es-PE"/>
        </w:rPr>
        <w:t xml:space="preserve">a </w:t>
      </w:r>
      <w:r w:rsidR="00217107">
        <w:rPr>
          <w:lang w:val="es-PE"/>
        </w:rPr>
        <w:t xml:space="preserve">75 </w:t>
      </w:r>
      <w:r>
        <w:rPr>
          <w:lang w:val="es-PE"/>
        </w:rPr>
        <w:t>de la presente Sentencia.</w:t>
      </w:r>
    </w:p>
    <w:p w14:paraId="269B03AF" w14:textId="25A24B5D" w:rsidR="00D72033" w:rsidRDefault="00D72033" w:rsidP="00280D3A">
      <w:pPr>
        <w:numPr>
          <w:ilvl w:val="0"/>
          <w:numId w:val="20"/>
        </w:numPr>
        <w:spacing w:before="120" w:after="120"/>
        <w:ind w:left="0" w:firstLine="0"/>
        <w:rPr>
          <w:lang w:val="es-PE"/>
        </w:rPr>
      </w:pPr>
      <w:r>
        <w:rPr>
          <w:lang w:val="es-PE"/>
        </w:rPr>
        <w:t xml:space="preserve">El Estado es responsable por la </w:t>
      </w:r>
      <w:r w:rsidR="00D74080">
        <w:rPr>
          <w:lang w:val="es-PE"/>
        </w:rPr>
        <w:t>violación</w:t>
      </w:r>
      <w:r w:rsidR="0014686D" w:rsidRPr="008B267B">
        <w:rPr>
          <w:lang w:val="es-PE"/>
        </w:rPr>
        <w:t xml:space="preserve"> </w:t>
      </w:r>
      <w:r>
        <w:rPr>
          <w:lang w:val="es-PE"/>
        </w:rPr>
        <w:t xml:space="preserve">de los derechos </w:t>
      </w:r>
      <w:r w:rsidR="0014686D">
        <w:rPr>
          <w:lang w:val="es-PE"/>
        </w:rPr>
        <w:t>contenidos</w:t>
      </w:r>
      <w:r>
        <w:rPr>
          <w:lang w:val="es-PE"/>
        </w:rPr>
        <w:t xml:space="preserve"> en los artículos 8.1 y 25.1 de la Convención Americana sobre Derechos Humanos, en relación con el artículo 1.1 del mismo instrumento, en perjuicio de </w:t>
      </w:r>
      <w:r w:rsidR="00777727">
        <w:rPr>
          <w:lang w:val="es-PE"/>
        </w:rPr>
        <w:t>María</w:t>
      </w:r>
      <w:r w:rsidR="008701A3">
        <w:rPr>
          <w:lang w:val="es-PE"/>
        </w:rPr>
        <w:t xml:space="preserve"> </w:t>
      </w:r>
      <w:r>
        <w:rPr>
          <w:lang w:val="es-PE"/>
        </w:rPr>
        <w:t xml:space="preserve">Noguera, en los términos de los párrafos </w:t>
      </w:r>
      <w:r w:rsidR="00217107">
        <w:rPr>
          <w:lang w:val="es-PE"/>
        </w:rPr>
        <w:t xml:space="preserve">80 </w:t>
      </w:r>
      <w:r>
        <w:rPr>
          <w:lang w:val="es-PE"/>
        </w:rPr>
        <w:t xml:space="preserve">a </w:t>
      </w:r>
      <w:r w:rsidR="00217107">
        <w:rPr>
          <w:lang w:val="es-PE"/>
        </w:rPr>
        <w:t xml:space="preserve">85 </w:t>
      </w:r>
      <w:r>
        <w:rPr>
          <w:lang w:val="es-PE"/>
        </w:rPr>
        <w:t>de la presente Sentencia.</w:t>
      </w:r>
    </w:p>
    <w:p w14:paraId="2CFB508D" w14:textId="30579412" w:rsidR="008701A3" w:rsidRPr="008701A3" w:rsidRDefault="008701A3" w:rsidP="008701A3">
      <w:pPr>
        <w:numPr>
          <w:ilvl w:val="0"/>
          <w:numId w:val="20"/>
        </w:numPr>
        <w:spacing w:before="120" w:after="120"/>
        <w:ind w:left="0" w:firstLine="0"/>
        <w:rPr>
          <w:lang w:val="es-PE"/>
        </w:rPr>
      </w:pPr>
      <w:r>
        <w:rPr>
          <w:lang w:val="es-PE"/>
        </w:rPr>
        <w:t xml:space="preserve">El Estado es responsable por la </w:t>
      </w:r>
      <w:r w:rsidR="00D74080">
        <w:rPr>
          <w:lang w:val="es-PE"/>
        </w:rPr>
        <w:t>violación</w:t>
      </w:r>
      <w:r w:rsidRPr="008B267B">
        <w:rPr>
          <w:lang w:val="es-PE"/>
        </w:rPr>
        <w:t xml:space="preserve"> </w:t>
      </w:r>
      <w:r>
        <w:rPr>
          <w:lang w:val="es-PE"/>
        </w:rPr>
        <w:t xml:space="preserve">del derecho contenido en el artículo 5.1 </w:t>
      </w:r>
      <w:r w:rsidRPr="008B267B">
        <w:rPr>
          <w:lang w:val="es-PE"/>
        </w:rPr>
        <w:t xml:space="preserve">de la Convención Americana </w:t>
      </w:r>
      <w:r>
        <w:rPr>
          <w:lang w:val="es-PE"/>
        </w:rPr>
        <w:t xml:space="preserve">sobre Derechos Humanos, en relación con el artículo 1.1 del mismo instrumento, en perjuicio de </w:t>
      </w:r>
      <w:r w:rsidR="00777727">
        <w:rPr>
          <w:lang w:val="es-PE"/>
        </w:rPr>
        <w:t>María</w:t>
      </w:r>
      <w:r>
        <w:rPr>
          <w:lang w:val="es-PE"/>
        </w:rPr>
        <w:t xml:space="preserve"> Noguera, en los términos del párrafo </w:t>
      </w:r>
      <w:r w:rsidR="00945411">
        <w:rPr>
          <w:lang w:val="es-PE"/>
        </w:rPr>
        <w:t>23</w:t>
      </w:r>
      <w:r>
        <w:rPr>
          <w:lang w:val="es-PE"/>
        </w:rPr>
        <w:t xml:space="preserve"> de la presente Sentencia.</w:t>
      </w:r>
    </w:p>
    <w:p w14:paraId="7A51F8F1" w14:textId="4562D1A9" w:rsidR="0014686D" w:rsidRDefault="0014686D" w:rsidP="0014686D">
      <w:pPr>
        <w:numPr>
          <w:ilvl w:val="0"/>
          <w:numId w:val="20"/>
        </w:numPr>
        <w:spacing w:before="120" w:after="120"/>
        <w:ind w:left="0" w:firstLine="0"/>
        <w:rPr>
          <w:lang w:val="es-PE"/>
        </w:rPr>
      </w:pPr>
      <w:r>
        <w:rPr>
          <w:lang w:val="es-PE"/>
        </w:rPr>
        <w:t xml:space="preserve">El Estado </w:t>
      </w:r>
      <w:r w:rsidR="00F517CD">
        <w:rPr>
          <w:lang w:val="es-PE"/>
        </w:rPr>
        <w:t xml:space="preserve">no </w:t>
      </w:r>
      <w:r>
        <w:rPr>
          <w:lang w:val="es-PE"/>
        </w:rPr>
        <w:t xml:space="preserve">es responsable por la </w:t>
      </w:r>
      <w:r w:rsidR="00D74080">
        <w:rPr>
          <w:lang w:val="es-PE"/>
        </w:rPr>
        <w:t>violación</w:t>
      </w:r>
      <w:r w:rsidRPr="008B267B">
        <w:rPr>
          <w:lang w:val="es-PE"/>
        </w:rPr>
        <w:t xml:space="preserve"> </w:t>
      </w:r>
      <w:r w:rsidR="00F517CD">
        <w:rPr>
          <w:lang w:val="es-PE"/>
        </w:rPr>
        <w:t>a</w:t>
      </w:r>
      <w:r w:rsidR="00BE40D8">
        <w:rPr>
          <w:lang w:val="es-PE"/>
        </w:rPr>
        <w:t>l principio del juez natural</w:t>
      </w:r>
      <w:r>
        <w:rPr>
          <w:lang w:val="es-PE"/>
        </w:rPr>
        <w:t xml:space="preserve"> contenido en </w:t>
      </w:r>
      <w:r w:rsidR="00F517CD">
        <w:rPr>
          <w:lang w:val="es-PE"/>
        </w:rPr>
        <w:t>el</w:t>
      </w:r>
      <w:r>
        <w:rPr>
          <w:lang w:val="es-PE"/>
        </w:rPr>
        <w:t xml:space="preserve"> artículo 8.1 de la Convención Americana sobre Derechos Humanos, en relación con el artículo 1.1 del mismo instrumento, en perjuicio de </w:t>
      </w:r>
      <w:r w:rsidR="00777727">
        <w:rPr>
          <w:lang w:val="es-PE"/>
        </w:rPr>
        <w:t>María</w:t>
      </w:r>
      <w:r>
        <w:rPr>
          <w:lang w:val="es-PE"/>
        </w:rPr>
        <w:t xml:space="preserve"> Noguera, en los términos de los párrafos </w:t>
      </w:r>
      <w:r w:rsidR="00390102">
        <w:rPr>
          <w:lang w:val="es-PE"/>
        </w:rPr>
        <w:t xml:space="preserve">86 y 87 </w:t>
      </w:r>
      <w:r>
        <w:rPr>
          <w:lang w:val="es-PE"/>
        </w:rPr>
        <w:t>de la presente Sentencia.</w:t>
      </w:r>
    </w:p>
    <w:p w14:paraId="5D986FE8" w14:textId="77777777" w:rsidR="00D72033" w:rsidRPr="008701A3" w:rsidRDefault="00D72033" w:rsidP="008701A3">
      <w:pPr>
        <w:spacing w:before="240" w:after="240"/>
        <w:rPr>
          <w:b/>
          <w:lang w:val="es-PE"/>
        </w:rPr>
      </w:pPr>
      <w:r w:rsidRPr="008701A3">
        <w:rPr>
          <w:b/>
          <w:lang w:val="es-PE"/>
        </w:rPr>
        <w:t>Y DISPONE:</w:t>
      </w:r>
    </w:p>
    <w:p w14:paraId="3C0A09C6" w14:textId="56338073" w:rsidR="00D72033" w:rsidRDefault="00D72033" w:rsidP="00280D3A">
      <w:pPr>
        <w:spacing w:before="240" w:after="240"/>
        <w:rPr>
          <w:lang w:val="es-PE"/>
        </w:rPr>
      </w:pPr>
      <w:r>
        <w:rPr>
          <w:lang w:val="es-PE"/>
        </w:rPr>
        <w:t xml:space="preserve">Por </w:t>
      </w:r>
      <w:r w:rsidR="00945411">
        <w:rPr>
          <w:lang w:val="es-PE"/>
        </w:rPr>
        <w:t>unanimidad</w:t>
      </w:r>
      <w:r>
        <w:rPr>
          <w:lang w:val="es-PE"/>
        </w:rPr>
        <w:t>, que:</w:t>
      </w:r>
    </w:p>
    <w:p w14:paraId="6825B962" w14:textId="243A7832" w:rsidR="00D72033" w:rsidRDefault="00D72033" w:rsidP="00280D3A">
      <w:pPr>
        <w:numPr>
          <w:ilvl w:val="0"/>
          <w:numId w:val="20"/>
        </w:numPr>
        <w:spacing w:before="120" w:after="120"/>
        <w:ind w:left="0" w:firstLine="0"/>
        <w:rPr>
          <w:lang w:val="es-PE"/>
        </w:rPr>
      </w:pPr>
      <w:r>
        <w:rPr>
          <w:lang w:val="es-PE"/>
        </w:rPr>
        <w:t xml:space="preserve">Esta Sentencia </w:t>
      </w:r>
      <w:r>
        <w:rPr>
          <w:i/>
          <w:lang w:val="es-PE"/>
        </w:rPr>
        <w:t>per se</w:t>
      </w:r>
      <w:r>
        <w:rPr>
          <w:lang w:val="es-PE"/>
        </w:rPr>
        <w:t xml:space="preserve"> una forma de reparación.</w:t>
      </w:r>
    </w:p>
    <w:p w14:paraId="0A45D73F" w14:textId="66A42086" w:rsidR="00D72033" w:rsidRDefault="00D72033" w:rsidP="00280D3A">
      <w:pPr>
        <w:numPr>
          <w:ilvl w:val="0"/>
          <w:numId w:val="20"/>
        </w:numPr>
        <w:spacing w:before="120" w:after="120"/>
        <w:ind w:left="0" w:firstLine="0"/>
        <w:rPr>
          <w:lang w:val="es-PE"/>
        </w:rPr>
      </w:pPr>
      <w:r>
        <w:rPr>
          <w:lang w:val="es-PE"/>
        </w:rPr>
        <w:t xml:space="preserve">El Estado continuará y completará la investigación que se encuentra </w:t>
      </w:r>
      <w:r w:rsidR="004970F6">
        <w:rPr>
          <w:lang w:val="es-PE"/>
        </w:rPr>
        <w:t xml:space="preserve">en trámite </w:t>
      </w:r>
      <w:r>
        <w:rPr>
          <w:lang w:val="es-PE"/>
        </w:rPr>
        <w:t xml:space="preserve">en relación con los hechos del presente caso de conformidad con el derecho interno aplicable y en los términos del párrafo </w:t>
      </w:r>
      <w:r w:rsidR="00390102">
        <w:rPr>
          <w:lang w:val="es-PE"/>
        </w:rPr>
        <w:t xml:space="preserve">93 </w:t>
      </w:r>
      <w:r>
        <w:rPr>
          <w:lang w:val="es-PE"/>
        </w:rPr>
        <w:t>de la presente Sentencia.</w:t>
      </w:r>
    </w:p>
    <w:p w14:paraId="345F3BEB" w14:textId="4180AE5D" w:rsidR="00D72033" w:rsidRDefault="00D72033" w:rsidP="00280D3A">
      <w:pPr>
        <w:numPr>
          <w:ilvl w:val="0"/>
          <w:numId w:val="20"/>
        </w:numPr>
        <w:spacing w:before="120" w:after="120"/>
        <w:ind w:left="0" w:firstLine="0"/>
        <w:rPr>
          <w:lang w:val="es-PE"/>
        </w:rPr>
      </w:pPr>
      <w:r>
        <w:rPr>
          <w:lang w:val="es-PE"/>
        </w:rPr>
        <w:t xml:space="preserve">El Estado realizará las publicaciones indicadas en el párrafo </w:t>
      </w:r>
      <w:r w:rsidR="00390102">
        <w:rPr>
          <w:lang w:val="es-PE"/>
        </w:rPr>
        <w:t xml:space="preserve">96 </w:t>
      </w:r>
      <w:r>
        <w:rPr>
          <w:lang w:val="es-PE"/>
        </w:rPr>
        <w:t xml:space="preserve">de esta Sentencia, en </w:t>
      </w:r>
      <w:r w:rsidR="004970F6">
        <w:rPr>
          <w:lang w:val="es-PE"/>
        </w:rPr>
        <w:t xml:space="preserve">el </w:t>
      </w:r>
      <w:r>
        <w:rPr>
          <w:lang w:val="es-PE"/>
        </w:rPr>
        <w:t>plazo de seis meses contado a partir de la notificación de la misma.</w:t>
      </w:r>
    </w:p>
    <w:p w14:paraId="448A6A68" w14:textId="23248B3E" w:rsidR="00D72033" w:rsidRPr="001D6DA0" w:rsidRDefault="00D72033" w:rsidP="00280D3A">
      <w:pPr>
        <w:numPr>
          <w:ilvl w:val="0"/>
          <w:numId w:val="20"/>
        </w:numPr>
        <w:spacing w:before="120" w:after="120"/>
        <w:ind w:left="0" w:firstLine="0"/>
        <w:rPr>
          <w:lang w:val="es-PE"/>
        </w:rPr>
      </w:pPr>
      <w:r w:rsidRPr="00280D3A">
        <w:rPr>
          <w:lang w:val="es-PE"/>
        </w:rPr>
        <w:t xml:space="preserve">El Estado acreditará que </w:t>
      </w:r>
      <w:r w:rsidRPr="001D6DA0">
        <w:rPr>
          <w:rFonts w:eastAsia="Times"/>
          <w:szCs w:val="20"/>
          <w:lang w:eastAsia="es-ES"/>
        </w:rPr>
        <w:t xml:space="preserve">dentro de la </w:t>
      </w:r>
      <w:proofErr w:type="spellStart"/>
      <w:r w:rsidRPr="00E85D39">
        <w:rPr>
          <w:rFonts w:eastAsia="Times"/>
          <w:i/>
          <w:szCs w:val="20"/>
          <w:lang w:eastAsia="es-ES"/>
        </w:rPr>
        <w:t>curricula</w:t>
      </w:r>
      <w:proofErr w:type="spellEnd"/>
      <w:r w:rsidRPr="00E85D39">
        <w:rPr>
          <w:rFonts w:eastAsia="Times"/>
          <w:szCs w:val="20"/>
          <w:lang w:eastAsia="es-ES"/>
        </w:rPr>
        <w:t xml:space="preserve"> de formación académica militar de la Escuela de Estado Mayor y Escuelas de Capitanes de las tres Armas programas de Derechos Humanos</w:t>
      </w:r>
      <w:r w:rsidR="00E85D39" w:rsidRPr="00E85D39">
        <w:rPr>
          <w:rFonts w:eastAsia="Times"/>
          <w:szCs w:val="20"/>
          <w:lang w:eastAsia="es-ES"/>
        </w:rPr>
        <w:t xml:space="preserve"> se encuentren establecidos programas de Derechos Humanos específicamente en cuanto a los estándares internacionales sobre su posición especial de garante frente a las personas que prestan el servicio militar</w:t>
      </w:r>
      <w:r w:rsidRPr="00280D3A">
        <w:rPr>
          <w:lang w:val="es-PE"/>
        </w:rPr>
        <w:t xml:space="preserve">, de conformidad con el párrafo </w:t>
      </w:r>
      <w:r w:rsidR="00390102">
        <w:rPr>
          <w:lang w:val="es-PE"/>
        </w:rPr>
        <w:t>103</w:t>
      </w:r>
      <w:r w:rsidR="00390102" w:rsidRPr="00280D3A">
        <w:rPr>
          <w:lang w:val="es-PE"/>
        </w:rPr>
        <w:t xml:space="preserve"> </w:t>
      </w:r>
      <w:r w:rsidRPr="00280D3A">
        <w:rPr>
          <w:lang w:val="es-PE"/>
        </w:rPr>
        <w:t>de la presente Sentencia</w:t>
      </w:r>
      <w:r w:rsidR="00E85D39" w:rsidRPr="001D6DA0">
        <w:rPr>
          <w:rFonts w:eastAsia="Times"/>
          <w:szCs w:val="20"/>
          <w:lang w:eastAsia="es-ES"/>
        </w:rPr>
        <w:t>.</w:t>
      </w:r>
    </w:p>
    <w:p w14:paraId="2383A8CD" w14:textId="77777777" w:rsidR="00390102" w:rsidRDefault="00390102" w:rsidP="00390102">
      <w:pPr>
        <w:numPr>
          <w:ilvl w:val="0"/>
          <w:numId w:val="20"/>
        </w:numPr>
        <w:spacing w:before="120" w:after="120"/>
        <w:ind w:left="0" w:firstLine="0"/>
        <w:rPr>
          <w:lang w:val="es-PE"/>
        </w:rPr>
      </w:pPr>
      <w:r>
        <w:rPr>
          <w:lang w:val="es-PE"/>
        </w:rPr>
        <w:t>El Estado rendirá un informe sobre el avance del trámite legislativo relativo a la reforma de la jurisdicción penal militar, en los términos del párrafo 104 de la presente Sentencia.</w:t>
      </w:r>
    </w:p>
    <w:p w14:paraId="0D20EEED" w14:textId="151BDFD1" w:rsidR="00D72033" w:rsidRDefault="00D72033" w:rsidP="00280D3A">
      <w:pPr>
        <w:numPr>
          <w:ilvl w:val="0"/>
          <w:numId w:val="20"/>
        </w:numPr>
        <w:spacing w:before="120" w:after="120"/>
        <w:ind w:left="0" w:firstLine="0"/>
        <w:rPr>
          <w:lang w:val="es-PE"/>
        </w:rPr>
      </w:pPr>
      <w:r>
        <w:rPr>
          <w:lang w:val="es-PE"/>
        </w:rPr>
        <w:t xml:space="preserve">El Estado pagará las cantidades fijadas en los párrafos </w:t>
      </w:r>
      <w:r w:rsidR="00390102">
        <w:rPr>
          <w:lang w:val="es-PE"/>
        </w:rPr>
        <w:t xml:space="preserve">115 </w:t>
      </w:r>
      <w:r w:rsidR="009E4B10">
        <w:rPr>
          <w:lang w:val="es-PE"/>
        </w:rPr>
        <w:t xml:space="preserve">y </w:t>
      </w:r>
      <w:r w:rsidR="00390102">
        <w:rPr>
          <w:lang w:val="es-PE"/>
        </w:rPr>
        <w:t xml:space="preserve">120 </w:t>
      </w:r>
      <w:r>
        <w:rPr>
          <w:lang w:val="es-PE"/>
        </w:rPr>
        <w:t xml:space="preserve">de la presente Sentencia, por concepto de daño material y por </w:t>
      </w:r>
      <w:r w:rsidR="004970F6">
        <w:rPr>
          <w:lang w:val="es-PE"/>
        </w:rPr>
        <w:t xml:space="preserve">el reintegro de costas y gastos, </w:t>
      </w:r>
      <w:r w:rsidR="004970F6" w:rsidRPr="00772A29">
        <w:t>en los términos de los párrafos 1</w:t>
      </w:r>
      <w:r w:rsidR="004970F6">
        <w:t>23 a 12</w:t>
      </w:r>
      <w:r w:rsidR="004970F6" w:rsidRPr="00772A29">
        <w:t>8 del presente Fallo</w:t>
      </w:r>
      <w:r w:rsidR="004970F6">
        <w:t>.</w:t>
      </w:r>
    </w:p>
    <w:p w14:paraId="437AB717" w14:textId="6EDE8A34" w:rsidR="00D72033" w:rsidRDefault="00D72033" w:rsidP="00280D3A">
      <w:pPr>
        <w:numPr>
          <w:ilvl w:val="0"/>
          <w:numId w:val="20"/>
        </w:numPr>
        <w:spacing w:before="120" w:after="120"/>
        <w:ind w:left="0" w:firstLine="0"/>
        <w:rPr>
          <w:lang w:val="es-PE"/>
        </w:rPr>
      </w:pPr>
      <w:r>
        <w:rPr>
          <w:lang w:val="es-PE"/>
        </w:rPr>
        <w:t xml:space="preserve">El Estado reintegrará al Fondo de Asistencia Legal de Víctimas de la Corte Interamericana de Derechos Humanos la cantidad erogada durante la tramitación del presente caso, en los términos </w:t>
      </w:r>
      <w:r w:rsidR="00AA629E">
        <w:rPr>
          <w:lang w:val="es-PE"/>
        </w:rPr>
        <w:t>de los</w:t>
      </w:r>
      <w:r>
        <w:rPr>
          <w:lang w:val="es-PE"/>
        </w:rPr>
        <w:t xml:space="preserve"> párrafo</w:t>
      </w:r>
      <w:r w:rsidR="00AA629E">
        <w:rPr>
          <w:lang w:val="es-PE"/>
        </w:rPr>
        <w:t>s</w:t>
      </w:r>
      <w:r>
        <w:rPr>
          <w:lang w:val="es-PE"/>
        </w:rPr>
        <w:t xml:space="preserve"> </w:t>
      </w:r>
      <w:r w:rsidR="00390102">
        <w:rPr>
          <w:lang w:val="es-PE"/>
        </w:rPr>
        <w:t xml:space="preserve">122 </w:t>
      </w:r>
      <w:r w:rsidR="00AA629E">
        <w:rPr>
          <w:lang w:val="es-PE"/>
        </w:rPr>
        <w:t xml:space="preserve">y 128 </w:t>
      </w:r>
      <w:r>
        <w:rPr>
          <w:lang w:val="es-PE"/>
        </w:rPr>
        <w:t>de la presente Sentencia.</w:t>
      </w:r>
    </w:p>
    <w:p w14:paraId="55CEC1A6" w14:textId="6622BAD7" w:rsidR="00D72033" w:rsidRDefault="00D72033" w:rsidP="00280D3A">
      <w:pPr>
        <w:numPr>
          <w:ilvl w:val="0"/>
          <w:numId w:val="20"/>
        </w:numPr>
        <w:spacing w:before="120" w:after="120"/>
        <w:ind w:left="0" w:firstLine="0"/>
        <w:rPr>
          <w:lang w:val="es-PE"/>
        </w:rPr>
      </w:pPr>
      <w:r>
        <w:rPr>
          <w:lang w:val="es-PE"/>
        </w:rPr>
        <w:t>El Estado rendirá al Tribunal un informe, dentro del plazo de un año contado a partir de la notificación de la Sentencia, sobre las medidas adop</w:t>
      </w:r>
      <w:r w:rsidR="00AA629E">
        <w:rPr>
          <w:lang w:val="es-PE"/>
        </w:rPr>
        <w:t xml:space="preserve">tadas para cumplir con la misma, </w:t>
      </w:r>
      <w:r w:rsidR="00AA629E">
        <w:t>sin perjuicio de lo establecido en el párrafo 96 de la presente Sentencia.</w:t>
      </w:r>
    </w:p>
    <w:p w14:paraId="77E7E467" w14:textId="532739E9" w:rsidR="00D72033" w:rsidRDefault="00D72033" w:rsidP="00280D3A">
      <w:pPr>
        <w:numPr>
          <w:ilvl w:val="0"/>
          <w:numId w:val="20"/>
        </w:numPr>
        <w:spacing w:before="120" w:after="120"/>
        <w:ind w:left="0" w:firstLine="0"/>
        <w:rPr>
          <w:lang w:val="es-PE"/>
        </w:rPr>
      </w:pPr>
      <w:r>
        <w:rPr>
          <w:lang w:val="es-PE"/>
        </w:rPr>
        <w:t xml:space="preserve">La Corte supervisará el cumplimiento íntegro de la Sentencia, en ejercicio de sus atribuciones y en cumplimiento de sus deberes conforme a la Convención Americana sobre </w:t>
      </w:r>
      <w:r>
        <w:rPr>
          <w:lang w:val="es-PE"/>
        </w:rPr>
        <w:lastRenderedPageBreak/>
        <w:t>Derechos Humanos, y dará por concluido el presente caso una vez que el Estado haya dado cabal cumplimiento a lo dispuesto en la misma.</w:t>
      </w:r>
    </w:p>
    <w:p w14:paraId="1632413A" w14:textId="77777777" w:rsidR="00D72033" w:rsidRPr="008B267B" w:rsidRDefault="00D72033" w:rsidP="00280D3A">
      <w:pPr>
        <w:spacing w:before="120" w:after="120"/>
        <w:rPr>
          <w:lang w:val="es-PE"/>
        </w:rPr>
      </w:pPr>
    </w:p>
    <w:p w14:paraId="5B4326D1" w14:textId="7C81B20F" w:rsidR="001D6DA0" w:rsidRDefault="001D6DA0" w:rsidP="001D6DA0">
      <w:pPr>
        <w:tabs>
          <w:tab w:val="left" w:pos="3402"/>
        </w:tabs>
        <w:spacing w:before="120" w:after="120"/>
        <w:rPr>
          <w:szCs w:val="20"/>
          <w:lang w:val="es-PE"/>
        </w:rPr>
      </w:pPr>
      <w:r w:rsidRPr="001D6DA0">
        <w:rPr>
          <w:szCs w:val="20"/>
          <w:lang w:val="es-PE"/>
        </w:rPr>
        <w:t xml:space="preserve">Redactada en español en San José, Costa Rica, el </w:t>
      </w:r>
      <w:r w:rsidR="005C3102">
        <w:rPr>
          <w:szCs w:val="20"/>
          <w:lang w:val="es-PE"/>
        </w:rPr>
        <w:t>9</w:t>
      </w:r>
      <w:r w:rsidR="005C3102" w:rsidRPr="001D6DA0">
        <w:rPr>
          <w:szCs w:val="20"/>
          <w:lang w:val="es-PE"/>
        </w:rPr>
        <w:t xml:space="preserve"> </w:t>
      </w:r>
      <w:r w:rsidRPr="001D6DA0">
        <w:rPr>
          <w:szCs w:val="20"/>
          <w:lang w:val="es-PE"/>
        </w:rPr>
        <w:t xml:space="preserve">de </w:t>
      </w:r>
      <w:r>
        <w:rPr>
          <w:szCs w:val="20"/>
          <w:lang w:val="es-PE"/>
        </w:rPr>
        <w:t>marzo</w:t>
      </w:r>
      <w:r w:rsidRPr="001D6DA0">
        <w:rPr>
          <w:szCs w:val="20"/>
          <w:lang w:val="es-PE"/>
        </w:rPr>
        <w:t xml:space="preserve"> de </w:t>
      </w:r>
      <w:r>
        <w:rPr>
          <w:szCs w:val="20"/>
          <w:lang w:val="es-PE"/>
        </w:rPr>
        <w:t>2020</w:t>
      </w:r>
      <w:r w:rsidRPr="001D6DA0">
        <w:rPr>
          <w:szCs w:val="20"/>
          <w:lang w:val="es-PE"/>
        </w:rPr>
        <w:t>.</w:t>
      </w:r>
    </w:p>
    <w:p w14:paraId="1698DCC5" w14:textId="015A1F34" w:rsidR="00554710" w:rsidRDefault="00554710" w:rsidP="001D6DA0">
      <w:pPr>
        <w:tabs>
          <w:tab w:val="left" w:pos="3402"/>
        </w:tabs>
        <w:spacing w:before="120" w:after="120"/>
        <w:rPr>
          <w:szCs w:val="20"/>
          <w:lang w:val="es-PE"/>
        </w:rPr>
      </w:pPr>
    </w:p>
    <w:p w14:paraId="33B57E0B" w14:textId="7521CB27" w:rsidR="00554710" w:rsidRPr="00745B6E" w:rsidRDefault="00554710" w:rsidP="00554710">
      <w:pPr>
        <w:keepNext/>
        <w:outlineLvl w:val="0"/>
        <w:rPr>
          <w:lang w:val="es-CR"/>
        </w:rPr>
      </w:pPr>
      <w:r w:rsidRPr="00745B6E">
        <w:rPr>
          <w:lang w:val="es-ES"/>
        </w:rPr>
        <w:t xml:space="preserve">Corte IDH. </w:t>
      </w:r>
      <w:r w:rsidRPr="00745B6E">
        <w:rPr>
          <w:i/>
          <w:lang w:val="es-ES"/>
        </w:rPr>
        <w:t xml:space="preserve">Caso </w:t>
      </w:r>
      <w:r>
        <w:rPr>
          <w:i/>
          <w:lang w:val="es-ES"/>
        </w:rPr>
        <w:t xml:space="preserve">Noguera y otros </w:t>
      </w:r>
      <w:r w:rsidRPr="00745B6E">
        <w:rPr>
          <w:i/>
          <w:lang w:val="es-ES"/>
        </w:rPr>
        <w:t xml:space="preserve">Vs. </w:t>
      </w:r>
      <w:r>
        <w:rPr>
          <w:i/>
          <w:lang w:val="es-ES"/>
        </w:rPr>
        <w:t>Paraguay</w:t>
      </w:r>
      <w:r w:rsidRPr="00745B6E">
        <w:rPr>
          <w:i/>
          <w:lang w:val="es-ES"/>
        </w:rPr>
        <w:t xml:space="preserve">. </w:t>
      </w:r>
      <w:r>
        <w:rPr>
          <w:i/>
          <w:lang w:val="es-ES"/>
        </w:rPr>
        <w:t xml:space="preserve">Fondo, Reparaciones y Costas. </w:t>
      </w:r>
      <w:r w:rsidRPr="001F077D">
        <w:rPr>
          <w:lang w:val="es-ES"/>
        </w:rPr>
        <w:t xml:space="preserve">Sentencia de </w:t>
      </w:r>
      <w:r>
        <w:rPr>
          <w:lang w:val="es-ES"/>
        </w:rPr>
        <w:t>9</w:t>
      </w:r>
      <w:r w:rsidRPr="001F077D">
        <w:rPr>
          <w:lang w:val="es-ES"/>
        </w:rPr>
        <w:t xml:space="preserve"> de </w:t>
      </w:r>
      <w:r>
        <w:rPr>
          <w:lang w:val="es-ES"/>
        </w:rPr>
        <w:t>marzo</w:t>
      </w:r>
      <w:r w:rsidRPr="001F077D">
        <w:rPr>
          <w:lang w:val="es-ES"/>
        </w:rPr>
        <w:t xml:space="preserve"> de 20</w:t>
      </w:r>
      <w:r>
        <w:rPr>
          <w:lang w:val="es-ES"/>
        </w:rPr>
        <w:t>20</w:t>
      </w:r>
      <w:r w:rsidRPr="001F077D">
        <w:rPr>
          <w:lang w:val="es-ES"/>
        </w:rPr>
        <w:t>.</w:t>
      </w:r>
    </w:p>
    <w:p w14:paraId="54B1289D" w14:textId="77777777" w:rsidR="00554710" w:rsidRPr="00745B6E" w:rsidRDefault="00554710" w:rsidP="00554710">
      <w:pPr>
        <w:jc w:val="center"/>
        <w:rPr>
          <w:lang w:val="es-ES"/>
        </w:rPr>
      </w:pPr>
    </w:p>
    <w:p w14:paraId="0D5299B4" w14:textId="77777777" w:rsidR="00554710" w:rsidRPr="00745B6E" w:rsidRDefault="00554710" w:rsidP="00554710">
      <w:pPr>
        <w:jc w:val="center"/>
        <w:rPr>
          <w:lang w:val="es-ES"/>
        </w:rPr>
      </w:pPr>
    </w:p>
    <w:p w14:paraId="34DF52A7" w14:textId="77777777" w:rsidR="00554710" w:rsidRPr="00745B6E" w:rsidRDefault="00554710" w:rsidP="00554710">
      <w:pPr>
        <w:jc w:val="center"/>
        <w:rPr>
          <w:lang w:val="es-ES"/>
        </w:rPr>
      </w:pPr>
    </w:p>
    <w:p w14:paraId="76729659" w14:textId="77777777" w:rsidR="00554710" w:rsidRPr="00745B6E" w:rsidRDefault="00554710" w:rsidP="00554710">
      <w:pPr>
        <w:jc w:val="center"/>
        <w:rPr>
          <w:lang w:val="es-ES"/>
        </w:rPr>
      </w:pPr>
      <w:r w:rsidRPr="00745B6E">
        <w:rPr>
          <w:lang w:val="es-ES"/>
        </w:rPr>
        <w:t>E</w:t>
      </w:r>
      <w:r>
        <w:rPr>
          <w:lang w:val="es-ES"/>
        </w:rPr>
        <w:t>lizabeth Odio Benito</w:t>
      </w:r>
    </w:p>
    <w:p w14:paraId="24FED1B0" w14:textId="77777777" w:rsidR="00554710" w:rsidRPr="00745B6E" w:rsidRDefault="00554710" w:rsidP="00554710">
      <w:pPr>
        <w:jc w:val="center"/>
        <w:rPr>
          <w:lang w:val="es-ES"/>
        </w:rPr>
      </w:pPr>
      <w:r w:rsidRPr="00745B6E">
        <w:rPr>
          <w:lang w:val="es-ES"/>
        </w:rPr>
        <w:t>President</w:t>
      </w:r>
      <w:r>
        <w:rPr>
          <w:lang w:val="es-ES"/>
        </w:rPr>
        <w:t>a</w:t>
      </w:r>
    </w:p>
    <w:p w14:paraId="2F0FEC76" w14:textId="77777777" w:rsidR="00554710" w:rsidRPr="00745B6E" w:rsidRDefault="00554710" w:rsidP="00554710">
      <w:pPr>
        <w:rPr>
          <w:lang w:val="es-ES"/>
        </w:rPr>
      </w:pPr>
    </w:p>
    <w:p w14:paraId="10EF49BB" w14:textId="77777777" w:rsidR="00554710" w:rsidRPr="00745B6E" w:rsidRDefault="00554710" w:rsidP="00554710">
      <w:pPr>
        <w:rPr>
          <w:lang w:val="es-ES"/>
        </w:rPr>
      </w:pPr>
    </w:p>
    <w:p w14:paraId="46EC3CC3" w14:textId="77777777" w:rsidR="00554710" w:rsidRPr="00745B6E" w:rsidRDefault="00554710" w:rsidP="00554710">
      <w:pPr>
        <w:rPr>
          <w:lang w:val="es-ES"/>
        </w:rPr>
      </w:pPr>
    </w:p>
    <w:p w14:paraId="6FE3D6A9" w14:textId="77777777" w:rsidR="00554710" w:rsidRPr="00745B6E" w:rsidRDefault="00554710" w:rsidP="00554710">
      <w:pPr>
        <w:rPr>
          <w:lang w:val="es-ES"/>
        </w:rPr>
      </w:pPr>
      <w:r>
        <w:rPr>
          <w:lang w:val="es-ES"/>
        </w:rPr>
        <w:t>L. Patricio Pazmiño Freire</w:t>
      </w:r>
      <w:r w:rsidRPr="00745B6E">
        <w:rPr>
          <w:lang w:val="es-ES"/>
        </w:rPr>
        <w:tab/>
      </w:r>
      <w:r w:rsidRPr="00745B6E">
        <w:rPr>
          <w:lang w:val="es-ES"/>
        </w:rPr>
        <w:tab/>
      </w:r>
      <w:r w:rsidRPr="00745B6E">
        <w:rPr>
          <w:lang w:val="es-ES"/>
        </w:rPr>
        <w:tab/>
      </w:r>
      <w:r w:rsidRPr="00745B6E">
        <w:rPr>
          <w:lang w:val="es-ES"/>
        </w:rPr>
        <w:tab/>
      </w:r>
      <w:r>
        <w:rPr>
          <w:lang w:val="es-ES"/>
        </w:rPr>
        <w:t xml:space="preserve">       Eduardo Ferrer Mac-</w:t>
      </w:r>
      <w:proofErr w:type="spellStart"/>
      <w:r>
        <w:rPr>
          <w:lang w:val="es-ES"/>
        </w:rPr>
        <w:t>Gregor</w:t>
      </w:r>
      <w:proofErr w:type="spellEnd"/>
      <w:r>
        <w:rPr>
          <w:lang w:val="es-ES"/>
        </w:rPr>
        <w:t xml:space="preserve"> </w:t>
      </w:r>
      <w:proofErr w:type="spellStart"/>
      <w:r>
        <w:rPr>
          <w:lang w:val="es-ES"/>
        </w:rPr>
        <w:t>Poisot</w:t>
      </w:r>
      <w:proofErr w:type="spellEnd"/>
    </w:p>
    <w:p w14:paraId="12AEF8B9" w14:textId="77777777" w:rsidR="00554710" w:rsidRPr="00745B6E" w:rsidRDefault="00554710" w:rsidP="00554710">
      <w:pPr>
        <w:rPr>
          <w:lang w:val="es-ES"/>
        </w:rPr>
      </w:pPr>
    </w:p>
    <w:p w14:paraId="5D889743" w14:textId="77777777" w:rsidR="00554710" w:rsidRPr="00745B6E" w:rsidRDefault="00554710" w:rsidP="00554710">
      <w:pPr>
        <w:rPr>
          <w:lang w:val="es-ES"/>
        </w:rPr>
      </w:pPr>
    </w:p>
    <w:p w14:paraId="13AB3D4F" w14:textId="77777777" w:rsidR="00554710" w:rsidRPr="00745B6E" w:rsidRDefault="00554710" w:rsidP="00554710">
      <w:pPr>
        <w:rPr>
          <w:lang w:val="es-ES"/>
        </w:rPr>
      </w:pPr>
    </w:p>
    <w:p w14:paraId="2B5BAE15" w14:textId="77777777" w:rsidR="00554710" w:rsidRPr="00745B6E" w:rsidRDefault="00554710" w:rsidP="00554710">
      <w:pPr>
        <w:jc w:val="center"/>
        <w:rPr>
          <w:lang w:val="es-CR"/>
        </w:rPr>
      </w:pPr>
      <w:r>
        <w:rPr>
          <w:lang w:val="es-ES"/>
        </w:rPr>
        <w:t>Eugenio Raúl Zaffaroni</w:t>
      </w:r>
      <w:r w:rsidRPr="00745B6E">
        <w:rPr>
          <w:lang w:val="es-ES"/>
        </w:rPr>
        <w:tab/>
      </w:r>
      <w:r w:rsidRPr="00745B6E">
        <w:rPr>
          <w:lang w:val="es-ES"/>
        </w:rPr>
        <w:tab/>
      </w:r>
      <w:r w:rsidRPr="00745B6E">
        <w:rPr>
          <w:lang w:val="es-ES"/>
        </w:rPr>
        <w:tab/>
      </w:r>
      <w:r>
        <w:rPr>
          <w:lang w:val="es-ES"/>
        </w:rPr>
        <w:tab/>
      </w:r>
      <w:r>
        <w:rPr>
          <w:lang w:val="es-ES"/>
        </w:rPr>
        <w:tab/>
        <w:t xml:space="preserve">       </w:t>
      </w:r>
      <w:r w:rsidRPr="00745B6E">
        <w:rPr>
          <w:lang w:val="es-CR"/>
        </w:rPr>
        <w:t xml:space="preserve">Ricardo </w:t>
      </w:r>
      <w:r>
        <w:rPr>
          <w:lang w:val="es-CR"/>
        </w:rPr>
        <w:t xml:space="preserve">C. </w:t>
      </w:r>
      <w:r w:rsidRPr="00745B6E">
        <w:rPr>
          <w:lang w:val="es-CR"/>
        </w:rPr>
        <w:t>Pérez Manrique</w:t>
      </w:r>
    </w:p>
    <w:p w14:paraId="77321FD0" w14:textId="77777777" w:rsidR="00554710" w:rsidRPr="00745B6E" w:rsidRDefault="00554710" w:rsidP="00554710">
      <w:pPr>
        <w:rPr>
          <w:lang w:val="es-ES"/>
        </w:rPr>
      </w:pPr>
    </w:p>
    <w:p w14:paraId="58FB53A4" w14:textId="77777777" w:rsidR="00554710" w:rsidRPr="00745B6E" w:rsidRDefault="00554710" w:rsidP="00554710">
      <w:pPr>
        <w:rPr>
          <w:lang w:val="es-ES"/>
        </w:rPr>
      </w:pPr>
    </w:p>
    <w:p w14:paraId="3CC495C4" w14:textId="77777777" w:rsidR="00554710" w:rsidRPr="00745B6E" w:rsidRDefault="00554710" w:rsidP="00554710">
      <w:pPr>
        <w:rPr>
          <w:lang w:val="es-ES"/>
        </w:rPr>
      </w:pPr>
    </w:p>
    <w:p w14:paraId="5CB25C37" w14:textId="77777777" w:rsidR="00554710" w:rsidRPr="00745B6E" w:rsidRDefault="00554710" w:rsidP="00554710">
      <w:pPr>
        <w:rPr>
          <w:lang w:val="es-ES"/>
        </w:rPr>
      </w:pPr>
    </w:p>
    <w:p w14:paraId="418885EB" w14:textId="77777777" w:rsidR="00554710" w:rsidRPr="00745B6E" w:rsidRDefault="00554710" w:rsidP="00554710">
      <w:pPr>
        <w:rPr>
          <w:lang w:val="es-ES"/>
        </w:rPr>
      </w:pPr>
    </w:p>
    <w:p w14:paraId="2D865D57" w14:textId="77777777" w:rsidR="00554710" w:rsidRPr="00745B6E" w:rsidRDefault="00554710" w:rsidP="00554710">
      <w:pPr>
        <w:jc w:val="center"/>
        <w:rPr>
          <w:lang w:val="es-ES"/>
        </w:rPr>
      </w:pPr>
      <w:r w:rsidRPr="00745B6E">
        <w:rPr>
          <w:lang w:val="es-ES"/>
        </w:rPr>
        <w:t>Pablo Saavedra Alessandri</w:t>
      </w:r>
    </w:p>
    <w:p w14:paraId="16B7ABB3" w14:textId="77777777" w:rsidR="00554710" w:rsidRPr="00745B6E" w:rsidRDefault="00554710" w:rsidP="00554710">
      <w:pPr>
        <w:jc w:val="center"/>
        <w:rPr>
          <w:lang w:val="es-ES"/>
        </w:rPr>
      </w:pPr>
      <w:r w:rsidRPr="00745B6E">
        <w:rPr>
          <w:lang w:val="es-ES"/>
        </w:rPr>
        <w:t>Secretario</w:t>
      </w:r>
    </w:p>
    <w:p w14:paraId="1F42A462" w14:textId="77777777" w:rsidR="00554710" w:rsidRPr="00745B6E" w:rsidRDefault="00554710" w:rsidP="00554710">
      <w:pPr>
        <w:rPr>
          <w:lang w:val="es-ES"/>
        </w:rPr>
      </w:pPr>
    </w:p>
    <w:p w14:paraId="5AA8F979" w14:textId="77777777" w:rsidR="00554710" w:rsidRDefault="00554710" w:rsidP="00554710">
      <w:pPr>
        <w:pStyle w:val="Textonotapie"/>
        <w:rPr>
          <w:lang w:val="es-ES"/>
        </w:rPr>
      </w:pPr>
    </w:p>
    <w:p w14:paraId="1F7787CD" w14:textId="77777777" w:rsidR="00554710" w:rsidRDefault="00554710" w:rsidP="00554710">
      <w:pPr>
        <w:pStyle w:val="Textonotapie"/>
        <w:rPr>
          <w:lang w:val="es-ES"/>
        </w:rPr>
      </w:pPr>
    </w:p>
    <w:p w14:paraId="47A18C14" w14:textId="77777777" w:rsidR="00554710" w:rsidRPr="00745B6E" w:rsidRDefault="00554710" w:rsidP="00554710">
      <w:pPr>
        <w:pStyle w:val="Textonotapie"/>
        <w:rPr>
          <w:lang w:val="es-ES"/>
        </w:rPr>
      </w:pPr>
    </w:p>
    <w:p w14:paraId="1B87B57B" w14:textId="77777777" w:rsidR="00554710" w:rsidRPr="00745B6E" w:rsidRDefault="00554710" w:rsidP="00554710">
      <w:pPr>
        <w:pStyle w:val="Textonotapie"/>
        <w:rPr>
          <w:lang w:val="es-ES"/>
        </w:rPr>
      </w:pPr>
    </w:p>
    <w:p w14:paraId="4049FDD6" w14:textId="77777777" w:rsidR="00554710" w:rsidRPr="00745B6E" w:rsidRDefault="00554710" w:rsidP="00554710">
      <w:pPr>
        <w:rPr>
          <w:lang w:val="es-ES"/>
        </w:rPr>
      </w:pPr>
      <w:r w:rsidRPr="00745B6E">
        <w:rPr>
          <w:lang w:val="es-ES"/>
        </w:rPr>
        <w:t>Comuníquese y ejecútese,</w:t>
      </w:r>
    </w:p>
    <w:p w14:paraId="719BBF86" w14:textId="77777777" w:rsidR="00554710" w:rsidRPr="00745B6E" w:rsidRDefault="00554710" w:rsidP="00554710">
      <w:pPr>
        <w:rPr>
          <w:lang w:val="es-ES"/>
        </w:rPr>
      </w:pPr>
    </w:p>
    <w:p w14:paraId="7F0F6E23" w14:textId="77777777" w:rsidR="00554710" w:rsidRDefault="00554710" w:rsidP="00554710">
      <w:pPr>
        <w:rPr>
          <w:lang w:val="es-ES"/>
        </w:rPr>
      </w:pPr>
    </w:p>
    <w:p w14:paraId="0E013BAA" w14:textId="77777777" w:rsidR="00554710" w:rsidRDefault="00554710" w:rsidP="00554710">
      <w:pPr>
        <w:rPr>
          <w:lang w:val="es-ES"/>
        </w:rPr>
      </w:pPr>
    </w:p>
    <w:p w14:paraId="605AA17A" w14:textId="77777777" w:rsidR="00554710" w:rsidRPr="00745B6E" w:rsidRDefault="00554710" w:rsidP="00554710">
      <w:pPr>
        <w:rPr>
          <w:lang w:val="es-ES"/>
        </w:rPr>
      </w:pPr>
    </w:p>
    <w:p w14:paraId="0FF1B26B" w14:textId="77777777" w:rsidR="00554710" w:rsidRPr="00745B6E" w:rsidRDefault="00554710" w:rsidP="00554710">
      <w:pPr>
        <w:rPr>
          <w:lang w:val="es-ES"/>
        </w:rPr>
      </w:pPr>
    </w:p>
    <w:p w14:paraId="46567854" w14:textId="77777777" w:rsidR="00554710" w:rsidRPr="00745B6E" w:rsidRDefault="00554710" w:rsidP="00554710">
      <w:pPr>
        <w:ind w:left="5664"/>
        <w:jc w:val="center"/>
        <w:rPr>
          <w:lang w:val="es-ES"/>
        </w:rPr>
      </w:pPr>
      <w:r w:rsidRPr="00745B6E">
        <w:rPr>
          <w:lang w:val="es-ES"/>
        </w:rPr>
        <w:t>E</w:t>
      </w:r>
      <w:r>
        <w:rPr>
          <w:lang w:val="es-ES"/>
        </w:rPr>
        <w:t>lizabeth Odio Benito</w:t>
      </w:r>
    </w:p>
    <w:p w14:paraId="7E5316F6" w14:textId="77777777" w:rsidR="00554710" w:rsidRPr="00745B6E" w:rsidRDefault="00554710" w:rsidP="00554710">
      <w:pPr>
        <w:ind w:left="5664"/>
        <w:jc w:val="center"/>
        <w:rPr>
          <w:lang w:val="es-ES"/>
        </w:rPr>
      </w:pPr>
      <w:r w:rsidRPr="00745B6E">
        <w:rPr>
          <w:lang w:val="es-ES"/>
        </w:rPr>
        <w:t>President</w:t>
      </w:r>
      <w:r>
        <w:rPr>
          <w:lang w:val="es-ES"/>
        </w:rPr>
        <w:t>a</w:t>
      </w:r>
    </w:p>
    <w:p w14:paraId="54A4E383" w14:textId="77777777" w:rsidR="00554710" w:rsidRPr="00745B6E" w:rsidRDefault="00554710" w:rsidP="00554710">
      <w:pPr>
        <w:rPr>
          <w:lang w:val="es-ES"/>
        </w:rPr>
      </w:pPr>
    </w:p>
    <w:p w14:paraId="54B8F414" w14:textId="77777777" w:rsidR="00554710" w:rsidRPr="00745B6E" w:rsidRDefault="00554710" w:rsidP="00554710">
      <w:pPr>
        <w:rPr>
          <w:lang w:val="es-ES"/>
        </w:rPr>
      </w:pPr>
    </w:p>
    <w:p w14:paraId="662534D5" w14:textId="77777777" w:rsidR="00554710" w:rsidRPr="00745B6E" w:rsidRDefault="00554710" w:rsidP="00554710">
      <w:pPr>
        <w:rPr>
          <w:lang w:val="es-ES"/>
        </w:rPr>
      </w:pPr>
      <w:bookmarkStart w:id="133" w:name="_GoBack"/>
      <w:bookmarkEnd w:id="133"/>
    </w:p>
    <w:p w14:paraId="3C68CC36" w14:textId="77777777" w:rsidR="00554710" w:rsidRPr="00745B6E" w:rsidRDefault="00554710" w:rsidP="00554710">
      <w:pPr>
        <w:rPr>
          <w:lang w:val="es-ES"/>
        </w:rPr>
      </w:pPr>
    </w:p>
    <w:p w14:paraId="1B6EFE9F" w14:textId="77777777" w:rsidR="00554710" w:rsidRPr="00745B6E" w:rsidRDefault="00554710" w:rsidP="00554710">
      <w:pPr>
        <w:rPr>
          <w:lang w:val="es-ES"/>
        </w:rPr>
      </w:pPr>
      <w:r w:rsidRPr="00745B6E">
        <w:rPr>
          <w:lang w:val="es-ES"/>
        </w:rPr>
        <w:t>Pablo Saavedra Alessandri</w:t>
      </w:r>
    </w:p>
    <w:p w14:paraId="0C2AECC9" w14:textId="77777777" w:rsidR="00554710" w:rsidRPr="00745B6E" w:rsidRDefault="00554710" w:rsidP="00554710">
      <w:pPr>
        <w:rPr>
          <w:lang w:val="es-CR"/>
        </w:rPr>
      </w:pPr>
      <w:r w:rsidRPr="00745B6E">
        <w:rPr>
          <w:lang w:val="es-ES"/>
        </w:rPr>
        <w:tab/>
      </w:r>
      <w:r w:rsidRPr="00745B6E">
        <w:rPr>
          <w:lang w:val="es-CR"/>
        </w:rPr>
        <w:t>Secretario</w:t>
      </w:r>
    </w:p>
    <w:p w14:paraId="796BB2C1" w14:textId="77777777" w:rsidR="00554710" w:rsidRPr="001D6DA0" w:rsidRDefault="00554710" w:rsidP="001D6DA0">
      <w:pPr>
        <w:tabs>
          <w:tab w:val="left" w:pos="3402"/>
        </w:tabs>
        <w:spacing w:before="120" w:after="120"/>
        <w:rPr>
          <w:szCs w:val="20"/>
          <w:lang w:val="es-PE"/>
        </w:rPr>
      </w:pPr>
    </w:p>
    <w:p w14:paraId="73F6004D" w14:textId="3A351989" w:rsidR="00B03DD6" w:rsidRPr="00280D3A" w:rsidRDefault="001D6DA0" w:rsidP="00280D3A">
      <w:pPr>
        <w:tabs>
          <w:tab w:val="left" w:pos="3402"/>
        </w:tabs>
        <w:spacing w:before="120" w:after="120"/>
        <w:rPr>
          <w:szCs w:val="20"/>
          <w:lang w:val="es-PE"/>
        </w:rPr>
      </w:pPr>
      <w:r w:rsidRPr="001D6DA0">
        <w:rPr>
          <w:szCs w:val="20"/>
          <w:lang w:val="es-PE"/>
        </w:rPr>
        <w:t> </w:t>
      </w:r>
    </w:p>
    <w:sectPr w:rsidR="00B03DD6" w:rsidRPr="00280D3A" w:rsidSect="00260C3E">
      <w:footerReference w:type="even" r:id="rId9"/>
      <w:footerReference w:type="default" r:id="rId10"/>
      <w:footnotePr>
        <w:numRestart w:val="eachSect"/>
      </w:footnotePr>
      <w:type w:val="continuous"/>
      <w:pgSz w:w="12240" w:h="15840" w:code="1"/>
      <w:pgMar w:top="1440" w:right="1440" w:bottom="1440" w:left="1440" w:header="720" w:footer="72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C2BE2" w14:textId="77777777" w:rsidR="00C50738" w:rsidRDefault="00C50738" w:rsidP="009403BF">
      <w:r>
        <w:separator/>
      </w:r>
    </w:p>
  </w:endnote>
  <w:endnote w:type="continuationSeparator" w:id="0">
    <w:p w14:paraId="4F960E12" w14:textId="77777777" w:rsidR="00C50738" w:rsidRDefault="00C50738" w:rsidP="00940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Malgun Gothic"/>
    <w:panose1 w:val="02030600000101010101"/>
    <w:charset w:val="81"/>
    <w:family w:val="auto"/>
    <w:notTrueType/>
    <w:pitch w:val="fixed"/>
    <w:sig w:usb0="00000000"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Italic">
    <w:altName w:val="Segoe UI Historic"/>
    <w:charset w:val="00"/>
    <w:family w:val="auto"/>
    <w:pitch w:val="variable"/>
    <w:sig w:usb0="A00002FF" w:usb1="7800205A" w:usb2="14600000" w:usb3="00000000" w:csb0="00000193" w:csb1="00000000"/>
  </w:font>
  <w:font w:name="Arial Unicode MS">
    <w:panose1 w:val="020B06040202020202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pple Chancery">
    <w:charset w:val="B1"/>
    <w:family w:val="script"/>
    <w:pitch w:val="variable"/>
    <w:sig w:usb0="80000867" w:usb1="00000003" w:usb2="00000000" w:usb3="00000000" w:csb0="000001F3"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altName w:val="Arial"/>
    <w:charset w:val="00"/>
    <w:family w:val="swiss"/>
    <w:pitch w:val="variable"/>
    <w:sig w:usb0="00000000" w:usb1="5000A1FF" w:usb2="00000000" w:usb3="00000000" w:csb0="000001BF" w:csb1="00000000"/>
  </w:font>
  <w:font w:name="Verdana Bold">
    <w:altName w:val="Tahoma"/>
    <w:charset w:val="00"/>
    <w:family w:val="auto"/>
    <w:pitch w:val="variable"/>
    <w:sig w:usb0="00000001"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Vrinda">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232FE" w14:textId="77777777" w:rsidR="007A0EF0" w:rsidRDefault="007A0EF0" w:rsidP="00E1419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1B14A4" w14:textId="77777777" w:rsidR="007A0EF0" w:rsidRDefault="007A0EF0" w:rsidP="00E1419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352320"/>
      <w:docPartObj>
        <w:docPartGallery w:val="Page Numbers (Bottom of Page)"/>
        <w:docPartUnique/>
      </w:docPartObj>
    </w:sdtPr>
    <w:sdtEndPr>
      <w:rPr>
        <w:noProof/>
        <w:sz w:val="16"/>
        <w:szCs w:val="16"/>
      </w:rPr>
    </w:sdtEndPr>
    <w:sdtContent>
      <w:p w14:paraId="0F80A5E2" w14:textId="236C8364" w:rsidR="007A0EF0" w:rsidRPr="00BD65D3" w:rsidRDefault="007A0EF0">
        <w:pPr>
          <w:pStyle w:val="Piedepgina"/>
          <w:jc w:val="center"/>
          <w:rPr>
            <w:sz w:val="16"/>
            <w:szCs w:val="16"/>
          </w:rPr>
        </w:pPr>
        <w:r w:rsidRPr="00BD65D3">
          <w:rPr>
            <w:sz w:val="16"/>
            <w:szCs w:val="16"/>
          </w:rPr>
          <w:t>-</w:t>
        </w:r>
        <w:r w:rsidRPr="00BD65D3">
          <w:rPr>
            <w:sz w:val="16"/>
            <w:szCs w:val="16"/>
          </w:rPr>
          <w:fldChar w:fldCharType="begin"/>
        </w:r>
        <w:r w:rsidRPr="00BD65D3">
          <w:rPr>
            <w:sz w:val="16"/>
            <w:szCs w:val="16"/>
          </w:rPr>
          <w:instrText xml:space="preserve"> PAGE   \* MERGEFORMAT </w:instrText>
        </w:r>
        <w:r w:rsidRPr="00BD65D3">
          <w:rPr>
            <w:sz w:val="16"/>
            <w:szCs w:val="16"/>
          </w:rPr>
          <w:fldChar w:fldCharType="separate"/>
        </w:r>
        <w:r w:rsidR="00DF3FBE">
          <w:rPr>
            <w:noProof/>
            <w:sz w:val="16"/>
            <w:szCs w:val="16"/>
          </w:rPr>
          <w:t>35</w:t>
        </w:r>
        <w:r w:rsidRPr="00BD65D3">
          <w:rPr>
            <w:noProof/>
            <w:sz w:val="16"/>
            <w:szCs w:val="16"/>
          </w:rPr>
          <w:fldChar w:fldCharType="end"/>
        </w:r>
        <w:r w:rsidRPr="00BD65D3">
          <w:rPr>
            <w:noProof/>
            <w:sz w:val="16"/>
            <w:szCs w:val="16"/>
          </w:rPr>
          <w:t>-</w:t>
        </w:r>
      </w:p>
    </w:sdtContent>
  </w:sdt>
  <w:p w14:paraId="55687996" w14:textId="77777777" w:rsidR="007A0EF0" w:rsidRDefault="007A0EF0" w:rsidP="00E14192">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A027A2" w14:textId="77777777" w:rsidR="00C50738" w:rsidRDefault="00C50738" w:rsidP="009403BF">
      <w:r>
        <w:separator/>
      </w:r>
    </w:p>
  </w:footnote>
  <w:footnote w:type="continuationSeparator" w:id="0">
    <w:p w14:paraId="35644B39" w14:textId="77777777" w:rsidR="00C50738" w:rsidRDefault="00C50738" w:rsidP="009403BF">
      <w:r>
        <w:continuationSeparator/>
      </w:r>
    </w:p>
  </w:footnote>
  <w:footnote w:id="1">
    <w:p w14:paraId="34751250" w14:textId="34A23594" w:rsidR="007A0EF0" w:rsidRPr="00EB64C5" w:rsidRDefault="007A0EF0">
      <w:pPr>
        <w:pStyle w:val="Textonotapie"/>
      </w:pPr>
      <w:r w:rsidRPr="00404C7B">
        <w:rPr>
          <w:rStyle w:val="Refdenotaalpie"/>
        </w:rPr>
        <w:footnoteRef/>
      </w:r>
      <w:r w:rsidRPr="00404C7B">
        <w:t xml:space="preserve"> </w:t>
      </w:r>
      <w:r w:rsidRPr="00404C7B">
        <w:tab/>
        <w:t xml:space="preserve">Los jueces Eduardo Vio Grossi </w:t>
      </w:r>
      <w:r>
        <w:t xml:space="preserve">y </w:t>
      </w:r>
      <w:r w:rsidRPr="00404C7B">
        <w:t xml:space="preserve">Humberto Antonio Sierra Porto no participaron en la deliberación y firma de la presente Sentencia por motivos de fuerza mayor, </w:t>
      </w:r>
      <w:r w:rsidRPr="00B03F76">
        <w:rPr>
          <w:szCs w:val="16"/>
          <w:lang w:val="es-CR"/>
        </w:rPr>
        <w:t>lo cual fue aceptado por el Pleno</w:t>
      </w:r>
      <w:r w:rsidRPr="00404C7B">
        <w:t>.</w:t>
      </w:r>
    </w:p>
  </w:footnote>
  <w:footnote w:id="2">
    <w:p w14:paraId="52E93BD7" w14:textId="353A0EFA" w:rsidR="007A0EF0" w:rsidRPr="00016E36" w:rsidRDefault="007A0EF0">
      <w:pPr>
        <w:pStyle w:val="Textonotapie"/>
      </w:pPr>
      <w:r>
        <w:rPr>
          <w:rStyle w:val="Refdenotaalpie"/>
        </w:rPr>
        <w:footnoteRef/>
      </w:r>
      <w:r>
        <w:t xml:space="preserve"> </w:t>
      </w:r>
      <w:r>
        <w:tab/>
        <w:t xml:space="preserve">Según indicó la Comisión en sus observaciones finales escritas, </w:t>
      </w:r>
      <w:r w:rsidRPr="009262CD">
        <w:t xml:space="preserve">consideró la situación de incumplimiento del componente de justicia dispuesto por las partes en el </w:t>
      </w:r>
      <w:r>
        <w:t>Acuerdo</w:t>
      </w:r>
      <w:r w:rsidRPr="009262CD">
        <w:t xml:space="preserve">. </w:t>
      </w:r>
      <w:r>
        <w:t xml:space="preserve">Afirmó que </w:t>
      </w:r>
      <w:r w:rsidRPr="009262CD">
        <w:t>ponderó dichos elementos aunados a la solicitud de la madre de Vicente Ariel Noguera de dar por culminado el proceso de negociación por la falta de implementación total de las medidas pactadas</w:t>
      </w:r>
      <w:r>
        <w:t>. Es</w:t>
      </w:r>
      <w:r w:rsidRPr="009262CD">
        <w:t>a decisión fue comunicada a las partes el 3 de diciembre de 2015 y se continuó con el trámite del caso hasta la adopción del Informe de Fondo No. 23/18</w:t>
      </w:r>
      <w:r>
        <w:t>.</w:t>
      </w:r>
    </w:p>
  </w:footnote>
  <w:footnote w:id="3">
    <w:p w14:paraId="200234E6" w14:textId="1AD44747" w:rsidR="007A0EF0" w:rsidRPr="00F00E22" w:rsidRDefault="007A0EF0">
      <w:pPr>
        <w:pStyle w:val="Textonotapie"/>
        <w:spacing w:before="60" w:after="60"/>
        <w:rPr>
          <w:szCs w:val="16"/>
          <w:lang w:val="es-CR"/>
        </w:rPr>
      </w:pPr>
      <w:r w:rsidRPr="00F00E22">
        <w:rPr>
          <w:rStyle w:val="Refdenotaalpie"/>
          <w:szCs w:val="16"/>
        </w:rPr>
        <w:footnoteRef/>
      </w:r>
      <w:r w:rsidRPr="00F00E22">
        <w:rPr>
          <w:szCs w:val="16"/>
        </w:rPr>
        <w:t xml:space="preserve"> </w:t>
      </w:r>
      <w:r w:rsidRPr="00F00E22">
        <w:rPr>
          <w:szCs w:val="16"/>
        </w:rPr>
        <w:tab/>
        <w:t xml:space="preserve">Los representantes de las presuntas víctimas </w:t>
      </w:r>
      <w:r>
        <w:rPr>
          <w:szCs w:val="16"/>
        </w:rPr>
        <w:t xml:space="preserve">son María Noguera, presunta víctima y madre de Vicente Noguera y Alejandro </w:t>
      </w:r>
      <w:proofErr w:type="spellStart"/>
      <w:r>
        <w:rPr>
          <w:szCs w:val="16"/>
        </w:rPr>
        <w:t>Nissen</w:t>
      </w:r>
      <w:proofErr w:type="spellEnd"/>
      <w:r>
        <w:rPr>
          <w:szCs w:val="16"/>
        </w:rPr>
        <w:t xml:space="preserve"> </w:t>
      </w:r>
      <w:proofErr w:type="spellStart"/>
      <w:r>
        <w:rPr>
          <w:szCs w:val="16"/>
        </w:rPr>
        <w:t>Pessonali</w:t>
      </w:r>
      <w:proofErr w:type="spellEnd"/>
      <w:r w:rsidRPr="00F00E22">
        <w:rPr>
          <w:szCs w:val="16"/>
          <w:lang w:val="es-CR"/>
        </w:rPr>
        <w:t>,</w:t>
      </w:r>
      <w:r>
        <w:rPr>
          <w:szCs w:val="16"/>
          <w:lang w:val="es-CR"/>
        </w:rPr>
        <w:t xml:space="preserve"> ambos</w:t>
      </w:r>
      <w:r w:rsidRPr="00F00E22">
        <w:rPr>
          <w:szCs w:val="16"/>
          <w:lang w:val="es-CR"/>
        </w:rPr>
        <w:t xml:space="preserve"> </w:t>
      </w:r>
      <w:r>
        <w:rPr>
          <w:szCs w:val="16"/>
          <w:lang w:val="es-CR"/>
        </w:rPr>
        <w:t>de la Asociación de Familiares Víctimas del Servicio Militar</w:t>
      </w:r>
      <w:r w:rsidRPr="00F00E22">
        <w:rPr>
          <w:szCs w:val="16"/>
        </w:rPr>
        <w:t xml:space="preserve">. </w:t>
      </w:r>
    </w:p>
  </w:footnote>
  <w:footnote w:id="4">
    <w:p w14:paraId="0FB4151A" w14:textId="77BEF2D0" w:rsidR="007A0EF0" w:rsidRPr="007D74F9" w:rsidRDefault="007A0EF0">
      <w:pPr>
        <w:pStyle w:val="Textonotapie"/>
        <w:spacing w:before="60" w:after="60"/>
        <w:rPr>
          <w:szCs w:val="16"/>
          <w:lang w:val="es-CR"/>
        </w:rPr>
      </w:pPr>
      <w:r w:rsidRPr="00F00E22">
        <w:rPr>
          <w:rStyle w:val="Refdenotaalpie"/>
          <w:szCs w:val="16"/>
        </w:rPr>
        <w:footnoteRef/>
      </w:r>
      <w:r w:rsidRPr="00F00E22">
        <w:rPr>
          <w:szCs w:val="16"/>
        </w:rPr>
        <w:t xml:space="preserve"> </w:t>
      </w:r>
      <w:r w:rsidRPr="00F00E22">
        <w:rPr>
          <w:szCs w:val="16"/>
        </w:rPr>
        <w:tab/>
      </w:r>
      <w:r w:rsidRPr="00F00E22">
        <w:rPr>
          <w:szCs w:val="16"/>
          <w:lang w:val="es-CR"/>
        </w:rPr>
        <w:t>El Estado designó como Agente</w:t>
      </w:r>
      <w:r>
        <w:rPr>
          <w:szCs w:val="16"/>
          <w:lang w:val="es-CR"/>
        </w:rPr>
        <w:t xml:space="preserve"> Titular a Sergio </w:t>
      </w:r>
      <w:proofErr w:type="spellStart"/>
      <w:r>
        <w:rPr>
          <w:szCs w:val="16"/>
          <w:lang w:val="es-CR"/>
        </w:rPr>
        <w:t>Coscia</w:t>
      </w:r>
      <w:proofErr w:type="spellEnd"/>
      <w:r>
        <w:rPr>
          <w:szCs w:val="16"/>
          <w:lang w:val="es-CR"/>
        </w:rPr>
        <w:t xml:space="preserve">, Procurador General de la República y como Agentes Alternos a Ricardo Merlo </w:t>
      </w:r>
      <w:proofErr w:type="spellStart"/>
      <w:r>
        <w:rPr>
          <w:szCs w:val="16"/>
          <w:lang w:val="es-CR"/>
        </w:rPr>
        <w:t>Faella</w:t>
      </w:r>
      <w:proofErr w:type="spellEnd"/>
      <w:r>
        <w:rPr>
          <w:szCs w:val="16"/>
          <w:lang w:val="es-CR"/>
        </w:rPr>
        <w:t xml:space="preserve">, fiscal adjunto responsable de la Unidad Especializada de Derechos Humanos del Ministerio Público y Marcelo </w:t>
      </w:r>
      <w:proofErr w:type="spellStart"/>
      <w:r>
        <w:rPr>
          <w:szCs w:val="16"/>
          <w:lang w:val="es-CR"/>
        </w:rPr>
        <w:t>Scappini</w:t>
      </w:r>
      <w:proofErr w:type="spellEnd"/>
      <w:r>
        <w:rPr>
          <w:szCs w:val="16"/>
          <w:lang w:val="es-CR"/>
        </w:rPr>
        <w:t xml:space="preserve">, Director General de Derechos Humanos del Ministerio de Relaciones Exteriores. </w:t>
      </w:r>
    </w:p>
  </w:footnote>
  <w:footnote w:id="5">
    <w:p w14:paraId="5C8CC34C" w14:textId="062EECB7" w:rsidR="007A0EF0" w:rsidRPr="00F00E22" w:rsidRDefault="007A0EF0">
      <w:pPr>
        <w:pStyle w:val="Textonotapie"/>
        <w:spacing w:before="60" w:after="60"/>
        <w:rPr>
          <w:rFonts w:eastAsia="Times New Roman" w:cs="Times New Roman"/>
          <w:bCs/>
          <w:iCs/>
          <w:szCs w:val="16"/>
          <w:lang w:val="es-ES"/>
        </w:rPr>
      </w:pPr>
      <w:r w:rsidRPr="007D74F9">
        <w:rPr>
          <w:rStyle w:val="Refdenotaalpie"/>
          <w:szCs w:val="16"/>
        </w:rPr>
        <w:footnoteRef/>
      </w:r>
      <w:r w:rsidRPr="007D74F9">
        <w:rPr>
          <w:szCs w:val="16"/>
        </w:rPr>
        <w:t xml:space="preserve"> </w:t>
      </w:r>
      <w:r w:rsidRPr="007D74F9">
        <w:rPr>
          <w:szCs w:val="16"/>
        </w:rPr>
        <w:tab/>
      </w:r>
      <w:r w:rsidRPr="007D74F9">
        <w:rPr>
          <w:rFonts w:eastAsia="Times New Roman" w:cs="Times New Roman"/>
          <w:bCs/>
          <w:iCs/>
          <w:szCs w:val="16"/>
          <w:lang w:val="es-ES"/>
        </w:rPr>
        <w:t xml:space="preserve">A esta audiencia comparecieron: a) por la Comisión Interamericana: </w:t>
      </w:r>
      <w:r w:rsidRPr="007D74F9">
        <w:rPr>
          <w:rFonts w:eastAsia="Times New Roman" w:cs="Times New Roman"/>
          <w:bCs/>
          <w:iCs/>
          <w:szCs w:val="16"/>
        </w:rPr>
        <w:t xml:space="preserve">Luis Ernesto Vargas, Marisol Blanchard, Jorge H. Meza Flores, Piero Vásquez y Analía </w:t>
      </w:r>
      <w:proofErr w:type="spellStart"/>
      <w:r w:rsidRPr="007D74F9">
        <w:rPr>
          <w:rFonts w:eastAsia="Times New Roman" w:cs="Times New Roman"/>
          <w:bCs/>
          <w:iCs/>
          <w:szCs w:val="16"/>
        </w:rPr>
        <w:t>Banfi</w:t>
      </w:r>
      <w:proofErr w:type="spellEnd"/>
      <w:r w:rsidRPr="007D74F9">
        <w:rPr>
          <w:rFonts w:eastAsia="Times New Roman" w:cs="Times New Roman"/>
          <w:bCs/>
          <w:iCs/>
          <w:szCs w:val="16"/>
        </w:rPr>
        <w:t xml:space="preserve"> </w:t>
      </w:r>
      <w:proofErr w:type="spellStart"/>
      <w:r w:rsidRPr="007D74F9">
        <w:rPr>
          <w:rFonts w:eastAsia="Times New Roman" w:cs="Times New Roman"/>
          <w:bCs/>
          <w:iCs/>
          <w:szCs w:val="16"/>
        </w:rPr>
        <w:t>Vique</w:t>
      </w:r>
      <w:proofErr w:type="spellEnd"/>
      <w:r w:rsidRPr="007D74F9">
        <w:rPr>
          <w:rFonts w:eastAsia="Times New Roman" w:cs="Times New Roman"/>
          <w:bCs/>
          <w:iCs/>
          <w:szCs w:val="16"/>
          <w:lang w:val="es-ES"/>
        </w:rPr>
        <w:t xml:space="preserve">; b) por los representantes: </w:t>
      </w:r>
      <w:r w:rsidRPr="007D74F9">
        <w:rPr>
          <w:rFonts w:eastAsia="Times New Roman" w:cs="Times New Roman"/>
          <w:bCs/>
          <w:iCs/>
          <w:szCs w:val="16"/>
        </w:rPr>
        <w:t>María Noguera y Andrés Vásquez</w:t>
      </w:r>
      <w:r w:rsidRPr="007D74F9">
        <w:rPr>
          <w:rFonts w:eastAsia="Times New Roman" w:cs="Times New Roman"/>
          <w:bCs/>
          <w:iCs/>
          <w:szCs w:val="16"/>
          <w:lang w:val="es-ES"/>
        </w:rPr>
        <w:t xml:space="preserve">, y c) por el Estado: Sergio </w:t>
      </w:r>
      <w:proofErr w:type="spellStart"/>
      <w:r w:rsidRPr="007D74F9">
        <w:rPr>
          <w:rFonts w:eastAsia="Times New Roman" w:cs="Times New Roman"/>
          <w:bCs/>
          <w:iCs/>
          <w:szCs w:val="16"/>
          <w:lang w:val="es-ES"/>
        </w:rPr>
        <w:t>Coscia</w:t>
      </w:r>
      <w:proofErr w:type="spellEnd"/>
      <w:r w:rsidRPr="007D74F9">
        <w:rPr>
          <w:rFonts w:eastAsia="Times New Roman" w:cs="Times New Roman"/>
          <w:bCs/>
          <w:iCs/>
          <w:szCs w:val="16"/>
          <w:lang w:val="es-ES"/>
        </w:rPr>
        <w:t xml:space="preserve"> </w:t>
      </w:r>
      <w:proofErr w:type="spellStart"/>
      <w:r w:rsidRPr="007D74F9">
        <w:rPr>
          <w:rFonts w:eastAsia="Times New Roman" w:cs="Times New Roman"/>
          <w:bCs/>
          <w:iCs/>
          <w:szCs w:val="16"/>
          <w:lang w:val="es-ES"/>
        </w:rPr>
        <w:t>Nogues</w:t>
      </w:r>
      <w:proofErr w:type="spellEnd"/>
      <w:r w:rsidRPr="007D74F9">
        <w:rPr>
          <w:rFonts w:eastAsia="Times New Roman" w:cs="Times New Roman"/>
          <w:bCs/>
          <w:iCs/>
          <w:szCs w:val="16"/>
          <w:lang w:val="es-ES"/>
        </w:rPr>
        <w:t xml:space="preserve">, Ricardo Merlo </w:t>
      </w:r>
      <w:proofErr w:type="spellStart"/>
      <w:r w:rsidRPr="007D74F9">
        <w:rPr>
          <w:rFonts w:eastAsia="Times New Roman" w:cs="Times New Roman"/>
          <w:bCs/>
          <w:iCs/>
          <w:szCs w:val="16"/>
          <w:lang w:val="es-ES"/>
        </w:rPr>
        <w:t>Faella</w:t>
      </w:r>
      <w:proofErr w:type="spellEnd"/>
      <w:r w:rsidRPr="007D74F9">
        <w:rPr>
          <w:rFonts w:eastAsia="Times New Roman" w:cs="Times New Roman"/>
          <w:bCs/>
          <w:iCs/>
          <w:szCs w:val="16"/>
          <w:lang w:val="es-ES"/>
        </w:rPr>
        <w:t xml:space="preserve">, Martha </w:t>
      </w:r>
      <w:proofErr w:type="spellStart"/>
      <w:r w:rsidRPr="007D74F9">
        <w:rPr>
          <w:rFonts w:eastAsia="Times New Roman" w:cs="Times New Roman"/>
          <w:bCs/>
          <w:iCs/>
          <w:szCs w:val="16"/>
          <w:lang w:val="es-ES"/>
        </w:rPr>
        <w:t>Sophia</w:t>
      </w:r>
      <w:proofErr w:type="spellEnd"/>
      <w:r w:rsidRPr="007D74F9">
        <w:rPr>
          <w:rFonts w:eastAsia="Times New Roman" w:cs="Times New Roman"/>
          <w:bCs/>
          <w:iCs/>
          <w:szCs w:val="16"/>
          <w:lang w:val="es-ES"/>
        </w:rPr>
        <w:t xml:space="preserve"> López </w:t>
      </w:r>
      <w:proofErr w:type="spellStart"/>
      <w:r w:rsidRPr="007D74F9">
        <w:rPr>
          <w:rFonts w:eastAsia="Times New Roman" w:cs="Times New Roman"/>
          <w:bCs/>
          <w:iCs/>
          <w:szCs w:val="16"/>
          <w:lang w:val="es-ES"/>
        </w:rPr>
        <w:t>Garelli</w:t>
      </w:r>
      <w:proofErr w:type="spellEnd"/>
      <w:r w:rsidRPr="007D74F9">
        <w:rPr>
          <w:rFonts w:eastAsia="Times New Roman" w:cs="Times New Roman"/>
          <w:bCs/>
          <w:iCs/>
          <w:szCs w:val="16"/>
          <w:lang w:val="es-ES"/>
        </w:rPr>
        <w:t xml:space="preserve">, Renzo </w:t>
      </w:r>
      <w:proofErr w:type="spellStart"/>
      <w:r w:rsidRPr="007D74F9">
        <w:rPr>
          <w:rFonts w:eastAsia="Times New Roman" w:cs="Times New Roman"/>
          <w:bCs/>
          <w:iCs/>
          <w:szCs w:val="16"/>
          <w:lang w:val="es-ES"/>
        </w:rPr>
        <w:t>Cristaldo</w:t>
      </w:r>
      <w:proofErr w:type="spellEnd"/>
      <w:r w:rsidRPr="007D74F9">
        <w:rPr>
          <w:rFonts w:eastAsia="Times New Roman" w:cs="Times New Roman"/>
          <w:bCs/>
          <w:iCs/>
          <w:szCs w:val="16"/>
          <w:lang w:val="es-ES"/>
        </w:rPr>
        <w:t xml:space="preserve">, </w:t>
      </w:r>
      <w:proofErr w:type="spellStart"/>
      <w:r w:rsidRPr="007D74F9">
        <w:rPr>
          <w:rFonts w:eastAsia="Times New Roman" w:cs="Times New Roman"/>
          <w:bCs/>
          <w:iCs/>
          <w:szCs w:val="16"/>
          <w:lang w:val="es-ES"/>
        </w:rPr>
        <w:t>Bélen</w:t>
      </w:r>
      <w:proofErr w:type="spellEnd"/>
      <w:r w:rsidRPr="007D74F9">
        <w:rPr>
          <w:rFonts w:eastAsia="Times New Roman" w:cs="Times New Roman"/>
          <w:bCs/>
          <w:iCs/>
          <w:szCs w:val="16"/>
          <w:lang w:val="es-ES"/>
        </w:rPr>
        <w:t xml:space="preserve"> Diana, Pablo Rojas </w:t>
      </w:r>
      <w:proofErr w:type="spellStart"/>
      <w:r w:rsidRPr="007D74F9">
        <w:rPr>
          <w:rFonts w:eastAsia="Times New Roman" w:cs="Times New Roman"/>
          <w:bCs/>
          <w:iCs/>
          <w:szCs w:val="16"/>
          <w:lang w:val="es-ES"/>
        </w:rPr>
        <w:t>Pichler</w:t>
      </w:r>
      <w:proofErr w:type="spellEnd"/>
      <w:r w:rsidRPr="007D74F9">
        <w:rPr>
          <w:rFonts w:eastAsia="Times New Roman" w:cs="Times New Roman"/>
          <w:bCs/>
          <w:iCs/>
          <w:szCs w:val="16"/>
          <w:lang w:val="es-ES"/>
        </w:rPr>
        <w:t xml:space="preserve">, Rodolfo Barrios, Alejandra Peralta, Silvia Cabrera, Pablo </w:t>
      </w:r>
      <w:proofErr w:type="spellStart"/>
      <w:r w:rsidRPr="007D74F9">
        <w:rPr>
          <w:rFonts w:eastAsia="Times New Roman" w:cs="Times New Roman"/>
          <w:bCs/>
          <w:iCs/>
          <w:szCs w:val="16"/>
          <w:lang w:val="es-ES"/>
        </w:rPr>
        <w:t>Lemir</w:t>
      </w:r>
      <w:proofErr w:type="spellEnd"/>
      <w:r w:rsidRPr="007D74F9">
        <w:rPr>
          <w:rFonts w:eastAsia="Times New Roman" w:cs="Times New Roman"/>
          <w:bCs/>
          <w:iCs/>
          <w:szCs w:val="16"/>
          <w:lang w:val="es-ES"/>
        </w:rPr>
        <w:t xml:space="preserve">, María </w:t>
      </w:r>
      <w:proofErr w:type="spellStart"/>
      <w:r w:rsidRPr="007D74F9">
        <w:rPr>
          <w:rFonts w:eastAsia="Times New Roman" w:cs="Times New Roman"/>
          <w:bCs/>
          <w:iCs/>
          <w:szCs w:val="16"/>
          <w:lang w:val="es-ES"/>
        </w:rPr>
        <w:t>Romy</w:t>
      </w:r>
      <w:proofErr w:type="spellEnd"/>
      <w:r w:rsidRPr="007D74F9">
        <w:rPr>
          <w:rFonts w:eastAsia="Times New Roman" w:cs="Times New Roman"/>
          <w:bCs/>
          <w:iCs/>
          <w:szCs w:val="16"/>
          <w:lang w:val="es-ES"/>
        </w:rPr>
        <w:t xml:space="preserve"> Romero, Noelia López y Patricia </w:t>
      </w:r>
      <w:proofErr w:type="spellStart"/>
      <w:r w:rsidRPr="007D74F9">
        <w:rPr>
          <w:rFonts w:eastAsia="Times New Roman" w:cs="Times New Roman"/>
          <w:bCs/>
          <w:iCs/>
          <w:szCs w:val="16"/>
          <w:lang w:val="es-ES"/>
        </w:rPr>
        <w:t>Sulim</w:t>
      </w:r>
      <w:proofErr w:type="spellEnd"/>
      <w:r w:rsidRPr="007D74F9">
        <w:rPr>
          <w:rFonts w:eastAsia="Times New Roman" w:cs="Times New Roman"/>
          <w:bCs/>
          <w:iCs/>
          <w:szCs w:val="16"/>
          <w:lang w:val="es-ES"/>
        </w:rPr>
        <w:t xml:space="preserve">. </w:t>
      </w:r>
    </w:p>
  </w:footnote>
  <w:footnote w:id="6">
    <w:p w14:paraId="68F047FE" w14:textId="513BE52C" w:rsidR="007A0EF0" w:rsidRPr="007A3BFF" w:rsidRDefault="007A0EF0" w:rsidP="00116F36">
      <w:pPr>
        <w:pStyle w:val="Textonotapie"/>
        <w:rPr>
          <w:i/>
          <w:szCs w:val="16"/>
        </w:rPr>
      </w:pPr>
      <w:r w:rsidRPr="007A3BFF">
        <w:rPr>
          <w:rStyle w:val="Refdenotaalpie"/>
          <w:szCs w:val="16"/>
        </w:rPr>
        <w:footnoteRef/>
      </w:r>
      <w:r w:rsidRPr="007A3BFF">
        <w:rPr>
          <w:szCs w:val="16"/>
        </w:rPr>
        <w:t xml:space="preserve"> </w:t>
      </w:r>
      <w:r w:rsidRPr="007A3BFF">
        <w:rPr>
          <w:szCs w:val="16"/>
        </w:rPr>
        <w:tab/>
      </w:r>
      <w:r w:rsidRPr="007A3BFF">
        <w:rPr>
          <w:i/>
          <w:szCs w:val="16"/>
        </w:rPr>
        <w:t xml:space="preserve">Cfr. Caso de las Masacres de Ituango Vs. Colombia. Excepción Preliminar, Fondo, Reparaciones y Costas. </w:t>
      </w:r>
      <w:r w:rsidRPr="007A3BFF">
        <w:rPr>
          <w:szCs w:val="16"/>
        </w:rPr>
        <w:t xml:space="preserve">Sentencia de 1 de julio de 2006. Serie C No. 148, párr. 98, </w:t>
      </w:r>
      <w:r>
        <w:rPr>
          <w:szCs w:val="16"/>
        </w:rPr>
        <w:t xml:space="preserve">y </w:t>
      </w:r>
      <w:r w:rsidRPr="00E51F36">
        <w:rPr>
          <w:i/>
          <w:szCs w:val="16"/>
        </w:rPr>
        <w:t xml:space="preserve">Caso Jenkins Vs. Argentina. Excepciones Preliminares, Fondo, Reparaciones y Costas. </w:t>
      </w:r>
      <w:r w:rsidRPr="00E51F36">
        <w:rPr>
          <w:szCs w:val="16"/>
        </w:rPr>
        <w:t xml:space="preserve">Sentencia de 26 de noviembre de 2019. Serie C No. 397, párr. </w:t>
      </w:r>
      <w:r>
        <w:rPr>
          <w:szCs w:val="16"/>
        </w:rPr>
        <w:t>36</w:t>
      </w:r>
      <w:r w:rsidRPr="00116F36">
        <w:rPr>
          <w:rStyle w:val="Textoennegrita"/>
          <w:b w:val="0"/>
          <w:szCs w:val="16"/>
        </w:rPr>
        <w:t>.</w:t>
      </w:r>
    </w:p>
  </w:footnote>
  <w:footnote w:id="7">
    <w:p w14:paraId="6506D64E" w14:textId="01D3A7C6" w:rsidR="007A0EF0" w:rsidRPr="007A3BFF" w:rsidRDefault="007A0EF0" w:rsidP="00116F36">
      <w:pPr>
        <w:pStyle w:val="Textonotapie"/>
        <w:rPr>
          <w:i/>
          <w:szCs w:val="16"/>
        </w:rPr>
      </w:pPr>
      <w:r w:rsidRPr="007A3BFF">
        <w:rPr>
          <w:rStyle w:val="Refdenotaalpie"/>
          <w:szCs w:val="16"/>
        </w:rPr>
        <w:footnoteRef/>
      </w:r>
      <w:r w:rsidRPr="007A3BFF">
        <w:rPr>
          <w:szCs w:val="16"/>
        </w:rPr>
        <w:t xml:space="preserve"> </w:t>
      </w:r>
      <w:r w:rsidRPr="007A3BFF">
        <w:rPr>
          <w:szCs w:val="16"/>
        </w:rPr>
        <w:tab/>
        <w:t xml:space="preserve">De conformidad con el cual, cuando se justifique que no fue posible identificarlas, por tratarse de casos de violaciones masivas o colectivas, el Tribunal decidirá en su oportunidad si las considera víctimas de acuerdo con la naturaleza de la violación. </w:t>
      </w:r>
      <w:r w:rsidRPr="007A3BFF">
        <w:rPr>
          <w:i/>
          <w:szCs w:val="16"/>
        </w:rPr>
        <w:t xml:space="preserve">Cfr. Caso Masacres de Río Negro Vs. Guatemala. Excepción Preliminar, Fondo, Reparaciones y Costas. </w:t>
      </w:r>
      <w:r w:rsidRPr="007A3BFF">
        <w:rPr>
          <w:szCs w:val="16"/>
        </w:rPr>
        <w:t xml:space="preserve">Sentencia de 4 de septiembre de 2012. Serie C No. 250, párr. 48 y </w:t>
      </w:r>
      <w:r w:rsidRPr="00E51F36">
        <w:rPr>
          <w:i/>
          <w:szCs w:val="16"/>
        </w:rPr>
        <w:t>Caso Jenkins Vs. Argentina</w:t>
      </w:r>
      <w:r w:rsidRPr="00E51F36">
        <w:rPr>
          <w:szCs w:val="16"/>
        </w:rPr>
        <w:t xml:space="preserve"> párr. </w:t>
      </w:r>
      <w:r>
        <w:rPr>
          <w:szCs w:val="16"/>
        </w:rPr>
        <w:t>36</w:t>
      </w:r>
      <w:r w:rsidRPr="00E51F36">
        <w:rPr>
          <w:rStyle w:val="Textoennegrita"/>
          <w:b w:val="0"/>
          <w:szCs w:val="16"/>
        </w:rPr>
        <w:t>.</w:t>
      </w:r>
    </w:p>
  </w:footnote>
  <w:footnote w:id="8">
    <w:p w14:paraId="07EA6B11" w14:textId="0CC97855" w:rsidR="007A0EF0" w:rsidRPr="00B337ED" w:rsidRDefault="007A0EF0">
      <w:pPr>
        <w:pStyle w:val="Textonotapie"/>
      </w:pPr>
      <w:r>
        <w:rPr>
          <w:rStyle w:val="Refdenotaalpie"/>
        </w:rPr>
        <w:footnoteRef/>
      </w:r>
      <w:r>
        <w:t xml:space="preserve"> </w:t>
      </w:r>
      <w:r>
        <w:tab/>
        <w:t xml:space="preserve">Indicó que </w:t>
      </w:r>
      <w:r w:rsidRPr="00B337ED">
        <w:t xml:space="preserve">el Estado cambió su posición y señaló que la muerte de Vicente </w:t>
      </w:r>
      <w:r>
        <w:t xml:space="preserve">Noguera </w:t>
      </w:r>
      <w:r w:rsidRPr="00B337ED">
        <w:t>fue el resultado de una afección pulmonar y que no fue violenta, negando los hechos que precisamente activaron su responsabilidad internacional sin que hubiera concluido la nueva investigación que informó que habría iniciado</w:t>
      </w:r>
      <w:r>
        <w:t xml:space="preserve">. Agregó que </w:t>
      </w:r>
      <w:r w:rsidRPr="00B337ED">
        <w:t>el Estado no se refirió a las</w:t>
      </w:r>
      <w:r>
        <w:t xml:space="preserve"> </w:t>
      </w:r>
      <w:r w:rsidRPr="00B337ED">
        <w:t xml:space="preserve">violaciones del artículo 19 en conexión con los artículos 1.1 y 2 de la Convención relacionados con la falta de salvaguardas especiales para adolescentes en servicio militar, reflejada en la existencia de prácticas como los </w:t>
      </w:r>
      <w:r>
        <w:t>“</w:t>
      </w:r>
      <w:proofErr w:type="spellStart"/>
      <w:r w:rsidRPr="00B337ED">
        <w:t>descuereos</w:t>
      </w:r>
      <w:proofErr w:type="spellEnd"/>
      <w:r>
        <w:t>”</w:t>
      </w:r>
      <w:r w:rsidRPr="00B337ED">
        <w:t>, por lo que la controversia sobre dichas violaciones subsiste en su totalidad</w:t>
      </w:r>
      <w:r>
        <w:t>.</w:t>
      </w:r>
    </w:p>
  </w:footnote>
  <w:footnote w:id="9">
    <w:p w14:paraId="44BA2543" w14:textId="74100D81" w:rsidR="007A0EF0" w:rsidRPr="0009075E" w:rsidRDefault="007A0EF0" w:rsidP="00AC0CB7">
      <w:pPr>
        <w:pStyle w:val="Footnotes"/>
        <w:spacing w:before="120" w:after="120"/>
        <w:rPr>
          <w:rFonts w:cs="Times New Roman"/>
        </w:rPr>
      </w:pPr>
      <w:r w:rsidRPr="0009075E">
        <w:rPr>
          <w:rStyle w:val="Refdenotaalpie"/>
          <w:rFonts w:eastAsiaTheme="majorEastAsia"/>
          <w:szCs w:val="16"/>
        </w:rPr>
        <w:footnoteRef/>
      </w:r>
      <w:r w:rsidRPr="0009075E">
        <w:rPr>
          <w:vertAlign w:val="superscript"/>
          <w:lang w:val="pt-BR"/>
        </w:rPr>
        <w:t xml:space="preserve"> </w:t>
      </w:r>
      <w:r w:rsidRPr="0009075E">
        <w:rPr>
          <w:lang w:val="pt-BR"/>
        </w:rPr>
        <w:tab/>
      </w:r>
      <w:r w:rsidRPr="0009075E">
        <w:rPr>
          <w:i/>
          <w:lang w:val="pt-BR"/>
        </w:rPr>
        <w:t xml:space="preserve">Cfr. Caso Manuel </w:t>
      </w:r>
      <w:proofErr w:type="spellStart"/>
      <w:r w:rsidRPr="0009075E">
        <w:rPr>
          <w:i/>
          <w:lang w:val="pt-BR"/>
        </w:rPr>
        <w:t>Cepeda</w:t>
      </w:r>
      <w:proofErr w:type="spellEnd"/>
      <w:r w:rsidRPr="0009075E">
        <w:rPr>
          <w:i/>
          <w:lang w:val="pt-BR"/>
        </w:rPr>
        <w:t xml:space="preserve"> Vargas Vs. </w:t>
      </w:r>
      <w:r w:rsidRPr="0009075E">
        <w:rPr>
          <w:i/>
        </w:rPr>
        <w:t>Colombia</w:t>
      </w:r>
      <w:r w:rsidRPr="0009075E">
        <w:t xml:space="preserve">. </w:t>
      </w:r>
      <w:r w:rsidRPr="0009075E">
        <w:rPr>
          <w:i/>
        </w:rPr>
        <w:t>Excepciones Preliminares, Fondo, Reparaciones y Costas.</w:t>
      </w:r>
      <w:r w:rsidRPr="0009075E">
        <w:t xml:space="preserve"> Sentencia de 26 de mayo de 2010. Serie C No. 213, párr. 17, y </w:t>
      </w:r>
      <w:r w:rsidRPr="00D35314">
        <w:rPr>
          <w:rStyle w:val="Textoennegrita"/>
          <w:b w:val="0"/>
          <w:i/>
          <w:color w:val="000000"/>
        </w:rPr>
        <w:t>Caso Valenzuela Ávila Vs. Guatemala. Fondo, Reparaciones y Costas</w:t>
      </w:r>
      <w:r w:rsidRPr="00404C7B">
        <w:rPr>
          <w:rStyle w:val="Textoennegrita"/>
          <w:b w:val="0"/>
          <w:color w:val="000000"/>
        </w:rPr>
        <w:t>. Sentencia de 11 de octubre de 2019. Serie C No. 386</w:t>
      </w:r>
      <w:r w:rsidRPr="00AC0CB7">
        <w:rPr>
          <w:rStyle w:val="Textoennegrita"/>
          <w:b w:val="0"/>
          <w:color w:val="000000"/>
        </w:rPr>
        <w:t xml:space="preserve">, párr. </w:t>
      </w:r>
      <w:r>
        <w:rPr>
          <w:rStyle w:val="Textoennegrita"/>
          <w:b w:val="0"/>
          <w:color w:val="000000"/>
        </w:rPr>
        <w:t>17</w:t>
      </w:r>
      <w:r w:rsidRPr="00AC0CB7">
        <w:rPr>
          <w:rStyle w:val="Textoennegrita"/>
          <w:b w:val="0"/>
          <w:color w:val="000000"/>
        </w:rPr>
        <w:t>.</w:t>
      </w:r>
    </w:p>
  </w:footnote>
  <w:footnote w:id="10">
    <w:p w14:paraId="071D13A0" w14:textId="2150AE2E" w:rsidR="007A0EF0" w:rsidRPr="0009075E" w:rsidRDefault="007A0EF0" w:rsidP="00931F5C">
      <w:pPr>
        <w:pStyle w:val="Footnotes"/>
        <w:spacing w:before="120" w:after="120"/>
        <w:rPr>
          <w:rFonts w:cs="Times New Roman"/>
        </w:rPr>
      </w:pPr>
      <w:r w:rsidRPr="0009075E">
        <w:rPr>
          <w:rStyle w:val="Refdenotaalpie"/>
          <w:rFonts w:eastAsiaTheme="majorEastAsia"/>
          <w:szCs w:val="16"/>
        </w:rPr>
        <w:footnoteRef/>
      </w:r>
      <w:r w:rsidRPr="0009075E">
        <w:t xml:space="preserve"> </w:t>
      </w:r>
      <w:r w:rsidRPr="0009075E">
        <w:rPr>
          <w:rFonts w:cs="Times New Roman"/>
        </w:rPr>
        <w:tab/>
      </w:r>
      <w:r w:rsidRPr="0009075E">
        <w:rPr>
          <w:i/>
        </w:rPr>
        <w:t xml:space="preserve">Cfr. </w:t>
      </w:r>
      <w:r w:rsidRPr="0009075E">
        <w:rPr>
          <w:rStyle w:val="Textoennegrita"/>
          <w:b w:val="0"/>
          <w:i/>
          <w:color w:val="000000"/>
        </w:rPr>
        <w:t>Caso Benavides Cevallos Vs. Ecuador. Fondo, Reparaciones y Costas.</w:t>
      </w:r>
      <w:r w:rsidRPr="0009075E">
        <w:rPr>
          <w:rStyle w:val="Textoennegrita"/>
          <w:b w:val="0"/>
          <w:color w:val="000000"/>
        </w:rPr>
        <w:t xml:space="preserve"> Sentencia de 19 de junio de 1998. Serie C No. 38, párr. 57</w:t>
      </w:r>
      <w:r>
        <w:rPr>
          <w:rStyle w:val="Textoennegrita"/>
          <w:b w:val="0"/>
          <w:color w:val="000000"/>
        </w:rPr>
        <w:t xml:space="preserve">; </w:t>
      </w:r>
      <w:r w:rsidRPr="0009075E">
        <w:t>y</w:t>
      </w:r>
      <w:r w:rsidRPr="0009075E">
        <w:rPr>
          <w:i/>
        </w:rPr>
        <w:t xml:space="preserve"> </w:t>
      </w:r>
      <w:r w:rsidRPr="00D35314">
        <w:rPr>
          <w:rStyle w:val="Textoennegrita"/>
          <w:b w:val="0"/>
          <w:i/>
          <w:color w:val="000000"/>
        </w:rPr>
        <w:t>Caso Valenzuela Ávila Vs. Guatemala</w:t>
      </w:r>
      <w:r w:rsidRPr="00AC0CB7">
        <w:rPr>
          <w:rStyle w:val="Textoennegrita"/>
          <w:b w:val="0"/>
          <w:color w:val="000000"/>
        </w:rPr>
        <w:t xml:space="preserve">, párr. </w:t>
      </w:r>
      <w:r>
        <w:rPr>
          <w:rStyle w:val="Textoennegrita"/>
          <w:b w:val="0"/>
          <w:color w:val="000000"/>
        </w:rPr>
        <w:t>18</w:t>
      </w:r>
      <w:r w:rsidRPr="0009075E">
        <w:rPr>
          <w:rStyle w:val="Textoennegrita"/>
          <w:b w:val="0"/>
          <w:color w:val="000000"/>
        </w:rPr>
        <w:t>.</w:t>
      </w:r>
      <w:r w:rsidRPr="0009075E">
        <w:rPr>
          <w:rStyle w:val="Textoennegrita"/>
          <w:b w:val="0"/>
          <w:color w:val="000000"/>
          <w:shd w:val="clear" w:color="auto" w:fill="FFFFFF"/>
        </w:rPr>
        <w:t xml:space="preserve"> </w:t>
      </w:r>
    </w:p>
  </w:footnote>
  <w:footnote w:id="11">
    <w:p w14:paraId="2061E7C1" w14:textId="0C28A2DC" w:rsidR="007A0EF0" w:rsidRPr="0009075E" w:rsidRDefault="007A0EF0" w:rsidP="00931F5C">
      <w:pPr>
        <w:pStyle w:val="Textonotapie"/>
        <w:tabs>
          <w:tab w:val="left" w:pos="426"/>
        </w:tabs>
        <w:rPr>
          <w:szCs w:val="16"/>
          <w:lang w:val="es-CR"/>
        </w:rPr>
      </w:pPr>
      <w:r w:rsidRPr="0009075E">
        <w:rPr>
          <w:rStyle w:val="Refdenotaalpie"/>
          <w:szCs w:val="16"/>
        </w:rPr>
        <w:footnoteRef/>
      </w:r>
      <w:r w:rsidRPr="0009075E">
        <w:rPr>
          <w:szCs w:val="16"/>
        </w:rPr>
        <w:t xml:space="preserve"> </w:t>
      </w:r>
      <w:r w:rsidRPr="0009075E">
        <w:rPr>
          <w:szCs w:val="16"/>
        </w:rPr>
        <w:tab/>
      </w:r>
      <w:r w:rsidRPr="0009075E">
        <w:rPr>
          <w:szCs w:val="16"/>
        </w:rPr>
        <w:tab/>
      </w:r>
      <w:r w:rsidRPr="0009075E">
        <w:rPr>
          <w:i/>
          <w:szCs w:val="16"/>
        </w:rPr>
        <w:t xml:space="preserve">Cfr. </w:t>
      </w:r>
      <w:r w:rsidRPr="0009075E">
        <w:rPr>
          <w:rStyle w:val="Textoennegrita"/>
          <w:b w:val="0"/>
          <w:i/>
          <w:color w:val="000000"/>
          <w:szCs w:val="16"/>
        </w:rPr>
        <w:t xml:space="preserve">Caso Rodríguez Vera y otros (Desaparecidos del Palacio de Justicia) Vs. Colombia, </w:t>
      </w:r>
      <w:r w:rsidRPr="0009075E">
        <w:rPr>
          <w:rStyle w:val="Textoennegrita"/>
          <w:b w:val="0"/>
          <w:color w:val="000000"/>
          <w:szCs w:val="16"/>
        </w:rPr>
        <w:t xml:space="preserve">párr. 27, y </w:t>
      </w:r>
      <w:r w:rsidRPr="00D35314">
        <w:rPr>
          <w:rStyle w:val="Textoennegrita"/>
          <w:b w:val="0"/>
          <w:i/>
          <w:color w:val="000000"/>
        </w:rPr>
        <w:t>Caso Valenzuela Ávila Vs. Guatemala</w:t>
      </w:r>
      <w:r w:rsidRPr="00AC0CB7">
        <w:rPr>
          <w:rStyle w:val="Textoennegrita"/>
          <w:b w:val="0"/>
          <w:color w:val="000000"/>
        </w:rPr>
        <w:t xml:space="preserve">, párr. </w:t>
      </w:r>
      <w:r>
        <w:rPr>
          <w:rStyle w:val="Textoennegrita"/>
          <w:b w:val="0"/>
          <w:color w:val="000000"/>
        </w:rPr>
        <w:t>17</w:t>
      </w:r>
      <w:r w:rsidRPr="0009075E">
        <w:rPr>
          <w:rStyle w:val="Textoennegrita"/>
          <w:b w:val="0"/>
          <w:color w:val="000000"/>
          <w:szCs w:val="16"/>
        </w:rPr>
        <w:t xml:space="preserve">. </w:t>
      </w:r>
    </w:p>
  </w:footnote>
  <w:footnote w:id="12">
    <w:p w14:paraId="0782DD20" w14:textId="4E12EF2C" w:rsidR="007A0EF0" w:rsidRPr="00F00E22" w:rsidRDefault="007A0EF0" w:rsidP="004D44B3">
      <w:pPr>
        <w:pStyle w:val="Textonotapie"/>
        <w:spacing w:before="60" w:after="60"/>
        <w:rPr>
          <w:szCs w:val="16"/>
        </w:rPr>
      </w:pPr>
      <w:r w:rsidRPr="00F00E22">
        <w:rPr>
          <w:rStyle w:val="Refdenotaalpie"/>
          <w:szCs w:val="16"/>
        </w:rPr>
        <w:footnoteRef/>
      </w:r>
      <w:r w:rsidRPr="00F00E22">
        <w:rPr>
          <w:szCs w:val="16"/>
        </w:rPr>
        <w:t xml:space="preserve"> </w:t>
      </w:r>
      <w:r w:rsidRPr="00F00E22">
        <w:rPr>
          <w:szCs w:val="16"/>
        </w:rPr>
        <w:tab/>
      </w:r>
      <w:r w:rsidRPr="00F00E22">
        <w:rPr>
          <w:i/>
          <w:szCs w:val="16"/>
        </w:rPr>
        <w:t>Cfr. Caso Velásquez Rodríguez Vs. Honduras. Fondo.</w:t>
      </w:r>
      <w:r w:rsidRPr="00F00E22">
        <w:rPr>
          <w:szCs w:val="16"/>
        </w:rPr>
        <w:t xml:space="preserve"> Sentencia de 29 de julio de 1988. Serie C No. 4, párr. 140, y </w:t>
      </w:r>
      <w:r w:rsidRPr="00323A65">
        <w:rPr>
          <w:i/>
          <w:szCs w:val="16"/>
        </w:rPr>
        <w:t>Caso Montesinos Mejía Vs. Ecuador. Excepciones Preliminares, Fondo, Reparaciones y Costas</w:t>
      </w:r>
      <w:r w:rsidRPr="00404C7B">
        <w:rPr>
          <w:szCs w:val="16"/>
        </w:rPr>
        <w:t>. Sentencia de 27 de enero de 2020. Serie C No. 398</w:t>
      </w:r>
      <w:r w:rsidRPr="00F00E22">
        <w:rPr>
          <w:szCs w:val="16"/>
        </w:rPr>
        <w:t xml:space="preserve">, párr. </w:t>
      </w:r>
      <w:r>
        <w:rPr>
          <w:szCs w:val="16"/>
        </w:rPr>
        <w:t>42</w:t>
      </w:r>
      <w:r w:rsidRPr="00F00E22">
        <w:rPr>
          <w:szCs w:val="16"/>
        </w:rPr>
        <w:t>.</w:t>
      </w:r>
    </w:p>
  </w:footnote>
  <w:footnote w:id="13">
    <w:p w14:paraId="6FCD8A64" w14:textId="6A9C1D94" w:rsidR="007A0EF0" w:rsidRPr="00B746E0" w:rsidRDefault="007A0EF0" w:rsidP="000851BF">
      <w:pPr>
        <w:pStyle w:val="Textonotapie"/>
      </w:pPr>
      <w:r>
        <w:rPr>
          <w:rStyle w:val="Refdenotaalpie"/>
        </w:rPr>
        <w:footnoteRef/>
      </w:r>
      <w:r>
        <w:t xml:space="preserve"> </w:t>
      </w:r>
      <w:r>
        <w:tab/>
        <w:t xml:space="preserve">Estos documentos son: 1. </w:t>
      </w:r>
      <w:r w:rsidRPr="00B746E0">
        <w:t>Certificado de nacimiento de Vicente Noguera</w:t>
      </w:r>
      <w:r>
        <w:t xml:space="preserve">; 2. </w:t>
      </w:r>
      <w:r w:rsidRPr="00B746E0">
        <w:t>Certificado de nacimiento de Catherine Elizabeth Noguera</w:t>
      </w:r>
      <w:r>
        <w:t xml:space="preserve">; 3. </w:t>
      </w:r>
      <w:r w:rsidRPr="00B746E0">
        <w:t>Certificado de nacimiento de Aldo David Alcaraz Noguera</w:t>
      </w:r>
      <w:r>
        <w:t xml:space="preserve">; 4. </w:t>
      </w:r>
      <w:r w:rsidRPr="00B746E0">
        <w:t>Certificado de nacimiento de Ruth Araceli Alcaraz Noguera</w:t>
      </w:r>
      <w:r>
        <w:t xml:space="preserve">; 5. Medidas Cautelares Otorgada por la CIDH, a favor de María Noguera y Familia; 6. </w:t>
      </w:r>
      <w:r w:rsidRPr="00B746E0">
        <w:t>Declaratoria de Herederos a favor de María Noguera</w:t>
      </w:r>
      <w:r>
        <w:t xml:space="preserve">; 7. </w:t>
      </w:r>
      <w:r w:rsidRPr="000851BF">
        <w:t>Fotografía del Primer Monolito</w:t>
      </w:r>
      <w:r>
        <w:t xml:space="preserve">; 8. Fotografía de la placa de plástico con la foto Impresa de Vicente Noguera; 9. </w:t>
      </w:r>
      <w:r w:rsidRPr="000851BF">
        <w:t>Fotografía del segundo monolito</w:t>
      </w:r>
      <w:r>
        <w:t xml:space="preserve">; 10. </w:t>
      </w:r>
      <w:r w:rsidRPr="000851BF">
        <w:t>Fotografía del tercer monolito</w:t>
      </w:r>
      <w:r>
        <w:t>, y 11. Acta de compromiso para la reparación del panteón de Vicente Noguera, firmada por el Estado y las víctimas.</w:t>
      </w:r>
    </w:p>
  </w:footnote>
  <w:footnote w:id="14">
    <w:p w14:paraId="614C10F7" w14:textId="22CECA22" w:rsidR="007A0EF0" w:rsidRPr="00AB66AF" w:rsidRDefault="007A0EF0">
      <w:pPr>
        <w:pStyle w:val="Textonotapie"/>
        <w:rPr>
          <w:lang w:val="es-MX"/>
        </w:rPr>
      </w:pPr>
      <w:r>
        <w:rPr>
          <w:rStyle w:val="Refdenotaalpie"/>
        </w:rPr>
        <w:footnoteRef/>
      </w:r>
      <w:r>
        <w:t xml:space="preserve">   </w:t>
      </w:r>
      <w:r>
        <w:tab/>
      </w:r>
      <w:r w:rsidRPr="00AB66AF">
        <w:rPr>
          <w:i/>
        </w:rPr>
        <w:t>Cfr.</w:t>
      </w:r>
      <w:r w:rsidRPr="00AB66AF">
        <w:t xml:space="preserve"> </w:t>
      </w:r>
      <w:r w:rsidRPr="00404C7B">
        <w:rPr>
          <w:i/>
        </w:rPr>
        <w:t xml:space="preserve">Caso </w:t>
      </w:r>
      <w:proofErr w:type="spellStart"/>
      <w:r w:rsidRPr="00404C7B">
        <w:rPr>
          <w:i/>
        </w:rPr>
        <w:t>Barbani</w:t>
      </w:r>
      <w:proofErr w:type="spellEnd"/>
      <w:r w:rsidRPr="00404C7B">
        <w:rPr>
          <w:i/>
        </w:rPr>
        <w:t xml:space="preserve"> Duarte y otros Vs. Uruguay. Fondo, Reparaciones y costas</w:t>
      </w:r>
      <w:r w:rsidRPr="00AB66AF">
        <w:t xml:space="preserve">. Sentencia de 13 de octubre de 2011. Serie C No. 234, párr. 22, y </w:t>
      </w:r>
      <w:r w:rsidRPr="00404C7B">
        <w:rPr>
          <w:i/>
        </w:rPr>
        <w:t>Caso Montesinos Mejía Vs. Ecuador</w:t>
      </w:r>
      <w:r w:rsidRPr="00AB66AF">
        <w:t xml:space="preserve">, párr. </w:t>
      </w:r>
      <w:r>
        <w:t>43</w:t>
      </w:r>
      <w:r w:rsidRPr="00AB66AF">
        <w:t>.</w:t>
      </w:r>
    </w:p>
  </w:footnote>
  <w:footnote w:id="15">
    <w:p w14:paraId="57F6F17F" w14:textId="144C3852" w:rsidR="007A0EF0" w:rsidRPr="00DF1F0A" w:rsidRDefault="007A0EF0">
      <w:pPr>
        <w:pStyle w:val="Textonotapie"/>
      </w:pPr>
      <w:r>
        <w:rPr>
          <w:rStyle w:val="Refdenotaalpie"/>
        </w:rPr>
        <w:footnoteRef/>
      </w:r>
      <w:r>
        <w:t xml:space="preserve"> </w:t>
      </w:r>
      <w:r>
        <w:tab/>
        <w:t xml:space="preserve">Se recibieron las declaraciones de </w:t>
      </w:r>
      <w:r w:rsidRPr="00DF1F0A">
        <w:t>María Noguera</w:t>
      </w:r>
      <w:r>
        <w:t xml:space="preserve">, </w:t>
      </w:r>
      <w:r w:rsidRPr="00DF1F0A">
        <w:t xml:space="preserve">Miguel Cillero </w:t>
      </w:r>
      <w:proofErr w:type="spellStart"/>
      <w:r w:rsidRPr="00DF1F0A">
        <w:t>Bruñol</w:t>
      </w:r>
      <w:proofErr w:type="spellEnd"/>
      <w:r>
        <w:t xml:space="preserve"> y </w:t>
      </w:r>
      <w:r w:rsidRPr="00DF1F0A">
        <w:t xml:space="preserve">María Liz Cecilia García </w:t>
      </w:r>
      <w:proofErr w:type="spellStart"/>
      <w:r w:rsidRPr="00DF1F0A">
        <w:t>Frasqueri</w:t>
      </w:r>
      <w:proofErr w:type="spellEnd"/>
      <w:r>
        <w:t>.</w:t>
      </w:r>
    </w:p>
  </w:footnote>
  <w:footnote w:id="16">
    <w:p w14:paraId="0F237968" w14:textId="0D488BC3" w:rsidR="007A0EF0" w:rsidRPr="00F00E22" w:rsidRDefault="007A0EF0">
      <w:pPr>
        <w:pStyle w:val="Textonotapie"/>
        <w:spacing w:before="60" w:after="60"/>
        <w:rPr>
          <w:szCs w:val="16"/>
        </w:rPr>
      </w:pPr>
      <w:r w:rsidRPr="00F00E22">
        <w:rPr>
          <w:rStyle w:val="Refdenotaalpie"/>
          <w:szCs w:val="16"/>
        </w:rPr>
        <w:footnoteRef/>
      </w:r>
      <w:r w:rsidRPr="00F00E22">
        <w:rPr>
          <w:szCs w:val="16"/>
        </w:rPr>
        <w:t xml:space="preserve"> </w:t>
      </w:r>
      <w:r w:rsidRPr="00F00E22">
        <w:rPr>
          <w:szCs w:val="16"/>
        </w:rPr>
        <w:tab/>
      </w:r>
      <w:r w:rsidRPr="00F00E22">
        <w:rPr>
          <w:szCs w:val="16"/>
          <w:lang w:eastAsia="es-ES"/>
        </w:rPr>
        <w:t>Se recibieron las declaraciones rendidas ante fedatario público (</w:t>
      </w:r>
      <w:r w:rsidRPr="00F00E22">
        <w:rPr>
          <w:i/>
          <w:szCs w:val="16"/>
          <w:lang w:eastAsia="es-ES"/>
        </w:rPr>
        <w:t>affidavit</w:t>
      </w:r>
      <w:r>
        <w:rPr>
          <w:szCs w:val="16"/>
          <w:lang w:eastAsia="es-ES"/>
        </w:rPr>
        <w:t xml:space="preserve">) de </w:t>
      </w:r>
      <w:r>
        <w:rPr>
          <w:szCs w:val="16"/>
        </w:rPr>
        <w:t>Amalia Quintana de Florentín</w:t>
      </w:r>
      <w:r>
        <w:rPr>
          <w:szCs w:val="16"/>
          <w:lang w:eastAsia="es-ES"/>
        </w:rPr>
        <w:t xml:space="preserve"> </w:t>
      </w:r>
      <w:r>
        <w:rPr>
          <w:szCs w:val="16"/>
        </w:rPr>
        <w:t>Aldo David Alcaraz Noguera y Andrés Colman Gutiérrez</w:t>
      </w:r>
      <w:r w:rsidRPr="00F00E22">
        <w:rPr>
          <w:szCs w:val="16"/>
          <w:lang w:eastAsia="es-ES"/>
        </w:rPr>
        <w:t>.</w:t>
      </w:r>
    </w:p>
  </w:footnote>
  <w:footnote w:id="17">
    <w:p w14:paraId="43C1369E" w14:textId="3052AD55" w:rsidR="007A0EF0" w:rsidRPr="00F00E22" w:rsidRDefault="007A0EF0">
      <w:pPr>
        <w:pStyle w:val="Textonotapie"/>
        <w:spacing w:before="60" w:after="60"/>
        <w:rPr>
          <w:szCs w:val="16"/>
        </w:rPr>
      </w:pPr>
      <w:r w:rsidRPr="00F00E22">
        <w:rPr>
          <w:rStyle w:val="Refdenotaalpie"/>
          <w:szCs w:val="16"/>
        </w:rPr>
        <w:footnoteRef/>
      </w:r>
      <w:r w:rsidRPr="00F00E22">
        <w:rPr>
          <w:szCs w:val="16"/>
        </w:rPr>
        <w:t xml:space="preserve"> </w:t>
      </w:r>
      <w:r w:rsidRPr="00F00E22">
        <w:rPr>
          <w:szCs w:val="16"/>
        </w:rPr>
        <w:tab/>
      </w:r>
      <w:r w:rsidRPr="00F00E22">
        <w:rPr>
          <w:rFonts w:cs="Arial Narrow"/>
          <w:szCs w:val="16"/>
          <w:lang w:val="es-ES"/>
        </w:rPr>
        <w:t>Los</w:t>
      </w:r>
      <w:r w:rsidRPr="00F00E22">
        <w:rPr>
          <w:szCs w:val="16"/>
        </w:rPr>
        <w:t xml:space="preserve"> objetos de las declaraciones se encuentran establecido</w:t>
      </w:r>
      <w:r>
        <w:rPr>
          <w:szCs w:val="16"/>
        </w:rPr>
        <w:t>s</w:t>
      </w:r>
      <w:r w:rsidRPr="00F00E22">
        <w:rPr>
          <w:szCs w:val="16"/>
        </w:rPr>
        <w:t xml:space="preserve"> en la Resolución</w:t>
      </w:r>
      <w:r>
        <w:rPr>
          <w:szCs w:val="16"/>
        </w:rPr>
        <w:t xml:space="preserve"> del Presidente de la Corte de 16 de julio de 2019</w:t>
      </w:r>
      <w:r w:rsidRPr="00F00E22">
        <w:rPr>
          <w:szCs w:val="16"/>
        </w:rPr>
        <w:t>.</w:t>
      </w:r>
    </w:p>
  </w:footnote>
  <w:footnote w:id="18">
    <w:p w14:paraId="7198E1C9" w14:textId="2EE46CB4" w:rsidR="007A0EF0" w:rsidRPr="00F00E22" w:rsidRDefault="007A0EF0">
      <w:pPr>
        <w:pStyle w:val="Textonotapie"/>
        <w:spacing w:before="60" w:after="60"/>
        <w:rPr>
          <w:szCs w:val="16"/>
        </w:rPr>
      </w:pPr>
      <w:r w:rsidRPr="00F00E22">
        <w:rPr>
          <w:rStyle w:val="Refdenotaalpie"/>
          <w:szCs w:val="16"/>
        </w:rPr>
        <w:footnoteRef/>
      </w:r>
      <w:r w:rsidRPr="00F00E22">
        <w:rPr>
          <w:szCs w:val="16"/>
        </w:rPr>
        <w:t xml:space="preserve"> </w:t>
      </w:r>
      <w:r w:rsidRPr="00F00E22">
        <w:rPr>
          <w:szCs w:val="16"/>
        </w:rPr>
        <w:tab/>
      </w:r>
      <w:r w:rsidRPr="00F00E22">
        <w:rPr>
          <w:i/>
          <w:szCs w:val="16"/>
        </w:rPr>
        <w:t>Cfr. Caso “Cinco Pensionistas” Vs. Perú. Fondo, Reparaciones y Costas</w:t>
      </w:r>
      <w:r w:rsidRPr="00F00E22">
        <w:rPr>
          <w:szCs w:val="16"/>
        </w:rPr>
        <w:t xml:space="preserve">. Sentencia de 28 de febrero de 2003. Serie C No. 98, párr. 153, y </w:t>
      </w:r>
      <w:r>
        <w:rPr>
          <w:i/>
          <w:szCs w:val="16"/>
        </w:rPr>
        <w:t>Caso Díaz Loreto y otros Vs. Venezuela</w:t>
      </w:r>
      <w:r w:rsidRPr="00F00E22">
        <w:rPr>
          <w:i/>
          <w:szCs w:val="16"/>
        </w:rPr>
        <w:t xml:space="preserve">. </w:t>
      </w:r>
      <w:r>
        <w:rPr>
          <w:i/>
          <w:szCs w:val="16"/>
        </w:rPr>
        <w:t xml:space="preserve">Excepciones Preliminares, </w:t>
      </w:r>
      <w:r w:rsidRPr="00F00E22">
        <w:rPr>
          <w:i/>
          <w:szCs w:val="16"/>
        </w:rPr>
        <w:t>Fondo, Reparaciones y Costas</w:t>
      </w:r>
      <w:r>
        <w:rPr>
          <w:szCs w:val="16"/>
        </w:rPr>
        <w:t>. Sentencia de 19 de n</w:t>
      </w:r>
      <w:r w:rsidRPr="00F00E22">
        <w:rPr>
          <w:szCs w:val="16"/>
        </w:rPr>
        <w:t>o</w:t>
      </w:r>
      <w:r>
        <w:rPr>
          <w:szCs w:val="16"/>
        </w:rPr>
        <w:t>viembre de 2019. Serie C No. 382</w:t>
      </w:r>
      <w:r w:rsidRPr="00F00E22">
        <w:rPr>
          <w:szCs w:val="16"/>
        </w:rPr>
        <w:t>, pá</w:t>
      </w:r>
      <w:r>
        <w:rPr>
          <w:szCs w:val="16"/>
        </w:rPr>
        <w:t>rr. 28.</w:t>
      </w:r>
    </w:p>
  </w:footnote>
  <w:footnote w:id="19">
    <w:p w14:paraId="70412E48" w14:textId="607615AB" w:rsidR="007A0EF0" w:rsidRPr="00D75733" w:rsidRDefault="007A0EF0" w:rsidP="004447EF">
      <w:pPr>
        <w:pStyle w:val="Textonotapie"/>
        <w:rPr>
          <w:lang w:val="es-PE"/>
        </w:rPr>
      </w:pPr>
      <w:r w:rsidRPr="00430DFC">
        <w:rPr>
          <w:rStyle w:val="Refdenotaalpie"/>
        </w:rPr>
        <w:footnoteRef/>
      </w:r>
      <w:r w:rsidRPr="00430DFC">
        <w:t xml:space="preserve"> </w:t>
      </w:r>
      <w:r w:rsidRPr="00430DFC">
        <w:tab/>
      </w:r>
      <w:r w:rsidRPr="00430DFC">
        <w:rPr>
          <w:i/>
        </w:rPr>
        <w:t xml:space="preserve">Cfr. Caso Vargas Areco Vs. </w:t>
      </w:r>
      <w:r w:rsidRPr="00BC667C">
        <w:rPr>
          <w:i/>
        </w:rPr>
        <w:t>Paraguay</w:t>
      </w:r>
      <w:r w:rsidRPr="00BC667C">
        <w:t>. Sentencia</w:t>
      </w:r>
      <w:r w:rsidRPr="00430DFC">
        <w:t xml:space="preserve"> de 26 de se</w:t>
      </w:r>
      <w:r w:rsidR="008265F6">
        <w:t>p</w:t>
      </w:r>
      <w:r w:rsidRPr="00430DFC">
        <w:t>tiembre de 2006</w:t>
      </w:r>
      <w:r>
        <w:t xml:space="preserve">. </w:t>
      </w:r>
      <w:r w:rsidRPr="001A11AB">
        <w:t>Serie C No. 155</w:t>
      </w:r>
      <w:r>
        <w:t>, párr. 71.27.</w:t>
      </w:r>
    </w:p>
  </w:footnote>
  <w:footnote w:id="20">
    <w:p w14:paraId="04FF74CF" w14:textId="440D0FEE" w:rsidR="007A0EF0" w:rsidRPr="00CC2AA7" w:rsidRDefault="007A0EF0" w:rsidP="000E2652">
      <w:pPr>
        <w:pStyle w:val="Textonotapie"/>
        <w:rPr>
          <w:lang w:val="es-PE"/>
        </w:rPr>
      </w:pPr>
      <w:r>
        <w:rPr>
          <w:rStyle w:val="Refdenotaalpie"/>
        </w:rPr>
        <w:footnoteRef/>
      </w:r>
      <w:r w:rsidRPr="00CC2AA7">
        <w:rPr>
          <w:lang w:val="es-PE"/>
        </w:rPr>
        <w:t xml:space="preserve"> </w:t>
      </w:r>
      <w:r w:rsidRPr="00CC2AA7">
        <w:rPr>
          <w:lang w:val="es-PE"/>
        </w:rPr>
        <w:tab/>
      </w:r>
      <w:r w:rsidRPr="007F4688">
        <w:rPr>
          <w:i/>
          <w:lang w:val="es-PE"/>
        </w:rPr>
        <w:t>Cfr.</w:t>
      </w:r>
      <w:r>
        <w:rPr>
          <w:lang w:val="es-PE"/>
        </w:rPr>
        <w:t xml:space="preserve"> Naciones Unidas, </w:t>
      </w:r>
      <w:r w:rsidRPr="00CC2AA7">
        <w:rPr>
          <w:lang w:val="es-PE"/>
        </w:rPr>
        <w:t>Comité contra la Tortura. Conclusiones y recomendaciones</w:t>
      </w:r>
      <w:r>
        <w:rPr>
          <w:lang w:val="es-PE"/>
        </w:rPr>
        <w:t>.</w:t>
      </w:r>
      <w:r w:rsidRPr="00CC2AA7">
        <w:rPr>
          <w:lang w:val="es-PE"/>
        </w:rPr>
        <w:t xml:space="preserve"> A/55/44, 10 de mayo de 2000,</w:t>
      </w:r>
      <w:r>
        <w:rPr>
          <w:lang w:val="es-PE"/>
        </w:rPr>
        <w:t xml:space="preserve"> </w:t>
      </w:r>
      <w:proofErr w:type="spellStart"/>
      <w:r w:rsidRPr="00CC2AA7">
        <w:rPr>
          <w:lang w:val="es-PE"/>
        </w:rPr>
        <w:t>párrs</w:t>
      </w:r>
      <w:proofErr w:type="spellEnd"/>
      <w:r w:rsidRPr="00CC2AA7">
        <w:rPr>
          <w:lang w:val="es-PE"/>
        </w:rPr>
        <w:t>.</w:t>
      </w:r>
      <w:r>
        <w:rPr>
          <w:lang w:val="es-PE"/>
        </w:rPr>
        <w:t xml:space="preserve"> </w:t>
      </w:r>
      <w:r w:rsidRPr="00CC2AA7">
        <w:rPr>
          <w:lang w:val="es-PE"/>
        </w:rPr>
        <w:t>146</w:t>
      </w:r>
      <w:r>
        <w:rPr>
          <w:lang w:val="es-PE"/>
        </w:rPr>
        <w:t xml:space="preserve"> a </w:t>
      </w:r>
      <w:r w:rsidRPr="00CC2AA7">
        <w:rPr>
          <w:lang w:val="es-PE"/>
        </w:rPr>
        <w:t>151</w:t>
      </w:r>
      <w:r>
        <w:rPr>
          <w:lang w:val="es-PE"/>
        </w:rPr>
        <w:t>.</w:t>
      </w:r>
    </w:p>
  </w:footnote>
  <w:footnote w:id="21">
    <w:p w14:paraId="5730E2AB" w14:textId="44290829" w:rsidR="007A0EF0" w:rsidRPr="00280D3A" w:rsidRDefault="007A0EF0" w:rsidP="000E2652">
      <w:pPr>
        <w:pStyle w:val="Textonotapie"/>
        <w:rPr>
          <w:lang w:val="es-CR"/>
        </w:rPr>
      </w:pPr>
      <w:r>
        <w:rPr>
          <w:rStyle w:val="Refdenotaalpie"/>
        </w:rPr>
        <w:footnoteRef/>
      </w:r>
      <w:r>
        <w:t xml:space="preserve"> </w:t>
      </w:r>
      <w:r>
        <w:rPr>
          <w:lang w:val="es-CR"/>
        </w:rPr>
        <w:tab/>
      </w:r>
      <w:r w:rsidRPr="007F4688">
        <w:rPr>
          <w:i/>
          <w:lang w:val="es-PE"/>
        </w:rPr>
        <w:t>Cfr.</w:t>
      </w:r>
      <w:r>
        <w:rPr>
          <w:lang w:val="es-PE"/>
        </w:rPr>
        <w:t xml:space="preserve"> Naciones Unidas, </w:t>
      </w:r>
      <w:r>
        <w:t xml:space="preserve">Comité de los Derechos del Niño. </w:t>
      </w:r>
      <w:r>
        <w:rPr>
          <w:i/>
        </w:rPr>
        <w:t>Examen de los informes presentados por los Estados con arreglo al artículo 44 de la Convención sobre los Derechos del Niño. Informe del Paraguay</w:t>
      </w:r>
      <w:r>
        <w:t>. CRC/C/65/Add.12, de 15 de marzo de 2001.</w:t>
      </w:r>
    </w:p>
  </w:footnote>
  <w:footnote w:id="22">
    <w:p w14:paraId="237BE660" w14:textId="1CD4116E" w:rsidR="007A0EF0" w:rsidRPr="000476AA" w:rsidRDefault="007A0EF0" w:rsidP="000E2652">
      <w:pPr>
        <w:pStyle w:val="Textonotapie"/>
        <w:rPr>
          <w:lang w:val="es-PE"/>
        </w:rPr>
      </w:pPr>
      <w:r>
        <w:rPr>
          <w:rStyle w:val="Refdenotaalpie"/>
        </w:rPr>
        <w:footnoteRef/>
      </w:r>
      <w:r>
        <w:t xml:space="preserve"> </w:t>
      </w:r>
      <w:r>
        <w:rPr>
          <w:lang w:val="es-PE"/>
        </w:rPr>
        <w:tab/>
      </w:r>
      <w:r w:rsidRPr="007F4688">
        <w:rPr>
          <w:i/>
          <w:lang w:val="es-PE"/>
        </w:rPr>
        <w:t>Cfr.</w:t>
      </w:r>
      <w:r>
        <w:rPr>
          <w:lang w:val="es-PE"/>
        </w:rPr>
        <w:t xml:space="preserve"> Naciones Unidas, </w:t>
      </w:r>
      <w:r w:rsidRPr="00CC2AA7">
        <w:rPr>
          <w:lang w:val="es-PE"/>
        </w:rPr>
        <w:t>Comité de Derechos</w:t>
      </w:r>
      <w:r>
        <w:rPr>
          <w:lang w:val="es-PE"/>
        </w:rPr>
        <w:t xml:space="preserve"> </w:t>
      </w:r>
      <w:r w:rsidRPr="00CC2AA7">
        <w:rPr>
          <w:lang w:val="es-PE"/>
        </w:rPr>
        <w:t>Humanos. Examen de los informes presentados por los Estados</w:t>
      </w:r>
      <w:r>
        <w:rPr>
          <w:lang w:val="es-PE"/>
        </w:rPr>
        <w:t xml:space="preserve"> </w:t>
      </w:r>
      <w:r w:rsidRPr="00CC2AA7">
        <w:rPr>
          <w:lang w:val="es-PE"/>
        </w:rPr>
        <w:t>Partes con arreglo al artículo 40 del Pacto.</w:t>
      </w:r>
      <w:r>
        <w:rPr>
          <w:lang w:val="es-PE"/>
        </w:rPr>
        <w:t xml:space="preserve"> </w:t>
      </w:r>
      <w:r w:rsidRPr="00CC2AA7">
        <w:rPr>
          <w:lang w:val="es-PE"/>
        </w:rPr>
        <w:t xml:space="preserve">CCPR/C/PRY /C0/2, </w:t>
      </w:r>
      <w:r>
        <w:rPr>
          <w:lang w:val="es-PE"/>
        </w:rPr>
        <w:t xml:space="preserve">de </w:t>
      </w:r>
      <w:r w:rsidRPr="00CC2AA7">
        <w:rPr>
          <w:lang w:val="es-PE"/>
        </w:rPr>
        <w:t>24 de abril de 2006, párr. 14</w:t>
      </w:r>
      <w:r>
        <w:rPr>
          <w:lang w:val="es-PE"/>
        </w:rPr>
        <w:t>.</w:t>
      </w:r>
    </w:p>
  </w:footnote>
  <w:footnote w:id="23">
    <w:p w14:paraId="01748F44" w14:textId="58219EC0" w:rsidR="007A0EF0" w:rsidRPr="00CC2AA7" w:rsidRDefault="007A0EF0" w:rsidP="000B5EA0">
      <w:pPr>
        <w:pStyle w:val="Textonotapie"/>
        <w:rPr>
          <w:lang w:val="es-PE"/>
        </w:rPr>
      </w:pPr>
      <w:r>
        <w:rPr>
          <w:rStyle w:val="Refdenotaalpie"/>
        </w:rPr>
        <w:footnoteRef/>
      </w:r>
      <w:r>
        <w:t xml:space="preserve"> </w:t>
      </w:r>
      <w:r>
        <w:rPr>
          <w:lang w:val="es-PE"/>
        </w:rPr>
        <w:tab/>
      </w:r>
      <w:r w:rsidRPr="007F4688">
        <w:rPr>
          <w:i/>
          <w:lang w:val="es-PE"/>
        </w:rPr>
        <w:t xml:space="preserve">Cfr. </w:t>
      </w:r>
      <w:r>
        <w:rPr>
          <w:lang w:val="es-PE"/>
        </w:rPr>
        <w:t>Naciones Unidas,</w:t>
      </w:r>
      <w:r w:rsidRPr="00CC2AA7">
        <w:rPr>
          <w:lang w:val="es-PE"/>
        </w:rPr>
        <w:t xml:space="preserve"> Comité de los Derechos del Niño. Observaciones finales sobre el informe inicial presentado por el Paraguay en virtud del art</w:t>
      </w:r>
      <w:r>
        <w:rPr>
          <w:lang w:val="es-PE"/>
        </w:rPr>
        <w:t>ículo 8 del Protocolo facultativo de la Convención sobre los derechos del Niño relativo a la participación de niños en los conflictos armados</w:t>
      </w:r>
      <w:r w:rsidRPr="00CC2AA7">
        <w:rPr>
          <w:lang w:val="es-PE"/>
        </w:rPr>
        <w:t xml:space="preserve">. CRC/C/OPAC/PRY/C0/1, de </w:t>
      </w:r>
      <w:r>
        <w:rPr>
          <w:lang w:val="es-PE"/>
        </w:rPr>
        <w:t>25 de octubre de 2013, párr.14.</w:t>
      </w:r>
    </w:p>
  </w:footnote>
  <w:footnote w:id="24">
    <w:p w14:paraId="6FA8D23B" w14:textId="014ABC97" w:rsidR="007A0EF0" w:rsidRPr="001627CA" w:rsidRDefault="007A0EF0" w:rsidP="000B5EA0">
      <w:pPr>
        <w:pStyle w:val="Textonotapie"/>
        <w:rPr>
          <w:lang w:val="es-PE"/>
        </w:rPr>
      </w:pPr>
      <w:r>
        <w:rPr>
          <w:rStyle w:val="Refdenotaalpie"/>
        </w:rPr>
        <w:footnoteRef/>
      </w:r>
      <w:r>
        <w:t xml:space="preserve"> </w:t>
      </w:r>
      <w:r>
        <w:tab/>
      </w:r>
      <w:r w:rsidRPr="007F4688">
        <w:rPr>
          <w:i/>
        </w:rPr>
        <w:t>Cfr.</w:t>
      </w:r>
      <w:r>
        <w:t xml:space="preserve"> Informe alternativo al primer informe del Estado Paraguayo sobre Protocolo Facultativo de la Convención de Derechos del Niño sobre Participación de Niños en Conflictos Armados, presentado por Plan Paraguay y la Coordinadora por los Derechos de la Infancia y la Adolescencia </w:t>
      </w:r>
      <w:r w:rsidRPr="001627CA">
        <w:t>(CDIA)</w:t>
      </w:r>
      <w:r>
        <w:t>, j</w:t>
      </w:r>
      <w:r w:rsidRPr="001627CA">
        <w:t>ulio de 2012, p</w:t>
      </w:r>
      <w:r>
        <w:t>ágina</w:t>
      </w:r>
      <w:r w:rsidRPr="001627CA">
        <w:t>.9.</w:t>
      </w:r>
    </w:p>
  </w:footnote>
  <w:footnote w:id="25">
    <w:p w14:paraId="78D770B9" w14:textId="5DADC659" w:rsidR="007A0EF0" w:rsidRPr="00404C7B" w:rsidRDefault="007A0EF0">
      <w:pPr>
        <w:pStyle w:val="Textonotapie"/>
        <w:rPr>
          <w:lang w:val="es-CR"/>
        </w:rPr>
      </w:pPr>
      <w:r>
        <w:rPr>
          <w:rStyle w:val="Refdenotaalpie"/>
        </w:rPr>
        <w:footnoteRef/>
      </w:r>
      <w:r>
        <w:t xml:space="preserve"> </w:t>
      </w:r>
      <w:r>
        <w:rPr>
          <w:lang w:val="es-CR"/>
        </w:rPr>
        <w:tab/>
      </w:r>
      <w:r w:rsidRPr="00404C7B">
        <w:rPr>
          <w:i/>
          <w:lang w:val="es-CR"/>
        </w:rPr>
        <w:t>Cfr.</w:t>
      </w:r>
      <w:r>
        <w:rPr>
          <w:lang w:val="es-CR"/>
        </w:rPr>
        <w:t xml:space="preserve"> Dirección del Servicio de reclutamiento y Movilización, oficio de 18 de enero de 1996 en el cual se indica que su fecha de reclutamiento fue el 1 de diciembre de 1994 (expediente de prueba, folio 1783), y Boleta de Inscripción del servicio de Reclutamiento e inscripción No 016303/660 de 19 de septiembre de 1994 (expediente de prueba, folio 67). Del mismo modo, Ministerio de Salud Pública y Bienestar Social, XIV Región, Certificado de 7 de noviembre de 1994, en la cual consta que Vicente no revelaba manifestación de enfermedad infecto contagiosa, física ni mental (expediente de prueba, folio 3205).</w:t>
      </w:r>
    </w:p>
  </w:footnote>
  <w:footnote w:id="26">
    <w:p w14:paraId="496C5398" w14:textId="23DBB461" w:rsidR="007A0EF0" w:rsidRPr="00BE184D" w:rsidRDefault="007A0EF0">
      <w:pPr>
        <w:pStyle w:val="Textonotapie"/>
      </w:pPr>
      <w:r>
        <w:rPr>
          <w:rStyle w:val="Refdenotaalpie"/>
        </w:rPr>
        <w:footnoteRef/>
      </w:r>
      <w:r>
        <w:t xml:space="preserve"> </w:t>
      </w:r>
      <w:r>
        <w:tab/>
      </w:r>
      <w:r w:rsidRPr="00466058">
        <w:rPr>
          <w:i/>
          <w:lang w:val="es-CR"/>
        </w:rPr>
        <w:t>Cfr.</w:t>
      </w:r>
      <w:r>
        <w:rPr>
          <w:lang w:val="es-CR"/>
        </w:rPr>
        <w:t xml:space="preserve"> </w:t>
      </w:r>
      <w:r>
        <w:t>Poder Judicial, Expediente Judicial: “Vicente Ariel Noguera s/ venia para CIMEFOR”, No. 722, año 1994 (expediente de prueba, folios 3209 y 3210).</w:t>
      </w:r>
    </w:p>
  </w:footnote>
  <w:footnote w:id="27">
    <w:p w14:paraId="6A2CCBBD" w14:textId="77777777" w:rsidR="007A0EF0" w:rsidRPr="0067098D" w:rsidRDefault="007A0EF0" w:rsidP="008D1859">
      <w:pPr>
        <w:pStyle w:val="Textonotapie"/>
        <w:rPr>
          <w:lang w:val="es-AR"/>
        </w:rPr>
      </w:pPr>
      <w:r>
        <w:rPr>
          <w:rStyle w:val="Refdenotaalpie"/>
        </w:rPr>
        <w:footnoteRef/>
      </w:r>
      <w:r w:rsidRPr="0067098D">
        <w:rPr>
          <w:lang w:val="es-AR"/>
        </w:rPr>
        <w:t xml:space="preserve"> </w:t>
      </w:r>
      <w:r>
        <w:rPr>
          <w:lang w:val="es-AR"/>
        </w:rPr>
        <w:tab/>
      </w:r>
      <w:r w:rsidRPr="002D6670">
        <w:rPr>
          <w:i/>
          <w:lang w:val="es-AR"/>
        </w:rPr>
        <w:t>Cfr.</w:t>
      </w:r>
      <w:r>
        <w:rPr>
          <w:lang w:val="es-AR"/>
        </w:rPr>
        <w:t xml:space="preserve"> Término utilizado en la jerga militar de Paraguay para referirse a malos tratos y tratos crueles, inhumanos o degradantes por parte de los superiores (</w:t>
      </w:r>
      <w:r w:rsidRPr="009C137A">
        <w:rPr>
          <w:i/>
          <w:lang w:val="es-AR"/>
        </w:rPr>
        <w:t>Cfr.</w:t>
      </w:r>
      <w:r>
        <w:rPr>
          <w:lang w:val="es-AR"/>
        </w:rPr>
        <w:t xml:space="preserve"> Escrito de Solicitudes, Argumentos y Pruebas, folio 121).</w:t>
      </w:r>
    </w:p>
  </w:footnote>
  <w:footnote w:id="28">
    <w:p w14:paraId="3F172314" w14:textId="6668528F" w:rsidR="007A0EF0" w:rsidRPr="00232F5E" w:rsidRDefault="007A0EF0">
      <w:pPr>
        <w:pStyle w:val="Textonotapie"/>
      </w:pPr>
      <w:r>
        <w:rPr>
          <w:rStyle w:val="Refdenotaalpie"/>
        </w:rPr>
        <w:footnoteRef/>
      </w:r>
      <w:r>
        <w:t xml:space="preserve"> </w:t>
      </w:r>
      <w:r>
        <w:tab/>
      </w:r>
      <w:r w:rsidRPr="00404C7B">
        <w:rPr>
          <w:i/>
        </w:rPr>
        <w:t>Cfr.</w:t>
      </w:r>
      <w:r>
        <w:t xml:space="preserve"> Petición inicial de 19 de septiembre de 2000 (expediente de prueba, folios 1777 y </w:t>
      </w:r>
      <w:proofErr w:type="spellStart"/>
      <w:r>
        <w:t>ss</w:t>
      </w:r>
      <w:proofErr w:type="spellEnd"/>
      <w:r>
        <w:t xml:space="preserve">). </w:t>
      </w:r>
    </w:p>
  </w:footnote>
  <w:footnote w:id="29">
    <w:p w14:paraId="65EED9E5" w14:textId="189F5B36" w:rsidR="007A0EF0" w:rsidRPr="00DF4F41" w:rsidRDefault="007A0EF0" w:rsidP="00F54F0F">
      <w:pPr>
        <w:pStyle w:val="Textonotapie"/>
        <w:rPr>
          <w:szCs w:val="16"/>
          <w:lang w:val="es-AR"/>
        </w:rPr>
      </w:pPr>
      <w:r w:rsidRPr="006B78A7">
        <w:rPr>
          <w:rStyle w:val="Refdenotaalpie"/>
        </w:rPr>
        <w:footnoteRef/>
      </w:r>
      <w:r w:rsidRPr="006B78A7">
        <w:rPr>
          <w:lang w:val="es-AR"/>
        </w:rPr>
        <w:t xml:space="preserve"> </w:t>
      </w:r>
      <w:r w:rsidRPr="006B78A7">
        <w:rPr>
          <w:lang w:val="es-AR"/>
        </w:rPr>
        <w:tab/>
      </w:r>
      <w:r w:rsidRPr="006B78A7">
        <w:rPr>
          <w:i/>
          <w:lang w:val="es-AR"/>
        </w:rPr>
        <w:t>Cfr.</w:t>
      </w:r>
      <w:r w:rsidRPr="006B78A7">
        <w:rPr>
          <w:lang w:val="es-AR"/>
        </w:rPr>
        <w:t xml:space="preserve"> </w:t>
      </w:r>
      <w:r w:rsidRPr="00404C7B">
        <w:rPr>
          <w:lang w:val="es-CR"/>
        </w:rPr>
        <w:t>Boleta de Inscripción del servicio de Reclutamiento e inscripción No</w:t>
      </w:r>
      <w:r>
        <w:rPr>
          <w:lang w:val="es-CR"/>
        </w:rPr>
        <w:t>.</w:t>
      </w:r>
      <w:r w:rsidRPr="00404C7B">
        <w:rPr>
          <w:lang w:val="es-CR"/>
        </w:rPr>
        <w:t xml:space="preserve"> 016303/660 de 19 de septiembre de 1994 (expediente de prueba, folio 67), y </w:t>
      </w:r>
      <w:r w:rsidRPr="006B78A7">
        <w:rPr>
          <w:lang w:val="es-AR"/>
        </w:rPr>
        <w:t xml:space="preserve">Dirección de Servicios de Inteligencia y Movilización, Oficio de </w:t>
      </w:r>
      <w:r w:rsidRPr="006B78A7">
        <w:rPr>
          <w:szCs w:val="16"/>
          <w:lang w:val="es-AR"/>
        </w:rPr>
        <w:t xml:space="preserve">18 de enero de 1996 en el cual se indica que </w:t>
      </w:r>
      <w:r>
        <w:rPr>
          <w:szCs w:val="16"/>
          <w:lang w:val="es-AR"/>
        </w:rPr>
        <w:t>un</w:t>
      </w:r>
      <w:r w:rsidRPr="006B78A7">
        <w:rPr>
          <w:szCs w:val="16"/>
          <w:lang w:val="es-AR"/>
        </w:rPr>
        <w:t xml:space="preserve"> examen médico tuvo lugar el 3 de mayo de 1995 y que fue declarado apto (expediente de prueba, foja 1783).</w:t>
      </w:r>
      <w:r w:rsidRPr="006B78A7">
        <w:rPr>
          <w:lang w:val="es-CR"/>
        </w:rPr>
        <w:t xml:space="preserve"> </w:t>
      </w:r>
      <w:r>
        <w:rPr>
          <w:lang w:val="es-CR"/>
        </w:rPr>
        <w:t>Del mismo modo, Ministerio de Salud Pública y Bienestar Social, XIV Región, Certificado de 7 de noviembre de 1994, en la cual consta que Vicente no revelaba manifestación de enfermedad infecto contagiosa, física ni mental (expediente de prueba, folio 3205).</w:t>
      </w:r>
    </w:p>
  </w:footnote>
  <w:footnote w:id="30">
    <w:p w14:paraId="3ACFD25C" w14:textId="11CCF48D" w:rsidR="007A0EF0" w:rsidRPr="00DF4F41" w:rsidRDefault="007A0EF0" w:rsidP="00F54F0F">
      <w:pPr>
        <w:pStyle w:val="Textonotapie"/>
        <w:rPr>
          <w:szCs w:val="16"/>
          <w:lang w:val="es-AR"/>
        </w:rPr>
      </w:pPr>
      <w:r w:rsidRPr="00DF4F41">
        <w:rPr>
          <w:rStyle w:val="Refdenotaalpie"/>
          <w:szCs w:val="16"/>
        </w:rPr>
        <w:footnoteRef/>
      </w:r>
      <w:r w:rsidRPr="00DF4F41">
        <w:rPr>
          <w:szCs w:val="16"/>
          <w:lang w:val="es-AR"/>
        </w:rPr>
        <w:t xml:space="preserve"> </w:t>
      </w:r>
      <w:r>
        <w:rPr>
          <w:szCs w:val="16"/>
          <w:lang w:val="es-AR"/>
        </w:rPr>
        <w:tab/>
      </w:r>
      <w:r w:rsidRPr="002D6670">
        <w:rPr>
          <w:i/>
          <w:lang w:val="es-AR"/>
        </w:rPr>
        <w:t>Cfr.</w:t>
      </w:r>
      <w:r>
        <w:rPr>
          <w:lang w:val="es-AR"/>
        </w:rPr>
        <w:t xml:space="preserve"> </w:t>
      </w:r>
      <w:r w:rsidRPr="00DF4F41">
        <w:rPr>
          <w:szCs w:val="16"/>
          <w:lang w:val="es-AR"/>
        </w:rPr>
        <w:t xml:space="preserve">Informe del Teniente Coronel </w:t>
      </w:r>
      <w:r>
        <w:rPr>
          <w:szCs w:val="16"/>
          <w:lang w:val="es-AR"/>
        </w:rPr>
        <w:t>P.E.</w:t>
      </w:r>
      <w:r w:rsidRPr="00DF4F41">
        <w:rPr>
          <w:szCs w:val="16"/>
          <w:lang w:val="es-AR"/>
        </w:rPr>
        <w:t xml:space="preserve"> de 11 de enero de 1996 (expediente de prueba, folio 1785).</w:t>
      </w:r>
    </w:p>
  </w:footnote>
  <w:footnote w:id="31">
    <w:p w14:paraId="51C5D489" w14:textId="280260CF" w:rsidR="007A0EF0" w:rsidRPr="00420696" w:rsidRDefault="007A0EF0" w:rsidP="00F54F0F">
      <w:pPr>
        <w:pStyle w:val="Textonotapie"/>
        <w:rPr>
          <w:szCs w:val="16"/>
          <w:lang w:val="es-AR"/>
        </w:rPr>
      </w:pPr>
      <w:r w:rsidRPr="00420696">
        <w:rPr>
          <w:rStyle w:val="Refdenotaalpie"/>
          <w:szCs w:val="16"/>
        </w:rPr>
        <w:footnoteRef/>
      </w:r>
      <w:r w:rsidRPr="00420696">
        <w:rPr>
          <w:szCs w:val="16"/>
          <w:lang w:val="es-AR"/>
        </w:rPr>
        <w:t xml:space="preserve"> </w:t>
      </w:r>
      <w:r w:rsidRPr="00420696">
        <w:rPr>
          <w:szCs w:val="16"/>
          <w:lang w:val="es-AR"/>
        </w:rPr>
        <w:tab/>
      </w:r>
      <w:r w:rsidRPr="00420696">
        <w:rPr>
          <w:i/>
          <w:lang w:val="es-AR"/>
        </w:rPr>
        <w:t>Cfr.</w:t>
      </w:r>
      <w:r w:rsidRPr="00420696">
        <w:rPr>
          <w:lang w:val="es-AR"/>
        </w:rPr>
        <w:t xml:space="preserve"> </w:t>
      </w:r>
      <w:r w:rsidRPr="00420696">
        <w:rPr>
          <w:szCs w:val="16"/>
          <w:lang w:val="es-AR"/>
        </w:rPr>
        <w:t>Querella criminal presentada por María Noguera</w:t>
      </w:r>
      <w:r>
        <w:rPr>
          <w:szCs w:val="16"/>
          <w:lang w:val="es-AR"/>
        </w:rPr>
        <w:t xml:space="preserve"> </w:t>
      </w:r>
      <w:r w:rsidRPr="00D25DA8">
        <w:rPr>
          <w:lang w:val="es-PE"/>
        </w:rPr>
        <w:t>el 6 de setiembre de 1996</w:t>
      </w:r>
      <w:r w:rsidRPr="00420696">
        <w:rPr>
          <w:szCs w:val="16"/>
          <w:lang w:val="es-AR"/>
        </w:rPr>
        <w:t xml:space="preserve"> (expediente de prueba, folio</w:t>
      </w:r>
      <w:r>
        <w:rPr>
          <w:szCs w:val="16"/>
          <w:lang w:val="es-AR"/>
        </w:rPr>
        <w:t>s</w:t>
      </w:r>
      <w:r w:rsidRPr="00420696">
        <w:rPr>
          <w:szCs w:val="16"/>
          <w:lang w:val="es-AR"/>
        </w:rPr>
        <w:t xml:space="preserve"> 1790</w:t>
      </w:r>
      <w:r>
        <w:rPr>
          <w:szCs w:val="16"/>
          <w:lang w:val="es-AR"/>
        </w:rPr>
        <w:t xml:space="preserve"> y </w:t>
      </w:r>
      <w:proofErr w:type="spellStart"/>
      <w:r>
        <w:rPr>
          <w:szCs w:val="16"/>
          <w:lang w:val="es-AR"/>
        </w:rPr>
        <w:t>ss</w:t>
      </w:r>
      <w:proofErr w:type="spellEnd"/>
      <w:r w:rsidRPr="00420696">
        <w:rPr>
          <w:szCs w:val="16"/>
          <w:lang w:val="es-AR"/>
        </w:rPr>
        <w:t>).</w:t>
      </w:r>
    </w:p>
  </w:footnote>
  <w:footnote w:id="32">
    <w:p w14:paraId="2D775FB1" w14:textId="5E0BBAB5" w:rsidR="007A0EF0" w:rsidRPr="00420696" w:rsidRDefault="007A0EF0" w:rsidP="00F54F0F">
      <w:pPr>
        <w:autoSpaceDE w:val="0"/>
        <w:autoSpaceDN w:val="0"/>
        <w:adjustRightInd w:val="0"/>
        <w:rPr>
          <w:sz w:val="16"/>
          <w:szCs w:val="16"/>
          <w:lang w:val="es-AR"/>
        </w:rPr>
      </w:pPr>
      <w:r w:rsidRPr="00420696">
        <w:rPr>
          <w:rStyle w:val="Refdenotaalpie"/>
          <w:sz w:val="16"/>
          <w:szCs w:val="16"/>
        </w:rPr>
        <w:footnoteRef/>
      </w:r>
      <w:r w:rsidRPr="00420696">
        <w:rPr>
          <w:sz w:val="16"/>
          <w:szCs w:val="16"/>
          <w:lang w:val="es-AR"/>
        </w:rPr>
        <w:t xml:space="preserve"> </w:t>
      </w:r>
      <w:r w:rsidRPr="00420696">
        <w:rPr>
          <w:sz w:val="16"/>
          <w:szCs w:val="16"/>
          <w:lang w:val="es-AR"/>
        </w:rPr>
        <w:tab/>
      </w:r>
      <w:r w:rsidRPr="00420696">
        <w:rPr>
          <w:i/>
          <w:sz w:val="16"/>
          <w:szCs w:val="16"/>
          <w:lang w:val="es-AR"/>
        </w:rPr>
        <w:t>Cfr.</w:t>
      </w:r>
      <w:r w:rsidRPr="00420696">
        <w:rPr>
          <w:lang w:val="es-AR"/>
        </w:rPr>
        <w:t xml:space="preserve"> </w:t>
      </w:r>
      <w:r w:rsidRPr="00420696">
        <w:rPr>
          <w:rFonts w:cs="Times New Roman"/>
          <w:sz w:val="16"/>
          <w:szCs w:val="16"/>
          <w:lang w:val="es-AR"/>
        </w:rPr>
        <w:t>Declaraciones de los cabos aspirantes ante el Juez de Instrucción Militar del Primer Turno (expediente de prueba, folios 1795 a 1900).</w:t>
      </w:r>
    </w:p>
  </w:footnote>
  <w:footnote w:id="33">
    <w:p w14:paraId="5E4110AC" w14:textId="597A6930" w:rsidR="007A0EF0" w:rsidRPr="00420696" w:rsidRDefault="007A0EF0">
      <w:pPr>
        <w:pStyle w:val="Textonotapie"/>
      </w:pPr>
      <w:r w:rsidRPr="00420696">
        <w:rPr>
          <w:rStyle w:val="Refdenotaalpie"/>
        </w:rPr>
        <w:footnoteRef/>
      </w:r>
      <w:r w:rsidRPr="00420696">
        <w:t xml:space="preserve"> </w:t>
      </w:r>
      <w:r w:rsidRPr="00420696">
        <w:tab/>
        <w:t>Informe del Teniente H.A. de 11 de enero de 1996 (expediente de prueba, folio 216).</w:t>
      </w:r>
    </w:p>
  </w:footnote>
  <w:footnote w:id="34">
    <w:p w14:paraId="579ECD8F" w14:textId="0367E944" w:rsidR="007A0EF0" w:rsidRPr="00767DD2" w:rsidRDefault="007A0EF0" w:rsidP="00F54F0F">
      <w:pPr>
        <w:pStyle w:val="Textonotapie"/>
        <w:rPr>
          <w:lang w:val="es-CR"/>
        </w:rPr>
      </w:pPr>
      <w:r w:rsidRPr="00420696">
        <w:rPr>
          <w:rStyle w:val="Refdenotaalpie"/>
        </w:rPr>
        <w:footnoteRef/>
      </w:r>
      <w:r w:rsidRPr="00420696">
        <w:t xml:space="preserve"> </w:t>
      </w:r>
      <w:r w:rsidRPr="00420696">
        <w:rPr>
          <w:lang w:val="es-MX"/>
        </w:rPr>
        <w:t xml:space="preserve"> </w:t>
      </w:r>
      <w:r w:rsidRPr="00420696">
        <w:rPr>
          <w:lang w:val="es-MX"/>
        </w:rPr>
        <w:tab/>
      </w:r>
      <w:r w:rsidRPr="00420696">
        <w:rPr>
          <w:i/>
          <w:lang w:val="es-MX"/>
        </w:rPr>
        <w:t>Cfr.</w:t>
      </w:r>
      <w:r w:rsidRPr="00420696">
        <w:rPr>
          <w:lang w:val="es-MX"/>
        </w:rPr>
        <w:t xml:space="preserve"> </w:t>
      </w:r>
      <w:r w:rsidRPr="00420696">
        <w:rPr>
          <w:szCs w:val="16"/>
          <w:lang w:val="es-AR"/>
        </w:rPr>
        <w:t xml:space="preserve">Informe del Teniente Coronel P.E. de 11 de enero de 1996 (expediente de prueba, folio 1785) e </w:t>
      </w:r>
      <w:r w:rsidRPr="00420696">
        <w:t>Informe del Teniente H.A. de 11 de enero de 1996 (expediente de prueba, folio 216)</w:t>
      </w:r>
      <w:r w:rsidRPr="00420696">
        <w:rPr>
          <w:szCs w:val="16"/>
        </w:rPr>
        <w:t>.</w:t>
      </w:r>
    </w:p>
  </w:footnote>
  <w:footnote w:id="35">
    <w:p w14:paraId="7686C6B0" w14:textId="6251CB01" w:rsidR="007A0EF0" w:rsidRPr="009063EC" w:rsidRDefault="007A0EF0" w:rsidP="00A95D92">
      <w:pPr>
        <w:pStyle w:val="Textonotapie"/>
      </w:pPr>
      <w:r>
        <w:rPr>
          <w:rStyle w:val="Refdenotaalpie"/>
        </w:rPr>
        <w:footnoteRef/>
      </w:r>
      <w:r>
        <w:t xml:space="preserve"> </w:t>
      </w:r>
      <w:r>
        <w:tab/>
      </w:r>
      <w:r w:rsidRPr="00404C7B">
        <w:rPr>
          <w:i/>
        </w:rPr>
        <w:t>Cfr.</w:t>
      </w:r>
      <w:r>
        <w:t xml:space="preserve"> Comando en jefe de las Fuerzas Armadas de la Nación, Expediente “Sumario administrativo instruido en averiguación de la causa de fallecimiento del cabo aspirante Vicente Ariel Noguera del centro No. 3 de la CIMEFOR, con asiento en </w:t>
      </w:r>
      <w:proofErr w:type="spellStart"/>
      <w:r>
        <w:t>Mcal</w:t>
      </w:r>
      <w:proofErr w:type="spellEnd"/>
      <w:r>
        <w:t xml:space="preserve">. Estigarribia” (expediente de prueba, folio 3214). </w:t>
      </w:r>
    </w:p>
  </w:footnote>
  <w:footnote w:id="36">
    <w:p w14:paraId="5103A3FA" w14:textId="2AEF8B35" w:rsidR="007A0EF0" w:rsidRPr="00826F02" w:rsidRDefault="007A0EF0" w:rsidP="00826F02">
      <w:pPr>
        <w:pStyle w:val="Textonotapie"/>
        <w:rPr>
          <w:lang w:val="es-CR"/>
        </w:rPr>
      </w:pPr>
      <w:r>
        <w:rPr>
          <w:rStyle w:val="Refdenotaalpie"/>
        </w:rPr>
        <w:footnoteRef/>
      </w:r>
      <w:r>
        <w:t xml:space="preserve"> </w:t>
      </w:r>
      <w:r>
        <w:rPr>
          <w:lang w:val="es-MX"/>
        </w:rPr>
        <w:t xml:space="preserve">   </w:t>
      </w:r>
      <w:r>
        <w:rPr>
          <w:lang w:val="es-MX"/>
        </w:rPr>
        <w:tab/>
      </w:r>
      <w:r w:rsidRPr="002D6670">
        <w:rPr>
          <w:i/>
          <w:lang w:val="es-MX"/>
        </w:rPr>
        <w:t xml:space="preserve">Cfr. </w:t>
      </w:r>
      <w:r w:rsidRPr="00A95D92">
        <w:t xml:space="preserve">Comando en jefe de las Fuerzas Armadas de la Nación, Expediente “Sumario administrativo instruido en averiguación de la causa de fallecimiento del cabo aspirante Vicente Ariel Noguera del centro No. 3 de la CIMEFOR, con asiento en </w:t>
      </w:r>
      <w:proofErr w:type="spellStart"/>
      <w:r w:rsidRPr="00A95D92">
        <w:t>Mcal</w:t>
      </w:r>
      <w:proofErr w:type="spellEnd"/>
      <w:r w:rsidRPr="00A95D92">
        <w:t>. Estigarribia”</w:t>
      </w:r>
      <w:r>
        <w:t>.</w:t>
      </w:r>
      <w:r>
        <w:rPr>
          <w:lang w:val="es-AR"/>
        </w:rPr>
        <w:t xml:space="preserve"> Reconocimiento y examen médico de 11 de enero de 1996 </w:t>
      </w:r>
      <w:r>
        <w:rPr>
          <w:lang w:val="es-PE"/>
        </w:rPr>
        <w:t>(expediente de prueba, folio 2767).</w:t>
      </w:r>
    </w:p>
  </w:footnote>
  <w:footnote w:id="37">
    <w:p w14:paraId="0024C023" w14:textId="380F4700" w:rsidR="007A0EF0" w:rsidRPr="006D419D" w:rsidRDefault="007A0EF0" w:rsidP="00EB62DE">
      <w:pPr>
        <w:pStyle w:val="Textonotapie"/>
        <w:rPr>
          <w:lang w:val="es-PE"/>
        </w:rPr>
      </w:pPr>
      <w:r>
        <w:rPr>
          <w:rStyle w:val="Refdenotaalpie"/>
        </w:rPr>
        <w:footnoteRef/>
      </w:r>
      <w:r>
        <w:t xml:space="preserve"> </w:t>
      </w:r>
      <w:r>
        <w:tab/>
      </w:r>
      <w:r>
        <w:rPr>
          <w:lang w:val="es-PE"/>
        </w:rPr>
        <w:t>El informe agregó que o</w:t>
      </w:r>
      <w:r w:rsidRPr="00F54F0F">
        <w:rPr>
          <w:lang w:val="es-PE"/>
        </w:rPr>
        <w:t xml:space="preserve">tra </w:t>
      </w:r>
      <w:r>
        <w:rPr>
          <w:lang w:val="es-PE"/>
        </w:rPr>
        <w:t>“</w:t>
      </w:r>
      <w:r w:rsidRPr="00F54F0F">
        <w:rPr>
          <w:lang w:val="es-PE"/>
        </w:rPr>
        <w:t xml:space="preserve">alteración llamativa </w:t>
      </w:r>
      <w:r w:rsidRPr="00F54F0F">
        <w:rPr>
          <w:iCs/>
          <w:lang w:val="es-PE"/>
        </w:rPr>
        <w:t xml:space="preserve">es </w:t>
      </w:r>
      <w:r w:rsidRPr="00F54F0F">
        <w:rPr>
          <w:lang w:val="es-PE"/>
        </w:rPr>
        <w:t>una congestión de casi todos los órganos, de tipo pasiva, de relativa corta duración, que puede estar en relación con una alteración difusa de la pared vascular asociada a un shock probablemente séptico y a una alteración funcional cardíaca”</w:t>
      </w:r>
      <w:r>
        <w:rPr>
          <w:lang w:val="es-PE"/>
        </w:rPr>
        <w:t xml:space="preserve">. </w:t>
      </w:r>
      <w:r>
        <w:rPr>
          <w:lang w:val="es-AR"/>
        </w:rPr>
        <w:t xml:space="preserve">Informe de autopsia de </w:t>
      </w:r>
      <w:r>
        <w:rPr>
          <w:lang w:val="es-PE"/>
        </w:rPr>
        <w:t>23 de febrero de 1996 (expediente de prueba, folio 3426).</w:t>
      </w:r>
    </w:p>
  </w:footnote>
  <w:footnote w:id="38">
    <w:p w14:paraId="1CEBB664" w14:textId="292C64CD" w:rsidR="007A0EF0" w:rsidRPr="007B4AF8" w:rsidRDefault="007A0EF0" w:rsidP="00EB62DE">
      <w:pPr>
        <w:pStyle w:val="Textonotapie"/>
        <w:rPr>
          <w:lang w:val="es-CR"/>
        </w:rPr>
      </w:pPr>
      <w:r>
        <w:rPr>
          <w:rStyle w:val="Refdenotaalpie"/>
        </w:rPr>
        <w:footnoteRef/>
      </w:r>
      <w:r w:rsidRPr="007B4AF8">
        <w:rPr>
          <w:lang w:val="es-CR"/>
        </w:rPr>
        <w:t xml:space="preserve"> </w:t>
      </w:r>
      <w:r w:rsidRPr="007B4AF8">
        <w:rPr>
          <w:lang w:val="es-CR"/>
        </w:rPr>
        <w:tab/>
      </w:r>
      <w:r w:rsidRPr="007B4AF8">
        <w:rPr>
          <w:i/>
          <w:lang w:val="es-CR"/>
        </w:rPr>
        <w:t>Cfr.</w:t>
      </w:r>
      <w:r>
        <w:rPr>
          <w:lang w:val="es-CR"/>
        </w:rPr>
        <w:t xml:space="preserve"> Policía Nacional de Paraguay. Departamento de Investigación de Delitos. </w:t>
      </w:r>
      <w:r w:rsidRPr="00404C7B">
        <w:rPr>
          <w:lang w:val="es-CR"/>
        </w:rPr>
        <w:t xml:space="preserve">Laboratorio Forense. </w:t>
      </w:r>
      <w:r w:rsidRPr="0049225E">
        <w:rPr>
          <w:lang w:val="es-CR"/>
        </w:rPr>
        <w:t>R</w:t>
      </w:r>
      <w:r w:rsidRPr="007B4AF8">
        <w:rPr>
          <w:lang w:val="es-CR"/>
        </w:rPr>
        <w:t>esultado laboratorial de 15 de enero de 1996 (expediente de prueba, folio 2945</w:t>
      </w:r>
      <w:r>
        <w:rPr>
          <w:lang w:val="es-CR"/>
        </w:rPr>
        <w:t>).</w:t>
      </w:r>
    </w:p>
  </w:footnote>
  <w:footnote w:id="39">
    <w:p w14:paraId="19C0CC3C" w14:textId="5B7CBA28" w:rsidR="007A0EF0" w:rsidRPr="00187827" w:rsidRDefault="007A0EF0" w:rsidP="00EB62DE">
      <w:pPr>
        <w:pStyle w:val="Textonotapie"/>
        <w:rPr>
          <w:lang w:val="es-PE"/>
        </w:rPr>
      </w:pPr>
      <w:r>
        <w:rPr>
          <w:rStyle w:val="Refdenotaalpie"/>
        </w:rPr>
        <w:footnoteRef/>
      </w:r>
      <w:r w:rsidRPr="007B4AF8">
        <w:rPr>
          <w:lang w:val="en-US"/>
        </w:rPr>
        <w:t xml:space="preserve"> </w:t>
      </w:r>
      <w:r w:rsidRPr="007B4AF8">
        <w:rPr>
          <w:lang w:val="en-US"/>
        </w:rPr>
        <w:tab/>
      </w:r>
      <w:proofErr w:type="spellStart"/>
      <w:r w:rsidRPr="007B4AF8">
        <w:rPr>
          <w:i/>
          <w:lang w:val="en-US"/>
        </w:rPr>
        <w:t>Cfr</w:t>
      </w:r>
      <w:proofErr w:type="spellEnd"/>
      <w:r w:rsidRPr="007B4AF8">
        <w:rPr>
          <w:i/>
          <w:lang w:val="en-US"/>
        </w:rPr>
        <w:t>.</w:t>
      </w:r>
      <w:r w:rsidRPr="007B4AF8">
        <w:rPr>
          <w:lang w:val="en-US"/>
        </w:rPr>
        <w:t xml:space="preserve"> Center for Disease Control and Prevention. </w:t>
      </w:r>
      <w:r w:rsidRPr="007B4AF8">
        <w:rPr>
          <w:lang w:val="es-CR"/>
        </w:rPr>
        <w:t xml:space="preserve">Mensaje de </w:t>
      </w:r>
      <w:r>
        <w:rPr>
          <w:lang w:val="es-PE"/>
        </w:rPr>
        <w:t>20 de marzo de 1996 (e</w:t>
      </w:r>
      <w:r w:rsidRPr="00187827">
        <w:rPr>
          <w:lang w:val="es-PE"/>
        </w:rPr>
        <w:t xml:space="preserve">xpediente de prueba, folio </w:t>
      </w:r>
      <w:r>
        <w:rPr>
          <w:lang w:val="es-PE"/>
        </w:rPr>
        <w:t>3444).</w:t>
      </w:r>
    </w:p>
  </w:footnote>
  <w:footnote w:id="40">
    <w:p w14:paraId="39B33BFA" w14:textId="489A12B0" w:rsidR="007A0EF0" w:rsidRPr="009063EC" w:rsidRDefault="007A0EF0">
      <w:pPr>
        <w:pStyle w:val="Textonotapie"/>
      </w:pPr>
      <w:r w:rsidRPr="00533B6A">
        <w:rPr>
          <w:rStyle w:val="Refdenotaalpie"/>
        </w:rPr>
        <w:footnoteRef/>
      </w:r>
      <w:r>
        <w:t xml:space="preserve"> </w:t>
      </w:r>
      <w:r>
        <w:tab/>
      </w:r>
      <w:r w:rsidRPr="007B4AF8">
        <w:rPr>
          <w:i/>
        </w:rPr>
        <w:t>Cfr.</w:t>
      </w:r>
      <w:r>
        <w:t xml:space="preserve"> Comando en jefe de las Fuerzas Armadas de la Nación, Expediente “Sumario administrativo instruido en averiguación de la causa de fallecimiento del cabo aspirante Vicente Ariel Noguera del centro No. 3 de la CIMEFOR, con asiento en </w:t>
      </w:r>
      <w:proofErr w:type="spellStart"/>
      <w:r>
        <w:t>Mcal</w:t>
      </w:r>
      <w:proofErr w:type="spellEnd"/>
      <w:r>
        <w:t>. Estigarribia” (expediente de prueba, folio 3452).</w:t>
      </w:r>
      <w:r>
        <w:tab/>
      </w:r>
      <w:r w:rsidR="008265F6">
        <w:t>El artículo 199 del Código del Procedimiento</w:t>
      </w:r>
      <w:r w:rsidR="00F83C54">
        <w:t xml:space="preserve"> Penal Militar disponía que “[d]</w:t>
      </w:r>
      <w:proofErr w:type="spellStart"/>
      <w:r w:rsidR="00F83C54" w:rsidRPr="00F83C54">
        <w:t>ecretado</w:t>
      </w:r>
      <w:proofErr w:type="spellEnd"/>
      <w:r w:rsidR="00F83C54" w:rsidRPr="00F83C54">
        <w:t xml:space="preserve"> el sobreseimiento total, se mandará que se archiven los autos, después de haberse practicado las diligencias para la ejecución de lo mandado</w:t>
      </w:r>
      <w:r w:rsidR="00F83C54">
        <w:t>”.</w:t>
      </w:r>
      <w:r w:rsidR="008265F6">
        <w:t xml:space="preserve"> </w:t>
      </w:r>
    </w:p>
  </w:footnote>
  <w:footnote w:id="41">
    <w:p w14:paraId="455BCB64" w14:textId="09223D3A" w:rsidR="007A0EF0" w:rsidRPr="002626FF" w:rsidRDefault="007A0EF0" w:rsidP="002626FF">
      <w:pPr>
        <w:pStyle w:val="Textonotapie"/>
        <w:rPr>
          <w:lang w:val="es-CR"/>
        </w:rPr>
      </w:pPr>
      <w:r>
        <w:rPr>
          <w:rStyle w:val="Refdenotaalpie"/>
        </w:rPr>
        <w:footnoteRef/>
      </w:r>
      <w:r>
        <w:t xml:space="preserve"> </w:t>
      </w:r>
      <w:r>
        <w:rPr>
          <w:lang w:val="es-MX"/>
        </w:rPr>
        <w:t xml:space="preserve">  </w:t>
      </w:r>
      <w:r>
        <w:rPr>
          <w:lang w:val="es-MX"/>
        </w:rPr>
        <w:tab/>
      </w:r>
      <w:r w:rsidRPr="002626FF">
        <w:rPr>
          <w:i/>
          <w:lang w:val="es-MX"/>
        </w:rPr>
        <w:t>Cfr.</w:t>
      </w:r>
      <w:r>
        <w:rPr>
          <w:lang w:val="es-MX"/>
        </w:rPr>
        <w:t xml:space="preserve"> </w:t>
      </w:r>
      <w:r w:rsidRPr="002626FF">
        <w:rPr>
          <w:lang w:val="es-CR"/>
        </w:rPr>
        <w:t>Carta</w:t>
      </w:r>
      <w:r>
        <w:rPr>
          <w:lang w:val="es-CR"/>
        </w:rPr>
        <w:t>s</w:t>
      </w:r>
      <w:r w:rsidRPr="002626FF">
        <w:rPr>
          <w:lang w:val="es-CR"/>
        </w:rPr>
        <w:t xml:space="preserve"> de la madre de la presunta víctima al Fiscal General del Estado de 17 de enero de 1996</w:t>
      </w:r>
      <w:r>
        <w:rPr>
          <w:lang w:val="es-CR"/>
        </w:rPr>
        <w:t xml:space="preserve"> y 29 de julio de 1996 </w:t>
      </w:r>
      <w:r w:rsidRPr="00F00E22">
        <w:rPr>
          <w:szCs w:val="16"/>
        </w:rPr>
        <w:t>(expedi</w:t>
      </w:r>
      <w:r>
        <w:rPr>
          <w:szCs w:val="16"/>
        </w:rPr>
        <w:t>ente de prueba, folios 1916 a 1920</w:t>
      </w:r>
      <w:r w:rsidRPr="00F00E22">
        <w:rPr>
          <w:szCs w:val="16"/>
        </w:rPr>
        <w:t>).</w:t>
      </w:r>
    </w:p>
  </w:footnote>
  <w:footnote w:id="42">
    <w:p w14:paraId="4760B7E9" w14:textId="57F8C2FF" w:rsidR="007A0EF0" w:rsidRPr="00850E9A" w:rsidRDefault="007A0EF0">
      <w:pPr>
        <w:pStyle w:val="Textonotapie"/>
        <w:rPr>
          <w:lang w:val="es-CR"/>
        </w:rPr>
      </w:pPr>
      <w:r>
        <w:rPr>
          <w:rStyle w:val="Refdenotaalpie"/>
        </w:rPr>
        <w:footnoteRef/>
      </w:r>
      <w:r>
        <w:t xml:space="preserve"> </w:t>
      </w:r>
      <w:r>
        <w:rPr>
          <w:lang w:val="es-MX"/>
        </w:rPr>
        <w:t xml:space="preserve">    </w:t>
      </w:r>
      <w:r>
        <w:rPr>
          <w:lang w:val="es-MX"/>
        </w:rPr>
        <w:tab/>
      </w:r>
      <w:r w:rsidRPr="00850E9A">
        <w:rPr>
          <w:i/>
          <w:lang w:val="es-MX"/>
        </w:rPr>
        <w:t>Cfr.</w:t>
      </w:r>
      <w:r>
        <w:rPr>
          <w:lang w:val="es-MX"/>
        </w:rPr>
        <w:t xml:space="preserve"> </w:t>
      </w:r>
      <w:r w:rsidRPr="007B4AF8">
        <w:rPr>
          <w:szCs w:val="16"/>
          <w:lang w:val="es-AR"/>
        </w:rPr>
        <w:t>Querella criminal presentada por María Noguera</w:t>
      </w:r>
      <w:r>
        <w:rPr>
          <w:szCs w:val="16"/>
          <w:lang w:val="es-AR"/>
        </w:rPr>
        <w:t xml:space="preserve"> </w:t>
      </w:r>
      <w:r w:rsidRPr="00D25DA8">
        <w:rPr>
          <w:lang w:val="es-PE"/>
        </w:rPr>
        <w:t>el 6 de setiembre de 1996</w:t>
      </w:r>
      <w:r w:rsidRPr="007B4AF8">
        <w:rPr>
          <w:szCs w:val="16"/>
          <w:lang w:val="es-AR"/>
        </w:rPr>
        <w:t xml:space="preserve"> (expediente de prueba, folio</w:t>
      </w:r>
      <w:r>
        <w:rPr>
          <w:szCs w:val="16"/>
          <w:lang w:val="es-AR"/>
        </w:rPr>
        <w:t>s</w:t>
      </w:r>
      <w:r w:rsidRPr="007B4AF8">
        <w:rPr>
          <w:szCs w:val="16"/>
          <w:lang w:val="es-AR"/>
        </w:rPr>
        <w:t xml:space="preserve"> 1790</w:t>
      </w:r>
      <w:r>
        <w:rPr>
          <w:szCs w:val="16"/>
          <w:lang w:val="es-AR"/>
        </w:rPr>
        <w:t xml:space="preserve"> y </w:t>
      </w:r>
      <w:proofErr w:type="spellStart"/>
      <w:r>
        <w:rPr>
          <w:szCs w:val="16"/>
          <w:lang w:val="es-AR"/>
        </w:rPr>
        <w:t>ss</w:t>
      </w:r>
      <w:proofErr w:type="spellEnd"/>
      <w:r w:rsidRPr="007B4AF8">
        <w:rPr>
          <w:szCs w:val="16"/>
          <w:lang w:val="es-AR"/>
        </w:rPr>
        <w:t>)</w:t>
      </w:r>
      <w:r w:rsidRPr="00F00E22">
        <w:rPr>
          <w:szCs w:val="16"/>
        </w:rPr>
        <w:t>.</w:t>
      </w:r>
    </w:p>
  </w:footnote>
  <w:footnote w:id="43">
    <w:p w14:paraId="1D93B5AD" w14:textId="6860A824" w:rsidR="007A0EF0" w:rsidRPr="00310B16" w:rsidRDefault="007A0EF0" w:rsidP="001207DF">
      <w:pPr>
        <w:pStyle w:val="Textonotapie"/>
        <w:rPr>
          <w:lang w:val="es-MX"/>
        </w:rPr>
      </w:pPr>
      <w:r>
        <w:rPr>
          <w:rStyle w:val="Refdenotaalpie"/>
        </w:rPr>
        <w:footnoteRef/>
      </w:r>
      <w:r>
        <w:t xml:space="preserve"> </w:t>
      </w:r>
      <w:r>
        <w:rPr>
          <w:lang w:val="es-MX"/>
        </w:rPr>
        <w:t xml:space="preserve">  </w:t>
      </w:r>
      <w:r>
        <w:rPr>
          <w:lang w:val="es-MX"/>
        </w:rPr>
        <w:tab/>
      </w:r>
      <w:r w:rsidRPr="00310B16">
        <w:rPr>
          <w:i/>
          <w:lang w:val="es-MX"/>
        </w:rPr>
        <w:t>Cfr.</w:t>
      </w:r>
      <w:r>
        <w:rPr>
          <w:lang w:val="es-MX"/>
        </w:rPr>
        <w:t xml:space="preserve"> </w:t>
      </w:r>
      <w:r w:rsidRPr="00310B16">
        <w:rPr>
          <w:lang w:val="es-CR"/>
        </w:rPr>
        <w:t>Dictamen No. 1007 del Fiscal General de 2 de agosto de 1996. Anexo al escrito del Estado de 16 de setiembre de 2004</w:t>
      </w:r>
      <w:r>
        <w:rPr>
          <w:lang w:val="es-CR"/>
        </w:rPr>
        <w:t xml:space="preserve"> </w:t>
      </w:r>
      <w:r w:rsidRPr="00F00E22">
        <w:rPr>
          <w:szCs w:val="16"/>
        </w:rPr>
        <w:t>(expedi</w:t>
      </w:r>
      <w:r>
        <w:rPr>
          <w:szCs w:val="16"/>
        </w:rPr>
        <w:t>ente de prueba, folio 1925</w:t>
      </w:r>
      <w:r w:rsidRPr="00F00E22">
        <w:rPr>
          <w:szCs w:val="16"/>
        </w:rPr>
        <w:t>).</w:t>
      </w:r>
    </w:p>
  </w:footnote>
  <w:footnote w:id="44">
    <w:p w14:paraId="45526510" w14:textId="77777777" w:rsidR="007A0EF0" w:rsidRPr="006156E2" w:rsidRDefault="007A0EF0" w:rsidP="001207DF">
      <w:pPr>
        <w:pStyle w:val="Textonotapie"/>
        <w:rPr>
          <w:lang w:val="es-PE"/>
        </w:rPr>
      </w:pPr>
      <w:r>
        <w:rPr>
          <w:rStyle w:val="Refdenotaalpie"/>
        </w:rPr>
        <w:footnoteRef/>
      </w:r>
      <w:r>
        <w:t xml:space="preserve"> </w:t>
      </w:r>
      <w:r>
        <w:tab/>
      </w:r>
      <w:r w:rsidRPr="002D6670">
        <w:rPr>
          <w:i/>
          <w:lang w:val="es-AR"/>
        </w:rPr>
        <w:t>Cfr.</w:t>
      </w:r>
      <w:r>
        <w:rPr>
          <w:lang w:val="es-AR"/>
        </w:rPr>
        <w:t xml:space="preserve"> </w:t>
      </w:r>
      <w:r>
        <w:rPr>
          <w:lang w:val="es-PE"/>
        </w:rPr>
        <w:t>Informe de autopsia de 18 de octubre de 1996 (expediente de prueba, folio 1935).</w:t>
      </w:r>
    </w:p>
  </w:footnote>
  <w:footnote w:id="45">
    <w:p w14:paraId="4AC78FA7" w14:textId="77777777" w:rsidR="007A0EF0" w:rsidRPr="00A60CC5" w:rsidRDefault="007A0EF0" w:rsidP="001207DF">
      <w:pPr>
        <w:pStyle w:val="Textonotapie"/>
        <w:rPr>
          <w:lang w:val="es-PE"/>
        </w:rPr>
      </w:pPr>
      <w:r>
        <w:rPr>
          <w:rStyle w:val="Refdenotaalpie"/>
        </w:rPr>
        <w:footnoteRef/>
      </w:r>
      <w:r>
        <w:t xml:space="preserve"> </w:t>
      </w:r>
      <w:r>
        <w:tab/>
      </w:r>
      <w:r w:rsidRPr="00850E9A">
        <w:rPr>
          <w:i/>
          <w:lang w:val="es-MX"/>
        </w:rPr>
        <w:t>Cfr.</w:t>
      </w:r>
      <w:r>
        <w:rPr>
          <w:lang w:val="es-MX"/>
        </w:rPr>
        <w:t xml:space="preserve"> </w:t>
      </w:r>
      <w:r w:rsidRPr="00A60CC5">
        <w:rPr>
          <w:lang w:val="es-PE"/>
        </w:rPr>
        <w:t>Juzgado de Primera Instancia en lo Criminal del 11° Turno</w:t>
      </w:r>
      <w:r>
        <w:rPr>
          <w:lang w:val="es-PE"/>
        </w:rPr>
        <w:t>. Auto de 19 de setiembre de 1996 (expediente de prueba, folio 2018).</w:t>
      </w:r>
    </w:p>
  </w:footnote>
  <w:footnote w:id="46">
    <w:p w14:paraId="64DEE9AF" w14:textId="77777777" w:rsidR="007A0EF0" w:rsidRPr="00B1088E" w:rsidRDefault="007A0EF0" w:rsidP="001207DF">
      <w:pPr>
        <w:pStyle w:val="Textonotapie"/>
        <w:rPr>
          <w:lang w:val="es-PE"/>
        </w:rPr>
      </w:pPr>
      <w:r>
        <w:rPr>
          <w:rStyle w:val="Refdenotaalpie"/>
        </w:rPr>
        <w:footnoteRef/>
      </w:r>
      <w:r>
        <w:t xml:space="preserve"> </w:t>
      </w:r>
      <w:r>
        <w:tab/>
      </w:r>
      <w:r w:rsidRPr="00850E9A">
        <w:rPr>
          <w:i/>
          <w:lang w:val="es-MX"/>
        </w:rPr>
        <w:t>Cfr.</w:t>
      </w:r>
      <w:r>
        <w:rPr>
          <w:lang w:val="es-MX"/>
        </w:rPr>
        <w:t xml:space="preserve"> </w:t>
      </w:r>
      <w:r>
        <w:t xml:space="preserve">Primera Sala del </w:t>
      </w:r>
      <w:r>
        <w:rPr>
          <w:lang w:val="es-PE"/>
        </w:rPr>
        <w:t>Tribunal de Apelación en lo Criminal. Incidente de recusación, de 13 de marzo de 1998 (expediente de prueba, folios 1941 a 1942).</w:t>
      </w:r>
    </w:p>
  </w:footnote>
  <w:footnote w:id="47">
    <w:p w14:paraId="56B7CD9E" w14:textId="77777777" w:rsidR="007A0EF0" w:rsidRPr="00752211" w:rsidRDefault="007A0EF0" w:rsidP="001207DF">
      <w:pPr>
        <w:pStyle w:val="Textonotapie"/>
        <w:rPr>
          <w:lang w:val="es-PE"/>
        </w:rPr>
      </w:pPr>
      <w:r>
        <w:rPr>
          <w:rStyle w:val="Refdenotaalpie"/>
        </w:rPr>
        <w:footnoteRef/>
      </w:r>
      <w:r>
        <w:t xml:space="preserve"> </w:t>
      </w:r>
      <w:r>
        <w:tab/>
      </w:r>
      <w:r>
        <w:rPr>
          <w:lang w:val="es-PE"/>
        </w:rPr>
        <w:t>Corte Suprema de Justicia. Resolución A. I. No. 157, de 26 de febrero de 1999 (expediente de prueba, folios 1944 a 1945).</w:t>
      </w:r>
    </w:p>
  </w:footnote>
  <w:footnote w:id="48">
    <w:p w14:paraId="6CDD96F9" w14:textId="14948312" w:rsidR="007A0EF0" w:rsidRPr="00C830E9" w:rsidRDefault="007A0EF0" w:rsidP="00F53179">
      <w:pPr>
        <w:pStyle w:val="Textonotapie"/>
        <w:rPr>
          <w:lang w:val="es-PE"/>
        </w:rPr>
      </w:pPr>
      <w:r>
        <w:rPr>
          <w:rStyle w:val="Refdenotaalpie"/>
        </w:rPr>
        <w:footnoteRef/>
      </w:r>
      <w:r>
        <w:t xml:space="preserve"> </w:t>
      </w:r>
      <w:r>
        <w:tab/>
      </w:r>
      <w:r w:rsidRPr="00850E9A">
        <w:rPr>
          <w:i/>
          <w:lang w:val="es-MX"/>
        </w:rPr>
        <w:t>Cfr.</w:t>
      </w:r>
      <w:r>
        <w:rPr>
          <w:lang w:val="es-MX"/>
        </w:rPr>
        <w:t xml:space="preserve"> </w:t>
      </w:r>
      <w:r w:rsidRPr="00C830E9">
        <w:t>Juzgado de Primera Instancia en lo Criminal del 11° Turno</w:t>
      </w:r>
      <w:r>
        <w:t>. Auto de 2 de octubre de 1996</w:t>
      </w:r>
      <w:r w:rsidRPr="00C830E9">
        <w:t xml:space="preserve"> </w:t>
      </w:r>
      <w:r>
        <w:rPr>
          <w:lang w:val="es-PE"/>
        </w:rPr>
        <w:t>(expediente de prueba, folios 1922 a 1923).</w:t>
      </w:r>
    </w:p>
  </w:footnote>
  <w:footnote w:id="49">
    <w:p w14:paraId="65EAA6B5" w14:textId="2A9C02BE" w:rsidR="007A0EF0" w:rsidRPr="00635AA1" w:rsidRDefault="007A0EF0" w:rsidP="00635AA1">
      <w:pPr>
        <w:pStyle w:val="Textonotapie"/>
        <w:rPr>
          <w:lang w:val="es-MX"/>
        </w:rPr>
      </w:pPr>
      <w:r>
        <w:rPr>
          <w:rStyle w:val="Refdenotaalpie"/>
        </w:rPr>
        <w:footnoteRef/>
      </w:r>
      <w:r>
        <w:t xml:space="preserve"> </w:t>
      </w:r>
      <w:r>
        <w:rPr>
          <w:lang w:val="es-MX"/>
        </w:rPr>
        <w:t xml:space="preserve">  </w:t>
      </w:r>
      <w:r>
        <w:rPr>
          <w:lang w:val="es-MX"/>
        </w:rPr>
        <w:tab/>
      </w:r>
      <w:r w:rsidRPr="00635AA1">
        <w:rPr>
          <w:i/>
          <w:lang w:val="es-MX"/>
        </w:rPr>
        <w:t>Cfr.</w:t>
      </w:r>
      <w:r>
        <w:rPr>
          <w:lang w:val="es-MX"/>
        </w:rPr>
        <w:t xml:space="preserve"> </w:t>
      </w:r>
      <w:r w:rsidRPr="00635AA1">
        <w:rPr>
          <w:lang w:val="es-CR"/>
        </w:rPr>
        <w:t xml:space="preserve">Escritos de la parte querellante en el pedido de investigación de 6 de febrero de 2000 y </w:t>
      </w:r>
      <w:r>
        <w:rPr>
          <w:lang w:val="es-CR"/>
        </w:rPr>
        <w:t>6</w:t>
      </w:r>
      <w:r w:rsidRPr="00635AA1">
        <w:rPr>
          <w:lang w:val="es-CR"/>
        </w:rPr>
        <w:t xml:space="preserve"> de junio de 2000 </w:t>
      </w:r>
      <w:r w:rsidRPr="00F00E22">
        <w:rPr>
          <w:szCs w:val="16"/>
        </w:rPr>
        <w:t>(expedi</w:t>
      </w:r>
      <w:r>
        <w:rPr>
          <w:szCs w:val="16"/>
        </w:rPr>
        <w:t>ente de prueba, folios 1948 a 1951</w:t>
      </w:r>
      <w:r w:rsidRPr="00F00E22">
        <w:rPr>
          <w:szCs w:val="16"/>
        </w:rPr>
        <w:t>).</w:t>
      </w:r>
    </w:p>
  </w:footnote>
  <w:footnote w:id="50">
    <w:p w14:paraId="3B3DFB5E" w14:textId="005C3B29" w:rsidR="007A0EF0" w:rsidRPr="0089174E" w:rsidRDefault="007A0EF0">
      <w:pPr>
        <w:pStyle w:val="Textonotapie"/>
        <w:rPr>
          <w:lang w:val="es-MX"/>
        </w:rPr>
      </w:pPr>
      <w:r>
        <w:rPr>
          <w:rStyle w:val="Refdenotaalpie"/>
        </w:rPr>
        <w:footnoteRef/>
      </w:r>
      <w:r>
        <w:t xml:space="preserve"> </w:t>
      </w:r>
      <w:r>
        <w:rPr>
          <w:lang w:val="es-MX"/>
        </w:rPr>
        <w:t xml:space="preserve"> </w:t>
      </w:r>
      <w:r>
        <w:rPr>
          <w:lang w:val="es-MX"/>
        </w:rPr>
        <w:tab/>
      </w:r>
      <w:r w:rsidRPr="0089174E">
        <w:rPr>
          <w:i/>
          <w:lang w:val="es-MX"/>
        </w:rPr>
        <w:t>Cfr.</w:t>
      </w:r>
      <w:r>
        <w:rPr>
          <w:lang w:val="es-MX"/>
        </w:rPr>
        <w:t xml:space="preserve"> </w:t>
      </w:r>
      <w:r w:rsidRPr="0089174E">
        <w:rPr>
          <w:lang w:val="es-CR"/>
        </w:rPr>
        <w:t>Dictamen Fiscal No. 226 de 18 de julio de 2001</w:t>
      </w:r>
      <w:r>
        <w:rPr>
          <w:lang w:val="es-CR"/>
        </w:rPr>
        <w:t xml:space="preserve"> </w:t>
      </w:r>
      <w:r w:rsidRPr="00F00E22">
        <w:rPr>
          <w:szCs w:val="16"/>
        </w:rPr>
        <w:t>(expedi</w:t>
      </w:r>
      <w:r>
        <w:rPr>
          <w:szCs w:val="16"/>
        </w:rPr>
        <w:t>ente de prueba, folio 1953</w:t>
      </w:r>
      <w:r w:rsidRPr="00F00E22">
        <w:rPr>
          <w:szCs w:val="16"/>
        </w:rPr>
        <w:t>).</w:t>
      </w:r>
    </w:p>
  </w:footnote>
  <w:footnote w:id="51">
    <w:p w14:paraId="4CFF6E1E" w14:textId="67860251" w:rsidR="007A0EF0" w:rsidRPr="00005E79" w:rsidRDefault="007A0EF0" w:rsidP="00005E79">
      <w:pPr>
        <w:pStyle w:val="Textonotapie"/>
        <w:spacing w:before="60" w:after="60"/>
        <w:rPr>
          <w:szCs w:val="16"/>
          <w:lang w:val="es-CR"/>
        </w:rPr>
      </w:pPr>
      <w:r w:rsidRPr="00F00E22">
        <w:rPr>
          <w:rStyle w:val="Refdenotaalpie"/>
          <w:szCs w:val="16"/>
        </w:rPr>
        <w:footnoteRef/>
      </w:r>
      <w:r w:rsidRPr="00F00E22">
        <w:rPr>
          <w:szCs w:val="16"/>
        </w:rPr>
        <w:t xml:space="preserve"> </w:t>
      </w:r>
      <w:r w:rsidRPr="00F00E22">
        <w:rPr>
          <w:szCs w:val="16"/>
        </w:rPr>
        <w:tab/>
      </w:r>
      <w:r w:rsidRPr="00005E79">
        <w:rPr>
          <w:i/>
          <w:szCs w:val="16"/>
        </w:rPr>
        <w:t>Cfr.</w:t>
      </w:r>
      <w:r>
        <w:rPr>
          <w:szCs w:val="16"/>
        </w:rPr>
        <w:t xml:space="preserve"> </w:t>
      </w:r>
      <w:r>
        <w:rPr>
          <w:szCs w:val="16"/>
          <w:lang w:val="es-CR"/>
        </w:rPr>
        <w:t>Auto de Instrucción</w:t>
      </w:r>
      <w:r w:rsidRPr="00005E79">
        <w:rPr>
          <w:szCs w:val="16"/>
          <w:lang w:val="es-CR"/>
        </w:rPr>
        <w:t xml:space="preserve"> No. 670 del Juez Penal de Liquidación y Sentencia No 7 de 6 de noviembre de 2002. Anexo al escrito </w:t>
      </w:r>
      <w:r>
        <w:rPr>
          <w:szCs w:val="16"/>
          <w:lang w:val="es-CR"/>
        </w:rPr>
        <w:t xml:space="preserve">del Estado de 16 de </w:t>
      </w:r>
      <w:r w:rsidRPr="00005E79">
        <w:rPr>
          <w:szCs w:val="16"/>
          <w:lang w:val="es-CR"/>
        </w:rPr>
        <w:t>setiembre de 2004</w:t>
      </w:r>
      <w:r>
        <w:rPr>
          <w:lang w:val="es-CR"/>
        </w:rPr>
        <w:t xml:space="preserve"> </w:t>
      </w:r>
      <w:r w:rsidRPr="00F00E22">
        <w:rPr>
          <w:szCs w:val="16"/>
        </w:rPr>
        <w:t>(expedi</w:t>
      </w:r>
      <w:r>
        <w:rPr>
          <w:szCs w:val="16"/>
        </w:rPr>
        <w:t>ente de prueba, folios 1954 y 1955</w:t>
      </w:r>
      <w:r w:rsidRPr="00F00E22">
        <w:rPr>
          <w:szCs w:val="16"/>
        </w:rPr>
        <w:t>).</w:t>
      </w:r>
    </w:p>
  </w:footnote>
  <w:footnote w:id="52">
    <w:p w14:paraId="313BB649" w14:textId="638C8004" w:rsidR="007A0EF0" w:rsidRPr="005C3219" w:rsidRDefault="007A0EF0">
      <w:pPr>
        <w:pStyle w:val="Textonotapie"/>
        <w:rPr>
          <w:lang w:val="es-CR"/>
        </w:rPr>
      </w:pPr>
      <w:r>
        <w:rPr>
          <w:rStyle w:val="Refdenotaalpie"/>
        </w:rPr>
        <w:footnoteRef/>
      </w:r>
      <w:r>
        <w:t xml:space="preserve"> </w:t>
      </w:r>
      <w:r>
        <w:rPr>
          <w:lang w:val="es-CR"/>
        </w:rPr>
        <w:tab/>
      </w:r>
      <w:r w:rsidRPr="00005E79">
        <w:rPr>
          <w:i/>
          <w:szCs w:val="16"/>
        </w:rPr>
        <w:t>Cfr.</w:t>
      </w:r>
      <w:r>
        <w:rPr>
          <w:szCs w:val="16"/>
        </w:rPr>
        <w:t xml:space="preserve"> Ministerio Público, Fiscalía Adjunta de Derechos Humanos, </w:t>
      </w:r>
      <w:r w:rsidRPr="005C3219">
        <w:rPr>
          <w:lang w:val="es-CR"/>
        </w:rPr>
        <w:t xml:space="preserve">Resolución </w:t>
      </w:r>
      <w:r>
        <w:rPr>
          <w:lang w:val="es-CR"/>
        </w:rPr>
        <w:t>de</w:t>
      </w:r>
      <w:r w:rsidRPr="005C3219">
        <w:rPr>
          <w:lang w:val="es-CR"/>
        </w:rPr>
        <w:t xml:space="preserve"> 28 de mayo de 2012</w:t>
      </w:r>
      <w:r>
        <w:rPr>
          <w:lang w:val="es-CR"/>
        </w:rPr>
        <w:t xml:space="preserve"> (expediente de prueba, folio 3178).</w:t>
      </w:r>
    </w:p>
  </w:footnote>
  <w:footnote w:id="53">
    <w:p w14:paraId="6FAE7D3C" w14:textId="21F5DDC4" w:rsidR="007A0EF0" w:rsidRPr="00404C7B" w:rsidRDefault="007A0EF0">
      <w:pPr>
        <w:pStyle w:val="Textonotapie"/>
        <w:rPr>
          <w:lang w:val="es-CR"/>
        </w:rPr>
      </w:pPr>
      <w:r>
        <w:rPr>
          <w:rStyle w:val="Refdenotaalpie"/>
        </w:rPr>
        <w:footnoteRef/>
      </w:r>
      <w:r>
        <w:t xml:space="preserve"> </w:t>
      </w:r>
      <w:r>
        <w:rPr>
          <w:lang w:val="es-CR"/>
        </w:rPr>
        <w:tab/>
      </w:r>
      <w:r w:rsidRPr="00404C7B">
        <w:rPr>
          <w:i/>
          <w:lang w:val="es-CR"/>
        </w:rPr>
        <w:t xml:space="preserve">Cfr. </w:t>
      </w:r>
      <w:r w:rsidRPr="00404C7B">
        <w:rPr>
          <w:lang w:val="es-CR"/>
        </w:rPr>
        <w:t xml:space="preserve">Expediente judicial: </w:t>
      </w:r>
      <w:r>
        <w:rPr>
          <w:lang w:val="es-CR"/>
        </w:rPr>
        <w:t>“</w:t>
      </w:r>
      <w:r w:rsidRPr="00404C7B">
        <w:rPr>
          <w:lang w:val="es-CR"/>
        </w:rPr>
        <w:t>Pedido de archivo: Pedido de investigación judicial solicitado por María Ramona Noguera</w:t>
      </w:r>
      <w:r>
        <w:rPr>
          <w:lang w:val="es-CR"/>
        </w:rPr>
        <w:t>” (expediente de prueba, folios 3130 a 3193).</w:t>
      </w:r>
    </w:p>
  </w:footnote>
  <w:footnote w:id="54">
    <w:p w14:paraId="1BEFED81" w14:textId="460E9FD7" w:rsidR="007A0EF0" w:rsidRPr="00164819" w:rsidRDefault="007A0EF0">
      <w:pPr>
        <w:pStyle w:val="Textonotapie"/>
      </w:pPr>
      <w:r>
        <w:rPr>
          <w:rStyle w:val="Refdenotaalpie"/>
        </w:rPr>
        <w:footnoteRef/>
      </w:r>
      <w:r>
        <w:t xml:space="preserve"> </w:t>
      </w:r>
      <w:r>
        <w:tab/>
      </w:r>
      <w:r w:rsidRPr="00404C7B">
        <w:rPr>
          <w:i/>
        </w:rPr>
        <w:t>Cfr.</w:t>
      </w:r>
      <w:r>
        <w:t xml:space="preserve"> Dirección de Medicina legal y Ciencias Forenses, Causa “Pedido de Investigación Judicial Solicitado por María Noguera”, respuestas a los puntos de pericia solicitados, 9 de octubre de 2013 (expediente de prueba, folio 3137).</w:t>
      </w:r>
    </w:p>
  </w:footnote>
  <w:footnote w:id="55">
    <w:p w14:paraId="2A183117" w14:textId="252501DE" w:rsidR="007A0EF0" w:rsidRPr="00384046" w:rsidRDefault="007A0EF0">
      <w:pPr>
        <w:pStyle w:val="Textonotapie"/>
      </w:pPr>
      <w:r>
        <w:rPr>
          <w:rStyle w:val="Refdenotaalpie"/>
        </w:rPr>
        <w:footnoteRef/>
      </w:r>
      <w:r>
        <w:t xml:space="preserve"> </w:t>
      </w:r>
      <w:r>
        <w:tab/>
      </w:r>
      <w:r w:rsidRPr="00404C7B">
        <w:rPr>
          <w:i/>
        </w:rPr>
        <w:t>Cfr.</w:t>
      </w:r>
      <w:r>
        <w:t xml:space="preserve"> Ministerio Público, Unidad Penal No. 2 Especializada en los DDHH, requerimiento No. 88 de 31 de octubre de 2013 (expediente de prueba, folios 3139 a 3148) y Fiscal Adjunto, Dictamen No. 1615 de 20 de noviembre de 2013 (expediente de prueba, folio 3157).</w:t>
      </w:r>
    </w:p>
  </w:footnote>
  <w:footnote w:id="56">
    <w:p w14:paraId="176186FE" w14:textId="2017F9AA" w:rsidR="007A0EF0" w:rsidRPr="005C3219" w:rsidRDefault="007A0EF0" w:rsidP="005C3219">
      <w:pPr>
        <w:pStyle w:val="Textonotapie"/>
      </w:pPr>
      <w:r>
        <w:rPr>
          <w:rStyle w:val="Refdenotaalpie"/>
        </w:rPr>
        <w:footnoteRef/>
      </w:r>
      <w:r>
        <w:t xml:space="preserve"> </w:t>
      </w:r>
      <w:r>
        <w:tab/>
      </w:r>
      <w:r w:rsidRPr="00005E79">
        <w:rPr>
          <w:i/>
          <w:szCs w:val="16"/>
        </w:rPr>
        <w:t>Cfr.</w:t>
      </w:r>
      <w:r>
        <w:rPr>
          <w:szCs w:val="16"/>
        </w:rPr>
        <w:t xml:space="preserve"> </w:t>
      </w:r>
      <w:r w:rsidRPr="005C3219">
        <w:rPr>
          <w:lang w:val="es-CR"/>
        </w:rPr>
        <w:t xml:space="preserve">Resolución F.A.DD.HH </w:t>
      </w:r>
      <w:r>
        <w:rPr>
          <w:lang w:val="es-CR"/>
        </w:rPr>
        <w:t>de</w:t>
      </w:r>
      <w:r w:rsidRPr="005C3219">
        <w:rPr>
          <w:lang w:val="es-CR"/>
        </w:rPr>
        <w:t xml:space="preserve"> 28 de mayo de 2012</w:t>
      </w:r>
      <w:r>
        <w:rPr>
          <w:lang w:val="es-CR"/>
        </w:rPr>
        <w:t xml:space="preserve"> (expediente de prueba, folio 4219).</w:t>
      </w:r>
    </w:p>
  </w:footnote>
  <w:footnote w:id="57">
    <w:p w14:paraId="6B3B1794" w14:textId="0F83222C" w:rsidR="007A0EF0" w:rsidRPr="0084517E" w:rsidRDefault="007A0EF0">
      <w:pPr>
        <w:pStyle w:val="Textonotapie"/>
      </w:pPr>
      <w:r>
        <w:rPr>
          <w:rStyle w:val="Refdenotaalpie"/>
        </w:rPr>
        <w:footnoteRef/>
      </w:r>
      <w:r>
        <w:t xml:space="preserve"> </w:t>
      </w:r>
      <w:r>
        <w:tab/>
      </w:r>
      <w:r w:rsidRPr="0084517E">
        <w:rPr>
          <w:i/>
        </w:rPr>
        <w:t xml:space="preserve">Cfr. </w:t>
      </w:r>
      <w:r>
        <w:t>Ministerio Público de la República de Paraguay, Formulario de Ingreso de Causa, 13 de diciembre de 2018 (expediente de prueba, folios 4201 a 4215).</w:t>
      </w:r>
    </w:p>
  </w:footnote>
  <w:footnote w:id="58">
    <w:p w14:paraId="710030C2" w14:textId="34310505" w:rsidR="007A0EF0" w:rsidRPr="004006B3" w:rsidRDefault="007A0EF0">
      <w:pPr>
        <w:pStyle w:val="Textonotapie"/>
      </w:pPr>
      <w:r>
        <w:rPr>
          <w:rStyle w:val="Refdenotaalpie"/>
        </w:rPr>
        <w:footnoteRef/>
      </w:r>
      <w:r>
        <w:t xml:space="preserve"> </w:t>
      </w:r>
      <w:r>
        <w:tab/>
      </w:r>
      <w:r w:rsidRPr="004006B3">
        <w:rPr>
          <w:i/>
        </w:rPr>
        <w:t>Cfr.</w:t>
      </w:r>
      <w:r>
        <w:t xml:space="preserve"> Ministerio Público, Transcripción de audiencia e 25 de febrero de 2019</w:t>
      </w:r>
      <w:r w:rsidRPr="004006B3">
        <w:rPr>
          <w:i/>
        </w:rPr>
        <w:t xml:space="preserve"> </w:t>
      </w:r>
      <w:r>
        <w:t>(expediente de prueba folios 4225 a 4235). Asimismo, expediente de prueba, folios 4427 y siguientes.</w:t>
      </w:r>
    </w:p>
  </w:footnote>
  <w:footnote w:id="59">
    <w:p w14:paraId="16AD5075" w14:textId="6FB6CB9A" w:rsidR="007A0EF0" w:rsidRPr="004006B3" w:rsidRDefault="007A0EF0">
      <w:pPr>
        <w:pStyle w:val="Textonotapie"/>
        <w:rPr>
          <w:lang w:val="es-CR"/>
        </w:rPr>
      </w:pPr>
      <w:r>
        <w:rPr>
          <w:rStyle w:val="Refdenotaalpie"/>
        </w:rPr>
        <w:footnoteRef/>
      </w:r>
      <w:r>
        <w:t xml:space="preserve"> </w:t>
      </w:r>
      <w:r>
        <w:rPr>
          <w:lang w:val="es-CR"/>
        </w:rPr>
        <w:tab/>
      </w:r>
      <w:r w:rsidRPr="004006B3">
        <w:rPr>
          <w:i/>
          <w:lang w:val="es-CR"/>
        </w:rPr>
        <w:t xml:space="preserve">Cfr. </w:t>
      </w:r>
      <w:r>
        <w:rPr>
          <w:lang w:val="es-CR"/>
        </w:rPr>
        <w:t>Ministerio Público, Nota 86/19 de 18 de febrero de 2019 (expediente de prueba, folio 4237).</w:t>
      </w:r>
    </w:p>
  </w:footnote>
  <w:footnote w:id="60">
    <w:p w14:paraId="34EDDB81" w14:textId="2F20D7EF" w:rsidR="007A0EF0" w:rsidRPr="004006B3" w:rsidRDefault="007A0EF0">
      <w:pPr>
        <w:pStyle w:val="Textonotapie"/>
      </w:pPr>
      <w:r>
        <w:rPr>
          <w:rStyle w:val="Refdenotaalpie"/>
        </w:rPr>
        <w:footnoteRef/>
      </w:r>
      <w:r>
        <w:t xml:space="preserve"> </w:t>
      </w:r>
      <w:r>
        <w:tab/>
      </w:r>
      <w:r w:rsidRPr="004006B3">
        <w:rPr>
          <w:i/>
          <w:lang w:val="es-CR"/>
        </w:rPr>
        <w:t xml:space="preserve">Cfr. </w:t>
      </w:r>
      <w:r>
        <w:rPr>
          <w:lang w:val="es-CR"/>
        </w:rPr>
        <w:t>Ministerio Público, Oficios 15/19 de 11 de marzo de 2019 y 50/19 de 5 de junio de 2019 (expediente de prueba, folios 4239 y 4277).</w:t>
      </w:r>
    </w:p>
  </w:footnote>
  <w:footnote w:id="61">
    <w:p w14:paraId="5AE5F2C3" w14:textId="52D1AAED" w:rsidR="007A0EF0" w:rsidRPr="004006B3" w:rsidRDefault="007A0EF0">
      <w:pPr>
        <w:pStyle w:val="Textonotapie"/>
      </w:pPr>
      <w:r>
        <w:rPr>
          <w:rStyle w:val="Refdenotaalpie"/>
        </w:rPr>
        <w:footnoteRef/>
      </w:r>
      <w:r>
        <w:t xml:space="preserve"> </w:t>
      </w:r>
      <w:r>
        <w:tab/>
      </w:r>
      <w:r w:rsidRPr="004006B3">
        <w:rPr>
          <w:i/>
          <w:lang w:val="es-CR"/>
        </w:rPr>
        <w:t xml:space="preserve">Cfr. </w:t>
      </w:r>
      <w:r>
        <w:rPr>
          <w:lang w:val="es-CR"/>
        </w:rPr>
        <w:t>Ministerio Público, Oficio 15/19 de 11 de marzo de 2019 (expediente de prueba, folio 4239), y Ministerio Público, Dirección de Medicina Legal y Ciencias Forenses, Departamento de Clínica Forense, Entrada No.19/19 de 18 de julio de 2019 (expediente de prueba, folios 4391 a 4419).</w:t>
      </w:r>
    </w:p>
  </w:footnote>
  <w:footnote w:id="62">
    <w:p w14:paraId="0804B3D5" w14:textId="77777777" w:rsidR="007A0EF0" w:rsidRPr="006156E2" w:rsidRDefault="007A0EF0" w:rsidP="000734C1">
      <w:pPr>
        <w:pStyle w:val="Textonotapie"/>
        <w:rPr>
          <w:lang w:val="es-PE"/>
        </w:rPr>
      </w:pPr>
      <w:r>
        <w:rPr>
          <w:rStyle w:val="Refdenotaalpie"/>
        </w:rPr>
        <w:footnoteRef/>
      </w:r>
      <w:r>
        <w:t xml:space="preserve"> </w:t>
      </w:r>
      <w:r>
        <w:tab/>
      </w:r>
      <w:r w:rsidRPr="002D6670">
        <w:rPr>
          <w:i/>
          <w:lang w:val="es-AR"/>
        </w:rPr>
        <w:t>Cfr.</w:t>
      </w:r>
      <w:r>
        <w:rPr>
          <w:lang w:val="es-AR"/>
        </w:rPr>
        <w:t xml:space="preserve"> Autopsia histórica, 18 de julio de 2018 </w:t>
      </w:r>
      <w:r>
        <w:rPr>
          <w:lang w:val="es-PE"/>
        </w:rPr>
        <w:t>(expediente de prueba, folios 4417 a 4419).</w:t>
      </w:r>
    </w:p>
  </w:footnote>
  <w:footnote w:id="63">
    <w:p w14:paraId="00FD3CF7" w14:textId="64FA011A" w:rsidR="007A0EF0" w:rsidRPr="00FB479B" w:rsidRDefault="007A0EF0" w:rsidP="00FB479B">
      <w:pPr>
        <w:pStyle w:val="Textonotapie"/>
        <w:rPr>
          <w:lang w:val="es-CR"/>
        </w:rPr>
      </w:pPr>
      <w:r>
        <w:rPr>
          <w:rStyle w:val="Refdenotaalpie"/>
        </w:rPr>
        <w:footnoteRef/>
      </w:r>
      <w:r>
        <w:t xml:space="preserve"> </w:t>
      </w:r>
      <w:r>
        <w:tab/>
      </w:r>
      <w:r w:rsidRPr="00BB680D">
        <w:rPr>
          <w:i/>
        </w:rPr>
        <w:t xml:space="preserve">Cfr. </w:t>
      </w:r>
      <w:r>
        <w:rPr>
          <w:lang w:val="es-CR"/>
        </w:rPr>
        <w:t>Investigación</w:t>
      </w:r>
      <w:r w:rsidRPr="00FB479B">
        <w:rPr>
          <w:lang w:val="es-CR"/>
        </w:rPr>
        <w:t xml:space="preserve"> N</w:t>
      </w:r>
      <w:r>
        <w:rPr>
          <w:lang w:val="es-CR"/>
        </w:rPr>
        <w:t>o</w:t>
      </w:r>
      <w:r w:rsidRPr="00FB479B">
        <w:rPr>
          <w:lang w:val="es-CR"/>
        </w:rPr>
        <w:t xml:space="preserve"> 01-01-02-01-2018-203 caratulada como "Persona innominada </w:t>
      </w:r>
      <w:r>
        <w:rPr>
          <w:lang w:val="es-CR"/>
        </w:rPr>
        <w:t xml:space="preserve">s/ Tortura" </w:t>
      </w:r>
      <w:r w:rsidRPr="00FB479B">
        <w:rPr>
          <w:lang w:val="es-CR"/>
        </w:rPr>
        <w:t xml:space="preserve">a cargo de la Unidad Fiscal Especializada en Derechos Humanos, agente fiscal </w:t>
      </w:r>
      <w:r>
        <w:rPr>
          <w:lang w:val="es-CR"/>
        </w:rPr>
        <w:t xml:space="preserve">Silvia </w:t>
      </w:r>
      <w:r w:rsidRPr="00FB479B">
        <w:rPr>
          <w:lang w:val="es-CR"/>
        </w:rPr>
        <w:t>Cabrera.</w:t>
      </w:r>
    </w:p>
  </w:footnote>
  <w:footnote w:id="64">
    <w:p w14:paraId="4C77654F" w14:textId="4BB187B3" w:rsidR="007A0EF0" w:rsidRPr="003934E0" w:rsidRDefault="007A0EF0" w:rsidP="00BB680D">
      <w:pPr>
        <w:pStyle w:val="Textonotapie"/>
      </w:pPr>
      <w:r>
        <w:rPr>
          <w:rStyle w:val="Refdenotaalpie"/>
        </w:rPr>
        <w:footnoteRef/>
      </w:r>
      <w:r>
        <w:t xml:space="preserve"> </w:t>
      </w:r>
      <w:r>
        <w:tab/>
      </w:r>
      <w:r w:rsidRPr="00BB680D">
        <w:rPr>
          <w:i/>
        </w:rPr>
        <w:t>Cfr. Caso de los “Niños de la Calle” (Villagrán Morales y otros) Vs. Guatemala. Fondo</w:t>
      </w:r>
      <w:r>
        <w:t xml:space="preserve">. Sentencia de 19 de noviembre de 1999, párr. 144, y </w:t>
      </w:r>
      <w:r w:rsidRPr="00133CF0">
        <w:rPr>
          <w:i/>
        </w:rPr>
        <w:t>Caso Valencia Hinojosa y otra Vs. Ecuador. Excepciones Preliminares, Fondo, Reparaciones y Costas</w:t>
      </w:r>
      <w:r w:rsidRPr="00404C7B">
        <w:t>. Sentencia de 29 de noviembre de 2016. Serie C No. 327</w:t>
      </w:r>
      <w:r w:rsidRPr="00BB680D">
        <w:t xml:space="preserve">, párr. </w:t>
      </w:r>
      <w:r>
        <w:t>100</w:t>
      </w:r>
      <w:r w:rsidRPr="00BB680D">
        <w:t>.</w:t>
      </w:r>
    </w:p>
  </w:footnote>
  <w:footnote w:id="65">
    <w:p w14:paraId="1B766A75" w14:textId="26E313D6" w:rsidR="007A0EF0" w:rsidRPr="00575345" w:rsidRDefault="007A0EF0" w:rsidP="00BB680D">
      <w:pPr>
        <w:pStyle w:val="Textonotapie"/>
      </w:pPr>
      <w:r w:rsidRPr="00BB680D">
        <w:rPr>
          <w:rStyle w:val="Refdenotaalpie"/>
        </w:rPr>
        <w:footnoteRef/>
      </w:r>
      <w:r w:rsidRPr="00BB680D">
        <w:t xml:space="preserve"> </w:t>
      </w:r>
      <w:r w:rsidRPr="00BB680D">
        <w:tab/>
      </w:r>
      <w:r w:rsidRPr="00BB680D">
        <w:rPr>
          <w:i/>
        </w:rPr>
        <w:t>Cfr. Caso Myrna Mack Chang Vs. Guatemala</w:t>
      </w:r>
      <w:r w:rsidRPr="00BB680D">
        <w:t xml:space="preserve">, párr. 153, y </w:t>
      </w:r>
      <w:r w:rsidRPr="00133CF0">
        <w:rPr>
          <w:i/>
        </w:rPr>
        <w:t>Caso Ruiz Fuentes y otra Vs. Guatemala. Excepción Preliminar, Fondo, Reparaciones y Costas</w:t>
      </w:r>
      <w:r w:rsidRPr="00404C7B">
        <w:t>. Sentencia de 10 de octubre de 2019. Serie C No. 385</w:t>
      </w:r>
      <w:r w:rsidRPr="00BB680D">
        <w:t xml:space="preserve">, párr. </w:t>
      </w:r>
      <w:r>
        <w:t>100</w:t>
      </w:r>
      <w:r w:rsidRPr="00BB680D">
        <w:t>.</w:t>
      </w:r>
    </w:p>
  </w:footnote>
  <w:footnote w:id="66">
    <w:p w14:paraId="28DECD6B" w14:textId="4451149D" w:rsidR="007A0EF0" w:rsidRPr="004A6697" w:rsidRDefault="007A0EF0" w:rsidP="00BB680D">
      <w:pPr>
        <w:pStyle w:val="Textonotapie"/>
        <w:rPr>
          <w:lang w:val="es-PE"/>
        </w:rPr>
      </w:pPr>
      <w:r>
        <w:rPr>
          <w:rStyle w:val="Refdenotaalpie"/>
        </w:rPr>
        <w:footnoteRef/>
      </w:r>
      <w:r>
        <w:t xml:space="preserve"> </w:t>
      </w:r>
      <w:r>
        <w:tab/>
      </w:r>
      <w:r w:rsidRPr="00BB680D">
        <w:rPr>
          <w:i/>
          <w:lang w:val="es-PE"/>
        </w:rPr>
        <w:t>Cfr.</w:t>
      </w:r>
      <w:r w:rsidRPr="004C4DF5">
        <w:rPr>
          <w:lang w:val="es-PE"/>
        </w:rPr>
        <w:t xml:space="preserve"> </w:t>
      </w:r>
      <w:r w:rsidRPr="00BB680D">
        <w:rPr>
          <w:i/>
          <w:lang w:val="es-PE"/>
        </w:rPr>
        <w:t>Caso de los “Niños de la Calle” (Villagrán Morales y otros) Vs. Guatemala. Fondo</w:t>
      </w:r>
      <w:r w:rsidRPr="004C4DF5">
        <w:rPr>
          <w:lang w:val="es-PE"/>
        </w:rPr>
        <w:t xml:space="preserve">, </w:t>
      </w:r>
      <w:proofErr w:type="spellStart"/>
      <w:r w:rsidRPr="004C4DF5">
        <w:rPr>
          <w:lang w:val="es-PE"/>
        </w:rPr>
        <w:t>párrs</w:t>
      </w:r>
      <w:proofErr w:type="spellEnd"/>
      <w:r w:rsidRPr="004C4DF5">
        <w:rPr>
          <w:lang w:val="es-PE"/>
        </w:rPr>
        <w:t xml:space="preserve">. 144 y 145, </w:t>
      </w:r>
      <w:r w:rsidRPr="00BB680D">
        <w:t xml:space="preserve">y </w:t>
      </w:r>
      <w:r w:rsidRPr="00133CF0">
        <w:rPr>
          <w:i/>
        </w:rPr>
        <w:t>Caso Ruiz Fuentes y otra Vs. Guatemala</w:t>
      </w:r>
      <w:r w:rsidRPr="00BB680D">
        <w:rPr>
          <w:lang w:val="es-PE"/>
        </w:rPr>
        <w:t xml:space="preserve">, párr. </w:t>
      </w:r>
      <w:r>
        <w:rPr>
          <w:lang w:val="es-PE"/>
        </w:rPr>
        <w:t>100.</w:t>
      </w:r>
    </w:p>
  </w:footnote>
  <w:footnote w:id="67">
    <w:p w14:paraId="0CC2501F" w14:textId="02E1AA3A" w:rsidR="007A0EF0" w:rsidRPr="00DB29CF" w:rsidRDefault="007A0EF0" w:rsidP="00B5525B">
      <w:pPr>
        <w:pStyle w:val="Textonotapie"/>
        <w:rPr>
          <w:lang w:val="es-PE"/>
        </w:rPr>
      </w:pPr>
      <w:r w:rsidRPr="008310DB">
        <w:rPr>
          <w:rStyle w:val="Refdenotaalpie"/>
        </w:rPr>
        <w:footnoteRef/>
      </w:r>
      <w:r w:rsidRPr="008310DB">
        <w:t xml:space="preserve"> </w:t>
      </w:r>
      <w:r w:rsidRPr="008310DB">
        <w:tab/>
      </w:r>
      <w:r w:rsidRPr="008310DB">
        <w:rPr>
          <w:i/>
          <w:lang w:val="es-PE"/>
        </w:rPr>
        <w:t xml:space="preserve">Cfr. Caso </w:t>
      </w:r>
      <w:proofErr w:type="spellStart"/>
      <w:r w:rsidRPr="008310DB">
        <w:rPr>
          <w:i/>
          <w:lang w:val="es-PE"/>
        </w:rPr>
        <w:t>Quispialaya</w:t>
      </w:r>
      <w:proofErr w:type="spellEnd"/>
      <w:r w:rsidRPr="008310DB">
        <w:rPr>
          <w:i/>
          <w:lang w:val="es-PE"/>
        </w:rPr>
        <w:t xml:space="preserve"> </w:t>
      </w:r>
      <w:proofErr w:type="spellStart"/>
      <w:r w:rsidRPr="008310DB">
        <w:rPr>
          <w:i/>
          <w:lang w:val="es-PE"/>
        </w:rPr>
        <w:t>Vilcapoma</w:t>
      </w:r>
      <w:proofErr w:type="spellEnd"/>
      <w:r w:rsidRPr="008310DB">
        <w:rPr>
          <w:i/>
          <w:lang w:val="es-PE"/>
        </w:rPr>
        <w:t xml:space="preserve"> Vs. Perú.</w:t>
      </w:r>
      <w:r w:rsidRPr="008310DB">
        <w:rPr>
          <w:lang w:val="es-PE"/>
        </w:rPr>
        <w:t xml:space="preserve"> Sentencia de 23 de noviembre de 2015. Serie C No. 308, párr. 124</w:t>
      </w:r>
      <w:r w:rsidRPr="008310DB">
        <w:rPr>
          <w:i/>
          <w:lang w:val="es-PE"/>
        </w:rPr>
        <w:t>.</w:t>
      </w:r>
      <w:r>
        <w:rPr>
          <w:i/>
          <w:lang w:val="es-PE"/>
        </w:rPr>
        <w:t xml:space="preserve"> </w:t>
      </w:r>
    </w:p>
  </w:footnote>
  <w:footnote w:id="68">
    <w:p w14:paraId="51314D0D" w14:textId="172067BD" w:rsidR="007A0EF0" w:rsidRPr="00DF1607" w:rsidRDefault="007A0EF0" w:rsidP="00771D72">
      <w:pPr>
        <w:pStyle w:val="Textonotapie"/>
        <w:rPr>
          <w:spacing w:val="-12"/>
          <w:szCs w:val="16"/>
        </w:rPr>
      </w:pPr>
      <w:r w:rsidRPr="00DF1607">
        <w:rPr>
          <w:rStyle w:val="Refdenotaalpie"/>
          <w:spacing w:val="-12"/>
          <w:szCs w:val="16"/>
        </w:rPr>
        <w:footnoteRef/>
      </w:r>
      <w:r w:rsidRPr="00DF1607">
        <w:rPr>
          <w:spacing w:val="-12"/>
          <w:szCs w:val="16"/>
        </w:rPr>
        <w:t xml:space="preserve"> </w:t>
      </w:r>
      <w:r w:rsidRPr="00DF1607">
        <w:rPr>
          <w:spacing w:val="-12"/>
          <w:szCs w:val="16"/>
        </w:rPr>
        <w:tab/>
      </w:r>
      <w:r w:rsidRPr="00771D72">
        <w:rPr>
          <w:i/>
          <w:szCs w:val="16"/>
        </w:rPr>
        <w:t xml:space="preserve">Cfr. </w:t>
      </w:r>
      <w:r>
        <w:rPr>
          <w:i/>
          <w:lang w:val="es-PE"/>
        </w:rPr>
        <w:t>Ortiz Hernández y otros Vs Venezuela. Fondo, Reparaciones y Costas</w:t>
      </w:r>
      <w:r>
        <w:rPr>
          <w:lang w:val="es-PE"/>
        </w:rPr>
        <w:t>. Sentencia de 22 de agosto de 2017, párr. 107.</w:t>
      </w:r>
    </w:p>
  </w:footnote>
  <w:footnote w:id="69">
    <w:p w14:paraId="5FFCC570" w14:textId="115467FB" w:rsidR="007A0EF0" w:rsidRPr="00B340EE" w:rsidRDefault="007A0EF0" w:rsidP="00015C22">
      <w:pPr>
        <w:pStyle w:val="Textonotapie"/>
        <w:rPr>
          <w:szCs w:val="16"/>
          <w:lang w:val="es-MX"/>
        </w:rPr>
      </w:pPr>
      <w:r w:rsidRPr="00363F94">
        <w:rPr>
          <w:rStyle w:val="Refdenotaalpie"/>
          <w:szCs w:val="16"/>
        </w:rPr>
        <w:footnoteRef/>
      </w:r>
      <w:r w:rsidRPr="00363F94">
        <w:rPr>
          <w:szCs w:val="16"/>
          <w:lang w:val="es-MX"/>
        </w:rPr>
        <w:t xml:space="preserve"> </w:t>
      </w:r>
      <w:r w:rsidRPr="00363F94">
        <w:rPr>
          <w:szCs w:val="16"/>
          <w:lang w:val="es-MX"/>
        </w:rPr>
        <w:tab/>
      </w:r>
      <w:r w:rsidRPr="00363F94">
        <w:rPr>
          <w:rFonts w:cs="Verdana"/>
          <w:i/>
          <w:iCs/>
          <w:szCs w:val="16"/>
          <w:lang w:val="es-MX"/>
        </w:rPr>
        <w:t xml:space="preserve">Cfr. Caso de los Hermanos Gómez </w:t>
      </w:r>
      <w:proofErr w:type="spellStart"/>
      <w:r w:rsidRPr="00363F94">
        <w:rPr>
          <w:rFonts w:cs="Verdana"/>
          <w:i/>
          <w:iCs/>
          <w:szCs w:val="16"/>
          <w:lang w:val="es-MX"/>
        </w:rPr>
        <w:t>Paquiyauri</w:t>
      </w:r>
      <w:proofErr w:type="spellEnd"/>
      <w:r w:rsidRPr="00363F94">
        <w:rPr>
          <w:rFonts w:cs="Verdana"/>
          <w:i/>
          <w:iCs/>
          <w:szCs w:val="16"/>
          <w:lang w:val="es-MX"/>
        </w:rPr>
        <w:t xml:space="preserve">, </w:t>
      </w:r>
      <w:proofErr w:type="spellStart"/>
      <w:r w:rsidRPr="00363F94">
        <w:rPr>
          <w:rFonts w:cs="Verdana"/>
          <w:szCs w:val="16"/>
          <w:lang w:val="es-MX"/>
        </w:rPr>
        <w:t>párrs</w:t>
      </w:r>
      <w:proofErr w:type="spellEnd"/>
      <w:r w:rsidRPr="00363F94">
        <w:rPr>
          <w:rFonts w:cs="Verdana"/>
          <w:szCs w:val="16"/>
          <w:lang w:val="es-MX"/>
        </w:rPr>
        <w:t xml:space="preserve">. 124, 163-164, y 171, </w:t>
      </w:r>
      <w:r w:rsidRPr="00363F94">
        <w:rPr>
          <w:rFonts w:cs="Verdana"/>
          <w:i/>
          <w:szCs w:val="16"/>
          <w:lang w:val="es-MX"/>
        </w:rPr>
        <w:t xml:space="preserve">Caso </w:t>
      </w:r>
      <w:proofErr w:type="spellStart"/>
      <w:r w:rsidRPr="00363F94">
        <w:rPr>
          <w:rFonts w:cs="Verdana"/>
          <w:i/>
          <w:szCs w:val="16"/>
          <w:lang w:val="es-MX"/>
        </w:rPr>
        <w:t>Cuscul</w:t>
      </w:r>
      <w:proofErr w:type="spellEnd"/>
      <w:r w:rsidRPr="00363F94">
        <w:rPr>
          <w:rFonts w:cs="Verdana"/>
          <w:i/>
          <w:szCs w:val="16"/>
          <w:lang w:val="es-MX"/>
        </w:rPr>
        <w:t xml:space="preserve"> </w:t>
      </w:r>
      <w:proofErr w:type="spellStart"/>
      <w:r w:rsidRPr="00363F94">
        <w:rPr>
          <w:rFonts w:cs="Verdana"/>
          <w:i/>
          <w:szCs w:val="16"/>
          <w:lang w:val="es-MX"/>
        </w:rPr>
        <w:t>Pivaral</w:t>
      </w:r>
      <w:proofErr w:type="spellEnd"/>
      <w:r w:rsidRPr="00363F94">
        <w:rPr>
          <w:rFonts w:cs="Verdana"/>
          <w:i/>
          <w:szCs w:val="16"/>
          <w:lang w:val="es-MX"/>
        </w:rPr>
        <w:t xml:space="preserve"> y otros Vs. Guatemala. Sentencia de Excepción Preliminar, Fondo, Reparaciones y Costas</w:t>
      </w:r>
      <w:r w:rsidRPr="00363F94">
        <w:rPr>
          <w:rFonts w:cs="Verdana"/>
          <w:szCs w:val="16"/>
          <w:lang w:val="es-MX"/>
        </w:rPr>
        <w:t>. Sentencia de 14 de mayo de 2019. Serie C No. 359, párr. 132.</w:t>
      </w:r>
    </w:p>
  </w:footnote>
  <w:footnote w:id="70">
    <w:p w14:paraId="0B17BC85" w14:textId="729A5688" w:rsidR="007A0EF0" w:rsidRPr="004B087F" w:rsidRDefault="007A0EF0" w:rsidP="006F71E3">
      <w:pPr>
        <w:pStyle w:val="Textonotapie"/>
        <w:rPr>
          <w:lang w:val="es-PE"/>
        </w:rPr>
      </w:pPr>
      <w:r>
        <w:rPr>
          <w:rStyle w:val="Refdenotaalpie"/>
        </w:rPr>
        <w:footnoteRef/>
      </w:r>
      <w:r>
        <w:t xml:space="preserve"> </w:t>
      </w:r>
      <w:r>
        <w:tab/>
      </w:r>
      <w:r w:rsidRPr="00771D72">
        <w:rPr>
          <w:i/>
          <w:lang w:val="es-PE"/>
        </w:rPr>
        <w:t>Cfr. Caso Albán Cornejo y otros. Vs. Ecuador. Fondo, Reparaciones y Costas</w:t>
      </w:r>
      <w:r>
        <w:rPr>
          <w:lang w:val="es-PE"/>
        </w:rPr>
        <w:t xml:space="preserve">. </w:t>
      </w:r>
      <w:r w:rsidRPr="00A173DB">
        <w:rPr>
          <w:lang w:val="es-PE"/>
        </w:rPr>
        <w:t>Reparaciones y Costas. Sentencia de 22 de noviembre de 2007. Serie C No. 171</w:t>
      </w:r>
      <w:r w:rsidRPr="004B087F">
        <w:rPr>
          <w:lang w:val="es-PE"/>
        </w:rPr>
        <w:t xml:space="preserve"> párr. 117, </w:t>
      </w:r>
      <w:r w:rsidRPr="00771D72">
        <w:rPr>
          <w:i/>
          <w:lang w:val="es-PE"/>
        </w:rPr>
        <w:t>Caso Chinchilla Sandoval y otros Vs. Guatemala. Excepción Preliminar, Fondo, Reparaciones y Costas</w:t>
      </w:r>
      <w:r w:rsidRPr="004B087F">
        <w:rPr>
          <w:lang w:val="es-PE"/>
        </w:rPr>
        <w:t>. Sentencia de 29 de febrero de 2</w:t>
      </w:r>
      <w:r>
        <w:rPr>
          <w:lang w:val="es-PE"/>
        </w:rPr>
        <w:t>016. Serie C No. 312, párr. 170, y</w:t>
      </w:r>
      <w:r w:rsidRPr="004B087F">
        <w:rPr>
          <w:lang w:val="es-PE"/>
        </w:rPr>
        <w:t xml:space="preserve"> </w:t>
      </w:r>
      <w:r w:rsidRPr="00771D72">
        <w:rPr>
          <w:i/>
          <w:lang w:val="es-PE"/>
        </w:rPr>
        <w:t>Caso Ortiz Hernández y otros Vs Venezuela</w:t>
      </w:r>
      <w:r>
        <w:rPr>
          <w:lang w:val="es-PE"/>
        </w:rPr>
        <w:t>, párr. 119.</w:t>
      </w:r>
    </w:p>
  </w:footnote>
  <w:footnote w:id="71">
    <w:p w14:paraId="28A80193" w14:textId="6E93E13C" w:rsidR="007A0EF0" w:rsidRPr="001F551A" w:rsidRDefault="007A0EF0" w:rsidP="006F71E3">
      <w:pPr>
        <w:pStyle w:val="Textonotapie"/>
        <w:rPr>
          <w:lang w:val="es-PE"/>
        </w:rPr>
      </w:pPr>
      <w:r>
        <w:rPr>
          <w:rStyle w:val="Refdenotaalpie"/>
        </w:rPr>
        <w:footnoteRef/>
      </w:r>
      <w:r>
        <w:tab/>
      </w:r>
      <w:r w:rsidRPr="00771D72">
        <w:rPr>
          <w:i/>
          <w:lang w:val="es-PE"/>
        </w:rPr>
        <w:t>Cfr. Caso Tibi Vs. Ecuador. Excepciones Preliminares, Fondo, Reparaciones y Costas</w:t>
      </w:r>
      <w:r w:rsidRPr="001F551A">
        <w:rPr>
          <w:lang w:val="es-PE"/>
        </w:rPr>
        <w:t>. Sentencia de 7 de</w:t>
      </w:r>
      <w:r>
        <w:rPr>
          <w:lang w:val="es-PE"/>
        </w:rPr>
        <w:t xml:space="preserve"> </w:t>
      </w:r>
      <w:r w:rsidRPr="001F551A">
        <w:rPr>
          <w:lang w:val="es-PE"/>
        </w:rPr>
        <w:t xml:space="preserve">septiembre de 2004. Serie C No. 114, párr. 157, y </w:t>
      </w:r>
      <w:r w:rsidRPr="00A173DB">
        <w:rPr>
          <w:i/>
          <w:lang w:val="es-PE"/>
        </w:rPr>
        <w:t xml:space="preserve">Caso </w:t>
      </w:r>
      <w:proofErr w:type="spellStart"/>
      <w:r w:rsidRPr="00A173DB">
        <w:rPr>
          <w:i/>
          <w:lang w:val="es-PE"/>
        </w:rPr>
        <w:t>Cuscul</w:t>
      </w:r>
      <w:proofErr w:type="spellEnd"/>
      <w:r w:rsidRPr="00A173DB">
        <w:rPr>
          <w:i/>
          <w:lang w:val="es-PE"/>
        </w:rPr>
        <w:t xml:space="preserve"> </w:t>
      </w:r>
      <w:proofErr w:type="spellStart"/>
      <w:r w:rsidRPr="00A173DB">
        <w:rPr>
          <w:i/>
          <w:lang w:val="es-PE"/>
        </w:rPr>
        <w:t>Pivaral</w:t>
      </w:r>
      <w:proofErr w:type="spellEnd"/>
      <w:r w:rsidRPr="00A173DB">
        <w:rPr>
          <w:i/>
          <w:lang w:val="es-PE"/>
        </w:rPr>
        <w:t xml:space="preserve"> y otros Vs. Guatemala</w:t>
      </w:r>
      <w:r>
        <w:rPr>
          <w:lang w:val="es-PE"/>
        </w:rPr>
        <w:t>, párr. 161.</w:t>
      </w:r>
    </w:p>
  </w:footnote>
  <w:footnote w:id="72">
    <w:p w14:paraId="50513446" w14:textId="56A0D1B8" w:rsidR="007A0EF0" w:rsidRPr="001F551A" w:rsidRDefault="007A0EF0" w:rsidP="006F71E3">
      <w:pPr>
        <w:pStyle w:val="Textonotapie"/>
      </w:pPr>
      <w:r>
        <w:rPr>
          <w:rStyle w:val="Refdenotaalpie"/>
        </w:rPr>
        <w:footnoteRef/>
      </w:r>
      <w:r>
        <w:t xml:space="preserve"> </w:t>
      </w:r>
      <w:r>
        <w:tab/>
      </w:r>
      <w:r w:rsidRPr="00771D72">
        <w:rPr>
          <w:i/>
          <w:lang w:val="es-PE"/>
        </w:rPr>
        <w:t xml:space="preserve">Cfr. </w:t>
      </w:r>
      <w:r w:rsidRPr="00A173DB">
        <w:rPr>
          <w:i/>
          <w:lang w:val="es-PE"/>
        </w:rPr>
        <w:t>Caso Ortiz Hernández y otros Vs. Venezuela</w:t>
      </w:r>
      <w:r>
        <w:rPr>
          <w:lang w:val="es-PE"/>
        </w:rPr>
        <w:t>, párr. 119.</w:t>
      </w:r>
    </w:p>
  </w:footnote>
  <w:footnote w:id="73">
    <w:p w14:paraId="11D53545" w14:textId="5D48E92B" w:rsidR="007A0EF0" w:rsidRPr="008974C4" w:rsidRDefault="007A0EF0" w:rsidP="004320D2">
      <w:pPr>
        <w:pStyle w:val="Textonotapie"/>
        <w:spacing w:before="60" w:after="60"/>
        <w:rPr>
          <w:lang w:val="es-CR"/>
        </w:rPr>
      </w:pPr>
      <w:r w:rsidRPr="008974C4">
        <w:rPr>
          <w:rStyle w:val="Refdenotaalpie"/>
        </w:rPr>
        <w:footnoteRef/>
      </w:r>
      <w:r w:rsidRPr="008974C4">
        <w:t xml:space="preserve"> </w:t>
      </w:r>
      <w:r w:rsidRPr="008974C4">
        <w:rPr>
          <w:lang w:val="es-CR"/>
        </w:rPr>
        <w:tab/>
      </w:r>
      <w:r w:rsidRPr="008974C4">
        <w:rPr>
          <w:i/>
          <w:lang w:val="es-CR"/>
        </w:rPr>
        <w:t>Cfr.</w:t>
      </w:r>
      <w:r w:rsidRPr="008974C4">
        <w:rPr>
          <w:lang w:val="es-CR"/>
        </w:rPr>
        <w:t xml:space="preserve"> </w:t>
      </w:r>
      <w:r w:rsidRPr="008974C4">
        <w:rPr>
          <w:i/>
          <w:lang w:val="es-CR"/>
        </w:rPr>
        <w:t>Caso Yarce y otras Vs. Colombia. Excepción Preliminar, Fondo, Reparaciones y Costas</w:t>
      </w:r>
      <w:r w:rsidRPr="008974C4">
        <w:rPr>
          <w:lang w:val="es-CR"/>
        </w:rPr>
        <w:t xml:space="preserve">. Sentencia de 22 de noviembre de 2016. Serie C No. 325, párr. 180, y </w:t>
      </w:r>
      <w:r w:rsidRPr="00A173DB">
        <w:rPr>
          <w:i/>
          <w:lang w:val="es-CR"/>
        </w:rPr>
        <w:t>Caso Díaz Loreto y otros Vs. Venezuela. Excepciones Preliminares, Fondo, Reparaciones y Costas</w:t>
      </w:r>
      <w:r w:rsidRPr="00404C7B">
        <w:rPr>
          <w:lang w:val="es-CR"/>
        </w:rPr>
        <w:t>. Sentencia de 19 de noviembre de 2019. Serie C No. 392</w:t>
      </w:r>
      <w:r w:rsidRPr="008974C4">
        <w:rPr>
          <w:lang w:val="es-CR"/>
        </w:rPr>
        <w:t xml:space="preserve">, párr. </w:t>
      </w:r>
      <w:r>
        <w:rPr>
          <w:lang w:val="es-CR"/>
        </w:rPr>
        <w:t>67</w:t>
      </w:r>
      <w:r w:rsidRPr="008974C4">
        <w:rPr>
          <w:lang w:val="es-CR"/>
        </w:rPr>
        <w:t>.</w:t>
      </w:r>
    </w:p>
  </w:footnote>
  <w:footnote w:id="74">
    <w:p w14:paraId="62E63E92" w14:textId="23A0F76F" w:rsidR="007A0EF0" w:rsidRPr="000C0DE5" w:rsidRDefault="007A0EF0">
      <w:pPr>
        <w:pStyle w:val="Textonotapie"/>
      </w:pPr>
      <w:r>
        <w:rPr>
          <w:rStyle w:val="Refdenotaalpie"/>
        </w:rPr>
        <w:footnoteRef/>
      </w:r>
      <w:r>
        <w:t xml:space="preserve"> </w:t>
      </w:r>
      <w:r>
        <w:tab/>
        <w:t xml:space="preserve">Indicó la Comisión: a) </w:t>
      </w:r>
      <w:r w:rsidRPr="00F57026">
        <w:t>en relación con la práctica de pruebas testimoniales</w:t>
      </w:r>
      <w:r>
        <w:t xml:space="preserve">, </w:t>
      </w:r>
      <w:r>
        <w:rPr>
          <w:rFonts w:eastAsia="Verdana" w:cs="Verdana"/>
        </w:rPr>
        <w:t>de la veintena de testigos convocados solo se concretaron dos entrevistas y además, la Fiscalía volcó sobre la madre de la presunta víctima la obligación de proveer las direcciones de los cabos aspirantes cuyo testimonio era requerido para la construcción de la prueba testimonial</w:t>
      </w:r>
      <w:r w:rsidRPr="003B376F">
        <w:rPr>
          <w:rFonts w:eastAsia="Verdana" w:cs="Verdana"/>
        </w:rPr>
        <w:t xml:space="preserve">; </w:t>
      </w:r>
      <w:r>
        <w:rPr>
          <w:rFonts w:eastAsia="Verdana" w:cs="Verdana"/>
        </w:rPr>
        <w:t>b</w:t>
      </w:r>
      <w:r w:rsidRPr="003B376F">
        <w:rPr>
          <w:rFonts w:eastAsia="Verdana" w:cs="Verdana"/>
        </w:rPr>
        <w:t>)</w:t>
      </w:r>
      <w:r>
        <w:rPr>
          <w:rFonts w:eastAsia="Verdana" w:cs="Verdana"/>
        </w:rPr>
        <w:t xml:space="preserve"> que</w:t>
      </w:r>
      <w:r w:rsidRPr="003B376F">
        <w:rPr>
          <w:rFonts w:eastAsia="Verdana" w:cs="Verdana"/>
        </w:rPr>
        <w:t xml:space="preserve"> </w:t>
      </w:r>
      <w:r>
        <w:rPr>
          <w:rFonts w:eastAsia="Verdana" w:cs="Verdana"/>
        </w:rPr>
        <w:t>en los dos informes de las autopsias se señala como causa de muerte una infección pulmonar sin relacionar dicha enfermedad con el entorno contextual y las condiciones de vida de la presunta víctima, sumado a que no se tomaron pruebas de rayos-x en ninguna de las autopsias ni se adjuntaron fotografías al informe médico ni al expediente judicial militar, y c</w:t>
      </w:r>
      <w:r w:rsidRPr="003B376F">
        <w:rPr>
          <w:rFonts w:eastAsia="Verdana" w:cs="Verdana"/>
        </w:rPr>
        <w:t xml:space="preserve">) </w:t>
      </w:r>
      <w:r>
        <w:rPr>
          <w:rFonts w:eastAsia="Verdana" w:cs="Verdana"/>
        </w:rPr>
        <w:t xml:space="preserve">que </w:t>
      </w:r>
      <w:r w:rsidRPr="003B376F">
        <w:rPr>
          <w:rFonts w:eastAsia="Verdana" w:cs="Verdana"/>
        </w:rPr>
        <w:t xml:space="preserve">no consta que se hubiese seguido una </w:t>
      </w:r>
      <w:r>
        <w:rPr>
          <w:rFonts w:eastAsia="Verdana" w:cs="Verdana"/>
        </w:rPr>
        <w:t>estrategia investigativa orientada a corroborar o descartar que la muerte de la presunta víctima no fue un hecho accidental sino más bien el resultado de un hecho violento.</w:t>
      </w:r>
    </w:p>
  </w:footnote>
  <w:footnote w:id="75">
    <w:p w14:paraId="14B8E5A9" w14:textId="371C5553" w:rsidR="007A0EF0" w:rsidRPr="0043341E" w:rsidRDefault="007A0EF0" w:rsidP="007A1326">
      <w:pPr>
        <w:pStyle w:val="Textonotapie"/>
        <w:rPr>
          <w:szCs w:val="16"/>
        </w:rPr>
      </w:pPr>
      <w:r w:rsidRPr="0043341E">
        <w:rPr>
          <w:rStyle w:val="Refdenotaalpie"/>
          <w:szCs w:val="16"/>
        </w:rPr>
        <w:footnoteRef/>
      </w:r>
      <w:r w:rsidRPr="0043341E">
        <w:rPr>
          <w:szCs w:val="16"/>
        </w:rPr>
        <w:t xml:space="preserve"> </w:t>
      </w:r>
      <w:r w:rsidRPr="0043341E">
        <w:rPr>
          <w:szCs w:val="16"/>
        </w:rPr>
        <w:tab/>
      </w:r>
      <w:r w:rsidRPr="0043341E">
        <w:rPr>
          <w:i/>
          <w:szCs w:val="16"/>
        </w:rPr>
        <w:t xml:space="preserve">Cfr. Caso Velásquez Rodríguez Vs. Honduras. Excepciones Preliminares. </w:t>
      </w:r>
      <w:r w:rsidRPr="0043341E">
        <w:rPr>
          <w:szCs w:val="16"/>
        </w:rPr>
        <w:t>Sentencia de 26 de junio de 1987. Serie C No. 1, párr. 91, y</w:t>
      </w:r>
      <w:r w:rsidRPr="0043341E">
        <w:rPr>
          <w:i/>
          <w:szCs w:val="16"/>
        </w:rPr>
        <w:t xml:space="preserve"> </w:t>
      </w:r>
      <w:r w:rsidRPr="00A173DB">
        <w:rPr>
          <w:rStyle w:val="Textoennegrita"/>
          <w:b w:val="0"/>
          <w:i/>
          <w:color w:val="000000"/>
          <w:szCs w:val="16"/>
        </w:rPr>
        <w:t>Caso Montesinos Mejía Vs. Ecuador</w:t>
      </w:r>
      <w:r w:rsidRPr="0043341E">
        <w:rPr>
          <w:szCs w:val="16"/>
        </w:rPr>
        <w:t xml:space="preserve">, párr. </w:t>
      </w:r>
      <w:r>
        <w:rPr>
          <w:szCs w:val="16"/>
        </w:rPr>
        <w:t>151</w:t>
      </w:r>
      <w:r w:rsidRPr="0043341E">
        <w:rPr>
          <w:i/>
          <w:szCs w:val="16"/>
        </w:rPr>
        <w:t>.</w:t>
      </w:r>
    </w:p>
  </w:footnote>
  <w:footnote w:id="76">
    <w:p w14:paraId="704CD602" w14:textId="707CC9E3" w:rsidR="007A0EF0" w:rsidRPr="00460804" w:rsidRDefault="007A0EF0" w:rsidP="000976B7">
      <w:pPr>
        <w:pStyle w:val="Textonotapie"/>
        <w:rPr>
          <w:lang w:val="es-MX"/>
        </w:rPr>
      </w:pPr>
      <w:r>
        <w:rPr>
          <w:rStyle w:val="Refdenotaalpie"/>
        </w:rPr>
        <w:footnoteRef/>
      </w:r>
      <w:r>
        <w:t xml:space="preserve">   </w:t>
      </w:r>
      <w:r>
        <w:tab/>
      </w:r>
      <w:r w:rsidRPr="00EF0EB8">
        <w:rPr>
          <w:i/>
        </w:rPr>
        <w:t>Cfr.</w:t>
      </w:r>
      <w:r w:rsidRPr="00EF0EB8">
        <w:t xml:space="preserve"> </w:t>
      </w:r>
      <w:r w:rsidRPr="00404C7B">
        <w:rPr>
          <w:i/>
        </w:rPr>
        <w:t>Caso Mejía Idrovo Vs. Ecuador. Excepciones Preliminares, Fondo, Reparaciones y Costas</w:t>
      </w:r>
      <w:r w:rsidRPr="00A173DB">
        <w:t>. Sentencia de 5 de julio de 2011. Serie C No. 228</w:t>
      </w:r>
      <w:r w:rsidRPr="00EF0EB8">
        <w:t>,</w:t>
      </w:r>
      <w:r>
        <w:t xml:space="preserve"> párr. 95</w:t>
      </w:r>
      <w:r w:rsidRPr="00EF0EB8">
        <w:t>, y</w:t>
      </w:r>
      <w:r>
        <w:t xml:space="preserve"> </w:t>
      </w:r>
      <w:r w:rsidRPr="00404C7B">
        <w:rPr>
          <w:bCs/>
          <w:i/>
        </w:rPr>
        <w:t>Caso López y otros Vs. Argentina. Excepciones Preliminares, Fondo, Reparaciones y Costas</w:t>
      </w:r>
      <w:r w:rsidRPr="000D6D26">
        <w:rPr>
          <w:bCs/>
        </w:rPr>
        <w:t>. Sentencia de 25 de noviemb</w:t>
      </w:r>
      <w:r w:rsidR="00B41EBA">
        <w:rPr>
          <w:bCs/>
        </w:rPr>
        <w:t>re de 2019. Serie C No. 396</w:t>
      </w:r>
      <w:r>
        <w:rPr>
          <w:bCs/>
        </w:rPr>
        <w:t>, párr. 209</w:t>
      </w:r>
      <w:r w:rsidRPr="00460804">
        <w:rPr>
          <w:bCs/>
        </w:rPr>
        <w:t>.</w:t>
      </w:r>
    </w:p>
  </w:footnote>
  <w:footnote w:id="77">
    <w:p w14:paraId="4EBB0AEE" w14:textId="29699A13" w:rsidR="007A0EF0" w:rsidRPr="00460804" w:rsidRDefault="007A0EF0" w:rsidP="000976B7">
      <w:pPr>
        <w:pStyle w:val="Textonotapie"/>
        <w:rPr>
          <w:lang w:val="es-MX"/>
        </w:rPr>
      </w:pPr>
      <w:r>
        <w:rPr>
          <w:rStyle w:val="Refdenotaalpie"/>
        </w:rPr>
        <w:footnoteRef/>
      </w:r>
      <w:r>
        <w:t xml:space="preserve"> </w:t>
      </w:r>
      <w:r>
        <w:rPr>
          <w:lang w:val="es-MX"/>
        </w:rPr>
        <w:t xml:space="preserve"> </w:t>
      </w:r>
      <w:r>
        <w:rPr>
          <w:lang w:val="es-MX"/>
        </w:rPr>
        <w:tab/>
      </w:r>
      <w:r w:rsidRPr="00460804">
        <w:rPr>
          <w:i/>
        </w:rPr>
        <w:t>Cfr.</w:t>
      </w:r>
      <w:r w:rsidRPr="00460804">
        <w:t xml:space="preserve"> </w:t>
      </w:r>
      <w:r w:rsidRPr="00404C7B">
        <w:rPr>
          <w:i/>
        </w:rPr>
        <w:t xml:space="preserve">Caso de los “Niños de la Calle” (Villagrán Morales y otros) Vs. Guatemala. </w:t>
      </w:r>
      <w:r w:rsidRPr="00404C7B">
        <w:rPr>
          <w:bCs/>
          <w:i/>
        </w:rPr>
        <w:t>Fondo</w:t>
      </w:r>
      <w:r>
        <w:rPr>
          <w:bCs/>
        </w:rPr>
        <w:t xml:space="preserve">, párr. 237 y </w:t>
      </w:r>
      <w:r w:rsidRPr="00404C7B">
        <w:rPr>
          <w:bCs/>
          <w:i/>
        </w:rPr>
        <w:t>Caso López y otros Vs. Argentina</w:t>
      </w:r>
      <w:r>
        <w:rPr>
          <w:bCs/>
        </w:rPr>
        <w:t>, párr. 209</w:t>
      </w:r>
      <w:r w:rsidRPr="00460804">
        <w:rPr>
          <w:bCs/>
        </w:rPr>
        <w:t>.</w:t>
      </w:r>
    </w:p>
  </w:footnote>
  <w:footnote w:id="78">
    <w:p w14:paraId="151CD83D" w14:textId="7E59FECD" w:rsidR="007A0EF0" w:rsidRPr="0043341E" w:rsidRDefault="007A0EF0" w:rsidP="009224F7">
      <w:pPr>
        <w:pStyle w:val="Textonotapie"/>
        <w:rPr>
          <w:spacing w:val="-2"/>
          <w:szCs w:val="16"/>
          <w:lang w:val="es-CR"/>
        </w:rPr>
      </w:pPr>
      <w:r w:rsidRPr="0043341E">
        <w:rPr>
          <w:rStyle w:val="Smbolodenotaalpie"/>
          <w:szCs w:val="16"/>
        </w:rPr>
        <w:footnoteRef/>
      </w:r>
      <w:r w:rsidRPr="0043341E">
        <w:rPr>
          <w:i/>
          <w:spacing w:val="-4"/>
          <w:szCs w:val="16"/>
          <w:lang w:val="es-VE"/>
        </w:rPr>
        <w:t xml:space="preserve"> </w:t>
      </w:r>
      <w:r w:rsidRPr="0043341E">
        <w:rPr>
          <w:i/>
          <w:spacing w:val="-4"/>
          <w:szCs w:val="16"/>
          <w:lang w:val="es-VE"/>
        </w:rPr>
        <w:tab/>
        <w:t xml:space="preserve">Cfr. </w:t>
      </w:r>
      <w:r w:rsidRPr="0043341E">
        <w:rPr>
          <w:rFonts w:cstheme="minorBidi"/>
          <w:i/>
          <w:szCs w:val="16"/>
        </w:rPr>
        <w:t>Caso</w:t>
      </w:r>
      <w:r w:rsidRPr="0043341E">
        <w:rPr>
          <w:rFonts w:cs="Arial"/>
          <w:spacing w:val="-4"/>
          <w:szCs w:val="16"/>
          <w:lang w:val="es-CR"/>
        </w:rPr>
        <w:t xml:space="preserve"> </w:t>
      </w:r>
      <w:r w:rsidRPr="0043341E">
        <w:rPr>
          <w:rFonts w:cs="Arial"/>
          <w:i/>
          <w:spacing w:val="-4"/>
          <w:szCs w:val="16"/>
          <w:lang w:val="es-CR"/>
        </w:rPr>
        <w:t>Velásquez Rodríguez Vs. Honduras. Fondo</w:t>
      </w:r>
      <w:r w:rsidRPr="0043341E">
        <w:rPr>
          <w:rFonts w:cs="Arial"/>
          <w:spacing w:val="-4"/>
          <w:szCs w:val="16"/>
          <w:lang w:val="es-CR"/>
        </w:rPr>
        <w:t xml:space="preserve">, </w:t>
      </w:r>
      <w:r w:rsidRPr="0043341E">
        <w:rPr>
          <w:rFonts w:cs="Verdana"/>
          <w:spacing w:val="-4"/>
          <w:szCs w:val="16"/>
          <w:lang w:val="es-VE"/>
        </w:rPr>
        <w:t>párr. 177</w:t>
      </w:r>
      <w:r w:rsidRPr="0043341E">
        <w:rPr>
          <w:spacing w:val="-2"/>
          <w:szCs w:val="16"/>
          <w:lang w:val="es-VE"/>
        </w:rPr>
        <w:t xml:space="preserve">, </w:t>
      </w:r>
      <w:r w:rsidRPr="0043341E">
        <w:rPr>
          <w:spacing w:val="-2"/>
          <w:szCs w:val="16"/>
          <w:lang w:val="es-CR"/>
        </w:rPr>
        <w:t xml:space="preserve">y </w:t>
      </w:r>
      <w:r w:rsidRPr="000D6D26">
        <w:rPr>
          <w:i/>
          <w:spacing w:val="-2"/>
          <w:szCs w:val="16"/>
          <w:lang w:val="es-CR"/>
        </w:rPr>
        <w:t xml:space="preserve">Caso Gómez </w:t>
      </w:r>
      <w:proofErr w:type="spellStart"/>
      <w:r w:rsidRPr="000D6D26">
        <w:rPr>
          <w:i/>
          <w:spacing w:val="-2"/>
          <w:szCs w:val="16"/>
          <w:lang w:val="es-CR"/>
        </w:rPr>
        <w:t>Virula</w:t>
      </w:r>
      <w:proofErr w:type="spellEnd"/>
      <w:r w:rsidRPr="000D6D26">
        <w:rPr>
          <w:i/>
          <w:spacing w:val="-2"/>
          <w:szCs w:val="16"/>
          <w:lang w:val="es-CR"/>
        </w:rPr>
        <w:t xml:space="preserve"> y otros Vs. Guatemala. Excepción Preliminar, Fondo, Reparaciones y Costas</w:t>
      </w:r>
      <w:r w:rsidRPr="00404C7B">
        <w:rPr>
          <w:spacing w:val="-2"/>
          <w:szCs w:val="16"/>
          <w:lang w:val="es-CR"/>
        </w:rPr>
        <w:t>. Sentencia de 21 de noviembre de 2019. Serie C No. 393</w:t>
      </w:r>
      <w:r w:rsidRPr="000D6D26">
        <w:rPr>
          <w:spacing w:val="-2"/>
          <w:szCs w:val="16"/>
          <w:lang w:val="es-CR"/>
        </w:rPr>
        <w:t>,</w:t>
      </w:r>
      <w:r w:rsidRPr="0043341E">
        <w:rPr>
          <w:spacing w:val="-2"/>
          <w:szCs w:val="16"/>
          <w:lang w:val="es-CR"/>
        </w:rPr>
        <w:t xml:space="preserve"> párr. </w:t>
      </w:r>
      <w:r>
        <w:rPr>
          <w:spacing w:val="-2"/>
          <w:szCs w:val="16"/>
          <w:lang w:val="es-CR"/>
        </w:rPr>
        <w:t>65</w:t>
      </w:r>
      <w:r w:rsidRPr="0043341E">
        <w:rPr>
          <w:spacing w:val="-2"/>
          <w:szCs w:val="16"/>
          <w:lang w:val="es-CR"/>
        </w:rPr>
        <w:t>.</w:t>
      </w:r>
    </w:p>
  </w:footnote>
  <w:footnote w:id="79">
    <w:p w14:paraId="39693760" w14:textId="5A6F1F49" w:rsidR="007A0EF0" w:rsidRPr="0043341E" w:rsidRDefault="007A0EF0" w:rsidP="009224F7">
      <w:pPr>
        <w:pStyle w:val="Textonotapie"/>
        <w:rPr>
          <w:spacing w:val="-2"/>
          <w:szCs w:val="16"/>
          <w:lang w:val="es-CR"/>
        </w:rPr>
      </w:pPr>
      <w:r w:rsidRPr="0043341E">
        <w:rPr>
          <w:rStyle w:val="Smbolodenotaalpie"/>
          <w:szCs w:val="16"/>
        </w:rPr>
        <w:footnoteRef/>
      </w:r>
      <w:r w:rsidRPr="0043341E">
        <w:rPr>
          <w:i/>
          <w:spacing w:val="-4"/>
          <w:szCs w:val="16"/>
          <w:lang w:val="es-CL"/>
        </w:rPr>
        <w:t xml:space="preserve"> </w:t>
      </w:r>
      <w:r w:rsidRPr="0043341E">
        <w:rPr>
          <w:i/>
          <w:spacing w:val="-4"/>
          <w:szCs w:val="16"/>
          <w:lang w:val="es-CL"/>
        </w:rPr>
        <w:tab/>
      </w:r>
      <w:r w:rsidRPr="0043341E">
        <w:rPr>
          <w:i/>
          <w:spacing w:val="-4"/>
          <w:szCs w:val="16"/>
          <w:lang w:val="es-GT"/>
        </w:rPr>
        <w:t xml:space="preserve">Cfr. </w:t>
      </w:r>
      <w:r w:rsidRPr="0043341E">
        <w:rPr>
          <w:bCs/>
          <w:i/>
          <w:spacing w:val="-4"/>
          <w:szCs w:val="16"/>
          <w:lang w:val="es-GT"/>
        </w:rPr>
        <w:t xml:space="preserve">Caso </w:t>
      </w:r>
      <w:r w:rsidRPr="0043341E">
        <w:rPr>
          <w:i/>
          <w:spacing w:val="-4"/>
          <w:szCs w:val="16"/>
          <w:lang w:val="es-CR"/>
        </w:rPr>
        <w:t>de</w:t>
      </w:r>
      <w:r w:rsidRPr="0043341E">
        <w:rPr>
          <w:bCs/>
          <w:i/>
          <w:spacing w:val="-4"/>
          <w:szCs w:val="16"/>
          <w:lang w:val="es-GT"/>
        </w:rPr>
        <w:t xml:space="preserve"> las Hermanas Serrano Cruz Vs. El Salvador. Fondo, Reparaciones y Costas. </w:t>
      </w:r>
      <w:r w:rsidRPr="0043341E">
        <w:rPr>
          <w:bCs/>
          <w:spacing w:val="-4"/>
          <w:szCs w:val="16"/>
          <w:lang w:val="es-GT"/>
        </w:rPr>
        <w:t>Sentencia de 1 de marzo de 2005. Serie C No. 120</w:t>
      </w:r>
      <w:r w:rsidRPr="0043341E">
        <w:rPr>
          <w:bCs/>
          <w:i/>
          <w:spacing w:val="-4"/>
          <w:szCs w:val="16"/>
          <w:lang w:val="es-GT"/>
        </w:rPr>
        <w:t xml:space="preserve">, </w:t>
      </w:r>
      <w:r w:rsidRPr="0043341E">
        <w:rPr>
          <w:spacing w:val="-4"/>
          <w:szCs w:val="16"/>
          <w:lang w:val="es-GT"/>
        </w:rPr>
        <w:t xml:space="preserve">párr. 83, </w:t>
      </w:r>
      <w:r w:rsidRPr="0043341E">
        <w:rPr>
          <w:rStyle w:val="Textoennegrita"/>
          <w:b w:val="0"/>
          <w:color w:val="000000"/>
          <w:szCs w:val="16"/>
        </w:rPr>
        <w:t>y</w:t>
      </w:r>
      <w:r w:rsidRPr="0043341E">
        <w:rPr>
          <w:rStyle w:val="Textoennegrita"/>
          <w:color w:val="000000"/>
          <w:szCs w:val="16"/>
        </w:rPr>
        <w:t xml:space="preserve"> </w:t>
      </w:r>
      <w:r w:rsidRPr="000D6D26">
        <w:rPr>
          <w:i/>
          <w:spacing w:val="-2"/>
          <w:szCs w:val="16"/>
          <w:lang w:val="es-CR"/>
        </w:rPr>
        <w:t xml:space="preserve">Caso </w:t>
      </w:r>
      <w:proofErr w:type="spellStart"/>
      <w:r w:rsidRPr="000D6D26">
        <w:rPr>
          <w:i/>
          <w:spacing w:val="-2"/>
          <w:szCs w:val="16"/>
          <w:lang w:val="es-CR"/>
        </w:rPr>
        <w:t>Omeara</w:t>
      </w:r>
      <w:proofErr w:type="spellEnd"/>
      <w:r w:rsidRPr="000D6D26">
        <w:rPr>
          <w:i/>
          <w:spacing w:val="-2"/>
          <w:szCs w:val="16"/>
          <w:lang w:val="es-CR"/>
        </w:rPr>
        <w:t xml:space="preserve"> Carrascal y otros Vs. Colombia. Interpretación de la Sentencia de Fondo, Reparaciones y Costas</w:t>
      </w:r>
      <w:r w:rsidRPr="00404C7B">
        <w:rPr>
          <w:spacing w:val="-2"/>
          <w:szCs w:val="16"/>
          <w:lang w:val="es-CR"/>
        </w:rPr>
        <w:t>. Sentencia de 14 de o</w:t>
      </w:r>
      <w:r w:rsidR="00B41EBA">
        <w:rPr>
          <w:spacing w:val="-2"/>
          <w:szCs w:val="16"/>
          <w:lang w:val="es-CR"/>
        </w:rPr>
        <w:t>ctubre de 2019. Serie C No. 389</w:t>
      </w:r>
      <w:r w:rsidRPr="00404C7B">
        <w:rPr>
          <w:spacing w:val="-2"/>
          <w:szCs w:val="16"/>
          <w:lang w:val="es-CR"/>
        </w:rPr>
        <w:t>,</w:t>
      </w:r>
      <w:r w:rsidRPr="0043341E">
        <w:rPr>
          <w:i/>
          <w:spacing w:val="-2"/>
          <w:szCs w:val="16"/>
          <w:lang w:val="es-CR"/>
        </w:rPr>
        <w:t xml:space="preserve"> </w:t>
      </w:r>
      <w:r w:rsidRPr="0043341E">
        <w:rPr>
          <w:spacing w:val="-2"/>
          <w:szCs w:val="16"/>
          <w:lang w:val="es-CR"/>
        </w:rPr>
        <w:t xml:space="preserve">párr. </w:t>
      </w:r>
      <w:r>
        <w:rPr>
          <w:spacing w:val="-2"/>
          <w:szCs w:val="16"/>
          <w:lang w:val="es-CR"/>
        </w:rPr>
        <w:t>211</w:t>
      </w:r>
      <w:r w:rsidRPr="0043341E">
        <w:rPr>
          <w:spacing w:val="-2"/>
          <w:szCs w:val="16"/>
          <w:lang w:val="es-CR"/>
        </w:rPr>
        <w:t>.</w:t>
      </w:r>
    </w:p>
  </w:footnote>
  <w:footnote w:id="80">
    <w:p w14:paraId="0342F0DE" w14:textId="1B6228CF" w:rsidR="007A0EF0" w:rsidRPr="00DD7A77" w:rsidRDefault="007A0EF0">
      <w:pPr>
        <w:pStyle w:val="Textonotapie"/>
        <w:rPr>
          <w:lang w:val="es-MX"/>
        </w:rPr>
      </w:pPr>
      <w:r>
        <w:rPr>
          <w:rStyle w:val="Refdenotaalpie"/>
        </w:rPr>
        <w:footnoteRef/>
      </w:r>
      <w:r>
        <w:t xml:space="preserve">  </w:t>
      </w:r>
      <w:r>
        <w:tab/>
      </w:r>
      <w:r w:rsidRPr="004139CC">
        <w:rPr>
          <w:i/>
        </w:rPr>
        <w:t>Cfr.</w:t>
      </w:r>
      <w:r w:rsidRPr="004139CC">
        <w:t xml:space="preserve"> </w:t>
      </w:r>
      <w:r w:rsidRPr="001E07B6">
        <w:rPr>
          <w:i/>
        </w:rPr>
        <w:t>Caso Servellón García y otros Vs. Honduras</w:t>
      </w:r>
      <w:r w:rsidRPr="004139CC">
        <w:t>. Sentencia de 21 de septiembre de 2006. Serie</w:t>
      </w:r>
      <w:r>
        <w:t xml:space="preserve"> C No. 152, párr. 119</w:t>
      </w:r>
      <w:r w:rsidR="00B41EBA">
        <w:t>,</w:t>
      </w:r>
      <w:r>
        <w:t xml:space="preserve"> y </w:t>
      </w:r>
      <w:r w:rsidRPr="00404C7B">
        <w:rPr>
          <w:i/>
        </w:rPr>
        <w:t xml:space="preserve">Caso </w:t>
      </w:r>
      <w:r w:rsidRPr="00404C7B">
        <w:rPr>
          <w:bCs/>
          <w:i/>
        </w:rPr>
        <w:t xml:space="preserve">Gómez </w:t>
      </w:r>
      <w:proofErr w:type="spellStart"/>
      <w:r w:rsidRPr="00404C7B">
        <w:rPr>
          <w:bCs/>
          <w:i/>
        </w:rPr>
        <w:t>Virula</w:t>
      </w:r>
      <w:proofErr w:type="spellEnd"/>
      <w:r w:rsidRPr="00404C7B">
        <w:rPr>
          <w:bCs/>
          <w:i/>
        </w:rPr>
        <w:t xml:space="preserve"> y otros Vs. Guatemala</w:t>
      </w:r>
      <w:r>
        <w:rPr>
          <w:bCs/>
        </w:rPr>
        <w:t>, párr. 73.</w:t>
      </w:r>
    </w:p>
  </w:footnote>
  <w:footnote w:id="81">
    <w:p w14:paraId="2570406C" w14:textId="3A342348" w:rsidR="007A0EF0" w:rsidRPr="00F41B38" w:rsidRDefault="007A0EF0">
      <w:pPr>
        <w:pStyle w:val="Textonotapie"/>
        <w:rPr>
          <w:lang w:val="es-MX"/>
        </w:rPr>
      </w:pPr>
      <w:r>
        <w:rPr>
          <w:rStyle w:val="Refdenotaalpie"/>
        </w:rPr>
        <w:footnoteRef/>
      </w:r>
      <w:r>
        <w:t xml:space="preserve"> </w:t>
      </w:r>
      <w:r>
        <w:rPr>
          <w:lang w:val="es-MX"/>
        </w:rPr>
        <w:t xml:space="preserve">  </w:t>
      </w:r>
      <w:r>
        <w:rPr>
          <w:lang w:val="es-MX"/>
        </w:rPr>
        <w:tab/>
      </w:r>
      <w:r w:rsidRPr="00F41B38">
        <w:rPr>
          <w:i/>
        </w:rPr>
        <w:t>Cfr.</w:t>
      </w:r>
      <w:r w:rsidRPr="00F41B38">
        <w:t xml:space="preserve"> </w:t>
      </w:r>
      <w:r w:rsidRPr="001E07B6">
        <w:rPr>
          <w:i/>
        </w:rPr>
        <w:t>Caso de las Hermanas Serrano Cruz Vs. El Salvador. Fondo, Reparaciones y Costas</w:t>
      </w:r>
      <w:r w:rsidRPr="00F41B38">
        <w:t xml:space="preserve">. Sentencia de 1 de marzo de 2005. Serie C No. 120, </w:t>
      </w:r>
      <w:proofErr w:type="spellStart"/>
      <w:r w:rsidRPr="00F41B38">
        <w:t>párrs</w:t>
      </w:r>
      <w:proofErr w:type="spellEnd"/>
      <w:r w:rsidRPr="00F41B38">
        <w:t xml:space="preserve">. 88 y 105, y </w:t>
      </w:r>
      <w:r w:rsidRPr="00404C7B">
        <w:rPr>
          <w:i/>
        </w:rPr>
        <w:t xml:space="preserve">Caso </w:t>
      </w:r>
      <w:r w:rsidRPr="00404C7B">
        <w:rPr>
          <w:bCs/>
          <w:i/>
        </w:rPr>
        <w:t xml:space="preserve">Gómez </w:t>
      </w:r>
      <w:proofErr w:type="spellStart"/>
      <w:r w:rsidRPr="00404C7B">
        <w:rPr>
          <w:bCs/>
          <w:i/>
        </w:rPr>
        <w:t>Virula</w:t>
      </w:r>
      <w:proofErr w:type="spellEnd"/>
      <w:r w:rsidRPr="00404C7B">
        <w:rPr>
          <w:bCs/>
          <w:i/>
        </w:rPr>
        <w:t xml:space="preserve"> y otros Vs. Guatemala</w:t>
      </w:r>
      <w:r>
        <w:rPr>
          <w:bCs/>
        </w:rPr>
        <w:t>, párr. 77.</w:t>
      </w:r>
    </w:p>
  </w:footnote>
  <w:footnote w:id="82">
    <w:p w14:paraId="60BD447A" w14:textId="04F139D5" w:rsidR="007A0EF0" w:rsidRPr="00B369F1" w:rsidRDefault="007A0EF0" w:rsidP="00CF559B">
      <w:pPr>
        <w:pStyle w:val="Textonotapie"/>
        <w:rPr>
          <w:lang w:val="es-MX"/>
        </w:rPr>
      </w:pPr>
      <w:r>
        <w:rPr>
          <w:rStyle w:val="Refdenotaalpie"/>
        </w:rPr>
        <w:footnoteRef/>
      </w:r>
      <w:r>
        <w:t xml:space="preserve">  </w:t>
      </w:r>
      <w:r>
        <w:tab/>
      </w:r>
      <w:r w:rsidRPr="00B369F1">
        <w:rPr>
          <w:i/>
        </w:rPr>
        <w:t>Cfr.</w:t>
      </w:r>
      <w:r w:rsidRPr="00B369F1">
        <w:t xml:space="preserve"> </w:t>
      </w:r>
      <w:r w:rsidRPr="007C0D12">
        <w:rPr>
          <w:i/>
        </w:rPr>
        <w:t xml:space="preserve">Caso </w:t>
      </w:r>
      <w:proofErr w:type="spellStart"/>
      <w:r w:rsidRPr="007C0D12">
        <w:rPr>
          <w:i/>
        </w:rPr>
        <w:t>Hilaire</w:t>
      </w:r>
      <w:proofErr w:type="spellEnd"/>
      <w:r w:rsidRPr="007C0D12">
        <w:rPr>
          <w:i/>
        </w:rPr>
        <w:t xml:space="preserve">, </w:t>
      </w:r>
      <w:proofErr w:type="spellStart"/>
      <w:r w:rsidRPr="007C0D12">
        <w:rPr>
          <w:i/>
        </w:rPr>
        <w:t>Constantine</w:t>
      </w:r>
      <w:proofErr w:type="spellEnd"/>
      <w:r w:rsidRPr="007C0D12">
        <w:rPr>
          <w:i/>
        </w:rPr>
        <w:t xml:space="preserve"> y </w:t>
      </w:r>
      <w:proofErr w:type="spellStart"/>
      <w:r w:rsidRPr="007C0D12">
        <w:rPr>
          <w:i/>
        </w:rPr>
        <w:t>Benjamin</w:t>
      </w:r>
      <w:proofErr w:type="spellEnd"/>
      <w:r w:rsidRPr="007C0D12">
        <w:rPr>
          <w:i/>
        </w:rPr>
        <w:t xml:space="preserve"> y otros Vs. Trinidad y Tobago</w:t>
      </w:r>
      <w:r w:rsidRPr="00B369F1">
        <w:t>. Fondo, Reparaciones y Costas. Sentencia de 21 de junio de 2002. Serie C No. 94, párr. 145, y</w:t>
      </w:r>
      <w:r>
        <w:t xml:space="preserve"> </w:t>
      </w:r>
      <w:r w:rsidRPr="000D6D26">
        <w:rPr>
          <w:i/>
        </w:rPr>
        <w:t>Caso Montesinos Mejía Vs. Ecuador</w:t>
      </w:r>
      <w:r>
        <w:rPr>
          <w:bCs/>
        </w:rPr>
        <w:t>, párr. 178.</w:t>
      </w:r>
    </w:p>
  </w:footnote>
  <w:footnote w:id="83">
    <w:p w14:paraId="57F8F328" w14:textId="35445641" w:rsidR="007A0EF0" w:rsidRPr="00A150D1" w:rsidRDefault="007A0EF0" w:rsidP="00CF559B">
      <w:pPr>
        <w:pStyle w:val="Textonotapie"/>
      </w:pPr>
      <w:r>
        <w:rPr>
          <w:rStyle w:val="Refdenotaalpie"/>
        </w:rPr>
        <w:footnoteRef/>
      </w:r>
      <w:r>
        <w:t xml:space="preserve"> </w:t>
      </w:r>
      <w:r>
        <w:tab/>
      </w:r>
      <w:r w:rsidRPr="00B75EB2">
        <w:rPr>
          <w:rFonts w:cs="Verdana"/>
          <w:bCs/>
        </w:rPr>
        <w:t xml:space="preserve">En relación con la complejidad del asunto, la Corte ha tenido en cuenta diversos criterios para determinarla. Entre ellos, la complejidad de la prueba, la pluralidad de sujetos procesales o la cantidad de víctimas, el tiempo transcurrido desde </w:t>
      </w:r>
      <w:r>
        <w:rPr>
          <w:rFonts w:cs="Verdana"/>
          <w:bCs/>
        </w:rPr>
        <w:t>que se tuvo noticia del hecho que debe ser investigado</w:t>
      </w:r>
      <w:r w:rsidRPr="00B75EB2">
        <w:rPr>
          <w:rFonts w:cs="Verdana"/>
          <w:bCs/>
        </w:rPr>
        <w:t>, las características del recurso consagradas en la legislación interna y el contexto en el que ocurrió la violación</w:t>
      </w:r>
      <w:r>
        <w:rPr>
          <w:rFonts w:cs="Verdana"/>
          <w:bCs/>
        </w:rPr>
        <w:t xml:space="preserve">. </w:t>
      </w:r>
      <w:r w:rsidRPr="00B75EB2">
        <w:rPr>
          <w:i/>
        </w:rPr>
        <w:t>Cfr.</w:t>
      </w:r>
      <w:r w:rsidRPr="00B75EB2">
        <w:t xml:space="preserve"> </w:t>
      </w:r>
      <w:r w:rsidRPr="00404C7B">
        <w:rPr>
          <w:i/>
        </w:rPr>
        <w:t>Caso Genie Lacayo Vs. Nicaragua. Excepciones Preliminares</w:t>
      </w:r>
      <w:r w:rsidRPr="00B75EB2">
        <w:t>. Sentencia de 27 de enero de 1995. Serie C No. 21, párr. 78,</w:t>
      </w:r>
      <w:r>
        <w:t xml:space="preserve"> y </w:t>
      </w:r>
      <w:r w:rsidRPr="00404C7B">
        <w:rPr>
          <w:bCs/>
          <w:i/>
        </w:rPr>
        <w:t>Caso Jenkins Vs. Argentina</w:t>
      </w:r>
      <w:r>
        <w:rPr>
          <w:bCs/>
        </w:rPr>
        <w:t>,</w:t>
      </w:r>
      <w:r w:rsidRPr="00B75EB2">
        <w:rPr>
          <w:bCs/>
        </w:rPr>
        <w:t xml:space="preserve"> párr. </w:t>
      </w:r>
      <w:r>
        <w:rPr>
          <w:bCs/>
        </w:rPr>
        <w:t>110.</w:t>
      </w:r>
    </w:p>
  </w:footnote>
  <w:footnote w:id="84">
    <w:p w14:paraId="04952285" w14:textId="1FC44A31" w:rsidR="007A0EF0" w:rsidRPr="00A150D1" w:rsidRDefault="007A0EF0" w:rsidP="00CF559B">
      <w:pPr>
        <w:pStyle w:val="Textonotapie"/>
      </w:pPr>
      <w:r>
        <w:rPr>
          <w:rStyle w:val="Refdenotaalpie"/>
        </w:rPr>
        <w:footnoteRef/>
      </w:r>
      <w:r>
        <w:t xml:space="preserve"> </w:t>
      </w:r>
      <w:r>
        <w:tab/>
      </w:r>
      <w:r w:rsidRPr="004342C4">
        <w:rPr>
          <w:snapToGrid w:val="0"/>
          <w:spacing w:val="-2"/>
          <w:lang w:eastAsia="es-ES"/>
        </w:rPr>
        <w:t xml:space="preserve">Para determinar la razonabilidad del plazo, la Corte ha tomado en consideración si la conducta procesal del propio interesado en obtener justicia ha contribuido en algún grado a prolongar </w:t>
      </w:r>
      <w:r w:rsidRPr="00DE360D">
        <w:rPr>
          <w:rFonts w:cs="Verdana"/>
          <w:bCs/>
        </w:rPr>
        <w:t>indebidamente</w:t>
      </w:r>
      <w:r w:rsidRPr="004342C4">
        <w:rPr>
          <w:snapToGrid w:val="0"/>
          <w:spacing w:val="-2"/>
          <w:lang w:eastAsia="es-ES"/>
        </w:rPr>
        <w:t xml:space="preserve"> la duración del proceso</w:t>
      </w:r>
      <w:r>
        <w:rPr>
          <w:snapToGrid w:val="0"/>
          <w:spacing w:val="-2"/>
          <w:lang w:eastAsia="es-ES"/>
        </w:rPr>
        <w:t xml:space="preserve">. </w:t>
      </w:r>
      <w:r w:rsidRPr="004342C4">
        <w:rPr>
          <w:i/>
        </w:rPr>
        <w:t>Cfr</w:t>
      </w:r>
      <w:r w:rsidRPr="004342C4">
        <w:t xml:space="preserve">. </w:t>
      </w:r>
      <w:r w:rsidRPr="00404C7B">
        <w:rPr>
          <w:i/>
        </w:rPr>
        <w:t>Caso Cantos Vs. Argentina. Fondo, Reparaciones y Costas</w:t>
      </w:r>
      <w:r w:rsidRPr="004342C4">
        <w:t>. Sentencia de 28 de noviembre de</w:t>
      </w:r>
      <w:r>
        <w:t xml:space="preserve"> 2002. Serie C No. 97, párr. 57</w:t>
      </w:r>
      <w:r w:rsidR="00B41EBA">
        <w:t>,</w:t>
      </w:r>
      <w:r>
        <w:t xml:space="preserve"> y </w:t>
      </w:r>
      <w:r w:rsidRPr="00404C7B">
        <w:rPr>
          <w:i/>
        </w:rPr>
        <w:t>Caso Montesinos Mejía Vs. Ecuador</w:t>
      </w:r>
      <w:r w:rsidRPr="00404C7B">
        <w:rPr>
          <w:bCs/>
          <w:i/>
        </w:rPr>
        <w:t>,</w:t>
      </w:r>
      <w:r w:rsidRPr="004342C4">
        <w:rPr>
          <w:bCs/>
        </w:rPr>
        <w:t xml:space="preserve"> párr. </w:t>
      </w:r>
      <w:r>
        <w:rPr>
          <w:bCs/>
        </w:rPr>
        <w:t>184.</w:t>
      </w:r>
    </w:p>
  </w:footnote>
  <w:footnote w:id="85">
    <w:p w14:paraId="685A0BC0" w14:textId="77777777" w:rsidR="007A0EF0" w:rsidRPr="00A150D1" w:rsidRDefault="007A0EF0" w:rsidP="00CF559B">
      <w:pPr>
        <w:pStyle w:val="Textonotapie"/>
      </w:pPr>
      <w:r>
        <w:rPr>
          <w:rStyle w:val="Refdenotaalpie"/>
        </w:rPr>
        <w:footnoteRef/>
      </w:r>
      <w:r>
        <w:t xml:space="preserve"> </w:t>
      </w:r>
      <w:r>
        <w:tab/>
      </w:r>
      <w:r>
        <w:rPr>
          <w:snapToGrid w:val="0"/>
          <w:spacing w:val="-2"/>
          <w:lang w:eastAsia="es-ES"/>
        </w:rPr>
        <w:t>L</w:t>
      </w:r>
      <w:r w:rsidRPr="00EF0EB8">
        <w:rPr>
          <w:snapToGrid w:val="0"/>
          <w:spacing w:val="-2"/>
          <w:lang w:eastAsia="es-ES"/>
        </w:rPr>
        <w:t xml:space="preserve">a Corte ha entendido que, para lograr plenamente la efectividad de la sentencia, las autoridades judiciales deben </w:t>
      </w:r>
      <w:r w:rsidRPr="00DE360D">
        <w:rPr>
          <w:rFonts w:cs="Verdana"/>
          <w:bCs/>
        </w:rPr>
        <w:t>actuar</w:t>
      </w:r>
      <w:r w:rsidRPr="00EF0EB8">
        <w:rPr>
          <w:snapToGrid w:val="0"/>
          <w:spacing w:val="-2"/>
          <w:lang w:eastAsia="es-ES"/>
        </w:rPr>
        <w:t xml:space="preserve"> con celeridad y sin demora</w:t>
      </w:r>
      <w:r>
        <w:rPr>
          <w:snapToGrid w:val="0"/>
          <w:spacing w:val="-2"/>
          <w:lang w:eastAsia="es-ES"/>
        </w:rPr>
        <w:t xml:space="preserve">, </w:t>
      </w:r>
      <w:r w:rsidRPr="00EF0EB8">
        <w:rPr>
          <w:snapToGrid w:val="0"/>
          <w:spacing w:val="-2"/>
          <w:lang w:eastAsia="es-ES"/>
        </w:rPr>
        <w:t>debido a que el principio de tutela judicial efectiva requiere que</w:t>
      </w:r>
      <w:r>
        <w:rPr>
          <w:snapToGrid w:val="0"/>
          <w:spacing w:val="-2"/>
          <w:lang w:eastAsia="es-ES"/>
        </w:rPr>
        <w:t xml:space="preserve"> </w:t>
      </w:r>
      <w:r w:rsidRPr="00EF0EB8">
        <w:rPr>
          <w:snapToGrid w:val="0"/>
          <w:spacing w:val="-2"/>
          <w:lang w:eastAsia="es-ES"/>
        </w:rPr>
        <w:t>los procedimientos de ejecución sean llevados a cabo sin obstáculos o demoras indebidas, a fin de que alcancen su objetivo de manera rápida, sencilla e integral</w:t>
      </w:r>
      <w:r>
        <w:rPr>
          <w:snapToGrid w:val="0"/>
          <w:spacing w:val="-2"/>
          <w:lang w:eastAsia="es-ES"/>
        </w:rPr>
        <w:t>.</w:t>
      </w:r>
      <w:r w:rsidRPr="00BA22F2">
        <w:rPr>
          <w:i/>
        </w:rPr>
        <w:t xml:space="preserve"> </w:t>
      </w:r>
      <w:r w:rsidRPr="00EF0EB8">
        <w:rPr>
          <w:i/>
        </w:rPr>
        <w:t>Cfr.</w:t>
      </w:r>
      <w:r w:rsidRPr="00EF0EB8">
        <w:t xml:space="preserve"> </w:t>
      </w:r>
      <w:r w:rsidRPr="00B41EBA">
        <w:rPr>
          <w:i/>
        </w:rPr>
        <w:t>Caso Mejía Idrovo Vs. Ecuador,</w:t>
      </w:r>
      <w:r>
        <w:t xml:space="preserve"> párr. 106</w:t>
      </w:r>
      <w:r w:rsidRPr="00EF0EB8">
        <w:t>, y</w:t>
      </w:r>
      <w:r>
        <w:t xml:space="preserve"> </w:t>
      </w:r>
      <w:r w:rsidRPr="00B41EBA">
        <w:rPr>
          <w:bCs/>
          <w:i/>
        </w:rPr>
        <w:t>Caso Jenkins Vs. Argentina</w:t>
      </w:r>
      <w:r>
        <w:rPr>
          <w:bCs/>
        </w:rPr>
        <w:t>,</w:t>
      </w:r>
      <w:r w:rsidRPr="00B75EB2">
        <w:rPr>
          <w:bCs/>
        </w:rPr>
        <w:t xml:space="preserve"> párr. </w:t>
      </w:r>
      <w:r>
        <w:rPr>
          <w:bCs/>
        </w:rPr>
        <w:t>119</w:t>
      </w:r>
      <w:r w:rsidRPr="00B75EB2">
        <w:rPr>
          <w:bCs/>
        </w:rPr>
        <w:t>.</w:t>
      </w:r>
    </w:p>
  </w:footnote>
  <w:footnote w:id="86">
    <w:p w14:paraId="6181B0DF" w14:textId="61F8FB32" w:rsidR="007A0EF0" w:rsidRPr="00A150D1" w:rsidRDefault="007A0EF0" w:rsidP="00CF559B">
      <w:pPr>
        <w:pStyle w:val="Textonotapie"/>
      </w:pPr>
      <w:r>
        <w:rPr>
          <w:rStyle w:val="Refdenotaalpie"/>
        </w:rPr>
        <w:footnoteRef/>
      </w:r>
      <w:r>
        <w:t xml:space="preserve"> </w:t>
      </w:r>
      <w:r>
        <w:tab/>
      </w:r>
      <w:r w:rsidRPr="00EF0EB8">
        <w:rPr>
          <w:snapToGrid w:val="0"/>
          <w:spacing w:val="-2"/>
          <w:lang w:eastAsia="es-ES"/>
        </w:rPr>
        <w:t>Por último, en relación a la afectación generada en la situ</w:t>
      </w:r>
      <w:r>
        <w:rPr>
          <w:snapToGrid w:val="0"/>
          <w:spacing w:val="-2"/>
          <w:lang w:eastAsia="es-ES"/>
        </w:rPr>
        <w:t>ación jurídica de la presunta víctima</w:t>
      </w:r>
      <w:r w:rsidRPr="00EF0EB8">
        <w:rPr>
          <w:snapToGrid w:val="0"/>
          <w:spacing w:val="-2"/>
          <w:lang w:eastAsia="es-ES"/>
        </w:rPr>
        <w:t xml:space="preserve">, </w:t>
      </w:r>
      <w:r w:rsidRPr="004342C4">
        <w:rPr>
          <w:snapToGrid w:val="0"/>
          <w:spacing w:val="-2"/>
          <w:lang w:eastAsia="es-ES"/>
        </w:rPr>
        <w:t xml:space="preserve">la Corte ha afirmado que para determinar la razonabilidad del plazo se debe tomar en cuenta la afectación generada por la duración del procedimiento en la situación jurídica de la persona involucrada, </w:t>
      </w:r>
      <w:r w:rsidRPr="00DE360D">
        <w:rPr>
          <w:rFonts w:cs="Verdana"/>
          <w:bCs/>
        </w:rPr>
        <w:t>considerando</w:t>
      </w:r>
      <w:r w:rsidRPr="004342C4">
        <w:rPr>
          <w:snapToGrid w:val="0"/>
          <w:spacing w:val="-2"/>
          <w:lang w:eastAsia="es-ES"/>
        </w:rPr>
        <w:t>, entre otros elementos, la materia de la controversia</w:t>
      </w:r>
      <w:r>
        <w:rPr>
          <w:snapToGrid w:val="0"/>
          <w:spacing w:val="-2"/>
          <w:lang w:eastAsia="es-ES"/>
        </w:rPr>
        <w:t>.</w:t>
      </w:r>
      <w:r w:rsidRPr="00BA22F2">
        <w:rPr>
          <w:i/>
          <w:lang w:val="es-MX"/>
        </w:rPr>
        <w:t xml:space="preserve"> </w:t>
      </w:r>
      <w:r w:rsidRPr="004342C4">
        <w:rPr>
          <w:i/>
          <w:lang w:val="es-MX"/>
        </w:rPr>
        <w:t>Cfr.</w:t>
      </w:r>
      <w:r>
        <w:rPr>
          <w:lang w:val="es-MX"/>
        </w:rPr>
        <w:t xml:space="preserve"> </w:t>
      </w:r>
      <w:r w:rsidRPr="00404C7B">
        <w:rPr>
          <w:i/>
        </w:rPr>
        <w:t xml:space="preserve">Caso </w:t>
      </w:r>
      <w:r w:rsidRPr="00404C7B">
        <w:rPr>
          <w:bCs/>
          <w:i/>
        </w:rPr>
        <w:t>Asociación Nacional de Cesantes y Jubilados de la Superintendencia Nacional de Administración Tributaria (ANCEJUB-SUNAT) Vs. Perú</w:t>
      </w:r>
      <w:r>
        <w:rPr>
          <w:bCs/>
        </w:rPr>
        <w:t xml:space="preserve">. </w:t>
      </w:r>
      <w:r w:rsidRPr="000D6D26">
        <w:rPr>
          <w:bCs/>
        </w:rPr>
        <w:t>Excepciones Preliminares, Fondo, Reparaciones y Costas. Sentencia de 21 de noviembre de 2019. Serie C No. 394</w:t>
      </w:r>
      <w:r>
        <w:rPr>
          <w:bCs/>
        </w:rPr>
        <w:t xml:space="preserve">, </w:t>
      </w:r>
      <w:r w:rsidRPr="004342C4">
        <w:rPr>
          <w:bCs/>
        </w:rPr>
        <w:t xml:space="preserve">párr. </w:t>
      </w:r>
      <w:r>
        <w:rPr>
          <w:bCs/>
        </w:rPr>
        <w:t>148</w:t>
      </w:r>
      <w:r w:rsidRPr="004342C4">
        <w:rPr>
          <w:bCs/>
        </w:rPr>
        <w:t>.</w:t>
      </w:r>
    </w:p>
  </w:footnote>
  <w:footnote w:id="87">
    <w:p w14:paraId="476B38F9" w14:textId="605F2469" w:rsidR="007A0EF0" w:rsidRPr="00B75EB2" w:rsidRDefault="007A0EF0" w:rsidP="00CF559B">
      <w:pPr>
        <w:pStyle w:val="Textonotapie"/>
        <w:rPr>
          <w:lang w:val="es-MX"/>
        </w:rPr>
      </w:pPr>
      <w:r>
        <w:rPr>
          <w:rStyle w:val="Refdenotaalpie"/>
        </w:rPr>
        <w:footnoteRef/>
      </w:r>
      <w:r>
        <w:t xml:space="preserve"> </w:t>
      </w:r>
      <w:r>
        <w:rPr>
          <w:lang w:val="es-MX"/>
        </w:rPr>
        <w:tab/>
      </w:r>
      <w:r w:rsidRPr="00B75EB2">
        <w:rPr>
          <w:i/>
        </w:rPr>
        <w:t>Cfr.</w:t>
      </w:r>
      <w:r w:rsidRPr="00B75EB2">
        <w:t xml:space="preserve"> </w:t>
      </w:r>
      <w:r w:rsidRPr="007C0D12">
        <w:rPr>
          <w:i/>
        </w:rPr>
        <w:t xml:space="preserve">Caso </w:t>
      </w:r>
      <w:proofErr w:type="spellStart"/>
      <w:r w:rsidRPr="007C0D12">
        <w:rPr>
          <w:i/>
        </w:rPr>
        <w:t>Anzualdo</w:t>
      </w:r>
      <w:proofErr w:type="spellEnd"/>
      <w:r w:rsidRPr="007C0D12">
        <w:rPr>
          <w:i/>
        </w:rPr>
        <w:t xml:space="preserve"> Castro Vs. Perú. </w:t>
      </w:r>
      <w:r w:rsidRPr="007C0D12">
        <w:rPr>
          <w:bCs/>
          <w:i/>
        </w:rPr>
        <w:t>Excepción Preliminar, Fondo, Reparaciones y Costas</w:t>
      </w:r>
      <w:r w:rsidRPr="00B75EB2">
        <w:rPr>
          <w:bCs/>
        </w:rPr>
        <w:t>. Sentencia de 22 de sept</w:t>
      </w:r>
      <w:r>
        <w:rPr>
          <w:bCs/>
        </w:rPr>
        <w:t xml:space="preserve">iembre de 2009. Serie C No. 202, párr. 156, y </w:t>
      </w:r>
      <w:r w:rsidRPr="007C0D12">
        <w:rPr>
          <w:bCs/>
          <w:i/>
        </w:rPr>
        <w:t>Caso Jenkins Vs. Argentina</w:t>
      </w:r>
      <w:r>
        <w:rPr>
          <w:bCs/>
        </w:rPr>
        <w:t>,</w:t>
      </w:r>
      <w:r w:rsidRPr="00B75EB2">
        <w:rPr>
          <w:bCs/>
        </w:rPr>
        <w:t xml:space="preserve"> </w:t>
      </w:r>
      <w:r>
        <w:rPr>
          <w:bCs/>
        </w:rPr>
        <w:t>párr.</w:t>
      </w:r>
      <w:r w:rsidRPr="00B75EB2">
        <w:rPr>
          <w:bCs/>
        </w:rPr>
        <w:t xml:space="preserve"> 106.</w:t>
      </w:r>
    </w:p>
  </w:footnote>
  <w:footnote w:id="88">
    <w:p w14:paraId="777579C0" w14:textId="589828B9" w:rsidR="007A0EF0" w:rsidRPr="00B75EB2" w:rsidRDefault="007A0EF0" w:rsidP="00CF559B">
      <w:pPr>
        <w:pStyle w:val="Textonotapie"/>
        <w:rPr>
          <w:lang w:val="es-MX"/>
        </w:rPr>
      </w:pPr>
      <w:r>
        <w:rPr>
          <w:rStyle w:val="Refdenotaalpie"/>
        </w:rPr>
        <w:footnoteRef/>
      </w:r>
      <w:r>
        <w:t xml:space="preserve"> </w:t>
      </w:r>
      <w:r>
        <w:rPr>
          <w:lang w:val="es-MX"/>
        </w:rPr>
        <w:t xml:space="preserve"> </w:t>
      </w:r>
      <w:r>
        <w:rPr>
          <w:lang w:val="es-MX"/>
        </w:rPr>
        <w:tab/>
      </w:r>
      <w:r w:rsidRPr="00B75EB2">
        <w:rPr>
          <w:i/>
        </w:rPr>
        <w:t>Cfr.</w:t>
      </w:r>
      <w:r w:rsidRPr="00B75EB2">
        <w:t xml:space="preserve"> </w:t>
      </w:r>
      <w:r w:rsidRPr="007C0D12">
        <w:rPr>
          <w:i/>
        </w:rPr>
        <w:t>Caso Suárez Rosero Vs. Ecuador. Reparaciones y Costas</w:t>
      </w:r>
      <w:r w:rsidRPr="00B75EB2">
        <w:t>. Sentencia de 20 de enero de 1999. Serie C No. 44, párr. 71, y</w:t>
      </w:r>
      <w:r>
        <w:t xml:space="preserve"> </w:t>
      </w:r>
      <w:r w:rsidRPr="007C0D12">
        <w:rPr>
          <w:bCs/>
          <w:i/>
        </w:rPr>
        <w:t>Caso Jenkins Vs. Argentina</w:t>
      </w:r>
      <w:r>
        <w:rPr>
          <w:bCs/>
        </w:rPr>
        <w:t>,</w:t>
      </w:r>
      <w:r w:rsidRPr="00B75EB2">
        <w:rPr>
          <w:bCs/>
        </w:rPr>
        <w:t xml:space="preserve"> </w:t>
      </w:r>
      <w:r>
        <w:rPr>
          <w:bCs/>
        </w:rPr>
        <w:t>párr.</w:t>
      </w:r>
      <w:r w:rsidRPr="00B75EB2">
        <w:rPr>
          <w:bCs/>
        </w:rPr>
        <w:t xml:space="preserve"> 106.</w:t>
      </w:r>
    </w:p>
  </w:footnote>
  <w:footnote w:id="89">
    <w:p w14:paraId="380E9978" w14:textId="0D26AD4B" w:rsidR="007A0EF0" w:rsidRPr="008974C4" w:rsidRDefault="007A0EF0" w:rsidP="001322C1">
      <w:pPr>
        <w:pStyle w:val="Textonotapie"/>
        <w:spacing w:before="60" w:after="60"/>
        <w:rPr>
          <w:szCs w:val="16"/>
        </w:rPr>
      </w:pPr>
      <w:r w:rsidRPr="008974C4">
        <w:rPr>
          <w:rStyle w:val="Refdenotaalpie"/>
          <w:szCs w:val="16"/>
        </w:rPr>
        <w:footnoteRef/>
      </w:r>
      <w:r w:rsidRPr="008974C4">
        <w:rPr>
          <w:szCs w:val="16"/>
        </w:rPr>
        <w:t xml:space="preserve"> </w:t>
      </w:r>
      <w:r w:rsidRPr="008974C4">
        <w:rPr>
          <w:szCs w:val="16"/>
        </w:rPr>
        <w:tab/>
      </w:r>
      <w:r w:rsidRPr="008974C4">
        <w:rPr>
          <w:i/>
          <w:szCs w:val="16"/>
        </w:rPr>
        <w:t>Cfr. Caso Velásquez Rodríguez Vs. Honduras. Reparaciones y Costas</w:t>
      </w:r>
      <w:r w:rsidRPr="008974C4">
        <w:rPr>
          <w:szCs w:val="16"/>
        </w:rPr>
        <w:t xml:space="preserve">. Sentencia de 21 de julio de 1989. Serie C No. 7, párr. 26, y </w:t>
      </w:r>
      <w:r w:rsidRPr="000D6D26">
        <w:rPr>
          <w:i/>
          <w:szCs w:val="16"/>
        </w:rPr>
        <w:t>Caso Montesinos Mejía Vs. Ecuador</w:t>
      </w:r>
      <w:r w:rsidRPr="008974C4">
        <w:rPr>
          <w:i/>
          <w:szCs w:val="16"/>
        </w:rPr>
        <w:t xml:space="preserve">, </w:t>
      </w:r>
      <w:r w:rsidRPr="008974C4">
        <w:rPr>
          <w:szCs w:val="16"/>
        </w:rPr>
        <w:t xml:space="preserve">párr. </w:t>
      </w:r>
      <w:r>
        <w:rPr>
          <w:szCs w:val="16"/>
        </w:rPr>
        <w:t>204</w:t>
      </w:r>
      <w:r w:rsidRPr="008974C4">
        <w:rPr>
          <w:szCs w:val="16"/>
        </w:rPr>
        <w:t>.</w:t>
      </w:r>
    </w:p>
  </w:footnote>
  <w:footnote w:id="90">
    <w:p w14:paraId="23225AA0" w14:textId="7A89936A" w:rsidR="007A0EF0" w:rsidRPr="008974C4" w:rsidRDefault="007A0EF0" w:rsidP="001322C1">
      <w:pPr>
        <w:pStyle w:val="Textonotapie"/>
        <w:spacing w:before="60" w:after="60"/>
        <w:rPr>
          <w:szCs w:val="16"/>
        </w:rPr>
      </w:pPr>
      <w:r w:rsidRPr="008974C4">
        <w:rPr>
          <w:rStyle w:val="Refdenotaalpie"/>
          <w:szCs w:val="16"/>
        </w:rPr>
        <w:footnoteRef/>
      </w:r>
      <w:r w:rsidRPr="008974C4">
        <w:rPr>
          <w:szCs w:val="16"/>
        </w:rPr>
        <w:t xml:space="preserve"> </w:t>
      </w:r>
      <w:r w:rsidRPr="008974C4">
        <w:rPr>
          <w:szCs w:val="16"/>
        </w:rPr>
        <w:tab/>
      </w:r>
      <w:r w:rsidRPr="008974C4">
        <w:rPr>
          <w:i/>
          <w:szCs w:val="16"/>
        </w:rPr>
        <w:t>Cfr. Caso de la Masacre de Las Dos Erres Vs. Guatemala, Excepción Preliminar, Fondo, Reparaciones y Costas</w:t>
      </w:r>
      <w:r w:rsidRPr="008974C4">
        <w:rPr>
          <w:szCs w:val="16"/>
        </w:rPr>
        <w:t xml:space="preserve">. Sentencia de 24 de noviembre de 2009. Serie C No. 211, párr. 226, y </w:t>
      </w:r>
      <w:r w:rsidRPr="000D6D26">
        <w:rPr>
          <w:i/>
          <w:szCs w:val="16"/>
        </w:rPr>
        <w:t>Caso Montesinos Mejía Vs. Ecuador</w:t>
      </w:r>
      <w:r w:rsidRPr="008974C4">
        <w:rPr>
          <w:i/>
          <w:szCs w:val="16"/>
        </w:rPr>
        <w:t xml:space="preserve">, </w:t>
      </w:r>
      <w:r>
        <w:rPr>
          <w:szCs w:val="16"/>
        </w:rPr>
        <w:t>párr. 218.</w:t>
      </w:r>
    </w:p>
  </w:footnote>
  <w:footnote w:id="91">
    <w:p w14:paraId="77FB7148" w14:textId="077E8CAB" w:rsidR="007A0EF0" w:rsidRPr="009E6459" w:rsidRDefault="007A0EF0" w:rsidP="001322C1">
      <w:pPr>
        <w:pStyle w:val="Textonotapie"/>
        <w:spacing w:before="60" w:after="60"/>
        <w:rPr>
          <w:szCs w:val="16"/>
        </w:rPr>
      </w:pPr>
      <w:r w:rsidRPr="008974C4">
        <w:rPr>
          <w:rStyle w:val="Refdenotaalpie"/>
          <w:szCs w:val="16"/>
        </w:rPr>
        <w:footnoteRef/>
      </w:r>
      <w:r w:rsidRPr="008974C4">
        <w:rPr>
          <w:szCs w:val="16"/>
        </w:rPr>
        <w:tab/>
      </w:r>
      <w:r w:rsidRPr="008974C4">
        <w:rPr>
          <w:i/>
          <w:szCs w:val="16"/>
        </w:rPr>
        <w:t>Cfr. Caso Ticona Estrada y otros Vs. Bolivia. Fondo, Reparaciones y Costas</w:t>
      </w:r>
      <w:r w:rsidRPr="008974C4">
        <w:rPr>
          <w:szCs w:val="16"/>
        </w:rPr>
        <w:t xml:space="preserve">. Sentencia de 27 de noviembre de 2008. Serie C No. 191, párr. 110, y </w:t>
      </w:r>
      <w:r w:rsidRPr="000D6D26">
        <w:rPr>
          <w:i/>
          <w:szCs w:val="16"/>
        </w:rPr>
        <w:t>Caso Montesinos Mejía Vs. Ecuador</w:t>
      </w:r>
      <w:r w:rsidRPr="008974C4">
        <w:rPr>
          <w:i/>
          <w:szCs w:val="16"/>
        </w:rPr>
        <w:t xml:space="preserve">, </w:t>
      </w:r>
      <w:r w:rsidRPr="008974C4">
        <w:rPr>
          <w:szCs w:val="16"/>
        </w:rPr>
        <w:t xml:space="preserve">párr. </w:t>
      </w:r>
      <w:r>
        <w:rPr>
          <w:szCs w:val="16"/>
        </w:rPr>
        <w:t>219</w:t>
      </w:r>
      <w:r w:rsidRPr="008974C4">
        <w:rPr>
          <w:szCs w:val="16"/>
        </w:rPr>
        <w:t>.</w:t>
      </w:r>
    </w:p>
  </w:footnote>
  <w:footnote w:id="92">
    <w:p w14:paraId="0E0D8E7F" w14:textId="2573D7A3" w:rsidR="007A0EF0" w:rsidRPr="009E6459" w:rsidRDefault="007A0EF0" w:rsidP="00B84BC6">
      <w:pPr>
        <w:pStyle w:val="Textonotapie"/>
        <w:spacing w:before="60" w:after="60"/>
        <w:rPr>
          <w:szCs w:val="16"/>
        </w:rPr>
      </w:pPr>
      <w:r w:rsidRPr="008974C4">
        <w:rPr>
          <w:rStyle w:val="Refdenotaalpie"/>
          <w:szCs w:val="16"/>
        </w:rPr>
        <w:footnoteRef/>
      </w:r>
      <w:r w:rsidRPr="008974C4">
        <w:rPr>
          <w:szCs w:val="16"/>
        </w:rPr>
        <w:t xml:space="preserve"> </w:t>
      </w:r>
      <w:r w:rsidRPr="008974C4">
        <w:rPr>
          <w:szCs w:val="16"/>
        </w:rPr>
        <w:tab/>
      </w:r>
      <w:r w:rsidRPr="008974C4">
        <w:rPr>
          <w:i/>
          <w:szCs w:val="16"/>
        </w:rPr>
        <w:t>Cfr. Caso Andrade Salmón Vs. Bolivia. Fondo, Reparaciones y Costas</w:t>
      </w:r>
      <w:r w:rsidRPr="008974C4">
        <w:rPr>
          <w:szCs w:val="16"/>
        </w:rPr>
        <w:t xml:space="preserve">. Sentencia de 1 de diciembre de 2016. Serie C No. 330, párr. 189, y </w:t>
      </w:r>
      <w:r w:rsidRPr="000D6D26">
        <w:rPr>
          <w:i/>
          <w:szCs w:val="16"/>
        </w:rPr>
        <w:t>Caso Montesinos Mejía Vs. Ecuador</w:t>
      </w:r>
      <w:r w:rsidRPr="008974C4">
        <w:rPr>
          <w:i/>
          <w:szCs w:val="16"/>
        </w:rPr>
        <w:t xml:space="preserve">, </w:t>
      </w:r>
      <w:r>
        <w:rPr>
          <w:szCs w:val="16"/>
        </w:rPr>
        <w:t>párr. 220</w:t>
      </w:r>
      <w:r w:rsidRPr="008974C4">
        <w:rPr>
          <w:szCs w:val="16"/>
        </w:rPr>
        <w:t>.</w:t>
      </w:r>
    </w:p>
  </w:footnote>
  <w:footnote w:id="93">
    <w:p w14:paraId="6A5150EE" w14:textId="408CF17F" w:rsidR="007A0EF0" w:rsidRPr="008F3E3C" w:rsidRDefault="007A0EF0" w:rsidP="008F3E3C">
      <w:pPr>
        <w:pStyle w:val="Textonotapie"/>
        <w:rPr>
          <w:lang w:val="es-CR"/>
        </w:rPr>
      </w:pPr>
      <w:r>
        <w:rPr>
          <w:rStyle w:val="Refdenotaalpie"/>
        </w:rPr>
        <w:footnoteRef/>
      </w:r>
      <w:r>
        <w:t xml:space="preserve"> </w:t>
      </w:r>
      <w:r>
        <w:rPr>
          <w:lang w:val="es-CR"/>
        </w:rPr>
        <w:tab/>
      </w:r>
      <w:r w:rsidRPr="008F3E3C">
        <w:rPr>
          <w:lang w:val="es-CR"/>
        </w:rPr>
        <w:t>En el Acuerdo de Solución Amistosa, la cláusula quinta establece que el Estado “a través del Ministerio de Salud Pública y Bienestar Social se compromete a brindar asistencia médica y psicológica gratuita a los padre hermanos de la víctima, así como la provisión de medicamentos. Dicha atención se realizará en el hospital público o centro de salud más cercano al domicilio de los beneficiarios y que ofrezca los servicios y medicación adecuados al tratamiento preciso según se requiera, independientemente del Servicio que reciban en el Hospital Militar”.</w:t>
      </w:r>
      <w:r>
        <w:rPr>
          <w:lang w:val="es-CR"/>
        </w:rPr>
        <w:t xml:space="preserve"> Acuerdo de Solución Amistosa (expediente de prueba, folio 3508).</w:t>
      </w:r>
    </w:p>
  </w:footnote>
  <w:footnote w:id="94">
    <w:p w14:paraId="2A3B16CD" w14:textId="6AECD97C" w:rsidR="007A0EF0" w:rsidRPr="00491883" w:rsidRDefault="007A0EF0">
      <w:pPr>
        <w:pStyle w:val="Textonotapie"/>
        <w:rPr>
          <w:lang w:val="es-CR"/>
        </w:rPr>
      </w:pPr>
      <w:r>
        <w:rPr>
          <w:rStyle w:val="Refdenotaalpie"/>
        </w:rPr>
        <w:footnoteRef/>
      </w:r>
      <w:r>
        <w:t xml:space="preserve"> </w:t>
      </w:r>
      <w:r>
        <w:tab/>
      </w:r>
      <w:r w:rsidRPr="00491883">
        <w:rPr>
          <w:i/>
        </w:rPr>
        <w:t>Cfr.</w:t>
      </w:r>
      <w:r w:rsidRPr="00491883">
        <w:t xml:space="preserve"> </w:t>
      </w:r>
      <w:r w:rsidRPr="001B0CC7">
        <w:rPr>
          <w:i/>
        </w:rPr>
        <w:t xml:space="preserve">Caso Cantoral Benavides Vs. Perú. </w:t>
      </w:r>
      <w:r w:rsidRPr="001B0CC7">
        <w:rPr>
          <w:bCs/>
          <w:i/>
        </w:rPr>
        <w:t>Reparaciones y Costas</w:t>
      </w:r>
      <w:r w:rsidRPr="00491883">
        <w:rPr>
          <w:bCs/>
        </w:rPr>
        <w:t>. Sentencia de 3 de di</w:t>
      </w:r>
      <w:r>
        <w:rPr>
          <w:bCs/>
        </w:rPr>
        <w:t>ciembre de 2001. Serie C No. 88,</w:t>
      </w:r>
      <w:r w:rsidRPr="00491883">
        <w:t xml:space="preserve"> párr. 79, y </w:t>
      </w:r>
      <w:r w:rsidRPr="00404C7B">
        <w:rPr>
          <w:i/>
        </w:rPr>
        <w:t>Caso Montesinos Mejía Vs. Ecuador</w:t>
      </w:r>
      <w:r>
        <w:rPr>
          <w:bCs/>
        </w:rPr>
        <w:t>, párr. 226.</w:t>
      </w:r>
    </w:p>
  </w:footnote>
  <w:footnote w:id="95">
    <w:p w14:paraId="077B354D" w14:textId="42839206" w:rsidR="007A0EF0" w:rsidRPr="007D218B" w:rsidRDefault="007A0EF0" w:rsidP="00741BF7">
      <w:pPr>
        <w:pStyle w:val="Textonotapie"/>
        <w:rPr>
          <w:lang w:val="es-CR"/>
        </w:rPr>
      </w:pPr>
      <w:r>
        <w:rPr>
          <w:rStyle w:val="Refdenotaalpie"/>
        </w:rPr>
        <w:footnoteRef/>
      </w:r>
      <w:r>
        <w:t xml:space="preserve"> </w:t>
      </w:r>
      <w:r>
        <w:tab/>
      </w:r>
      <w:r w:rsidRPr="008974C4">
        <w:rPr>
          <w:szCs w:val="16"/>
        </w:rPr>
        <w:t>La metodología utilizada por los representantes para el cálculo de</w:t>
      </w:r>
      <w:r>
        <w:rPr>
          <w:szCs w:val="16"/>
        </w:rPr>
        <w:t xml:space="preserve">l lucro cesante fue la siguiente: utilizar los parámetros del Banco Central de Paraguay sobre el sueldo mínimo y los promedios de inflación desde 1999 hasta 2017 conforme a la Oficina de Atención del Consumidor que resultó de 6.6%, sin embargo, calcularon la evolución del salario mínimo legal con un 4% de inflación anual de proyección. </w:t>
      </w:r>
    </w:p>
  </w:footnote>
  <w:footnote w:id="96">
    <w:p w14:paraId="237FDF82" w14:textId="22F74192" w:rsidR="007A0EF0" w:rsidRPr="001D6DA0" w:rsidRDefault="007A0EF0">
      <w:pPr>
        <w:pStyle w:val="Textonotapie"/>
      </w:pPr>
      <w:r>
        <w:rPr>
          <w:rStyle w:val="Refdenotaalpie"/>
        </w:rPr>
        <w:footnoteRef/>
      </w:r>
      <w:r>
        <w:t xml:space="preserve"> </w:t>
      </w:r>
      <w:r>
        <w:tab/>
      </w:r>
      <w:r>
        <w:rPr>
          <w:rFonts w:cs="Arial"/>
          <w:color w:val="000000" w:themeColor="text1"/>
        </w:rPr>
        <w:t>E</w:t>
      </w:r>
      <w:r w:rsidRPr="00D470CA">
        <w:rPr>
          <w:rFonts w:cs="Arial"/>
          <w:color w:val="000000" w:themeColor="text1"/>
        </w:rPr>
        <w:t xml:space="preserve">l </w:t>
      </w:r>
      <w:r w:rsidRPr="00404C7B">
        <w:rPr>
          <w:rFonts w:cs="Arial"/>
          <w:i/>
          <w:color w:val="000000" w:themeColor="text1"/>
        </w:rPr>
        <w:t>Estado</w:t>
      </w:r>
      <w:r w:rsidRPr="00D470CA">
        <w:rPr>
          <w:rFonts w:cs="Arial"/>
          <w:color w:val="000000" w:themeColor="text1"/>
        </w:rPr>
        <w:t xml:space="preserve"> cuestionó el requerimiento de los representantes, debido a que los eventuales salarios que hubiera percibido el fallecido no podrían componer un lucro cesante de su madre, sumado a que se reclama el 100% del eventual salario que correspondería al hijo si viviese hasta los 67.7 años, partiendo del hecho que le entregaría todos los meses el 100% de su salario</w:t>
      </w:r>
      <w:r>
        <w:rPr>
          <w:rFonts w:cs="Arial"/>
          <w:color w:val="000000" w:themeColor="text1"/>
        </w:rPr>
        <w:t>.</w:t>
      </w:r>
    </w:p>
  </w:footnote>
  <w:footnote w:id="97">
    <w:p w14:paraId="12940294" w14:textId="0FE1ACD7" w:rsidR="007A0EF0" w:rsidRPr="00A63C02" w:rsidRDefault="007A0EF0" w:rsidP="005B7BEF">
      <w:pPr>
        <w:spacing w:before="60" w:after="60"/>
        <w:rPr>
          <w:sz w:val="16"/>
          <w:szCs w:val="16"/>
        </w:rPr>
      </w:pPr>
      <w:r w:rsidRPr="00A63C02">
        <w:rPr>
          <w:rStyle w:val="Refdenotaalpie"/>
          <w:sz w:val="16"/>
          <w:szCs w:val="16"/>
        </w:rPr>
        <w:footnoteRef/>
      </w:r>
      <w:r w:rsidRPr="00A63C02">
        <w:rPr>
          <w:sz w:val="16"/>
          <w:szCs w:val="16"/>
        </w:rPr>
        <w:t xml:space="preserve"> </w:t>
      </w:r>
      <w:r w:rsidRPr="00A63C02">
        <w:rPr>
          <w:sz w:val="16"/>
          <w:szCs w:val="16"/>
        </w:rPr>
        <w:tab/>
      </w:r>
      <w:r w:rsidRPr="00A63C02">
        <w:rPr>
          <w:i/>
          <w:sz w:val="16"/>
          <w:szCs w:val="16"/>
        </w:rPr>
        <w:t>Cfr.</w:t>
      </w:r>
      <w:r w:rsidRPr="00A63C02">
        <w:rPr>
          <w:sz w:val="16"/>
          <w:szCs w:val="16"/>
        </w:rPr>
        <w:t xml:space="preserve"> </w:t>
      </w:r>
      <w:r w:rsidRPr="00A63C02">
        <w:rPr>
          <w:i/>
          <w:sz w:val="16"/>
          <w:szCs w:val="16"/>
        </w:rPr>
        <w:t>Caso Bámaca Velásquez Vs. Guatemala. Reparaciones y Costas.</w:t>
      </w:r>
      <w:r w:rsidRPr="00A63C02">
        <w:rPr>
          <w:sz w:val="16"/>
          <w:szCs w:val="16"/>
        </w:rPr>
        <w:t xml:space="preserve"> Sentencia de 22 de febrero de 2002. Serie C No. 91, párr. 43</w:t>
      </w:r>
      <w:r w:rsidR="004970F6">
        <w:rPr>
          <w:sz w:val="16"/>
          <w:szCs w:val="16"/>
        </w:rPr>
        <w:t>,</w:t>
      </w:r>
      <w:r w:rsidRPr="00A63C02">
        <w:rPr>
          <w:szCs w:val="16"/>
        </w:rPr>
        <w:t xml:space="preserve"> </w:t>
      </w:r>
      <w:r w:rsidRPr="00A63C02">
        <w:rPr>
          <w:sz w:val="16"/>
          <w:szCs w:val="16"/>
        </w:rPr>
        <w:t xml:space="preserve">y </w:t>
      </w:r>
      <w:r w:rsidRPr="000D6D26">
        <w:rPr>
          <w:i/>
          <w:sz w:val="16"/>
          <w:szCs w:val="16"/>
        </w:rPr>
        <w:t>Caso Montesinos Mejía Vs. Ecuador</w:t>
      </w:r>
      <w:r w:rsidRPr="00A63C02">
        <w:rPr>
          <w:sz w:val="16"/>
          <w:szCs w:val="16"/>
        </w:rPr>
        <w:t xml:space="preserve">, párr. </w:t>
      </w:r>
      <w:r>
        <w:rPr>
          <w:sz w:val="16"/>
          <w:szCs w:val="16"/>
        </w:rPr>
        <w:t>236</w:t>
      </w:r>
      <w:r w:rsidRPr="00A63C02">
        <w:rPr>
          <w:sz w:val="16"/>
          <w:szCs w:val="16"/>
        </w:rPr>
        <w:t>.</w:t>
      </w:r>
    </w:p>
  </w:footnote>
  <w:footnote w:id="98">
    <w:p w14:paraId="4D2BCCB7" w14:textId="22E8B8D4" w:rsidR="007A0EF0" w:rsidRPr="00A63C02" w:rsidRDefault="007A0EF0" w:rsidP="009C47B5">
      <w:pPr>
        <w:spacing w:before="60" w:after="60"/>
        <w:rPr>
          <w:sz w:val="16"/>
          <w:szCs w:val="16"/>
        </w:rPr>
      </w:pPr>
      <w:r w:rsidRPr="00A63C02">
        <w:rPr>
          <w:rStyle w:val="Refdenotaalpie"/>
          <w:sz w:val="16"/>
          <w:szCs w:val="16"/>
        </w:rPr>
        <w:footnoteRef/>
      </w:r>
      <w:r w:rsidRPr="00A63C02">
        <w:rPr>
          <w:sz w:val="16"/>
          <w:szCs w:val="16"/>
        </w:rPr>
        <w:t xml:space="preserve"> </w:t>
      </w:r>
      <w:r w:rsidRPr="00A63C02">
        <w:rPr>
          <w:sz w:val="16"/>
          <w:szCs w:val="16"/>
        </w:rPr>
        <w:tab/>
      </w:r>
      <w:r w:rsidRPr="00A63C02">
        <w:rPr>
          <w:i/>
          <w:sz w:val="16"/>
          <w:szCs w:val="16"/>
        </w:rPr>
        <w:t>Cfr. Caso Garrido y Baigorria Vs. Argentina. Reparaciones y Costas</w:t>
      </w:r>
      <w:r w:rsidRPr="00A63C02">
        <w:rPr>
          <w:sz w:val="16"/>
          <w:szCs w:val="16"/>
        </w:rPr>
        <w:t xml:space="preserve">. Sentencia de 27 de agosto de 1998. Serie C No. 39, </w:t>
      </w:r>
      <w:proofErr w:type="spellStart"/>
      <w:r w:rsidRPr="00A63C02">
        <w:rPr>
          <w:sz w:val="16"/>
          <w:szCs w:val="16"/>
        </w:rPr>
        <w:t>párrs</w:t>
      </w:r>
      <w:proofErr w:type="spellEnd"/>
      <w:r w:rsidRPr="00A63C02">
        <w:rPr>
          <w:sz w:val="16"/>
          <w:szCs w:val="16"/>
        </w:rPr>
        <w:t xml:space="preserve">. 79 y 82, y </w:t>
      </w:r>
      <w:r w:rsidRPr="000D6D26">
        <w:rPr>
          <w:bCs/>
          <w:i/>
          <w:sz w:val="16"/>
          <w:szCs w:val="16"/>
        </w:rPr>
        <w:t>Caso Montesinos Mejía Vs. Ecuador</w:t>
      </w:r>
      <w:r w:rsidRPr="00A63C02">
        <w:rPr>
          <w:sz w:val="16"/>
          <w:szCs w:val="16"/>
        </w:rPr>
        <w:t xml:space="preserve">, párr. </w:t>
      </w:r>
      <w:r>
        <w:rPr>
          <w:sz w:val="16"/>
          <w:szCs w:val="16"/>
        </w:rPr>
        <w:t>244</w:t>
      </w:r>
      <w:r w:rsidRPr="00A63C02">
        <w:rPr>
          <w:sz w:val="16"/>
          <w:szCs w:val="16"/>
        </w:rPr>
        <w:t>.</w:t>
      </w:r>
    </w:p>
  </w:footnote>
  <w:footnote w:id="99">
    <w:p w14:paraId="2459768D" w14:textId="2A656BB4" w:rsidR="007A0EF0" w:rsidRPr="00A63C02" w:rsidRDefault="007A0EF0" w:rsidP="009C47B5">
      <w:pPr>
        <w:spacing w:before="60" w:after="60"/>
        <w:rPr>
          <w:sz w:val="16"/>
          <w:szCs w:val="16"/>
        </w:rPr>
      </w:pPr>
      <w:r w:rsidRPr="00A63C02">
        <w:rPr>
          <w:rStyle w:val="Refdenotaalpie"/>
          <w:sz w:val="16"/>
          <w:szCs w:val="16"/>
        </w:rPr>
        <w:footnoteRef/>
      </w:r>
      <w:r w:rsidRPr="00A63C02">
        <w:rPr>
          <w:sz w:val="16"/>
          <w:szCs w:val="16"/>
        </w:rPr>
        <w:t xml:space="preserve"> </w:t>
      </w:r>
      <w:r w:rsidRPr="00A63C02">
        <w:rPr>
          <w:sz w:val="16"/>
          <w:szCs w:val="16"/>
        </w:rPr>
        <w:tab/>
      </w:r>
      <w:r w:rsidRPr="00A63C02">
        <w:rPr>
          <w:i/>
          <w:sz w:val="16"/>
          <w:szCs w:val="16"/>
        </w:rPr>
        <w:t>Cfr. Caso Chaparro Álvarez y Lapo Íñiguez Vs. Ecuador</w:t>
      </w:r>
      <w:r w:rsidRPr="00A63C02">
        <w:rPr>
          <w:sz w:val="16"/>
          <w:szCs w:val="16"/>
        </w:rPr>
        <w:t xml:space="preserve">, </w:t>
      </w:r>
      <w:proofErr w:type="spellStart"/>
      <w:r w:rsidRPr="00A63C02">
        <w:rPr>
          <w:sz w:val="16"/>
          <w:szCs w:val="16"/>
        </w:rPr>
        <w:t>párrs</w:t>
      </w:r>
      <w:proofErr w:type="spellEnd"/>
      <w:r w:rsidRPr="00A63C02">
        <w:rPr>
          <w:sz w:val="16"/>
          <w:szCs w:val="16"/>
        </w:rPr>
        <w:t>. 275 y 277</w:t>
      </w:r>
      <w:r w:rsidR="004970F6">
        <w:rPr>
          <w:sz w:val="16"/>
          <w:szCs w:val="16"/>
        </w:rPr>
        <w:t>,</w:t>
      </w:r>
      <w:r w:rsidRPr="00A63C02">
        <w:rPr>
          <w:sz w:val="16"/>
          <w:szCs w:val="16"/>
        </w:rPr>
        <w:t xml:space="preserve"> y </w:t>
      </w:r>
      <w:r w:rsidRPr="000D6D26">
        <w:rPr>
          <w:bCs/>
          <w:i/>
          <w:sz w:val="16"/>
          <w:szCs w:val="16"/>
        </w:rPr>
        <w:t>Caso Montesinos Mejía Vs. Ecuador</w:t>
      </w:r>
      <w:r w:rsidRPr="00A63C02">
        <w:rPr>
          <w:sz w:val="16"/>
          <w:szCs w:val="16"/>
        </w:rPr>
        <w:t xml:space="preserve">, párr. </w:t>
      </w:r>
      <w:r>
        <w:rPr>
          <w:sz w:val="16"/>
          <w:szCs w:val="16"/>
        </w:rPr>
        <w:t>245</w:t>
      </w:r>
      <w:r w:rsidRPr="00A63C02">
        <w:rPr>
          <w:sz w:val="16"/>
          <w:szCs w:val="16"/>
        </w:rPr>
        <w:t xml:space="preserve">. </w:t>
      </w:r>
    </w:p>
  </w:footnote>
  <w:footnote w:id="100">
    <w:p w14:paraId="1725D28C" w14:textId="20715659" w:rsidR="007A0EF0" w:rsidRPr="00903EED" w:rsidRDefault="007A0EF0" w:rsidP="009C47B5">
      <w:pPr>
        <w:spacing w:before="60" w:after="60"/>
        <w:rPr>
          <w:sz w:val="16"/>
          <w:szCs w:val="16"/>
        </w:rPr>
      </w:pPr>
      <w:r w:rsidRPr="00A63C02">
        <w:rPr>
          <w:rStyle w:val="Refdenotaalpie"/>
          <w:sz w:val="16"/>
          <w:szCs w:val="16"/>
        </w:rPr>
        <w:footnoteRef/>
      </w:r>
      <w:r w:rsidRPr="00A63C02">
        <w:rPr>
          <w:sz w:val="16"/>
          <w:szCs w:val="16"/>
        </w:rPr>
        <w:t xml:space="preserve"> </w:t>
      </w:r>
      <w:r w:rsidRPr="00A63C02">
        <w:rPr>
          <w:sz w:val="16"/>
          <w:szCs w:val="16"/>
          <w:lang w:val="es-ES"/>
        </w:rPr>
        <w:tab/>
      </w:r>
      <w:r w:rsidRPr="00A63C02">
        <w:rPr>
          <w:i/>
          <w:sz w:val="16"/>
          <w:szCs w:val="16"/>
        </w:rPr>
        <w:t>Cfr. Caso Gudiel Álvarez y otros (Diario Militar) Vs. Guatemala. Interpretación de la Sentencia de Fondo, Reparaciones y Costas</w:t>
      </w:r>
      <w:r w:rsidRPr="00A63C02">
        <w:rPr>
          <w:sz w:val="16"/>
          <w:szCs w:val="16"/>
        </w:rPr>
        <w:t xml:space="preserve">. Sentencia de 19 de agosto de 2013. Serie C No. 262, párr. 62, y </w:t>
      </w:r>
      <w:r w:rsidRPr="000D6D26">
        <w:rPr>
          <w:bCs/>
          <w:i/>
          <w:sz w:val="16"/>
          <w:szCs w:val="16"/>
        </w:rPr>
        <w:t>Caso Montesinos Mejía Vs. Ecuador</w:t>
      </w:r>
      <w:r w:rsidRPr="00A63C02">
        <w:rPr>
          <w:sz w:val="16"/>
          <w:szCs w:val="16"/>
        </w:rPr>
        <w:t xml:space="preserve">, párr. </w:t>
      </w:r>
      <w:r>
        <w:rPr>
          <w:sz w:val="16"/>
          <w:szCs w:val="16"/>
        </w:rPr>
        <w:t>246</w:t>
      </w:r>
      <w:r w:rsidRPr="00A63C02">
        <w:rPr>
          <w:color w:val="000000"/>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CBA372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86877"/>
    <w:multiLevelType w:val="hybridMultilevel"/>
    <w:tmpl w:val="E202FF8A"/>
    <w:lvl w:ilvl="0" w:tplc="8E4A4CC2">
      <w:start w:val="6"/>
      <w:numFmt w:val="upperLetter"/>
      <w:lvlText w:val="%1."/>
      <w:lvlJc w:val="left"/>
      <w:pPr>
        <w:ind w:left="1495"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25B07AB"/>
    <w:multiLevelType w:val="hybridMultilevel"/>
    <w:tmpl w:val="AF5CC720"/>
    <w:lvl w:ilvl="0" w:tplc="2BEA3FDA">
      <w:start w:val="5"/>
      <w:numFmt w:val="upperLetter"/>
      <w:lvlText w:val="%1."/>
      <w:lvlJc w:val="left"/>
      <w:pPr>
        <w:ind w:left="1495"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5757E47"/>
    <w:multiLevelType w:val="hybridMultilevel"/>
    <w:tmpl w:val="D730EB0C"/>
    <w:lvl w:ilvl="0" w:tplc="CF325398">
      <w:start w:val="1"/>
      <w:numFmt w:val="decimal"/>
      <w:pStyle w:val="Titre1"/>
      <w:lvlText w:val="%1."/>
      <w:lvlJc w:val="left"/>
      <w:pPr>
        <w:tabs>
          <w:tab w:val="num" w:pos="720"/>
        </w:tabs>
        <w:ind w:firstLine="720"/>
      </w:pPr>
      <w:rPr>
        <w:rFonts w:ascii="Verdana" w:hAnsi="Verdana"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77C654AA">
      <w:start w:val="1"/>
      <w:numFmt w:val="decimal"/>
      <w:lvlText w:val="%3."/>
      <w:lvlJc w:val="left"/>
      <w:pPr>
        <w:tabs>
          <w:tab w:val="num" w:pos="2340"/>
        </w:tabs>
        <w:ind w:left="2340" w:hanging="360"/>
      </w:pPr>
      <w:rPr>
        <w:rFonts w:hint="default"/>
        <w:b/>
        <w:i w:val="0"/>
        <w:sz w:val="22"/>
      </w:rPr>
    </w:lvl>
    <w:lvl w:ilvl="3" w:tplc="00170409">
      <w:start w:val="1"/>
      <w:numFmt w:val="lowerLetter"/>
      <w:lvlText w:val="%4)"/>
      <w:lvlJc w:val="left"/>
      <w:pPr>
        <w:tabs>
          <w:tab w:val="num" w:pos="2880"/>
        </w:tabs>
        <w:ind w:left="2880" w:hanging="360"/>
      </w:pPr>
      <w:rPr>
        <w:rFont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4D594B"/>
    <w:multiLevelType w:val="hybridMultilevel"/>
    <w:tmpl w:val="BB982C7E"/>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nsid w:val="136F2E83"/>
    <w:multiLevelType w:val="hybridMultilevel"/>
    <w:tmpl w:val="30467760"/>
    <w:lvl w:ilvl="0" w:tplc="FEAE2600">
      <w:start w:val="1"/>
      <w:numFmt w:val="decimal"/>
      <w:pStyle w:val="Estilo4"/>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6">
    <w:nsid w:val="274A6ADA"/>
    <w:multiLevelType w:val="hybridMultilevel"/>
    <w:tmpl w:val="F862582E"/>
    <w:lvl w:ilvl="0" w:tplc="47304FDE">
      <w:start w:val="7"/>
      <w:numFmt w:val="upperLetter"/>
      <w:lvlText w:val="%1."/>
      <w:lvlJc w:val="left"/>
      <w:pPr>
        <w:ind w:left="1495"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C9E707C"/>
    <w:multiLevelType w:val="hybridMultilevel"/>
    <w:tmpl w:val="93243556"/>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8">
    <w:nsid w:val="2D530C61"/>
    <w:multiLevelType w:val="hybridMultilevel"/>
    <w:tmpl w:val="429CD686"/>
    <w:lvl w:ilvl="0" w:tplc="11FEBB56">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nsid w:val="3B6C563B"/>
    <w:multiLevelType w:val="hybridMultilevel"/>
    <w:tmpl w:val="D242B5B4"/>
    <w:lvl w:ilvl="0" w:tplc="13A896A4">
      <w:start w:val="3"/>
      <w:numFmt w:val="upperLetter"/>
      <w:lvlText w:val="%1."/>
      <w:lvlJc w:val="left"/>
      <w:pPr>
        <w:ind w:left="1495"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45796C17"/>
    <w:multiLevelType w:val="hybridMultilevel"/>
    <w:tmpl w:val="429CD686"/>
    <w:lvl w:ilvl="0" w:tplc="11FEBB56">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nsid w:val="4CCD1B5F"/>
    <w:multiLevelType w:val="hybridMultilevel"/>
    <w:tmpl w:val="BB982C7E"/>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nsid w:val="536A5D95"/>
    <w:multiLevelType w:val="hybridMultilevel"/>
    <w:tmpl w:val="C0FC3D8E"/>
    <w:lvl w:ilvl="0" w:tplc="3DB6F794">
      <w:start w:val="8"/>
      <w:numFmt w:val="upperLetter"/>
      <w:lvlText w:val="%1."/>
      <w:lvlJc w:val="left"/>
      <w:pPr>
        <w:ind w:left="1495"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538D1BAF"/>
    <w:multiLevelType w:val="hybridMultilevel"/>
    <w:tmpl w:val="93243556"/>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nsid w:val="54563AB6"/>
    <w:multiLevelType w:val="hybridMultilevel"/>
    <w:tmpl w:val="530A03A2"/>
    <w:lvl w:ilvl="0" w:tplc="71124E60">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nsid w:val="54E11229"/>
    <w:multiLevelType w:val="hybridMultilevel"/>
    <w:tmpl w:val="429CD686"/>
    <w:lvl w:ilvl="0" w:tplc="11FEBB56">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nsid w:val="6D994840"/>
    <w:multiLevelType w:val="hybridMultilevel"/>
    <w:tmpl w:val="429CD686"/>
    <w:lvl w:ilvl="0" w:tplc="11FEBB56">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74F52B5D"/>
    <w:multiLevelType w:val="hybridMultilevel"/>
    <w:tmpl w:val="A4249A2E"/>
    <w:lvl w:ilvl="0" w:tplc="28662C24">
      <w:start w:val="1"/>
      <w:numFmt w:val="upperLetter"/>
      <w:lvlText w:val="%1."/>
      <w:lvlJc w:val="left"/>
      <w:pPr>
        <w:ind w:left="1495"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76753A80"/>
    <w:multiLevelType w:val="hybridMultilevel"/>
    <w:tmpl w:val="C362F804"/>
    <w:lvl w:ilvl="0" w:tplc="16D40AFE">
      <w:start w:val="1"/>
      <w:numFmt w:val="decimal"/>
      <w:lvlText w:val="%1."/>
      <w:lvlJc w:val="left"/>
      <w:pPr>
        <w:ind w:left="0" w:firstLine="0"/>
      </w:pPr>
      <w:rPr>
        <w:rFonts w:ascii="Verdana" w:hAnsi="Verdana" w:hint="default"/>
        <w:b w:val="0"/>
        <w:i w:val="0"/>
        <w:strike w:val="0"/>
        <w:color w:val="auto"/>
        <w:sz w:val="20"/>
        <w:szCs w:val="20"/>
        <w:lang w:val="es-ES_tradnl"/>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A89E6920">
      <w:start w:val="2"/>
      <w:numFmt w:val="lowerLetter"/>
      <w:lvlText w:val="%6)"/>
      <w:lvlJc w:val="left"/>
      <w:pPr>
        <w:ind w:left="4358" w:hanging="360"/>
      </w:pPr>
      <w:rPr>
        <w:rFonts w:hint="default"/>
      </w:rPr>
    </w:lvl>
    <w:lvl w:ilvl="6" w:tplc="40B280D2">
      <w:start w:val="1"/>
      <w:numFmt w:val="upperLetter"/>
      <w:lvlText w:val="%7."/>
      <w:lvlJc w:val="left"/>
      <w:pPr>
        <w:ind w:left="4898" w:hanging="360"/>
      </w:pPr>
      <w:rPr>
        <w:rFonts w:hint="default"/>
      </w:r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20">
    <w:nsid w:val="79200078"/>
    <w:multiLevelType w:val="hybridMultilevel"/>
    <w:tmpl w:val="4C2E181C"/>
    <w:lvl w:ilvl="0" w:tplc="36BC5290">
      <w:start w:val="8"/>
      <w:numFmt w:val="upperLetter"/>
      <w:lvlText w:val="%1."/>
      <w:lvlJc w:val="left"/>
      <w:pPr>
        <w:ind w:left="1495"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abstractNumId w:val="19"/>
  </w:num>
  <w:num w:numId="2">
    <w:abstractNumId w:val="11"/>
  </w:num>
  <w:num w:numId="3">
    <w:abstractNumId w:val="21"/>
  </w:num>
  <w:num w:numId="4">
    <w:abstractNumId w:val="0"/>
  </w:num>
  <w:num w:numId="5">
    <w:abstractNumId w:val="3"/>
  </w:num>
  <w:num w:numId="6">
    <w:abstractNumId w:val="5"/>
  </w:num>
  <w:num w:numId="7">
    <w:abstractNumId w:val="14"/>
  </w:num>
  <w:num w:numId="8">
    <w:abstractNumId w:val="16"/>
  </w:num>
  <w:num w:numId="9">
    <w:abstractNumId w:val="17"/>
  </w:num>
  <w:num w:numId="10">
    <w:abstractNumId w:val="9"/>
  </w:num>
  <w:num w:numId="11">
    <w:abstractNumId w:val="2"/>
  </w:num>
  <w:num w:numId="12">
    <w:abstractNumId w:val="1"/>
  </w:num>
  <w:num w:numId="13">
    <w:abstractNumId w:val="6"/>
  </w:num>
  <w:num w:numId="14">
    <w:abstractNumId w:val="12"/>
  </w:num>
  <w:num w:numId="15">
    <w:abstractNumId w:val="15"/>
  </w:num>
  <w:num w:numId="16">
    <w:abstractNumId w:val="10"/>
  </w:num>
  <w:num w:numId="17">
    <w:abstractNumId w:val="18"/>
  </w:num>
  <w:num w:numId="18">
    <w:abstractNumId w:val="20"/>
  </w:num>
  <w:num w:numId="19">
    <w:abstractNumId w:val="8"/>
  </w:num>
  <w:num w:numId="20">
    <w:abstractNumId w:val="13"/>
  </w:num>
  <w:num w:numId="21">
    <w:abstractNumId w:val="7"/>
  </w:num>
  <w:num w:numId="22">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pt-BR" w:vendorID="64" w:dllVersion="6" w:nlCheck="1" w:checkStyle="0"/>
  <w:activeWritingStyle w:appName="MSWord" w:lang="es-ES_tradnl" w:vendorID="64" w:dllVersion="6" w:nlCheck="1" w:checkStyle="1"/>
  <w:activeWritingStyle w:appName="MSWord" w:lang="es-CR" w:vendorID="64" w:dllVersion="6" w:nlCheck="1" w:checkStyle="1"/>
  <w:activeWritingStyle w:appName="MSWord" w:lang="es-ES" w:vendorID="64" w:dllVersion="6" w:nlCheck="1" w:checkStyle="1"/>
  <w:activeWritingStyle w:appName="MSWord" w:lang="es-AR" w:vendorID="64" w:dllVersion="6" w:nlCheck="1" w:checkStyle="1"/>
  <w:activeWritingStyle w:appName="MSWord" w:lang="es-CO" w:vendorID="64" w:dllVersion="6" w:nlCheck="1" w:checkStyle="1"/>
  <w:activeWritingStyle w:appName="MSWord" w:lang="es-MX" w:vendorID="64" w:dllVersion="6" w:nlCheck="1" w:checkStyle="1"/>
  <w:activeWritingStyle w:appName="MSWord" w:lang="es-GT" w:vendorID="64" w:dllVersion="6" w:nlCheck="1" w:checkStyle="1"/>
  <w:activeWritingStyle w:appName="MSWord" w:lang="es-PR" w:vendorID="64" w:dllVersion="6" w:nlCheck="1" w:checkStyle="1"/>
  <w:activeWritingStyle w:appName="MSWord" w:lang="es-EC" w:vendorID="64" w:dllVersion="6" w:nlCheck="1" w:checkStyle="1"/>
  <w:activeWritingStyle w:appName="MSWord" w:lang="en-US" w:vendorID="64" w:dllVersion="6" w:nlCheck="1" w:checkStyle="1"/>
  <w:activeWritingStyle w:appName="MSWord" w:lang="es-PE" w:vendorID="64" w:dllVersion="6" w:nlCheck="1" w:checkStyle="1"/>
  <w:activeWritingStyle w:appName="MSWord" w:lang="es-CL" w:vendorID="64" w:dllVersion="6" w:nlCheck="1" w:checkStyle="0"/>
  <w:activeWritingStyle w:appName="MSWord" w:lang="es-US" w:vendorID="64" w:dllVersion="6" w:nlCheck="1" w:checkStyle="0"/>
  <w:activeWritingStyle w:appName="MSWord" w:lang="es-VE" w:vendorID="64" w:dllVersion="6" w:nlCheck="1" w:checkStyle="1"/>
  <w:activeWritingStyle w:appName="MSWord" w:lang="fr-FR" w:vendorID="64" w:dllVersion="6" w:nlCheck="1" w:checkStyle="1"/>
  <w:activeWritingStyle w:appName="MSWord" w:lang="es-ES_tradnl"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s-CR" w:vendorID="64" w:dllVersion="0" w:nlCheck="1" w:checkStyle="0"/>
  <w:activeWritingStyle w:appName="MSWord" w:lang="es-PE" w:vendorID="64" w:dllVersion="0" w:nlCheck="1" w:checkStyle="0"/>
  <w:activeWritingStyle w:appName="MSWord" w:lang="es-AR" w:vendorID="64" w:dllVersion="0" w:nlCheck="1" w:checkStyle="0"/>
  <w:activeWritingStyle w:appName="MSWord" w:lang="es-PE" w:vendorID="64" w:dllVersion="4096" w:nlCheck="1" w:checkStyle="0"/>
  <w:activeWritingStyle w:appName="MSWord" w:lang="es-CR" w:vendorID="64" w:dllVersion="4096" w:nlCheck="1" w:checkStyle="0"/>
  <w:activeWritingStyle w:appName="MSWord" w:lang="pt-BR" w:vendorID="64" w:dllVersion="4096" w:nlCheck="1" w:checkStyle="0"/>
  <w:activeWritingStyle w:appName="MSWord" w:lang="es-CO"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s-VE" w:vendorID="64" w:dllVersion="4096" w:nlCheck="1" w:checkStyle="0"/>
  <w:activeWritingStyle w:appName="MSWord" w:lang="es-GT" w:vendorID="64" w:dllVersion="4096" w:nlCheck="1" w:checkStyle="0"/>
  <w:activeWritingStyle w:appName="MSWord" w:lang="es-ES_tradnl" w:vendorID="64" w:dllVersion="131078" w:nlCheck="1" w:checkStyle="1"/>
  <w:activeWritingStyle w:appName="MSWord" w:lang="es-CO" w:vendorID="64" w:dllVersion="131078" w:nlCheck="1" w:checkStyle="1"/>
  <w:activeWritingStyle w:appName="MSWord" w:lang="es-PE" w:vendorID="64" w:dllVersion="131078" w:nlCheck="1" w:checkStyle="1"/>
  <w:activeWritingStyle w:appName="MSWord" w:lang="es-AR"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9"/>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3BF"/>
    <w:rsid w:val="0000066D"/>
    <w:rsid w:val="00000CA3"/>
    <w:rsid w:val="00002549"/>
    <w:rsid w:val="000029BF"/>
    <w:rsid w:val="00002A6C"/>
    <w:rsid w:val="00002B7F"/>
    <w:rsid w:val="00002D1A"/>
    <w:rsid w:val="00003400"/>
    <w:rsid w:val="00003416"/>
    <w:rsid w:val="00005409"/>
    <w:rsid w:val="00005558"/>
    <w:rsid w:val="000055D9"/>
    <w:rsid w:val="000058DC"/>
    <w:rsid w:val="00005BD2"/>
    <w:rsid w:val="00005E79"/>
    <w:rsid w:val="0000613A"/>
    <w:rsid w:val="00006467"/>
    <w:rsid w:val="000065F7"/>
    <w:rsid w:val="000069FB"/>
    <w:rsid w:val="00006D17"/>
    <w:rsid w:val="00007A09"/>
    <w:rsid w:val="00010070"/>
    <w:rsid w:val="00010B48"/>
    <w:rsid w:val="00011691"/>
    <w:rsid w:val="000119DA"/>
    <w:rsid w:val="00014A31"/>
    <w:rsid w:val="00014C1A"/>
    <w:rsid w:val="00015025"/>
    <w:rsid w:val="00015301"/>
    <w:rsid w:val="00015551"/>
    <w:rsid w:val="00015AF3"/>
    <w:rsid w:val="00015C22"/>
    <w:rsid w:val="00015F81"/>
    <w:rsid w:val="00016063"/>
    <w:rsid w:val="000165F5"/>
    <w:rsid w:val="00016E36"/>
    <w:rsid w:val="00016EAA"/>
    <w:rsid w:val="00016F3D"/>
    <w:rsid w:val="000174DC"/>
    <w:rsid w:val="0001767E"/>
    <w:rsid w:val="00017706"/>
    <w:rsid w:val="000204EC"/>
    <w:rsid w:val="00020840"/>
    <w:rsid w:val="00021238"/>
    <w:rsid w:val="000214B1"/>
    <w:rsid w:val="00021A9D"/>
    <w:rsid w:val="0002275F"/>
    <w:rsid w:val="00022F63"/>
    <w:rsid w:val="0002335A"/>
    <w:rsid w:val="00024184"/>
    <w:rsid w:val="000244AC"/>
    <w:rsid w:val="00024A60"/>
    <w:rsid w:val="00024C25"/>
    <w:rsid w:val="00025534"/>
    <w:rsid w:val="00025AA4"/>
    <w:rsid w:val="00025B16"/>
    <w:rsid w:val="00025DBA"/>
    <w:rsid w:val="00025F9B"/>
    <w:rsid w:val="000262FA"/>
    <w:rsid w:val="00026AD5"/>
    <w:rsid w:val="00027A6E"/>
    <w:rsid w:val="0003029E"/>
    <w:rsid w:val="0003047A"/>
    <w:rsid w:val="0003048A"/>
    <w:rsid w:val="00030707"/>
    <w:rsid w:val="0003229B"/>
    <w:rsid w:val="00032585"/>
    <w:rsid w:val="00032A66"/>
    <w:rsid w:val="00032E12"/>
    <w:rsid w:val="0003407D"/>
    <w:rsid w:val="00034284"/>
    <w:rsid w:val="00034536"/>
    <w:rsid w:val="000354B8"/>
    <w:rsid w:val="00035C05"/>
    <w:rsid w:val="00036161"/>
    <w:rsid w:val="00037198"/>
    <w:rsid w:val="0003773F"/>
    <w:rsid w:val="00037863"/>
    <w:rsid w:val="0003786A"/>
    <w:rsid w:val="00041228"/>
    <w:rsid w:val="0004135A"/>
    <w:rsid w:val="000432AA"/>
    <w:rsid w:val="0004332F"/>
    <w:rsid w:val="0004338B"/>
    <w:rsid w:val="00043C2C"/>
    <w:rsid w:val="00044145"/>
    <w:rsid w:val="000442E3"/>
    <w:rsid w:val="00044959"/>
    <w:rsid w:val="00044989"/>
    <w:rsid w:val="0004571C"/>
    <w:rsid w:val="00045CC8"/>
    <w:rsid w:val="000460A5"/>
    <w:rsid w:val="000461EC"/>
    <w:rsid w:val="000465BB"/>
    <w:rsid w:val="00046C7E"/>
    <w:rsid w:val="000478DA"/>
    <w:rsid w:val="00047DDC"/>
    <w:rsid w:val="000506A9"/>
    <w:rsid w:val="0005099A"/>
    <w:rsid w:val="00050F96"/>
    <w:rsid w:val="00051000"/>
    <w:rsid w:val="00051498"/>
    <w:rsid w:val="00051875"/>
    <w:rsid w:val="00051FFB"/>
    <w:rsid w:val="00052767"/>
    <w:rsid w:val="00052927"/>
    <w:rsid w:val="00052DEA"/>
    <w:rsid w:val="000538FF"/>
    <w:rsid w:val="00053D7B"/>
    <w:rsid w:val="00054110"/>
    <w:rsid w:val="0005430C"/>
    <w:rsid w:val="00054512"/>
    <w:rsid w:val="00055116"/>
    <w:rsid w:val="000557DA"/>
    <w:rsid w:val="000559E2"/>
    <w:rsid w:val="00055FC4"/>
    <w:rsid w:val="00056389"/>
    <w:rsid w:val="000566F6"/>
    <w:rsid w:val="00056BAE"/>
    <w:rsid w:val="00057525"/>
    <w:rsid w:val="00060529"/>
    <w:rsid w:val="00060876"/>
    <w:rsid w:val="000609F8"/>
    <w:rsid w:val="00061656"/>
    <w:rsid w:val="0006217C"/>
    <w:rsid w:val="00062B79"/>
    <w:rsid w:val="00062D6C"/>
    <w:rsid w:val="000638FA"/>
    <w:rsid w:val="00063E30"/>
    <w:rsid w:val="000646E2"/>
    <w:rsid w:val="000655BB"/>
    <w:rsid w:val="000669AD"/>
    <w:rsid w:val="00066D30"/>
    <w:rsid w:val="00067A0C"/>
    <w:rsid w:val="000707C0"/>
    <w:rsid w:val="00070CFE"/>
    <w:rsid w:val="000717F4"/>
    <w:rsid w:val="00072094"/>
    <w:rsid w:val="000723FB"/>
    <w:rsid w:val="00072B6B"/>
    <w:rsid w:val="00072E5C"/>
    <w:rsid w:val="00073120"/>
    <w:rsid w:val="000734C1"/>
    <w:rsid w:val="00073C32"/>
    <w:rsid w:val="000743F8"/>
    <w:rsid w:val="00074414"/>
    <w:rsid w:val="0007465C"/>
    <w:rsid w:val="000746F6"/>
    <w:rsid w:val="00075271"/>
    <w:rsid w:val="00075D8A"/>
    <w:rsid w:val="00076548"/>
    <w:rsid w:val="00076D5E"/>
    <w:rsid w:val="00081990"/>
    <w:rsid w:val="000822C6"/>
    <w:rsid w:val="00083779"/>
    <w:rsid w:val="00083800"/>
    <w:rsid w:val="00083829"/>
    <w:rsid w:val="00083F3D"/>
    <w:rsid w:val="000850B1"/>
    <w:rsid w:val="000851BF"/>
    <w:rsid w:val="000852DC"/>
    <w:rsid w:val="00085881"/>
    <w:rsid w:val="00085E71"/>
    <w:rsid w:val="00086C97"/>
    <w:rsid w:val="00086CBA"/>
    <w:rsid w:val="000875A8"/>
    <w:rsid w:val="000900E2"/>
    <w:rsid w:val="000900FE"/>
    <w:rsid w:val="0009075E"/>
    <w:rsid w:val="00091007"/>
    <w:rsid w:val="000914DC"/>
    <w:rsid w:val="00092439"/>
    <w:rsid w:val="00092CDC"/>
    <w:rsid w:val="000934F5"/>
    <w:rsid w:val="00094645"/>
    <w:rsid w:val="00095470"/>
    <w:rsid w:val="000959CA"/>
    <w:rsid w:val="00095DAD"/>
    <w:rsid w:val="00095F45"/>
    <w:rsid w:val="0009633C"/>
    <w:rsid w:val="00096441"/>
    <w:rsid w:val="000968EE"/>
    <w:rsid w:val="000976B7"/>
    <w:rsid w:val="000A031C"/>
    <w:rsid w:val="000A0339"/>
    <w:rsid w:val="000A05CF"/>
    <w:rsid w:val="000A144D"/>
    <w:rsid w:val="000A182D"/>
    <w:rsid w:val="000A2E6F"/>
    <w:rsid w:val="000A33A8"/>
    <w:rsid w:val="000A381B"/>
    <w:rsid w:val="000A3CE0"/>
    <w:rsid w:val="000A40E3"/>
    <w:rsid w:val="000A452B"/>
    <w:rsid w:val="000A5171"/>
    <w:rsid w:val="000A5A9C"/>
    <w:rsid w:val="000A62D7"/>
    <w:rsid w:val="000A65F1"/>
    <w:rsid w:val="000A708F"/>
    <w:rsid w:val="000A70BC"/>
    <w:rsid w:val="000A728D"/>
    <w:rsid w:val="000A73B1"/>
    <w:rsid w:val="000B02A0"/>
    <w:rsid w:val="000B04CF"/>
    <w:rsid w:val="000B203D"/>
    <w:rsid w:val="000B232E"/>
    <w:rsid w:val="000B2B10"/>
    <w:rsid w:val="000B2ED9"/>
    <w:rsid w:val="000B3391"/>
    <w:rsid w:val="000B3E3D"/>
    <w:rsid w:val="000B40A1"/>
    <w:rsid w:val="000B426C"/>
    <w:rsid w:val="000B45D3"/>
    <w:rsid w:val="000B486F"/>
    <w:rsid w:val="000B4908"/>
    <w:rsid w:val="000B5099"/>
    <w:rsid w:val="000B5E84"/>
    <w:rsid w:val="000B5EA0"/>
    <w:rsid w:val="000B5FEF"/>
    <w:rsid w:val="000B60DB"/>
    <w:rsid w:val="000B621A"/>
    <w:rsid w:val="000B6390"/>
    <w:rsid w:val="000B67B0"/>
    <w:rsid w:val="000B6D6F"/>
    <w:rsid w:val="000C077B"/>
    <w:rsid w:val="000C0DE5"/>
    <w:rsid w:val="000C140A"/>
    <w:rsid w:val="000C2C04"/>
    <w:rsid w:val="000C2DA4"/>
    <w:rsid w:val="000C300B"/>
    <w:rsid w:val="000C3112"/>
    <w:rsid w:val="000C3FC1"/>
    <w:rsid w:val="000C42FB"/>
    <w:rsid w:val="000C5CCB"/>
    <w:rsid w:val="000C611D"/>
    <w:rsid w:val="000C6470"/>
    <w:rsid w:val="000C706D"/>
    <w:rsid w:val="000C746D"/>
    <w:rsid w:val="000C759A"/>
    <w:rsid w:val="000C76AC"/>
    <w:rsid w:val="000C770E"/>
    <w:rsid w:val="000C77A3"/>
    <w:rsid w:val="000C78A6"/>
    <w:rsid w:val="000C79E5"/>
    <w:rsid w:val="000C7ED0"/>
    <w:rsid w:val="000D0377"/>
    <w:rsid w:val="000D0C64"/>
    <w:rsid w:val="000D17B0"/>
    <w:rsid w:val="000D17E1"/>
    <w:rsid w:val="000D2082"/>
    <w:rsid w:val="000D21B3"/>
    <w:rsid w:val="000D269A"/>
    <w:rsid w:val="000D26DE"/>
    <w:rsid w:val="000D27DA"/>
    <w:rsid w:val="000D32A0"/>
    <w:rsid w:val="000D3594"/>
    <w:rsid w:val="000D3B92"/>
    <w:rsid w:val="000D3DC5"/>
    <w:rsid w:val="000D4429"/>
    <w:rsid w:val="000D464C"/>
    <w:rsid w:val="000D4699"/>
    <w:rsid w:val="000D564E"/>
    <w:rsid w:val="000D6358"/>
    <w:rsid w:val="000D67D1"/>
    <w:rsid w:val="000D6BB7"/>
    <w:rsid w:val="000D6D26"/>
    <w:rsid w:val="000D7098"/>
    <w:rsid w:val="000D7253"/>
    <w:rsid w:val="000D72B8"/>
    <w:rsid w:val="000D7533"/>
    <w:rsid w:val="000D7AE0"/>
    <w:rsid w:val="000E074A"/>
    <w:rsid w:val="000E0768"/>
    <w:rsid w:val="000E080E"/>
    <w:rsid w:val="000E0A10"/>
    <w:rsid w:val="000E0D82"/>
    <w:rsid w:val="000E168E"/>
    <w:rsid w:val="000E1C44"/>
    <w:rsid w:val="000E2652"/>
    <w:rsid w:val="000E2969"/>
    <w:rsid w:val="000E2C86"/>
    <w:rsid w:val="000E2E3D"/>
    <w:rsid w:val="000E3117"/>
    <w:rsid w:val="000E3F85"/>
    <w:rsid w:val="000E455E"/>
    <w:rsid w:val="000E4B1B"/>
    <w:rsid w:val="000E4BE3"/>
    <w:rsid w:val="000E5BA2"/>
    <w:rsid w:val="000E6359"/>
    <w:rsid w:val="000E64FB"/>
    <w:rsid w:val="000E66A0"/>
    <w:rsid w:val="000E777B"/>
    <w:rsid w:val="000E7C11"/>
    <w:rsid w:val="000F0461"/>
    <w:rsid w:val="000F0C6E"/>
    <w:rsid w:val="000F0CB8"/>
    <w:rsid w:val="000F148C"/>
    <w:rsid w:val="000F16AA"/>
    <w:rsid w:val="000F1B02"/>
    <w:rsid w:val="000F1F6A"/>
    <w:rsid w:val="000F255C"/>
    <w:rsid w:val="000F28ED"/>
    <w:rsid w:val="000F2EE5"/>
    <w:rsid w:val="000F30CA"/>
    <w:rsid w:val="000F3365"/>
    <w:rsid w:val="000F33B4"/>
    <w:rsid w:val="000F3909"/>
    <w:rsid w:val="000F3ADF"/>
    <w:rsid w:val="000F49CC"/>
    <w:rsid w:val="000F4BE4"/>
    <w:rsid w:val="000F508F"/>
    <w:rsid w:val="000F5CC6"/>
    <w:rsid w:val="000F6214"/>
    <w:rsid w:val="000F67C4"/>
    <w:rsid w:val="000F698E"/>
    <w:rsid w:val="000F6CDD"/>
    <w:rsid w:val="000F7868"/>
    <w:rsid w:val="000F79C5"/>
    <w:rsid w:val="000F7F8E"/>
    <w:rsid w:val="0010039B"/>
    <w:rsid w:val="00100701"/>
    <w:rsid w:val="00100947"/>
    <w:rsid w:val="00101134"/>
    <w:rsid w:val="001019D6"/>
    <w:rsid w:val="00101CA3"/>
    <w:rsid w:val="00101F63"/>
    <w:rsid w:val="00101FF8"/>
    <w:rsid w:val="001021B7"/>
    <w:rsid w:val="001021EC"/>
    <w:rsid w:val="0010239D"/>
    <w:rsid w:val="00102673"/>
    <w:rsid w:val="00102750"/>
    <w:rsid w:val="00102BA2"/>
    <w:rsid w:val="001032C0"/>
    <w:rsid w:val="001038C4"/>
    <w:rsid w:val="001041A4"/>
    <w:rsid w:val="001042E8"/>
    <w:rsid w:val="00104598"/>
    <w:rsid w:val="00104766"/>
    <w:rsid w:val="00105351"/>
    <w:rsid w:val="00106929"/>
    <w:rsid w:val="00106A95"/>
    <w:rsid w:val="00106AB8"/>
    <w:rsid w:val="0010744C"/>
    <w:rsid w:val="001077A6"/>
    <w:rsid w:val="001077FA"/>
    <w:rsid w:val="001103E1"/>
    <w:rsid w:val="001106A2"/>
    <w:rsid w:val="00110842"/>
    <w:rsid w:val="00110D5F"/>
    <w:rsid w:val="001116E4"/>
    <w:rsid w:val="00111712"/>
    <w:rsid w:val="0011203E"/>
    <w:rsid w:val="00112425"/>
    <w:rsid w:val="00112489"/>
    <w:rsid w:val="001129EA"/>
    <w:rsid w:val="001142EB"/>
    <w:rsid w:val="001144ED"/>
    <w:rsid w:val="00114541"/>
    <w:rsid w:val="00114A4C"/>
    <w:rsid w:val="00114C59"/>
    <w:rsid w:val="001160D7"/>
    <w:rsid w:val="0011614A"/>
    <w:rsid w:val="001161E9"/>
    <w:rsid w:val="0011693E"/>
    <w:rsid w:val="00116BC1"/>
    <w:rsid w:val="00116F36"/>
    <w:rsid w:val="001175CE"/>
    <w:rsid w:val="00117BA9"/>
    <w:rsid w:val="00117E20"/>
    <w:rsid w:val="001207DF"/>
    <w:rsid w:val="00120B6A"/>
    <w:rsid w:val="001217F5"/>
    <w:rsid w:val="001218E8"/>
    <w:rsid w:val="00121AA8"/>
    <w:rsid w:val="00122A41"/>
    <w:rsid w:val="00122AD8"/>
    <w:rsid w:val="00122B1A"/>
    <w:rsid w:val="0012337A"/>
    <w:rsid w:val="00123AA2"/>
    <w:rsid w:val="00123D88"/>
    <w:rsid w:val="0012431B"/>
    <w:rsid w:val="00124619"/>
    <w:rsid w:val="001246F9"/>
    <w:rsid w:val="00124A5B"/>
    <w:rsid w:val="00125B43"/>
    <w:rsid w:val="001261FC"/>
    <w:rsid w:val="00127A88"/>
    <w:rsid w:val="00127BAC"/>
    <w:rsid w:val="00127EB1"/>
    <w:rsid w:val="00127FD6"/>
    <w:rsid w:val="001303B4"/>
    <w:rsid w:val="00130417"/>
    <w:rsid w:val="001305F6"/>
    <w:rsid w:val="00130891"/>
    <w:rsid w:val="001315F8"/>
    <w:rsid w:val="001318BE"/>
    <w:rsid w:val="001320AC"/>
    <w:rsid w:val="001322C1"/>
    <w:rsid w:val="00132FF4"/>
    <w:rsid w:val="0013395A"/>
    <w:rsid w:val="00133997"/>
    <w:rsid w:val="00133CF0"/>
    <w:rsid w:val="00133E80"/>
    <w:rsid w:val="0013453D"/>
    <w:rsid w:val="00134B3E"/>
    <w:rsid w:val="0013527C"/>
    <w:rsid w:val="001355AC"/>
    <w:rsid w:val="00135DEC"/>
    <w:rsid w:val="00136196"/>
    <w:rsid w:val="0013655E"/>
    <w:rsid w:val="00137261"/>
    <w:rsid w:val="00137802"/>
    <w:rsid w:val="00137EC8"/>
    <w:rsid w:val="0014146A"/>
    <w:rsid w:val="00141868"/>
    <w:rsid w:val="0014247D"/>
    <w:rsid w:val="00142C72"/>
    <w:rsid w:val="00142E78"/>
    <w:rsid w:val="00143324"/>
    <w:rsid w:val="00143ECA"/>
    <w:rsid w:val="00143FD8"/>
    <w:rsid w:val="0014438A"/>
    <w:rsid w:val="0014491B"/>
    <w:rsid w:val="00144BE8"/>
    <w:rsid w:val="00144F28"/>
    <w:rsid w:val="00145571"/>
    <w:rsid w:val="0014567B"/>
    <w:rsid w:val="0014574E"/>
    <w:rsid w:val="0014686D"/>
    <w:rsid w:val="00146E35"/>
    <w:rsid w:val="00147060"/>
    <w:rsid w:val="001503A1"/>
    <w:rsid w:val="00150712"/>
    <w:rsid w:val="00151597"/>
    <w:rsid w:val="00151686"/>
    <w:rsid w:val="00152313"/>
    <w:rsid w:val="0015348B"/>
    <w:rsid w:val="00153739"/>
    <w:rsid w:val="00153944"/>
    <w:rsid w:val="00153A92"/>
    <w:rsid w:val="00153BDA"/>
    <w:rsid w:val="00153C94"/>
    <w:rsid w:val="00153E57"/>
    <w:rsid w:val="00153F41"/>
    <w:rsid w:val="001545E6"/>
    <w:rsid w:val="001547AD"/>
    <w:rsid w:val="00155098"/>
    <w:rsid w:val="00155888"/>
    <w:rsid w:val="00155C71"/>
    <w:rsid w:val="00155E1A"/>
    <w:rsid w:val="001563B4"/>
    <w:rsid w:val="00156993"/>
    <w:rsid w:val="00157A1D"/>
    <w:rsid w:val="00157E64"/>
    <w:rsid w:val="00160563"/>
    <w:rsid w:val="00160575"/>
    <w:rsid w:val="0016141E"/>
    <w:rsid w:val="00161F4F"/>
    <w:rsid w:val="001638EA"/>
    <w:rsid w:val="00163F0E"/>
    <w:rsid w:val="00164580"/>
    <w:rsid w:val="0016480B"/>
    <w:rsid w:val="00164819"/>
    <w:rsid w:val="00166035"/>
    <w:rsid w:val="001664A9"/>
    <w:rsid w:val="0016669F"/>
    <w:rsid w:val="00166B52"/>
    <w:rsid w:val="00166BB2"/>
    <w:rsid w:val="0016776B"/>
    <w:rsid w:val="00167BCB"/>
    <w:rsid w:val="00167D05"/>
    <w:rsid w:val="00167D25"/>
    <w:rsid w:val="001701AD"/>
    <w:rsid w:val="001702CA"/>
    <w:rsid w:val="00170947"/>
    <w:rsid w:val="00171189"/>
    <w:rsid w:val="00171A6A"/>
    <w:rsid w:val="00171D28"/>
    <w:rsid w:val="00172211"/>
    <w:rsid w:val="00172ABB"/>
    <w:rsid w:val="00173E5B"/>
    <w:rsid w:val="00173E5C"/>
    <w:rsid w:val="00174406"/>
    <w:rsid w:val="001748BB"/>
    <w:rsid w:val="0017500C"/>
    <w:rsid w:val="00175553"/>
    <w:rsid w:val="00176F2E"/>
    <w:rsid w:val="00176F56"/>
    <w:rsid w:val="00177421"/>
    <w:rsid w:val="00177E3F"/>
    <w:rsid w:val="00180003"/>
    <w:rsid w:val="00180119"/>
    <w:rsid w:val="001810E4"/>
    <w:rsid w:val="001811E7"/>
    <w:rsid w:val="00181902"/>
    <w:rsid w:val="00181BA1"/>
    <w:rsid w:val="0018292E"/>
    <w:rsid w:val="00182EC6"/>
    <w:rsid w:val="001838FD"/>
    <w:rsid w:val="00183F1C"/>
    <w:rsid w:val="00184997"/>
    <w:rsid w:val="00184EF0"/>
    <w:rsid w:val="00185438"/>
    <w:rsid w:val="00185538"/>
    <w:rsid w:val="00185C92"/>
    <w:rsid w:val="001866BE"/>
    <w:rsid w:val="001867CB"/>
    <w:rsid w:val="00186C0B"/>
    <w:rsid w:val="00186D1C"/>
    <w:rsid w:val="00187095"/>
    <w:rsid w:val="00187623"/>
    <w:rsid w:val="00187704"/>
    <w:rsid w:val="00187B57"/>
    <w:rsid w:val="00187E00"/>
    <w:rsid w:val="00190023"/>
    <w:rsid w:val="001902BE"/>
    <w:rsid w:val="001908EF"/>
    <w:rsid w:val="00190CDF"/>
    <w:rsid w:val="00190E96"/>
    <w:rsid w:val="0019142C"/>
    <w:rsid w:val="001927C2"/>
    <w:rsid w:val="001929E8"/>
    <w:rsid w:val="001934AA"/>
    <w:rsid w:val="001942E5"/>
    <w:rsid w:val="00194F46"/>
    <w:rsid w:val="00195585"/>
    <w:rsid w:val="00195A15"/>
    <w:rsid w:val="00196C2E"/>
    <w:rsid w:val="001A0578"/>
    <w:rsid w:val="001A0817"/>
    <w:rsid w:val="001A09F1"/>
    <w:rsid w:val="001A0BA7"/>
    <w:rsid w:val="001A11AB"/>
    <w:rsid w:val="001A11C1"/>
    <w:rsid w:val="001A16B0"/>
    <w:rsid w:val="001A17DB"/>
    <w:rsid w:val="001A1E2E"/>
    <w:rsid w:val="001A31D2"/>
    <w:rsid w:val="001A3790"/>
    <w:rsid w:val="001A3F50"/>
    <w:rsid w:val="001A4202"/>
    <w:rsid w:val="001A4646"/>
    <w:rsid w:val="001A495B"/>
    <w:rsid w:val="001A51BC"/>
    <w:rsid w:val="001A5AF5"/>
    <w:rsid w:val="001A5CF5"/>
    <w:rsid w:val="001A5E21"/>
    <w:rsid w:val="001A674B"/>
    <w:rsid w:val="001A6A1E"/>
    <w:rsid w:val="001A6AB6"/>
    <w:rsid w:val="001A7822"/>
    <w:rsid w:val="001A7B39"/>
    <w:rsid w:val="001B03C9"/>
    <w:rsid w:val="001B099F"/>
    <w:rsid w:val="001B0B0A"/>
    <w:rsid w:val="001B0BCD"/>
    <w:rsid w:val="001B0CC7"/>
    <w:rsid w:val="001B1795"/>
    <w:rsid w:val="001B1E9B"/>
    <w:rsid w:val="001B2174"/>
    <w:rsid w:val="001B3AEB"/>
    <w:rsid w:val="001B41D9"/>
    <w:rsid w:val="001B447B"/>
    <w:rsid w:val="001B45CE"/>
    <w:rsid w:val="001B5055"/>
    <w:rsid w:val="001B555D"/>
    <w:rsid w:val="001B55C6"/>
    <w:rsid w:val="001B589C"/>
    <w:rsid w:val="001B5D04"/>
    <w:rsid w:val="001B620A"/>
    <w:rsid w:val="001B6AF2"/>
    <w:rsid w:val="001B6C66"/>
    <w:rsid w:val="001B7AFE"/>
    <w:rsid w:val="001C124C"/>
    <w:rsid w:val="001C1346"/>
    <w:rsid w:val="001C202B"/>
    <w:rsid w:val="001C23BC"/>
    <w:rsid w:val="001C24FE"/>
    <w:rsid w:val="001C277E"/>
    <w:rsid w:val="001C27DE"/>
    <w:rsid w:val="001C430B"/>
    <w:rsid w:val="001C45DC"/>
    <w:rsid w:val="001C5A7B"/>
    <w:rsid w:val="001C5C2C"/>
    <w:rsid w:val="001C60B8"/>
    <w:rsid w:val="001C6434"/>
    <w:rsid w:val="001C672D"/>
    <w:rsid w:val="001C75AC"/>
    <w:rsid w:val="001C7ADB"/>
    <w:rsid w:val="001D0028"/>
    <w:rsid w:val="001D01A9"/>
    <w:rsid w:val="001D08E2"/>
    <w:rsid w:val="001D0A0A"/>
    <w:rsid w:val="001D1175"/>
    <w:rsid w:val="001D1647"/>
    <w:rsid w:val="001D1CB3"/>
    <w:rsid w:val="001D1ED2"/>
    <w:rsid w:val="001D1FCC"/>
    <w:rsid w:val="001D26EA"/>
    <w:rsid w:val="001D2782"/>
    <w:rsid w:val="001D3030"/>
    <w:rsid w:val="001D3630"/>
    <w:rsid w:val="001D38CD"/>
    <w:rsid w:val="001D3C55"/>
    <w:rsid w:val="001D3D91"/>
    <w:rsid w:val="001D457A"/>
    <w:rsid w:val="001D48D6"/>
    <w:rsid w:val="001D5608"/>
    <w:rsid w:val="001D5743"/>
    <w:rsid w:val="001D57BA"/>
    <w:rsid w:val="001D5AD2"/>
    <w:rsid w:val="001D5B20"/>
    <w:rsid w:val="001D5CBF"/>
    <w:rsid w:val="001D69AE"/>
    <w:rsid w:val="001D6BAA"/>
    <w:rsid w:val="001D6DA0"/>
    <w:rsid w:val="001D6F05"/>
    <w:rsid w:val="001D7215"/>
    <w:rsid w:val="001D76AC"/>
    <w:rsid w:val="001E0114"/>
    <w:rsid w:val="001E02F0"/>
    <w:rsid w:val="001E0667"/>
    <w:rsid w:val="001E07B6"/>
    <w:rsid w:val="001E1B63"/>
    <w:rsid w:val="001E242E"/>
    <w:rsid w:val="001E333C"/>
    <w:rsid w:val="001E3977"/>
    <w:rsid w:val="001E4CEC"/>
    <w:rsid w:val="001E4ED8"/>
    <w:rsid w:val="001E52CB"/>
    <w:rsid w:val="001E5F86"/>
    <w:rsid w:val="001E61E2"/>
    <w:rsid w:val="001E7180"/>
    <w:rsid w:val="001E7A2C"/>
    <w:rsid w:val="001F0058"/>
    <w:rsid w:val="001F03EE"/>
    <w:rsid w:val="001F05C9"/>
    <w:rsid w:val="001F0D9B"/>
    <w:rsid w:val="001F278B"/>
    <w:rsid w:val="001F2A03"/>
    <w:rsid w:val="001F2E1A"/>
    <w:rsid w:val="001F2F8B"/>
    <w:rsid w:val="001F33E0"/>
    <w:rsid w:val="001F3543"/>
    <w:rsid w:val="001F3F30"/>
    <w:rsid w:val="001F3F38"/>
    <w:rsid w:val="001F563E"/>
    <w:rsid w:val="001F68EB"/>
    <w:rsid w:val="001F6BFC"/>
    <w:rsid w:val="001F75EB"/>
    <w:rsid w:val="001F7D90"/>
    <w:rsid w:val="001F7E0A"/>
    <w:rsid w:val="00200F33"/>
    <w:rsid w:val="00201033"/>
    <w:rsid w:val="00201038"/>
    <w:rsid w:val="0020112A"/>
    <w:rsid w:val="00201533"/>
    <w:rsid w:val="00202608"/>
    <w:rsid w:val="002029A0"/>
    <w:rsid w:val="00202C52"/>
    <w:rsid w:val="00202D88"/>
    <w:rsid w:val="002031B6"/>
    <w:rsid w:val="002040C8"/>
    <w:rsid w:val="002041E9"/>
    <w:rsid w:val="002056FE"/>
    <w:rsid w:val="00205701"/>
    <w:rsid w:val="00205B2A"/>
    <w:rsid w:val="00205FA1"/>
    <w:rsid w:val="002065A6"/>
    <w:rsid w:val="00206883"/>
    <w:rsid w:val="00206B83"/>
    <w:rsid w:val="00206CEA"/>
    <w:rsid w:val="00206ED9"/>
    <w:rsid w:val="00206EDC"/>
    <w:rsid w:val="00207DF7"/>
    <w:rsid w:val="00211006"/>
    <w:rsid w:val="00211098"/>
    <w:rsid w:val="00211534"/>
    <w:rsid w:val="002124CA"/>
    <w:rsid w:val="00212A57"/>
    <w:rsid w:val="00213183"/>
    <w:rsid w:val="00213BB1"/>
    <w:rsid w:val="00213E33"/>
    <w:rsid w:val="00214349"/>
    <w:rsid w:val="00214B32"/>
    <w:rsid w:val="00214B7C"/>
    <w:rsid w:val="0021535D"/>
    <w:rsid w:val="00215942"/>
    <w:rsid w:val="00215A18"/>
    <w:rsid w:val="002169B4"/>
    <w:rsid w:val="00216D85"/>
    <w:rsid w:val="00217107"/>
    <w:rsid w:val="002171D3"/>
    <w:rsid w:val="002172EA"/>
    <w:rsid w:val="0021731F"/>
    <w:rsid w:val="0021773A"/>
    <w:rsid w:val="002179C2"/>
    <w:rsid w:val="00217A5B"/>
    <w:rsid w:val="0022009B"/>
    <w:rsid w:val="002200E2"/>
    <w:rsid w:val="00220AD9"/>
    <w:rsid w:val="00220C79"/>
    <w:rsid w:val="00220FBD"/>
    <w:rsid w:val="00221395"/>
    <w:rsid w:val="002213CC"/>
    <w:rsid w:val="00221F9E"/>
    <w:rsid w:val="002226C5"/>
    <w:rsid w:val="002229F9"/>
    <w:rsid w:val="00222B2F"/>
    <w:rsid w:val="00222C0C"/>
    <w:rsid w:val="002231B3"/>
    <w:rsid w:val="0022337F"/>
    <w:rsid w:val="002236C6"/>
    <w:rsid w:val="0022444E"/>
    <w:rsid w:val="0022482D"/>
    <w:rsid w:val="00224FA0"/>
    <w:rsid w:val="0022514F"/>
    <w:rsid w:val="002252EC"/>
    <w:rsid w:val="00226843"/>
    <w:rsid w:val="00226F76"/>
    <w:rsid w:val="00227D6B"/>
    <w:rsid w:val="00230E08"/>
    <w:rsid w:val="0023107E"/>
    <w:rsid w:val="00232229"/>
    <w:rsid w:val="00232F5E"/>
    <w:rsid w:val="00232F75"/>
    <w:rsid w:val="002334E2"/>
    <w:rsid w:val="00233800"/>
    <w:rsid w:val="0023388E"/>
    <w:rsid w:val="00233DE9"/>
    <w:rsid w:val="002349D4"/>
    <w:rsid w:val="00234A22"/>
    <w:rsid w:val="0023522F"/>
    <w:rsid w:val="00235895"/>
    <w:rsid w:val="00235F99"/>
    <w:rsid w:val="0023621E"/>
    <w:rsid w:val="0023691A"/>
    <w:rsid w:val="00236D16"/>
    <w:rsid w:val="00236EED"/>
    <w:rsid w:val="00240236"/>
    <w:rsid w:val="002418B2"/>
    <w:rsid w:val="00242C7C"/>
    <w:rsid w:val="00242E2A"/>
    <w:rsid w:val="00243764"/>
    <w:rsid w:val="00243F3D"/>
    <w:rsid w:val="002450A9"/>
    <w:rsid w:val="00245417"/>
    <w:rsid w:val="00245ADE"/>
    <w:rsid w:val="00246C03"/>
    <w:rsid w:val="002478D5"/>
    <w:rsid w:val="00247B8C"/>
    <w:rsid w:val="00250639"/>
    <w:rsid w:val="0025076D"/>
    <w:rsid w:val="0025121B"/>
    <w:rsid w:val="0025138E"/>
    <w:rsid w:val="0025161B"/>
    <w:rsid w:val="002520BC"/>
    <w:rsid w:val="002522C9"/>
    <w:rsid w:val="00252E5D"/>
    <w:rsid w:val="0025379B"/>
    <w:rsid w:val="00253FA0"/>
    <w:rsid w:val="0025481A"/>
    <w:rsid w:val="00254D5B"/>
    <w:rsid w:val="00255612"/>
    <w:rsid w:val="00255683"/>
    <w:rsid w:val="0025585C"/>
    <w:rsid w:val="0025585D"/>
    <w:rsid w:val="00255865"/>
    <w:rsid w:val="00255B0E"/>
    <w:rsid w:val="00256F5A"/>
    <w:rsid w:val="002578AC"/>
    <w:rsid w:val="00257AC8"/>
    <w:rsid w:val="00260081"/>
    <w:rsid w:val="00260584"/>
    <w:rsid w:val="00260624"/>
    <w:rsid w:val="00260AE4"/>
    <w:rsid w:val="00260C3E"/>
    <w:rsid w:val="00260E6D"/>
    <w:rsid w:val="002618FF"/>
    <w:rsid w:val="00261B6F"/>
    <w:rsid w:val="00261CDD"/>
    <w:rsid w:val="00262148"/>
    <w:rsid w:val="002621CE"/>
    <w:rsid w:val="00262575"/>
    <w:rsid w:val="002626FF"/>
    <w:rsid w:val="00262A14"/>
    <w:rsid w:val="00262EE4"/>
    <w:rsid w:val="002632BE"/>
    <w:rsid w:val="002632F6"/>
    <w:rsid w:val="002634C9"/>
    <w:rsid w:val="002638AB"/>
    <w:rsid w:val="00263989"/>
    <w:rsid w:val="00263F0A"/>
    <w:rsid w:val="00263FC9"/>
    <w:rsid w:val="00264ED1"/>
    <w:rsid w:val="002669F4"/>
    <w:rsid w:val="00266E7E"/>
    <w:rsid w:val="00266F4B"/>
    <w:rsid w:val="00267324"/>
    <w:rsid w:val="00267B76"/>
    <w:rsid w:val="0027025C"/>
    <w:rsid w:val="002702FB"/>
    <w:rsid w:val="002704B0"/>
    <w:rsid w:val="0027106F"/>
    <w:rsid w:val="002711BC"/>
    <w:rsid w:val="00271D4A"/>
    <w:rsid w:val="00272654"/>
    <w:rsid w:val="00272761"/>
    <w:rsid w:val="00272FA4"/>
    <w:rsid w:val="00273207"/>
    <w:rsid w:val="00273437"/>
    <w:rsid w:val="00273ED1"/>
    <w:rsid w:val="00274CB2"/>
    <w:rsid w:val="0027569C"/>
    <w:rsid w:val="00275AA9"/>
    <w:rsid w:val="00275F35"/>
    <w:rsid w:val="00276025"/>
    <w:rsid w:val="00276D92"/>
    <w:rsid w:val="00280D3A"/>
    <w:rsid w:val="002859F7"/>
    <w:rsid w:val="00285D7C"/>
    <w:rsid w:val="00286449"/>
    <w:rsid w:val="0028686F"/>
    <w:rsid w:val="00286DC5"/>
    <w:rsid w:val="002875DF"/>
    <w:rsid w:val="00287A59"/>
    <w:rsid w:val="00287B55"/>
    <w:rsid w:val="002902BF"/>
    <w:rsid w:val="002903EB"/>
    <w:rsid w:val="0029096B"/>
    <w:rsid w:val="00290B06"/>
    <w:rsid w:val="00290B08"/>
    <w:rsid w:val="00290E65"/>
    <w:rsid w:val="00291205"/>
    <w:rsid w:val="0029127A"/>
    <w:rsid w:val="00291961"/>
    <w:rsid w:val="0029366E"/>
    <w:rsid w:val="00293957"/>
    <w:rsid w:val="002939A8"/>
    <w:rsid w:val="002939F8"/>
    <w:rsid w:val="0029407A"/>
    <w:rsid w:val="002945FA"/>
    <w:rsid w:val="00294FCC"/>
    <w:rsid w:val="002959A4"/>
    <w:rsid w:val="00295A08"/>
    <w:rsid w:val="00295EB2"/>
    <w:rsid w:val="00295FB2"/>
    <w:rsid w:val="002969C5"/>
    <w:rsid w:val="00296A1F"/>
    <w:rsid w:val="002974BB"/>
    <w:rsid w:val="002A0236"/>
    <w:rsid w:val="002A1A9B"/>
    <w:rsid w:val="002A1DCA"/>
    <w:rsid w:val="002A224A"/>
    <w:rsid w:val="002A2A0A"/>
    <w:rsid w:val="002A31DA"/>
    <w:rsid w:val="002A3A9C"/>
    <w:rsid w:val="002A3B4A"/>
    <w:rsid w:val="002A3CD2"/>
    <w:rsid w:val="002A4269"/>
    <w:rsid w:val="002A43A1"/>
    <w:rsid w:val="002A4BA6"/>
    <w:rsid w:val="002A4BCD"/>
    <w:rsid w:val="002A509F"/>
    <w:rsid w:val="002A52B6"/>
    <w:rsid w:val="002A548F"/>
    <w:rsid w:val="002A57E8"/>
    <w:rsid w:val="002A5A90"/>
    <w:rsid w:val="002A5C82"/>
    <w:rsid w:val="002A72E4"/>
    <w:rsid w:val="002A73E7"/>
    <w:rsid w:val="002B0420"/>
    <w:rsid w:val="002B0DF3"/>
    <w:rsid w:val="002B2192"/>
    <w:rsid w:val="002B2459"/>
    <w:rsid w:val="002B250E"/>
    <w:rsid w:val="002B275E"/>
    <w:rsid w:val="002B2C66"/>
    <w:rsid w:val="002B40DB"/>
    <w:rsid w:val="002B4346"/>
    <w:rsid w:val="002B44DD"/>
    <w:rsid w:val="002B4BAC"/>
    <w:rsid w:val="002B4D5A"/>
    <w:rsid w:val="002B4E71"/>
    <w:rsid w:val="002B59EE"/>
    <w:rsid w:val="002B5F4D"/>
    <w:rsid w:val="002B6AB0"/>
    <w:rsid w:val="002B76E6"/>
    <w:rsid w:val="002C0165"/>
    <w:rsid w:val="002C04BB"/>
    <w:rsid w:val="002C0547"/>
    <w:rsid w:val="002C0C15"/>
    <w:rsid w:val="002C116D"/>
    <w:rsid w:val="002C18C5"/>
    <w:rsid w:val="002C1909"/>
    <w:rsid w:val="002C249E"/>
    <w:rsid w:val="002C3278"/>
    <w:rsid w:val="002C359F"/>
    <w:rsid w:val="002C3D1D"/>
    <w:rsid w:val="002C3FFF"/>
    <w:rsid w:val="002C40FE"/>
    <w:rsid w:val="002C4351"/>
    <w:rsid w:val="002C43BF"/>
    <w:rsid w:val="002C475B"/>
    <w:rsid w:val="002C4D5C"/>
    <w:rsid w:val="002C5314"/>
    <w:rsid w:val="002C55EC"/>
    <w:rsid w:val="002C5EA6"/>
    <w:rsid w:val="002C6822"/>
    <w:rsid w:val="002C7037"/>
    <w:rsid w:val="002C72A7"/>
    <w:rsid w:val="002C7F22"/>
    <w:rsid w:val="002D0341"/>
    <w:rsid w:val="002D09D0"/>
    <w:rsid w:val="002D0C3F"/>
    <w:rsid w:val="002D1733"/>
    <w:rsid w:val="002D1FB8"/>
    <w:rsid w:val="002D28D5"/>
    <w:rsid w:val="002D2E34"/>
    <w:rsid w:val="002D2FFD"/>
    <w:rsid w:val="002D3424"/>
    <w:rsid w:val="002D3EE0"/>
    <w:rsid w:val="002D49C8"/>
    <w:rsid w:val="002D4BC5"/>
    <w:rsid w:val="002D4DCF"/>
    <w:rsid w:val="002D4E80"/>
    <w:rsid w:val="002D5450"/>
    <w:rsid w:val="002D5601"/>
    <w:rsid w:val="002D61D9"/>
    <w:rsid w:val="002D637B"/>
    <w:rsid w:val="002D63C9"/>
    <w:rsid w:val="002D6670"/>
    <w:rsid w:val="002D66B7"/>
    <w:rsid w:val="002D6E2F"/>
    <w:rsid w:val="002D7687"/>
    <w:rsid w:val="002E02CD"/>
    <w:rsid w:val="002E17B2"/>
    <w:rsid w:val="002E17F3"/>
    <w:rsid w:val="002E2208"/>
    <w:rsid w:val="002E256A"/>
    <w:rsid w:val="002E2571"/>
    <w:rsid w:val="002E25E3"/>
    <w:rsid w:val="002E3371"/>
    <w:rsid w:val="002E376F"/>
    <w:rsid w:val="002E3827"/>
    <w:rsid w:val="002E3C28"/>
    <w:rsid w:val="002E41E9"/>
    <w:rsid w:val="002E5398"/>
    <w:rsid w:val="002E580C"/>
    <w:rsid w:val="002E70F4"/>
    <w:rsid w:val="002E71FA"/>
    <w:rsid w:val="002E7320"/>
    <w:rsid w:val="002F030F"/>
    <w:rsid w:val="002F062F"/>
    <w:rsid w:val="002F07C5"/>
    <w:rsid w:val="002F16BB"/>
    <w:rsid w:val="002F181D"/>
    <w:rsid w:val="002F1891"/>
    <w:rsid w:val="002F1DB5"/>
    <w:rsid w:val="002F2A9F"/>
    <w:rsid w:val="002F3158"/>
    <w:rsid w:val="002F3353"/>
    <w:rsid w:val="002F35F5"/>
    <w:rsid w:val="002F47C9"/>
    <w:rsid w:val="002F4AED"/>
    <w:rsid w:val="002F508D"/>
    <w:rsid w:val="002F50F0"/>
    <w:rsid w:val="002F54A6"/>
    <w:rsid w:val="002F68FF"/>
    <w:rsid w:val="002F6CC1"/>
    <w:rsid w:val="002F6EE9"/>
    <w:rsid w:val="002F6F21"/>
    <w:rsid w:val="002F7463"/>
    <w:rsid w:val="002F78D5"/>
    <w:rsid w:val="003002C3"/>
    <w:rsid w:val="003003C1"/>
    <w:rsid w:val="00300935"/>
    <w:rsid w:val="003009DD"/>
    <w:rsid w:val="0030117B"/>
    <w:rsid w:val="00302E84"/>
    <w:rsid w:val="003034CF"/>
    <w:rsid w:val="00303CAA"/>
    <w:rsid w:val="0030400D"/>
    <w:rsid w:val="003051F9"/>
    <w:rsid w:val="00306DF9"/>
    <w:rsid w:val="00307251"/>
    <w:rsid w:val="00307675"/>
    <w:rsid w:val="00307A02"/>
    <w:rsid w:val="00307A77"/>
    <w:rsid w:val="00310B16"/>
    <w:rsid w:val="00311800"/>
    <w:rsid w:val="0031287B"/>
    <w:rsid w:val="00312B61"/>
    <w:rsid w:val="0031385D"/>
    <w:rsid w:val="00314009"/>
    <w:rsid w:val="00315232"/>
    <w:rsid w:val="00315667"/>
    <w:rsid w:val="00315D70"/>
    <w:rsid w:val="00315E3F"/>
    <w:rsid w:val="00316125"/>
    <w:rsid w:val="00316789"/>
    <w:rsid w:val="0031685B"/>
    <w:rsid w:val="00316B61"/>
    <w:rsid w:val="00316FB6"/>
    <w:rsid w:val="00317095"/>
    <w:rsid w:val="003178DD"/>
    <w:rsid w:val="00320CA5"/>
    <w:rsid w:val="00322E57"/>
    <w:rsid w:val="00322E93"/>
    <w:rsid w:val="003232C2"/>
    <w:rsid w:val="00323A65"/>
    <w:rsid w:val="00323AB5"/>
    <w:rsid w:val="0032421F"/>
    <w:rsid w:val="00324557"/>
    <w:rsid w:val="00324559"/>
    <w:rsid w:val="00324570"/>
    <w:rsid w:val="00324883"/>
    <w:rsid w:val="00325063"/>
    <w:rsid w:val="00325165"/>
    <w:rsid w:val="003251E2"/>
    <w:rsid w:val="00325EF5"/>
    <w:rsid w:val="003264FD"/>
    <w:rsid w:val="00326C2F"/>
    <w:rsid w:val="003279F3"/>
    <w:rsid w:val="003302E9"/>
    <w:rsid w:val="003304AA"/>
    <w:rsid w:val="003308F3"/>
    <w:rsid w:val="0033094D"/>
    <w:rsid w:val="003312C0"/>
    <w:rsid w:val="003313FA"/>
    <w:rsid w:val="00331AC0"/>
    <w:rsid w:val="00331D8D"/>
    <w:rsid w:val="0033287E"/>
    <w:rsid w:val="003331DB"/>
    <w:rsid w:val="003343E3"/>
    <w:rsid w:val="003344BA"/>
    <w:rsid w:val="00334B2B"/>
    <w:rsid w:val="00334CFD"/>
    <w:rsid w:val="00335E3E"/>
    <w:rsid w:val="00336067"/>
    <w:rsid w:val="0033657E"/>
    <w:rsid w:val="00336791"/>
    <w:rsid w:val="00336C77"/>
    <w:rsid w:val="00336E0E"/>
    <w:rsid w:val="00337078"/>
    <w:rsid w:val="00337975"/>
    <w:rsid w:val="00340740"/>
    <w:rsid w:val="00340B95"/>
    <w:rsid w:val="00341164"/>
    <w:rsid w:val="003415F6"/>
    <w:rsid w:val="00341BB0"/>
    <w:rsid w:val="0034232A"/>
    <w:rsid w:val="003425D2"/>
    <w:rsid w:val="003427BB"/>
    <w:rsid w:val="00342C65"/>
    <w:rsid w:val="0034394B"/>
    <w:rsid w:val="00343B30"/>
    <w:rsid w:val="00344004"/>
    <w:rsid w:val="0034463D"/>
    <w:rsid w:val="00344B03"/>
    <w:rsid w:val="00344CCC"/>
    <w:rsid w:val="00344D60"/>
    <w:rsid w:val="00345132"/>
    <w:rsid w:val="00345625"/>
    <w:rsid w:val="00345A24"/>
    <w:rsid w:val="00345B0F"/>
    <w:rsid w:val="00345C40"/>
    <w:rsid w:val="003462C0"/>
    <w:rsid w:val="00346396"/>
    <w:rsid w:val="00346596"/>
    <w:rsid w:val="003468CF"/>
    <w:rsid w:val="00347350"/>
    <w:rsid w:val="0035053C"/>
    <w:rsid w:val="00350625"/>
    <w:rsid w:val="0035066F"/>
    <w:rsid w:val="003508E4"/>
    <w:rsid w:val="00350B6B"/>
    <w:rsid w:val="00350D1A"/>
    <w:rsid w:val="00350F25"/>
    <w:rsid w:val="00351911"/>
    <w:rsid w:val="00351CA6"/>
    <w:rsid w:val="00351FD4"/>
    <w:rsid w:val="0035242D"/>
    <w:rsid w:val="00352908"/>
    <w:rsid w:val="00352DDF"/>
    <w:rsid w:val="00353168"/>
    <w:rsid w:val="00353628"/>
    <w:rsid w:val="00353C75"/>
    <w:rsid w:val="00353CD2"/>
    <w:rsid w:val="0035402D"/>
    <w:rsid w:val="003540B9"/>
    <w:rsid w:val="00355008"/>
    <w:rsid w:val="00356312"/>
    <w:rsid w:val="003578F5"/>
    <w:rsid w:val="00357AB3"/>
    <w:rsid w:val="00357D5E"/>
    <w:rsid w:val="003604BF"/>
    <w:rsid w:val="00360534"/>
    <w:rsid w:val="003614DA"/>
    <w:rsid w:val="003615E9"/>
    <w:rsid w:val="00361B7B"/>
    <w:rsid w:val="003621C1"/>
    <w:rsid w:val="00362215"/>
    <w:rsid w:val="00363128"/>
    <w:rsid w:val="00363F94"/>
    <w:rsid w:val="0036406A"/>
    <w:rsid w:val="00364495"/>
    <w:rsid w:val="00364730"/>
    <w:rsid w:val="00364DDB"/>
    <w:rsid w:val="00364F2A"/>
    <w:rsid w:val="00364F37"/>
    <w:rsid w:val="003650F4"/>
    <w:rsid w:val="00365131"/>
    <w:rsid w:val="00365B84"/>
    <w:rsid w:val="00365E4B"/>
    <w:rsid w:val="00366AC7"/>
    <w:rsid w:val="003674FB"/>
    <w:rsid w:val="0036773B"/>
    <w:rsid w:val="0037036C"/>
    <w:rsid w:val="00371405"/>
    <w:rsid w:val="003721FE"/>
    <w:rsid w:val="003723D1"/>
    <w:rsid w:val="003723E4"/>
    <w:rsid w:val="00372DED"/>
    <w:rsid w:val="003731FA"/>
    <w:rsid w:val="0037441F"/>
    <w:rsid w:val="00374755"/>
    <w:rsid w:val="00374C4A"/>
    <w:rsid w:val="00375147"/>
    <w:rsid w:val="00375DA4"/>
    <w:rsid w:val="0037614C"/>
    <w:rsid w:val="00376EE1"/>
    <w:rsid w:val="0037719D"/>
    <w:rsid w:val="0037775C"/>
    <w:rsid w:val="00377FCB"/>
    <w:rsid w:val="00381706"/>
    <w:rsid w:val="003817A9"/>
    <w:rsid w:val="00381AC0"/>
    <w:rsid w:val="00381E22"/>
    <w:rsid w:val="00381F22"/>
    <w:rsid w:val="00381F87"/>
    <w:rsid w:val="00383028"/>
    <w:rsid w:val="0038358A"/>
    <w:rsid w:val="00383DC8"/>
    <w:rsid w:val="00383FBE"/>
    <w:rsid w:val="00384046"/>
    <w:rsid w:val="00385E6A"/>
    <w:rsid w:val="00386808"/>
    <w:rsid w:val="00386891"/>
    <w:rsid w:val="00390102"/>
    <w:rsid w:val="00390794"/>
    <w:rsid w:val="00392074"/>
    <w:rsid w:val="00392182"/>
    <w:rsid w:val="0039222B"/>
    <w:rsid w:val="00392BFE"/>
    <w:rsid w:val="003939C3"/>
    <w:rsid w:val="00394C40"/>
    <w:rsid w:val="00394C62"/>
    <w:rsid w:val="00394C9E"/>
    <w:rsid w:val="00394CE7"/>
    <w:rsid w:val="00395885"/>
    <w:rsid w:val="00395B8A"/>
    <w:rsid w:val="00396F2A"/>
    <w:rsid w:val="003970AB"/>
    <w:rsid w:val="003A01B5"/>
    <w:rsid w:val="003A020A"/>
    <w:rsid w:val="003A07E3"/>
    <w:rsid w:val="003A0AE2"/>
    <w:rsid w:val="003A0EF5"/>
    <w:rsid w:val="003A12F3"/>
    <w:rsid w:val="003A1BDF"/>
    <w:rsid w:val="003A20CC"/>
    <w:rsid w:val="003A3069"/>
    <w:rsid w:val="003A31D3"/>
    <w:rsid w:val="003A3A42"/>
    <w:rsid w:val="003A3F1B"/>
    <w:rsid w:val="003A40F6"/>
    <w:rsid w:val="003A4D0E"/>
    <w:rsid w:val="003A5596"/>
    <w:rsid w:val="003A5704"/>
    <w:rsid w:val="003A5A26"/>
    <w:rsid w:val="003A5F48"/>
    <w:rsid w:val="003A5F74"/>
    <w:rsid w:val="003A63E5"/>
    <w:rsid w:val="003A6B9A"/>
    <w:rsid w:val="003A6DDA"/>
    <w:rsid w:val="003A7144"/>
    <w:rsid w:val="003A72C7"/>
    <w:rsid w:val="003B06C9"/>
    <w:rsid w:val="003B0FA3"/>
    <w:rsid w:val="003B1093"/>
    <w:rsid w:val="003B12CD"/>
    <w:rsid w:val="003B15FF"/>
    <w:rsid w:val="003B1B97"/>
    <w:rsid w:val="003B2FF4"/>
    <w:rsid w:val="003B3512"/>
    <w:rsid w:val="003B376F"/>
    <w:rsid w:val="003B4478"/>
    <w:rsid w:val="003B462F"/>
    <w:rsid w:val="003B533F"/>
    <w:rsid w:val="003B5F72"/>
    <w:rsid w:val="003B616A"/>
    <w:rsid w:val="003B701D"/>
    <w:rsid w:val="003B7F91"/>
    <w:rsid w:val="003C01A5"/>
    <w:rsid w:val="003C0DB4"/>
    <w:rsid w:val="003C165B"/>
    <w:rsid w:val="003C1A7B"/>
    <w:rsid w:val="003C21EA"/>
    <w:rsid w:val="003C2788"/>
    <w:rsid w:val="003C2EC6"/>
    <w:rsid w:val="003C30A5"/>
    <w:rsid w:val="003C3839"/>
    <w:rsid w:val="003C487E"/>
    <w:rsid w:val="003C5216"/>
    <w:rsid w:val="003C5339"/>
    <w:rsid w:val="003C614A"/>
    <w:rsid w:val="003C61A7"/>
    <w:rsid w:val="003C650B"/>
    <w:rsid w:val="003C6652"/>
    <w:rsid w:val="003C677C"/>
    <w:rsid w:val="003C7060"/>
    <w:rsid w:val="003C7EF0"/>
    <w:rsid w:val="003D00FA"/>
    <w:rsid w:val="003D039C"/>
    <w:rsid w:val="003D04D8"/>
    <w:rsid w:val="003D081D"/>
    <w:rsid w:val="003D17A9"/>
    <w:rsid w:val="003D245A"/>
    <w:rsid w:val="003D2A7C"/>
    <w:rsid w:val="003D2FC1"/>
    <w:rsid w:val="003D44DD"/>
    <w:rsid w:val="003D499A"/>
    <w:rsid w:val="003D49A8"/>
    <w:rsid w:val="003D4A83"/>
    <w:rsid w:val="003D5558"/>
    <w:rsid w:val="003D5967"/>
    <w:rsid w:val="003D6E6A"/>
    <w:rsid w:val="003E0964"/>
    <w:rsid w:val="003E0A56"/>
    <w:rsid w:val="003E1168"/>
    <w:rsid w:val="003E14EC"/>
    <w:rsid w:val="003E164A"/>
    <w:rsid w:val="003E260B"/>
    <w:rsid w:val="003E26D1"/>
    <w:rsid w:val="003E35A2"/>
    <w:rsid w:val="003E40B7"/>
    <w:rsid w:val="003E40CC"/>
    <w:rsid w:val="003E41B2"/>
    <w:rsid w:val="003E4C00"/>
    <w:rsid w:val="003E60F3"/>
    <w:rsid w:val="003E6431"/>
    <w:rsid w:val="003E6437"/>
    <w:rsid w:val="003E658B"/>
    <w:rsid w:val="003E6C75"/>
    <w:rsid w:val="003E71B0"/>
    <w:rsid w:val="003E7BBB"/>
    <w:rsid w:val="003E7D1D"/>
    <w:rsid w:val="003E7E4C"/>
    <w:rsid w:val="003F01F4"/>
    <w:rsid w:val="003F0D33"/>
    <w:rsid w:val="003F1170"/>
    <w:rsid w:val="003F17C8"/>
    <w:rsid w:val="003F1A22"/>
    <w:rsid w:val="003F1ABF"/>
    <w:rsid w:val="003F1BD8"/>
    <w:rsid w:val="003F2188"/>
    <w:rsid w:val="003F23F1"/>
    <w:rsid w:val="003F2A6E"/>
    <w:rsid w:val="003F483A"/>
    <w:rsid w:val="003F4BE9"/>
    <w:rsid w:val="003F4CC7"/>
    <w:rsid w:val="003F5628"/>
    <w:rsid w:val="003F5C12"/>
    <w:rsid w:val="003F5C64"/>
    <w:rsid w:val="003F6B4E"/>
    <w:rsid w:val="003F72E0"/>
    <w:rsid w:val="003F730B"/>
    <w:rsid w:val="003F7D85"/>
    <w:rsid w:val="00400409"/>
    <w:rsid w:val="00400413"/>
    <w:rsid w:val="004006A6"/>
    <w:rsid w:val="004006B3"/>
    <w:rsid w:val="004008EC"/>
    <w:rsid w:val="00400E9D"/>
    <w:rsid w:val="00400EF0"/>
    <w:rsid w:val="0040127C"/>
    <w:rsid w:val="0040183C"/>
    <w:rsid w:val="00401DAA"/>
    <w:rsid w:val="004020C7"/>
    <w:rsid w:val="004021FB"/>
    <w:rsid w:val="00402213"/>
    <w:rsid w:val="00402FDC"/>
    <w:rsid w:val="0040358D"/>
    <w:rsid w:val="00403CFD"/>
    <w:rsid w:val="00404B12"/>
    <w:rsid w:val="00404C23"/>
    <w:rsid w:val="00404C7B"/>
    <w:rsid w:val="00405F94"/>
    <w:rsid w:val="0040607E"/>
    <w:rsid w:val="0040685C"/>
    <w:rsid w:val="00407B3C"/>
    <w:rsid w:val="00407B5B"/>
    <w:rsid w:val="0041038F"/>
    <w:rsid w:val="00410A54"/>
    <w:rsid w:val="00410CAB"/>
    <w:rsid w:val="00410CED"/>
    <w:rsid w:val="0041146E"/>
    <w:rsid w:val="00411766"/>
    <w:rsid w:val="00411982"/>
    <w:rsid w:val="004119AE"/>
    <w:rsid w:val="00411B29"/>
    <w:rsid w:val="004139CC"/>
    <w:rsid w:val="004142EB"/>
    <w:rsid w:val="004145FD"/>
    <w:rsid w:val="004148A8"/>
    <w:rsid w:val="004168D1"/>
    <w:rsid w:val="00416996"/>
    <w:rsid w:val="00416CCB"/>
    <w:rsid w:val="0041724F"/>
    <w:rsid w:val="00417D3F"/>
    <w:rsid w:val="00417E24"/>
    <w:rsid w:val="00420696"/>
    <w:rsid w:val="0042122B"/>
    <w:rsid w:val="00422251"/>
    <w:rsid w:val="00422368"/>
    <w:rsid w:val="00422A5F"/>
    <w:rsid w:val="00423435"/>
    <w:rsid w:val="00423944"/>
    <w:rsid w:val="00424CA3"/>
    <w:rsid w:val="00425590"/>
    <w:rsid w:val="0042579A"/>
    <w:rsid w:val="00425903"/>
    <w:rsid w:val="004264B9"/>
    <w:rsid w:val="00426782"/>
    <w:rsid w:val="00426F84"/>
    <w:rsid w:val="004275AF"/>
    <w:rsid w:val="0042762F"/>
    <w:rsid w:val="00427AAE"/>
    <w:rsid w:val="00427D77"/>
    <w:rsid w:val="0043014E"/>
    <w:rsid w:val="004309E7"/>
    <w:rsid w:val="00431049"/>
    <w:rsid w:val="0043189F"/>
    <w:rsid w:val="004320D2"/>
    <w:rsid w:val="004321CC"/>
    <w:rsid w:val="00433423"/>
    <w:rsid w:val="00433534"/>
    <w:rsid w:val="0043415C"/>
    <w:rsid w:val="004342C4"/>
    <w:rsid w:val="00434308"/>
    <w:rsid w:val="00434377"/>
    <w:rsid w:val="004353DD"/>
    <w:rsid w:val="00435DFC"/>
    <w:rsid w:val="004360AA"/>
    <w:rsid w:val="00436BA0"/>
    <w:rsid w:val="00436F52"/>
    <w:rsid w:val="004370B5"/>
    <w:rsid w:val="0043724F"/>
    <w:rsid w:val="00437683"/>
    <w:rsid w:val="00441373"/>
    <w:rsid w:val="00441B2D"/>
    <w:rsid w:val="00441C7D"/>
    <w:rsid w:val="004428F4"/>
    <w:rsid w:val="0044291F"/>
    <w:rsid w:val="00443295"/>
    <w:rsid w:val="00443504"/>
    <w:rsid w:val="0044359F"/>
    <w:rsid w:val="00443A0A"/>
    <w:rsid w:val="00443B19"/>
    <w:rsid w:val="00443E0A"/>
    <w:rsid w:val="00444346"/>
    <w:rsid w:val="0044471D"/>
    <w:rsid w:val="004447EF"/>
    <w:rsid w:val="00444905"/>
    <w:rsid w:val="00444E67"/>
    <w:rsid w:val="0044536F"/>
    <w:rsid w:val="004454B4"/>
    <w:rsid w:val="00445952"/>
    <w:rsid w:val="00446004"/>
    <w:rsid w:val="0044754C"/>
    <w:rsid w:val="0045002C"/>
    <w:rsid w:val="0045082E"/>
    <w:rsid w:val="00451AA2"/>
    <w:rsid w:val="00451B28"/>
    <w:rsid w:val="00451ED0"/>
    <w:rsid w:val="00452269"/>
    <w:rsid w:val="00452CF3"/>
    <w:rsid w:val="00452FE1"/>
    <w:rsid w:val="0045321A"/>
    <w:rsid w:val="00453465"/>
    <w:rsid w:val="004549EF"/>
    <w:rsid w:val="00454CC1"/>
    <w:rsid w:val="0045577A"/>
    <w:rsid w:val="00455886"/>
    <w:rsid w:val="00455E9E"/>
    <w:rsid w:val="00456234"/>
    <w:rsid w:val="00456907"/>
    <w:rsid w:val="00457174"/>
    <w:rsid w:val="00460804"/>
    <w:rsid w:val="004608B0"/>
    <w:rsid w:val="00460927"/>
    <w:rsid w:val="00460A09"/>
    <w:rsid w:val="00460FC9"/>
    <w:rsid w:val="00461110"/>
    <w:rsid w:val="00461118"/>
    <w:rsid w:val="00461480"/>
    <w:rsid w:val="004623FC"/>
    <w:rsid w:val="00462422"/>
    <w:rsid w:val="00463963"/>
    <w:rsid w:val="00463CD2"/>
    <w:rsid w:val="004642A2"/>
    <w:rsid w:val="00464D5A"/>
    <w:rsid w:val="0046594A"/>
    <w:rsid w:val="00465C30"/>
    <w:rsid w:val="00465F04"/>
    <w:rsid w:val="00465F6A"/>
    <w:rsid w:val="00465FFB"/>
    <w:rsid w:val="004662A3"/>
    <w:rsid w:val="0046634D"/>
    <w:rsid w:val="00466370"/>
    <w:rsid w:val="00466787"/>
    <w:rsid w:val="0046679E"/>
    <w:rsid w:val="00466966"/>
    <w:rsid w:val="0046696A"/>
    <w:rsid w:val="00466D0A"/>
    <w:rsid w:val="00467896"/>
    <w:rsid w:val="00467FAC"/>
    <w:rsid w:val="0047024B"/>
    <w:rsid w:val="0047025E"/>
    <w:rsid w:val="00470312"/>
    <w:rsid w:val="0047098D"/>
    <w:rsid w:val="004710A0"/>
    <w:rsid w:val="004711A5"/>
    <w:rsid w:val="004715BE"/>
    <w:rsid w:val="00471906"/>
    <w:rsid w:val="00471B7B"/>
    <w:rsid w:val="00471CCB"/>
    <w:rsid w:val="0047239E"/>
    <w:rsid w:val="004734E5"/>
    <w:rsid w:val="0047365C"/>
    <w:rsid w:val="00473A82"/>
    <w:rsid w:val="004746F7"/>
    <w:rsid w:val="0047486E"/>
    <w:rsid w:val="004749E6"/>
    <w:rsid w:val="004751A6"/>
    <w:rsid w:val="00475826"/>
    <w:rsid w:val="00476C00"/>
    <w:rsid w:val="00477D29"/>
    <w:rsid w:val="00477E28"/>
    <w:rsid w:val="00477FE3"/>
    <w:rsid w:val="004802DD"/>
    <w:rsid w:val="0048121C"/>
    <w:rsid w:val="00481611"/>
    <w:rsid w:val="00481D4F"/>
    <w:rsid w:val="004830E4"/>
    <w:rsid w:val="0048321F"/>
    <w:rsid w:val="0048477A"/>
    <w:rsid w:val="00484B2F"/>
    <w:rsid w:val="00484B35"/>
    <w:rsid w:val="004856A3"/>
    <w:rsid w:val="004859CB"/>
    <w:rsid w:val="004861F6"/>
    <w:rsid w:val="0048652F"/>
    <w:rsid w:val="00486EC6"/>
    <w:rsid w:val="00487204"/>
    <w:rsid w:val="00487876"/>
    <w:rsid w:val="00490068"/>
    <w:rsid w:val="00490261"/>
    <w:rsid w:val="004904C9"/>
    <w:rsid w:val="004906BC"/>
    <w:rsid w:val="00490C4F"/>
    <w:rsid w:val="00491250"/>
    <w:rsid w:val="00491883"/>
    <w:rsid w:val="004918B3"/>
    <w:rsid w:val="00491B00"/>
    <w:rsid w:val="0049225E"/>
    <w:rsid w:val="00492F24"/>
    <w:rsid w:val="00492F67"/>
    <w:rsid w:val="004946F2"/>
    <w:rsid w:val="00494BD6"/>
    <w:rsid w:val="00495109"/>
    <w:rsid w:val="00495749"/>
    <w:rsid w:val="00496272"/>
    <w:rsid w:val="00496C02"/>
    <w:rsid w:val="004970F6"/>
    <w:rsid w:val="0049712B"/>
    <w:rsid w:val="00497175"/>
    <w:rsid w:val="0049717E"/>
    <w:rsid w:val="00497462"/>
    <w:rsid w:val="00497906"/>
    <w:rsid w:val="004A06FA"/>
    <w:rsid w:val="004A0D26"/>
    <w:rsid w:val="004A0EBA"/>
    <w:rsid w:val="004A0EE0"/>
    <w:rsid w:val="004A10E5"/>
    <w:rsid w:val="004A12B3"/>
    <w:rsid w:val="004A223E"/>
    <w:rsid w:val="004A229D"/>
    <w:rsid w:val="004A31FD"/>
    <w:rsid w:val="004A345B"/>
    <w:rsid w:val="004A34B2"/>
    <w:rsid w:val="004A3DA9"/>
    <w:rsid w:val="004A4A04"/>
    <w:rsid w:val="004A60F1"/>
    <w:rsid w:val="004A799D"/>
    <w:rsid w:val="004A7F08"/>
    <w:rsid w:val="004B0114"/>
    <w:rsid w:val="004B0E70"/>
    <w:rsid w:val="004B2040"/>
    <w:rsid w:val="004B2880"/>
    <w:rsid w:val="004B2955"/>
    <w:rsid w:val="004B2B2E"/>
    <w:rsid w:val="004B341E"/>
    <w:rsid w:val="004B351C"/>
    <w:rsid w:val="004B4E4F"/>
    <w:rsid w:val="004B50D0"/>
    <w:rsid w:val="004B54F9"/>
    <w:rsid w:val="004B605F"/>
    <w:rsid w:val="004B77A7"/>
    <w:rsid w:val="004C04A4"/>
    <w:rsid w:val="004C14B0"/>
    <w:rsid w:val="004C154C"/>
    <w:rsid w:val="004C1750"/>
    <w:rsid w:val="004C18B2"/>
    <w:rsid w:val="004C1C13"/>
    <w:rsid w:val="004C1C25"/>
    <w:rsid w:val="004C2111"/>
    <w:rsid w:val="004C23A8"/>
    <w:rsid w:val="004C2A82"/>
    <w:rsid w:val="004C2C23"/>
    <w:rsid w:val="004C3571"/>
    <w:rsid w:val="004C3CC9"/>
    <w:rsid w:val="004C4B06"/>
    <w:rsid w:val="004C4C36"/>
    <w:rsid w:val="004C51DF"/>
    <w:rsid w:val="004C5649"/>
    <w:rsid w:val="004C5A17"/>
    <w:rsid w:val="004C5C59"/>
    <w:rsid w:val="004C6958"/>
    <w:rsid w:val="004C6A5C"/>
    <w:rsid w:val="004C6AFA"/>
    <w:rsid w:val="004C6BE7"/>
    <w:rsid w:val="004C6F25"/>
    <w:rsid w:val="004C7108"/>
    <w:rsid w:val="004C7FED"/>
    <w:rsid w:val="004D043E"/>
    <w:rsid w:val="004D051D"/>
    <w:rsid w:val="004D05A8"/>
    <w:rsid w:val="004D05E1"/>
    <w:rsid w:val="004D12CD"/>
    <w:rsid w:val="004D1713"/>
    <w:rsid w:val="004D198D"/>
    <w:rsid w:val="004D1D7D"/>
    <w:rsid w:val="004D26A7"/>
    <w:rsid w:val="004D3088"/>
    <w:rsid w:val="004D3EE7"/>
    <w:rsid w:val="004D44B3"/>
    <w:rsid w:val="004D4C07"/>
    <w:rsid w:val="004D50A4"/>
    <w:rsid w:val="004D556B"/>
    <w:rsid w:val="004D56EA"/>
    <w:rsid w:val="004D66CA"/>
    <w:rsid w:val="004D6867"/>
    <w:rsid w:val="004D6D21"/>
    <w:rsid w:val="004D756A"/>
    <w:rsid w:val="004D7C15"/>
    <w:rsid w:val="004D7D6C"/>
    <w:rsid w:val="004D7D88"/>
    <w:rsid w:val="004D7F9B"/>
    <w:rsid w:val="004E0161"/>
    <w:rsid w:val="004E0C71"/>
    <w:rsid w:val="004E0E64"/>
    <w:rsid w:val="004E108F"/>
    <w:rsid w:val="004E160A"/>
    <w:rsid w:val="004E1C17"/>
    <w:rsid w:val="004E1F38"/>
    <w:rsid w:val="004E21C9"/>
    <w:rsid w:val="004E21FA"/>
    <w:rsid w:val="004E2945"/>
    <w:rsid w:val="004E2FA1"/>
    <w:rsid w:val="004E301D"/>
    <w:rsid w:val="004E316B"/>
    <w:rsid w:val="004E3AC3"/>
    <w:rsid w:val="004E3FFF"/>
    <w:rsid w:val="004E406A"/>
    <w:rsid w:val="004E4942"/>
    <w:rsid w:val="004E4F0A"/>
    <w:rsid w:val="004E5118"/>
    <w:rsid w:val="004E59BA"/>
    <w:rsid w:val="004E5BCF"/>
    <w:rsid w:val="004E5C83"/>
    <w:rsid w:val="004E5E53"/>
    <w:rsid w:val="004E6679"/>
    <w:rsid w:val="004E71F3"/>
    <w:rsid w:val="004E7B22"/>
    <w:rsid w:val="004E7E1F"/>
    <w:rsid w:val="004F0554"/>
    <w:rsid w:val="004F1523"/>
    <w:rsid w:val="004F25F7"/>
    <w:rsid w:val="004F3632"/>
    <w:rsid w:val="004F3C29"/>
    <w:rsid w:val="004F43B9"/>
    <w:rsid w:val="004F4C9C"/>
    <w:rsid w:val="004F4DC9"/>
    <w:rsid w:val="004F61DA"/>
    <w:rsid w:val="004F6700"/>
    <w:rsid w:val="004F708D"/>
    <w:rsid w:val="004F7680"/>
    <w:rsid w:val="004F7813"/>
    <w:rsid w:val="004F78EF"/>
    <w:rsid w:val="004F7E19"/>
    <w:rsid w:val="004F7FE5"/>
    <w:rsid w:val="0050005B"/>
    <w:rsid w:val="00500859"/>
    <w:rsid w:val="00500C8A"/>
    <w:rsid w:val="00502EFE"/>
    <w:rsid w:val="0050360E"/>
    <w:rsid w:val="0050394C"/>
    <w:rsid w:val="0050475E"/>
    <w:rsid w:val="00504832"/>
    <w:rsid w:val="00504AF0"/>
    <w:rsid w:val="00504B85"/>
    <w:rsid w:val="00505289"/>
    <w:rsid w:val="00505CC2"/>
    <w:rsid w:val="00505EE7"/>
    <w:rsid w:val="005060A7"/>
    <w:rsid w:val="0050621C"/>
    <w:rsid w:val="00506221"/>
    <w:rsid w:val="005063ED"/>
    <w:rsid w:val="0050686C"/>
    <w:rsid w:val="00506BC6"/>
    <w:rsid w:val="00506DD8"/>
    <w:rsid w:val="00507348"/>
    <w:rsid w:val="00511415"/>
    <w:rsid w:val="005117D3"/>
    <w:rsid w:val="005118CA"/>
    <w:rsid w:val="00511B7B"/>
    <w:rsid w:val="00512928"/>
    <w:rsid w:val="0051297D"/>
    <w:rsid w:val="00512AE2"/>
    <w:rsid w:val="00512C6A"/>
    <w:rsid w:val="00513552"/>
    <w:rsid w:val="005138EE"/>
    <w:rsid w:val="00513F63"/>
    <w:rsid w:val="00514BE4"/>
    <w:rsid w:val="00516771"/>
    <w:rsid w:val="00517667"/>
    <w:rsid w:val="005177CC"/>
    <w:rsid w:val="00517D8D"/>
    <w:rsid w:val="0052001A"/>
    <w:rsid w:val="005217A1"/>
    <w:rsid w:val="005217E5"/>
    <w:rsid w:val="005225BA"/>
    <w:rsid w:val="00522613"/>
    <w:rsid w:val="00522FC6"/>
    <w:rsid w:val="005237DB"/>
    <w:rsid w:val="00523852"/>
    <w:rsid w:val="00523879"/>
    <w:rsid w:val="00523BA5"/>
    <w:rsid w:val="00524394"/>
    <w:rsid w:val="005244A0"/>
    <w:rsid w:val="00524995"/>
    <w:rsid w:val="00524DC9"/>
    <w:rsid w:val="005256CC"/>
    <w:rsid w:val="005259EE"/>
    <w:rsid w:val="00525E20"/>
    <w:rsid w:val="0052705D"/>
    <w:rsid w:val="005274FF"/>
    <w:rsid w:val="00530022"/>
    <w:rsid w:val="0053025F"/>
    <w:rsid w:val="00530356"/>
    <w:rsid w:val="00530722"/>
    <w:rsid w:val="0053197B"/>
    <w:rsid w:val="00531A4E"/>
    <w:rsid w:val="00531C22"/>
    <w:rsid w:val="00532796"/>
    <w:rsid w:val="0053294A"/>
    <w:rsid w:val="00532FE7"/>
    <w:rsid w:val="005336D8"/>
    <w:rsid w:val="00533B6A"/>
    <w:rsid w:val="005341D1"/>
    <w:rsid w:val="0053557D"/>
    <w:rsid w:val="0053568D"/>
    <w:rsid w:val="00536041"/>
    <w:rsid w:val="00536292"/>
    <w:rsid w:val="0053692C"/>
    <w:rsid w:val="0053694C"/>
    <w:rsid w:val="00536CA7"/>
    <w:rsid w:val="00536D98"/>
    <w:rsid w:val="0053722B"/>
    <w:rsid w:val="00540117"/>
    <w:rsid w:val="00540588"/>
    <w:rsid w:val="00540E34"/>
    <w:rsid w:val="005410E7"/>
    <w:rsid w:val="0054124B"/>
    <w:rsid w:val="005427F3"/>
    <w:rsid w:val="00542BCE"/>
    <w:rsid w:val="00543C30"/>
    <w:rsid w:val="00543E36"/>
    <w:rsid w:val="00544695"/>
    <w:rsid w:val="005452B9"/>
    <w:rsid w:val="00545A4F"/>
    <w:rsid w:val="005461D2"/>
    <w:rsid w:val="00546873"/>
    <w:rsid w:val="00546BA2"/>
    <w:rsid w:val="00546FE3"/>
    <w:rsid w:val="005474D7"/>
    <w:rsid w:val="0054774B"/>
    <w:rsid w:val="00550592"/>
    <w:rsid w:val="0055195A"/>
    <w:rsid w:val="00552D02"/>
    <w:rsid w:val="005531D4"/>
    <w:rsid w:val="00554710"/>
    <w:rsid w:val="005547F2"/>
    <w:rsid w:val="00554A78"/>
    <w:rsid w:val="00554D62"/>
    <w:rsid w:val="0055507B"/>
    <w:rsid w:val="005550E2"/>
    <w:rsid w:val="00555F3E"/>
    <w:rsid w:val="00556D91"/>
    <w:rsid w:val="00557374"/>
    <w:rsid w:val="00557DCA"/>
    <w:rsid w:val="00557ED3"/>
    <w:rsid w:val="00560655"/>
    <w:rsid w:val="00560896"/>
    <w:rsid w:val="00560938"/>
    <w:rsid w:val="00562A32"/>
    <w:rsid w:val="00563C01"/>
    <w:rsid w:val="00563DDF"/>
    <w:rsid w:val="00565708"/>
    <w:rsid w:val="00565BE2"/>
    <w:rsid w:val="00565E76"/>
    <w:rsid w:val="005662A1"/>
    <w:rsid w:val="00566754"/>
    <w:rsid w:val="005672F5"/>
    <w:rsid w:val="00567984"/>
    <w:rsid w:val="00567BF9"/>
    <w:rsid w:val="00567F43"/>
    <w:rsid w:val="005701B9"/>
    <w:rsid w:val="0057032F"/>
    <w:rsid w:val="00570409"/>
    <w:rsid w:val="00570B28"/>
    <w:rsid w:val="00571CE2"/>
    <w:rsid w:val="00572320"/>
    <w:rsid w:val="00572450"/>
    <w:rsid w:val="005728DC"/>
    <w:rsid w:val="00572BB3"/>
    <w:rsid w:val="005732BF"/>
    <w:rsid w:val="00573498"/>
    <w:rsid w:val="00573E2C"/>
    <w:rsid w:val="00573E38"/>
    <w:rsid w:val="00573F1E"/>
    <w:rsid w:val="005741A5"/>
    <w:rsid w:val="005755F5"/>
    <w:rsid w:val="0057582B"/>
    <w:rsid w:val="00575CD7"/>
    <w:rsid w:val="0057654A"/>
    <w:rsid w:val="005765FC"/>
    <w:rsid w:val="00576EF3"/>
    <w:rsid w:val="0057707E"/>
    <w:rsid w:val="00577169"/>
    <w:rsid w:val="00577335"/>
    <w:rsid w:val="00577749"/>
    <w:rsid w:val="005778A0"/>
    <w:rsid w:val="00580897"/>
    <w:rsid w:val="00581EA9"/>
    <w:rsid w:val="0058221D"/>
    <w:rsid w:val="00583134"/>
    <w:rsid w:val="005833E3"/>
    <w:rsid w:val="0058386B"/>
    <w:rsid w:val="00583C89"/>
    <w:rsid w:val="00583FD3"/>
    <w:rsid w:val="00584035"/>
    <w:rsid w:val="00584429"/>
    <w:rsid w:val="0058460F"/>
    <w:rsid w:val="0058495E"/>
    <w:rsid w:val="00584BF5"/>
    <w:rsid w:val="00585356"/>
    <w:rsid w:val="00585372"/>
    <w:rsid w:val="00585B42"/>
    <w:rsid w:val="005866AF"/>
    <w:rsid w:val="00586C44"/>
    <w:rsid w:val="00586FE5"/>
    <w:rsid w:val="0058787A"/>
    <w:rsid w:val="00587921"/>
    <w:rsid w:val="005916E7"/>
    <w:rsid w:val="00591FE6"/>
    <w:rsid w:val="0059248A"/>
    <w:rsid w:val="00592636"/>
    <w:rsid w:val="00592820"/>
    <w:rsid w:val="0059285C"/>
    <w:rsid w:val="00592D96"/>
    <w:rsid w:val="0059366D"/>
    <w:rsid w:val="005936DA"/>
    <w:rsid w:val="005951D9"/>
    <w:rsid w:val="00595353"/>
    <w:rsid w:val="005961F1"/>
    <w:rsid w:val="005962F6"/>
    <w:rsid w:val="00596571"/>
    <w:rsid w:val="0059699F"/>
    <w:rsid w:val="00597C54"/>
    <w:rsid w:val="005A0BBA"/>
    <w:rsid w:val="005A0D46"/>
    <w:rsid w:val="005A172F"/>
    <w:rsid w:val="005A1934"/>
    <w:rsid w:val="005A1CA0"/>
    <w:rsid w:val="005A1DF2"/>
    <w:rsid w:val="005A286C"/>
    <w:rsid w:val="005A28CC"/>
    <w:rsid w:val="005A2CEC"/>
    <w:rsid w:val="005A2ED7"/>
    <w:rsid w:val="005A2F4C"/>
    <w:rsid w:val="005A3912"/>
    <w:rsid w:val="005A4AC8"/>
    <w:rsid w:val="005A6198"/>
    <w:rsid w:val="005A62BB"/>
    <w:rsid w:val="005A6B67"/>
    <w:rsid w:val="005A6CF1"/>
    <w:rsid w:val="005A6D2D"/>
    <w:rsid w:val="005A70CB"/>
    <w:rsid w:val="005A7A72"/>
    <w:rsid w:val="005A7DB8"/>
    <w:rsid w:val="005B0561"/>
    <w:rsid w:val="005B1092"/>
    <w:rsid w:val="005B155B"/>
    <w:rsid w:val="005B1812"/>
    <w:rsid w:val="005B1A35"/>
    <w:rsid w:val="005B22BD"/>
    <w:rsid w:val="005B2426"/>
    <w:rsid w:val="005B28E9"/>
    <w:rsid w:val="005B2FC0"/>
    <w:rsid w:val="005B31F1"/>
    <w:rsid w:val="005B49F2"/>
    <w:rsid w:val="005B4B1F"/>
    <w:rsid w:val="005B5EAD"/>
    <w:rsid w:val="005B635D"/>
    <w:rsid w:val="005B6D12"/>
    <w:rsid w:val="005B739D"/>
    <w:rsid w:val="005B7BEF"/>
    <w:rsid w:val="005C07F8"/>
    <w:rsid w:val="005C0935"/>
    <w:rsid w:val="005C18B8"/>
    <w:rsid w:val="005C1FAB"/>
    <w:rsid w:val="005C3102"/>
    <w:rsid w:val="005C3219"/>
    <w:rsid w:val="005C34F3"/>
    <w:rsid w:val="005C3D74"/>
    <w:rsid w:val="005C41A8"/>
    <w:rsid w:val="005C4287"/>
    <w:rsid w:val="005C4365"/>
    <w:rsid w:val="005C50C8"/>
    <w:rsid w:val="005C51E6"/>
    <w:rsid w:val="005C5415"/>
    <w:rsid w:val="005C5C63"/>
    <w:rsid w:val="005C5D34"/>
    <w:rsid w:val="005C653E"/>
    <w:rsid w:val="005C726C"/>
    <w:rsid w:val="005C7C83"/>
    <w:rsid w:val="005D01A9"/>
    <w:rsid w:val="005D048D"/>
    <w:rsid w:val="005D04D6"/>
    <w:rsid w:val="005D1822"/>
    <w:rsid w:val="005D1D68"/>
    <w:rsid w:val="005D20AF"/>
    <w:rsid w:val="005D3941"/>
    <w:rsid w:val="005D3B6A"/>
    <w:rsid w:val="005D3C19"/>
    <w:rsid w:val="005D42AF"/>
    <w:rsid w:val="005D4498"/>
    <w:rsid w:val="005D48FB"/>
    <w:rsid w:val="005D4F0B"/>
    <w:rsid w:val="005D5132"/>
    <w:rsid w:val="005D565E"/>
    <w:rsid w:val="005D5F99"/>
    <w:rsid w:val="005D646C"/>
    <w:rsid w:val="005D6540"/>
    <w:rsid w:val="005D6CDD"/>
    <w:rsid w:val="005D7081"/>
    <w:rsid w:val="005D7280"/>
    <w:rsid w:val="005D7A49"/>
    <w:rsid w:val="005E01D1"/>
    <w:rsid w:val="005E03DF"/>
    <w:rsid w:val="005E08B1"/>
    <w:rsid w:val="005E137D"/>
    <w:rsid w:val="005E1A5C"/>
    <w:rsid w:val="005E1AD3"/>
    <w:rsid w:val="005E262E"/>
    <w:rsid w:val="005E2FC3"/>
    <w:rsid w:val="005E2FEF"/>
    <w:rsid w:val="005E3097"/>
    <w:rsid w:val="005E33A8"/>
    <w:rsid w:val="005E3770"/>
    <w:rsid w:val="005E39C9"/>
    <w:rsid w:val="005E3B34"/>
    <w:rsid w:val="005E41DA"/>
    <w:rsid w:val="005E4FA7"/>
    <w:rsid w:val="005E5158"/>
    <w:rsid w:val="005E52DB"/>
    <w:rsid w:val="005E78D9"/>
    <w:rsid w:val="005F00BA"/>
    <w:rsid w:val="005F04F5"/>
    <w:rsid w:val="005F14D0"/>
    <w:rsid w:val="005F156C"/>
    <w:rsid w:val="005F1640"/>
    <w:rsid w:val="005F1CD7"/>
    <w:rsid w:val="005F1F8D"/>
    <w:rsid w:val="005F1FEE"/>
    <w:rsid w:val="005F2B13"/>
    <w:rsid w:val="005F2E22"/>
    <w:rsid w:val="005F2FDE"/>
    <w:rsid w:val="005F30E1"/>
    <w:rsid w:val="005F3B5C"/>
    <w:rsid w:val="005F40E6"/>
    <w:rsid w:val="005F4AE3"/>
    <w:rsid w:val="005F5265"/>
    <w:rsid w:val="005F558E"/>
    <w:rsid w:val="005F587B"/>
    <w:rsid w:val="005F62B2"/>
    <w:rsid w:val="005F6454"/>
    <w:rsid w:val="005F6D05"/>
    <w:rsid w:val="005F6E92"/>
    <w:rsid w:val="005F7748"/>
    <w:rsid w:val="005F79DF"/>
    <w:rsid w:val="005F7A26"/>
    <w:rsid w:val="00600DAE"/>
    <w:rsid w:val="006015F7"/>
    <w:rsid w:val="00601E1A"/>
    <w:rsid w:val="00602910"/>
    <w:rsid w:val="00603435"/>
    <w:rsid w:val="00603920"/>
    <w:rsid w:val="006041A0"/>
    <w:rsid w:val="006048A6"/>
    <w:rsid w:val="00604D73"/>
    <w:rsid w:val="00605E3C"/>
    <w:rsid w:val="006061B5"/>
    <w:rsid w:val="006064F9"/>
    <w:rsid w:val="006065EA"/>
    <w:rsid w:val="006069AF"/>
    <w:rsid w:val="00606C63"/>
    <w:rsid w:val="0060720C"/>
    <w:rsid w:val="0060794D"/>
    <w:rsid w:val="00607ADE"/>
    <w:rsid w:val="00607C44"/>
    <w:rsid w:val="00607C6A"/>
    <w:rsid w:val="006100E1"/>
    <w:rsid w:val="00610169"/>
    <w:rsid w:val="0061088A"/>
    <w:rsid w:val="00610E90"/>
    <w:rsid w:val="00611F62"/>
    <w:rsid w:val="006125B3"/>
    <w:rsid w:val="0061310A"/>
    <w:rsid w:val="006138A6"/>
    <w:rsid w:val="00613AEF"/>
    <w:rsid w:val="006143E7"/>
    <w:rsid w:val="0061553A"/>
    <w:rsid w:val="00615773"/>
    <w:rsid w:val="00615AA2"/>
    <w:rsid w:val="00615B1D"/>
    <w:rsid w:val="00616996"/>
    <w:rsid w:val="00616B72"/>
    <w:rsid w:val="00616CC2"/>
    <w:rsid w:val="0062004A"/>
    <w:rsid w:val="00620601"/>
    <w:rsid w:val="006206E5"/>
    <w:rsid w:val="00620B33"/>
    <w:rsid w:val="00620D75"/>
    <w:rsid w:val="00621830"/>
    <w:rsid w:val="0062186C"/>
    <w:rsid w:val="00621B7E"/>
    <w:rsid w:val="00621C08"/>
    <w:rsid w:val="006224FD"/>
    <w:rsid w:val="0062270F"/>
    <w:rsid w:val="00622756"/>
    <w:rsid w:val="00622807"/>
    <w:rsid w:val="00623134"/>
    <w:rsid w:val="006243DD"/>
    <w:rsid w:val="006243ED"/>
    <w:rsid w:val="00626539"/>
    <w:rsid w:val="006266CF"/>
    <w:rsid w:val="0062672D"/>
    <w:rsid w:val="00631188"/>
    <w:rsid w:val="006314C4"/>
    <w:rsid w:val="006315E4"/>
    <w:rsid w:val="00632FC6"/>
    <w:rsid w:val="00633BBF"/>
    <w:rsid w:val="00635148"/>
    <w:rsid w:val="00635552"/>
    <w:rsid w:val="006358C8"/>
    <w:rsid w:val="00635AA1"/>
    <w:rsid w:val="00636A81"/>
    <w:rsid w:val="00636B43"/>
    <w:rsid w:val="00637BED"/>
    <w:rsid w:val="00637E45"/>
    <w:rsid w:val="00640B10"/>
    <w:rsid w:val="00640CFD"/>
    <w:rsid w:val="006410DA"/>
    <w:rsid w:val="006414F7"/>
    <w:rsid w:val="00642B49"/>
    <w:rsid w:val="00642D7C"/>
    <w:rsid w:val="00642EA7"/>
    <w:rsid w:val="0064347D"/>
    <w:rsid w:val="00643836"/>
    <w:rsid w:val="00644118"/>
    <w:rsid w:val="006445BC"/>
    <w:rsid w:val="00644D3B"/>
    <w:rsid w:val="006450B9"/>
    <w:rsid w:val="006455FC"/>
    <w:rsid w:val="00645EEA"/>
    <w:rsid w:val="00647E17"/>
    <w:rsid w:val="00650B0B"/>
    <w:rsid w:val="006510B9"/>
    <w:rsid w:val="00651220"/>
    <w:rsid w:val="006517DB"/>
    <w:rsid w:val="0065182C"/>
    <w:rsid w:val="00652C7B"/>
    <w:rsid w:val="00653516"/>
    <w:rsid w:val="0065389D"/>
    <w:rsid w:val="006545F9"/>
    <w:rsid w:val="00654EF5"/>
    <w:rsid w:val="006554AD"/>
    <w:rsid w:val="006555F4"/>
    <w:rsid w:val="006557B7"/>
    <w:rsid w:val="0065583B"/>
    <w:rsid w:val="006558F5"/>
    <w:rsid w:val="00655B06"/>
    <w:rsid w:val="00655E1F"/>
    <w:rsid w:val="00656AD3"/>
    <w:rsid w:val="00656F2B"/>
    <w:rsid w:val="006571F9"/>
    <w:rsid w:val="00657FC6"/>
    <w:rsid w:val="0066054D"/>
    <w:rsid w:val="0066071A"/>
    <w:rsid w:val="0066114A"/>
    <w:rsid w:val="006619F6"/>
    <w:rsid w:val="00662284"/>
    <w:rsid w:val="00662819"/>
    <w:rsid w:val="00663263"/>
    <w:rsid w:val="006633A5"/>
    <w:rsid w:val="00663D31"/>
    <w:rsid w:val="006641F8"/>
    <w:rsid w:val="00664574"/>
    <w:rsid w:val="00664B98"/>
    <w:rsid w:val="0066506E"/>
    <w:rsid w:val="0066570A"/>
    <w:rsid w:val="00665E81"/>
    <w:rsid w:val="00666258"/>
    <w:rsid w:val="00667609"/>
    <w:rsid w:val="00667658"/>
    <w:rsid w:val="00671ADF"/>
    <w:rsid w:val="00672872"/>
    <w:rsid w:val="00672A21"/>
    <w:rsid w:val="00672F8E"/>
    <w:rsid w:val="00674748"/>
    <w:rsid w:val="006749AB"/>
    <w:rsid w:val="00674E2D"/>
    <w:rsid w:val="00675726"/>
    <w:rsid w:val="00675765"/>
    <w:rsid w:val="00675F79"/>
    <w:rsid w:val="006764EB"/>
    <w:rsid w:val="0067684A"/>
    <w:rsid w:val="006768FC"/>
    <w:rsid w:val="00676FAD"/>
    <w:rsid w:val="006773AA"/>
    <w:rsid w:val="006778F6"/>
    <w:rsid w:val="00677D89"/>
    <w:rsid w:val="0068019F"/>
    <w:rsid w:val="00680370"/>
    <w:rsid w:val="0068147E"/>
    <w:rsid w:val="006816AC"/>
    <w:rsid w:val="00681800"/>
    <w:rsid w:val="00681D83"/>
    <w:rsid w:val="00681F4F"/>
    <w:rsid w:val="006828D0"/>
    <w:rsid w:val="006828FF"/>
    <w:rsid w:val="00683775"/>
    <w:rsid w:val="0068382D"/>
    <w:rsid w:val="00684079"/>
    <w:rsid w:val="00685490"/>
    <w:rsid w:val="006855A6"/>
    <w:rsid w:val="0068565E"/>
    <w:rsid w:val="00686507"/>
    <w:rsid w:val="00686693"/>
    <w:rsid w:val="00686B5B"/>
    <w:rsid w:val="00686EA4"/>
    <w:rsid w:val="00687A38"/>
    <w:rsid w:val="0069068B"/>
    <w:rsid w:val="00690739"/>
    <w:rsid w:val="006913B7"/>
    <w:rsid w:val="00691600"/>
    <w:rsid w:val="006918BB"/>
    <w:rsid w:val="0069210D"/>
    <w:rsid w:val="00692ACE"/>
    <w:rsid w:val="006938E3"/>
    <w:rsid w:val="00693CF4"/>
    <w:rsid w:val="0069461A"/>
    <w:rsid w:val="00694AFC"/>
    <w:rsid w:val="00694D32"/>
    <w:rsid w:val="00695BC6"/>
    <w:rsid w:val="00695DD3"/>
    <w:rsid w:val="00695E0E"/>
    <w:rsid w:val="00695EE3"/>
    <w:rsid w:val="006963D4"/>
    <w:rsid w:val="0069656E"/>
    <w:rsid w:val="00696747"/>
    <w:rsid w:val="006968AF"/>
    <w:rsid w:val="00696B4C"/>
    <w:rsid w:val="00696DB0"/>
    <w:rsid w:val="0069747D"/>
    <w:rsid w:val="00697919"/>
    <w:rsid w:val="00697C03"/>
    <w:rsid w:val="00697ED4"/>
    <w:rsid w:val="006A041E"/>
    <w:rsid w:val="006A0555"/>
    <w:rsid w:val="006A1364"/>
    <w:rsid w:val="006A180E"/>
    <w:rsid w:val="006A1A8A"/>
    <w:rsid w:val="006A1C8C"/>
    <w:rsid w:val="006A1D3B"/>
    <w:rsid w:val="006A1DE3"/>
    <w:rsid w:val="006A1E6B"/>
    <w:rsid w:val="006A2384"/>
    <w:rsid w:val="006A25CB"/>
    <w:rsid w:val="006A2B05"/>
    <w:rsid w:val="006A30B5"/>
    <w:rsid w:val="006A3D0D"/>
    <w:rsid w:val="006A3EC7"/>
    <w:rsid w:val="006A40ED"/>
    <w:rsid w:val="006A421F"/>
    <w:rsid w:val="006A4553"/>
    <w:rsid w:val="006A6F6A"/>
    <w:rsid w:val="006A7EA3"/>
    <w:rsid w:val="006B0343"/>
    <w:rsid w:val="006B0D02"/>
    <w:rsid w:val="006B0FA2"/>
    <w:rsid w:val="006B14AD"/>
    <w:rsid w:val="006B1801"/>
    <w:rsid w:val="006B295B"/>
    <w:rsid w:val="006B2974"/>
    <w:rsid w:val="006B4433"/>
    <w:rsid w:val="006B44E7"/>
    <w:rsid w:val="006B45C3"/>
    <w:rsid w:val="006B4FC0"/>
    <w:rsid w:val="006B5501"/>
    <w:rsid w:val="006B5554"/>
    <w:rsid w:val="006B60F8"/>
    <w:rsid w:val="006B637B"/>
    <w:rsid w:val="006B6574"/>
    <w:rsid w:val="006B6780"/>
    <w:rsid w:val="006B68A1"/>
    <w:rsid w:val="006B78A7"/>
    <w:rsid w:val="006B7ACA"/>
    <w:rsid w:val="006B7D6C"/>
    <w:rsid w:val="006C06D3"/>
    <w:rsid w:val="006C10D4"/>
    <w:rsid w:val="006C188B"/>
    <w:rsid w:val="006C1FB9"/>
    <w:rsid w:val="006C2F81"/>
    <w:rsid w:val="006C5042"/>
    <w:rsid w:val="006C5A96"/>
    <w:rsid w:val="006C5E59"/>
    <w:rsid w:val="006D0154"/>
    <w:rsid w:val="006D0A20"/>
    <w:rsid w:val="006D0DF1"/>
    <w:rsid w:val="006D115D"/>
    <w:rsid w:val="006D11A0"/>
    <w:rsid w:val="006D122D"/>
    <w:rsid w:val="006D15CF"/>
    <w:rsid w:val="006D17CA"/>
    <w:rsid w:val="006D2D4B"/>
    <w:rsid w:val="006D3476"/>
    <w:rsid w:val="006D5C82"/>
    <w:rsid w:val="006D5D02"/>
    <w:rsid w:val="006D68B0"/>
    <w:rsid w:val="006D71B1"/>
    <w:rsid w:val="006E038C"/>
    <w:rsid w:val="006E0A46"/>
    <w:rsid w:val="006E0F9A"/>
    <w:rsid w:val="006E186E"/>
    <w:rsid w:val="006E1D3E"/>
    <w:rsid w:val="006E1F1E"/>
    <w:rsid w:val="006E2382"/>
    <w:rsid w:val="006E2475"/>
    <w:rsid w:val="006E2637"/>
    <w:rsid w:val="006E305F"/>
    <w:rsid w:val="006E3A0F"/>
    <w:rsid w:val="006E3D10"/>
    <w:rsid w:val="006E4E79"/>
    <w:rsid w:val="006E5124"/>
    <w:rsid w:val="006E5712"/>
    <w:rsid w:val="006E5A27"/>
    <w:rsid w:val="006E5AE0"/>
    <w:rsid w:val="006E7046"/>
    <w:rsid w:val="006F0637"/>
    <w:rsid w:val="006F0655"/>
    <w:rsid w:val="006F113C"/>
    <w:rsid w:val="006F11DA"/>
    <w:rsid w:val="006F132E"/>
    <w:rsid w:val="006F158A"/>
    <w:rsid w:val="006F17D0"/>
    <w:rsid w:val="006F2279"/>
    <w:rsid w:val="006F2E54"/>
    <w:rsid w:val="006F2E63"/>
    <w:rsid w:val="006F3076"/>
    <w:rsid w:val="006F31B7"/>
    <w:rsid w:val="006F3A4C"/>
    <w:rsid w:val="006F3CCF"/>
    <w:rsid w:val="006F5C6B"/>
    <w:rsid w:val="006F6836"/>
    <w:rsid w:val="006F71E3"/>
    <w:rsid w:val="006F7BF8"/>
    <w:rsid w:val="00700250"/>
    <w:rsid w:val="00700798"/>
    <w:rsid w:val="0070129F"/>
    <w:rsid w:val="00701962"/>
    <w:rsid w:val="00701CCD"/>
    <w:rsid w:val="007021A8"/>
    <w:rsid w:val="00702F0F"/>
    <w:rsid w:val="00703DE5"/>
    <w:rsid w:val="0070451B"/>
    <w:rsid w:val="007059EA"/>
    <w:rsid w:val="007063F5"/>
    <w:rsid w:val="00706638"/>
    <w:rsid w:val="007070F9"/>
    <w:rsid w:val="00707790"/>
    <w:rsid w:val="007078AE"/>
    <w:rsid w:val="00707B13"/>
    <w:rsid w:val="007100F9"/>
    <w:rsid w:val="00710657"/>
    <w:rsid w:val="00710D61"/>
    <w:rsid w:val="00710FD7"/>
    <w:rsid w:val="0071109B"/>
    <w:rsid w:val="00711849"/>
    <w:rsid w:val="0071196B"/>
    <w:rsid w:val="00711DB4"/>
    <w:rsid w:val="00711F1A"/>
    <w:rsid w:val="007120A1"/>
    <w:rsid w:val="00712E98"/>
    <w:rsid w:val="00713782"/>
    <w:rsid w:val="007137C8"/>
    <w:rsid w:val="00713D38"/>
    <w:rsid w:val="007141A3"/>
    <w:rsid w:val="00714C25"/>
    <w:rsid w:val="00714C62"/>
    <w:rsid w:val="007153E9"/>
    <w:rsid w:val="00715614"/>
    <w:rsid w:val="0071648F"/>
    <w:rsid w:val="00716907"/>
    <w:rsid w:val="0071773B"/>
    <w:rsid w:val="0072020C"/>
    <w:rsid w:val="0072025E"/>
    <w:rsid w:val="00720AC8"/>
    <w:rsid w:val="007213BC"/>
    <w:rsid w:val="0072143C"/>
    <w:rsid w:val="00721C72"/>
    <w:rsid w:val="00721F21"/>
    <w:rsid w:val="00722B6E"/>
    <w:rsid w:val="00723710"/>
    <w:rsid w:val="00723890"/>
    <w:rsid w:val="00723B27"/>
    <w:rsid w:val="007247CA"/>
    <w:rsid w:val="00724EFB"/>
    <w:rsid w:val="00725AA3"/>
    <w:rsid w:val="00725BEC"/>
    <w:rsid w:val="00725ECF"/>
    <w:rsid w:val="00725FF3"/>
    <w:rsid w:val="007264F1"/>
    <w:rsid w:val="00726E60"/>
    <w:rsid w:val="00726F7C"/>
    <w:rsid w:val="00727991"/>
    <w:rsid w:val="00727A2A"/>
    <w:rsid w:val="00727ECF"/>
    <w:rsid w:val="00730170"/>
    <w:rsid w:val="007323D5"/>
    <w:rsid w:val="0073242E"/>
    <w:rsid w:val="007325A9"/>
    <w:rsid w:val="00732814"/>
    <w:rsid w:val="007334C2"/>
    <w:rsid w:val="00733DD5"/>
    <w:rsid w:val="00734442"/>
    <w:rsid w:val="007344C8"/>
    <w:rsid w:val="00734600"/>
    <w:rsid w:val="007346BF"/>
    <w:rsid w:val="0073473D"/>
    <w:rsid w:val="00734CC8"/>
    <w:rsid w:val="00734CFC"/>
    <w:rsid w:val="00735059"/>
    <w:rsid w:val="00735155"/>
    <w:rsid w:val="007351A5"/>
    <w:rsid w:val="00735BC0"/>
    <w:rsid w:val="00736271"/>
    <w:rsid w:val="00736908"/>
    <w:rsid w:val="00736B13"/>
    <w:rsid w:val="0073737C"/>
    <w:rsid w:val="00737A77"/>
    <w:rsid w:val="007408C7"/>
    <w:rsid w:val="00740D7B"/>
    <w:rsid w:val="00740E32"/>
    <w:rsid w:val="0074178C"/>
    <w:rsid w:val="00741B97"/>
    <w:rsid w:val="00741BF7"/>
    <w:rsid w:val="007423B6"/>
    <w:rsid w:val="007427DB"/>
    <w:rsid w:val="007429F1"/>
    <w:rsid w:val="0074314B"/>
    <w:rsid w:val="007438AD"/>
    <w:rsid w:val="00743E8C"/>
    <w:rsid w:val="00744153"/>
    <w:rsid w:val="00744681"/>
    <w:rsid w:val="00744934"/>
    <w:rsid w:val="00744D89"/>
    <w:rsid w:val="00745626"/>
    <w:rsid w:val="007460F0"/>
    <w:rsid w:val="00746ACC"/>
    <w:rsid w:val="00747DF4"/>
    <w:rsid w:val="007501D5"/>
    <w:rsid w:val="00750A0B"/>
    <w:rsid w:val="00750EE8"/>
    <w:rsid w:val="0075135F"/>
    <w:rsid w:val="0075197F"/>
    <w:rsid w:val="007528A2"/>
    <w:rsid w:val="00752978"/>
    <w:rsid w:val="00752D8A"/>
    <w:rsid w:val="007536FC"/>
    <w:rsid w:val="00753835"/>
    <w:rsid w:val="0075399D"/>
    <w:rsid w:val="00753CC3"/>
    <w:rsid w:val="00754076"/>
    <w:rsid w:val="00754E6B"/>
    <w:rsid w:val="0075526D"/>
    <w:rsid w:val="0075672C"/>
    <w:rsid w:val="00756B47"/>
    <w:rsid w:val="007571A7"/>
    <w:rsid w:val="007572E5"/>
    <w:rsid w:val="00757789"/>
    <w:rsid w:val="00757F98"/>
    <w:rsid w:val="00760094"/>
    <w:rsid w:val="0076124A"/>
    <w:rsid w:val="00761A31"/>
    <w:rsid w:val="00761A50"/>
    <w:rsid w:val="00761EC1"/>
    <w:rsid w:val="007622D5"/>
    <w:rsid w:val="00762615"/>
    <w:rsid w:val="0076303F"/>
    <w:rsid w:val="00763956"/>
    <w:rsid w:val="00764244"/>
    <w:rsid w:val="0076442C"/>
    <w:rsid w:val="00765788"/>
    <w:rsid w:val="00765825"/>
    <w:rsid w:val="00765AFE"/>
    <w:rsid w:val="00765C2A"/>
    <w:rsid w:val="0076623E"/>
    <w:rsid w:val="007662AC"/>
    <w:rsid w:val="00766517"/>
    <w:rsid w:val="00766BF5"/>
    <w:rsid w:val="0076710C"/>
    <w:rsid w:val="007673C6"/>
    <w:rsid w:val="007676BD"/>
    <w:rsid w:val="00767DD2"/>
    <w:rsid w:val="00770291"/>
    <w:rsid w:val="00771218"/>
    <w:rsid w:val="0077164F"/>
    <w:rsid w:val="00771D72"/>
    <w:rsid w:val="00771F61"/>
    <w:rsid w:val="007720CB"/>
    <w:rsid w:val="007721B7"/>
    <w:rsid w:val="00772269"/>
    <w:rsid w:val="00772329"/>
    <w:rsid w:val="007725FD"/>
    <w:rsid w:val="00772754"/>
    <w:rsid w:val="00773012"/>
    <w:rsid w:val="0077355E"/>
    <w:rsid w:val="00773C78"/>
    <w:rsid w:val="00774543"/>
    <w:rsid w:val="0077486D"/>
    <w:rsid w:val="00774F69"/>
    <w:rsid w:val="00774FAD"/>
    <w:rsid w:val="0077667F"/>
    <w:rsid w:val="00776E93"/>
    <w:rsid w:val="00776FCE"/>
    <w:rsid w:val="00777550"/>
    <w:rsid w:val="007776C5"/>
    <w:rsid w:val="00777727"/>
    <w:rsid w:val="00777942"/>
    <w:rsid w:val="00780026"/>
    <w:rsid w:val="0078010D"/>
    <w:rsid w:val="00780280"/>
    <w:rsid w:val="007803D2"/>
    <w:rsid w:val="00780A2F"/>
    <w:rsid w:val="00780B4E"/>
    <w:rsid w:val="00780F6C"/>
    <w:rsid w:val="00781101"/>
    <w:rsid w:val="00781844"/>
    <w:rsid w:val="00781D26"/>
    <w:rsid w:val="0078211F"/>
    <w:rsid w:val="007822CD"/>
    <w:rsid w:val="00782345"/>
    <w:rsid w:val="0078269F"/>
    <w:rsid w:val="007834A0"/>
    <w:rsid w:val="0078353A"/>
    <w:rsid w:val="00783BC4"/>
    <w:rsid w:val="00783C11"/>
    <w:rsid w:val="00783CC9"/>
    <w:rsid w:val="00784CCE"/>
    <w:rsid w:val="00784F55"/>
    <w:rsid w:val="00785526"/>
    <w:rsid w:val="00785A29"/>
    <w:rsid w:val="00785AE5"/>
    <w:rsid w:val="00785DAC"/>
    <w:rsid w:val="0078682E"/>
    <w:rsid w:val="0078746F"/>
    <w:rsid w:val="0078750B"/>
    <w:rsid w:val="00787796"/>
    <w:rsid w:val="00787F05"/>
    <w:rsid w:val="007909AA"/>
    <w:rsid w:val="007910ED"/>
    <w:rsid w:val="007914C4"/>
    <w:rsid w:val="00791AA4"/>
    <w:rsid w:val="00791B3D"/>
    <w:rsid w:val="00791BC0"/>
    <w:rsid w:val="007920D8"/>
    <w:rsid w:val="007922FA"/>
    <w:rsid w:val="00792418"/>
    <w:rsid w:val="007926BC"/>
    <w:rsid w:val="00792C55"/>
    <w:rsid w:val="007933CB"/>
    <w:rsid w:val="007935EC"/>
    <w:rsid w:val="00793EDF"/>
    <w:rsid w:val="00793FF5"/>
    <w:rsid w:val="00794456"/>
    <w:rsid w:val="007946E1"/>
    <w:rsid w:val="00794711"/>
    <w:rsid w:val="0079497F"/>
    <w:rsid w:val="00794EB1"/>
    <w:rsid w:val="00795A4A"/>
    <w:rsid w:val="00795E42"/>
    <w:rsid w:val="00795E7D"/>
    <w:rsid w:val="007965E0"/>
    <w:rsid w:val="0079700D"/>
    <w:rsid w:val="007978F9"/>
    <w:rsid w:val="00797D93"/>
    <w:rsid w:val="00797EDA"/>
    <w:rsid w:val="007A012C"/>
    <w:rsid w:val="007A0995"/>
    <w:rsid w:val="007A0A19"/>
    <w:rsid w:val="007A0D94"/>
    <w:rsid w:val="007A0EF0"/>
    <w:rsid w:val="007A1326"/>
    <w:rsid w:val="007A14C2"/>
    <w:rsid w:val="007A171C"/>
    <w:rsid w:val="007A1FBE"/>
    <w:rsid w:val="007A20FE"/>
    <w:rsid w:val="007A2C1B"/>
    <w:rsid w:val="007A3425"/>
    <w:rsid w:val="007A357D"/>
    <w:rsid w:val="007A36C1"/>
    <w:rsid w:val="007A3917"/>
    <w:rsid w:val="007A39C4"/>
    <w:rsid w:val="007A3DBA"/>
    <w:rsid w:val="007A40F0"/>
    <w:rsid w:val="007A444C"/>
    <w:rsid w:val="007A4AD0"/>
    <w:rsid w:val="007A4AD3"/>
    <w:rsid w:val="007A4F23"/>
    <w:rsid w:val="007A58B6"/>
    <w:rsid w:val="007A598D"/>
    <w:rsid w:val="007A6306"/>
    <w:rsid w:val="007A6433"/>
    <w:rsid w:val="007A6F13"/>
    <w:rsid w:val="007A7584"/>
    <w:rsid w:val="007B06E2"/>
    <w:rsid w:val="007B0914"/>
    <w:rsid w:val="007B0F38"/>
    <w:rsid w:val="007B1A7D"/>
    <w:rsid w:val="007B22E5"/>
    <w:rsid w:val="007B3344"/>
    <w:rsid w:val="007B342C"/>
    <w:rsid w:val="007B35F2"/>
    <w:rsid w:val="007B5382"/>
    <w:rsid w:val="007B5866"/>
    <w:rsid w:val="007B6C30"/>
    <w:rsid w:val="007B6CCA"/>
    <w:rsid w:val="007B6E25"/>
    <w:rsid w:val="007B74CC"/>
    <w:rsid w:val="007C024F"/>
    <w:rsid w:val="007C0D12"/>
    <w:rsid w:val="007C1400"/>
    <w:rsid w:val="007C218A"/>
    <w:rsid w:val="007C2360"/>
    <w:rsid w:val="007C3361"/>
    <w:rsid w:val="007C56CC"/>
    <w:rsid w:val="007C6DC4"/>
    <w:rsid w:val="007C7656"/>
    <w:rsid w:val="007D016B"/>
    <w:rsid w:val="007D05E6"/>
    <w:rsid w:val="007D1432"/>
    <w:rsid w:val="007D218B"/>
    <w:rsid w:val="007D2481"/>
    <w:rsid w:val="007D275B"/>
    <w:rsid w:val="007D27E5"/>
    <w:rsid w:val="007D29EB"/>
    <w:rsid w:val="007D2A19"/>
    <w:rsid w:val="007D2ABA"/>
    <w:rsid w:val="007D2B47"/>
    <w:rsid w:val="007D50CF"/>
    <w:rsid w:val="007D6CEF"/>
    <w:rsid w:val="007D74F9"/>
    <w:rsid w:val="007D7C61"/>
    <w:rsid w:val="007E0311"/>
    <w:rsid w:val="007E036F"/>
    <w:rsid w:val="007E0423"/>
    <w:rsid w:val="007E0501"/>
    <w:rsid w:val="007E0545"/>
    <w:rsid w:val="007E093E"/>
    <w:rsid w:val="007E0971"/>
    <w:rsid w:val="007E0EAB"/>
    <w:rsid w:val="007E1115"/>
    <w:rsid w:val="007E118F"/>
    <w:rsid w:val="007E12F7"/>
    <w:rsid w:val="007E1469"/>
    <w:rsid w:val="007E23C4"/>
    <w:rsid w:val="007E2738"/>
    <w:rsid w:val="007E2F26"/>
    <w:rsid w:val="007E36E5"/>
    <w:rsid w:val="007E3CEA"/>
    <w:rsid w:val="007E408A"/>
    <w:rsid w:val="007E4334"/>
    <w:rsid w:val="007E5363"/>
    <w:rsid w:val="007E5367"/>
    <w:rsid w:val="007E59A7"/>
    <w:rsid w:val="007E6173"/>
    <w:rsid w:val="007E61B0"/>
    <w:rsid w:val="007E65C6"/>
    <w:rsid w:val="007E6650"/>
    <w:rsid w:val="007E6CB0"/>
    <w:rsid w:val="007E702A"/>
    <w:rsid w:val="007E74B5"/>
    <w:rsid w:val="007E7727"/>
    <w:rsid w:val="007E7B6E"/>
    <w:rsid w:val="007E7E46"/>
    <w:rsid w:val="007E7F4B"/>
    <w:rsid w:val="007F17D6"/>
    <w:rsid w:val="007F1FB1"/>
    <w:rsid w:val="007F211E"/>
    <w:rsid w:val="007F2490"/>
    <w:rsid w:val="007F2668"/>
    <w:rsid w:val="007F29E4"/>
    <w:rsid w:val="007F31CA"/>
    <w:rsid w:val="007F34E5"/>
    <w:rsid w:val="007F4688"/>
    <w:rsid w:val="007F4807"/>
    <w:rsid w:val="007F494A"/>
    <w:rsid w:val="007F52B3"/>
    <w:rsid w:val="007F564D"/>
    <w:rsid w:val="007F56D8"/>
    <w:rsid w:val="007F670C"/>
    <w:rsid w:val="007F76C3"/>
    <w:rsid w:val="007F78AE"/>
    <w:rsid w:val="007F7AF9"/>
    <w:rsid w:val="007F7CBD"/>
    <w:rsid w:val="00800656"/>
    <w:rsid w:val="00800664"/>
    <w:rsid w:val="00800754"/>
    <w:rsid w:val="0080078D"/>
    <w:rsid w:val="00800B26"/>
    <w:rsid w:val="00801797"/>
    <w:rsid w:val="00801B45"/>
    <w:rsid w:val="00802063"/>
    <w:rsid w:val="008023D1"/>
    <w:rsid w:val="00802D3A"/>
    <w:rsid w:val="0080328E"/>
    <w:rsid w:val="0080361E"/>
    <w:rsid w:val="008036B2"/>
    <w:rsid w:val="00805333"/>
    <w:rsid w:val="00805AA0"/>
    <w:rsid w:val="00805E4A"/>
    <w:rsid w:val="008063A7"/>
    <w:rsid w:val="00806675"/>
    <w:rsid w:val="008070ED"/>
    <w:rsid w:val="00807606"/>
    <w:rsid w:val="008077F0"/>
    <w:rsid w:val="00807EC8"/>
    <w:rsid w:val="008107E0"/>
    <w:rsid w:val="00810C10"/>
    <w:rsid w:val="00811B13"/>
    <w:rsid w:val="00811D8C"/>
    <w:rsid w:val="00811F5D"/>
    <w:rsid w:val="00812380"/>
    <w:rsid w:val="008131D4"/>
    <w:rsid w:val="00813D79"/>
    <w:rsid w:val="00813E8A"/>
    <w:rsid w:val="00814537"/>
    <w:rsid w:val="0081484D"/>
    <w:rsid w:val="00814935"/>
    <w:rsid w:val="00814950"/>
    <w:rsid w:val="00814EE3"/>
    <w:rsid w:val="00814FF0"/>
    <w:rsid w:val="00815ABE"/>
    <w:rsid w:val="008160C6"/>
    <w:rsid w:val="008164F2"/>
    <w:rsid w:val="0081682F"/>
    <w:rsid w:val="008170AB"/>
    <w:rsid w:val="00817A9C"/>
    <w:rsid w:val="00817F42"/>
    <w:rsid w:val="008205A3"/>
    <w:rsid w:val="00820630"/>
    <w:rsid w:val="008206B2"/>
    <w:rsid w:val="00820B0C"/>
    <w:rsid w:val="00820DAC"/>
    <w:rsid w:val="008214F8"/>
    <w:rsid w:val="008215F2"/>
    <w:rsid w:val="008217ED"/>
    <w:rsid w:val="00821BC5"/>
    <w:rsid w:val="00821FAD"/>
    <w:rsid w:val="008225CE"/>
    <w:rsid w:val="0082264A"/>
    <w:rsid w:val="008238CB"/>
    <w:rsid w:val="00823FCA"/>
    <w:rsid w:val="00824276"/>
    <w:rsid w:val="0082443A"/>
    <w:rsid w:val="008247C2"/>
    <w:rsid w:val="0082480C"/>
    <w:rsid w:val="00825D18"/>
    <w:rsid w:val="008265F6"/>
    <w:rsid w:val="00826F02"/>
    <w:rsid w:val="008270B1"/>
    <w:rsid w:val="00827850"/>
    <w:rsid w:val="00827CB9"/>
    <w:rsid w:val="00827FBC"/>
    <w:rsid w:val="00830193"/>
    <w:rsid w:val="00830314"/>
    <w:rsid w:val="00830CB1"/>
    <w:rsid w:val="00830E39"/>
    <w:rsid w:val="00830F89"/>
    <w:rsid w:val="00830FBD"/>
    <w:rsid w:val="008310DB"/>
    <w:rsid w:val="008312FD"/>
    <w:rsid w:val="00831AB6"/>
    <w:rsid w:val="00831C09"/>
    <w:rsid w:val="00831C6F"/>
    <w:rsid w:val="00831F22"/>
    <w:rsid w:val="00831FA1"/>
    <w:rsid w:val="00832CD7"/>
    <w:rsid w:val="0083339F"/>
    <w:rsid w:val="008334A5"/>
    <w:rsid w:val="008346D4"/>
    <w:rsid w:val="00834813"/>
    <w:rsid w:val="00834B63"/>
    <w:rsid w:val="00835362"/>
    <w:rsid w:val="00835377"/>
    <w:rsid w:val="00835701"/>
    <w:rsid w:val="00835B48"/>
    <w:rsid w:val="00835BFF"/>
    <w:rsid w:val="00835E91"/>
    <w:rsid w:val="00835F05"/>
    <w:rsid w:val="008363C0"/>
    <w:rsid w:val="00836AD4"/>
    <w:rsid w:val="00836C25"/>
    <w:rsid w:val="00837ADA"/>
    <w:rsid w:val="00837B9E"/>
    <w:rsid w:val="00837D64"/>
    <w:rsid w:val="00840DC3"/>
    <w:rsid w:val="008411DC"/>
    <w:rsid w:val="008414AB"/>
    <w:rsid w:val="00841EEA"/>
    <w:rsid w:val="008426FC"/>
    <w:rsid w:val="00842EBE"/>
    <w:rsid w:val="0084310D"/>
    <w:rsid w:val="0084366E"/>
    <w:rsid w:val="0084415F"/>
    <w:rsid w:val="0084476E"/>
    <w:rsid w:val="00844C8D"/>
    <w:rsid w:val="00845176"/>
    <w:rsid w:val="0084517E"/>
    <w:rsid w:val="008452C3"/>
    <w:rsid w:val="00845AA0"/>
    <w:rsid w:val="00845C9C"/>
    <w:rsid w:val="0084606A"/>
    <w:rsid w:val="008462E8"/>
    <w:rsid w:val="008465ED"/>
    <w:rsid w:val="0084697E"/>
    <w:rsid w:val="008479C0"/>
    <w:rsid w:val="0085085B"/>
    <w:rsid w:val="00850E9A"/>
    <w:rsid w:val="00851006"/>
    <w:rsid w:val="00851CFE"/>
    <w:rsid w:val="00852089"/>
    <w:rsid w:val="00852419"/>
    <w:rsid w:val="008529DF"/>
    <w:rsid w:val="00852F41"/>
    <w:rsid w:val="00853A18"/>
    <w:rsid w:val="008540AF"/>
    <w:rsid w:val="00854BF8"/>
    <w:rsid w:val="00854E07"/>
    <w:rsid w:val="008552C5"/>
    <w:rsid w:val="008557C6"/>
    <w:rsid w:val="00855DBD"/>
    <w:rsid w:val="00855EA1"/>
    <w:rsid w:val="00856327"/>
    <w:rsid w:val="008563C2"/>
    <w:rsid w:val="00856590"/>
    <w:rsid w:val="008565D8"/>
    <w:rsid w:val="00856855"/>
    <w:rsid w:val="00857C2F"/>
    <w:rsid w:val="00860897"/>
    <w:rsid w:val="00860F5C"/>
    <w:rsid w:val="008613E8"/>
    <w:rsid w:val="00861DC1"/>
    <w:rsid w:val="00861E5D"/>
    <w:rsid w:val="00863C24"/>
    <w:rsid w:val="00863C93"/>
    <w:rsid w:val="00864A5B"/>
    <w:rsid w:val="00864EE7"/>
    <w:rsid w:val="00865156"/>
    <w:rsid w:val="00865571"/>
    <w:rsid w:val="00865B52"/>
    <w:rsid w:val="0086684D"/>
    <w:rsid w:val="00866E85"/>
    <w:rsid w:val="00866F2E"/>
    <w:rsid w:val="00867177"/>
    <w:rsid w:val="008672B0"/>
    <w:rsid w:val="008701A3"/>
    <w:rsid w:val="00870486"/>
    <w:rsid w:val="00870CDB"/>
    <w:rsid w:val="00870CEA"/>
    <w:rsid w:val="0087165A"/>
    <w:rsid w:val="00871B8F"/>
    <w:rsid w:val="00872B8B"/>
    <w:rsid w:val="00873CA3"/>
    <w:rsid w:val="00873F3C"/>
    <w:rsid w:val="00873FAA"/>
    <w:rsid w:val="0087408F"/>
    <w:rsid w:val="0087428D"/>
    <w:rsid w:val="008754E7"/>
    <w:rsid w:val="00876722"/>
    <w:rsid w:val="0087693E"/>
    <w:rsid w:val="00876C34"/>
    <w:rsid w:val="008770C8"/>
    <w:rsid w:val="00877590"/>
    <w:rsid w:val="00880592"/>
    <w:rsid w:val="00880C45"/>
    <w:rsid w:val="00881616"/>
    <w:rsid w:val="00881E12"/>
    <w:rsid w:val="00881FFE"/>
    <w:rsid w:val="008827EF"/>
    <w:rsid w:val="00882AB2"/>
    <w:rsid w:val="00882E74"/>
    <w:rsid w:val="008837F6"/>
    <w:rsid w:val="008839C8"/>
    <w:rsid w:val="008839EF"/>
    <w:rsid w:val="00884045"/>
    <w:rsid w:val="00884C3E"/>
    <w:rsid w:val="00885118"/>
    <w:rsid w:val="00885212"/>
    <w:rsid w:val="008852FE"/>
    <w:rsid w:val="008856AA"/>
    <w:rsid w:val="00885740"/>
    <w:rsid w:val="00885D2E"/>
    <w:rsid w:val="00885FCA"/>
    <w:rsid w:val="00886391"/>
    <w:rsid w:val="00886421"/>
    <w:rsid w:val="0088654C"/>
    <w:rsid w:val="00886A46"/>
    <w:rsid w:val="008900CE"/>
    <w:rsid w:val="008903C9"/>
    <w:rsid w:val="00890D76"/>
    <w:rsid w:val="0089174E"/>
    <w:rsid w:val="00891FAA"/>
    <w:rsid w:val="0089209C"/>
    <w:rsid w:val="00892A56"/>
    <w:rsid w:val="008932D8"/>
    <w:rsid w:val="00893BCD"/>
    <w:rsid w:val="008945E5"/>
    <w:rsid w:val="00895540"/>
    <w:rsid w:val="0089558F"/>
    <w:rsid w:val="0089653A"/>
    <w:rsid w:val="0089696C"/>
    <w:rsid w:val="00897372"/>
    <w:rsid w:val="0089757B"/>
    <w:rsid w:val="008975B2"/>
    <w:rsid w:val="00897B40"/>
    <w:rsid w:val="00897E7A"/>
    <w:rsid w:val="008A036A"/>
    <w:rsid w:val="008A0760"/>
    <w:rsid w:val="008A087E"/>
    <w:rsid w:val="008A1B2B"/>
    <w:rsid w:val="008A20F8"/>
    <w:rsid w:val="008A391B"/>
    <w:rsid w:val="008A396E"/>
    <w:rsid w:val="008A3FDA"/>
    <w:rsid w:val="008A474B"/>
    <w:rsid w:val="008A5223"/>
    <w:rsid w:val="008A75F0"/>
    <w:rsid w:val="008A7675"/>
    <w:rsid w:val="008A77B9"/>
    <w:rsid w:val="008A7D5C"/>
    <w:rsid w:val="008B042C"/>
    <w:rsid w:val="008B0763"/>
    <w:rsid w:val="008B09F5"/>
    <w:rsid w:val="008B1C7C"/>
    <w:rsid w:val="008B20A9"/>
    <w:rsid w:val="008B21C1"/>
    <w:rsid w:val="008B24FC"/>
    <w:rsid w:val="008B25ED"/>
    <w:rsid w:val="008B2F41"/>
    <w:rsid w:val="008B2F5D"/>
    <w:rsid w:val="008B382E"/>
    <w:rsid w:val="008B3B95"/>
    <w:rsid w:val="008B402A"/>
    <w:rsid w:val="008B4204"/>
    <w:rsid w:val="008B45F7"/>
    <w:rsid w:val="008B58EB"/>
    <w:rsid w:val="008B59DE"/>
    <w:rsid w:val="008B5B60"/>
    <w:rsid w:val="008B5F6D"/>
    <w:rsid w:val="008B6210"/>
    <w:rsid w:val="008B7124"/>
    <w:rsid w:val="008B75C4"/>
    <w:rsid w:val="008B7C6C"/>
    <w:rsid w:val="008C0BCA"/>
    <w:rsid w:val="008C0BCF"/>
    <w:rsid w:val="008C0D0C"/>
    <w:rsid w:val="008C114B"/>
    <w:rsid w:val="008C150B"/>
    <w:rsid w:val="008C1536"/>
    <w:rsid w:val="008C1787"/>
    <w:rsid w:val="008C1E40"/>
    <w:rsid w:val="008C34AC"/>
    <w:rsid w:val="008C3C94"/>
    <w:rsid w:val="008C3DBD"/>
    <w:rsid w:val="008C3E17"/>
    <w:rsid w:val="008C4033"/>
    <w:rsid w:val="008C4344"/>
    <w:rsid w:val="008C5106"/>
    <w:rsid w:val="008C53D1"/>
    <w:rsid w:val="008C55DB"/>
    <w:rsid w:val="008C57C8"/>
    <w:rsid w:val="008C5C6A"/>
    <w:rsid w:val="008C60E6"/>
    <w:rsid w:val="008C66A5"/>
    <w:rsid w:val="008C68F3"/>
    <w:rsid w:val="008C7662"/>
    <w:rsid w:val="008D1859"/>
    <w:rsid w:val="008D1B90"/>
    <w:rsid w:val="008D21BE"/>
    <w:rsid w:val="008D2524"/>
    <w:rsid w:val="008D253D"/>
    <w:rsid w:val="008D28D8"/>
    <w:rsid w:val="008D39AE"/>
    <w:rsid w:val="008D4299"/>
    <w:rsid w:val="008D42D1"/>
    <w:rsid w:val="008D42D7"/>
    <w:rsid w:val="008D45D6"/>
    <w:rsid w:val="008D4809"/>
    <w:rsid w:val="008D4D12"/>
    <w:rsid w:val="008D505D"/>
    <w:rsid w:val="008D510F"/>
    <w:rsid w:val="008D55FD"/>
    <w:rsid w:val="008D574A"/>
    <w:rsid w:val="008D5E65"/>
    <w:rsid w:val="008D6424"/>
    <w:rsid w:val="008D70F5"/>
    <w:rsid w:val="008D7111"/>
    <w:rsid w:val="008D7BB8"/>
    <w:rsid w:val="008D7CE1"/>
    <w:rsid w:val="008D7D39"/>
    <w:rsid w:val="008E0233"/>
    <w:rsid w:val="008E0C5E"/>
    <w:rsid w:val="008E16B9"/>
    <w:rsid w:val="008E28E3"/>
    <w:rsid w:val="008E2A4C"/>
    <w:rsid w:val="008E340A"/>
    <w:rsid w:val="008E3A56"/>
    <w:rsid w:val="008E41C0"/>
    <w:rsid w:val="008E45A0"/>
    <w:rsid w:val="008E47D7"/>
    <w:rsid w:val="008E4AB6"/>
    <w:rsid w:val="008E4FC4"/>
    <w:rsid w:val="008E5606"/>
    <w:rsid w:val="008E568F"/>
    <w:rsid w:val="008E5BBB"/>
    <w:rsid w:val="008E6CA7"/>
    <w:rsid w:val="008E70E1"/>
    <w:rsid w:val="008E7315"/>
    <w:rsid w:val="008E742F"/>
    <w:rsid w:val="008F0438"/>
    <w:rsid w:val="008F05AF"/>
    <w:rsid w:val="008F1392"/>
    <w:rsid w:val="008F1678"/>
    <w:rsid w:val="008F1981"/>
    <w:rsid w:val="008F1EA9"/>
    <w:rsid w:val="008F2076"/>
    <w:rsid w:val="008F2240"/>
    <w:rsid w:val="008F2C81"/>
    <w:rsid w:val="008F3B79"/>
    <w:rsid w:val="008F3CBA"/>
    <w:rsid w:val="008F3E3C"/>
    <w:rsid w:val="008F403C"/>
    <w:rsid w:val="008F489D"/>
    <w:rsid w:val="008F49A9"/>
    <w:rsid w:val="008F5D56"/>
    <w:rsid w:val="008F6AB3"/>
    <w:rsid w:val="008F6F14"/>
    <w:rsid w:val="008F74BF"/>
    <w:rsid w:val="008F76D0"/>
    <w:rsid w:val="008F7F25"/>
    <w:rsid w:val="008F7FD9"/>
    <w:rsid w:val="00900CF6"/>
    <w:rsid w:val="009017A5"/>
    <w:rsid w:val="0090202A"/>
    <w:rsid w:val="009020F0"/>
    <w:rsid w:val="0090282B"/>
    <w:rsid w:val="00902CC0"/>
    <w:rsid w:val="00902F88"/>
    <w:rsid w:val="0090314F"/>
    <w:rsid w:val="00903798"/>
    <w:rsid w:val="00903B40"/>
    <w:rsid w:val="00904612"/>
    <w:rsid w:val="0090464D"/>
    <w:rsid w:val="00904655"/>
    <w:rsid w:val="009047C8"/>
    <w:rsid w:val="009047EF"/>
    <w:rsid w:val="0090486A"/>
    <w:rsid w:val="00904EF0"/>
    <w:rsid w:val="009063EC"/>
    <w:rsid w:val="00907543"/>
    <w:rsid w:val="00907CEC"/>
    <w:rsid w:val="00907D9A"/>
    <w:rsid w:val="0091023B"/>
    <w:rsid w:val="00910281"/>
    <w:rsid w:val="00910FB8"/>
    <w:rsid w:val="00911675"/>
    <w:rsid w:val="00912346"/>
    <w:rsid w:val="00913F86"/>
    <w:rsid w:val="00914427"/>
    <w:rsid w:val="00914441"/>
    <w:rsid w:val="00914615"/>
    <w:rsid w:val="0091486F"/>
    <w:rsid w:val="009149C8"/>
    <w:rsid w:val="00914D30"/>
    <w:rsid w:val="00914E86"/>
    <w:rsid w:val="00915E10"/>
    <w:rsid w:val="00915E4B"/>
    <w:rsid w:val="009169A4"/>
    <w:rsid w:val="00916D19"/>
    <w:rsid w:val="009175ED"/>
    <w:rsid w:val="00920DEA"/>
    <w:rsid w:val="0092130B"/>
    <w:rsid w:val="00921B99"/>
    <w:rsid w:val="009220B0"/>
    <w:rsid w:val="009224F7"/>
    <w:rsid w:val="00923049"/>
    <w:rsid w:val="009236AF"/>
    <w:rsid w:val="00923CE9"/>
    <w:rsid w:val="00924104"/>
    <w:rsid w:val="009241D7"/>
    <w:rsid w:val="00924239"/>
    <w:rsid w:val="009242BB"/>
    <w:rsid w:val="00924AA1"/>
    <w:rsid w:val="00924BE3"/>
    <w:rsid w:val="00924E4F"/>
    <w:rsid w:val="00925062"/>
    <w:rsid w:val="009252DC"/>
    <w:rsid w:val="0092567B"/>
    <w:rsid w:val="009258EE"/>
    <w:rsid w:val="00925E9D"/>
    <w:rsid w:val="009262CD"/>
    <w:rsid w:val="00926B19"/>
    <w:rsid w:val="0092718D"/>
    <w:rsid w:val="00927B11"/>
    <w:rsid w:val="00927F62"/>
    <w:rsid w:val="00930C30"/>
    <w:rsid w:val="00930C4F"/>
    <w:rsid w:val="00930DBC"/>
    <w:rsid w:val="0093107F"/>
    <w:rsid w:val="009313B8"/>
    <w:rsid w:val="00931936"/>
    <w:rsid w:val="00931CA2"/>
    <w:rsid w:val="00931F5C"/>
    <w:rsid w:val="0093247F"/>
    <w:rsid w:val="00932630"/>
    <w:rsid w:val="00932698"/>
    <w:rsid w:val="00932A35"/>
    <w:rsid w:val="00932DBC"/>
    <w:rsid w:val="00932E45"/>
    <w:rsid w:val="00933036"/>
    <w:rsid w:val="009344E0"/>
    <w:rsid w:val="00934C7C"/>
    <w:rsid w:val="00936231"/>
    <w:rsid w:val="0093730B"/>
    <w:rsid w:val="00937ABD"/>
    <w:rsid w:val="009403BF"/>
    <w:rsid w:val="00940642"/>
    <w:rsid w:val="00940B5C"/>
    <w:rsid w:val="00941087"/>
    <w:rsid w:val="00941517"/>
    <w:rsid w:val="00941859"/>
    <w:rsid w:val="00941F04"/>
    <w:rsid w:val="009427E0"/>
    <w:rsid w:val="0094305B"/>
    <w:rsid w:val="00943747"/>
    <w:rsid w:val="009437BE"/>
    <w:rsid w:val="00943CA3"/>
    <w:rsid w:val="00943E66"/>
    <w:rsid w:val="00944274"/>
    <w:rsid w:val="009446B4"/>
    <w:rsid w:val="009447B6"/>
    <w:rsid w:val="00944CC3"/>
    <w:rsid w:val="00944FF0"/>
    <w:rsid w:val="00945411"/>
    <w:rsid w:val="00945B5E"/>
    <w:rsid w:val="00946531"/>
    <w:rsid w:val="009474DC"/>
    <w:rsid w:val="00950A1B"/>
    <w:rsid w:val="00951AC3"/>
    <w:rsid w:val="0095261D"/>
    <w:rsid w:val="00952AFE"/>
    <w:rsid w:val="00953110"/>
    <w:rsid w:val="009533B7"/>
    <w:rsid w:val="009539B0"/>
    <w:rsid w:val="00953EBA"/>
    <w:rsid w:val="0095424C"/>
    <w:rsid w:val="009545CC"/>
    <w:rsid w:val="00954750"/>
    <w:rsid w:val="00954D0D"/>
    <w:rsid w:val="00956037"/>
    <w:rsid w:val="009561FB"/>
    <w:rsid w:val="00956316"/>
    <w:rsid w:val="009567D5"/>
    <w:rsid w:val="009569E6"/>
    <w:rsid w:val="0095790B"/>
    <w:rsid w:val="00957DF6"/>
    <w:rsid w:val="00960764"/>
    <w:rsid w:val="009614C0"/>
    <w:rsid w:val="00961CFA"/>
    <w:rsid w:val="00961D89"/>
    <w:rsid w:val="00961ED2"/>
    <w:rsid w:val="00961F31"/>
    <w:rsid w:val="00962267"/>
    <w:rsid w:val="009623B8"/>
    <w:rsid w:val="009625E7"/>
    <w:rsid w:val="0096267E"/>
    <w:rsid w:val="00962DDD"/>
    <w:rsid w:val="00963180"/>
    <w:rsid w:val="00963761"/>
    <w:rsid w:val="00964E18"/>
    <w:rsid w:val="00965393"/>
    <w:rsid w:val="00965751"/>
    <w:rsid w:val="00965E8B"/>
    <w:rsid w:val="00966B0D"/>
    <w:rsid w:val="00966BF2"/>
    <w:rsid w:val="00967256"/>
    <w:rsid w:val="0096740E"/>
    <w:rsid w:val="009674EC"/>
    <w:rsid w:val="00970BD6"/>
    <w:rsid w:val="00970C49"/>
    <w:rsid w:val="00970D7B"/>
    <w:rsid w:val="00970DDD"/>
    <w:rsid w:val="00971F0C"/>
    <w:rsid w:val="009724B3"/>
    <w:rsid w:val="00972E9E"/>
    <w:rsid w:val="0097390F"/>
    <w:rsid w:val="00973C4B"/>
    <w:rsid w:val="0097448E"/>
    <w:rsid w:val="00975001"/>
    <w:rsid w:val="009752F1"/>
    <w:rsid w:val="009756E4"/>
    <w:rsid w:val="009761AF"/>
    <w:rsid w:val="00976230"/>
    <w:rsid w:val="00976659"/>
    <w:rsid w:val="0097680B"/>
    <w:rsid w:val="00977168"/>
    <w:rsid w:val="00977687"/>
    <w:rsid w:val="0098027E"/>
    <w:rsid w:val="00980885"/>
    <w:rsid w:val="00980F43"/>
    <w:rsid w:val="009816B0"/>
    <w:rsid w:val="00981E9B"/>
    <w:rsid w:val="00982A23"/>
    <w:rsid w:val="00983C94"/>
    <w:rsid w:val="00984879"/>
    <w:rsid w:val="00984A8B"/>
    <w:rsid w:val="0098508C"/>
    <w:rsid w:val="0098533B"/>
    <w:rsid w:val="0098649A"/>
    <w:rsid w:val="00990565"/>
    <w:rsid w:val="00990D15"/>
    <w:rsid w:val="009914A3"/>
    <w:rsid w:val="0099161B"/>
    <w:rsid w:val="00991664"/>
    <w:rsid w:val="00991912"/>
    <w:rsid w:val="00991BAB"/>
    <w:rsid w:val="00992B4A"/>
    <w:rsid w:val="00992DBF"/>
    <w:rsid w:val="00993191"/>
    <w:rsid w:val="00996647"/>
    <w:rsid w:val="00996E61"/>
    <w:rsid w:val="009970B7"/>
    <w:rsid w:val="00997CD8"/>
    <w:rsid w:val="00997EAE"/>
    <w:rsid w:val="00997ED7"/>
    <w:rsid w:val="009A0A0A"/>
    <w:rsid w:val="009A0B07"/>
    <w:rsid w:val="009A0C75"/>
    <w:rsid w:val="009A0CF3"/>
    <w:rsid w:val="009A1278"/>
    <w:rsid w:val="009A1641"/>
    <w:rsid w:val="009A2F04"/>
    <w:rsid w:val="009A330A"/>
    <w:rsid w:val="009A55E0"/>
    <w:rsid w:val="009A55E3"/>
    <w:rsid w:val="009A5C71"/>
    <w:rsid w:val="009A66A9"/>
    <w:rsid w:val="009A6E2F"/>
    <w:rsid w:val="009A75C1"/>
    <w:rsid w:val="009A7B2F"/>
    <w:rsid w:val="009B0207"/>
    <w:rsid w:val="009B0E6D"/>
    <w:rsid w:val="009B0FBA"/>
    <w:rsid w:val="009B11A3"/>
    <w:rsid w:val="009B1623"/>
    <w:rsid w:val="009B187B"/>
    <w:rsid w:val="009B1AA4"/>
    <w:rsid w:val="009B1C32"/>
    <w:rsid w:val="009B2166"/>
    <w:rsid w:val="009B292B"/>
    <w:rsid w:val="009B2AEB"/>
    <w:rsid w:val="009B31C0"/>
    <w:rsid w:val="009B36F3"/>
    <w:rsid w:val="009B3C6E"/>
    <w:rsid w:val="009B4098"/>
    <w:rsid w:val="009B4A33"/>
    <w:rsid w:val="009B4BC5"/>
    <w:rsid w:val="009B4BD8"/>
    <w:rsid w:val="009B4C3A"/>
    <w:rsid w:val="009B4D05"/>
    <w:rsid w:val="009B5709"/>
    <w:rsid w:val="009B57D2"/>
    <w:rsid w:val="009B5A96"/>
    <w:rsid w:val="009B5F14"/>
    <w:rsid w:val="009B69FA"/>
    <w:rsid w:val="009B7E01"/>
    <w:rsid w:val="009C0157"/>
    <w:rsid w:val="009C01C4"/>
    <w:rsid w:val="009C0322"/>
    <w:rsid w:val="009C07B4"/>
    <w:rsid w:val="009C0B5E"/>
    <w:rsid w:val="009C0D27"/>
    <w:rsid w:val="009C0D61"/>
    <w:rsid w:val="009C137A"/>
    <w:rsid w:val="009C1BFC"/>
    <w:rsid w:val="009C1CFC"/>
    <w:rsid w:val="009C27A1"/>
    <w:rsid w:val="009C315D"/>
    <w:rsid w:val="009C3B43"/>
    <w:rsid w:val="009C3B4E"/>
    <w:rsid w:val="009C47B5"/>
    <w:rsid w:val="009C498F"/>
    <w:rsid w:val="009C522C"/>
    <w:rsid w:val="009C5F07"/>
    <w:rsid w:val="009C5FF1"/>
    <w:rsid w:val="009C6E94"/>
    <w:rsid w:val="009D0245"/>
    <w:rsid w:val="009D0735"/>
    <w:rsid w:val="009D07A7"/>
    <w:rsid w:val="009D0B9B"/>
    <w:rsid w:val="009D0E51"/>
    <w:rsid w:val="009D1367"/>
    <w:rsid w:val="009D18B6"/>
    <w:rsid w:val="009D2785"/>
    <w:rsid w:val="009D280A"/>
    <w:rsid w:val="009D2AF0"/>
    <w:rsid w:val="009D3A47"/>
    <w:rsid w:val="009D3B31"/>
    <w:rsid w:val="009D4020"/>
    <w:rsid w:val="009D41FA"/>
    <w:rsid w:val="009D4895"/>
    <w:rsid w:val="009D4D4F"/>
    <w:rsid w:val="009D70EC"/>
    <w:rsid w:val="009D7D13"/>
    <w:rsid w:val="009E0EC0"/>
    <w:rsid w:val="009E12B5"/>
    <w:rsid w:val="009E1454"/>
    <w:rsid w:val="009E2329"/>
    <w:rsid w:val="009E292D"/>
    <w:rsid w:val="009E33C9"/>
    <w:rsid w:val="009E37CF"/>
    <w:rsid w:val="009E3B65"/>
    <w:rsid w:val="009E3E14"/>
    <w:rsid w:val="009E4011"/>
    <w:rsid w:val="009E43E8"/>
    <w:rsid w:val="009E4A62"/>
    <w:rsid w:val="009E4B10"/>
    <w:rsid w:val="009E4B49"/>
    <w:rsid w:val="009E5140"/>
    <w:rsid w:val="009E54E9"/>
    <w:rsid w:val="009E5AFA"/>
    <w:rsid w:val="009E669B"/>
    <w:rsid w:val="009E6AF4"/>
    <w:rsid w:val="009E71BE"/>
    <w:rsid w:val="009E74A7"/>
    <w:rsid w:val="009E7EE6"/>
    <w:rsid w:val="009E7F59"/>
    <w:rsid w:val="009F0191"/>
    <w:rsid w:val="009F102A"/>
    <w:rsid w:val="009F1178"/>
    <w:rsid w:val="009F16D4"/>
    <w:rsid w:val="009F21BF"/>
    <w:rsid w:val="009F23A1"/>
    <w:rsid w:val="009F2B35"/>
    <w:rsid w:val="009F3A51"/>
    <w:rsid w:val="009F3F97"/>
    <w:rsid w:val="009F3F9F"/>
    <w:rsid w:val="009F4E6C"/>
    <w:rsid w:val="009F59AA"/>
    <w:rsid w:val="009F652B"/>
    <w:rsid w:val="009F6599"/>
    <w:rsid w:val="009F6797"/>
    <w:rsid w:val="009F71DC"/>
    <w:rsid w:val="009F753B"/>
    <w:rsid w:val="009F76EA"/>
    <w:rsid w:val="00A0009C"/>
    <w:rsid w:val="00A008F9"/>
    <w:rsid w:val="00A00AC0"/>
    <w:rsid w:val="00A018DC"/>
    <w:rsid w:val="00A01D67"/>
    <w:rsid w:val="00A01E26"/>
    <w:rsid w:val="00A0260B"/>
    <w:rsid w:val="00A02989"/>
    <w:rsid w:val="00A03325"/>
    <w:rsid w:val="00A03433"/>
    <w:rsid w:val="00A0383B"/>
    <w:rsid w:val="00A03E73"/>
    <w:rsid w:val="00A04391"/>
    <w:rsid w:val="00A04F1F"/>
    <w:rsid w:val="00A05744"/>
    <w:rsid w:val="00A057CC"/>
    <w:rsid w:val="00A059D9"/>
    <w:rsid w:val="00A05A28"/>
    <w:rsid w:val="00A061F4"/>
    <w:rsid w:val="00A069ED"/>
    <w:rsid w:val="00A069F5"/>
    <w:rsid w:val="00A06B00"/>
    <w:rsid w:val="00A07550"/>
    <w:rsid w:val="00A0755C"/>
    <w:rsid w:val="00A07B39"/>
    <w:rsid w:val="00A1023D"/>
    <w:rsid w:val="00A10989"/>
    <w:rsid w:val="00A11D73"/>
    <w:rsid w:val="00A12084"/>
    <w:rsid w:val="00A120F4"/>
    <w:rsid w:val="00A12991"/>
    <w:rsid w:val="00A1322B"/>
    <w:rsid w:val="00A134B4"/>
    <w:rsid w:val="00A13ED0"/>
    <w:rsid w:val="00A1411C"/>
    <w:rsid w:val="00A14CAF"/>
    <w:rsid w:val="00A14E9F"/>
    <w:rsid w:val="00A150D1"/>
    <w:rsid w:val="00A15A61"/>
    <w:rsid w:val="00A15B09"/>
    <w:rsid w:val="00A15F0F"/>
    <w:rsid w:val="00A1634F"/>
    <w:rsid w:val="00A1694B"/>
    <w:rsid w:val="00A16DD9"/>
    <w:rsid w:val="00A17244"/>
    <w:rsid w:val="00A1728A"/>
    <w:rsid w:val="00A173DB"/>
    <w:rsid w:val="00A17C4C"/>
    <w:rsid w:val="00A20189"/>
    <w:rsid w:val="00A2051D"/>
    <w:rsid w:val="00A20C8A"/>
    <w:rsid w:val="00A20FEF"/>
    <w:rsid w:val="00A21C57"/>
    <w:rsid w:val="00A22856"/>
    <w:rsid w:val="00A22B44"/>
    <w:rsid w:val="00A22C2B"/>
    <w:rsid w:val="00A22E92"/>
    <w:rsid w:val="00A23297"/>
    <w:rsid w:val="00A24BD7"/>
    <w:rsid w:val="00A24EFE"/>
    <w:rsid w:val="00A24FC0"/>
    <w:rsid w:val="00A25473"/>
    <w:rsid w:val="00A25495"/>
    <w:rsid w:val="00A2586F"/>
    <w:rsid w:val="00A25AC5"/>
    <w:rsid w:val="00A25F45"/>
    <w:rsid w:val="00A2655D"/>
    <w:rsid w:val="00A270B1"/>
    <w:rsid w:val="00A274C6"/>
    <w:rsid w:val="00A274E7"/>
    <w:rsid w:val="00A30F82"/>
    <w:rsid w:val="00A31193"/>
    <w:rsid w:val="00A315A7"/>
    <w:rsid w:val="00A31624"/>
    <w:rsid w:val="00A31AF5"/>
    <w:rsid w:val="00A31B83"/>
    <w:rsid w:val="00A32460"/>
    <w:rsid w:val="00A32F02"/>
    <w:rsid w:val="00A3327D"/>
    <w:rsid w:val="00A33295"/>
    <w:rsid w:val="00A33426"/>
    <w:rsid w:val="00A33AE4"/>
    <w:rsid w:val="00A33D1B"/>
    <w:rsid w:val="00A33F28"/>
    <w:rsid w:val="00A346F9"/>
    <w:rsid w:val="00A34E0E"/>
    <w:rsid w:val="00A35235"/>
    <w:rsid w:val="00A355DA"/>
    <w:rsid w:val="00A372C8"/>
    <w:rsid w:val="00A3734A"/>
    <w:rsid w:val="00A37A26"/>
    <w:rsid w:val="00A4017F"/>
    <w:rsid w:val="00A402DA"/>
    <w:rsid w:val="00A406ED"/>
    <w:rsid w:val="00A40868"/>
    <w:rsid w:val="00A419D9"/>
    <w:rsid w:val="00A41AE7"/>
    <w:rsid w:val="00A41B92"/>
    <w:rsid w:val="00A41CAA"/>
    <w:rsid w:val="00A41DF3"/>
    <w:rsid w:val="00A41E3A"/>
    <w:rsid w:val="00A42023"/>
    <w:rsid w:val="00A43290"/>
    <w:rsid w:val="00A435BA"/>
    <w:rsid w:val="00A5052A"/>
    <w:rsid w:val="00A50900"/>
    <w:rsid w:val="00A509A8"/>
    <w:rsid w:val="00A5192E"/>
    <w:rsid w:val="00A51A31"/>
    <w:rsid w:val="00A525FB"/>
    <w:rsid w:val="00A53512"/>
    <w:rsid w:val="00A54677"/>
    <w:rsid w:val="00A54BAD"/>
    <w:rsid w:val="00A55148"/>
    <w:rsid w:val="00A5523A"/>
    <w:rsid w:val="00A55507"/>
    <w:rsid w:val="00A55915"/>
    <w:rsid w:val="00A55E99"/>
    <w:rsid w:val="00A55FFD"/>
    <w:rsid w:val="00A56307"/>
    <w:rsid w:val="00A56793"/>
    <w:rsid w:val="00A56D9C"/>
    <w:rsid w:val="00A56FFB"/>
    <w:rsid w:val="00A5715F"/>
    <w:rsid w:val="00A575D8"/>
    <w:rsid w:val="00A60BFD"/>
    <w:rsid w:val="00A62821"/>
    <w:rsid w:val="00A6283B"/>
    <w:rsid w:val="00A62F7D"/>
    <w:rsid w:val="00A63F00"/>
    <w:rsid w:val="00A6473D"/>
    <w:rsid w:val="00A6482A"/>
    <w:rsid w:val="00A649BE"/>
    <w:rsid w:val="00A64FAF"/>
    <w:rsid w:val="00A6521C"/>
    <w:rsid w:val="00A658D1"/>
    <w:rsid w:val="00A65A9C"/>
    <w:rsid w:val="00A65B94"/>
    <w:rsid w:val="00A6685A"/>
    <w:rsid w:val="00A6724F"/>
    <w:rsid w:val="00A67656"/>
    <w:rsid w:val="00A67730"/>
    <w:rsid w:val="00A678EE"/>
    <w:rsid w:val="00A67C9A"/>
    <w:rsid w:val="00A67FAD"/>
    <w:rsid w:val="00A70C17"/>
    <w:rsid w:val="00A710C7"/>
    <w:rsid w:val="00A713E1"/>
    <w:rsid w:val="00A71FA7"/>
    <w:rsid w:val="00A72474"/>
    <w:rsid w:val="00A7265F"/>
    <w:rsid w:val="00A7270F"/>
    <w:rsid w:val="00A729D4"/>
    <w:rsid w:val="00A72DFE"/>
    <w:rsid w:val="00A73220"/>
    <w:rsid w:val="00A74DD5"/>
    <w:rsid w:val="00A752A2"/>
    <w:rsid w:val="00A75852"/>
    <w:rsid w:val="00A75DB7"/>
    <w:rsid w:val="00A76386"/>
    <w:rsid w:val="00A76B45"/>
    <w:rsid w:val="00A77582"/>
    <w:rsid w:val="00A77A7B"/>
    <w:rsid w:val="00A80121"/>
    <w:rsid w:val="00A8020A"/>
    <w:rsid w:val="00A80243"/>
    <w:rsid w:val="00A80777"/>
    <w:rsid w:val="00A808D4"/>
    <w:rsid w:val="00A8096C"/>
    <w:rsid w:val="00A80BC2"/>
    <w:rsid w:val="00A80BF6"/>
    <w:rsid w:val="00A80D56"/>
    <w:rsid w:val="00A816A5"/>
    <w:rsid w:val="00A81964"/>
    <w:rsid w:val="00A82B73"/>
    <w:rsid w:val="00A82EBF"/>
    <w:rsid w:val="00A83A24"/>
    <w:rsid w:val="00A84770"/>
    <w:rsid w:val="00A84A1C"/>
    <w:rsid w:val="00A84D2A"/>
    <w:rsid w:val="00A84DEE"/>
    <w:rsid w:val="00A85262"/>
    <w:rsid w:val="00A85466"/>
    <w:rsid w:val="00A854E7"/>
    <w:rsid w:val="00A85A38"/>
    <w:rsid w:val="00A86DF9"/>
    <w:rsid w:val="00A86F7A"/>
    <w:rsid w:val="00A871F5"/>
    <w:rsid w:val="00A8721F"/>
    <w:rsid w:val="00A87E04"/>
    <w:rsid w:val="00A9101C"/>
    <w:rsid w:val="00A913F7"/>
    <w:rsid w:val="00A92602"/>
    <w:rsid w:val="00A92A2A"/>
    <w:rsid w:val="00A92D4C"/>
    <w:rsid w:val="00A92EA3"/>
    <w:rsid w:val="00A932C6"/>
    <w:rsid w:val="00A939EF"/>
    <w:rsid w:val="00A93EE6"/>
    <w:rsid w:val="00A93F2B"/>
    <w:rsid w:val="00A93F44"/>
    <w:rsid w:val="00A94135"/>
    <w:rsid w:val="00A9420A"/>
    <w:rsid w:val="00A94711"/>
    <w:rsid w:val="00A94CB7"/>
    <w:rsid w:val="00A95D92"/>
    <w:rsid w:val="00A967CE"/>
    <w:rsid w:val="00A97558"/>
    <w:rsid w:val="00A97644"/>
    <w:rsid w:val="00A97B47"/>
    <w:rsid w:val="00A97F43"/>
    <w:rsid w:val="00AA08DF"/>
    <w:rsid w:val="00AA0921"/>
    <w:rsid w:val="00AA0F20"/>
    <w:rsid w:val="00AA1414"/>
    <w:rsid w:val="00AA1763"/>
    <w:rsid w:val="00AA1E05"/>
    <w:rsid w:val="00AA2037"/>
    <w:rsid w:val="00AA2085"/>
    <w:rsid w:val="00AA2307"/>
    <w:rsid w:val="00AA259A"/>
    <w:rsid w:val="00AA2F16"/>
    <w:rsid w:val="00AA36C6"/>
    <w:rsid w:val="00AA372D"/>
    <w:rsid w:val="00AA41CA"/>
    <w:rsid w:val="00AA42C9"/>
    <w:rsid w:val="00AA4AA6"/>
    <w:rsid w:val="00AA4CCF"/>
    <w:rsid w:val="00AA5B96"/>
    <w:rsid w:val="00AA5E61"/>
    <w:rsid w:val="00AA61AD"/>
    <w:rsid w:val="00AA629E"/>
    <w:rsid w:val="00AA66B6"/>
    <w:rsid w:val="00AA6FFC"/>
    <w:rsid w:val="00AA7E51"/>
    <w:rsid w:val="00AB03A6"/>
    <w:rsid w:val="00AB1EFD"/>
    <w:rsid w:val="00AB2AAA"/>
    <w:rsid w:val="00AB388D"/>
    <w:rsid w:val="00AB4873"/>
    <w:rsid w:val="00AB5E8D"/>
    <w:rsid w:val="00AB66AF"/>
    <w:rsid w:val="00AB6934"/>
    <w:rsid w:val="00AB7964"/>
    <w:rsid w:val="00AC025D"/>
    <w:rsid w:val="00AC0649"/>
    <w:rsid w:val="00AC0CB7"/>
    <w:rsid w:val="00AC0F7D"/>
    <w:rsid w:val="00AC11B0"/>
    <w:rsid w:val="00AC2A7C"/>
    <w:rsid w:val="00AC2BCB"/>
    <w:rsid w:val="00AC3731"/>
    <w:rsid w:val="00AC396E"/>
    <w:rsid w:val="00AC3DB3"/>
    <w:rsid w:val="00AC3F4C"/>
    <w:rsid w:val="00AC3F70"/>
    <w:rsid w:val="00AC4211"/>
    <w:rsid w:val="00AC447A"/>
    <w:rsid w:val="00AC4B64"/>
    <w:rsid w:val="00AC4E4D"/>
    <w:rsid w:val="00AC6544"/>
    <w:rsid w:val="00AC65B5"/>
    <w:rsid w:val="00AC68FB"/>
    <w:rsid w:val="00AC7619"/>
    <w:rsid w:val="00AD0221"/>
    <w:rsid w:val="00AD110D"/>
    <w:rsid w:val="00AD151E"/>
    <w:rsid w:val="00AD180F"/>
    <w:rsid w:val="00AD1C15"/>
    <w:rsid w:val="00AD1F3E"/>
    <w:rsid w:val="00AD1F41"/>
    <w:rsid w:val="00AD214D"/>
    <w:rsid w:val="00AD217B"/>
    <w:rsid w:val="00AD21BB"/>
    <w:rsid w:val="00AD240D"/>
    <w:rsid w:val="00AD2616"/>
    <w:rsid w:val="00AD2743"/>
    <w:rsid w:val="00AD2D21"/>
    <w:rsid w:val="00AD3728"/>
    <w:rsid w:val="00AD3C68"/>
    <w:rsid w:val="00AD3D79"/>
    <w:rsid w:val="00AD3F94"/>
    <w:rsid w:val="00AD48C8"/>
    <w:rsid w:val="00AD50B4"/>
    <w:rsid w:val="00AD53FF"/>
    <w:rsid w:val="00AD55D9"/>
    <w:rsid w:val="00AD5650"/>
    <w:rsid w:val="00AD59A2"/>
    <w:rsid w:val="00AD6339"/>
    <w:rsid w:val="00AD6772"/>
    <w:rsid w:val="00AD7380"/>
    <w:rsid w:val="00AD76B8"/>
    <w:rsid w:val="00AE02B1"/>
    <w:rsid w:val="00AE09E5"/>
    <w:rsid w:val="00AE0D74"/>
    <w:rsid w:val="00AE152B"/>
    <w:rsid w:val="00AE161C"/>
    <w:rsid w:val="00AE1BB9"/>
    <w:rsid w:val="00AE1FDA"/>
    <w:rsid w:val="00AE229C"/>
    <w:rsid w:val="00AE22EB"/>
    <w:rsid w:val="00AE2363"/>
    <w:rsid w:val="00AE2464"/>
    <w:rsid w:val="00AE25F9"/>
    <w:rsid w:val="00AE3051"/>
    <w:rsid w:val="00AE33FF"/>
    <w:rsid w:val="00AE3817"/>
    <w:rsid w:val="00AE3FA3"/>
    <w:rsid w:val="00AE4428"/>
    <w:rsid w:val="00AE4A32"/>
    <w:rsid w:val="00AE5D1E"/>
    <w:rsid w:val="00AE613F"/>
    <w:rsid w:val="00AE66B0"/>
    <w:rsid w:val="00AE6AEA"/>
    <w:rsid w:val="00AE75CC"/>
    <w:rsid w:val="00AE7650"/>
    <w:rsid w:val="00AF038F"/>
    <w:rsid w:val="00AF0671"/>
    <w:rsid w:val="00AF18ED"/>
    <w:rsid w:val="00AF1A28"/>
    <w:rsid w:val="00AF26B8"/>
    <w:rsid w:val="00AF27D4"/>
    <w:rsid w:val="00AF2B1B"/>
    <w:rsid w:val="00AF3740"/>
    <w:rsid w:val="00AF40D5"/>
    <w:rsid w:val="00AF41D1"/>
    <w:rsid w:val="00AF4870"/>
    <w:rsid w:val="00AF4902"/>
    <w:rsid w:val="00AF4969"/>
    <w:rsid w:val="00AF4D41"/>
    <w:rsid w:val="00AF569F"/>
    <w:rsid w:val="00AF5893"/>
    <w:rsid w:val="00AF5A26"/>
    <w:rsid w:val="00AF69FE"/>
    <w:rsid w:val="00AF7123"/>
    <w:rsid w:val="00AF7D79"/>
    <w:rsid w:val="00B00099"/>
    <w:rsid w:val="00B0017D"/>
    <w:rsid w:val="00B004D1"/>
    <w:rsid w:val="00B00E52"/>
    <w:rsid w:val="00B015F6"/>
    <w:rsid w:val="00B02237"/>
    <w:rsid w:val="00B026C6"/>
    <w:rsid w:val="00B02E7C"/>
    <w:rsid w:val="00B03442"/>
    <w:rsid w:val="00B03516"/>
    <w:rsid w:val="00B038C6"/>
    <w:rsid w:val="00B039F3"/>
    <w:rsid w:val="00B03DA1"/>
    <w:rsid w:val="00B03DD6"/>
    <w:rsid w:val="00B03F76"/>
    <w:rsid w:val="00B0412F"/>
    <w:rsid w:val="00B04FFA"/>
    <w:rsid w:val="00B056D2"/>
    <w:rsid w:val="00B063E0"/>
    <w:rsid w:val="00B068FD"/>
    <w:rsid w:val="00B06E9B"/>
    <w:rsid w:val="00B07617"/>
    <w:rsid w:val="00B079DE"/>
    <w:rsid w:val="00B07BD5"/>
    <w:rsid w:val="00B07C3C"/>
    <w:rsid w:val="00B07EFB"/>
    <w:rsid w:val="00B10214"/>
    <w:rsid w:val="00B104B5"/>
    <w:rsid w:val="00B10905"/>
    <w:rsid w:val="00B10A7F"/>
    <w:rsid w:val="00B10CFC"/>
    <w:rsid w:val="00B10D57"/>
    <w:rsid w:val="00B10EA3"/>
    <w:rsid w:val="00B10F46"/>
    <w:rsid w:val="00B1286D"/>
    <w:rsid w:val="00B131B2"/>
    <w:rsid w:val="00B13E5D"/>
    <w:rsid w:val="00B143E2"/>
    <w:rsid w:val="00B1491E"/>
    <w:rsid w:val="00B14B78"/>
    <w:rsid w:val="00B14C81"/>
    <w:rsid w:val="00B16E46"/>
    <w:rsid w:val="00B16F66"/>
    <w:rsid w:val="00B176AF"/>
    <w:rsid w:val="00B2100D"/>
    <w:rsid w:val="00B2149C"/>
    <w:rsid w:val="00B226B8"/>
    <w:rsid w:val="00B22B89"/>
    <w:rsid w:val="00B22F6F"/>
    <w:rsid w:val="00B24359"/>
    <w:rsid w:val="00B2492D"/>
    <w:rsid w:val="00B25384"/>
    <w:rsid w:val="00B25839"/>
    <w:rsid w:val="00B26270"/>
    <w:rsid w:val="00B263DA"/>
    <w:rsid w:val="00B264E2"/>
    <w:rsid w:val="00B266F0"/>
    <w:rsid w:val="00B271C0"/>
    <w:rsid w:val="00B311F4"/>
    <w:rsid w:val="00B31404"/>
    <w:rsid w:val="00B3193B"/>
    <w:rsid w:val="00B31F59"/>
    <w:rsid w:val="00B32679"/>
    <w:rsid w:val="00B32BC9"/>
    <w:rsid w:val="00B331A0"/>
    <w:rsid w:val="00B3332D"/>
    <w:rsid w:val="00B333C4"/>
    <w:rsid w:val="00B337ED"/>
    <w:rsid w:val="00B33F0D"/>
    <w:rsid w:val="00B34634"/>
    <w:rsid w:val="00B34A80"/>
    <w:rsid w:val="00B3511C"/>
    <w:rsid w:val="00B3559B"/>
    <w:rsid w:val="00B35A9F"/>
    <w:rsid w:val="00B35B29"/>
    <w:rsid w:val="00B35EB2"/>
    <w:rsid w:val="00B367D1"/>
    <w:rsid w:val="00B369F1"/>
    <w:rsid w:val="00B3736E"/>
    <w:rsid w:val="00B404E8"/>
    <w:rsid w:val="00B40BCE"/>
    <w:rsid w:val="00B418B7"/>
    <w:rsid w:val="00B41A44"/>
    <w:rsid w:val="00B41EBA"/>
    <w:rsid w:val="00B42190"/>
    <w:rsid w:val="00B42595"/>
    <w:rsid w:val="00B425A5"/>
    <w:rsid w:val="00B42616"/>
    <w:rsid w:val="00B431FE"/>
    <w:rsid w:val="00B4377B"/>
    <w:rsid w:val="00B43DC3"/>
    <w:rsid w:val="00B4443E"/>
    <w:rsid w:val="00B44783"/>
    <w:rsid w:val="00B44BB0"/>
    <w:rsid w:val="00B44BEA"/>
    <w:rsid w:val="00B44D91"/>
    <w:rsid w:val="00B456F4"/>
    <w:rsid w:val="00B4593A"/>
    <w:rsid w:val="00B45C5C"/>
    <w:rsid w:val="00B45DCC"/>
    <w:rsid w:val="00B45F6A"/>
    <w:rsid w:val="00B4622E"/>
    <w:rsid w:val="00B506F8"/>
    <w:rsid w:val="00B5103F"/>
    <w:rsid w:val="00B52049"/>
    <w:rsid w:val="00B52999"/>
    <w:rsid w:val="00B5392B"/>
    <w:rsid w:val="00B548B8"/>
    <w:rsid w:val="00B54EAF"/>
    <w:rsid w:val="00B5525B"/>
    <w:rsid w:val="00B55393"/>
    <w:rsid w:val="00B55A42"/>
    <w:rsid w:val="00B569E4"/>
    <w:rsid w:val="00B56A8B"/>
    <w:rsid w:val="00B572B4"/>
    <w:rsid w:val="00B57D72"/>
    <w:rsid w:val="00B57F9B"/>
    <w:rsid w:val="00B60065"/>
    <w:rsid w:val="00B60491"/>
    <w:rsid w:val="00B60ACE"/>
    <w:rsid w:val="00B612A4"/>
    <w:rsid w:val="00B618AB"/>
    <w:rsid w:val="00B62A5E"/>
    <w:rsid w:val="00B63DA4"/>
    <w:rsid w:val="00B63F10"/>
    <w:rsid w:val="00B643A1"/>
    <w:rsid w:val="00B644AF"/>
    <w:rsid w:val="00B64936"/>
    <w:rsid w:val="00B65446"/>
    <w:rsid w:val="00B6591D"/>
    <w:rsid w:val="00B6682A"/>
    <w:rsid w:val="00B66B39"/>
    <w:rsid w:val="00B66B89"/>
    <w:rsid w:val="00B67AC0"/>
    <w:rsid w:val="00B70948"/>
    <w:rsid w:val="00B70FE3"/>
    <w:rsid w:val="00B711CB"/>
    <w:rsid w:val="00B722DD"/>
    <w:rsid w:val="00B725C0"/>
    <w:rsid w:val="00B72A63"/>
    <w:rsid w:val="00B72AEC"/>
    <w:rsid w:val="00B72C1C"/>
    <w:rsid w:val="00B72D5C"/>
    <w:rsid w:val="00B72D8B"/>
    <w:rsid w:val="00B73443"/>
    <w:rsid w:val="00B7432F"/>
    <w:rsid w:val="00B746E0"/>
    <w:rsid w:val="00B7480A"/>
    <w:rsid w:val="00B7595A"/>
    <w:rsid w:val="00B75EB2"/>
    <w:rsid w:val="00B76463"/>
    <w:rsid w:val="00B76C94"/>
    <w:rsid w:val="00B76E13"/>
    <w:rsid w:val="00B76E47"/>
    <w:rsid w:val="00B7742D"/>
    <w:rsid w:val="00B77AF2"/>
    <w:rsid w:val="00B80D45"/>
    <w:rsid w:val="00B812A8"/>
    <w:rsid w:val="00B82697"/>
    <w:rsid w:val="00B828DF"/>
    <w:rsid w:val="00B82B30"/>
    <w:rsid w:val="00B83360"/>
    <w:rsid w:val="00B837B3"/>
    <w:rsid w:val="00B83A6E"/>
    <w:rsid w:val="00B84B02"/>
    <w:rsid w:val="00B84BC6"/>
    <w:rsid w:val="00B84E86"/>
    <w:rsid w:val="00B8554B"/>
    <w:rsid w:val="00B85F45"/>
    <w:rsid w:val="00B85F66"/>
    <w:rsid w:val="00B8605D"/>
    <w:rsid w:val="00B8748E"/>
    <w:rsid w:val="00B878BA"/>
    <w:rsid w:val="00B87B80"/>
    <w:rsid w:val="00B87CD5"/>
    <w:rsid w:val="00B90E28"/>
    <w:rsid w:val="00B91A13"/>
    <w:rsid w:val="00B920A7"/>
    <w:rsid w:val="00B923C0"/>
    <w:rsid w:val="00B92685"/>
    <w:rsid w:val="00B92FDC"/>
    <w:rsid w:val="00B93C07"/>
    <w:rsid w:val="00B9411F"/>
    <w:rsid w:val="00B94CA6"/>
    <w:rsid w:val="00B94E61"/>
    <w:rsid w:val="00B9508B"/>
    <w:rsid w:val="00B95B36"/>
    <w:rsid w:val="00B95C6D"/>
    <w:rsid w:val="00B95E75"/>
    <w:rsid w:val="00B96063"/>
    <w:rsid w:val="00B9628B"/>
    <w:rsid w:val="00B96480"/>
    <w:rsid w:val="00B96667"/>
    <w:rsid w:val="00B969BD"/>
    <w:rsid w:val="00B96A80"/>
    <w:rsid w:val="00B96BC2"/>
    <w:rsid w:val="00B96D59"/>
    <w:rsid w:val="00B97411"/>
    <w:rsid w:val="00BA0979"/>
    <w:rsid w:val="00BA0B2E"/>
    <w:rsid w:val="00BA0CA0"/>
    <w:rsid w:val="00BA1386"/>
    <w:rsid w:val="00BA22F2"/>
    <w:rsid w:val="00BA3BF0"/>
    <w:rsid w:val="00BA427C"/>
    <w:rsid w:val="00BA4BBD"/>
    <w:rsid w:val="00BA4BD4"/>
    <w:rsid w:val="00BA50D1"/>
    <w:rsid w:val="00BA5224"/>
    <w:rsid w:val="00BA607D"/>
    <w:rsid w:val="00BA6103"/>
    <w:rsid w:val="00BA7358"/>
    <w:rsid w:val="00BB083C"/>
    <w:rsid w:val="00BB0D2C"/>
    <w:rsid w:val="00BB1284"/>
    <w:rsid w:val="00BB134C"/>
    <w:rsid w:val="00BB1953"/>
    <w:rsid w:val="00BB20DE"/>
    <w:rsid w:val="00BB3113"/>
    <w:rsid w:val="00BB3B3F"/>
    <w:rsid w:val="00BB47D2"/>
    <w:rsid w:val="00BB5125"/>
    <w:rsid w:val="00BB5276"/>
    <w:rsid w:val="00BB5C75"/>
    <w:rsid w:val="00BB5D68"/>
    <w:rsid w:val="00BB5FBD"/>
    <w:rsid w:val="00BB60E3"/>
    <w:rsid w:val="00BB680D"/>
    <w:rsid w:val="00BB7E9F"/>
    <w:rsid w:val="00BC0078"/>
    <w:rsid w:val="00BC120B"/>
    <w:rsid w:val="00BC1502"/>
    <w:rsid w:val="00BC193E"/>
    <w:rsid w:val="00BC1987"/>
    <w:rsid w:val="00BC1BB4"/>
    <w:rsid w:val="00BC271D"/>
    <w:rsid w:val="00BC3236"/>
    <w:rsid w:val="00BC35E5"/>
    <w:rsid w:val="00BC4BBC"/>
    <w:rsid w:val="00BC4C75"/>
    <w:rsid w:val="00BC56BD"/>
    <w:rsid w:val="00BC5C0E"/>
    <w:rsid w:val="00BC64AE"/>
    <w:rsid w:val="00BC6853"/>
    <w:rsid w:val="00BC6C9D"/>
    <w:rsid w:val="00BC7613"/>
    <w:rsid w:val="00BC7682"/>
    <w:rsid w:val="00BC7947"/>
    <w:rsid w:val="00BD0635"/>
    <w:rsid w:val="00BD17DA"/>
    <w:rsid w:val="00BD2A3C"/>
    <w:rsid w:val="00BD2CAD"/>
    <w:rsid w:val="00BD35FC"/>
    <w:rsid w:val="00BD3A54"/>
    <w:rsid w:val="00BD3E22"/>
    <w:rsid w:val="00BD3F16"/>
    <w:rsid w:val="00BD4247"/>
    <w:rsid w:val="00BD4DA8"/>
    <w:rsid w:val="00BD4F69"/>
    <w:rsid w:val="00BD52D6"/>
    <w:rsid w:val="00BD53D7"/>
    <w:rsid w:val="00BD5917"/>
    <w:rsid w:val="00BD59DF"/>
    <w:rsid w:val="00BD617C"/>
    <w:rsid w:val="00BD6252"/>
    <w:rsid w:val="00BD65D3"/>
    <w:rsid w:val="00BD6FC2"/>
    <w:rsid w:val="00BD7C1E"/>
    <w:rsid w:val="00BE028B"/>
    <w:rsid w:val="00BE0E31"/>
    <w:rsid w:val="00BE13D7"/>
    <w:rsid w:val="00BE184D"/>
    <w:rsid w:val="00BE1AF5"/>
    <w:rsid w:val="00BE1DB8"/>
    <w:rsid w:val="00BE280A"/>
    <w:rsid w:val="00BE2C47"/>
    <w:rsid w:val="00BE2EA1"/>
    <w:rsid w:val="00BE3D4B"/>
    <w:rsid w:val="00BE40D8"/>
    <w:rsid w:val="00BE55B8"/>
    <w:rsid w:val="00BE5B10"/>
    <w:rsid w:val="00BE6FA2"/>
    <w:rsid w:val="00BE7726"/>
    <w:rsid w:val="00BE77E4"/>
    <w:rsid w:val="00BE78DC"/>
    <w:rsid w:val="00BE7B49"/>
    <w:rsid w:val="00BF00C5"/>
    <w:rsid w:val="00BF0135"/>
    <w:rsid w:val="00BF0642"/>
    <w:rsid w:val="00BF11A6"/>
    <w:rsid w:val="00BF1750"/>
    <w:rsid w:val="00BF17A3"/>
    <w:rsid w:val="00BF2EBA"/>
    <w:rsid w:val="00BF392A"/>
    <w:rsid w:val="00BF458F"/>
    <w:rsid w:val="00BF484E"/>
    <w:rsid w:val="00BF5790"/>
    <w:rsid w:val="00BF5F54"/>
    <w:rsid w:val="00BF6857"/>
    <w:rsid w:val="00BF6B41"/>
    <w:rsid w:val="00BF74B9"/>
    <w:rsid w:val="00BF7586"/>
    <w:rsid w:val="00BF7BB1"/>
    <w:rsid w:val="00BF7BE6"/>
    <w:rsid w:val="00C0018C"/>
    <w:rsid w:val="00C00695"/>
    <w:rsid w:val="00C00AAE"/>
    <w:rsid w:val="00C0104A"/>
    <w:rsid w:val="00C01203"/>
    <w:rsid w:val="00C01361"/>
    <w:rsid w:val="00C01377"/>
    <w:rsid w:val="00C015F7"/>
    <w:rsid w:val="00C01E28"/>
    <w:rsid w:val="00C01EE5"/>
    <w:rsid w:val="00C022EF"/>
    <w:rsid w:val="00C02BC8"/>
    <w:rsid w:val="00C03302"/>
    <w:rsid w:val="00C042A2"/>
    <w:rsid w:val="00C04649"/>
    <w:rsid w:val="00C04986"/>
    <w:rsid w:val="00C04B38"/>
    <w:rsid w:val="00C04DD2"/>
    <w:rsid w:val="00C04EBD"/>
    <w:rsid w:val="00C05465"/>
    <w:rsid w:val="00C0571A"/>
    <w:rsid w:val="00C06D7B"/>
    <w:rsid w:val="00C06DF0"/>
    <w:rsid w:val="00C071A7"/>
    <w:rsid w:val="00C075E0"/>
    <w:rsid w:val="00C07820"/>
    <w:rsid w:val="00C07F03"/>
    <w:rsid w:val="00C1084D"/>
    <w:rsid w:val="00C11A67"/>
    <w:rsid w:val="00C1247E"/>
    <w:rsid w:val="00C12889"/>
    <w:rsid w:val="00C12AF0"/>
    <w:rsid w:val="00C13342"/>
    <w:rsid w:val="00C146D9"/>
    <w:rsid w:val="00C14EE6"/>
    <w:rsid w:val="00C15606"/>
    <w:rsid w:val="00C15A89"/>
    <w:rsid w:val="00C15B93"/>
    <w:rsid w:val="00C165BF"/>
    <w:rsid w:val="00C16635"/>
    <w:rsid w:val="00C16EC3"/>
    <w:rsid w:val="00C17EED"/>
    <w:rsid w:val="00C2003E"/>
    <w:rsid w:val="00C203E6"/>
    <w:rsid w:val="00C20785"/>
    <w:rsid w:val="00C209A5"/>
    <w:rsid w:val="00C213AE"/>
    <w:rsid w:val="00C22553"/>
    <w:rsid w:val="00C22BB7"/>
    <w:rsid w:val="00C22E9B"/>
    <w:rsid w:val="00C22EDA"/>
    <w:rsid w:val="00C232E2"/>
    <w:rsid w:val="00C23B76"/>
    <w:rsid w:val="00C23FF0"/>
    <w:rsid w:val="00C24C43"/>
    <w:rsid w:val="00C24F50"/>
    <w:rsid w:val="00C25436"/>
    <w:rsid w:val="00C25E8C"/>
    <w:rsid w:val="00C2614A"/>
    <w:rsid w:val="00C265B0"/>
    <w:rsid w:val="00C26FAA"/>
    <w:rsid w:val="00C301A5"/>
    <w:rsid w:val="00C30500"/>
    <w:rsid w:val="00C3073B"/>
    <w:rsid w:val="00C309EB"/>
    <w:rsid w:val="00C30C46"/>
    <w:rsid w:val="00C31495"/>
    <w:rsid w:val="00C31BDC"/>
    <w:rsid w:val="00C31FD0"/>
    <w:rsid w:val="00C320CF"/>
    <w:rsid w:val="00C32D9B"/>
    <w:rsid w:val="00C32DA9"/>
    <w:rsid w:val="00C331EE"/>
    <w:rsid w:val="00C333C7"/>
    <w:rsid w:val="00C3377F"/>
    <w:rsid w:val="00C33D7C"/>
    <w:rsid w:val="00C34102"/>
    <w:rsid w:val="00C341FE"/>
    <w:rsid w:val="00C34295"/>
    <w:rsid w:val="00C34877"/>
    <w:rsid w:val="00C358E7"/>
    <w:rsid w:val="00C35BE0"/>
    <w:rsid w:val="00C35DE9"/>
    <w:rsid w:val="00C35E9E"/>
    <w:rsid w:val="00C3603B"/>
    <w:rsid w:val="00C364CB"/>
    <w:rsid w:val="00C369EE"/>
    <w:rsid w:val="00C36C12"/>
    <w:rsid w:val="00C36E29"/>
    <w:rsid w:val="00C373F2"/>
    <w:rsid w:val="00C37628"/>
    <w:rsid w:val="00C37778"/>
    <w:rsid w:val="00C37DCD"/>
    <w:rsid w:val="00C402A0"/>
    <w:rsid w:val="00C405DF"/>
    <w:rsid w:val="00C40BBB"/>
    <w:rsid w:val="00C410F0"/>
    <w:rsid w:val="00C41485"/>
    <w:rsid w:val="00C41609"/>
    <w:rsid w:val="00C41D5C"/>
    <w:rsid w:val="00C41FB7"/>
    <w:rsid w:val="00C4255A"/>
    <w:rsid w:val="00C42B45"/>
    <w:rsid w:val="00C42DC1"/>
    <w:rsid w:val="00C42F48"/>
    <w:rsid w:val="00C42FD8"/>
    <w:rsid w:val="00C43299"/>
    <w:rsid w:val="00C43CDD"/>
    <w:rsid w:val="00C44229"/>
    <w:rsid w:val="00C44ED7"/>
    <w:rsid w:val="00C4524C"/>
    <w:rsid w:val="00C4563B"/>
    <w:rsid w:val="00C46001"/>
    <w:rsid w:val="00C46E08"/>
    <w:rsid w:val="00C477D3"/>
    <w:rsid w:val="00C4780D"/>
    <w:rsid w:val="00C479E5"/>
    <w:rsid w:val="00C47B49"/>
    <w:rsid w:val="00C47DA9"/>
    <w:rsid w:val="00C50738"/>
    <w:rsid w:val="00C50BF9"/>
    <w:rsid w:val="00C50FC2"/>
    <w:rsid w:val="00C5120A"/>
    <w:rsid w:val="00C51291"/>
    <w:rsid w:val="00C5225B"/>
    <w:rsid w:val="00C52780"/>
    <w:rsid w:val="00C53C8F"/>
    <w:rsid w:val="00C54CB2"/>
    <w:rsid w:val="00C55390"/>
    <w:rsid w:val="00C55585"/>
    <w:rsid w:val="00C55829"/>
    <w:rsid w:val="00C55C9A"/>
    <w:rsid w:val="00C56247"/>
    <w:rsid w:val="00C5627C"/>
    <w:rsid w:val="00C56302"/>
    <w:rsid w:val="00C56A86"/>
    <w:rsid w:val="00C571E0"/>
    <w:rsid w:val="00C5779D"/>
    <w:rsid w:val="00C578A5"/>
    <w:rsid w:val="00C6077C"/>
    <w:rsid w:val="00C6203C"/>
    <w:rsid w:val="00C621DB"/>
    <w:rsid w:val="00C62506"/>
    <w:rsid w:val="00C625F2"/>
    <w:rsid w:val="00C62828"/>
    <w:rsid w:val="00C62F6B"/>
    <w:rsid w:val="00C62FD5"/>
    <w:rsid w:val="00C63B7C"/>
    <w:rsid w:val="00C64260"/>
    <w:rsid w:val="00C64681"/>
    <w:rsid w:val="00C6470E"/>
    <w:rsid w:val="00C64941"/>
    <w:rsid w:val="00C653B9"/>
    <w:rsid w:val="00C65474"/>
    <w:rsid w:val="00C65B1F"/>
    <w:rsid w:val="00C6683F"/>
    <w:rsid w:val="00C67BBA"/>
    <w:rsid w:val="00C67C7B"/>
    <w:rsid w:val="00C70148"/>
    <w:rsid w:val="00C703C3"/>
    <w:rsid w:val="00C70466"/>
    <w:rsid w:val="00C7051E"/>
    <w:rsid w:val="00C7059F"/>
    <w:rsid w:val="00C70FBD"/>
    <w:rsid w:val="00C71082"/>
    <w:rsid w:val="00C71465"/>
    <w:rsid w:val="00C71FA9"/>
    <w:rsid w:val="00C72180"/>
    <w:rsid w:val="00C721CF"/>
    <w:rsid w:val="00C7292C"/>
    <w:rsid w:val="00C72B63"/>
    <w:rsid w:val="00C72CEC"/>
    <w:rsid w:val="00C735B7"/>
    <w:rsid w:val="00C73E5D"/>
    <w:rsid w:val="00C742E9"/>
    <w:rsid w:val="00C74338"/>
    <w:rsid w:val="00C75058"/>
    <w:rsid w:val="00C75410"/>
    <w:rsid w:val="00C75A12"/>
    <w:rsid w:val="00C75A7C"/>
    <w:rsid w:val="00C76329"/>
    <w:rsid w:val="00C76506"/>
    <w:rsid w:val="00C7661B"/>
    <w:rsid w:val="00C76777"/>
    <w:rsid w:val="00C76901"/>
    <w:rsid w:val="00C76969"/>
    <w:rsid w:val="00C7744E"/>
    <w:rsid w:val="00C777E0"/>
    <w:rsid w:val="00C77C30"/>
    <w:rsid w:val="00C80478"/>
    <w:rsid w:val="00C80675"/>
    <w:rsid w:val="00C80696"/>
    <w:rsid w:val="00C8090D"/>
    <w:rsid w:val="00C80C78"/>
    <w:rsid w:val="00C819A7"/>
    <w:rsid w:val="00C81DF9"/>
    <w:rsid w:val="00C823F6"/>
    <w:rsid w:val="00C82A6B"/>
    <w:rsid w:val="00C83365"/>
    <w:rsid w:val="00C83837"/>
    <w:rsid w:val="00C83BC6"/>
    <w:rsid w:val="00C84154"/>
    <w:rsid w:val="00C84837"/>
    <w:rsid w:val="00C8599B"/>
    <w:rsid w:val="00C86117"/>
    <w:rsid w:val="00C86182"/>
    <w:rsid w:val="00C875F1"/>
    <w:rsid w:val="00C878DB"/>
    <w:rsid w:val="00C87E3A"/>
    <w:rsid w:val="00C87EA0"/>
    <w:rsid w:val="00C90075"/>
    <w:rsid w:val="00C908D5"/>
    <w:rsid w:val="00C9147A"/>
    <w:rsid w:val="00C91999"/>
    <w:rsid w:val="00C9249E"/>
    <w:rsid w:val="00C92CD9"/>
    <w:rsid w:val="00C92D6F"/>
    <w:rsid w:val="00C92E0C"/>
    <w:rsid w:val="00C93017"/>
    <w:rsid w:val="00C93327"/>
    <w:rsid w:val="00C93562"/>
    <w:rsid w:val="00C936DE"/>
    <w:rsid w:val="00C9383B"/>
    <w:rsid w:val="00C939B8"/>
    <w:rsid w:val="00C94F4B"/>
    <w:rsid w:val="00C95610"/>
    <w:rsid w:val="00C95E61"/>
    <w:rsid w:val="00C96CC3"/>
    <w:rsid w:val="00CA012B"/>
    <w:rsid w:val="00CA03A7"/>
    <w:rsid w:val="00CA0456"/>
    <w:rsid w:val="00CA0489"/>
    <w:rsid w:val="00CA0943"/>
    <w:rsid w:val="00CA11F1"/>
    <w:rsid w:val="00CA124E"/>
    <w:rsid w:val="00CA12CC"/>
    <w:rsid w:val="00CA12DE"/>
    <w:rsid w:val="00CA1DE3"/>
    <w:rsid w:val="00CA23B7"/>
    <w:rsid w:val="00CA2671"/>
    <w:rsid w:val="00CA2987"/>
    <w:rsid w:val="00CA2A7D"/>
    <w:rsid w:val="00CA2F50"/>
    <w:rsid w:val="00CA303A"/>
    <w:rsid w:val="00CA328B"/>
    <w:rsid w:val="00CA3318"/>
    <w:rsid w:val="00CA3A2F"/>
    <w:rsid w:val="00CA3EC4"/>
    <w:rsid w:val="00CA4351"/>
    <w:rsid w:val="00CA4854"/>
    <w:rsid w:val="00CA48A8"/>
    <w:rsid w:val="00CA5155"/>
    <w:rsid w:val="00CA55D0"/>
    <w:rsid w:val="00CA5E61"/>
    <w:rsid w:val="00CA6242"/>
    <w:rsid w:val="00CA663D"/>
    <w:rsid w:val="00CA716C"/>
    <w:rsid w:val="00CA7A56"/>
    <w:rsid w:val="00CB0686"/>
    <w:rsid w:val="00CB069C"/>
    <w:rsid w:val="00CB1133"/>
    <w:rsid w:val="00CB116B"/>
    <w:rsid w:val="00CB1B2F"/>
    <w:rsid w:val="00CB1BBC"/>
    <w:rsid w:val="00CB2209"/>
    <w:rsid w:val="00CB2396"/>
    <w:rsid w:val="00CB34A2"/>
    <w:rsid w:val="00CB3C0B"/>
    <w:rsid w:val="00CB3DF5"/>
    <w:rsid w:val="00CB3E6F"/>
    <w:rsid w:val="00CB4F84"/>
    <w:rsid w:val="00CB5CC1"/>
    <w:rsid w:val="00CB5EBD"/>
    <w:rsid w:val="00CB64F9"/>
    <w:rsid w:val="00CB6858"/>
    <w:rsid w:val="00CB6876"/>
    <w:rsid w:val="00CB6C61"/>
    <w:rsid w:val="00CB6E08"/>
    <w:rsid w:val="00CB6F96"/>
    <w:rsid w:val="00CB71D6"/>
    <w:rsid w:val="00CB74A4"/>
    <w:rsid w:val="00CC1461"/>
    <w:rsid w:val="00CC1A01"/>
    <w:rsid w:val="00CC1BDE"/>
    <w:rsid w:val="00CC2164"/>
    <w:rsid w:val="00CC2353"/>
    <w:rsid w:val="00CC2519"/>
    <w:rsid w:val="00CC41CE"/>
    <w:rsid w:val="00CC43BA"/>
    <w:rsid w:val="00CC52A3"/>
    <w:rsid w:val="00CC5302"/>
    <w:rsid w:val="00CC5477"/>
    <w:rsid w:val="00CC54BD"/>
    <w:rsid w:val="00CC57FF"/>
    <w:rsid w:val="00CC582B"/>
    <w:rsid w:val="00CC5ED8"/>
    <w:rsid w:val="00CC5F6F"/>
    <w:rsid w:val="00CC6491"/>
    <w:rsid w:val="00CC6608"/>
    <w:rsid w:val="00CC76A3"/>
    <w:rsid w:val="00CC7CD2"/>
    <w:rsid w:val="00CC7DE7"/>
    <w:rsid w:val="00CD08C9"/>
    <w:rsid w:val="00CD1314"/>
    <w:rsid w:val="00CD1CC2"/>
    <w:rsid w:val="00CD218F"/>
    <w:rsid w:val="00CD3695"/>
    <w:rsid w:val="00CD3998"/>
    <w:rsid w:val="00CD3D4C"/>
    <w:rsid w:val="00CD4619"/>
    <w:rsid w:val="00CD47B2"/>
    <w:rsid w:val="00CD4A4B"/>
    <w:rsid w:val="00CD5612"/>
    <w:rsid w:val="00CD57FF"/>
    <w:rsid w:val="00CD596D"/>
    <w:rsid w:val="00CD6479"/>
    <w:rsid w:val="00CD65F6"/>
    <w:rsid w:val="00CD69BA"/>
    <w:rsid w:val="00CD701A"/>
    <w:rsid w:val="00CD7740"/>
    <w:rsid w:val="00CD7A77"/>
    <w:rsid w:val="00CE010B"/>
    <w:rsid w:val="00CE04C5"/>
    <w:rsid w:val="00CE0EEC"/>
    <w:rsid w:val="00CE15D1"/>
    <w:rsid w:val="00CE16DD"/>
    <w:rsid w:val="00CE1A3E"/>
    <w:rsid w:val="00CE3004"/>
    <w:rsid w:val="00CE326C"/>
    <w:rsid w:val="00CE36D4"/>
    <w:rsid w:val="00CE48CE"/>
    <w:rsid w:val="00CE4D25"/>
    <w:rsid w:val="00CE4FCD"/>
    <w:rsid w:val="00CE63B0"/>
    <w:rsid w:val="00CE7269"/>
    <w:rsid w:val="00CE7415"/>
    <w:rsid w:val="00CE7FC4"/>
    <w:rsid w:val="00CF00EC"/>
    <w:rsid w:val="00CF0CF6"/>
    <w:rsid w:val="00CF0D72"/>
    <w:rsid w:val="00CF1880"/>
    <w:rsid w:val="00CF1A56"/>
    <w:rsid w:val="00CF2BF4"/>
    <w:rsid w:val="00CF31FA"/>
    <w:rsid w:val="00CF3425"/>
    <w:rsid w:val="00CF3711"/>
    <w:rsid w:val="00CF3F20"/>
    <w:rsid w:val="00CF4780"/>
    <w:rsid w:val="00CF4D1E"/>
    <w:rsid w:val="00CF5143"/>
    <w:rsid w:val="00CF559B"/>
    <w:rsid w:val="00CF55BD"/>
    <w:rsid w:val="00CF5BAB"/>
    <w:rsid w:val="00CF5D7A"/>
    <w:rsid w:val="00CF6BC4"/>
    <w:rsid w:val="00CF73CB"/>
    <w:rsid w:val="00CF7C2F"/>
    <w:rsid w:val="00CF7C48"/>
    <w:rsid w:val="00D00292"/>
    <w:rsid w:val="00D005D2"/>
    <w:rsid w:val="00D007B4"/>
    <w:rsid w:val="00D01077"/>
    <w:rsid w:val="00D011F5"/>
    <w:rsid w:val="00D01638"/>
    <w:rsid w:val="00D01BC8"/>
    <w:rsid w:val="00D01E69"/>
    <w:rsid w:val="00D02259"/>
    <w:rsid w:val="00D027BD"/>
    <w:rsid w:val="00D028AA"/>
    <w:rsid w:val="00D035F2"/>
    <w:rsid w:val="00D03671"/>
    <w:rsid w:val="00D036BA"/>
    <w:rsid w:val="00D0374D"/>
    <w:rsid w:val="00D04599"/>
    <w:rsid w:val="00D04E4F"/>
    <w:rsid w:val="00D060DD"/>
    <w:rsid w:val="00D06F3D"/>
    <w:rsid w:val="00D07041"/>
    <w:rsid w:val="00D071B2"/>
    <w:rsid w:val="00D07598"/>
    <w:rsid w:val="00D077E9"/>
    <w:rsid w:val="00D078E3"/>
    <w:rsid w:val="00D10F92"/>
    <w:rsid w:val="00D112BC"/>
    <w:rsid w:val="00D12447"/>
    <w:rsid w:val="00D12EF8"/>
    <w:rsid w:val="00D134B2"/>
    <w:rsid w:val="00D13882"/>
    <w:rsid w:val="00D14FEB"/>
    <w:rsid w:val="00D15814"/>
    <w:rsid w:val="00D16294"/>
    <w:rsid w:val="00D169A5"/>
    <w:rsid w:val="00D16BDE"/>
    <w:rsid w:val="00D16C06"/>
    <w:rsid w:val="00D16CC7"/>
    <w:rsid w:val="00D1768D"/>
    <w:rsid w:val="00D17766"/>
    <w:rsid w:val="00D17847"/>
    <w:rsid w:val="00D17890"/>
    <w:rsid w:val="00D179EF"/>
    <w:rsid w:val="00D2064C"/>
    <w:rsid w:val="00D21132"/>
    <w:rsid w:val="00D213AF"/>
    <w:rsid w:val="00D21BC6"/>
    <w:rsid w:val="00D21ECB"/>
    <w:rsid w:val="00D2269C"/>
    <w:rsid w:val="00D2309D"/>
    <w:rsid w:val="00D23E53"/>
    <w:rsid w:val="00D2512B"/>
    <w:rsid w:val="00D26410"/>
    <w:rsid w:val="00D26742"/>
    <w:rsid w:val="00D27DC1"/>
    <w:rsid w:val="00D27FF5"/>
    <w:rsid w:val="00D3017F"/>
    <w:rsid w:val="00D30D6E"/>
    <w:rsid w:val="00D310B3"/>
    <w:rsid w:val="00D3119F"/>
    <w:rsid w:val="00D3192D"/>
    <w:rsid w:val="00D32DD0"/>
    <w:rsid w:val="00D32DE9"/>
    <w:rsid w:val="00D32F2B"/>
    <w:rsid w:val="00D32FED"/>
    <w:rsid w:val="00D338E6"/>
    <w:rsid w:val="00D33C20"/>
    <w:rsid w:val="00D33D56"/>
    <w:rsid w:val="00D345C7"/>
    <w:rsid w:val="00D3469A"/>
    <w:rsid w:val="00D34BAC"/>
    <w:rsid w:val="00D3525A"/>
    <w:rsid w:val="00D35314"/>
    <w:rsid w:val="00D353CD"/>
    <w:rsid w:val="00D3555D"/>
    <w:rsid w:val="00D35997"/>
    <w:rsid w:val="00D36483"/>
    <w:rsid w:val="00D36DDA"/>
    <w:rsid w:val="00D36E7B"/>
    <w:rsid w:val="00D3785F"/>
    <w:rsid w:val="00D378A0"/>
    <w:rsid w:val="00D3791F"/>
    <w:rsid w:val="00D401BC"/>
    <w:rsid w:val="00D40303"/>
    <w:rsid w:val="00D404E7"/>
    <w:rsid w:val="00D40844"/>
    <w:rsid w:val="00D40860"/>
    <w:rsid w:val="00D40C97"/>
    <w:rsid w:val="00D41F14"/>
    <w:rsid w:val="00D42080"/>
    <w:rsid w:val="00D42BF2"/>
    <w:rsid w:val="00D430C0"/>
    <w:rsid w:val="00D44006"/>
    <w:rsid w:val="00D4416C"/>
    <w:rsid w:val="00D453C4"/>
    <w:rsid w:val="00D45809"/>
    <w:rsid w:val="00D46766"/>
    <w:rsid w:val="00D46B94"/>
    <w:rsid w:val="00D47315"/>
    <w:rsid w:val="00D47E6D"/>
    <w:rsid w:val="00D5000D"/>
    <w:rsid w:val="00D50040"/>
    <w:rsid w:val="00D50159"/>
    <w:rsid w:val="00D503AA"/>
    <w:rsid w:val="00D5141E"/>
    <w:rsid w:val="00D51595"/>
    <w:rsid w:val="00D5184F"/>
    <w:rsid w:val="00D5203F"/>
    <w:rsid w:val="00D52B8B"/>
    <w:rsid w:val="00D52D24"/>
    <w:rsid w:val="00D5329E"/>
    <w:rsid w:val="00D53393"/>
    <w:rsid w:val="00D53579"/>
    <w:rsid w:val="00D53828"/>
    <w:rsid w:val="00D54E25"/>
    <w:rsid w:val="00D554FA"/>
    <w:rsid w:val="00D556AC"/>
    <w:rsid w:val="00D55AC6"/>
    <w:rsid w:val="00D56CEF"/>
    <w:rsid w:val="00D600B6"/>
    <w:rsid w:val="00D601BF"/>
    <w:rsid w:val="00D61855"/>
    <w:rsid w:val="00D61AE5"/>
    <w:rsid w:val="00D6300F"/>
    <w:rsid w:val="00D63451"/>
    <w:rsid w:val="00D63692"/>
    <w:rsid w:val="00D637C1"/>
    <w:rsid w:val="00D63DED"/>
    <w:rsid w:val="00D63DF6"/>
    <w:rsid w:val="00D63FD0"/>
    <w:rsid w:val="00D64052"/>
    <w:rsid w:val="00D6424E"/>
    <w:rsid w:val="00D64401"/>
    <w:rsid w:val="00D64F54"/>
    <w:rsid w:val="00D65781"/>
    <w:rsid w:val="00D65936"/>
    <w:rsid w:val="00D65F98"/>
    <w:rsid w:val="00D6607A"/>
    <w:rsid w:val="00D6633F"/>
    <w:rsid w:val="00D669E0"/>
    <w:rsid w:val="00D66A0B"/>
    <w:rsid w:val="00D66A60"/>
    <w:rsid w:val="00D66DC1"/>
    <w:rsid w:val="00D66FD3"/>
    <w:rsid w:val="00D672D7"/>
    <w:rsid w:val="00D67552"/>
    <w:rsid w:val="00D675AD"/>
    <w:rsid w:val="00D675D2"/>
    <w:rsid w:val="00D67790"/>
    <w:rsid w:val="00D67A2B"/>
    <w:rsid w:val="00D70628"/>
    <w:rsid w:val="00D7153C"/>
    <w:rsid w:val="00D71834"/>
    <w:rsid w:val="00D71C50"/>
    <w:rsid w:val="00D72033"/>
    <w:rsid w:val="00D728DB"/>
    <w:rsid w:val="00D73D6D"/>
    <w:rsid w:val="00D73F6D"/>
    <w:rsid w:val="00D74080"/>
    <w:rsid w:val="00D747F2"/>
    <w:rsid w:val="00D748E6"/>
    <w:rsid w:val="00D75932"/>
    <w:rsid w:val="00D75C6A"/>
    <w:rsid w:val="00D766AA"/>
    <w:rsid w:val="00D766D3"/>
    <w:rsid w:val="00D767A4"/>
    <w:rsid w:val="00D768E4"/>
    <w:rsid w:val="00D76997"/>
    <w:rsid w:val="00D76B6B"/>
    <w:rsid w:val="00D76DE8"/>
    <w:rsid w:val="00D77015"/>
    <w:rsid w:val="00D775AD"/>
    <w:rsid w:val="00D812A8"/>
    <w:rsid w:val="00D812D1"/>
    <w:rsid w:val="00D81B0F"/>
    <w:rsid w:val="00D8220A"/>
    <w:rsid w:val="00D82E8A"/>
    <w:rsid w:val="00D82F93"/>
    <w:rsid w:val="00D83EE1"/>
    <w:rsid w:val="00D83F42"/>
    <w:rsid w:val="00D84238"/>
    <w:rsid w:val="00D84845"/>
    <w:rsid w:val="00D84BD6"/>
    <w:rsid w:val="00D853B4"/>
    <w:rsid w:val="00D85551"/>
    <w:rsid w:val="00D865A2"/>
    <w:rsid w:val="00D866DB"/>
    <w:rsid w:val="00D8685E"/>
    <w:rsid w:val="00D86BA6"/>
    <w:rsid w:val="00D8719D"/>
    <w:rsid w:val="00D87433"/>
    <w:rsid w:val="00D9103C"/>
    <w:rsid w:val="00D910D0"/>
    <w:rsid w:val="00D91495"/>
    <w:rsid w:val="00D9172D"/>
    <w:rsid w:val="00D92075"/>
    <w:rsid w:val="00D92542"/>
    <w:rsid w:val="00D92807"/>
    <w:rsid w:val="00D92C2A"/>
    <w:rsid w:val="00D9389E"/>
    <w:rsid w:val="00D94253"/>
    <w:rsid w:val="00D9462F"/>
    <w:rsid w:val="00D9490B"/>
    <w:rsid w:val="00D95405"/>
    <w:rsid w:val="00D95B54"/>
    <w:rsid w:val="00D961B8"/>
    <w:rsid w:val="00D96B4A"/>
    <w:rsid w:val="00D975F9"/>
    <w:rsid w:val="00D97751"/>
    <w:rsid w:val="00D97945"/>
    <w:rsid w:val="00D97DF0"/>
    <w:rsid w:val="00DA08ED"/>
    <w:rsid w:val="00DA0E3B"/>
    <w:rsid w:val="00DA12DA"/>
    <w:rsid w:val="00DA1409"/>
    <w:rsid w:val="00DA185B"/>
    <w:rsid w:val="00DA19E7"/>
    <w:rsid w:val="00DA2727"/>
    <w:rsid w:val="00DA2888"/>
    <w:rsid w:val="00DA2FA5"/>
    <w:rsid w:val="00DA317E"/>
    <w:rsid w:val="00DA333E"/>
    <w:rsid w:val="00DA34D4"/>
    <w:rsid w:val="00DA3692"/>
    <w:rsid w:val="00DA4243"/>
    <w:rsid w:val="00DA46DC"/>
    <w:rsid w:val="00DA4996"/>
    <w:rsid w:val="00DA4C64"/>
    <w:rsid w:val="00DA546D"/>
    <w:rsid w:val="00DA55C5"/>
    <w:rsid w:val="00DA5775"/>
    <w:rsid w:val="00DA5B17"/>
    <w:rsid w:val="00DA5B7B"/>
    <w:rsid w:val="00DA6385"/>
    <w:rsid w:val="00DA63E3"/>
    <w:rsid w:val="00DA6F9B"/>
    <w:rsid w:val="00DA7366"/>
    <w:rsid w:val="00DA74AF"/>
    <w:rsid w:val="00DA75B2"/>
    <w:rsid w:val="00DA7ED6"/>
    <w:rsid w:val="00DB063D"/>
    <w:rsid w:val="00DB086A"/>
    <w:rsid w:val="00DB0873"/>
    <w:rsid w:val="00DB0C2F"/>
    <w:rsid w:val="00DB1E7B"/>
    <w:rsid w:val="00DB23AA"/>
    <w:rsid w:val="00DB311F"/>
    <w:rsid w:val="00DB3ABB"/>
    <w:rsid w:val="00DB3F07"/>
    <w:rsid w:val="00DB3FCC"/>
    <w:rsid w:val="00DB4D2E"/>
    <w:rsid w:val="00DB53CA"/>
    <w:rsid w:val="00DB62D7"/>
    <w:rsid w:val="00DB6489"/>
    <w:rsid w:val="00DB6BA6"/>
    <w:rsid w:val="00DB7A86"/>
    <w:rsid w:val="00DB7D91"/>
    <w:rsid w:val="00DC079E"/>
    <w:rsid w:val="00DC0962"/>
    <w:rsid w:val="00DC0D1E"/>
    <w:rsid w:val="00DC0D9E"/>
    <w:rsid w:val="00DC1511"/>
    <w:rsid w:val="00DC25B6"/>
    <w:rsid w:val="00DC2651"/>
    <w:rsid w:val="00DC2DB6"/>
    <w:rsid w:val="00DC4A4C"/>
    <w:rsid w:val="00DC4B0A"/>
    <w:rsid w:val="00DC516D"/>
    <w:rsid w:val="00DC5717"/>
    <w:rsid w:val="00DC58EE"/>
    <w:rsid w:val="00DC5D1D"/>
    <w:rsid w:val="00DC6ABA"/>
    <w:rsid w:val="00DC6E17"/>
    <w:rsid w:val="00DC7A6C"/>
    <w:rsid w:val="00DC7F6B"/>
    <w:rsid w:val="00DD017B"/>
    <w:rsid w:val="00DD055D"/>
    <w:rsid w:val="00DD0A34"/>
    <w:rsid w:val="00DD1041"/>
    <w:rsid w:val="00DD10E0"/>
    <w:rsid w:val="00DD13DA"/>
    <w:rsid w:val="00DD143C"/>
    <w:rsid w:val="00DD162A"/>
    <w:rsid w:val="00DD18B5"/>
    <w:rsid w:val="00DD18BF"/>
    <w:rsid w:val="00DD1B04"/>
    <w:rsid w:val="00DD1B87"/>
    <w:rsid w:val="00DD1EF9"/>
    <w:rsid w:val="00DD1F2B"/>
    <w:rsid w:val="00DD2141"/>
    <w:rsid w:val="00DD5C85"/>
    <w:rsid w:val="00DD5D68"/>
    <w:rsid w:val="00DD618D"/>
    <w:rsid w:val="00DD61AE"/>
    <w:rsid w:val="00DD686B"/>
    <w:rsid w:val="00DD7A77"/>
    <w:rsid w:val="00DD7DAB"/>
    <w:rsid w:val="00DE006A"/>
    <w:rsid w:val="00DE030F"/>
    <w:rsid w:val="00DE03C9"/>
    <w:rsid w:val="00DE04EC"/>
    <w:rsid w:val="00DE0553"/>
    <w:rsid w:val="00DE067D"/>
    <w:rsid w:val="00DE0EB0"/>
    <w:rsid w:val="00DE1184"/>
    <w:rsid w:val="00DE142B"/>
    <w:rsid w:val="00DE153A"/>
    <w:rsid w:val="00DE1B4C"/>
    <w:rsid w:val="00DE1E74"/>
    <w:rsid w:val="00DE23E2"/>
    <w:rsid w:val="00DE360D"/>
    <w:rsid w:val="00DE413D"/>
    <w:rsid w:val="00DE48B0"/>
    <w:rsid w:val="00DE58AB"/>
    <w:rsid w:val="00DE5AAD"/>
    <w:rsid w:val="00DE6126"/>
    <w:rsid w:val="00DE61C8"/>
    <w:rsid w:val="00DE64B5"/>
    <w:rsid w:val="00DE6E15"/>
    <w:rsid w:val="00DF02B8"/>
    <w:rsid w:val="00DF044E"/>
    <w:rsid w:val="00DF0CBE"/>
    <w:rsid w:val="00DF16F9"/>
    <w:rsid w:val="00DF1818"/>
    <w:rsid w:val="00DF1BB0"/>
    <w:rsid w:val="00DF1F0A"/>
    <w:rsid w:val="00DF2169"/>
    <w:rsid w:val="00DF33D2"/>
    <w:rsid w:val="00DF3A7C"/>
    <w:rsid w:val="00DF3D85"/>
    <w:rsid w:val="00DF3FBE"/>
    <w:rsid w:val="00DF4139"/>
    <w:rsid w:val="00DF4792"/>
    <w:rsid w:val="00DF4E8E"/>
    <w:rsid w:val="00DF4EC7"/>
    <w:rsid w:val="00DF5021"/>
    <w:rsid w:val="00DF5D03"/>
    <w:rsid w:val="00DF694B"/>
    <w:rsid w:val="00DF7C47"/>
    <w:rsid w:val="00E00A35"/>
    <w:rsid w:val="00E01122"/>
    <w:rsid w:val="00E018FD"/>
    <w:rsid w:val="00E023B2"/>
    <w:rsid w:val="00E0264F"/>
    <w:rsid w:val="00E02A8E"/>
    <w:rsid w:val="00E03526"/>
    <w:rsid w:val="00E03F3D"/>
    <w:rsid w:val="00E0439E"/>
    <w:rsid w:val="00E0490B"/>
    <w:rsid w:val="00E05177"/>
    <w:rsid w:val="00E05EA8"/>
    <w:rsid w:val="00E064D2"/>
    <w:rsid w:val="00E065F5"/>
    <w:rsid w:val="00E06DD3"/>
    <w:rsid w:val="00E07F47"/>
    <w:rsid w:val="00E101AE"/>
    <w:rsid w:val="00E11420"/>
    <w:rsid w:val="00E11BD5"/>
    <w:rsid w:val="00E11C71"/>
    <w:rsid w:val="00E12528"/>
    <w:rsid w:val="00E12E64"/>
    <w:rsid w:val="00E13384"/>
    <w:rsid w:val="00E13657"/>
    <w:rsid w:val="00E13775"/>
    <w:rsid w:val="00E137CB"/>
    <w:rsid w:val="00E13858"/>
    <w:rsid w:val="00E138A6"/>
    <w:rsid w:val="00E14192"/>
    <w:rsid w:val="00E150E2"/>
    <w:rsid w:val="00E153A8"/>
    <w:rsid w:val="00E169B1"/>
    <w:rsid w:val="00E20EDD"/>
    <w:rsid w:val="00E21EF2"/>
    <w:rsid w:val="00E22298"/>
    <w:rsid w:val="00E234D9"/>
    <w:rsid w:val="00E23947"/>
    <w:rsid w:val="00E23BF4"/>
    <w:rsid w:val="00E2411E"/>
    <w:rsid w:val="00E2413B"/>
    <w:rsid w:val="00E24AD0"/>
    <w:rsid w:val="00E24C0F"/>
    <w:rsid w:val="00E24ECD"/>
    <w:rsid w:val="00E259C0"/>
    <w:rsid w:val="00E25BF6"/>
    <w:rsid w:val="00E267AF"/>
    <w:rsid w:val="00E27184"/>
    <w:rsid w:val="00E276CE"/>
    <w:rsid w:val="00E30309"/>
    <w:rsid w:val="00E3112B"/>
    <w:rsid w:val="00E311B8"/>
    <w:rsid w:val="00E316E4"/>
    <w:rsid w:val="00E31A1E"/>
    <w:rsid w:val="00E31A34"/>
    <w:rsid w:val="00E32831"/>
    <w:rsid w:val="00E32964"/>
    <w:rsid w:val="00E32AC0"/>
    <w:rsid w:val="00E3346C"/>
    <w:rsid w:val="00E336B7"/>
    <w:rsid w:val="00E3390E"/>
    <w:rsid w:val="00E33A4F"/>
    <w:rsid w:val="00E33CED"/>
    <w:rsid w:val="00E3407B"/>
    <w:rsid w:val="00E3434A"/>
    <w:rsid w:val="00E34661"/>
    <w:rsid w:val="00E34962"/>
    <w:rsid w:val="00E34BE3"/>
    <w:rsid w:val="00E352C8"/>
    <w:rsid w:val="00E35B26"/>
    <w:rsid w:val="00E3642C"/>
    <w:rsid w:val="00E36AC3"/>
    <w:rsid w:val="00E37899"/>
    <w:rsid w:val="00E4047F"/>
    <w:rsid w:val="00E40FAB"/>
    <w:rsid w:val="00E4145D"/>
    <w:rsid w:val="00E41E36"/>
    <w:rsid w:val="00E41EA1"/>
    <w:rsid w:val="00E44115"/>
    <w:rsid w:val="00E44169"/>
    <w:rsid w:val="00E444BC"/>
    <w:rsid w:val="00E44929"/>
    <w:rsid w:val="00E45B6C"/>
    <w:rsid w:val="00E46027"/>
    <w:rsid w:val="00E462F8"/>
    <w:rsid w:val="00E46413"/>
    <w:rsid w:val="00E47729"/>
    <w:rsid w:val="00E47F39"/>
    <w:rsid w:val="00E50421"/>
    <w:rsid w:val="00E50472"/>
    <w:rsid w:val="00E51F36"/>
    <w:rsid w:val="00E522A1"/>
    <w:rsid w:val="00E52335"/>
    <w:rsid w:val="00E52422"/>
    <w:rsid w:val="00E5285B"/>
    <w:rsid w:val="00E53179"/>
    <w:rsid w:val="00E54734"/>
    <w:rsid w:val="00E54802"/>
    <w:rsid w:val="00E54D32"/>
    <w:rsid w:val="00E5544E"/>
    <w:rsid w:val="00E556C7"/>
    <w:rsid w:val="00E55DD0"/>
    <w:rsid w:val="00E55E3B"/>
    <w:rsid w:val="00E55EBF"/>
    <w:rsid w:val="00E5616C"/>
    <w:rsid w:val="00E56354"/>
    <w:rsid w:val="00E5654D"/>
    <w:rsid w:val="00E56570"/>
    <w:rsid w:val="00E5788A"/>
    <w:rsid w:val="00E5795C"/>
    <w:rsid w:val="00E61495"/>
    <w:rsid w:val="00E61BC6"/>
    <w:rsid w:val="00E61DCA"/>
    <w:rsid w:val="00E61F7E"/>
    <w:rsid w:val="00E61F8A"/>
    <w:rsid w:val="00E62534"/>
    <w:rsid w:val="00E629AD"/>
    <w:rsid w:val="00E62AF5"/>
    <w:rsid w:val="00E62EF0"/>
    <w:rsid w:val="00E632BE"/>
    <w:rsid w:val="00E634E8"/>
    <w:rsid w:val="00E64A4A"/>
    <w:rsid w:val="00E656E0"/>
    <w:rsid w:val="00E65B58"/>
    <w:rsid w:val="00E65BBF"/>
    <w:rsid w:val="00E66163"/>
    <w:rsid w:val="00E66C1F"/>
    <w:rsid w:val="00E66FB2"/>
    <w:rsid w:val="00E66FD1"/>
    <w:rsid w:val="00E67B6C"/>
    <w:rsid w:val="00E67BFD"/>
    <w:rsid w:val="00E67EDA"/>
    <w:rsid w:val="00E70510"/>
    <w:rsid w:val="00E70A32"/>
    <w:rsid w:val="00E70A6C"/>
    <w:rsid w:val="00E710D1"/>
    <w:rsid w:val="00E73024"/>
    <w:rsid w:val="00E7469B"/>
    <w:rsid w:val="00E74D1E"/>
    <w:rsid w:val="00E75718"/>
    <w:rsid w:val="00E75D3F"/>
    <w:rsid w:val="00E76416"/>
    <w:rsid w:val="00E76DBA"/>
    <w:rsid w:val="00E778A5"/>
    <w:rsid w:val="00E801DF"/>
    <w:rsid w:val="00E80301"/>
    <w:rsid w:val="00E80987"/>
    <w:rsid w:val="00E80E30"/>
    <w:rsid w:val="00E81236"/>
    <w:rsid w:val="00E819CC"/>
    <w:rsid w:val="00E81E90"/>
    <w:rsid w:val="00E82561"/>
    <w:rsid w:val="00E829F8"/>
    <w:rsid w:val="00E8317D"/>
    <w:rsid w:val="00E8498D"/>
    <w:rsid w:val="00E84F43"/>
    <w:rsid w:val="00E8589B"/>
    <w:rsid w:val="00E85D39"/>
    <w:rsid w:val="00E8755A"/>
    <w:rsid w:val="00E90436"/>
    <w:rsid w:val="00E90B98"/>
    <w:rsid w:val="00E91049"/>
    <w:rsid w:val="00E91117"/>
    <w:rsid w:val="00E915F8"/>
    <w:rsid w:val="00E919DD"/>
    <w:rsid w:val="00E91C46"/>
    <w:rsid w:val="00E92C83"/>
    <w:rsid w:val="00E94485"/>
    <w:rsid w:val="00E94626"/>
    <w:rsid w:val="00E94D9D"/>
    <w:rsid w:val="00E955A9"/>
    <w:rsid w:val="00E95D28"/>
    <w:rsid w:val="00E96181"/>
    <w:rsid w:val="00E961FF"/>
    <w:rsid w:val="00E96245"/>
    <w:rsid w:val="00E96455"/>
    <w:rsid w:val="00E96D96"/>
    <w:rsid w:val="00E96DAF"/>
    <w:rsid w:val="00E974F3"/>
    <w:rsid w:val="00EA0414"/>
    <w:rsid w:val="00EA05DE"/>
    <w:rsid w:val="00EA139F"/>
    <w:rsid w:val="00EA20D0"/>
    <w:rsid w:val="00EA256F"/>
    <w:rsid w:val="00EA2951"/>
    <w:rsid w:val="00EA2F14"/>
    <w:rsid w:val="00EA33A6"/>
    <w:rsid w:val="00EA38DF"/>
    <w:rsid w:val="00EA3AC6"/>
    <w:rsid w:val="00EA3EA6"/>
    <w:rsid w:val="00EA4699"/>
    <w:rsid w:val="00EA4803"/>
    <w:rsid w:val="00EA55BC"/>
    <w:rsid w:val="00EA5608"/>
    <w:rsid w:val="00EA56B0"/>
    <w:rsid w:val="00EA58AD"/>
    <w:rsid w:val="00EA66B3"/>
    <w:rsid w:val="00EA67FB"/>
    <w:rsid w:val="00EA6DA0"/>
    <w:rsid w:val="00EA74A1"/>
    <w:rsid w:val="00EA7AB8"/>
    <w:rsid w:val="00EA7BDA"/>
    <w:rsid w:val="00EA7D61"/>
    <w:rsid w:val="00EA7E02"/>
    <w:rsid w:val="00EB0168"/>
    <w:rsid w:val="00EB0270"/>
    <w:rsid w:val="00EB0404"/>
    <w:rsid w:val="00EB06DD"/>
    <w:rsid w:val="00EB1850"/>
    <w:rsid w:val="00EB2539"/>
    <w:rsid w:val="00EB2D39"/>
    <w:rsid w:val="00EB32A8"/>
    <w:rsid w:val="00EB38FA"/>
    <w:rsid w:val="00EB3AB5"/>
    <w:rsid w:val="00EB3B6A"/>
    <w:rsid w:val="00EB3CF3"/>
    <w:rsid w:val="00EB3F25"/>
    <w:rsid w:val="00EB4220"/>
    <w:rsid w:val="00EB434B"/>
    <w:rsid w:val="00EB4B21"/>
    <w:rsid w:val="00EB4EE2"/>
    <w:rsid w:val="00EB56A4"/>
    <w:rsid w:val="00EB5A8E"/>
    <w:rsid w:val="00EB5F99"/>
    <w:rsid w:val="00EB62DE"/>
    <w:rsid w:val="00EB64C5"/>
    <w:rsid w:val="00EB7513"/>
    <w:rsid w:val="00EB76C3"/>
    <w:rsid w:val="00EC03B8"/>
    <w:rsid w:val="00EC0647"/>
    <w:rsid w:val="00EC0A51"/>
    <w:rsid w:val="00EC0B26"/>
    <w:rsid w:val="00EC12E5"/>
    <w:rsid w:val="00EC1F3C"/>
    <w:rsid w:val="00EC1F44"/>
    <w:rsid w:val="00EC1F6B"/>
    <w:rsid w:val="00EC31FE"/>
    <w:rsid w:val="00EC340D"/>
    <w:rsid w:val="00EC47CE"/>
    <w:rsid w:val="00EC4881"/>
    <w:rsid w:val="00EC4B23"/>
    <w:rsid w:val="00EC4C4F"/>
    <w:rsid w:val="00EC4DE6"/>
    <w:rsid w:val="00EC564C"/>
    <w:rsid w:val="00EC5D53"/>
    <w:rsid w:val="00EC6104"/>
    <w:rsid w:val="00EC612C"/>
    <w:rsid w:val="00EC6923"/>
    <w:rsid w:val="00EC6AED"/>
    <w:rsid w:val="00EC6D69"/>
    <w:rsid w:val="00EC70C5"/>
    <w:rsid w:val="00EC7BAC"/>
    <w:rsid w:val="00EC7E5F"/>
    <w:rsid w:val="00ED0B57"/>
    <w:rsid w:val="00ED0EA4"/>
    <w:rsid w:val="00ED0FD8"/>
    <w:rsid w:val="00ED140C"/>
    <w:rsid w:val="00ED1EBF"/>
    <w:rsid w:val="00ED2C9E"/>
    <w:rsid w:val="00ED343D"/>
    <w:rsid w:val="00ED386F"/>
    <w:rsid w:val="00ED40D2"/>
    <w:rsid w:val="00ED417F"/>
    <w:rsid w:val="00ED4AC3"/>
    <w:rsid w:val="00ED4F98"/>
    <w:rsid w:val="00ED5FEB"/>
    <w:rsid w:val="00ED6906"/>
    <w:rsid w:val="00ED6C90"/>
    <w:rsid w:val="00ED7445"/>
    <w:rsid w:val="00EE0220"/>
    <w:rsid w:val="00EE0555"/>
    <w:rsid w:val="00EE1A2F"/>
    <w:rsid w:val="00EE216C"/>
    <w:rsid w:val="00EE22D7"/>
    <w:rsid w:val="00EE2B21"/>
    <w:rsid w:val="00EE2B97"/>
    <w:rsid w:val="00EE2BC2"/>
    <w:rsid w:val="00EE2FDC"/>
    <w:rsid w:val="00EE3316"/>
    <w:rsid w:val="00EE3D14"/>
    <w:rsid w:val="00EE40BF"/>
    <w:rsid w:val="00EE4184"/>
    <w:rsid w:val="00EE47FD"/>
    <w:rsid w:val="00EE5513"/>
    <w:rsid w:val="00EE5750"/>
    <w:rsid w:val="00EE64CA"/>
    <w:rsid w:val="00EE655B"/>
    <w:rsid w:val="00EE719C"/>
    <w:rsid w:val="00EE79AD"/>
    <w:rsid w:val="00EF0EB8"/>
    <w:rsid w:val="00EF109B"/>
    <w:rsid w:val="00EF1FA2"/>
    <w:rsid w:val="00EF260A"/>
    <w:rsid w:val="00EF2880"/>
    <w:rsid w:val="00EF343B"/>
    <w:rsid w:val="00EF380B"/>
    <w:rsid w:val="00EF4918"/>
    <w:rsid w:val="00EF4FEF"/>
    <w:rsid w:val="00EF502A"/>
    <w:rsid w:val="00EF63C4"/>
    <w:rsid w:val="00EF6D4F"/>
    <w:rsid w:val="00EF6F69"/>
    <w:rsid w:val="00EF71D1"/>
    <w:rsid w:val="00EF725E"/>
    <w:rsid w:val="00EF726C"/>
    <w:rsid w:val="00EF7E05"/>
    <w:rsid w:val="00F006A8"/>
    <w:rsid w:val="00F00E22"/>
    <w:rsid w:val="00F01095"/>
    <w:rsid w:val="00F015BC"/>
    <w:rsid w:val="00F020F8"/>
    <w:rsid w:val="00F02F0D"/>
    <w:rsid w:val="00F033F7"/>
    <w:rsid w:val="00F036DE"/>
    <w:rsid w:val="00F03A48"/>
    <w:rsid w:val="00F042E9"/>
    <w:rsid w:val="00F04461"/>
    <w:rsid w:val="00F04608"/>
    <w:rsid w:val="00F04847"/>
    <w:rsid w:val="00F04870"/>
    <w:rsid w:val="00F049D3"/>
    <w:rsid w:val="00F05A11"/>
    <w:rsid w:val="00F05D83"/>
    <w:rsid w:val="00F067E8"/>
    <w:rsid w:val="00F068EF"/>
    <w:rsid w:val="00F07101"/>
    <w:rsid w:val="00F0740A"/>
    <w:rsid w:val="00F07F89"/>
    <w:rsid w:val="00F1020E"/>
    <w:rsid w:val="00F1025F"/>
    <w:rsid w:val="00F11244"/>
    <w:rsid w:val="00F11821"/>
    <w:rsid w:val="00F120DB"/>
    <w:rsid w:val="00F12E61"/>
    <w:rsid w:val="00F1349D"/>
    <w:rsid w:val="00F15462"/>
    <w:rsid w:val="00F15A38"/>
    <w:rsid w:val="00F160CD"/>
    <w:rsid w:val="00F161FB"/>
    <w:rsid w:val="00F16359"/>
    <w:rsid w:val="00F16850"/>
    <w:rsid w:val="00F169EF"/>
    <w:rsid w:val="00F17063"/>
    <w:rsid w:val="00F17353"/>
    <w:rsid w:val="00F17521"/>
    <w:rsid w:val="00F20B0A"/>
    <w:rsid w:val="00F20D93"/>
    <w:rsid w:val="00F20EAB"/>
    <w:rsid w:val="00F21D0F"/>
    <w:rsid w:val="00F22388"/>
    <w:rsid w:val="00F22D88"/>
    <w:rsid w:val="00F2323E"/>
    <w:rsid w:val="00F238C1"/>
    <w:rsid w:val="00F23AB7"/>
    <w:rsid w:val="00F23AE8"/>
    <w:rsid w:val="00F243AB"/>
    <w:rsid w:val="00F2467F"/>
    <w:rsid w:val="00F250C4"/>
    <w:rsid w:val="00F252FD"/>
    <w:rsid w:val="00F2607A"/>
    <w:rsid w:val="00F265B3"/>
    <w:rsid w:val="00F26F52"/>
    <w:rsid w:val="00F2700F"/>
    <w:rsid w:val="00F27177"/>
    <w:rsid w:val="00F308E8"/>
    <w:rsid w:val="00F30A01"/>
    <w:rsid w:val="00F311E7"/>
    <w:rsid w:val="00F312D1"/>
    <w:rsid w:val="00F31348"/>
    <w:rsid w:val="00F315C2"/>
    <w:rsid w:val="00F31683"/>
    <w:rsid w:val="00F317D3"/>
    <w:rsid w:val="00F31B94"/>
    <w:rsid w:val="00F32505"/>
    <w:rsid w:val="00F32D8A"/>
    <w:rsid w:val="00F334F6"/>
    <w:rsid w:val="00F33D6C"/>
    <w:rsid w:val="00F346A0"/>
    <w:rsid w:val="00F34B03"/>
    <w:rsid w:val="00F34DE4"/>
    <w:rsid w:val="00F350ED"/>
    <w:rsid w:val="00F35439"/>
    <w:rsid w:val="00F36017"/>
    <w:rsid w:val="00F361C5"/>
    <w:rsid w:val="00F36424"/>
    <w:rsid w:val="00F371AC"/>
    <w:rsid w:val="00F400C1"/>
    <w:rsid w:val="00F403C1"/>
    <w:rsid w:val="00F4094A"/>
    <w:rsid w:val="00F40B10"/>
    <w:rsid w:val="00F40F86"/>
    <w:rsid w:val="00F41754"/>
    <w:rsid w:val="00F41B38"/>
    <w:rsid w:val="00F42D9F"/>
    <w:rsid w:val="00F4307E"/>
    <w:rsid w:val="00F433B3"/>
    <w:rsid w:val="00F43695"/>
    <w:rsid w:val="00F4379B"/>
    <w:rsid w:val="00F4410A"/>
    <w:rsid w:val="00F4447D"/>
    <w:rsid w:val="00F4459F"/>
    <w:rsid w:val="00F4485C"/>
    <w:rsid w:val="00F44D5D"/>
    <w:rsid w:val="00F4501E"/>
    <w:rsid w:val="00F45A02"/>
    <w:rsid w:val="00F4631A"/>
    <w:rsid w:val="00F46A7F"/>
    <w:rsid w:val="00F46B34"/>
    <w:rsid w:val="00F474AF"/>
    <w:rsid w:val="00F4760C"/>
    <w:rsid w:val="00F505F2"/>
    <w:rsid w:val="00F5082B"/>
    <w:rsid w:val="00F508C6"/>
    <w:rsid w:val="00F5097D"/>
    <w:rsid w:val="00F517CD"/>
    <w:rsid w:val="00F52488"/>
    <w:rsid w:val="00F5267B"/>
    <w:rsid w:val="00F5305A"/>
    <w:rsid w:val="00F53179"/>
    <w:rsid w:val="00F5433A"/>
    <w:rsid w:val="00F54F0F"/>
    <w:rsid w:val="00F55091"/>
    <w:rsid w:val="00F55836"/>
    <w:rsid w:val="00F5639D"/>
    <w:rsid w:val="00F56716"/>
    <w:rsid w:val="00F57026"/>
    <w:rsid w:val="00F578C4"/>
    <w:rsid w:val="00F57D4C"/>
    <w:rsid w:val="00F6051B"/>
    <w:rsid w:val="00F60D9F"/>
    <w:rsid w:val="00F61951"/>
    <w:rsid w:val="00F628BC"/>
    <w:rsid w:val="00F6342C"/>
    <w:rsid w:val="00F6386F"/>
    <w:rsid w:val="00F63BF1"/>
    <w:rsid w:val="00F64036"/>
    <w:rsid w:val="00F643A3"/>
    <w:rsid w:val="00F6456D"/>
    <w:rsid w:val="00F64A8B"/>
    <w:rsid w:val="00F66481"/>
    <w:rsid w:val="00F665FF"/>
    <w:rsid w:val="00F666B1"/>
    <w:rsid w:val="00F666E3"/>
    <w:rsid w:val="00F67286"/>
    <w:rsid w:val="00F70639"/>
    <w:rsid w:val="00F70AF9"/>
    <w:rsid w:val="00F70B56"/>
    <w:rsid w:val="00F70CB0"/>
    <w:rsid w:val="00F71043"/>
    <w:rsid w:val="00F71309"/>
    <w:rsid w:val="00F71440"/>
    <w:rsid w:val="00F71472"/>
    <w:rsid w:val="00F71478"/>
    <w:rsid w:val="00F71867"/>
    <w:rsid w:val="00F71A5E"/>
    <w:rsid w:val="00F71EE0"/>
    <w:rsid w:val="00F71FE0"/>
    <w:rsid w:val="00F7226C"/>
    <w:rsid w:val="00F72E98"/>
    <w:rsid w:val="00F73707"/>
    <w:rsid w:val="00F73A14"/>
    <w:rsid w:val="00F74FA7"/>
    <w:rsid w:val="00F7508F"/>
    <w:rsid w:val="00F76375"/>
    <w:rsid w:val="00F77552"/>
    <w:rsid w:val="00F77FE4"/>
    <w:rsid w:val="00F80703"/>
    <w:rsid w:val="00F808B9"/>
    <w:rsid w:val="00F80973"/>
    <w:rsid w:val="00F80DDB"/>
    <w:rsid w:val="00F810F8"/>
    <w:rsid w:val="00F8191C"/>
    <w:rsid w:val="00F82A54"/>
    <w:rsid w:val="00F82B51"/>
    <w:rsid w:val="00F83C54"/>
    <w:rsid w:val="00F8413C"/>
    <w:rsid w:val="00F843F9"/>
    <w:rsid w:val="00F84979"/>
    <w:rsid w:val="00F8499D"/>
    <w:rsid w:val="00F84B91"/>
    <w:rsid w:val="00F85BAC"/>
    <w:rsid w:val="00F85D79"/>
    <w:rsid w:val="00F85E38"/>
    <w:rsid w:val="00F85E69"/>
    <w:rsid w:val="00F87575"/>
    <w:rsid w:val="00F87A2D"/>
    <w:rsid w:val="00F87A80"/>
    <w:rsid w:val="00F87F2B"/>
    <w:rsid w:val="00F904BD"/>
    <w:rsid w:val="00F91213"/>
    <w:rsid w:val="00F913D0"/>
    <w:rsid w:val="00F91ACB"/>
    <w:rsid w:val="00F922CE"/>
    <w:rsid w:val="00F927C6"/>
    <w:rsid w:val="00F927EE"/>
    <w:rsid w:val="00F936AC"/>
    <w:rsid w:val="00F9464E"/>
    <w:rsid w:val="00F94F5F"/>
    <w:rsid w:val="00F95744"/>
    <w:rsid w:val="00F958FB"/>
    <w:rsid w:val="00F97156"/>
    <w:rsid w:val="00F9799D"/>
    <w:rsid w:val="00F97E89"/>
    <w:rsid w:val="00FA00FC"/>
    <w:rsid w:val="00FA0156"/>
    <w:rsid w:val="00FA062F"/>
    <w:rsid w:val="00FA156A"/>
    <w:rsid w:val="00FA18CC"/>
    <w:rsid w:val="00FA1EAF"/>
    <w:rsid w:val="00FA26E6"/>
    <w:rsid w:val="00FA274D"/>
    <w:rsid w:val="00FA290E"/>
    <w:rsid w:val="00FA3029"/>
    <w:rsid w:val="00FA4E85"/>
    <w:rsid w:val="00FA5740"/>
    <w:rsid w:val="00FA62C4"/>
    <w:rsid w:val="00FA6484"/>
    <w:rsid w:val="00FA67D6"/>
    <w:rsid w:val="00FA6849"/>
    <w:rsid w:val="00FA7227"/>
    <w:rsid w:val="00FA75B7"/>
    <w:rsid w:val="00FA7865"/>
    <w:rsid w:val="00FA7A1C"/>
    <w:rsid w:val="00FB0221"/>
    <w:rsid w:val="00FB04A0"/>
    <w:rsid w:val="00FB0E6E"/>
    <w:rsid w:val="00FB0E85"/>
    <w:rsid w:val="00FB139C"/>
    <w:rsid w:val="00FB1CDC"/>
    <w:rsid w:val="00FB1F1B"/>
    <w:rsid w:val="00FB211C"/>
    <w:rsid w:val="00FB2625"/>
    <w:rsid w:val="00FB2715"/>
    <w:rsid w:val="00FB29CC"/>
    <w:rsid w:val="00FB2A3C"/>
    <w:rsid w:val="00FB2FEE"/>
    <w:rsid w:val="00FB3184"/>
    <w:rsid w:val="00FB384B"/>
    <w:rsid w:val="00FB3A07"/>
    <w:rsid w:val="00FB46B8"/>
    <w:rsid w:val="00FB479B"/>
    <w:rsid w:val="00FB4F80"/>
    <w:rsid w:val="00FB58DA"/>
    <w:rsid w:val="00FB5E17"/>
    <w:rsid w:val="00FB650B"/>
    <w:rsid w:val="00FB659B"/>
    <w:rsid w:val="00FB72B5"/>
    <w:rsid w:val="00FC0022"/>
    <w:rsid w:val="00FC0ED9"/>
    <w:rsid w:val="00FC0EFA"/>
    <w:rsid w:val="00FC1067"/>
    <w:rsid w:val="00FC12C7"/>
    <w:rsid w:val="00FC13DA"/>
    <w:rsid w:val="00FC1402"/>
    <w:rsid w:val="00FC18D6"/>
    <w:rsid w:val="00FC196B"/>
    <w:rsid w:val="00FC2B45"/>
    <w:rsid w:val="00FC2BD9"/>
    <w:rsid w:val="00FC2DA5"/>
    <w:rsid w:val="00FC2EB5"/>
    <w:rsid w:val="00FC3791"/>
    <w:rsid w:val="00FC3B32"/>
    <w:rsid w:val="00FC3FA2"/>
    <w:rsid w:val="00FC4727"/>
    <w:rsid w:val="00FC5D50"/>
    <w:rsid w:val="00FC60B4"/>
    <w:rsid w:val="00FC61C7"/>
    <w:rsid w:val="00FC63DD"/>
    <w:rsid w:val="00FC68D8"/>
    <w:rsid w:val="00FC6CED"/>
    <w:rsid w:val="00FC715B"/>
    <w:rsid w:val="00FD0180"/>
    <w:rsid w:val="00FD048C"/>
    <w:rsid w:val="00FD17D0"/>
    <w:rsid w:val="00FD1869"/>
    <w:rsid w:val="00FD1B00"/>
    <w:rsid w:val="00FD2B09"/>
    <w:rsid w:val="00FD32DB"/>
    <w:rsid w:val="00FD37E2"/>
    <w:rsid w:val="00FD4867"/>
    <w:rsid w:val="00FD4A24"/>
    <w:rsid w:val="00FD57A5"/>
    <w:rsid w:val="00FD60EF"/>
    <w:rsid w:val="00FD627E"/>
    <w:rsid w:val="00FD6859"/>
    <w:rsid w:val="00FD701F"/>
    <w:rsid w:val="00FD71F7"/>
    <w:rsid w:val="00FD77B5"/>
    <w:rsid w:val="00FE0025"/>
    <w:rsid w:val="00FE01B7"/>
    <w:rsid w:val="00FE0B20"/>
    <w:rsid w:val="00FE0B77"/>
    <w:rsid w:val="00FE0C9C"/>
    <w:rsid w:val="00FE0D45"/>
    <w:rsid w:val="00FE10A5"/>
    <w:rsid w:val="00FE12C6"/>
    <w:rsid w:val="00FE1558"/>
    <w:rsid w:val="00FE23C9"/>
    <w:rsid w:val="00FE2461"/>
    <w:rsid w:val="00FE2AA5"/>
    <w:rsid w:val="00FE2C86"/>
    <w:rsid w:val="00FE2C99"/>
    <w:rsid w:val="00FE2F24"/>
    <w:rsid w:val="00FE322F"/>
    <w:rsid w:val="00FE348F"/>
    <w:rsid w:val="00FE4212"/>
    <w:rsid w:val="00FE46ED"/>
    <w:rsid w:val="00FE4879"/>
    <w:rsid w:val="00FE4D56"/>
    <w:rsid w:val="00FE5193"/>
    <w:rsid w:val="00FE5370"/>
    <w:rsid w:val="00FE58CF"/>
    <w:rsid w:val="00FE5EA7"/>
    <w:rsid w:val="00FE63D5"/>
    <w:rsid w:val="00FE6CB0"/>
    <w:rsid w:val="00FE6FF5"/>
    <w:rsid w:val="00FE708F"/>
    <w:rsid w:val="00FE70BF"/>
    <w:rsid w:val="00FE71EA"/>
    <w:rsid w:val="00FE72AD"/>
    <w:rsid w:val="00FE72B1"/>
    <w:rsid w:val="00FE768B"/>
    <w:rsid w:val="00FF018A"/>
    <w:rsid w:val="00FF01CC"/>
    <w:rsid w:val="00FF030E"/>
    <w:rsid w:val="00FF05E5"/>
    <w:rsid w:val="00FF08AB"/>
    <w:rsid w:val="00FF0D5F"/>
    <w:rsid w:val="00FF0FA3"/>
    <w:rsid w:val="00FF1756"/>
    <w:rsid w:val="00FF1B88"/>
    <w:rsid w:val="00FF1D1B"/>
    <w:rsid w:val="00FF214E"/>
    <w:rsid w:val="00FF21A9"/>
    <w:rsid w:val="00FF322E"/>
    <w:rsid w:val="00FF396F"/>
    <w:rsid w:val="00FF4AC8"/>
    <w:rsid w:val="00FF4B7A"/>
    <w:rsid w:val="00FF4E63"/>
    <w:rsid w:val="00FF4EDC"/>
    <w:rsid w:val="00FF4EDF"/>
    <w:rsid w:val="00FF5690"/>
    <w:rsid w:val="00FF73C6"/>
    <w:rsid w:val="00FF74CA"/>
    <w:rsid w:val="00FF7AC2"/>
    <w:rsid w:val="00FF7B70"/>
    <w:rsid w:val="00FF7BB5"/>
    <w:rsid w:val="00FF7EA4"/>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0F6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EB8"/>
    <w:pPr>
      <w:spacing w:after="0" w:line="240" w:lineRule="auto"/>
      <w:jc w:val="both"/>
    </w:pPr>
    <w:rPr>
      <w:rFonts w:ascii="Verdana" w:eastAsia="Batang" w:hAnsi="Verdana" w:cs="Times"/>
      <w:sz w:val="20"/>
      <w:szCs w:val="24"/>
      <w:lang w:val="es-ES_tradnl"/>
    </w:rPr>
  </w:style>
  <w:style w:type="paragraph" w:styleId="Ttulo1">
    <w:name w:val="heading 1"/>
    <w:basedOn w:val="Normal"/>
    <w:next w:val="Normal"/>
    <w:link w:val="Ttulo1Car"/>
    <w:uiPriority w:val="9"/>
    <w:qFormat/>
    <w:rsid w:val="009569E6"/>
    <w:pPr>
      <w:keepNext/>
      <w:keepLines/>
      <w:spacing w:before="360" w:after="360"/>
      <w:jc w:val="center"/>
      <w:outlineLvl w:val="0"/>
    </w:pPr>
    <w:rPr>
      <w:rFonts w:eastAsia="Times New Roman" w:cs="Verdana"/>
      <w:b/>
      <w:bCs/>
      <w:caps/>
      <w:snapToGrid w:val="0"/>
      <w:szCs w:val="20"/>
      <w:lang w:val="es-CR" w:eastAsia="es-ES"/>
    </w:rPr>
  </w:style>
  <w:style w:type="paragraph" w:styleId="Ttulo2">
    <w:name w:val="heading 2"/>
    <w:basedOn w:val="Normal"/>
    <w:next w:val="Normal"/>
    <w:link w:val="Ttulo2Car"/>
    <w:uiPriority w:val="99"/>
    <w:unhideWhenUsed/>
    <w:qFormat/>
    <w:rsid w:val="00F80D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80DDB"/>
    <w:pPr>
      <w:keepNext/>
      <w:keepLines/>
      <w:spacing w:before="200"/>
      <w:outlineLvl w:val="2"/>
    </w:pPr>
    <w:rPr>
      <w:rFonts w:eastAsiaTheme="majorEastAsia" w:cstheme="majorBidi"/>
      <w:b/>
      <w:bCs/>
      <w:i/>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9A2F04"/>
    <w:pPr>
      <w:keepNext w:val="0"/>
      <w:keepLines w:val="0"/>
      <w:numPr>
        <w:ilvl w:val="4"/>
        <w:numId w:val="3"/>
      </w:numPr>
      <w:spacing w:before="0"/>
      <w:outlineLvl w:val="5"/>
    </w:pPr>
    <w:rPr>
      <w:rFonts w:ascii="Verdana" w:eastAsia="Times New Roman" w:hAnsi="Verdana" w:cs="Times New Roman"/>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rsid w:val="009569E6"/>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Subtle Emphasis1,Footnote1"/>
    <w:basedOn w:val="Normal"/>
    <w:link w:val="PrrafodelistaCar"/>
    <w:uiPriority w:val="99"/>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qFormat/>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qFormat/>
    <w:rsid w:val="006F5C6B"/>
    <w:rPr>
      <w:rFonts w:ascii="Verdana" w:eastAsia="Batang" w:hAnsi="Verdana" w:cs="Times"/>
      <w:noProof/>
      <w:sz w:val="16"/>
      <w:szCs w:val="20"/>
      <w:lang w:val="es-ES_tradnl"/>
    </w:rPr>
  </w:style>
  <w:style w:type="character" w:styleId="Textoennegrita">
    <w:name w:val="Strong"/>
    <w:aliases w:val="Heading 2.1"/>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
    <w:basedOn w:val="Fuentedeprrafopredeter"/>
    <w:link w:val="Prrafodelista"/>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de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snapToGrid/>
      <w:color w:val="365F91" w:themeColor="accent1" w:themeShade="BF"/>
      <w:sz w:val="28"/>
      <w:szCs w:val="28"/>
      <w:lang w:val="en-US" w:eastAsia="ja-JP"/>
    </w:rPr>
  </w:style>
  <w:style w:type="paragraph" w:styleId="Textodeglobo">
    <w:name w:val="Balloon Text"/>
    <w:basedOn w:val="Normal"/>
    <w:link w:val="TextodegloboCar"/>
    <w:uiPriority w:val="99"/>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3E0964"/>
    <w:pPr>
      <w:tabs>
        <w:tab w:val="left" w:pos="660"/>
        <w:tab w:val="right" w:leader="dot" w:pos="9072"/>
      </w:tabs>
      <w:spacing w:after="60"/>
      <w:ind w:left="198" w:right="237"/>
    </w:p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00859"/>
    <w:rPr>
      <w:b/>
      <w:bCs/>
    </w:rPr>
  </w:style>
  <w:style w:type="character" w:customStyle="1" w:styleId="AsuntodelcomentarioCar">
    <w:name w:val="Asunto del comentario Car"/>
    <w:basedOn w:val="TextocomentarioCar"/>
    <w:link w:val="Asuntodelcomentario"/>
    <w:uiPriority w:val="99"/>
    <w:semiHidden/>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9"/>
    <w:rsid w:val="00F80DDB"/>
    <w:rPr>
      <w:rFonts w:asciiTheme="majorHAnsi" w:eastAsiaTheme="majorEastAsia" w:hAnsiTheme="majorHAnsi" w:cstheme="majorBidi"/>
      <w:b/>
      <w:bCs/>
      <w:noProof/>
      <w:color w:val="4F81BD" w:themeColor="accent1"/>
      <w:sz w:val="26"/>
      <w:szCs w:val="26"/>
      <w:lang w:val="es-ES_tradnl"/>
    </w:rPr>
  </w:style>
  <w:style w:type="character" w:customStyle="1" w:styleId="Ttulo3Car">
    <w:name w:val="Título 3 Car"/>
    <w:basedOn w:val="Fuentedeprrafopredeter"/>
    <w:link w:val="Ttulo3"/>
    <w:uiPriority w:val="9"/>
    <w:rsid w:val="00F80DDB"/>
    <w:rPr>
      <w:rFonts w:ascii="Verdana" w:eastAsiaTheme="majorEastAsia" w:hAnsi="Verdana" w:cstheme="majorBidi"/>
      <w:b/>
      <w:bCs/>
      <w:i/>
      <w:sz w:val="20"/>
      <w:szCs w:val="24"/>
      <w:lang w:val="es-ES_tradnl"/>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80DDB"/>
    <w:rPr>
      <w:rFonts w:asciiTheme="minorHAnsi" w:eastAsiaTheme="minorHAnsi" w:hAnsiTheme="minorHAnsi" w:cs="Times New Roman"/>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BD53D7"/>
    <w:pPr>
      <w:numPr>
        <w:numId w:val="5"/>
      </w:numPr>
      <w:tabs>
        <w:tab w:val="num" w:pos="1080"/>
      </w:tabs>
      <w:spacing w:before="60" w:after="60" w:line="276" w:lineRule="auto"/>
      <w:ind w:left="1080" w:hanging="720"/>
      <w:jc w:val="center"/>
    </w:pPr>
    <w:rPr>
      <w:rFonts w:eastAsia="Times New Roman" w:cs="Times New Roman"/>
      <w:b/>
      <w:caps/>
      <w:szCs w:val="20"/>
      <w:lang w:val="es-ES" w:eastAsia="es-ES"/>
    </w:rPr>
  </w:style>
  <w:style w:type="paragraph" w:styleId="Listaconvietas">
    <w:name w:val="List Bullet"/>
    <w:basedOn w:val="Normal"/>
    <w:uiPriority w:val="99"/>
    <w:rsid w:val="00BD53D7"/>
    <w:pPr>
      <w:numPr>
        <w:numId w:val="4"/>
      </w:numPr>
      <w:tabs>
        <w:tab w:val="clear" w:pos="360"/>
        <w:tab w:val="num" w:pos="780"/>
      </w:tabs>
      <w:spacing w:before="60" w:after="60" w:line="276" w:lineRule="auto"/>
      <w:jc w:val="left"/>
    </w:pPr>
    <w:rPr>
      <w:rFonts w:ascii="Times New Roman" w:eastAsia="Times New Roman" w:hAnsi="Times New Roman" w:cs="Times New Roman"/>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num" w:pos="576"/>
      </w:tabs>
      <w:spacing w:before="0" w:line="276" w:lineRule="auto"/>
      <w:ind w:left="576" w:hanging="576"/>
    </w:pPr>
    <w:rPr>
      <w:rFonts w:ascii="Times New Roman" w:eastAsia="Batang" w:hAnsi="Times New Roman" w:cs="Times New Roman"/>
      <w:i/>
      <w:color w:val="365F91"/>
      <w:sz w:val="24"/>
      <w:szCs w:val="20"/>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99"/>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uiPriority w:val="99"/>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uiPriority w:val="99"/>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paragraph" w:customStyle="1" w:styleId="Estilo4">
    <w:name w:val="Estilo4"/>
    <w:basedOn w:val="Normal"/>
    <w:link w:val="Estilo4Car"/>
    <w:qFormat/>
    <w:rsid w:val="00817F42"/>
    <w:pPr>
      <w:numPr>
        <w:numId w:val="6"/>
      </w:numPr>
      <w:spacing w:after="160" w:line="259" w:lineRule="auto"/>
      <w:ind w:left="0" w:firstLine="0"/>
      <w:jc w:val="left"/>
    </w:pPr>
    <w:rPr>
      <w:rFonts w:ascii="Times New Roman" w:eastAsiaTheme="minorHAnsi" w:hAnsi="Times New Roman" w:cs="Times New Roman"/>
      <w:sz w:val="24"/>
      <w:lang w:val="es-UY"/>
    </w:rPr>
  </w:style>
  <w:style w:type="character" w:customStyle="1" w:styleId="Estilo4Car">
    <w:name w:val="Estilo4 Car"/>
    <w:basedOn w:val="Fuentedeprrafopredeter"/>
    <w:link w:val="Estilo4"/>
    <w:rsid w:val="00817F42"/>
    <w:rPr>
      <w:rFonts w:ascii="Times New Roman" w:hAnsi="Times New Roman" w:cs="Times New Roman"/>
      <w:sz w:val="24"/>
      <w:szCs w:val="24"/>
      <w:lang w:val="es-UY"/>
    </w:rPr>
  </w:style>
  <w:style w:type="paragraph" w:customStyle="1" w:styleId="style11">
    <w:name w:val="style11"/>
    <w:basedOn w:val="Normal"/>
    <w:rsid w:val="00817F42"/>
    <w:pPr>
      <w:spacing w:before="192" w:after="192"/>
      <w:ind w:left="120" w:right="144"/>
    </w:pPr>
    <w:rPr>
      <w:rFonts w:ascii="Times New Roman" w:eastAsia="Times New Roman" w:hAnsi="Times New Roman" w:cs="Times New Roman"/>
      <w:sz w:val="24"/>
      <w:lang w:val="es-CR" w:eastAsia="es-CR"/>
    </w:rPr>
  </w:style>
  <w:style w:type="character" w:styleId="Ttulodellibro">
    <w:name w:val="Book Title"/>
    <w:basedOn w:val="Fuentedeprrafopredeter"/>
    <w:uiPriority w:val="33"/>
    <w:qFormat/>
    <w:rsid w:val="00817F42"/>
    <w:rPr>
      <w:b/>
      <w:bCs/>
      <w:smallCaps/>
      <w:spacing w:val="5"/>
    </w:rPr>
  </w:style>
  <w:style w:type="character" w:customStyle="1" w:styleId="Mencinsinresolver1">
    <w:name w:val="Mención sin resolver1"/>
    <w:basedOn w:val="Fuentedeprrafopredeter"/>
    <w:uiPriority w:val="99"/>
    <w:semiHidden/>
    <w:unhideWhenUsed/>
    <w:rsid w:val="00817F42"/>
    <w:rPr>
      <w:color w:val="808080"/>
      <w:shd w:val="clear" w:color="auto" w:fill="E6E6E6"/>
    </w:rPr>
  </w:style>
  <w:style w:type="paragraph" w:customStyle="1" w:styleId="Normal1">
    <w:name w:val="Normal1"/>
    <w:rsid w:val="00B367D1"/>
    <w:pPr>
      <w:pBdr>
        <w:top w:val="nil"/>
        <w:left w:val="nil"/>
        <w:bottom w:val="nil"/>
        <w:right w:val="nil"/>
        <w:between w:val="nil"/>
      </w:pBdr>
      <w:spacing w:after="0" w:line="240" w:lineRule="auto"/>
    </w:pPr>
    <w:rPr>
      <w:rFonts w:ascii="Cambria" w:eastAsia="Cambria" w:hAnsi="Cambria" w:cs="Cambria"/>
      <w:color w:val="000000"/>
      <w:sz w:val="24"/>
      <w:szCs w:val="24"/>
      <w:lang w:val="en-AU"/>
    </w:rPr>
  </w:style>
  <w:style w:type="character" w:customStyle="1" w:styleId="Estilo1Char">
    <w:name w:val="Estilo1 Char"/>
    <w:rsid w:val="000A708F"/>
    <w:rPr>
      <w:rFonts w:ascii="Verdana" w:eastAsia="Calibri" w:hAnsi="Verdana" w:cs="Times New Roman"/>
      <w:sz w:val="20"/>
      <w:szCs w:val="20"/>
      <w:lang w:val="es-ES"/>
    </w:rPr>
  </w:style>
  <w:style w:type="paragraph" w:customStyle="1" w:styleId="Estilo2">
    <w:name w:val="Estilo2"/>
    <w:basedOn w:val="Normal"/>
    <w:qFormat/>
    <w:rsid w:val="000A708F"/>
    <w:pPr>
      <w:tabs>
        <w:tab w:val="left" w:pos="567"/>
        <w:tab w:val="left" w:pos="1134"/>
        <w:tab w:val="num" w:pos="4767"/>
      </w:tabs>
      <w:spacing w:after="120"/>
      <w:ind w:left="4767" w:hanging="360"/>
    </w:pPr>
    <w:rPr>
      <w:rFonts w:eastAsia="Calibri" w:cs="Times New Roman"/>
      <w:szCs w:val="20"/>
      <w:lang w:val="es-ES"/>
    </w:rPr>
  </w:style>
  <w:style w:type="paragraph" w:styleId="Mapadeldocumento">
    <w:name w:val="Document Map"/>
    <w:basedOn w:val="Normal"/>
    <w:link w:val="MapadeldocumentoCar"/>
    <w:uiPriority w:val="99"/>
    <w:semiHidden/>
    <w:unhideWhenUsed/>
    <w:rsid w:val="009236AF"/>
    <w:rPr>
      <w:rFonts w:ascii="Lucida Grande" w:hAnsi="Lucida Grande" w:cs="Lucida Grande"/>
      <w:sz w:val="24"/>
    </w:rPr>
  </w:style>
  <w:style w:type="character" w:customStyle="1" w:styleId="MapadeldocumentoCar">
    <w:name w:val="Mapa del documento Car"/>
    <w:basedOn w:val="Fuentedeprrafopredeter"/>
    <w:link w:val="Mapadeldocumento"/>
    <w:uiPriority w:val="99"/>
    <w:semiHidden/>
    <w:rsid w:val="009236AF"/>
    <w:rPr>
      <w:rFonts w:ascii="Lucida Grande" w:eastAsia="Batang" w:hAnsi="Lucida Grande" w:cs="Lucida Grande"/>
      <w:sz w:val="24"/>
      <w:szCs w:val="24"/>
      <w:lang w:val="es-ES_tradnl"/>
    </w:rPr>
  </w:style>
  <w:style w:type="character" w:customStyle="1" w:styleId="ListParagraphChar1">
    <w:name w:val="List Paragraph Char1"/>
    <w:aliases w:val="Footnote Char1,List Paragraph2 Char1,Lista vistosa - Énfasis 11 Char1"/>
    <w:basedOn w:val="Fuentedeprrafopredeter"/>
    <w:uiPriority w:val="34"/>
    <w:rsid w:val="006E0A46"/>
  </w:style>
  <w:style w:type="paragraph" w:customStyle="1" w:styleId="Numberedparagraphs">
    <w:name w:val="Numbered paragraphs"/>
    <w:basedOn w:val="Normal"/>
    <w:qFormat/>
    <w:rsid w:val="002B4D5A"/>
    <w:pPr>
      <w:numPr>
        <w:numId w:val="9"/>
      </w:numPr>
    </w:pPr>
    <w:rPr>
      <w:rFonts w:eastAsia="MS Mincho" w:cs="Times New Roman"/>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EB8"/>
    <w:pPr>
      <w:spacing w:after="0" w:line="240" w:lineRule="auto"/>
      <w:jc w:val="both"/>
    </w:pPr>
    <w:rPr>
      <w:rFonts w:ascii="Verdana" w:eastAsia="Batang" w:hAnsi="Verdana" w:cs="Times"/>
      <w:sz w:val="20"/>
      <w:szCs w:val="24"/>
      <w:lang w:val="es-ES_tradnl"/>
    </w:rPr>
  </w:style>
  <w:style w:type="paragraph" w:styleId="Ttulo1">
    <w:name w:val="heading 1"/>
    <w:basedOn w:val="Normal"/>
    <w:next w:val="Normal"/>
    <w:link w:val="Ttulo1Car"/>
    <w:uiPriority w:val="9"/>
    <w:qFormat/>
    <w:rsid w:val="009569E6"/>
    <w:pPr>
      <w:keepNext/>
      <w:keepLines/>
      <w:spacing w:before="360" w:after="360"/>
      <w:jc w:val="center"/>
      <w:outlineLvl w:val="0"/>
    </w:pPr>
    <w:rPr>
      <w:rFonts w:eastAsia="Times New Roman" w:cs="Verdana"/>
      <w:b/>
      <w:bCs/>
      <w:caps/>
      <w:snapToGrid w:val="0"/>
      <w:szCs w:val="20"/>
      <w:lang w:val="es-CR" w:eastAsia="es-ES"/>
    </w:rPr>
  </w:style>
  <w:style w:type="paragraph" w:styleId="Ttulo2">
    <w:name w:val="heading 2"/>
    <w:basedOn w:val="Normal"/>
    <w:next w:val="Normal"/>
    <w:link w:val="Ttulo2Car"/>
    <w:uiPriority w:val="99"/>
    <w:unhideWhenUsed/>
    <w:qFormat/>
    <w:rsid w:val="00F80D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80DDB"/>
    <w:pPr>
      <w:keepNext/>
      <w:keepLines/>
      <w:spacing w:before="200"/>
      <w:outlineLvl w:val="2"/>
    </w:pPr>
    <w:rPr>
      <w:rFonts w:eastAsiaTheme="majorEastAsia" w:cstheme="majorBidi"/>
      <w:b/>
      <w:bCs/>
      <w:i/>
    </w:rPr>
  </w:style>
  <w:style w:type="paragraph" w:styleId="Ttulo4">
    <w:name w:val="heading 4"/>
    <w:basedOn w:val="Normal"/>
    <w:next w:val="Normal"/>
    <w:link w:val="Ttulo4Car"/>
    <w:uiPriority w:val="99"/>
    <w:unhideWhenUsed/>
    <w:qFormat/>
    <w:rsid w:val="00F80DDB"/>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unhideWhenUsed/>
    <w:qFormat/>
    <w:rsid w:val="009A2F04"/>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Ttulo5"/>
    <w:next w:val="Normal"/>
    <w:link w:val="Ttulo6Car"/>
    <w:uiPriority w:val="9"/>
    <w:unhideWhenUsed/>
    <w:qFormat/>
    <w:rsid w:val="009A2F04"/>
    <w:pPr>
      <w:keepNext w:val="0"/>
      <w:keepLines w:val="0"/>
      <w:numPr>
        <w:ilvl w:val="4"/>
        <w:numId w:val="3"/>
      </w:numPr>
      <w:spacing w:before="0"/>
      <w:outlineLvl w:val="5"/>
    </w:pPr>
    <w:rPr>
      <w:rFonts w:ascii="Verdana" w:eastAsia="Times New Roman" w:hAnsi="Verdana" w:cs="Times New Roman"/>
      <w:color w:val="auto"/>
      <w:spacing w:val="-2"/>
      <w:szCs w:val="20"/>
      <w:lang w:eastAsia="es-CR"/>
    </w:rPr>
  </w:style>
  <w:style w:type="paragraph" w:styleId="Ttulo7">
    <w:name w:val="heading 7"/>
    <w:basedOn w:val="Normal"/>
    <w:next w:val="Normal"/>
    <w:link w:val="Ttulo7Car"/>
    <w:uiPriority w:val="99"/>
    <w:qFormat/>
    <w:rsid w:val="00BD53D7"/>
    <w:pPr>
      <w:tabs>
        <w:tab w:val="num" w:pos="1296"/>
      </w:tabs>
      <w:spacing w:before="240" w:after="60" w:line="276" w:lineRule="auto"/>
      <w:ind w:left="1296" w:hanging="1296"/>
      <w:jc w:val="left"/>
      <w:outlineLvl w:val="6"/>
    </w:pPr>
    <w:rPr>
      <w:rFonts w:ascii="Times New Roman" w:eastAsia="Times New Roman" w:hAnsi="Times New Roman" w:cs="Times New Roman"/>
      <w:sz w:val="24"/>
      <w:lang w:eastAsia="es-ES"/>
    </w:rPr>
  </w:style>
  <w:style w:type="paragraph" w:styleId="Ttulo8">
    <w:name w:val="heading 8"/>
    <w:basedOn w:val="Normal"/>
    <w:next w:val="Normal"/>
    <w:link w:val="Ttulo8Car"/>
    <w:uiPriority w:val="99"/>
    <w:qFormat/>
    <w:rsid w:val="00BD53D7"/>
    <w:pPr>
      <w:tabs>
        <w:tab w:val="num" w:pos="1440"/>
      </w:tabs>
      <w:spacing w:before="240" w:after="60" w:line="276" w:lineRule="auto"/>
      <w:ind w:left="1440" w:hanging="1440"/>
      <w:jc w:val="left"/>
      <w:outlineLvl w:val="7"/>
    </w:pPr>
    <w:rPr>
      <w:rFonts w:ascii="Times New Roman" w:eastAsia="Times New Roman" w:hAnsi="Times New Roman" w:cs="Times New Roman"/>
      <w:i/>
      <w:iCs/>
      <w:sz w:val="24"/>
      <w:lang w:eastAsia="es-ES"/>
    </w:rPr>
  </w:style>
  <w:style w:type="paragraph" w:styleId="Ttulo9">
    <w:name w:val="heading 9"/>
    <w:basedOn w:val="Normal"/>
    <w:next w:val="Normal"/>
    <w:link w:val="Ttulo9Car"/>
    <w:uiPriority w:val="99"/>
    <w:qFormat/>
    <w:rsid w:val="00BD53D7"/>
    <w:pPr>
      <w:spacing w:before="240" w:after="60" w:line="276" w:lineRule="auto"/>
      <w:jc w:val="left"/>
      <w:outlineLvl w:val="8"/>
    </w:pPr>
    <w:rPr>
      <w:rFonts w:ascii="Arial" w:eastAsia="Times New Roman" w:hAnsi="Arial" w:cs="Times New Roman"/>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9403BF"/>
    <w:pPr>
      <w:jc w:val="center"/>
    </w:pPr>
    <w:rPr>
      <w:rFonts w:eastAsia="Times New Roman" w:cs="Times New Roman"/>
      <w:b/>
      <w:szCs w:val="20"/>
    </w:rPr>
  </w:style>
  <w:style w:type="character" w:customStyle="1" w:styleId="TtuloCar">
    <w:name w:val="Título Car"/>
    <w:basedOn w:val="Fuentedeprrafopredeter"/>
    <w:link w:val="Ttulo"/>
    <w:rsid w:val="009403BF"/>
    <w:rPr>
      <w:rFonts w:ascii="Verdana" w:eastAsia="Times New Roman" w:hAnsi="Verdana" w:cs="Times New Roman"/>
      <w:b/>
      <w:noProof/>
      <w:sz w:val="20"/>
      <w:szCs w:val="20"/>
      <w:lang w:val="es-ES_tradnl"/>
    </w:rPr>
  </w:style>
  <w:style w:type="paragraph" w:styleId="Subttulo">
    <w:name w:val="Subtitle"/>
    <w:basedOn w:val="Normal"/>
    <w:next w:val="Normal"/>
    <w:link w:val="SubttuloCar"/>
    <w:qFormat/>
    <w:rsid w:val="009403BF"/>
    <w:pPr>
      <w:numPr>
        <w:ilvl w:val="1"/>
      </w:numPr>
      <w:jc w:val="center"/>
    </w:pPr>
    <w:rPr>
      <w:rFonts w:eastAsia="Times New Roman" w:cs="Times New Roman"/>
      <w:b/>
      <w:i/>
      <w:iCs/>
      <w:spacing w:val="15"/>
    </w:rPr>
  </w:style>
  <w:style w:type="character" w:customStyle="1" w:styleId="SubttuloCar">
    <w:name w:val="Subtítulo Car"/>
    <w:basedOn w:val="Fuentedeprrafopredeter"/>
    <w:link w:val="Subttulo"/>
    <w:rsid w:val="009403BF"/>
    <w:rPr>
      <w:rFonts w:ascii="Verdana" w:eastAsia="Times New Roman" w:hAnsi="Verdana" w:cs="Times New Roman"/>
      <w:b/>
      <w:i/>
      <w:iCs/>
      <w:noProof/>
      <w:spacing w:val="15"/>
      <w:sz w:val="20"/>
      <w:szCs w:val="24"/>
      <w:lang w:val="es-ES_tradnl"/>
    </w:rPr>
  </w:style>
  <w:style w:type="paragraph" w:customStyle="1" w:styleId="citaindirecta">
    <w:name w:val="cita indirecta"/>
    <w:basedOn w:val="Normal"/>
    <w:uiPriority w:val="99"/>
    <w:rsid w:val="009403BF"/>
    <w:pPr>
      <w:ind w:left="708"/>
    </w:pPr>
    <w:rPr>
      <w:rFonts w:eastAsia="Times New Roman" w:cs="Times New Roman"/>
      <w:szCs w:val="20"/>
    </w:rPr>
  </w:style>
  <w:style w:type="paragraph" w:styleId="Encabezado">
    <w:name w:val="header"/>
    <w:basedOn w:val="Normal"/>
    <w:link w:val="EncabezadoCar"/>
    <w:uiPriority w:val="99"/>
    <w:unhideWhenUsed/>
    <w:rsid w:val="009403BF"/>
    <w:pPr>
      <w:tabs>
        <w:tab w:val="center" w:pos="4252"/>
        <w:tab w:val="right" w:pos="8504"/>
      </w:tabs>
    </w:pPr>
  </w:style>
  <w:style w:type="character" w:customStyle="1" w:styleId="EncabezadoCar">
    <w:name w:val="Encabezado Car"/>
    <w:basedOn w:val="Fuentedeprrafopredeter"/>
    <w:link w:val="Encabezado"/>
    <w:uiPriority w:val="99"/>
    <w:rsid w:val="009403BF"/>
    <w:rPr>
      <w:rFonts w:ascii="Verdana" w:eastAsia="Batang" w:hAnsi="Verdana" w:cs="Times"/>
      <w:noProof/>
      <w:sz w:val="20"/>
      <w:szCs w:val="24"/>
      <w:lang w:val="es-ES_tradnl"/>
    </w:rPr>
  </w:style>
  <w:style w:type="paragraph" w:styleId="Piedepgina">
    <w:name w:val="footer"/>
    <w:basedOn w:val="Normal"/>
    <w:link w:val="PiedepginaCar"/>
    <w:uiPriority w:val="99"/>
    <w:unhideWhenUsed/>
    <w:rsid w:val="009403BF"/>
    <w:pPr>
      <w:tabs>
        <w:tab w:val="center" w:pos="4252"/>
        <w:tab w:val="right" w:pos="8504"/>
      </w:tabs>
    </w:pPr>
  </w:style>
  <w:style w:type="character" w:customStyle="1" w:styleId="PiedepginaCar">
    <w:name w:val="Pie de página Car"/>
    <w:basedOn w:val="Fuentedeprrafopredeter"/>
    <w:link w:val="Piedepgina"/>
    <w:uiPriority w:val="99"/>
    <w:rsid w:val="009403BF"/>
    <w:rPr>
      <w:rFonts w:ascii="Verdana" w:eastAsia="Batang" w:hAnsi="Verdana" w:cs="Times"/>
      <w:noProof/>
      <w:sz w:val="20"/>
      <w:szCs w:val="24"/>
      <w:lang w:val="es-ES_tradnl"/>
    </w:rPr>
  </w:style>
  <w:style w:type="character" w:styleId="Hipervnculo">
    <w:name w:val="Hyperlink"/>
    <w:aliases w:val="Heading 3 caso"/>
    <w:basedOn w:val="Fuentedeprrafopredeter"/>
    <w:uiPriority w:val="99"/>
    <w:unhideWhenUsed/>
    <w:rsid w:val="009403BF"/>
    <w:rPr>
      <w:color w:val="0000FF"/>
      <w:u w:val="single"/>
    </w:rPr>
  </w:style>
  <w:style w:type="paragraph" w:styleId="TDC1">
    <w:name w:val="toc 1"/>
    <w:basedOn w:val="Normal"/>
    <w:next w:val="Normal"/>
    <w:autoRedefine/>
    <w:uiPriority w:val="39"/>
    <w:unhideWhenUsed/>
    <w:rsid w:val="003E0964"/>
    <w:pPr>
      <w:tabs>
        <w:tab w:val="left" w:pos="709"/>
        <w:tab w:val="right" w:leader="dot" w:pos="9072"/>
      </w:tabs>
      <w:spacing w:before="60" w:after="60"/>
      <w:ind w:right="237"/>
    </w:pPr>
    <w:rPr>
      <w:b/>
      <w:sz w:val="18"/>
    </w:rPr>
  </w:style>
  <w:style w:type="character" w:customStyle="1" w:styleId="Ttulo1Car">
    <w:name w:val="Título 1 Car"/>
    <w:basedOn w:val="Fuentedeprrafopredeter"/>
    <w:link w:val="Ttulo1"/>
    <w:rsid w:val="009569E6"/>
    <w:rPr>
      <w:rFonts w:ascii="Verdana" w:eastAsia="Times New Roman" w:hAnsi="Verdana" w:cs="Verdana"/>
      <w:b/>
      <w:bCs/>
      <w:caps/>
      <w:noProof/>
      <w:snapToGrid w:val="0"/>
      <w:sz w:val="20"/>
      <w:szCs w:val="20"/>
      <w:lang w:val="es-CR" w:eastAsia="es-ES"/>
    </w:rPr>
  </w:style>
  <w:style w:type="paragraph" w:styleId="Prrafodelista">
    <w:name w:val="List Paragraph"/>
    <w:aliases w:val="Footnote,List Paragraph1,Colorful List - Accent 11,Párrafo de lista1,List Paragraph2,Lista vistosa - Énfasis 11,Subtle Emphasis1,Footnote1"/>
    <w:basedOn w:val="Normal"/>
    <w:link w:val="PrrafodelistaCar"/>
    <w:uiPriority w:val="99"/>
    <w:qFormat/>
    <w:rsid w:val="00CA3EC4"/>
    <w:pPr>
      <w:ind w:left="720"/>
      <w:contextualSpacing/>
    </w:p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qFormat/>
    <w:rsid w:val="006F5C6B"/>
    <w:rPr>
      <w:rFonts w:cs="Times New Roman"/>
      <w:szCs w:val="20"/>
      <w:vertAlign w:val="superscript"/>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1"/>
    <w:unhideWhenUsed/>
    <w:qFormat/>
    <w:rsid w:val="006F5C6B"/>
    <w:pPr>
      <w:spacing w:before="120" w:after="120"/>
    </w:pPr>
    <w:rPr>
      <w:sz w:val="16"/>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qFormat/>
    <w:rsid w:val="006F5C6B"/>
    <w:rPr>
      <w:rFonts w:ascii="Verdana" w:eastAsia="Batang" w:hAnsi="Verdana" w:cs="Times"/>
      <w:noProof/>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link w:val="Textonotapie"/>
    <w:qFormat/>
    <w:rsid w:val="006F5C6B"/>
    <w:rPr>
      <w:rFonts w:ascii="Verdana" w:eastAsia="Batang" w:hAnsi="Verdana" w:cs="Times"/>
      <w:noProof/>
      <w:sz w:val="16"/>
      <w:szCs w:val="20"/>
      <w:lang w:val="es-ES_tradnl"/>
    </w:rPr>
  </w:style>
  <w:style w:type="character" w:styleId="Textoennegrita">
    <w:name w:val="Strong"/>
    <w:aliases w:val="Heading 2.1"/>
    <w:basedOn w:val="Fuentedeprrafopredeter"/>
    <w:uiPriority w:val="22"/>
    <w:qFormat/>
    <w:rsid w:val="0003786A"/>
    <w:rPr>
      <w:b/>
      <w:bCs/>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
    <w:basedOn w:val="Fuentedeprrafopredeter"/>
    <w:link w:val="Prrafodelista"/>
    <w:locked/>
    <w:rsid w:val="00375DA4"/>
    <w:rPr>
      <w:rFonts w:ascii="Verdana" w:eastAsia="Batang" w:hAnsi="Verdana" w:cs="Times"/>
      <w:noProof/>
      <w:sz w:val="20"/>
      <w:szCs w:val="24"/>
      <w:lang w:val="es-ES_tradnl"/>
    </w:rPr>
  </w:style>
  <w:style w:type="paragraph" w:customStyle="1" w:styleId="Estilo1">
    <w:name w:val="Estilo1"/>
    <w:basedOn w:val="Normal"/>
    <w:link w:val="Estilo1Car"/>
    <w:qFormat/>
    <w:rsid w:val="00375DA4"/>
    <w:pPr>
      <w:spacing w:after="120"/>
      <w:ind w:left="2018" w:right="6" w:hanging="180"/>
    </w:pPr>
    <w:rPr>
      <w:i/>
    </w:rPr>
  </w:style>
  <w:style w:type="character" w:customStyle="1" w:styleId="Estilo1Car">
    <w:name w:val="Estilo1 Car"/>
    <w:basedOn w:val="Fuentedeprrafopredeter"/>
    <w:link w:val="Estilo1"/>
    <w:rsid w:val="00375DA4"/>
    <w:rPr>
      <w:rFonts w:ascii="Verdana" w:eastAsia="Batang" w:hAnsi="Verdana" w:cs="Times"/>
      <w:i/>
      <w:noProof/>
      <w:sz w:val="20"/>
      <w:szCs w:val="24"/>
      <w:lang w:val="es-ES_tradnl"/>
    </w:rPr>
  </w:style>
  <w:style w:type="character" w:customStyle="1" w:styleId="apple-converted-space">
    <w:name w:val="apple-converted-space"/>
    <w:basedOn w:val="Fuentedeprrafopredeter"/>
    <w:rsid w:val="003C30A5"/>
  </w:style>
  <w:style w:type="paragraph" w:styleId="TtulodeTDC">
    <w:name w:val="TOC Heading"/>
    <w:basedOn w:val="Ttulo1"/>
    <w:next w:val="Normal"/>
    <w:uiPriority w:val="39"/>
    <w:unhideWhenUsed/>
    <w:qFormat/>
    <w:rsid w:val="00206CEA"/>
    <w:pPr>
      <w:spacing w:before="480" w:after="0" w:line="276" w:lineRule="auto"/>
      <w:jc w:val="left"/>
      <w:outlineLvl w:val="9"/>
    </w:pPr>
    <w:rPr>
      <w:rFonts w:asciiTheme="majorHAnsi" w:eastAsiaTheme="majorEastAsia" w:hAnsiTheme="majorHAnsi" w:cstheme="majorBidi"/>
      <w:caps w:val="0"/>
      <w:snapToGrid/>
      <w:color w:val="365F91" w:themeColor="accent1" w:themeShade="BF"/>
      <w:sz w:val="28"/>
      <w:szCs w:val="28"/>
      <w:lang w:val="en-US" w:eastAsia="ja-JP"/>
    </w:rPr>
  </w:style>
  <w:style w:type="paragraph" w:styleId="Textodeglobo">
    <w:name w:val="Balloon Text"/>
    <w:basedOn w:val="Normal"/>
    <w:link w:val="TextodegloboCar"/>
    <w:uiPriority w:val="99"/>
    <w:unhideWhenUsed/>
    <w:rsid w:val="00206CEA"/>
    <w:rPr>
      <w:rFonts w:ascii="Tahoma" w:hAnsi="Tahoma" w:cs="Tahoma"/>
      <w:sz w:val="16"/>
      <w:szCs w:val="16"/>
    </w:rPr>
  </w:style>
  <w:style w:type="character" w:customStyle="1" w:styleId="TextodegloboCar">
    <w:name w:val="Texto de globo Car"/>
    <w:basedOn w:val="Fuentedeprrafopredeter"/>
    <w:link w:val="Textodeglobo"/>
    <w:uiPriority w:val="99"/>
    <w:rsid w:val="00206CEA"/>
    <w:rPr>
      <w:rFonts w:ascii="Tahoma" w:eastAsia="Batang" w:hAnsi="Tahoma" w:cs="Tahoma"/>
      <w:noProof/>
      <w:sz w:val="16"/>
      <w:szCs w:val="16"/>
      <w:lang w:val="es-ES_tradnl"/>
    </w:rPr>
  </w:style>
  <w:style w:type="table" w:styleId="Tablaconcuadrcula">
    <w:name w:val="Table Grid"/>
    <w:basedOn w:val="Tablanormal"/>
    <w:uiPriority w:val="99"/>
    <w:rsid w:val="007E7F4B"/>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2">
    <w:name w:val="toc 2"/>
    <w:basedOn w:val="Normal"/>
    <w:next w:val="Normal"/>
    <w:autoRedefine/>
    <w:uiPriority w:val="39"/>
    <w:unhideWhenUsed/>
    <w:rsid w:val="003E0964"/>
    <w:pPr>
      <w:tabs>
        <w:tab w:val="left" w:pos="660"/>
        <w:tab w:val="right" w:leader="dot" w:pos="9072"/>
      </w:tabs>
      <w:spacing w:after="60"/>
      <w:ind w:left="198" w:right="237"/>
    </w:pPr>
  </w:style>
  <w:style w:type="character" w:styleId="Refdecomentario">
    <w:name w:val="annotation reference"/>
    <w:basedOn w:val="Fuentedeprrafopredeter"/>
    <w:uiPriority w:val="99"/>
    <w:semiHidden/>
    <w:unhideWhenUsed/>
    <w:rsid w:val="00500859"/>
    <w:rPr>
      <w:sz w:val="16"/>
      <w:szCs w:val="16"/>
    </w:rPr>
  </w:style>
  <w:style w:type="paragraph" w:styleId="Textocomentario">
    <w:name w:val="annotation text"/>
    <w:basedOn w:val="Normal"/>
    <w:link w:val="TextocomentarioCar"/>
    <w:uiPriority w:val="99"/>
    <w:unhideWhenUsed/>
    <w:rsid w:val="00500859"/>
    <w:rPr>
      <w:szCs w:val="20"/>
    </w:rPr>
  </w:style>
  <w:style w:type="character" w:customStyle="1" w:styleId="TextocomentarioCar">
    <w:name w:val="Texto comentario Car"/>
    <w:basedOn w:val="Fuentedeprrafopredeter"/>
    <w:link w:val="Textocomentario"/>
    <w:uiPriority w:val="99"/>
    <w:rsid w:val="00500859"/>
    <w:rPr>
      <w:rFonts w:ascii="Verdana" w:eastAsia="Batang" w:hAnsi="Verdana" w:cs="Times"/>
      <w:noProof/>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500859"/>
    <w:rPr>
      <w:b/>
      <w:bCs/>
    </w:rPr>
  </w:style>
  <w:style w:type="character" w:customStyle="1" w:styleId="AsuntodelcomentarioCar">
    <w:name w:val="Asunto del comentario Car"/>
    <w:basedOn w:val="TextocomentarioCar"/>
    <w:link w:val="Asuntodelcomentario"/>
    <w:uiPriority w:val="99"/>
    <w:semiHidden/>
    <w:rsid w:val="00500859"/>
    <w:rPr>
      <w:rFonts w:ascii="Verdana" w:eastAsia="Batang" w:hAnsi="Verdana" w:cs="Times"/>
      <w:b/>
      <w:bCs/>
      <w:noProof/>
      <w:sz w:val="20"/>
      <w:szCs w:val="20"/>
      <w:lang w:val="es-ES_tradnl"/>
    </w:rPr>
  </w:style>
  <w:style w:type="paragraph" w:customStyle="1" w:styleId="Footnotes">
    <w:name w:val="**. Footnotes"/>
    <w:basedOn w:val="Textonotapie"/>
    <w:link w:val="FootnotesChar"/>
    <w:autoRedefine/>
    <w:qFormat/>
    <w:rsid w:val="005427F3"/>
    <w:pPr>
      <w:spacing w:before="60" w:after="60"/>
    </w:pPr>
    <w:rPr>
      <w:rFonts w:eastAsia="Times New Roman" w:cs="Palatino-Italic"/>
      <w:iCs/>
      <w:spacing w:val="-4"/>
      <w:szCs w:val="16"/>
      <w:lang w:val="es-ES" w:bidi="en-US"/>
    </w:rPr>
  </w:style>
  <w:style w:type="character" w:customStyle="1" w:styleId="FootnotesChar">
    <w:name w:val="**. Footnotes Char"/>
    <w:basedOn w:val="Fuentedeprrafopredeter"/>
    <w:link w:val="Footnotes"/>
    <w:rsid w:val="005427F3"/>
    <w:rPr>
      <w:rFonts w:ascii="Verdana" w:eastAsia="Times New Roman" w:hAnsi="Verdana" w:cs="Palatino-Italic"/>
      <w:iCs/>
      <w:spacing w:val="-4"/>
      <w:sz w:val="16"/>
      <w:szCs w:val="16"/>
      <w:lang w:bidi="en-US"/>
    </w:rPr>
  </w:style>
  <w:style w:type="character" w:customStyle="1" w:styleId="Ttulo6Car">
    <w:name w:val="Título 6 Car"/>
    <w:basedOn w:val="Fuentedeprrafopredeter"/>
    <w:link w:val="Ttulo6"/>
    <w:uiPriority w:val="9"/>
    <w:rsid w:val="009A2F04"/>
    <w:rPr>
      <w:rFonts w:ascii="Verdana" w:eastAsia="Times New Roman" w:hAnsi="Verdana" w:cs="Times New Roman"/>
      <w:spacing w:val="-2"/>
      <w:sz w:val="20"/>
      <w:szCs w:val="20"/>
      <w:lang w:val="es-ES_tradnl" w:eastAsia="es-CR"/>
    </w:rPr>
  </w:style>
  <w:style w:type="character" w:customStyle="1" w:styleId="Ttulo5Car">
    <w:name w:val="Título 5 Car"/>
    <w:basedOn w:val="Fuentedeprrafopredeter"/>
    <w:link w:val="Ttulo5"/>
    <w:uiPriority w:val="99"/>
    <w:rsid w:val="009A2F04"/>
    <w:rPr>
      <w:rFonts w:asciiTheme="majorHAnsi" w:eastAsiaTheme="majorEastAsia" w:hAnsiTheme="majorHAnsi" w:cstheme="majorBidi"/>
      <w:noProof/>
      <w:color w:val="243F60" w:themeColor="accent1" w:themeShade="7F"/>
      <w:sz w:val="20"/>
      <w:szCs w:val="24"/>
      <w:lang w:val="es-ES_tradnl"/>
    </w:rPr>
  </w:style>
  <w:style w:type="character" w:customStyle="1" w:styleId="Ttulo2Car">
    <w:name w:val="Título 2 Car"/>
    <w:basedOn w:val="Fuentedeprrafopredeter"/>
    <w:link w:val="Ttulo2"/>
    <w:uiPriority w:val="99"/>
    <w:rsid w:val="00F80DDB"/>
    <w:rPr>
      <w:rFonts w:asciiTheme="majorHAnsi" w:eastAsiaTheme="majorEastAsia" w:hAnsiTheme="majorHAnsi" w:cstheme="majorBidi"/>
      <w:b/>
      <w:bCs/>
      <w:noProof/>
      <w:color w:val="4F81BD" w:themeColor="accent1"/>
      <w:sz w:val="26"/>
      <w:szCs w:val="26"/>
      <w:lang w:val="es-ES_tradnl"/>
    </w:rPr>
  </w:style>
  <w:style w:type="character" w:customStyle="1" w:styleId="Ttulo3Car">
    <w:name w:val="Título 3 Car"/>
    <w:basedOn w:val="Fuentedeprrafopredeter"/>
    <w:link w:val="Ttulo3"/>
    <w:uiPriority w:val="9"/>
    <w:rsid w:val="00F80DDB"/>
    <w:rPr>
      <w:rFonts w:ascii="Verdana" w:eastAsiaTheme="majorEastAsia" w:hAnsi="Verdana" w:cstheme="majorBidi"/>
      <w:b/>
      <w:bCs/>
      <w:i/>
      <w:sz w:val="20"/>
      <w:szCs w:val="24"/>
      <w:lang w:val="es-ES_tradnl"/>
    </w:rPr>
  </w:style>
  <w:style w:type="character" w:customStyle="1" w:styleId="Ttulo4Car">
    <w:name w:val="Título 4 Car"/>
    <w:basedOn w:val="Fuentedeprrafopredeter"/>
    <w:link w:val="Ttulo4"/>
    <w:uiPriority w:val="99"/>
    <w:rsid w:val="00F80DDB"/>
    <w:rPr>
      <w:rFonts w:asciiTheme="majorHAnsi" w:eastAsiaTheme="majorEastAsia" w:hAnsiTheme="majorHAnsi" w:cstheme="majorBidi"/>
      <w:b/>
      <w:bCs/>
      <w:i/>
      <w:iCs/>
      <w:color w:val="4F81BD" w:themeColor="accent1"/>
      <w:sz w:val="20"/>
      <w:szCs w:val="24"/>
      <w:lang w:val="es-ES_tradnl"/>
    </w:rPr>
  </w:style>
  <w:style w:type="paragraph" w:customStyle="1" w:styleId="2Footnotes">
    <w:name w:val="2. Footnotes"/>
    <w:basedOn w:val="Textonotapie"/>
    <w:link w:val="2FootnotesChar"/>
    <w:autoRedefine/>
    <w:qFormat/>
    <w:rsid w:val="00F80DDB"/>
    <w:rPr>
      <w:rFonts w:eastAsia="Times New Roman" w:cs="Palatino-Italic"/>
      <w:iCs/>
      <w:szCs w:val="18"/>
      <w:lang w:val="es-ES"/>
    </w:rPr>
  </w:style>
  <w:style w:type="character" w:customStyle="1" w:styleId="2FootnotesChar">
    <w:name w:val="2. Footnotes Char"/>
    <w:link w:val="2Footnotes"/>
    <w:rsid w:val="00F80DDB"/>
    <w:rPr>
      <w:rFonts w:ascii="Verdana" w:eastAsia="Times New Roman" w:hAnsi="Verdana" w:cs="Palatino-Italic"/>
      <w:iCs/>
      <w:sz w:val="16"/>
      <w:szCs w:val="18"/>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80DDB"/>
    <w:rPr>
      <w:rFonts w:asciiTheme="minorHAnsi" w:eastAsiaTheme="minorHAnsi" w:hAnsiTheme="minorHAnsi" w:cs="Times New Roman"/>
      <w:sz w:val="22"/>
      <w:szCs w:val="20"/>
      <w:vertAlign w:val="superscript"/>
      <w:lang w:val="es-ES"/>
    </w:rPr>
  </w:style>
  <w:style w:type="character" w:customStyle="1" w:styleId="PrrafodeSentenciaChar">
    <w:name w:val="*. Párrafo de Sentencia Char"/>
    <w:link w:val="PrrafodeSentencia"/>
    <w:locked/>
    <w:rsid w:val="00CE4D25"/>
    <w:rPr>
      <w:rFonts w:ascii="Verdana" w:eastAsia="Batang" w:hAnsi="Verdana" w:cs="Arial"/>
      <w:sz w:val="20"/>
      <w:szCs w:val="20"/>
      <w:lang w:val="es-CR" w:eastAsia="es-MX"/>
    </w:rPr>
  </w:style>
  <w:style w:type="paragraph" w:customStyle="1" w:styleId="PrrafodeSentencia">
    <w:name w:val="*. Párrafo de Sentencia"/>
    <w:basedOn w:val="Textonotapie"/>
    <w:link w:val="PrrafodeSentenciaChar"/>
    <w:autoRedefine/>
    <w:qFormat/>
    <w:rsid w:val="00CE4D25"/>
    <w:pPr>
      <w:tabs>
        <w:tab w:val="left" w:pos="720"/>
      </w:tabs>
    </w:pPr>
    <w:rPr>
      <w:rFonts w:cs="Arial"/>
      <w:sz w:val="20"/>
      <w:lang w:val="es-CR" w:eastAsia="es-MX"/>
    </w:rPr>
  </w:style>
  <w:style w:type="character" w:customStyle="1" w:styleId="Smbolodenotaalpie">
    <w:name w:val="Símbolo de nota al pie"/>
    <w:rsid w:val="00577335"/>
    <w:rPr>
      <w:rFonts w:cs="Times New Roman"/>
      <w:szCs w:val="20"/>
      <w:vertAlign w:val="superscript"/>
    </w:rPr>
  </w:style>
  <w:style w:type="character" w:customStyle="1" w:styleId="Ttulo7Car">
    <w:name w:val="Título 7 Car"/>
    <w:basedOn w:val="Fuentedeprrafopredeter"/>
    <w:link w:val="Ttulo7"/>
    <w:uiPriority w:val="99"/>
    <w:rsid w:val="00BD53D7"/>
    <w:rPr>
      <w:rFonts w:ascii="Times New Roman" w:eastAsia="Times New Roman" w:hAnsi="Times New Roman" w:cs="Times New Roman"/>
      <w:sz w:val="24"/>
      <w:szCs w:val="24"/>
      <w:lang w:val="es-ES_tradnl" w:eastAsia="es-ES"/>
    </w:rPr>
  </w:style>
  <w:style w:type="character" w:customStyle="1" w:styleId="Ttulo8Car">
    <w:name w:val="Título 8 Car"/>
    <w:basedOn w:val="Fuentedeprrafopredeter"/>
    <w:link w:val="Ttulo8"/>
    <w:uiPriority w:val="99"/>
    <w:rsid w:val="00BD53D7"/>
    <w:rPr>
      <w:rFonts w:ascii="Times New Roman" w:eastAsia="Times New Roman" w:hAnsi="Times New Roman" w:cs="Times New Roman"/>
      <w:i/>
      <w:iCs/>
      <w:sz w:val="24"/>
      <w:szCs w:val="24"/>
      <w:lang w:val="es-ES_tradnl" w:eastAsia="es-ES"/>
    </w:rPr>
  </w:style>
  <w:style w:type="character" w:customStyle="1" w:styleId="Ttulo9Car">
    <w:name w:val="Título 9 Car"/>
    <w:basedOn w:val="Fuentedeprrafopredeter"/>
    <w:link w:val="Ttulo9"/>
    <w:uiPriority w:val="99"/>
    <w:rsid w:val="00BD53D7"/>
    <w:rPr>
      <w:rFonts w:ascii="Arial" w:eastAsia="Times New Roman" w:hAnsi="Arial" w:cs="Times New Roman"/>
      <w:lang w:val="es-ES_tradnl"/>
    </w:rPr>
  </w:style>
  <w:style w:type="character" w:styleId="Nmerodelnea">
    <w:name w:val="line number"/>
    <w:basedOn w:val="Fuentedeprrafopredeter"/>
    <w:uiPriority w:val="99"/>
    <w:semiHidden/>
    <w:unhideWhenUsed/>
    <w:rsid w:val="00BD53D7"/>
  </w:style>
  <w:style w:type="paragraph" w:styleId="NormalWeb">
    <w:name w:val="Normal (Web)"/>
    <w:aliases w:val="Normal (Web) Char1,Normal (Web) Char Char,Normal (Web) Char1 Char,Normal (Web) Char Char Char"/>
    <w:basedOn w:val="Normal"/>
    <w:uiPriority w:val="99"/>
    <w:rsid w:val="00BD53D7"/>
    <w:pPr>
      <w:spacing w:before="100" w:beforeAutospacing="1" w:after="100" w:afterAutospacing="1" w:line="276" w:lineRule="auto"/>
      <w:jc w:val="left"/>
    </w:pPr>
    <w:rPr>
      <w:rFonts w:ascii="Arial Unicode MS" w:eastAsia="Times New Roman" w:hAnsi="Arial Unicode MS" w:cs="Arial Unicode MS"/>
      <w:sz w:val="16"/>
      <w:szCs w:val="16"/>
      <w:lang w:val="en-US"/>
    </w:rPr>
  </w:style>
  <w:style w:type="paragraph" w:styleId="Textonotaalfinal">
    <w:name w:val="endnote text"/>
    <w:basedOn w:val="Normal"/>
    <w:link w:val="TextonotaalfinalCar"/>
    <w:uiPriority w:val="99"/>
    <w:semiHidden/>
    <w:rsid w:val="00BD53D7"/>
    <w:pPr>
      <w:widowControl w:val="0"/>
      <w:tabs>
        <w:tab w:val="left" w:pos="720"/>
        <w:tab w:val="left" w:pos="1440"/>
        <w:tab w:val="left" w:pos="2160"/>
        <w:tab w:val="left" w:pos="2880"/>
        <w:tab w:val="left" w:pos="3600"/>
        <w:tab w:val="left" w:pos="4320"/>
        <w:tab w:val="left" w:pos="5760"/>
        <w:tab w:val="left" w:pos="6480"/>
        <w:tab w:val="left" w:pos="7200"/>
        <w:tab w:val="left" w:pos="7920"/>
      </w:tabs>
      <w:spacing w:before="60" w:after="60" w:line="276" w:lineRule="auto"/>
    </w:pPr>
    <w:rPr>
      <w:rFonts w:ascii="CG Times" w:eastAsia="Times New Roman" w:hAnsi="CG Times" w:cs="Times New Roman"/>
      <w:sz w:val="22"/>
      <w:szCs w:val="20"/>
      <w:lang w:val="es-ES"/>
    </w:rPr>
  </w:style>
  <w:style w:type="character" w:customStyle="1" w:styleId="TextonotaalfinalCar">
    <w:name w:val="Texto nota al final Car"/>
    <w:basedOn w:val="Fuentedeprrafopredeter"/>
    <w:link w:val="Textonotaalfinal"/>
    <w:uiPriority w:val="99"/>
    <w:semiHidden/>
    <w:rsid w:val="00BD53D7"/>
    <w:rPr>
      <w:rFonts w:ascii="CG Times" w:eastAsia="Times New Roman" w:hAnsi="CG Times" w:cs="Times New Roman"/>
      <w:szCs w:val="20"/>
    </w:rPr>
  </w:style>
  <w:style w:type="character" w:styleId="Nmerodepgina">
    <w:name w:val="page number"/>
    <w:basedOn w:val="Fuentedeprrafopredeter"/>
    <w:uiPriority w:val="99"/>
    <w:rsid w:val="00BD53D7"/>
    <w:rPr>
      <w:rFonts w:cs="Times New Roman"/>
    </w:rPr>
  </w:style>
  <w:style w:type="paragraph" w:styleId="Sangradetextonormal">
    <w:name w:val="Body Text Indent"/>
    <w:basedOn w:val="Normal"/>
    <w:link w:val="SangradetextonormalCar"/>
    <w:uiPriority w:val="99"/>
    <w:rsid w:val="00BD53D7"/>
    <w:pPr>
      <w:spacing w:before="60" w:after="60" w:line="276" w:lineRule="auto"/>
      <w:ind w:left="720"/>
    </w:pPr>
    <w:rPr>
      <w:rFonts w:ascii="Univers" w:eastAsia="Times New Roman" w:hAnsi="Univers" w:cs="Times New Roman"/>
      <w:szCs w:val="20"/>
      <w:lang w:val="es-CL"/>
    </w:rPr>
  </w:style>
  <w:style w:type="character" w:customStyle="1" w:styleId="SangradetextonormalCar">
    <w:name w:val="Sangría de texto normal Car"/>
    <w:basedOn w:val="Fuentedeprrafopredeter"/>
    <w:link w:val="Sangradetextonormal"/>
    <w:uiPriority w:val="99"/>
    <w:rsid w:val="00BD53D7"/>
    <w:rPr>
      <w:rFonts w:ascii="Univers" w:eastAsia="Times New Roman" w:hAnsi="Univers" w:cs="Times New Roman"/>
      <w:sz w:val="20"/>
      <w:szCs w:val="20"/>
      <w:lang w:val="es-CL"/>
    </w:rPr>
  </w:style>
  <w:style w:type="paragraph" w:styleId="Textoindependiente">
    <w:name w:val="Body Text"/>
    <w:basedOn w:val="Normal"/>
    <w:link w:val="TextoindependienteCar"/>
    <w:uiPriority w:val="99"/>
    <w:rsid w:val="00BD53D7"/>
    <w:pPr>
      <w:spacing w:before="60" w:after="60" w:line="276" w:lineRule="auto"/>
    </w:pPr>
    <w:rPr>
      <w:rFonts w:ascii="Univers" w:eastAsia="Times New Roman" w:hAnsi="Univers" w:cs="Times New Roman"/>
      <w:sz w:val="22"/>
      <w:szCs w:val="20"/>
      <w:lang w:val="es-CL"/>
    </w:rPr>
  </w:style>
  <w:style w:type="character" w:customStyle="1" w:styleId="TextoindependienteCar">
    <w:name w:val="Texto independiente Car"/>
    <w:basedOn w:val="Fuentedeprrafopredeter"/>
    <w:link w:val="Textoindependiente"/>
    <w:uiPriority w:val="99"/>
    <w:rsid w:val="00BD53D7"/>
    <w:rPr>
      <w:rFonts w:ascii="Univers" w:eastAsia="Times New Roman" w:hAnsi="Univers" w:cs="Times New Roman"/>
      <w:szCs w:val="20"/>
      <w:lang w:val="es-CL"/>
    </w:rPr>
  </w:style>
  <w:style w:type="paragraph" w:styleId="Textoindependiente2">
    <w:name w:val="Body Text 2"/>
    <w:basedOn w:val="Normal"/>
    <w:link w:val="Textoindependiente2Car"/>
    <w:uiPriority w:val="99"/>
    <w:rsid w:val="00BD53D7"/>
    <w:pPr>
      <w:spacing w:before="60" w:after="120" w:line="480" w:lineRule="auto"/>
      <w:jc w:val="left"/>
    </w:pPr>
    <w:rPr>
      <w:rFonts w:ascii="Times New Roman" w:eastAsia="Times New Roman" w:hAnsi="Times New Roman" w:cs="Times New Roman"/>
      <w:sz w:val="24"/>
    </w:rPr>
  </w:style>
  <w:style w:type="character" w:customStyle="1" w:styleId="Textoindependiente2Car">
    <w:name w:val="Texto independiente 2 Car"/>
    <w:basedOn w:val="Fuentedeprrafopredeter"/>
    <w:link w:val="Textoindependiente2"/>
    <w:uiPriority w:val="99"/>
    <w:rsid w:val="00BD53D7"/>
    <w:rPr>
      <w:rFonts w:ascii="Times New Roman" w:eastAsia="Times New Roman" w:hAnsi="Times New Roman" w:cs="Times New Roman"/>
      <w:sz w:val="24"/>
      <w:szCs w:val="24"/>
      <w:lang w:val="es-ES_tradnl"/>
    </w:rPr>
  </w:style>
  <w:style w:type="paragraph" w:styleId="Sangra2detindependiente">
    <w:name w:val="Body Text Indent 2"/>
    <w:basedOn w:val="Normal"/>
    <w:link w:val="Sangra2detindependienteCar"/>
    <w:uiPriority w:val="99"/>
    <w:rsid w:val="00BD53D7"/>
    <w:pPr>
      <w:spacing w:before="60" w:after="120" w:line="480" w:lineRule="auto"/>
      <w:ind w:left="283"/>
      <w:jc w:val="left"/>
    </w:pPr>
    <w:rPr>
      <w:rFonts w:ascii="Times New Roman" w:eastAsia="Times New Roman" w:hAnsi="Times New Roman" w:cs="Times New Roman"/>
      <w:sz w:val="24"/>
      <w:szCs w:val="20"/>
    </w:rPr>
  </w:style>
  <w:style w:type="character" w:customStyle="1" w:styleId="Sangra2detindependienteCar">
    <w:name w:val="Sangría 2 de t. independiente Car"/>
    <w:basedOn w:val="Fuentedeprrafopredeter"/>
    <w:link w:val="Sangra2detindependiente"/>
    <w:uiPriority w:val="99"/>
    <w:rsid w:val="00BD53D7"/>
    <w:rPr>
      <w:rFonts w:ascii="Times New Roman" w:eastAsia="Times New Roman" w:hAnsi="Times New Roman" w:cs="Times New Roman"/>
      <w:sz w:val="24"/>
      <w:szCs w:val="20"/>
      <w:lang w:val="es-ES_tradnl"/>
    </w:rPr>
  </w:style>
  <w:style w:type="character" w:styleId="nfasis">
    <w:name w:val="Emphasis"/>
    <w:basedOn w:val="Fuentedeprrafopredeter"/>
    <w:uiPriority w:val="20"/>
    <w:qFormat/>
    <w:rsid w:val="00BD53D7"/>
    <w:rPr>
      <w:rFonts w:cs="Times New Roman"/>
      <w:i/>
      <w:iCs/>
    </w:rPr>
  </w:style>
  <w:style w:type="paragraph" w:styleId="Sangra3detindependiente">
    <w:name w:val="Body Text Indent 3"/>
    <w:basedOn w:val="Normal"/>
    <w:link w:val="Sangra3detindependienteCar"/>
    <w:uiPriority w:val="99"/>
    <w:rsid w:val="00BD53D7"/>
    <w:pPr>
      <w:spacing w:before="60" w:after="120" w:line="276" w:lineRule="auto"/>
      <w:ind w:left="283"/>
      <w:jc w:val="left"/>
    </w:pPr>
    <w:rPr>
      <w:rFonts w:ascii="Times New Roman" w:eastAsia="Times New Roman" w:hAnsi="Times New Roman"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BD53D7"/>
    <w:rPr>
      <w:rFonts w:ascii="Times New Roman" w:eastAsia="Times New Roman" w:hAnsi="Times New Roman" w:cs="Times New Roman"/>
      <w:sz w:val="16"/>
      <w:szCs w:val="16"/>
    </w:rPr>
  </w:style>
  <w:style w:type="paragraph" w:styleId="Textoindependiente3">
    <w:name w:val="Body Text 3"/>
    <w:basedOn w:val="Normal"/>
    <w:link w:val="Textoindependiente3Car"/>
    <w:uiPriority w:val="99"/>
    <w:rsid w:val="00BD53D7"/>
    <w:pPr>
      <w:spacing w:before="60" w:after="120" w:line="276" w:lineRule="auto"/>
      <w:jc w:val="left"/>
    </w:pPr>
    <w:rPr>
      <w:rFonts w:ascii="Times New Roman" w:eastAsia="Times New Roman" w:hAnsi="Times New Roman" w:cs="Times New Roman"/>
      <w:sz w:val="16"/>
      <w:szCs w:val="16"/>
      <w:lang w:val="es-ES"/>
    </w:rPr>
  </w:style>
  <w:style w:type="character" w:customStyle="1" w:styleId="Textoindependiente3Car">
    <w:name w:val="Texto independiente 3 Car"/>
    <w:basedOn w:val="Fuentedeprrafopredeter"/>
    <w:link w:val="Textoindependiente3"/>
    <w:uiPriority w:val="99"/>
    <w:rsid w:val="00BD53D7"/>
    <w:rPr>
      <w:rFonts w:ascii="Times New Roman" w:eastAsia="Times New Roman" w:hAnsi="Times New Roman" w:cs="Times New Roman"/>
      <w:sz w:val="16"/>
      <w:szCs w:val="16"/>
    </w:rPr>
  </w:style>
  <w:style w:type="character" w:customStyle="1" w:styleId="Smbolodenotaalpie0">
    <w:name w:val="S√mbolo de nota al pie"/>
    <w:uiPriority w:val="99"/>
    <w:rsid w:val="00BD53D7"/>
    <w:rPr>
      <w:vertAlign w:val="superscript"/>
    </w:rPr>
  </w:style>
  <w:style w:type="character" w:customStyle="1" w:styleId="FootnoteCharacters">
    <w:name w:val="Footnote Characters"/>
    <w:basedOn w:val="Fuentedeprrafopredeter"/>
    <w:uiPriority w:val="99"/>
    <w:rsid w:val="00BD53D7"/>
    <w:rPr>
      <w:rFonts w:cs="Times New Roman"/>
      <w:vertAlign w:val="superscript"/>
    </w:rPr>
  </w:style>
  <w:style w:type="paragraph" w:customStyle="1" w:styleId="negritamayuscula">
    <w:name w:val="negrita mayuscula"/>
    <w:basedOn w:val="Normal"/>
    <w:uiPriority w:val="99"/>
    <w:rsid w:val="00BD53D7"/>
    <w:pPr>
      <w:widowControl w:val="0"/>
      <w:tabs>
        <w:tab w:val="left" w:pos="1120"/>
      </w:tabs>
      <w:spacing w:before="60" w:after="60" w:line="360" w:lineRule="atLeast"/>
    </w:pPr>
    <w:rPr>
      <w:rFonts w:ascii="Garamond" w:eastAsia="Times New Roman" w:hAnsi="Garamond" w:cs="Times New Roman"/>
      <w:sz w:val="24"/>
      <w:szCs w:val="20"/>
    </w:rPr>
  </w:style>
  <w:style w:type="paragraph" w:customStyle="1" w:styleId="Default">
    <w:name w:val="Default"/>
    <w:rsid w:val="00BD53D7"/>
    <w:pPr>
      <w:autoSpaceDE w:val="0"/>
      <w:autoSpaceDN w:val="0"/>
      <w:adjustRightInd w:val="0"/>
      <w:spacing w:before="60" w:after="0" w:line="240" w:lineRule="auto"/>
    </w:pPr>
    <w:rPr>
      <w:rFonts w:ascii="Arial" w:eastAsia="Times New Roman" w:hAnsi="Arial" w:cs="Arial"/>
      <w:color w:val="000000"/>
      <w:sz w:val="24"/>
      <w:szCs w:val="24"/>
      <w:lang w:val="en-US"/>
    </w:rPr>
  </w:style>
  <w:style w:type="paragraph" w:customStyle="1" w:styleId="newsbody">
    <w:name w:val="news_body"/>
    <w:basedOn w:val="Normal"/>
    <w:uiPriority w:val="99"/>
    <w:rsid w:val="00BD53D7"/>
    <w:pPr>
      <w:spacing w:before="100" w:beforeAutospacing="1" w:after="100" w:afterAutospacing="1" w:line="276" w:lineRule="auto"/>
      <w:jc w:val="left"/>
    </w:pPr>
    <w:rPr>
      <w:rFonts w:eastAsia="Times New Roman" w:cs="Times New Roman"/>
      <w:color w:val="000000"/>
      <w:spacing w:val="3"/>
      <w:sz w:val="18"/>
      <w:szCs w:val="18"/>
      <w:lang w:val="es-ES" w:eastAsia="es-ES"/>
    </w:rPr>
  </w:style>
  <w:style w:type="paragraph" w:customStyle="1" w:styleId="Titre1">
    <w:name w:val="Titre 1"/>
    <w:basedOn w:val="Normal"/>
    <w:uiPriority w:val="99"/>
    <w:rsid w:val="00BD53D7"/>
    <w:pPr>
      <w:numPr>
        <w:numId w:val="5"/>
      </w:numPr>
      <w:tabs>
        <w:tab w:val="num" w:pos="1080"/>
      </w:tabs>
      <w:spacing w:before="60" w:after="60" w:line="276" w:lineRule="auto"/>
      <w:ind w:left="1080" w:hanging="720"/>
      <w:jc w:val="center"/>
    </w:pPr>
    <w:rPr>
      <w:rFonts w:eastAsia="Times New Roman" w:cs="Times New Roman"/>
      <w:b/>
      <w:caps/>
      <w:szCs w:val="20"/>
      <w:lang w:val="es-ES" w:eastAsia="es-ES"/>
    </w:rPr>
  </w:style>
  <w:style w:type="paragraph" w:styleId="Listaconvietas">
    <w:name w:val="List Bullet"/>
    <w:basedOn w:val="Normal"/>
    <w:uiPriority w:val="99"/>
    <w:rsid w:val="00BD53D7"/>
    <w:pPr>
      <w:numPr>
        <w:numId w:val="4"/>
      </w:numPr>
      <w:tabs>
        <w:tab w:val="clear" w:pos="360"/>
        <w:tab w:val="num" w:pos="780"/>
      </w:tabs>
      <w:spacing w:before="60" w:after="60" w:line="276" w:lineRule="auto"/>
      <w:jc w:val="left"/>
    </w:pPr>
    <w:rPr>
      <w:rFonts w:ascii="Times New Roman" w:eastAsia="Times New Roman" w:hAnsi="Times New Roman" w:cs="Times New Roman"/>
      <w:sz w:val="24"/>
      <w:lang w:val="es-ES"/>
    </w:rPr>
  </w:style>
  <w:style w:type="character" w:customStyle="1" w:styleId="CarCar">
    <w:name w:val="Car Car"/>
    <w:basedOn w:val="Fuentedeprrafopredeter"/>
    <w:uiPriority w:val="99"/>
    <w:rsid w:val="00BD53D7"/>
    <w:rPr>
      <w:rFonts w:cs="Times New Roman"/>
      <w:sz w:val="24"/>
      <w:lang w:val="es-ES" w:eastAsia="en-US"/>
    </w:rPr>
  </w:style>
  <w:style w:type="paragraph" w:styleId="Lista2">
    <w:name w:val="List 2"/>
    <w:basedOn w:val="Normal"/>
    <w:uiPriority w:val="99"/>
    <w:rsid w:val="00BD53D7"/>
    <w:pPr>
      <w:spacing w:before="60" w:after="60" w:line="276" w:lineRule="auto"/>
      <w:ind w:left="566" w:hanging="283"/>
      <w:jc w:val="left"/>
    </w:pPr>
    <w:rPr>
      <w:rFonts w:ascii="Times New Roman" w:eastAsia="Times New Roman" w:hAnsi="Times New Roman" w:cs="Times New Roman"/>
      <w:sz w:val="28"/>
      <w:szCs w:val="28"/>
      <w:lang w:val="es-ES" w:eastAsia="es-ES"/>
    </w:rPr>
  </w:style>
  <w:style w:type="paragraph" w:styleId="Textodebloque">
    <w:name w:val="Block Text"/>
    <w:basedOn w:val="Normal"/>
    <w:uiPriority w:val="99"/>
    <w:rsid w:val="00BD53D7"/>
    <w:pPr>
      <w:spacing w:before="60" w:after="60" w:line="360" w:lineRule="auto"/>
      <w:ind w:left="1259" w:right="919"/>
    </w:pPr>
    <w:rPr>
      <w:rFonts w:ascii="Times New Roman" w:eastAsia="Times New Roman" w:hAnsi="Times New Roman" w:cs="Times New Roman"/>
      <w:sz w:val="28"/>
      <w:lang w:val="es-ES" w:eastAsia="es-ES"/>
    </w:rPr>
  </w:style>
  <w:style w:type="paragraph" w:customStyle="1" w:styleId="textoparrafo">
    <w:name w:val="textoparrafo"/>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s-ES" w:eastAsia="es-ES"/>
    </w:rPr>
  </w:style>
  <w:style w:type="paragraph" w:customStyle="1" w:styleId="Prrafodelista1">
    <w:name w:val="P∑rrafo de lista1"/>
    <w:basedOn w:val="Normal"/>
    <w:uiPriority w:val="99"/>
    <w:rsid w:val="00BD53D7"/>
    <w:pPr>
      <w:spacing w:before="60" w:after="60" w:line="276" w:lineRule="auto"/>
      <w:ind w:left="720"/>
      <w:contextualSpacing/>
      <w:jc w:val="left"/>
    </w:pPr>
    <w:rPr>
      <w:rFonts w:ascii="Times New Roman" w:eastAsia="Times New Roman" w:hAnsi="Times New Roman" w:cs="Times New Roman"/>
      <w:sz w:val="24"/>
    </w:rPr>
  </w:style>
  <w:style w:type="paragraph" w:customStyle="1" w:styleId="StyleHeading2LatinTimesNewRomanAsianBatang12ptN">
    <w:name w:val="Style Heading 2 + (Latin) Times New Roman (Asian) Batang 12 pt N..."/>
    <w:basedOn w:val="Ttulo2"/>
    <w:next w:val="Normal"/>
    <w:uiPriority w:val="99"/>
    <w:rsid w:val="00BD53D7"/>
    <w:pPr>
      <w:numPr>
        <w:ilvl w:val="1"/>
      </w:numPr>
      <w:tabs>
        <w:tab w:val="num" w:pos="576"/>
      </w:tabs>
      <w:spacing w:before="0" w:line="276" w:lineRule="auto"/>
      <w:ind w:left="576" w:hanging="576"/>
    </w:pPr>
    <w:rPr>
      <w:rFonts w:ascii="Times New Roman" w:eastAsia="Batang" w:hAnsi="Times New Roman" w:cs="Times New Roman"/>
      <w:i/>
      <w:color w:val="365F91"/>
      <w:sz w:val="24"/>
      <w:szCs w:val="20"/>
      <w:lang w:eastAsia="es-ES"/>
    </w:rPr>
  </w:style>
  <w:style w:type="character" w:customStyle="1" w:styleId="documentbody">
    <w:name w:val="documentbody"/>
    <w:basedOn w:val="Fuentedeprrafopredeter"/>
    <w:uiPriority w:val="99"/>
    <w:rsid w:val="00BD53D7"/>
    <w:rPr>
      <w:rFonts w:cs="Times New Roman"/>
    </w:rPr>
  </w:style>
  <w:style w:type="paragraph" w:customStyle="1" w:styleId="JuPara">
    <w:name w:val="Ju_Para"/>
    <w:basedOn w:val="Normal"/>
    <w:uiPriority w:val="99"/>
    <w:rsid w:val="00BD53D7"/>
    <w:pPr>
      <w:suppressAutoHyphens/>
      <w:spacing w:before="240" w:after="240" w:line="276" w:lineRule="auto"/>
      <w:ind w:firstLine="284"/>
    </w:pPr>
    <w:rPr>
      <w:rFonts w:ascii="Times New Roman" w:eastAsia="Times New Roman" w:hAnsi="Times New Roman" w:cs="Times New Roman"/>
      <w:sz w:val="24"/>
      <w:szCs w:val="20"/>
      <w:lang w:val="en-GB"/>
    </w:rPr>
  </w:style>
  <w:style w:type="paragraph" w:customStyle="1" w:styleId="Index91">
    <w:name w:val="Index 91"/>
    <w:basedOn w:val="Normal"/>
    <w:uiPriority w:val="99"/>
    <w:rsid w:val="00BD53D7"/>
    <w:pPr>
      <w:spacing w:before="60" w:after="60" w:line="276" w:lineRule="auto"/>
      <w:jc w:val="center"/>
    </w:pPr>
    <w:rPr>
      <w:rFonts w:ascii="Apple Chancery" w:eastAsia="Times New Roman" w:hAnsi="Apple Chancery" w:cs="Times New Roman"/>
      <w:b/>
      <w:sz w:val="24"/>
      <w:szCs w:val="20"/>
      <w:lang w:eastAsia="es-ES"/>
    </w:rPr>
  </w:style>
  <w:style w:type="paragraph" w:customStyle="1" w:styleId="Textoindependiente21">
    <w:name w:val="Texto independiente 21"/>
    <w:basedOn w:val="Normal"/>
    <w:uiPriority w:val="99"/>
    <w:rsid w:val="00BD53D7"/>
    <w:pPr>
      <w:spacing w:before="60" w:after="60" w:line="360" w:lineRule="atLeast"/>
    </w:pPr>
    <w:rPr>
      <w:rFonts w:eastAsia="Times New Roman" w:cs="Times New Roman"/>
      <w:szCs w:val="20"/>
      <w:lang w:eastAsia="es-ES"/>
    </w:rPr>
  </w:style>
  <w:style w:type="character" w:customStyle="1" w:styleId="Refdenotaalpie7">
    <w:name w:val="Ref. de nota al pie7"/>
    <w:uiPriority w:val="99"/>
    <w:rsid w:val="00BD53D7"/>
    <w:rPr>
      <w:vertAlign w:val="superscript"/>
    </w:rPr>
  </w:style>
  <w:style w:type="paragraph" w:styleId="Sinespaciado">
    <w:name w:val="No Spacing"/>
    <w:uiPriority w:val="99"/>
    <w:qFormat/>
    <w:rsid w:val="00BD53D7"/>
    <w:pPr>
      <w:spacing w:before="60" w:after="0" w:line="240" w:lineRule="auto"/>
    </w:pPr>
    <w:rPr>
      <w:rFonts w:ascii="Calibri" w:eastAsia="Times New Roman" w:hAnsi="Calibri" w:cs="Times New Roman"/>
    </w:rPr>
  </w:style>
  <w:style w:type="paragraph" w:customStyle="1" w:styleId="Normal6">
    <w:name w:val="Normal+6"/>
    <w:basedOn w:val="Normal"/>
    <w:next w:val="Normal"/>
    <w:uiPriority w:val="99"/>
    <w:rsid w:val="00BD53D7"/>
    <w:pPr>
      <w:autoSpaceDE w:val="0"/>
      <w:autoSpaceDN w:val="0"/>
      <w:adjustRightInd w:val="0"/>
      <w:spacing w:before="60" w:after="60" w:line="276" w:lineRule="auto"/>
      <w:jc w:val="left"/>
    </w:pPr>
    <w:rPr>
      <w:rFonts w:ascii="Times New Roman" w:eastAsia="Times New Roman" w:hAnsi="Times New Roman" w:cs="Times New Roman"/>
      <w:sz w:val="24"/>
      <w:lang w:val="es-ES" w:eastAsia="es-ES"/>
    </w:rPr>
  </w:style>
  <w:style w:type="character" w:customStyle="1" w:styleId="googqs-tidbit1">
    <w:name w:val="goog_qs-tidbit1"/>
    <w:basedOn w:val="Fuentedeprrafopredeter"/>
    <w:uiPriority w:val="99"/>
    <w:rsid w:val="00BD53D7"/>
    <w:rPr>
      <w:rFonts w:cs="Times New Roman"/>
    </w:rPr>
  </w:style>
  <w:style w:type="character" w:customStyle="1" w:styleId="apple-style-span">
    <w:name w:val="apple-style-span"/>
    <w:basedOn w:val="Fuentedeprrafopredeter"/>
    <w:uiPriority w:val="99"/>
    <w:rsid w:val="00BD53D7"/>
    <w:rPr>
      <w:rFonts w:cs="Times New Roman"/>
    </w:rPr>
  </w:style>
  <w:style w:type="character" w:customStyle="1" w:styleId="WW8Num5z1">
    <w:name w:val="WW8Num5z1"/>
    <w:uiPriority w:val="99"/>
    <w:rsid w:val="00BD53D7"/>
    <w:rPr>
      <w:rFonts w:ascii="Courier New" w:hAnsi="Courier New"/>
    </w:rPr>
  </w:style>
  <w:style w:type="character" w:customStyle="1" w:styleId="A10">
    <w:name w:val="A10"/>
    <w:uiPriority w:val="99"/>
    <w:rsid w:val="00BD53D7"/>
    <w:rPr>
      <w:color w:val="000000"/>
      <w:sz w:val="11"/>
    </w:rPr>
  </w:style>
  <w:style w:type="paragraph" w:customStyle="1" w:styleId="MacroText1">
    <w:name w:val="Macro Text1"/>
    <w:basedOn w:val="Normal"/>
    <w:uiPriority w:val="99"/>
    <w:rsid w:val="00BD53D7"/>
    <w:pPr>
      <w:suppressAutoHyphens/>
      <w:spacing w:before="60" w:after="60" w:line="276" w:lineRule="auto"/>
      <w:jc w:val="left"/>
    </w:pPr>
    <w:rPr>
      <w:rFonts w:eastAsia="Times New Roman" w:cs="Times New Roman"/>
      <w:sz w:val="24"/>
      <w:szCs w:val="20"/>
      <w:lang w:eastAsia="ar-SA"/>
    </w:rPr>
  </w:style>
  <w:style w:type="paragraph" w:customStyle="1" w:styleId="ju-005fpara-0020char1-0020char-0020char-0020char-0020char-0020char">
    <w:name w:val="ju-005fpara-0020char1-0020char-0020char-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paragraph" w:customStyle="1" w:styleId="ju-005fpara-0020char-0020char-0020char">
    <w:name w:val="ju-005fpara-0020char-0020char-0020char"/>
    <w:basedOn w:val="Normal"/>
    <w:uiPriority w:val="99"/>
    <w:rsid w:val="00BD53D7"/>
    <w:pPr>
      <w:spacing w:before="100" w:beforeAutospacing="1" w:after="100" w:afterAutospacing="1" w:line="276" w:lineRule="auto"/>
      <w:jc w:val="left"/>
    </w:pPr>
    <w:rPr>
      <w:rFonts w:ascii="Times New Roman" w:eastAsia="Times New Roman" w:hAnsi="Times New Roman" w:cs="Times New Roman"/>
      <w:sz w:val="24"/>
      <w:lang w:val="en-US"/>
    </w:rPr>
  </w:style>
  <w:style w:type="character" w:customStyle="1" w:styleId="ju-005fpara-0020char-0020char-0020char--char">
    <w:name w:val="ju-005fpara-0020char-0020char-0020char--char"/>
    <w:basedOn w:val="Fuentedeprrafopredeter"/>
    <w:uiPriority w:val="99"/>
    <w:rsid w:val="00BD53D7"/>
    <w:rPr>
      <w:rFonts w:cs="Times New Roman"/>
    </w:rPr>
  </w:style>
  <w:style w:type="character" w:styleId="Hipervnculovisitado">
    <w:name w:val="FollowedHyperlink"/>
    <w:basedOn w:val="Fuentedeprrafopredeter"/>
    <w:uiPriority w:val="99"/>
    <w:rsid w:val="00BD53D7"/>
    <w:rPr>
      <w:rFonts w:cs="Times New Roman"/>
      <w:color w:val="800080"/>
      <w:u w:val="single"/>
    </w:rPr>
  </w:style>
  <w:style w:type="paragraph" w:customStyle="1" w:styleId="western">
    <w:name w:val="western"/>
    <w:basedOn w:val="Normal"/>
    <w:uiPriority w:val="99"/>
    <w:rsid w:val="00BD53D7"/>
    <w:pPr>
      <w:spacing w:before="100" w:beforeAutospacing="1" w:after="60" w:line="276" w:lineRule="auto"/>
    </w:pPr>
    <w:rPr>
      <w:rFonts w:ascii="Times New Roman" w:eastAsia="Times New Roman" w:hAnsi="Times New Roman" w:cs="Times New Roman"/>
      <w:color w:val="000000"/>
      <w:sz w:val="28"/>
      <w:szCs w:val="28"/>
      <w:lang w:val="en-US"/>
    </w:rPr>
  </w:style>
  <w:style w:type="paragraph" w:customStyle="1" w:styleId="CM124">
    <w:name w:val="CM124"/>
    <w:basedOn w:val="Default"/>
    <w:next w:val="Default"/>
    <w:uiPriority w:val="99"/>
    <w:rsid w:val="00BD53D7"/>
    <w:pPr>
      <w:widowControl w:val="0"/>
    </w:pPr>
    <w:rPr>
      <w:color w:val="auto"/>
    </w:rPr>
  </w:style>
  <w:style w:type="paragraph" w:customStyle="1" w:styleId="CM125">
    <w:name w:val="CM125"/>
    <w:basedOn w:val="Default"/>
    <w:next w:val="Default"/>
    <w:uiPriority w:val="99"/>
    <w:rsid w:val="00BD53D7"/>
    <w:pPr>
      <w:widowControl w:val="0"/>
    </w:pPr>
    <w:rPr>
      <w:color w:val="auto"/>
    </w:rPr>
  </w:style>
  <w:style w:type="paragraph" w:customStyle="1" w:styleId="CM129">
    <w:name w:val="CM129"/>
    <w:basedOn w:val="Default"/>
    <w:next w:val="Default"/>
    <w:uiPriority w:val="99"/>
    <w:rsid w:val="00BD53D7"/>
    <w:pPr>
      <w:widowControl w:val="0"/>
    </w:pPr>
    <w:rPr>
      <w:color w:val="auto"/>
    </w:rPr>
  </w:style>
  <w:style w:type="character" w:styleId="Refdenotaalfinal">
    <w:name w:val="endnote reference"/>
    <w:basedOn w:val="Fuentedeprrafopredeter"/>
    <w:uiPriority w:val="99"/>
    <w:semiHidden/>
    <w:unhideWhenUsed/>
    <w:rsid w:val="00BD53D7"/>
    <w:rPr>
      <w:vertAlign w:val="superscript"/>
    </w:rPr>
  </w:style>
  <w:style w:type="paragraph" w:styleId="Revisin">
    <w:name w:val="Revision"/>
    <w:hidden/>
    <w:uiPriority w:val="99"/>
    <w:semiHidden/>
    <w:rsid w:val="00BD53D7"/>
    <w:pPr>
      <w:spacing w:before="60" w:after="0" w:line="240" w:lineRule="auto"/>
    </w:pPr>
    <w:rPr>
      <w:rFonts w:ascii="Times New Roman" w:eastAsia="Times New Roman" w:hAnsi="Times New Roman" w:cs="Times New Roman"/>
      <w:sz w:val="24"/>
      <w:szCs w:val="24"/>
      <w:lang w:val="es-ES_tradnl"/>
    </w:rPr>
  </w:style>
  <w:style w:type="character" w:styleId="Textodelmarcadordeposicin">
    <w:name w:val="Placeholder Text"/>
    <w:basedOn w:val="Fuentedeprrafopredeter"/>
    <w:uiPriority w:val="99"/>
    <w:semiHidden/>
    <w:rsid w:val="00BD53D7"/>
    <w:rPr>
      <w:color w:val="808080"/>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BD53D7"/>
    <w:rPr>
      <w:rFonts w:ascii="Univers" w:hAnsi="Univers" w:cs="Times New Roman"/>
      <w:lang w:val="en-US" w:eastAsia="en-US" w:bidi="ar-SA"/>
    </w:rPr>
  </w:style>
  <w:style w:type="character" w:customStyle="1" w:styleId="FootnoteAnchor">
    <w:name w:val="Footnote Anchor"/>
    <w:rsid w:val="00BD53D7"/>
    <w:rPr>
      <w:vertAlign w:val="superscript"/>
    </w:rPr>
  </w:style>
  <w:style w:type="paragraph" w:styleId="TDC3">
    <w:name w:val="toc 3"/>
    <w:basedOn w:val="Normal"/>
    <w:next w:val="Normal"/>
    <w:autoRedefine/>
    <w:uiPriority w:val="39"/>
    <w:unhideWhenUsed/>
    <w:rsid w:val="003E0964"/>
    <w:pPr>
      <w:tabs>
        <w:tab w:val="right" w:leader="dot" w:pos="9072"/>
      </w:tabs>
      <w:spacing w:after="40"/>
      <w:ind w:left="403" w:right="237"/>
    </w:pPr>
  </w:style>
  <w:style w:type="paragraph" w:customStyle="1" w:styleId="Prrafodelista2">
    <w:name w:val="Párrafo de lista2"/>
    <w:basedOn w:val="Normal"/>
    <w:uiPriority w:val="99"/>
    <w:rsid w:val="006D122D"/>
    <w:pPr>
      <w:ind w:left="720"/>
      <w:jc w:val="left"/>
    </w:pPr>
    <w:rPr>
      <w:rFonts w:eastAsia="MS Mincho" w:cs="Times New Roman"/>
      <w:szCs w:val="20"/>
      <w:lang w:bidi="en-US"/>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uiPriority w:val="99"/>
    <w:qFormat/>
    <w:locked/>
    <w:rsid w:val="000C140A"/>
    <w:rPr>
      <w:rFonts w:ascii="Verdana" w:hAnsi="Verdana"/>
    </w:rPr>
  </w:style>
  <w:style w:type="paragraph" w:styleId="TDC4">
    <w:name w:val="toc 4"/>
    <w:basedOn w:val="Normal"/>
    <w:next w:val="Normal"/>
    <w:autoRedefine/>
    <w:uiPriority w:val="39"/>
    <w:unhideWhenUsed/>
    <w:rsid w:val="00CD3695"/>
    <w:pPr>
      <w:spacing w:after="100"/>
      <w:ind w:left="600"/>
    </w:pPr>
  </w:style>
  <w:style w:type="paragraph" w:customStyle="1" w:styleId="Estilo4">
    <w:name w:val="Estilo4"/>
    <w:basedOn w:val="Normal"/>
    <w:link w:val="Estilo4Car"/>
    <w:qFormat/>
    <w:rsid w:val="00817F42"/>
    <w:pPr>
      <w:numPr>
        <w:numId w:val="6"/>
      </w:numPr>
      <w:spacing w:after="160" w:line="259" w:lineRule="auto"/>
      <w:ind w:left="0" w:firstLine="0"/>
      <w:jc w:val="left"/>
    </w:pPr>
    <w:rPr>
      <w:rFonts w:ascii="Times New Roman" w:eastAsiaTheme="minorHAnsi" w:hAnsi="Times New Roman" w:cs="Times New Roman"/>
      <w:sz w:val="24"/>
      <w:lang w:val="es-UY"/>
    </w:rPr>
  </w:style>
  <w:style w:type="character" w:customStyle="1" w:styleId="Estilo4Car">
    <w:name w:val="Estilo4 Car"/>
    <w:basedOn w:val="Fuentedeprrafopredeter"/>
    <w:link w:val="Estilo4"/>
    <w:rsid w:val="00817F42"/>
    <w:rPr>
      <w:rFonts w:ascii="Times New Roman" w:hAnsi="Times New Roman" w:cs="Times New Roman"/>
      <w:sz w:val="24"/>
      <w:szCs w:val="24"/>
      <w:lang w:val="es-UY"/>
    </w:rPr>
  </w:style>
  <w:style w:type="paragraph" w:customStyle="1" w:styleId="style11">
    <w:name w:val="style11"/>
    <w:basedOn w:val="Normal"/>
    <w:rsid w:val="00817F42"/>
    <w:pPr>
      <w:spacing w:before="192" w:after="192"/>
      <w:ind w:left="120" w:right="144"/>
    </w:pPr>
    <w:rPr>
      <w:rFonts w:ascii="Times New Roman" w:eastAsia="Times New Roman" w:hAnsi="Times New Roman" w:cs="Times New Roman"/>
      <w:sz w:val="24"/>
      <w:lang w:val="es-CR" w:eastAsia="es-CR"/>
    </w:rPr>
  </w:style>
  <w:style w:type="character" w:styleId="Ttulodellibro">
    <w:name w:val="Book Title"/>
    <w:basedOn w:val="Fuentedeprrafopredeter"/>
    <w:uiPriority w:val="33"/>
    <w:qFormat/>
    <w:rsid w:val="00817F42"/>
    <w:rPr>
      <w:b/>
      <w:bCs/>
      <w:smallCaps/>
      <w:spacing w:val="5"/>
    </w:rPr>
  </w:style>
  <w:style w:type="character" w:customStyle="1" w:styleId="Mencinsinresolver1">
    <w:name w:val="Mención sin resolver1"/>
    <w:basedOn w:val="Fuentedeprrafopredeter"/>
    <w:uiPriority w:val="99"/>
    <w:semiHidden/>
    <w:unhideWhenUsed/>
    <w:rsid w:val="00817F42"/>
    <w:rPr>
      <w:color w:val="808080"/>
      <w:shd w:val="clear" w:color="auto" w:fill="E6E6E6"/>
    </w:rPr>
  </w:style>
  <w:style w:type="paragraph" w:customStyle="1" w:styleId="Normal1">
    <w:name w:val="Normal1"/>
    <w:rsid w:val="00B367D1"/>
    <w:pPr>
      <w:pBdr>
        <w:top w:val="nil"/>
        <w:left w:val="nil"/>
        <w:bottom w:val="nil"/>
        <w:right w:val="nil"/>
        <w:between w:val="nil"/>
      </w:pBdr>
      <w:spacing w:after="0" w:line="240" w:lineRule="auto"/>
    </w:pPr>
    <w:rPr>
      <w:rFonts w:ascii="Cambria" w:eastAsia="Cambria" w:hAnsi="Cambria" w:cs="Cambria"/>
      <w:color w:val="000000"/>
      <w:sz w:val="24"/>
      <w:szCs w:val="24"/>
      <w:lang w:val="en-AU"/>
    </w:rPr>
  </w:style>
  <w:style w:type="character" w:customStyle="1" w:styleId="Estilo1Char">
    <w:name w:val="Estilo1 Char"/>
    <w:rsid w:val="000A708F"/>
    <w:rPr>
      <w:rFonts w:ascii="Verdana" w:eastAsia="Calibri" w:hAnsi="Verdana" w:cs="Times New Roman"/>
      <w:sz w:val="20"/>
      <w:szCs w:val="20"/>
      <w:lang w:val="es-ES"/>
    </w:rPr>
  </w:style>
  <w:style w:type="paragraph" w:customStyle="1" w:styleId="Estilo2">
    <w:name w:val="Estilo2"/>
    <w:basedOn w:val="Normal"/>
    <w:qFormat/>
    <w:rsid w:val="000A708F"/>
    <w:pPr>
      <w:tabs>
        <w:tab w:val="left" w:pos="567"/>
        <w:tab w:val="left" w:pos="1134"/>
        <w:tab w:val="num" w:pos="4767"/>
      </w:tabs>
      <w:spacing w:after="120"/>
      <w:ind w:left="4767" w:hanging="360"/>
    </w:pPr>
    <w:rPr>
      <w:rFonts w:eastAsia="Calibri" w:cs="Times New Roman"/>
      <w:szCs w:val="20"/>
      <w:lang w:val="es-ES"/>
    </w:rPr>
  </w:style>
  <w:style w:type="paragraph" w:styleId="Mapadeldocumento">
    <w:name w:val="Document Map"/>
    <w:basedOn w:val="Normal"/>
    <w:link w:val="MapadeldocumentoCar"/>
    <w:uiPriority w:val="99"/>
    <w:semiHidden/>
    <w:unhideWhenUsed/>
    <w:rsid w:val="009236AF"/>
    <w:rPr>
      <w:rFonts w:ascii="Lucida Grande" w:hAnsi="Lucida Grande" w:cs="Lucida Grande"/>
      <w:sz w:val="24"/>
    </w:rPr>
  </w:style>
  <w:style w:type="character" w:customStyle="1" w:styleId="MapadeldocumentoCar">
    <w:name w:val="Mapa del documento Car"/>
    <w:basedOn w:val="Fuentedeprrafopredeter"/>
    <w:link w:val="Mapadeldocumento"/>
    <w:uiPriority w:val="99"/>
    <w:semiHidden/>
    <w:rsid w:val="009236AF"/>
    <w:rPr>
      <w:rFonts w:ascii="Lucida Grande" w:eastAsia="Batang" w:hAnsi="Lucida Grande" w:cs="Lucida Grande"/>
      <w:sz w:val="24"/>
      <w:szCs w:val="24"/>
      <w:lang w:val="es-ES_tradnl"/>
    </w:rPr>
  </w:style>
  <w:style w:type="character" w:customStyle="1" w:styleId="ListParagraphChar1">
    <w:name w:val="List Paragraph Char1"/>
    <w:aliases w:val="Footnote Char1,List Paragraph2 Char1,Lista vistosa - Énfasis 11 Char1"/>
    <w:basedOn w:val="Fuentedeprrafopredeter"/>
    <w:uiPriority w:val="34"/>
    <w:rsid w:val="006E0A46"/>
  </w:style>
  <w:style w:type="paragraph" w:customStyle="1" w:styleId="Numberedparagraphs">
    <w:name w:val="Numbered paragraphs"/>
    <w:basedOn w:val="Normal"/>
    <w:qFormat/>
    <w:rsid w:val="002B4D5A"/>
    <w:pPr>
      <w:numPr>
        <w:numId w:val="9"/>
      </w:numPr>
    </w:pPr>
    <w:rPr>
      <w:rFonts w:eastAsia="MS Mincho"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8176">
      <w:bodyDiv w:val="1"/>
      <w:marLeft w:val="0"/>
      <w:marRight w:val="0"/>
      <w:marTop w:val="0"/>
      <w:marBottom w:val="0"/>
      <w:divBdr>
        <w:top w:val="none" w:sz="0" w:space="0" w:color="auto"/>
        <w:left w:val="none" w:sz="0" w:space="0" w:color="auto"/>
        <w:bottom w:val="none" w:sz="0" w:space="0" w:color="auto"/>
        <w:right w:val="none" w:sz="0" w:space="0" w:color="auto"/>
      </w:divBdr>
    </w:div>
    <w:div w:id="41373278">
      <w:bodyDiv w:val="1"/>
      <w:marLeft w:val="0"/>
      <w:marRight w:val="0"/>
      <w:marTop w:val="0"/>
      <w:marBottom w:val="0"/>
      <w:divBdr>
        <w:top w:val="none" w:sz="0" w:space="0" w:color="auto"/>
        <w:left w:val="none" w:sz="0" w:space="0" w:color="auto"/>
        <w:bottom w:val="none" w:sz="0" w:space="0" w:color="auto"/>
        <w:right w:val="none" w:sz="0" w:space="0" w:color="auto"/>
      </w:divBdr>
    </w:div>
    <w:div w:id="69623545">
      <w:bodyDiv w:val="1"/>
      <w:marLeft w:val="0"/>
      <w:marRight w:val="0"/>
      <w:marTop w:val="0"/>
      <w:marBottom w:val="0"/>
      <w:divBdr>
        <w:top w:val="none" w:sz="0" w:space="0" w:color="auto"/>
        <w:left w:val="none" w:sz="0" w:space="0" w:color="auto"/>
        <w:bottom w:val="none" w:sz="0" w:space="0" w:color="auto"/>
        <w:right w:val="none" w:sz="0" w:space="0" w:color="auto"/>
      </w:divBdr>
    </w:div>
    <w:div w:id="104228844">
      <w:bodyDiv w:val="1"/>
      <w:marLeft w:val="0"/>
      <w:marRight w:val="0"/>
      <w:marTop w:val="0"/>
      <w:marBottom w:val="0"/>
      <w:divBdr>
        <w:top w:val="none" w:sz="0" w:space="0" w:color="auto"/>
        <w:left w:val="none" w:sz="0" w:space="0" w:color="auto"/>
        <w:bottom w:val="none" w:sz="0" w:space="0" w:color="auto"/>
        <w:right w:val="none" w:sz="0" w:space="0" w:color="auto"/>
      </w:divBdr>
    </w:div>
    <w:div w:id="115417736">
      <w:bodyDiv w:val="1"/>
      <w:marLeft w:val="0"/>
      <w:marRight w:val="0"/>
      <w:marTop w:val="0"/>
      <w:marBottom w:val="0"/>
      <w:divBdr>
        <w:top w:val="none" w:sz="0" w:space="0" w:color="auto"/>
        <w:left w:val="none" w:sz="0" w:space="0" w:color="auto"/>
        <w:bottom w:val="none" w:sz="0" w:space="0" w:color="auto"/>
        <w:right w:val="none" w:sz="0" w:space="0" w:color="auto"/>
      </w:divBdr>
      <w:divsChild>
        <w:div w:id="2082868438">
          <w:marLeft w:val="0"/>
          <w:marRight w:val="0"/>
          <w:marTop w:val="0"/>
          <w:marBottom w:val="0"/>
          <w:divBdr>
            <w:top w:val="none" w:sz="0" w:space="0" w:color="auto"/>
            <w:left w:val="none" w:sz="0" w:space="0" w:color="auto"/>
            <w:bottom w:val="none" w:sz="0" w:space="0" w:color="auto"/>
            <w:right w:val="none" w:sz="0" w:space="0" w:color="auto"/>
          </w:divBdr>
          <w:divsChild>
            <w:div w:id="1233858760">
              <w:marLeft w:val="0"/>
              <w:marRight w:val="0"/>
              <w:marTop w:val="0"/>
              <w:marBottom w:val="0"/>
              <w:divBdr>
                <w:top w:val="none" w:sz="0" w:space="0" w:color="auto"/>
                <w:left w:val="none" w:sz="0" w:space="0" w:color="auto"/>
                <w:bottom w:val="none" w:sz="0" w:space="0" w:color="auto"/>
                <w:right w:val="none" w:sz="0" w:space="0" w:color="auto"/>
              </w:divBdr>
              <w:divsChild>
                <w:div w:id="99876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3076">
      <w:bodyDiv w:val="1"/>
      <w:marLeft w:val="0"/>
      <w:marRight w:val="0"/>
      <w:marTop w:val="0"/>
      <w:marBottom w:val="0"/>
      <w:divBdr>
        <w:top w:val="none" w:sz="0" w:space="0" w:color="auto"/>
        <w:left w:val="none" w:sz="0" w:space="0" w:color="auto"/>
        <w:bottom w:val="none" w:sz="0" w:space="0" w:color="auto"/>
        <w:right w:val="none" w:sz="0" w:space="0" w:color="auto"/>
      </w:divBdr>
    </w:div>
    <w:div w:id="125200965">
      <w:bodyDiv w:val="1"/>
      <w:marLeft w:val="0"/>
      <w:marRight w:val="0"/>
      <w:marTop w:val="0"/>
      <w:marBottom w:val="0"/>
      <w:divBdr>
        <w:top w:val="none" w:sz="0" w:space="0" w:color="auto"/>
        <w:left w:val="none" w:sz="0" w:space="0" w:color="auto"/>
        <w:bottom w:val="none" w:sz="0" w:space="0" w:color="auto"/>
        <w:right w:val="none" w:sz="0" w:space="0" w:color="auto"/>
      </w:divBdr>
    </w:div>
    <w:div w:id="139659215">
      <w:bodyDiv w:val="1"/>
      <w:marLeft w:val="0"/>
      <w:marRight w:val="0"/>
      <w:marTop w:val="0"/>
      <w:marBottom w:val="0"/>
      <w:divBdr>
        <w:top w:val="none" w:sz="0" w:space="0" w:color="auto"/>
        <w:left w:val="none" w:sz="0" w:space="0" w:color="auto"/>
        <w:bottom w:val="none" w:sz="0" w:space="0" w:color="auto"/>
        <w:right w:val="none" w:sz="0" w:space="0" w:color="auto"/>
      </w:divBdr>
    </w:div>
    <w:div w:id="148332107">
      <w:bodyDiv w:val="1"/>
      <w:marLeft w:val="0"/>
      <w:marRight w:val="0"/>
      <w:marTop w:val="0"/>
      <w:marBottom w:val="0"/>
      <w:divBdr>
        <w:top w:val="none" w:sz="0" w:space="0" w:color="auto"/>
        <w:left w:val="none" w:sz="0" w:space="0" w:color="auto"/>
        <w:bottom w:val="none" w:sz="0" w:space="0" w:color="auto"/>
        <w:right w:val="none" w:sz="0" w:space="0" w:color="auto"/>
      </w:divBdr>
    </w:div>
    <w:div w:id="218707413">
      <w:bodyDiv w:val="1"/>
      <w:marLeft w:val="0"/>
      <w:marRight w:val="0"/>
      <w:marTop w:val="0"/>
      <w:marBottom w:val="0"/>
      <w:divBdr>
        <w:top w:val="none" w:sz="0" w:space="0" w:color="auto"/>
        <w:left w:val="none" w:sz="0" w:space="0" w:color="auto"/>
        <w:bottom w:val="none" w:sz="0" w:space="0" w:color="auto"/>
        <w:right w:val="none" w:sz="0" w:space="0" w:color="auto"/>
      </w:divBdr>
    </w:div>
    <w:div w:id="248731907">
      <w:bodyDiv w:val="1"/>
      <w:marLeft w:val="0"/>
      <w:marRight w:val="0"/>
      <w:marTop w:val="0"/>
      <w:marBottom w:val="0"/>
      <w:divBdr>
        <w:top w:val="none" w:sz="0" w:space="0" w:color="auto"/>
        <w:left w:val="none" w:sz="0" w:space="0" w:color="auto"/>
        <w:bottom w:val="none" w:sz="0" w:space="0" w:color="auto"/>
        <w:right w:val="none" w:sz="0" w:space="0" w:color="auto"/>
      </w:divBdr>
      <w:divsChild>
        <w:div w:id="687565345">
          <w:marLeft w:val="0"/>
          <w:marRight w:val="0"/>
          <w:marTop w:val="0"/>
          <w:marBottom w:val="0"/>
          <w:divBdr>
            <w:top w:val="none" w:sz="0" w:space="0" w:color="auto"/>
            <w:left w:val="none" w:sz="0" w:space="0" w:color="auto"/>
            <w:bottom w:val="none" w:sz="0" w:space="0" w:color="auto"/>
            <w:right w:val="none" w:sz="0" w:space="0" w:color="auto"/>
          </w:divBdr>
          <w:divsChild>
            <w:div w:id="1492451716">
              <w:marLeft w:val="0"/>
              <w:marRight w:val="0"/>
              <w:marTop w:val="0"/>
              <w:marBottom w:val="0"/>
              <w:divBdr>
                <w:top w:val="none" w:sz="0" w:space="0" w:color="auto"/>
                <w:left w:val="none" w:sz="0" w:space="0" w:color="auto"/>
                <w:bottom w:val="none" w:sz="0" w:space="0" w:color="auto"/>
                <w:right w:val="none" w:sz="0" w:space="0" w:color="auto"/>
              </w:divBdr>
              <w:divsChild>
                <w:div w:id="285812894">
                  <w:marLeft w:val="0"/>
                  <w:marRight w:val="0"/>
                  <w:marTop w:val="0"/>
                  <w:marBottom w:val="0"/>
                  <w:divBdr>
                    <w:top w:val="none" w:sz="0" w:space="0" w:color="auto"/>
                    <w:left w:val="none" w:sz="0" w:space="0" w:color="auto"/>
                    <w:bottom w:val="none" w:sz="0" w:space="0" w:color="auto"/>
                    <w:right w:val="none" w:sz="0" w:space="0" w:color="auto"/>
                  </w:divBdr>
                  <w:divsChild>
                    <w:div w:id="2024284623">
                      <w:marLeft w:val="0"/>
                      <w:marRight w:val="0"/>
                      <w:marTop w:val="0"/>
                      <w:marBottom w:val="0"/>
                      <w:divBdr>
                        <w:top w:val="none" w:sz="0" w:space="0" w:color="auto"/>
                        <w:left w:val="none" w:sz="0" w:space="0" w:color="auto"/>
                        <w:bottom w:val="none" w:sz="0" w:space="0" w:color="auto"/>
                        <w:right w:val="none" w:sz="0" w:space="0" w:color="auto"/>
                      </w:divBdr>
                      <w:divsChild>
                        <w:div w:id="1949972474">
                          <w:marLeft w:val="0"/>
                          <w:marRight w:val="0"/>
                          <w:marTop w:val="0"/>
                          <w:marBottom w:val="0"/>
                          <w:divBdr>
                            <w:top w:val="none" w:sz="0" w:space="0" w:color="auto"/>
                            <w:left w:val="none" w:sz="0" w:space="0" w:color="auto"/>
                            <w:bottom w:val="none" w:sz="0" w:space="0" w:color="auto"/>
                            <w:right w:val="none" w:sz="0" w:space="0" w:color="auto"/>
                          </w:divBdr>
                          <w:divsChild>
                            <w:div w:id="1221866149">
                              <w:marLeft w:val="0"/>
                              <w:marRight w:val="0"/>
                              <w:marTop w:val="0"/>
                              <w:marBottom w:val="0"/>
                              <w:divBdr>
                                <w:top w:val="none" w:sz="0" w:space="0" w:color="auto"/>
                                <w:left w:val="none" w:sz="0" w:space="0" w:color="auto"/>
                                <w:bottom w:val="none" w:sz="0" w:space="0" w:color="auto"/>
                                <w:right w:val="none" w:sz="0" w:space="0" w:color="auto"/>
                              </w:divBdr>
                              <w:divsChild>
                                <w:div w:id="1426804143">
                                  <w:marLeft w:val="0"/>
                                  <w:marRight w:val="0"/>
                                  <w:marTop w:val="0"/>
                                  <w:marBottom w:val="0"/>
                                  <w:divBdr>
                                    <w:top w:val="none" w:sz="0" w:space="0" w:color="auto"/>
                                    <w:left w:val="none" w:sz="0" w:space="0" w:color="auto"/>
                                    <w:bottom w:val="none" w:sz="0" w:space="0" w:color="auto"/>
                                    <w:right w:val="none" w:sz="0" w:space="0" w:color="auto"/>
                                  </w:divBdr>
                                  <w:divsChild>
                                    <w:div w:id="1788819138">
                                      <w:marLeft w:val="0"/>
                                      <w:marRight w:val="0"/>
                                      <w:marTop w:val="0"/>
                                      <w:marBottom w:val="0"/>
                                      <w:divBdr>
                                        <w:top w:val="none" w:sz="0" w:space="0" w:color="auto"/>
                                        <w:left w:val="none" w:sz="0" w:space="0" w:color="auto"/>
                                        <w:bottom w:val="none" w:sz="0" w:space="0" w:color="auto"/>
                                        <w:right w:val="none" w:sz="0" w:space="0" w:color="auto"/>
                                      </w:divBdr>
                                      <w:divsChild>
                                        <w:div w:id="1745370125">
                                          <w:marLeft w:val="0"/>
                                          <w:marRight w:val="0"/>
                                          <w:marTop w:val="0"/>
                                          <w:marBottom w:val="0"/>
                                          <w:divBdr>
                                            <w:top w:val="none" w:sz="0" w:space="0" w:color="auto"/>
                                            <w:left w:val="none" w:sz="0" w:space="0" w:color="auto"/>
                                            <w:bottom w:val="none" w:sz="0" w:space="0" w:color="auto"/>
                                            <w:right w:val="none" w:sz="0" w:space="0" w:color="auto"/>
                                          </w:divBdr>
                                          <w:divsChild>
                                            <w:div w:id="339090877">
                                              <w:marLeft w:val="0"/>
                                              <w:marRight w:val="0"/>
                                              <w:marTop w:val="0"/>
                                              <w:marBottom w:val="0"/>
                                              <w:divBdr>
                                                <w:top w:val="none" w:sz="0" w:space="0" w:color="auto"/>
                                                <w:left w:val="none" w:sz="0" w:space="0" w:color="auto"/>
                                                <w:bottom w:val="none" w:sz="0" w:space="0" w:color="auto"/>
                                                <w:right w:val="none" w:sz="0" w:space="0" w:color="auto"/>
                                              </w:divBdr>
                                              <w:divsChild>
                                                <w:div w:id="1770347350">
                                                  <w:marLeft w:val="0"/>
                                                  <w:marRight w:val="0"/>
                                                  <w:marTop w:val="0"/>
                                                  <w:marBottom w:val="0"/>
                                                  <w:divBdr>
                                                    <w:top w:val="none" w:sz="0" w:space="0" w:color="auto"/>
                                                    <w:left w:val="none" w:sz="0" w:space="0" w:color="auto"/>
                                                    <w:bottom w:val="none" w:sz="0" w:space="0" w:color="auto"/>
                                                    <w:right w:val="none" w:sz="0" w:space="0" w:color="auto"/>
                                                  </w:divBdr>
                                                  <w:divsChild>
                                                    <w:div w:id="799420255">
                                                      <w:marLeft w:val="0"/>
                                                      <w:marRight w:val="0"/>
                                                      <w:marTop w:val="0"/>
                                                      <w:marBottom w:val="0"/>
                                                      <w:divBdr>
                                                        <w:top w:val="none" w:sz="0" w:space="0" w:color="auto"/>
                                                        <w:left w:val="none" w:sz="0" w:space="0" w:color="auto"/>
                                                        <w:bottom w:val="none" w:sz="0" w:space="0" w:color="auto"/>
                                                        <w:right w:val="none" w:sz="0" w:space="0" w:color="auto"/>
                                                      </w:divBdr>
                                                      <w:divsChild>
                                                        <w:div w:id="2034719535">
                                                          <w:marLeft w:val="0"/>
                                                          <w:marRight w:val="0"/>
                                                          <w:marTop w:val="0"/>
                                                          <w:marBottom w:val="0"/>
                                                          <w:divBdr>
                                                            <w:top w:val="none" w:sz="0" w:space="0" w:color="auto"/>
                                                            <w:left w:val="none" w:sz="0" w:space="0" w:color="auto"/>
                                                            <w:bottom w:val="none" w:sz="0" w:space="0" w:color="auto"/>
                                                            <w:right w:val="none" w:sz="0" w:space="0" w:color="auto"/>
                                                          </w:divBdr>
                                                          <w:divsChild>
                                                            <w:div w:id="760219051">
                                                              <w:marLeft w:val="0"/>
                                                              <w:marRight w:val="0"/>
                                                              <w:marTop w:val="0"/>
                                                              <w:marBottom w:val="0"/>
                                                              <w:divBdr>
                                                                <w:top w:val="none" w:sz="0" w:space="0" w:color="auto"/>
                                                                <w:left w:val="none" w:sz="0" w:space="0" w:color="auto"/>
                                                                <w:bottom w:val="none" w:sz="0" w:space="0" w:color="auto"/>
                                                                <w:right w:val="none" w:sz="0" w:space="0" w:color="auto"/>
                                                              </w:divBdr>
                                                              <w:divsChild>
                                                                <w:div w:id="594441525">
                                                                  <w:marLeft w:val="0"/>
                                                                  <w:marRight w:val="0"/>
                                                                  <w:marTop w:val="0"/>
                                                                  <w:marBottom w:val="0"/>
                                                                  <w:divBdr>
                                                                    <w:top w:val="none" w:sz="0" w:space="0" w:color="auto"/>
                                                                    <w:left w:val="none" w:sz="0" w:space="0" w:color="auto"/>
                                                                    <w:bottom w:val="none" w:sz="0" w:space="0" w:color="auto"/>
                                                                    <w:right w:val="none" w:sz="0" w:space="0" w:color="auto"/>
                                                                  </w:divBdr>
                                                                  <w:divsChild>
                                                                    <w:div w:id="944338977">
                                                                      <w:marLeft w:val="0"/>
                                                                      <w:marRight w:val="0"/>
                                                                      <w:marTop w:val="0"/>
                                                                      <w:marBottom w:val="0"/>
                                                                      <w:divBdr>
                                                                        <w:top w:val="none" w:sz="0" w:space="0" w:color="auto"/>
                                                                        <w:left w:val="none" w:sz="0" w:space="0" w:color="auto"/>
                                                                        <w:bottom w:val="none" w:sz="0" w:space="0" w:color="auto"/>
                                                                        <w:right w:val="none" w:sz="0" w:space="0" w:color="auto"/>
                                                                      </w:divBdr>
                                                                      <w:divsChild>
                                                                        <w:div w:id="1401488999">
                                                                          <w:marLeft w:val="0"/>
                                                                          <w:marRight w:val="450"/>
                                                                          <w:marTop w:val="0"/>
                                                                          <w:marBottom w:val="0"/>
                                                                          <w:divBdr>
                                                                            <w:top w:val="none" w:sz="0" w:space="0" w:color="auto"/>
                                                                            <w:left w:val="none" w:sz="0" w:space="0" w:color="auto"/>
                                                                            <w:bottom w:val="none" w:sz="0" w:space="0" w:color="auto"/>
                                                                            <w:right w:val="none" w:sz="0" w:space="0" w:color="auto"/>
                                                                          </w:divBdr>
                                                                          <w:divsChild>
                                                                            <w:div w:id="235020993">
                                                                              <w:marLeft w:val="0"/>
                                                                              <w:marRight w:val="0"/>
                                                                              <w:marTop w:val="0"/>
                                                                              <w:marBottom w:val="0"/>
                                                                              <w:divBdr>
                                                                                <w:top w:val="none" w:sz="0" w:space="0" w:color="auto"/>
                                                                                <w:left w:val="none" w:sz="0" w:space="0" w:color="auto"/>
                                                                                <w:bottom w:val="none" w:sz="0" w:space="0" w:color="auto"/>
                                                                                <w:right w:val="none" w:sz="0" w:space="0" w:color="auto"/>
                                                                              </w:divBdr>
                                                                              <w:divsChild>
                                                                                <w:div w:id="2035036327">
                                                                                  <w:marLeft w:val="0"/>
                                                                                  <w:marRight w:val="0"/>
                                                                                  <w:marTop w:val="0"/>
                                                                                  <w:marBottom w:val="0"/>
                                                                                  <w:divBdr>
                                                                                    <w:top w:val="none" w:sz="0" w:space="0" w:color="auto"/>
                                                                                    <w:left w:val="none" w:sz="0" w:space="0" w:color="auto"/>
                                                                                    <w:bottom w:val="none" w:sz="0" w:space="0" w:color="auto"/>
                                                                                    <w:right w:val="none" w:sz="0" w:space="0" w:color="auto"/>
                                                                                  </w:divBdr>
                                                                                  <w:divsChild>
                                                                                    <w:div w:id="2140999017">
                                                                                      <w:marLeft w:val="0"/>
                                                                                      <w:marRight w:val="0"/>
                                                                                      <w:marTop w:val="0"/>
                                                                                      <w:marBottom w:val="0"/>
                                                                                      <w:divBdr>
                                                                                        <w:top w:val="none" w:sz="0" w:space="0" w:color="auto"/>
                                                                                        <w:left w:val="none" w:sz="0" w:space="0" w:color="auto"/>
                                                                                        <w:bottom w:val="none" w:sz="0" w:space="0" w:color="auto"/>
                                                                                        <w:right w:val="none" w:sz="0" w:space="0" w:color="auto"/>
                                                                                      </w:divBdr>
                                                                                      <w:divsChild>
                                                                                        <w:div w:id="910308682">
                                                                                          <w:marLeft w:val="0"/>
                                                                                          <w:marRight w:val="0"/>
                                                                                          <w:marTop w:val="0"/>
                                                                                          <w:marBottom w:val="0"/>
                                                                                          <w:divBdr>
                                                                                            <w:top w:val="none" w:sz="0" w:space="0" w:color="auto"/>
                                                                                            <w:left w:val="none" w:sz="0" w:space="0" w:color="auto"/>
                                                                                            <w:bottom w:val="none" w:sz="0" w:space="0" w:color="auto"/>
                                                                                            <w:right w:val="none" w:sz="0" w:space="0" w:color="auto"/>
                                                                                          </w:divBdr>
                                                                                          <w:divsChild>
                                                                                            <w:div w:id="1495877838">
                                                                                              <w:marLeft w:val="0"/>
                                                                                              <w:marRight w:val="0"/>
                                                                                              <w:marTop w:val="0"/>
                                                                                              <w:marBottom w:val="0"/>
                                                                                              <w:divBdr>
                                                                                                <w:top w:val="single" w:sz="2" w:space="0" w:color="EFEFEF"/>
                                                                                                <w:left w:val="none" w:sz="0" w:space="0" w:color="auto"/>
                                                                                                <w:bottom w:val="none" w:sz="0" w:space="0" w:color="auto"/>
                                                                                                <w:right w:val="none" w:sz="0" w:space="0" w:color="auto"/>
                                                                                              </w:divBdr>
                                                                                              <w:divsChild>
                                                                                                <w:div w:id="871504520">
                                                                                                  <w:marLeft w:val="0"/>
                                                                                                  <w:marRight w:val="0"/>
                                                                                                  <w:marTop w:val="0"/>
                                                                                                  <w:marBottom w:val="0"/>
                                                                                                  <w:divBdr>
                                                                                                    <w:top w:val="single" w:sz="6" w:space="0" w:color="D8D8D8"/>
                                                                                                    <w:left w:val="none" w:sz="0" w:space="0" w:color="auto"/>
                                                                                                    <w:bottom w:val="none" w:sz="0" w:space="0" w:color="D8D8D8"/>
                                                                                                    <w:right w:val="none" w:sz="0" w:space="0" w:color="auto"/>
                                                                                                  </w:divBdr>
                                                                                                  <w:divsChild>
                                                                                                    <w:div w:id="964433616">
                                                                                                      <w:marLeft w:val="0"/>
                                                                                                      <w:marRight w:val="0"/>
                                                                                                      <w:marTop w:val="0"/>
                                                                                                      <w:marBottom w:val="0"/>
                                                                                                      <w:divBdr>
                                                                                                        <w:top w:val="none" w:sz="0" w:space="0" w:color="auto"/>
                                                                                                        <w:left w:val="none" w:sz="0" w:space="0" w:color="auto"/>
                                                                                                        <w:bottom w:val="none" w:sz="0" w:space="0" w:color="auto"/>
                                                                                                        <w:right w:val="none" w:sz="0" w:space="0" w:color="auto"/>
                                                                                                      </w:divBdr>
                                                                                                      <w:divsChild>
                                                                                                        <w:div w:id="236405129">
                                                                                                          <w:marLeft w:val="0"/>
                                                                                                          <w:marRight w:val="0"/>
                                                                                                          <w:marTop w:val="0"/>
                                                                                                          <w:marBottom w:val="0"/>
                                                                                                          <w:divBdr>
                                                                                                            <w:top w:val="none" w:sz="0" w:space="0" w:color="auto"/>
                                                                                                            <w:left w:val="none" w:sz="0" w:space="0" w:color="auto"/>
                                                                                                            <w:bottom w:val="none" w:sz="0" w:space="0" w:color="auto"/>
                                                                                                            <w:right w:val="none" w:sz="0" w:space="0" w:color="auto"/>
                                                                                                          </w:divBdr>
                                                                                                          <w:divsChild>
                                                                                                            <w:div w:id="1155495030">
                                                                                                              <w:marLeft w:val="0"/>
                                                                                                              <w:marRight w:val="0"/>
                                                                                                              <w:marTop w:val="0"/>
                                                                                                              <w:marBottom w:val="0"/>
                                                                                                              <w:divBdr>
                                                                                                                <w:top w:val="none" w:sz="0" w:space="0" w:color="auto"/>
                                                                                                                <w:left w:val="none" w:sz="0" w:space="0" w:color="auto"/>
                                                                                                                <w:bottom w:val="none" w:sz="0" w:space="0" w:color="auto"/>
                                                                                                                <w:right w:val="none" w:sz="0" w:space="0" w:color="auto"/>
                                                                                                              </w:divBdr>
                                                                                                              <w:divsChild>
                                                                                                                <w:div w:id="835026207">
                                                                                                                  <w:marLeft w:val="450"/>
                                                                                                                  <w:marRight w:val="0"/>
                                                                                                                  <w:marTop w:val="0"/>
                                                                                                                  <w:marBottom w:val="0"/>
                                                                                                                  <w:divBdr>
                                                                                                                    <w:top w:val="none" w:sz="0" w:space="0" w:color="auto"/>
                                                                                                                    <w:left w:val="none" w:sz="0" w:space="0" w:color="auto"/>
                                                                                                                    <w:bottom w:val="none" w:sz="0" w:space="0" w:color="auto"/>
                                                                                                                    <w:right w:val="none" w:sz="0" w:space="0" w:color="auto"/>
                                                                                                                  </w:divBdr>
                                                                                                                  <w:divsChild>
                                                                                                                    <w:div w:id="307514768">
                                                                                                                      <w:marLeft w:val="0"/>
                                                                                                                      <w:marRight w:val="225"/>
                                                                                                                      <w:marTop w:val="75"/>
                                                                                                                      <w:marBottom w:val="0"/>
                                                                                                                      <w:divBdr>
                                                                                                                        <w:top w:val="none" w:sz="0" w:space="0" w:color="auto"/>
                                                                                                                        <w:left w:val="none" w:sz="0" w:space="0" w:color="auto"/>
                                                                                                                        <w:bottom w:val="none" w:sz="0" w:space="0" w:color="auto"/>
                                                                                                                        <w:right w:val="none" w:sz="0" w:space="0" w:color="auto"/>
                                                                                                                      </w:divBdr>
                                                                                                                      <w:divsChild>
                                                                                                                        <w:div w:id="2032491350">
                                                                                                                          <w:marLeft w:val="0"/>
                                                                                                                          <w:marRight w:val="0"/>
                                                                                                                          <w:marTop w:val="0"/>
                                                                                                                          <w:marBottom w:val="0"/>
                                                                                                                          <w:divBdr>
                                                                                                                            <w:top w:val="none" w:sz="0" w:space="0" w:color="auto"/>
                                                                                                                            <w:left w:val="none" w:sz="0" w:space="0" w:color="auto"/>
                                                                                                                            <w:bottom w:val="none" w:sz="0" w:space="0" w:color="auto"/>
                                                                                                                            <w:right w:val="none" w:sz="0" w:space="0" w:color="auto"/>
                                                                                                                          </w:divBdr>
                                                                                                                          <w:divsChild>
                                                                                                                            <w:div w:id="354425230">
                                                                                                                              <w:marLeft w:val="0"/>
                                                                                                                              <w:marRight w:val="0"/>
                                                                                                                              <w:marTop w:val="0"/>
                                                                                                                              <w:marBottom w:val="0"/>
                                                                                                                              <w:divBdr>
                                                                                                                                <w:top w:val="none" w:sz="0" w:space="0" w:color="auto"/>
                                                                                                                                <w:left w:val="none" w:sz="0" w:space="0" w:color="auto"/>
                                                                                                                                <w:bottom w:val="none" w:sz="0" w:space="0" w:color="auto"/>
                                                                                                                                <w:right w:val="none" w:sz="0" w:space="0" w:color="auto"/>
                                                                                                                              </w:divBdr>
                                                                                                                              <w:divsChild>
                                                                                                                                <w:div w:id="57390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0914903">
                                                                                                                                      <w:marLeft w:val="0"/>
                                                                                                                                      <w:marRight w:val="0"/>
                                                                                                                                      <w:marTop w:val="0"/>
                                                                                                                                      <w:marBottom w:val="0"/>
                                                                                                                                      <w:divBdr>
                                                                                                                                        <w:top w:val="none" w:sz="0" w:space="0" w:color="auto"/>
                                                                                                                                        <w:left w:val="none" w:sz="0" w:space="0" w:color="auto"/>
                                                                                                                                        <w:bottom w:val="none" w:sz="0" w:space="0" w:color="auto"/>
                                                                                                                                        <w:right w:val="none" w:sz="0" w:space="0" w:color="auto"/>
                                                                                                                                      </w:divBdr>
                                                                                                                                      <w:divsChild>
                                                                                                                                        <w:div w:id="4006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0841520">
      <w:bodyDiv w:val="1"/>
      <w:marLeft w:val="0"/>
      <w:marRight w:val="0"/>
      <w:marTop w:val="0"/>
      <w:marBottom w:val="0"/>
      <w:divBdr>
        <w:top w:val="none" w:sz="0" w:space="0" w:color="auto"/>
        <w:left w:val="none" w:sz="0" w:space="0" w:color="auto"/>
        <w:bottom w:val="none" w:sz="0" w:space="0" w:color="auto"/>
        <w:right w:val="none" w:sz="0" w:space="0" w:color="auto"/>
      </w:divBdr>
    </w:div>
    <w:div w:id="262493291">
      <w:bodyDiv w:val="1"/>
      <w:marLeft w:val="0"/>
      <w:marRight w:val="0"/>
      <w:marTop w:val="0"/>
      <w:marBottom w:val="0"/>
      <w:divBdr>
        <w:top w:val="none" w:sz="0" w:space="0" w:color="auto"/>
        <w:left w:val="none" w:sz="0" w:space="0" w:color="auto"/>
        <w:bottom w:val="none" w:sz="0" w:space="0" w:color="auto"/>
        <w:right w:val="none" w:sz="0" w:space="0" w:color="auto"/>
      </w:divBdr>
    </w:div>
    <w:div w:id="268898767">
      <w:bodyDiv w:val="1"/>
      <w:marLeft w:val="0"/>
      <w:marRight w:val="0"/>
      <w:marTop w:val="0"/>
      <w:marBottom w:val="0"/>
      <w:divBdr>
        <w:top w:val="none" w:sz="0" w:space="0" w:color="auto"/>
        <w:left w:val="none" w:sz="0" w:space="0" w:color="auto"/>
        <w:bottom w:val="none" w:sz="0" w:space="0" w:color="auto"/>
        <w:right w:val="none" w:sz="0" w:space="0" w:color="auto"/>
      </w:divBdr>
      <w:divsChild>
        <w:div w:id="931819318">
          <w:marLeft w:val="0"/>
          <w:marRight w:val="0"/>
          <w:marTop w:val="0"/>
          <w:marBottom w:val="0"/>
          <w:divBdr>
            <w:top w:val="none" w:sz="0" w:space="0" w:color="auto"/>
            <w:left w:val="none" w:sz="0" w:space="0" w:color="auto"/>
            <w:bottom w:val="none" w:sz="0" w:space="0" w:color="auto"/>
            <w:right w:val="none" w:sz="0" w:space="0" w:color="auto"/>
          </w:divBdr>
          <w:divsChild>
            <w:div w:id="904804694">
              <w:marLeft w:val="0"/>
              <w:marRight w:val="0"/>
              <w:marTop w:val="0"/>
              <w:marBottom w:val="0"/>
              <w:divBdr>
                <w:top w:val="none" w:sz="0" w:space="0" w:color="auto"/>
                <w:left w:val="none" w:sz="0" w:space="0" w:color="auto"/>
                <w:bottom w:val="none" w:sz="0" w:space="0" w:color="auto"/>
                <w:right w:val="none" w:sz="0" w:space="0" w:color="auto"/>
              </w:divBdr>
              <w:divsChild>
                <w:div w:id="150197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867950">
      <w:bodyDiv w:val="1"/>
      <w:marLeft w:val="0"/>
      <w:marRight w:val="0"/>
      <w:marTop w:val="0"/>
      <w:marBottom w:val="0"/>
      <w:divBdr>
        <w:top w:val="none" w:sz="0" w:space="0" w:color="auto"/>
        <w:left w:val="none" w:sz="0" w:space="0" w:color="auto"/>
        <w:bottom w:val="none" w:sz="0" w:space="0" w:color="auto"/>
        <w:right w:val="none" w:sz="0" w:space="0" w:color="auto"/>
      </w:divBdr>
    </w:div>
    <w:div w:id="353463586">
      <w:bodyDiv w:val="1"/>
      <w:marLeft w:val="0"/>
      <w:marRight w:val="0"/>
      <w:marTop w:val="0"/>
      <w:marBottom w:val="0"/>
      <w:divBdr>
        <w:top w:val="none" w:sz="0" w:space="0" w:color="auto"/>
        <w:left w:val="none" w:sz="0" w:space="0" w:color="auto"/>
        <w:bottom w:val="none" w:sz="0" w:space="0" w:color="auto"/>
        <w:right w:val="none" w:sz="0" w:space="0" w:color="auto"/>
      </w:divBdr>
      <w:divsChild>
        <w:div w:id="2028409628">
          <w:marLeft w:val="0"/>
          <w:marRight w:val="0"/>
          <w:marTop w:val="0"/>
          <w:marBottom w:val="0"/>
          <w:divBdr>
            <w:top w:val="none" w:sz="0" w:space="0" w:color="auto"/>
            <w:left w:val="none" w:sz="0" w:space="0" w:color="auto"/>
            <w:bottom w:val="none" w:sz="0" w:space="0" w:color="auto"/>
            <w:right w:val="none" w:sz="0" w:space="0" w:color="auto"/>
          </w:divBdr>
          <w:divsChild>
            <w:div w:id="298152831">
              <w:marLeft w:val="0"/>
              <w:marRight w:val="0"/>
              <w:marTop w:val="0"/>
              <w:marBottom w:val="0"/>
              <w:divBdr>
                <w:top w:val="none" w:sz="0" w:space="0" w:color="auto"/>
                <w:left w:val="none" w:sz="0" w:space="0" w:color="auto"/>
                <w:bottom w:val="none" w:sz="0" w:space="0" w:color="auto"/>
                <w:right w:val="none" w:sz="0" w:space="0" w:color="auto"/>
              </w:divBdr>
              <w:divsChild>
                <w:div w:id="63013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104349">
      <w:bodyDiv w:val="1"/>
      <w:marLeft w:val="0"/>
      <w:marRight w:val="0"/>
      <w:marTop w:val="0"/>
      <w:marBottom w:val="0"/>
      <w:divBdr>
        <w:top w:val="none" w:sz="0" w:space="0" w:color="auto"/>
        <w:left w:val="none" w:sz="0" w:space="0" w:color="auto"/>
        <w:bottom w:val="none" w:sz="0" w:space="0" w:color="auto"/>
        <w:right w:val="none" w:sz="0" w:space="0" w:color="auto"/>
      </w:divBdr>
    </w:div>
    <w:div w:id="393621004">
      <w:bodyDiv w:val="1"/>
      <w:marLeft w:val="0"/>
      <w:marRight w:val="0"/>
      <w:marTop w:val="0"/>
      <w:marBottom w:val="0"/>
      <w:divBdr>
        <w:top w:val="none" w:sz="0" w:space="0" w:color="auto"/>
        <w:left w:val="none" w:sz="0" w:space="0" w:color="auto"/>
        <w:bottom w:val="none" w:sz="0" w:space="0" w:color="auto"/>
        <w:right w:val="none" w:sz="0" w:space="0" w:color="auto"/>
      </w:divBdr>
    </w:div>
    <w:div w:id="413741411">
      <w:bodyDiv w:val="1"/>
      <w:marLeft w:val="0"/>
      <w:marRight w:val="0"/>
      <w:marTop w:val="0"/>
      <w:marBottom w:val="0"/>
      <w:divBdr>
        <w:top w:val="none" w:sz="0" w:space="0" w:color="auto"/>
        <w:left w:val="none" w:sz="0" w:space="0" w:color="auto"/>
        <w:bottom w:val="none" w:sz="0" w:space="0" w:color="auto"/>
        <w:right w:val="none" w:sz="0" w:space="0" w:color="auto"/>
      </w:divBdr>
      <w:divsChild>
        <w:div w:id="1103956016">
          <w:marLeft w:val="0"/>
          <w:marRight w:val="0"/>
          <w:marTop w:val="0"/>
          <w:marBottom w:val="0"/>
          <w:divBdr>
            <w:top w:val="none" w:sz="0" w:space="0" w:color="auto"/>
            <w:left w:val="none" w:sz="0" w:space="0" w:color="auto"/>
            <w:bottom w:val="none" w:sz="0" w:space="0" w:color="auto"/>
            <w:right w:val="none" w:sz="0" w:space="0" w:color="auto"/>
          </w:divBdr>
          <w:divsChild>
            <w:div w:id="1158960863">
              <w:marLeft w:val="0"/>
              <w:marRight w:val="0"/>
              <w:marTop w:val="0"/>
              <w:marBottom w:val="0"/>
              <w:divBdr>
                <w:top w:val="none" w:sz="0" w:space="0" w:color="auto"/>
                <w:left w:val="none" w:sz="0" w:space="0" w:color="auto"/>
                <w:bottom w:val="none" w:sz="0" w:space="0" w:color="auto"/>
                <w:right w:val="none" w:sz="0" w:space="0" w:color="auto"/>
              </w:divBdr>
              <w:divsChild>
                <w:div w:id="102690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827555">
      <w:bodyDiv w:val="1"/>
      <w:marLeft w:val="0"/>
      <w:marRight w:val="0"/>
      <w:marTop w:val="0"/>
      <w:marBottom w:val="0"/>
      <w:divBdr>
        <w:top w:val="none" w:sz="0" w:space="0" w:color="auto"/>
        <w:left w:val="none" w:sz="0" w:space="0" w:color="auto"/>
        <w:bottom w:val="none" w:sz="0" w:space="0" w:color="auto"/>
        <w:right w:val="none" w:sz="0" w:space="0" w:color="auto"/>
      </w:divBdr>
    </w:div>
    <w:div w:id="480729948">
      <w:bodyDiv w:val="1"/>
      <w:marLeft w:val="0"/>
      <w:marRight w:val="0"/>
      <w:marTop w:val="0"/>
      <w:marBottom w:val="0"/>
      <w:divBdr>
        <w:top w:val="none" w:sz="0" w:space="0" w:color="auto"/>
        <w:left w:val="none" w:sz="0" w:space="0" w:color="auto"/>
        <w:bottom w:val="none" w:sz="0" w:space="0" w:color="auto"/>
        <w:right w:val="none" w:sz="0" w:space="0" w:color="auto"/>
      </w:divBdr>
    </w:div>
    <w:div w:id="499197587">
      <w:bodyDiv w:val="1"/>
      <w:marLeft w:val="0"/>
      <w:marRight w:val="0"/>
      <w:marTop w:val="0"/>
      <w:marBottom w:val="0"/>
      <w:divBdr>
        <w:top w:val="none" w:sz="0" w:space="0" w:color="auto"/>
        <w:left w:val="none" w:sz="0" w:space="0" w:color="auto"/>
        <w:bottom w:val="none" w:sz="0" w:space="0" w:color="auto"/>
        <w:right w:val="none" w:sz="0" w:space="0" w:color="auto"/>
      </w:divBdr>
    </w:div>
    <w:div w:id="574047984">
      <w:bodyDiv w:val="1"/>
      <w:marLeft w:val="0"/>
      <w:marRight w:val="0"/>
      <w:marTop w:val="0"/>
      <w:marBottom w:val="0"/>
      <w:divBdr>
        <w:top w:val="none" w:sz="0" w:space="0" w:color="auto"/>
        <w:left w:val="none" w:sz="0" w:space="0" w:color="auto"/>
        <w:bottom w:val="none" w:sz="0" w:space="0" w:color="auto"/>
        <w:right w:val="none" w:sz="0" w:space="0" w:color="auto"/>
      </w:divBdr>
      <w:divsChild>
        <w:div w:id="532110703">
          <w:marLeft w:val="0"/>
          <w:marRight w:val="0"/>
          <w:marTop w:val="0"/>
          <w:marBottom w:val="0"/>
          <w:divBdr>
            <w:top w:val="none" w:sz="0" w:space="0" w:color="auto"/>
            <w:left w:val="none" w:sz="0" w:space="0" w:color="auto"/>
            <w:bottom w:val="none" w:sz="0" w:space="0" w:color="auto"/>
            <w:right w:val="none" w:sz="0" w:space="0" w:color="auto"/>
          </w:divBdr>
          <w:divsChild>
            <w:div w:id="1050424364">
              <w:marLeft w:val="0"/>
              <w:marRight w:val="0"/>
              <w:marTop w:val="0"/>
              <w:marBottom w:val="0"/>
              <w:divBdr>
                <w:top w:val="none" w:sz="0" w:space="0" w:color="auto"/>
                <w:left w:val="none" w:sz="0" w:space="0" w:color="auto"/>
                <w:bottom w:val="none" w:sz="0" w:space="0" w:color="auto"/>
                <w:right w:val="none" w:sz="0" w:space="0" w:color="auto"/>
              </w:divBdr>
              <w:divsChild>
                <w:div w:id="134146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79196">
      <w:bodyDiv w:val="1"/>
      <w:marLeft w:val="0"/>
      <w:marRight w:val="0"/>
      <w:marTop w:val="0"/>
      <w:marBottom w:val="0"/>
      <w:divBdr>
        <w:top w:val="none" w:sz="0" w:space="0" w:color="auto"/>
        <w:left w:val="none" w:sz="0" w:space="0" w:color="auto"/>
        <w:bottom w:val="none" w:sz="0" w:space="0" w:color="auto"/>
        <w:right w:val="none" w:sz="0" w:space="0" w:color="auto"/>
      </w:divBdr>
    </w:div>
    <w:div w:id="584416266">
      <w:bodyDiv w:val="1"/>
      <w:marLeft w:val="0"/>
      <w:marRight w:val="0"/>
      <w:marTop w:val="0"/>
      <w:marBottom w:val="0"/>
      <w:divBdr>
        <w:top w:val="none" w:sz="0" w:space="0" w:color="auto"/>
        <w:left w:val="none" w:sz="0" w:space="0" w:color="auto"/>
        <w:bottom w:val="none" w:sz="0" w:space="0" w:color="auto"/>
        <w:right w:val="none" w:sz="0" w:space="0" w:color="auto"/>
      </w:divBdr>
    </w:div>
    <w:div w:id="620958396">
      <w:bodyDiv w:val="1"/>
      <w:marLeft w:val="0"/>
      <w:marRight w:val="0"/>
      <w:marTop w:val="0"/>
      <w:marBottom w:val="0"/>
      <w:divBdr>
        <w:top w:val="none" w:sz="0" w:space="0" w:color="auto"/>
        <w:left w:val="none" w:sz="0" w:space="0" w:color="auto"/>
        <w:bottom w:val="none" w:sz="0" w:space="0" w:color="auto"/>
        <w:right w:val="none" w:sz="0" w:space="0" w:color="auto"/>
      </w:divBdr>
      <w:divsChild>
        <w:div w:id="1235776107">
          <w:marLeft w:val="0"/>
          <w:marRight w:val="0"/>
          <w:marTop w:val="0"/>
          <w:marBottom w:val="0"/>
          <w:divBdr>
            <w:top w:val="none" w:sz="0" w:space="0" w:color="auto"/>
            <w:left w:val="none" w:sz="0" w:space="0" w:color="auto"/>
            <w:bottom w:val="none" w:sz="0" w:space="0" w:color="auto"/>
            <w:right w:val="none" w:sz="0" w:space="0" w:color="auto"/>
          </w:divBdr>
          <w:divsChild>
            <w:div w:id="1560628291">
              <w:marLeft w:val="0"/>
              <w:marRight w:val="0"/>
              <w:marTop w:val="0"/>
              <w:marBottom w:val="0"/>
              <w:divBdr>
                <w:top w:val="none" w:sz="0" w:space="0" w:color="auto"/>
                <w:left w:val="none" w:sz="0" w:space="0" w:color="auto"/>
                <w:bottom w:val="none" w:sz="0" w:space="0" w:color="auto"/>
                <w:right w:val="none" w:sz="0" w:space="0" w:color="auto"/>
              </w:divBdr>
              <w:divsChild>
                <w:div w:id="3086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81416">
      <w:bodyDiv w:val="1"/>
      <w:marLeft w:val="0"/>
      <w:marRight w:val="0"/>
      <w:marTop w:val="0"/>
      <w:marBottom w:val="0"/>
      <w:divBdr>
        <w:top w:val="none" w:sz="0" w:space="0" w:color="auto"/>
        <w:left w:val="none" w:sz="0" w:space="0" w:color="auto"/>
        <w:bottom w:val="none" w:sz="0" w:space="0" w:color="auto"/>
        <w:right w:val="none" w:sz="0" w:space="0" w:color="auto"/>
      </w:divBdr>
      <w:divsChild>
        <w:div w:id="1030302464">
          <w:marLeft w:val="0"/>
          <w:marRight w:val="0"/>
          <w:marTop w:val="0"/>
          <w:marBottom w:val="0"/>
          <w:divBdr>
            <w:top w:val="none" w:sz="0" w:space="0" w:color="auto"/>
            <w:left w:val="none" w:sz="0" w:space="0" w:color="auto"/>
            <w:bottom w:val="none" w:sz="0" w:space="0" w:color="auto"/>
            <w:right w:val="none" w:sz="0" w:space="0" w:color="auto"/>
          </w:divBdr>
          <w:divsChild>
            <w:div w:id="691758699">
              <w:marLeft w:val="0"/>
              <w:marRight w:val="0"/>
              <w:marTop w:val="0"/>
              <w:marBottom w:val="0"/>
              <w:divBdr>
                <w:top w:val="none" w:sz="0" w:space="0" w:color="auto"/>
                <w:left w:val="none" w:sz="0" w:space="0" w:color="auto"/>
                <w:bottom w:val="none" w:sz="0" w:space="0" w:color="auto"/>
                <w:right w:val="none" w:sz="0" w:space="0" w:color="auto"/>
              </w:divBdr>
              <w:divsChild>
                <w:div w:id="17264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53195">
      <w:bodyDiv w:val="1"/>
      <w:marLeft w:val="0"/>
      <w:marRight w:val="0"/>
      <w:marTop w:val="0"/>
      <w:marBottom w:val="0"/>
      <w:divBdr>
        <w:top w:val="none" w:sz="0" w:space="0" w:color="auto"/>
        <w:left w:val="none" w:sz="0" w:space="0" w:color="auto"/>
        <w:bottom w:val="none" w:sz="0" w:space="0" w:color="auto"/>
        <w:right w:val="none" w:sz="0" w:space="0" w:color="auto"/>
      </w:divBdr>
    </w:div>
    <w:div w:id="803353090">
      <w:bodyDiv w:val="1"/>
      <w:marLeft w:val="0"/>
      <w:marRight w:val="0"/>
      <w:marTop w:val="0"/>
      <w:marBottom w:val="0"/>
      <w:divBdr>
        <w:top w:val="none" w:sz="0" w:space="0" w:color="auto"/>
        <w:left w:val="none" w:sz="0" w:space="0" w:color="auto"/>
        <w:bottom w:val="none" w:sz="0" w:space="0" w:color="auto"/>
        <w:right w:val="none" w:sz="0" w:space="0" w:color="auto"/>
      </w:divBdr>
      <w:divsChild>
        <w:div w:id="717247213">
          <w:marLeft w:val="0"/>
          <w:marRight w:val="0"/>
          <w:marTop w:val="0"/>
          <w:marBottom w:val="0"/>
          <w:divBdr>
            <w:top w:val="none" w:sz="0" w:space="0" w:color="auto"/>
            <w:left w:val="none" w:sz="0" w:space="0" w:color="auto"/>
            <w:bottom w:val="none" w:sz="0" w:space="0" w:color="auto"/>
            <w:right w:val="none" w:sz="0" w:space="0" w:color="auto"/>
          </w:divBdr>
          <w:divsChild>
            <w:div w:id="1739551413">
              <w:marLeft w:val="0"/>
              <w:marRight w:val="60"/>
              <w:marTop w:val="0"/>
              <w:marBottom w:val="0"/>
              <w:divBdr>
                <w:top w:val="none" w:sz="0" w:space="0" w:color="auto"/>
                <w:left w:val="none" w:sz="0" w:space="0" w:color="auto"/>
                <w:bottom w:val="none" w:sz="0" w:space="0" w:color="auto"/>
                <w:right w:val="none" w:sz="0" w:space="0" w:color="auto"/>
              </w:divBdr>
              <w:divsChild>
                <w:div w:id="1582984909">
                  <w:marLeft w:val="0"/>
                  <w:marRight w:val="0"/>
                  <w:marTop w:val="0"/>
                  <w:marBottom w:val="120"/>
                  <w:divBdr>
                    <w:top w:val="single" w:sz="6" w:space="0" w:color="C0C0C0"/>
                    <w:left w:val="single" w:sz="6" w:space="0" w:color="D9D9D9"/>
                    <w:bottom w:val="single" w:sz="6" w:space="0" w:color="D9D9D9"/>
                    <w:right w:val="single" w:sz="6" w:space="0" w:color="D9D9D9"/>
                  </w:divBdr>
                  <w:divsChild>
                    <w:div w:id="1869639330">
                      <w:marLeft w:val="0"/>
                      <w:marRight w:val="0"/>
                      <w:marTop w:val="0"/>
                      <w:marBottom w:val="0"/>
                      <w:divBdr>
                        <w:top w:val="none" w:sz="0" w:space="0" w:color="auto"/>
                        <w:left w:val="none" w:sz="0" w:space="0" w:color="auto"/>
                        <w:bottom w:val="none" w:sz="0" w:space="0" w:color="auto"/>
                        <w:right w:val="none" w:sz="0" w:space="0" w:color="auto"/>
                      </w:divBdr>
                    </w:div>
                    <w:div w:id="190895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58203">
          <w:marLeft w:val="0"/>
          <w:marRight w:val="0"/>
          <w:marTop w:val="0"/>
          <w:marBottom w:val="0"/>
          <w:divBdr>
            <w:top w:val="none" w:sz="0" w:space="0" w:color="auto"/>
            <w:left w:val="none" w:sz="0" w:space="0" w:color="auto"/>
            <w:bottom w:val="none" w:sz="0" w:space="0" w:color="auto"/>
            <w:right w:val="none" w:sz="0" w:space="0" w:color="auto"/>
          </w:divBdr>
          <w:divsChild>
            <w:div w:id="343677354">
              <w:marLeft w:val="60"/>
              <w:marRight w:val="0"/>
              <w:marTop w:val="0"/>
              <w:marBottom w:val="0"/>
              <w:divBdr>
                <w:top w:val="none" w:sz="0" w:space="0" w:color="auto"/>
                <w:left w:val="none" w:sz="0" w:space="0" w:color="auto"/>
                <w:bottom w:val="none" w:sz="0" w:space="0" w:color="auto"/>
                <w:right w:val="none" w:sz="0" w:space="0" w:color="auto"/>
              </w:divBdr>
              <w:divsChild>
                <w:div w:id="729577608">
                  <w:marLeft w:val="0"/>
                  <w:marRight w:val="0"/>
                  <w:marTop w:val="0"/>
                  <w:marBottom w:val="0"/>
                  <w:divBdr>
                    <w:top w:val="none" w:sz="0" w:space="0" w:color="auto"/>
                    <w:left w:val="none" w:sz="0" w:space="0" w:color="auto"/>
                    <w:bottom w:val="none" w:sz="0" w:space="0" w:color="auto"/>
                    <w:right w:val="none" w:sz="0" w:space="0" w:color="auto"/>
                  </w:divBdr>
                  <w:divsChild>
                    <w:div w:id="390352999">
                      <w:marLeft w:val="0"/>
                      <w:marRight w:val="0"/>
                      <w:marTop w:val="0"/>
                      <w:marBottom w:val="120"/>
                      <w:divBdr>
                        <w:top w:val="single" w:sz="6" w:space="0" w:color="F5F5F5"/>
                        <w:left w:val="single" w:sz="6" w:space="0" w:color="F5F5F5"/>
                        <w:bottom w:val="single" w:sz="6" w:space="0" w:color="F5F5F5"/>
                        <w:right w:val="single" w:sz="6" w:space="0" w:color="F5F5F5"/>
                      </w:divBdr>
                      <w:divsChild>
                        <w:div w:id="974913677">
                          <w:marLeft w:val="0"/>
                          <w:marRight w:val="0"/>
                          <w:marTop w:val="0"/>
                          <w:marBottom w:val="0"/>
                          <w:divBdr>
                            <w:top w:val="none" w:sz="0" w:space="0" w:color="auto"/>
                            <w:left w:val="none" w:sz="0" w:space="0" w:color="auto"/>
                            <w:bottom w:val="none" w:sz="0" w:space="0" w:color="auto"/>
                            <w:right w:val="none" w:sz="0" w:space="0" w:color="auto"/>
                          </w:divBdr>
                          <w:divsChild>
                            <w:div w:id="167256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367051">
      <w:bodyDiv w:val="1"/>
      <w:marLeft w:val="0"/>
      <w:marRight w:val="0"/>
      <w:marTop w:val="0"/>
      <w:marBottom w:val="0"/>
      <w:divBdr>
        <w:top w:val="none" w:sz="0" w:space="0" w:color="auto"/>
        <w:left w:val="none" w:sz="0" w:space="0" w:color="auto"/>
        <w:bottom w:val="none" w:sz="0" w:space="0" w:color="auto"/>
        <w:right w:val="none" w:sz="0" w:space="0" w:color="auto"/>
      </w:divBdr>
    </w:div>
    <w:div w:id="934095499">
      <w:bodyDiv w:val="1"/>
      <w:marLeft w:val="0"/>
      <w:marRight w:val="0"/>
      <w:marTop w:val="0"/>
      <w:marBottom w:val="0"/>
      <w:divBdr>
        <w:top w:val="none" w:sz="0" w:space="0" w:color="auto"/>
        <w:left w:val="none" w:sz="0" w:space="0" w:color="auto"/>
        <w:bottom w:val="none" w:sz="0" w:space="0" w:color="auto"/>
        <w:right w:val="none" w:sz="0" w:space="0" w:color="auto"/>
      </w:divBdr>
    </w:div>
    <w:div w:id="952983900">
      <w:bodyDiv w:val="1"/>
      <w:marLeft w:val="0"/>
      <w:marRight w:val="0"/>
      <w:marTop w:val="0"/>
      <w:marBottom w:val="0"/>
      <w:divBdr>
        <w:top w:val="none" w:sz="0" w:space="0" w:color="auto"/>
        <w:left w:val="none" w:sz="0" w:space="0" w:color="auto"/>
        <w:bottom w:val="none" w:sz="0" w:space="0" w:color="auto"/>
        <w:right w:val="none" w:sz="0" w:space="0" w:color="auto"/>
      </w:divBdr>
      <w:divsChild>
        <w:div w:id="248276187">
          <w:marLeft w:val="0"/>
          <w:marRight w:val="0"/>
          <w:marTop w:val="0"/>
          <w:marBottom w:val="0"/>
          <w:divBdr>
            <w:top w:val="none" w:sz="0" w:space="0" w:color="auto"/>
            <w:left w:val="none" w:sz="0" w:space="0" w:color="auto"/>
            <w:bottom w:val="none" w:sz="0" w:space="0" w:color="auto"/>
            <w:right w:val="none" w:sz="0" w:space="0" w:color="auto"/>
          </w:divBdr>
          <w:divsChild>
            <w:div w:id="1862476913">
              <w:marLeft w:val="0"/>
              <w:marRight w:val="0"/>
              <w:marTop w:val="0"/>
              <w:marBottom w:val="0"/>
              <w:divBdr>
                <w:top w:val="none" w:sz="0" w:space="0" w:color="auto"/>
                <w:left w:val="none" w:sz="0" w:space="0" w:color="auto"/>
                <w:bottom w:val="none" w:sz="0" w:space="0" w:color="auto"/>
                <w:right w:val="none" w:sz="0" w:space="0" w:color="auto"/>
              </w:divBdr>
              <w:divsChild>
                <w:div w:id="39512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1876">
      <w:bodyDiv w:val="1"/>
      <w:marLeft w:val="0"/>
      <w:marRight w:val="0"/>
      <w:marTop w:val="0"/>
      <w:marBottom w:val="0"/>
      <w:divBdr>
        <w:top w:val="none" w:sz="0" w:space="0" w:color="auto"/>
        <w:left w:val="none" w:sz="0" w:space="0" w:color="auto"/>
        <w:bottom w:val="none" w:sz="0" w:space="0" w:color="auto"/>
        <w:right w:val="none" w:sz="0" w:space="0" w:color="auto"/>
      </w:divBdr>
    </w:div>
    <w:div w:id="973101845">
      <w:bodyDiv w:val="1"/>
      <w:marLeft w:val="0"/>
      <w:marRight w:val="0"/>
      <w:marTop w:val="0"/>
      <w:marBottom w:val="0"/>
      <w:divBdr>
        <w:top w:val="none" w:sz="0" w:space="0" w:color="auto"/>
        <w:left w:val="none" w:sz="0" w:space="0" w:color="auto"/>
        <w:bottom w:val="none" w:sz="0" w:space="0" w:color="auto"/>
        <w:right w:val="none" w:sz="0" w:space="0" w:color="auto"/>
      </w:divBdr>
    </w:div>
    <w:div w:id="977416057">
      <w:bodyDiv w:val="1"/>
      <w:marLeft w:val="0"/>
      <w:marRight w:val="0"/>
      <w:marTop w:val="0"/>
      <w:marBottom w:val="0"/>
      <w:divBdr>
        <w:top w:val="none" w:sz="0" w:space="0" w:color="auto"/>
        <w:left w:val="none" w:sz="0" w:space="0" w:color="auto"/>
        <w:bottom w:val="none" w:sz="0" w:space="0" w:color="auto"/>
        <w:right w:val="none" w:sz="0" w:space="0" w:color="auto"/>
      </w:divBdr>
    </w:div>
    <w:div w:id="984507294">
      <w:bodyDiv w:val="1"/>
      <w:marLeft w:val="0"/>
      <w:marRight w:val="0"/>
      <w:marTop w:val="0"/>
      <w:marBottom w:val="0"/>
      <w:divBdr>
        <w:top w:val="none" w:sz="0" w:space="0" w:color="auto"/>
        <w:left w:val="none" w:sz="0" w:space="0" w:color="auto"/>
        <w:bottom w:val="none" w:sz="0" w:space="0" w:color="auto"/>
        <w:right w:val="none" w:sz="0" w:space="0" w:color="auto"/>
      </w:divBdr>
      <w:divsChild>
        <w:div w:id="495270544">
          <w:marLeft w:val="0"/>
          <w:marRight w:val="0"/>
          <w:marTop w:val="0"/>
          <w:marBottom w:val="0"/>
          <w:divBdr>
            <w:top w:val="none" w:sz="0" w:space="0" w:color="auto"/>
            <w:left w:val="none" w:sz="0" w:space="0" w:color="auto"/>
            <w:bottom w:val="none" w:sz="0" w:space="0" w:color="auto"/>
            <w:right w:val="none" w:sz="0" w:space="0" w:color="auto"/>
          </w:divBdr>
          <w:divsChild>
            <w:div w:id="1754931907">
              <w:marLeft w:val="0"/>
              <w:marRight w:val="0"/>
              <w:marTop w:val="0"/>
              <w:marBottom w:val="0"/>
              <w:divBdr>
                <w:top w:val="none" w:sz="0" w:space="0" w:color="auto"/>
                <w:left w:val="none" w:sz="0" w:space="0" w:color="auto"/>
                <w:bottom w:val="none" w:sz="0" w:space="0" w:color="auto"/>
                <w:right w:val="none" w:sz="0" w:space="0" w:color="auto"/>
              </w:divBdr>
              <w:divsChild>
                <w:div w:id="6948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077126">
      <w:bodyDiv w:val="1"/>
      <w:marLeft w:val="0"/>
      <w:marRight w:val="0"/>
      <w:marTop w:val="0"/>
      <w:marBottom w:val="0"/>
      <w:divBdr>
        <w:top w:val="none" w:sz="0" w:space="0" w:color="auto"/>
        <w:left w:val="none" w:sz="0" w:space="0" w:color="auto"/>
        <w:bottom w:val="none" w:sz="0" w:space="0" w:color="auto"/>
        <w:right w:val="none" w:sz="0" w:space="0" w:color="auto"/>
      </w:divBdr>
    </w:div>
    <w:div w:id="998657682">
      <w:bodyDiv w:val="1"/>
      <w:marLeft w:val="0"/>
      <w:marRight w:val="0"/>
      <w:marTop w:val="0"/>
      <w:marBottom w:val="0"/>
      <w:divBdr>
        <w:top w:val="none" w:sz="0" w:space="0" w:color="auto"/>
        <w:left w:val="none" w:sz="0" w:space="0" w:color="auto"/>
        <w:bottom w:val="none" w:sz="0" w:space="0" w:color="auto"/>
        <w:right w:val="none" w:sz="0" w:space="0" w:color="auto"/>
      </w:divBdr>
    </w:div>
    <w:div w:id="1000154322">
      <w:bodyDiv w:val="1"/>
      <w:marLeft w:val="0"/>
      <w:marRight w:val="0"/>
      <w:marTop w:val="0"/>
      <w:marBottom w:val="0"/>
      <w:divBdr>
        <w:top w:val="none" w:sz="0" w:space="0" w:color="auto"/>
        <w:left w:val="none" w:sz="0" w:space="0" w:color="auto"/>
        <w:bottom w:val="none" w:sz="0" w:space="0" w:color="auto"/>
        <w:right w:val="none" w:sz="0" w:space="0" w:color="auto"/>
      </w:divBdr>
    </w:div>
    <w:div w:id="1012606982">
      <w:bodyDiv w:val="1"/>
      <w:marLeft w:val="0"/>
      <w:marRight w:val="0"/>
      <w:marTop w:val="0"/>
      <w:marBottom w:val="0"/>
      <w:divBdr>
        <w:top w:val="none" w:sz="0" w:space="0" w:color="auto"/>
        <w:left w:val="none" w:sz="0" w:space="0" w:color="auto"/>
        <w:bottom w:val="none" w:sz="0" w:space="0" w:color="auto"/>
        <w:right w:val="none" w:sz="0" w:space="0" w:color="auto"/>
      </w:divBdr>
    </w:div>
    <w:div w:id="1096367732">
      <w:bodyDiv w:val="1"/>
      <w:marLeft w:val="0"/>
      <w:marRight w:val="0"/>
      <w:marTop w:val="0"/>
      <w:marBottom w:val="0"/>
      <w:divBdr>
        <w:top w:val="none" w:sz="0" w:space="0" w:color="auto"/>
        <w:left w:val="none" w:sz="0" w:space="0" w:color="auto"/>
        <w:bottom w:val="none" w:sz="0" w:space="0" w:color="auto"/>
        <w:right w:val="none" w:sz="0" w:space="0" w:color="auto"/>
      </w:divBdr>
    </w:div>
    <w:div w:id="1148863742">
      <w:bodyDiv w:val="1"/>
      <w:marLeft w:val="0"/>
      <w:marRight w:val="0"/>
      <w:marTop w:val="0"/>
      <w:marBottom w:val="0"/>
      <w:divBdr>
        <w:top w:val="none" w:sz="0" w:space="0" w:color="auto"/>
        <w:left w:val="none" w:sz="0" w:space="0" w:color="auto"/>
        <w:bottom w:val="none" w:sz="0" w:space="0" w:color="auto"/>
        <w:right w:val="none" w:sz="0" w:space="0" w:color="auto"/>
      </w:divBdr>
    </w:div>
    <w:div w:id="1178544743">
      <w:bodyDiv w:val="1"/>
      <w:marLeft w:val="0"/>
      <w:marRight w:val="0"/>
      <w:marTop w:val="0"/>
      <w:marBottom w:val="0"/>
      <w:divBdr>
        <w:top w:val="none" w:sz="0" w:space="0" w:color="auto"/>
        <w:left w:val="none" w:sz="0" w:space="0" w:color="auto"/>
        <w:bottom w:val="none" w:sz="0" w:space="0" w:color="auto"/>
        <w:right w:val="none" w:sz="0" w:space="0" w:color="auto"/>
      </w:divBdr>
    </w:div>
    <w:div w:id="1262299554">
      <w:bodyDiv w:val="1"/>
      <w:marLeft w:val="0"/>
      <w:marRight w:val="0"/>
      <w:marTop w:val="0"/>
      <w:marBottom w:val="0"/>
      <w:divBdr>
        <w:top w:val="none" w:sz="0" w:space="0" w:color="auto"/>
        <w:left w:val="none" w:sz="0" w:space="0" w:color="auto"/>
        <w:bottom w:val="none" w:sz="0" w:space="0" w:color="auto"/>
        <w:right w:val="none" w:sz="0" w:space="0" w:color="auto"/>
      </w:divBdr>
    </w:div>
    <w:div w:id="1273781522">
      <w:bodyDiv w:val="1"/>
      <w:marLeft w:val="0"/>
      <w:marRight w:val="0"/>
      <w:marTop w:val="0"/>
      <w:marBottom w:val="0"/>
      <w:divBdr>
        <w:top w:val="none" w:sz="0" w:space="0" w:color="auto"/>
        <w:left w:val="none" w:sz="0" w:space="0" w:color="auto"/>
        <w:bottom w:val="none" w:sz="0" w:space="0" w:color="auto"/>
        <w:right w:val="none" w:sz="0" w:space="0" w:color="auto"/>
      </w:divBdr>
    </w:div>
    <w:div w:id="1274943042">
      <w:bodyDiv w:val="1"/>
      <w:marLeft w:val="0"/>
      <w:marRight w:val="0"/>
      <w:marTop w:val="0"/>
      <w:marBottom w:val="0"/>
      <w:divBdr>
        <w:top w:val="none" w:sz="0" w:space="0" w:color="auto"/>
        <w:left w:val="none" w:sz="0" w:space="0" w:color="auto"/>
        <w:bottom w:val="none" w:sz="0" w:space="0" w:color="auto"/>
        <w:right w:val="none" w:sz="0" w:space="0" w:color="auto"/>
      </w:divBdr>
    </w:div>
    <w:div w:id="1278174518">
      <w:bodyDiv w:val="1"/>
      <w:marLeft w:val="0"/>
      <w:marRight w:val="0"/>
      <w:marTop w:val="0"/>
      <w:marBottom w:val="0"/>
      <w:divBdr>
        <w:top w:val="none" w:sz="0" w:space="0" w:color="auto"/>
        <w:left w:val="none" w:sz="0" w:space="0" w:color="auto"/>
        <w:bottom w:val="none" w:sz="0" w:space="0" w:color="auto"/>
        <w:right w:val="none" w:sz="0" w:space="0" w:color="auto"/>
      </w:divBdr>
      <w:divsChild>
        <w:div w:id="270280545">
          <w:marLeft w:val="0"/>
          <w:marRight w:val="0"/>
          <w:marTop w:val="0"/>
          <w:marBottom w:val="0"/>
          <w:divBdr>
            <w:top w:val="none" w:sz="0" w:space="0" w:color="auto"/>
            <w:left w:val="none" w:sz="0" w:space="0" w:color="auto"/>
            <w:bottom w:val="none" w:sz="0" w:space="0" w:color="auto"/>
            <w:right w:val="none" w:sz="0" w:space="0" w:color="auto"/>
          </w:divBdr>
          <w:divsChild>
            <w:div w:id="1167330535">
              <w:marLeft w:val="0"/>
              <w:marRight w:val="0"/>
              <w:marTop w:val="0"/>
              <w:marBottom w:val="0"/>
              <w:divBdr>
                <w:top w:val="none" w:sz="0" w:space="0" w:color="auto"/>
                <w:left w:val="none" w:sz="0" w:space="0" w:color="auto"/>
                <w:bottom w:val="none" w:sz="0" w:space="0" w:color="auto"/>
                <w:right w:val="none" w:sz="0" w:space="0" w:color="auto"/>
              </w:divBdr>
              <w:divsChild>
                <w:div w:id="104498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04228">
      <w:bodyDiv w:val="1"/>
      <w:marLeft w:val="0"/>
      <w:marRight w:val="0"/>
      <w:marTop w:val="0"/>
      <w:marBottom w:val="0"/>
      <w:divBdr>
        <w:top w:val="none" w:sz="0" w:space="0" w:color="auto"/>
        <w:left w:val="none" w:sz="0" w:space="0" w:color="auto"/>
        <w:bottom w:val="none" w:sz="0" w:space="0" w:color="auto"/>
        <w:right w:val="none" w:sz="0" w:space="0" w:color="auto"/>
      </w:divBdr>
    </w:div>
    <w:div w:id="1303971814">
      <w:bodyDiv w:val="1"/>
      <w:marLeft w:val="0"/>
      <w:marRight w:val="0"/>
      <w:marTop w:val="0"/>
      <w:marBottom w:val="0"/>
      <w:divBdr>
        <w:top w:val="none" w:sz="0" w:space="0" w:color="auto"/>
        <w:left w:val="none" w:sz="0" w:space="0" w:color="auto"/>
        <w:bottom w:val="none" w:sz="0" w:space="0" w:color="auto"/>
        <w:right w:val="none" w:sz="0" w:space="0" w:color="auto"/>
      </w:divBdr>
    </w:div>
    <w:div w:id="1338194961">
      <w:bodyDiv w:val="1"/>
      <w:marLeft w:val="0"/>
      <w:marRight w:val="0"/>
      <w:marTop w:val="0"/>
      <w:marBottom w:val="0"/>
      <w:divBdr>
        <w:top w:val="none" w:sz="0" w:space="0" w:color="auto"/>
        <w:left w:val="none" w:sz="0" w:space="0" w:color="auto"/>
        <w:bottom w:val="none" w:sz="0" w:space="0" w:color="auto"/>
        <w:right w:val="none" w:sz="0" w:space="0" w:color="auto"/>
      </w:divBdr>
    </w:div>
    <w:div w:id="1360205396">
      <w:bodyDiv w:val="1"/>
      <w:marLeft w:val="0"/>
      <w:marRight w:val="0"/>
      <w:marTop w:val="0"/>
      <w:marBottom w:val="0"/>
      <w:divBdr>
        <w:top w:val="none" w:sz="0" w:space="0" w:color="auto"/>
        <w:left w:val="none" w:sz="0" w:space="0" w:color="auto"/>
        <w:bottom w:val="none" w:sz="0" w:space="0" w:color="auto"/>
        <w:right w:val="none" w:sz="0" w:space="0" w:color="auto"/>
      </w:divBdr>
    </w:div>
    <w:div w:id="1365057816">
      <w:bodyDiv w:val="1"/>
      <w:marLeft w:val="0"/>
      <w:marRight w:val="0"/>
      <w:marTop w:val="0"/>
      <w:marBottom w:val="0"/>
      <w:divBdr>
        <w:top w:val="none" w:sz="0" w:space="0" w:color="auto"/>
        <w:left w:val="none" w:sz="0" w:space="0" w:color="auto"/>
        <w:bottom w:val="none" w:sz="0" w:space="0" w:color="auto"/>
        <w:right w:val="none" w:sz="0" w:space="0" w:color="auto"/>
      </w:divBdr>
      <w:divsChild>
        <w:div w:id="1781027264">
          <w:marLeft w:val="0"/>
          <w:marRight w:val="0"/>
          <w:marTop w:val="0"/>
          <w:marBottom w:val="0"/>
          <w:divBdr>
            <w:top w:val="none" w:sz="0" w:space="0" w:color="auto"/>
            <w:left w:val="none" w:sz="0" w:space="0" w:color="auto"/>
            <w:bottom w:val="none" w:sz="0" w:space="0" w:color="auto"/>
            <w:right w:val="none" w:sz="0" w:space="0" w:color="auto"/>
          </w:divBdr>
          <w:divsChild>
            <w:div w:id="1799060415">
              <w:marLeft w:val="0"/>
              <w:marRight w:val="0"/>
              <w:marTop w:val="0"/>
              <w:marBottom w:val="0"/>
              <w:divBdr>
                <w:top w:val="none" w:sz="0" w:space="0" w:color="auto"/>
                <w:left w:val="none" w:sz="0" w:space="0" w:color="auto"/>
                <w:bottom w:val="none" w:sz="0" w:space="0" w:color="auto"/>
                <w:right w:val="none" w:sz="0" w:space="0" w:color="auto"/>
              </w:divBdr>
              <w:divsChild>
                <w:div w:id="116944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3290">
      <w:bodyDiv w:val="1"/>
      <w:marLeft w:val="0"/>
      <w:marRight w:val="0"/>
      <w:marTop w:val="0"/>
      <w:marBottom w:val="0"/>
      <w:divBdr>
        <w:top w:val="none" w:sz="0" w:space="0" w:color="auto"/>
        <w:left w:val="none" w:sz="0" w:space="0" w:color="auto"/>
        <w:bottom w:val="none" w:sz="0" w:space="0" w:color="auto"/>
        <w:right w:val="none" w:sz="0" w:space="0" w:color="auto"/>
      </w:divBdr>
    </w:div>
    <w:div w:id="1417627453">
      <w:bodyDiv w:val="1"/>
      <w:marLeft w:val="0"/>
      <w:marRight w:val="0"/>
      <w:marTop w:val="0"/>
      <w:marBottom w:val="0"/>
      <w:divBdr>
        <w:top w:val="none" w:sz="0" w:space="0" w:color="auto"/>
        <w:left w:val="none" w:sz="0" w:space="0" w:color="auto"/>
        <w:bottom w:val="none" w:sz="0" w:space="0" w:color="auto"/>
        <w:right w:val="none" w:sz="0" w:space="0" w:color="auto"/>
      </w:divBdr>
    </w:div>
    <w:div w:id="1427650699">
      <w:bodyDiv w:val="1"/>
      <w:marLeft w:val="0"/>
      <w:marRight w:val="0"/>
      <w:marTop w:val="0"/>
      <w:marBottom w:val="0"/>
      <w:divBdr>
        <w:top w:val="none" w:sz="0" w:space="0" w:color="auto"/>
        <w:left w:val="none" w:sz="0" w:space="0" w:color="auto"/>
        <w:bottom w:val="none" w:sz="0" w:space="0" w:color="auto"/>
        <w:right w:val="none" w:sz="0" w:space="0" w:color="auto"/>
      </w:divBdr>
    </w:div>
    <w:div w:id="1479763233">
      <w:bodyDiv w:val="1"/>
      <w:marLeft w:val="0"/>
      <w:marRight w:val="0"/>
      <w:marTop w:val="0"/>
      <w:marBottom w:val="0"/>
      <w:divBdr>
        <w:top w:val="none" w:sz="0" w:space="0" w:color="auto"/>
        <w:left w:val="none" w:sz="0" w:space="0" w:color="auto"/>
        <w:bottom w:val="none" w:sz="0" w:space="0" w:color="auto"/>
        <w:right w:val="none" w:sz="0" w:space="0" w:color="auto"/>
      </w:divBdr>
    </w:div>
    <w:div w:id="1504976276">
      <w:bodyDiv w:val="1"/>
      <w:marLeft w:val="0"/>
      <w:marRight w:val="0"/>
      <w:marTop w:val="0"/>
      <w:marBottom w:val="0"/>
      <w:divBdr>
        <w:top w:val="none" w:sz="0" w:space="0" w:color="auto"/>
        <w:left w:val="none" w:sz="0" w:space="0" w:color="auto"/>
        <w:bottom w:val="none" w:sz="0" w:space="0" w:color="auto"/>
        <w:right w:val="none" w:sz="0" w:space="0" w:color="auto"/>
      </w:divBdr>
      <w:divsChild>
        <w:div w:id="1493447662">
          <w:marLeft w:val="0"/>
          <w:marRight w:val="0"/>
          <w:marTop w:val="0"/>
          <w:marBottom w:val="0"/>
          <w:divBdr>
            <w:top w:val="none" w:sz="0" w:space="0" w:color="auto"/>
            <w:left w:val="none" w:sz="0" w:space="0" w:color="auto"/>
            <w:bottom w:val="none" w:sz="0" w:space="0" w:color="auto"/>
            <w:right w:val="none" w:sz="0" w:space="0" w:color="auto"/>
          </w:divBdr>
          <w:divsChild>
            <w:div w:id="2102334688">
              <w:marLeft w:val="0"/>
              <w:marRight w:val="0"/>
              <w:marTop w:val="0"/>
              <w:marBottom w:val="0"/>
              <w:divBdr>
                <w:top w:val="none" w:sz="0" w:space="0" w:color="auto"/>
                <w:left w:val="none" w:sz="0" w:space="0" w:color="auto"/>
                <w:bottom w:val="none" w:sz="0" w:space="0" w:color="auto"/>
                <w:right w:val="none" w:sz="0" w:space="0" w:color="auto"/>
              </w:divBdr>
              <w:divsChild>
                <w:div w:id="170258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446">
      <w:bodyDiv w:val="1"/>
      <w:marLeft w:val="0"/>
      <w:marRight w:val="0"/>
      <w:marTop w:val="0"/>
      <w:marBottom w:val="0"/>
      <w:divBdr>
        <w:top w:val="none" w:sz="0" w:space="0" w:color="auto"/>
        <w:left w:val="none" w:sz="0" w:space="0" w:color="auto"/>
        <w:bottom w:val="none" w:sz="0" w:space="0" w:color="auto"/>
        <w:right w:val="none" w:sz="0" w:space="0" w:color="auto"/>
      </w:divBdr>
    </w:div>
    <w:div w:id="1597515269">
      <w:bodyDiv w:val="1"/>
      <w:marLeft w:val="0"/>
      <w:marRight w:val="0"/>
      <w:marTop w:val="0"/>
      <w:marBottom w:val="0"/>
      <w:divBdr>
        <w:top w:val="none" w:sz="0" w:space="0" w:color="auto"/>
        <w:left w:val="none" w:sz="0" w:space="0" w:color="auto"/>
        <w:bottom w:val="none" w:sz="0" w:space="0" w:color="auto"/>
        <w:right w:val="none" w:sz="0" w:space="0" w:color="auto"/>
      </w:divBdr>
    </w:div>
    <w:div w:id="1606886540">
      <w:bodyDiv w:val="1"/>
      <w:marLeft w:val="0"/>
      <w:marRight w:val="0"/>
      <w:marTop w:val="0"/>
      <w:marBottom w:val="0"/>
      <w:divBdr>
        <w:top w:val="none" w:sz="0" w:space="0" w:color="auto"/>
        <w:left w:val="none" w:sz="0" w:space="0" w:color="auto"/>
        <w:bottom w:val="none" w:sz="0" w:space="0" w:color="auto"/>
        <w:right w:val="none" w:sz="0" w:space="0" w:color="auto"/>
      </w:divBdr>
    </w:div>
    <w:div w:id="1715232117">
      <w:bodyDiv w:val="1"/>
      <w:marLeft w:val="0"/>
      <w:marRight w:val="0"/>
      <w:marTop w:val="0"/>
      <w:marBottom w:val="0"/>
      <w:divBdr>
        <w:top w:val="none" w:sz="0" w:space="0" w:color="auto"/>
        <w:left w:val="none" w:sz="0" w:space="0" w:color="auto"/>
        <w:bottom w:val="none" w:sz="0" w:space="0" w:color="auto"/>
        <w:right w:val="none" w:sz="0" w:space="0" w:color="auto"/>
      </w:divBdr>
    </w:div>
    <w:div w:id="1716926538">
      <w:bodyDiv w:val="1"/>
      <w:marLeft w:val="0"/>
      <w:marRight w:val="0"/>
      <w:marTop w:val="0"/>
      <w:marBottom w:val="0"/>
      <w:divBdr>
        <w:top w:val="none" w:sz="0" w:space="0" w:color="auto"/>
        <w:left w:val="none" w:sz="0" w:space="0" w:color="auto"/>
        <w:bottom w:val="none" w:sz="0" w:space="0" w:color="auto"/>
        <w:right w:val="none" w:sz="0" w:space="0" w:color="auto"/>
      </w:divBdr>
    </w:div>
    <w:div w:id="1807817453">
      <w:bodyDiv w:val="1"/>
      <w:marLeft w:val="0"/>
      <w:marRight w:val="0"/>
      <w:marTop w:val="0"/>
      <w:marBottom w:val="0"/>
      <w:divBdr>
        <w:top w:val="none" w:sz="0" w:space="0" w:color="auto"/>
        <w:left w:val="none" w:sz="0" w:space="0" w:color="auto"/>
        <w:bottom w:val="none" w:sz="0" w:space="0" w:color="auto"/>
        <w:right w:val="none" w:sz="0" w:space="0" w:color="auto"/>
      </w:divBdr>
    </w:div>
    <w:div w:id="1844130135">
      <w:bodyDiv w:val="1"/>
      <w:marLeft w:val="0"/>
      <w:marRight w:val="0"/>
      <w:marTop w:val="0"/>
      <w:marBottom w:val="0"/>
      <w:divBdr>
        <w:top w:val="none" w:sz="0" w:space="0" w:color="auto"/>
        <w:left w:val="none" w:sz="0" w:space="0" w:color="auto"/>
        <w:bottom w:val="none" w:sz="0" w:space="0" w:color="auto"/>
        <w:right w:val="none" w:sz="0" w:space="0" w:color="auto"/>
      </w:divBdr>
    </w:div>
    <w:div w:id="1879924870">
      <w:bodyDiv w:val="1"/>
      <w:marLeft w:val="0"/>
      <w:marRight w:val="0"/>
      <w:marTop w:val="0"/>
      <w:marBottom w:val="0"/>
      <w:divBdr>
        <w:top w:val="none" w:sz="0" w:space="0" w:color="auto"/>
        <w:left w:val="none" w:sz="0" w:space="0" w:color="auto"/>
        <w:bottom w:val="none" w:sz="0" w:space="0" w:color="auto"/>
        <w:right w:val="none" w:sz="0" w:space="0" w:color="auto"/>
      </w:divBdr>
    </w:div>
    <w:div w:id="1926374266">
      <w:bodyDiv w:val="1"/>
      <w:marLeft w:val="0"/>
      <w:marRight w:val="0"/>
      <w:marTop w:val="0"/>
      <w:marBottom w:val="0"/>
      <w:divBdr>
        <w:top w:val="none" w:sz="0" w:space="0" w:color="auto"/>
        <w:left w:val="none" w:sz="0" w:space="0" w:color="auto"/>
        <w:bottom w:val="none" w:sz="0" w:space="0" w:color="auto"/>
        <w:right w:val="none" w:sz="0" w:space="0" w:color="auto"/>
      </w:divBdr>
    </w:div>
    <w:div w:id="1978417915">
      <w:bodyDiv w:val="1"/>
      <w:marLeft w:val="0"/>
      <w:marRight w:val="0"/>
      <w:marTop w:val="0"/>
      <w:marBottom w:val="0"/>
      <w:divBdr>
        <w:top w:val="none" w:sz="0" w:space="0" w:color="auto"/>
        <w:left w:val="none" w:sz="0" w:space="0" w:color="auto"/>
        <w:bottom w:val="none" w:sz="0" w:space="0" w:color="auto"/>
        <w:right w:val="none" w:sz="0" w:space="0" w:color="auto"/>
      </w:divBdr>
    </w:div>
    <w:div w:id="1983075793">
      <w:bodyDiv w:val="1"/>
      <w:marLeft w:val="0"/>
      <w:marRight w:val="0"/>
      <w:marTop w:val="0"/>
      <w:marBottom w:val="0"/>
      <w:divBdr>
        <w:top w:val="none" w:sz="0" w:space="0" w:color="auto"/>
        <w:left w:val="none" w:sz="0" w:space="0" w:color="auto"/>
        <w:bottom w:val="none" w:sz="0" w:space="0" w:color="auto"/>
        <w:right w:val="none" w:sz="0" w:space="0" w:color="auto"/>
      </w:divBdr>
    </w:div>
    <w:div w:id="1998610002">
      <w:bodyDiv w:val="1"/>
      <w:marLeft w:val="0"/>
      <w:marRight w:val="0"/>
      <w:marTop w:val="0"/>
      <w:marBottom w:val="0"/>
      <w:divBdr>
        <w:top w:val="none" w:sz="0" w:space="0" w:color="auto"/>
        <w:left w:val="none" w:sz="0" w:space="0" w:color="auto"/>
        <w:bottom w:val="none" w:sz="0" w:space="0" w:color="auto"/>
        <w:right w:val="none" w:sz="0" w:space="0" w:color="auto"/>
      </w:divBdr>
      <w:divsChild>
        <w:div w:id="1070885892">
          <w:marLeft w:val="0"/>
          <w:marRight w:val="0"/>
          <w:marTop w:val="0"/>
          <w:marBottom w:val="0"/>
          <w:divBdr>
            <w:top w:val="none" w:sz="0" w:space="0" w:color="auto"/>
            <w:left w:val="none" w:sz="0" w:space="0" w:color="auto"/>
            <w:bottom w:val="none" w:sz="0" w:space="0" w:color="auto"/>
            <w:right w:val="none" w:sz="0" w:space="0" w:color="auto"/>
          </w:divBdr>
          <w:divsChild>
            <w:div w:id="604001377">
              <w:marLeft w:val="0"/>
              <w:marRight w:val="0"/>
              <w:marTop w:val="0"/>
              <w:marBottom w:val="0"/>
              <w:divBdr>
                <w:top w:val="none" w:sz="0" w:space="0" w:color="auto"/>
                <w:left w:val="none" w:sz="0" w:space="0" w:color="auto"/>
                <w:bottom w:val="none" w:sz="0" w:space="0" w:color="auto"/>
                <w:right w:val="none" w:sz="0" w:space="0" w:color="auto"/>
              </w:divBdr>
              <w:divsChild>
                <w:div w:id="205515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5454">
      <w:bodyDiv w:val="1"/>
      <w:marLeft w:val="0"/>
      <w:marRight w:val="0"/>
      <w:marTop w:val="0"/>
      <w:marBottom w:val="0"/>
      <w:divBdr>
        <w:top w:val="none" w:sz="0" w:space="0" w:color="auto"/>
        <w:left w:val="none" w:sz="0" w:space="0" w:color="auto"/>
        <w:bottom w:val="none" w:sz="0" w:space="0" w:color="auto"/>
        <w:right w:val="none" w:sz="0" w:space="0" w:color="auto"/>
      </w:divBdr>
    </w:div>
    <w:div w:id="2045211564">
      <w:bodyDiv w:val="1"/>
      <w:marLeft w:val="0"/>
      <w:marRight w:val="0"/>
      <w:marTop w:val="0"/>
      <w:marBottom w:val="0"/>
      <w:divBdr>
        <w:top w:val="none" w:sz="0" w:space="0" w:color="auto"/>
        <w:left w:val="none" w:sz="0" w:space="0" w:color="auto"/>
        <w:bottom w:val="none" w:sz="0" w:space="0" w:color="auto"/>
        <w:right w:val="none" w:sz="0" w:space="0" w:color="auto"/>
      </w:divBdr>
      <w:divsChild>
        <w:div w:id="1560245593">
          <w:marLeft w:val="0"/>
          <w:marRight w:val="0"/>
          <w:marTop w:val="0"/>
          <w:marBottom w:val="0"/>
          <w:divBdr>
            <w:top w:val="none" w:sz="0" w:space="0" w:color="auto"/>
            <w:left w:val="none" w:sz="0" w:space="0" w:color="auto"/>
            <w:bottom w:val="none" w:sz="0" w:space="0" w:color="auto"/>
            <w:right w:val="none" w:sz="0" w:space="0" w:color="auto"/>
          </w:divBdr>
          <w:divsChild>
            <w:div w:id="741678631">
              <w:marLeft w:val="0"/>
              <w:marRight w:val="0"/>
              <w:marTop w:val="0"/>
              <w:marBottom w:val="0"/>
              <w:divBdr>
                <w:top w:val="none" w:sz="0" w:space="0" w:color="auto"/>
                <w:left w:val="none" w:sz="0" w:space="0" w:color="auto"/>
                <w:bottom w:val="none" w:sz="0" w:space="0" w:color="auto"/>
                <w:right w:val="none" w:sz="0" w:space="0" w:color="auto"/>
              </w:divBdr>
              <w:divsChild>
                <w:div w:id="7619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24663">
      <w:bodyDiv w:val="1"/>
      <w:marLeft w:val="0"/>
      <w:marRight w:val="0"/>
      <w:marTop w:val="0"/>
      <w:marBottom w:val="0"/>
      <w:divBdr>
        <w:top w:val="none" w:sz="0" w:space="0" w:color="auto"/>
        <w:left w:val="none" w:sz="0" w:space="0" w:color="auto"/>
        <w:bottom w:val="none" w:sz="0" w:space="0" w:color="auto"/>
        <w:right w:val="none" w:sz="0" w:space="0" w:color="auto"/>
      </w:divBdr>
      <w:divsChild>
        <w:div w:id="1711567052">
          <w:marLeft w:val="0"/>
          <w:marRight w:val="0"/>
          <w:marTop w:val="0"/>
          <w:marBottom w:val="0"/>
          <w:divBdr>
            <w:top w:val="none" w:sz="0" w:space="0" w:color="auto"/>
            <w:left w:val="none" w:sz="0" w:space="0" w:color="auto"/>
            <w:bottom w:val="none" w:sz="0" w:space="0" w:color="auto"/>
            <w:right w:val="none" w:sz="0" w:space="0" w:color="auto"/>
          </w:divBdr>
          <w:divsChild>
            <w:div w:id="1796949320">
              <w:marLeft w:val="0"/>
              <w:marRight w:val="0"/>
              <w:marTop w:val="0"/>
              <w:marBottom w:val="0"/>
              <w:divBdr>
                <w:top w:val="none" w:sz="0" w:space="0" w:color="auto"/>
                <w:left w:val="none" w:sz="0" w:space="0" w:color="auto"/>
                <w:bottom w:val="none" w:sz="0" w:space="0" w:color="auto"/>
                <w:right w:val="none" w:sz="0" w:space="0" w:color="auto"/>
              </w:divBdr>
              <w:divsChild>
                <w:div w:id="2419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75602">
      <w:bodyDiv w:val="1"/>
      <w:marLeft w:val="0"/>
      <w:marRight w:val="0"/>
      <w:marTop w:val="0"/>
      <w:marBottom w:val="0"/>
      <w:divBdr>
        <w:top w:val="none" w:sz="0" w:space="0" w:color="auto"/>
        <w:left w:val="none" w:sz="0" w:space="0" w:color="auto"/>
        <w:bottom w:val="none" w:sz="0" w:space="0" w:color="auto"/>
        <w:right w:val="none" w:sz="0" w:space="0" w:color="auto"/>
      </w:divBdr>
      <w:divsChild>
        <w:div w:id="1679694890">
          <w:marLeft w:val="0"/>
          <w:marRight w:val="0"/>
          <w:marTop w:val="0"/>
          <w:marBottom w:val="0"/>
          <w:divBdr>
            <w:top w:val="none" w:sz="0" w:space="0" w:color="auto"/>
            <w:left w:val="none" w:sz="0" w:space="0" w:color="auto"/>
            <w:bottom w:val="none" w:sz="0" w:space="0" w:color="auto"/>
            <w:right w:val="none" w:sz="0" w:space="0" w:color="auto"/>
          </w:divBdr>
          <w:divsChild>
            <w:div w:id="1775857284">
              <w:marLeft w:val="0"/>
              <w:marRight w:val="0"/>
              <w:marTop w:val="0"/>
              <w:marBottom w:val="0"/>
              <w:divBdr>
                <w:top w:val="none" w:sz="0" w:space="0" w:color="auto"/>
                <w:left w:val="none" w:sz="0" w:space="0" w:color="auto"/>
                <w:bottom w:val="none" w:sz="0" w:space="0" w:color="auto"/>
                <w:right w:val="none" w:sz="0" w:space="0" w:color="auto"/>
              </w:divBdr>
              <w:divsChild>
                <w:div w:id="26157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69B2C-9ED8-48AC-960A-2981F6C11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15162</Words>
  <Characters>83397</Characters>
  <Application>Microsoft Office Word</Application>
  <DocSecurity>0</DocSecurity>
  <Lines>694</Lines>
  <Paragraphs>196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98363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2020-04-07T15:38:00Z</cp:lastPrinted>
  <dcterms:created xsi:type="dcterms:W3CDTF">2020-04-07T15:38:00Z</dcterms:created>
  <dcterms:modified xsi:type="dcterms:W3CDTF">2020-04-07T15:38:00Z</dcterms:modified>
</cp:coreProperties>
</file>